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8"/>
          <w:szCs w:val="48"/>
        </w:rPr>
      </w:pPr>
    </w:p>
    <w:p>
      <w:pPr>
        <w:adjustRightInd/>
        <w:spacing w:line="360" w:lineRule="auto"/>
        <w:jc w:val="center"/>
        <w:rPr>
          <w:rFonts w:hint="eastAsia" w:ascii="仿宋" w:hAnsi="仿宋" w:eastAsia="仿宋" w:cs="仿宋_GB2312"/>
          <w:b/>
          <w:sz w:val="44"/>
          <w:szCs w:val="44"/>
          <w:lang w:eastAsia="zh-CN"/>
        </w:rPr>
      </w:pPr>
      <w:r>
        <w:rPr>
          <w:rFonts w:hint="eastAsia" w:ascii="仿宋" w:hAnsi="仿宋" w:eastAsia="仿宋" w:cs="仿宋_GB2312"/>
          <w:b/>
          <w:sz w:val="44"/>
          <w:szCs w:val="44"/>
          <w:lang w:eastAsia="zh-CN"/>
        </w:rPr>
        <w:t>临安区城市内涝智慧化治理服务项目（重新招标）</w:t>
      </w:r>
    </w:p>
    <w:p>
      <w:pPr>
        <w:adjustRightInd/>
        <w:spacing w:line="360" w:lineRule="auto"/>
        <w:jc w:val="center"/>
        <w:rPr>
          <w:rFonts w:ascii="仿宋" w:hAnsi="仿宋" w:eastAsia="仿宋" w:cs="仿宋_GB2312"/>
          <w:b/>
          <w:sz w:val="44"/>
          <w:szCs w:val="44"/>
        </w:rPr>
      </w:pPr>
    </w:p>
    <w:p>
      <w:pPr>
        <w:adjustRightInd/>
        <w:spacing w:line="360" w:lineRule="auto"/>
        <w:jc w:val="center"/>
        <w:rPr>
          <w:rFonts w:ascii="宋体" w:hAnsi="宋体" w:cs="宋体"/>
          <w:sz w:val="48"/>
          <w:szCs w:val="48"/>
        </w:rPr>
      </w:pPr>
      <w:r>
        <w:rPr>
          <w:rFonts w:hint="eastAsia" w:ascii="仿宋" w:hAnsi="仿宋" w:eastAsia="仿宋" w:cs="仿宋_GB2312"/>
          <w:b/>
          <w:sz w:val="44"/>
          <w:szCs w:val="44"/>
        </w:rPr>
        <w:t>公开招标</w:t>
      </w:r>
      <w:r>
        <w:rPr>
          <w:rFonts w:hint="eastAsia" w:ascii="宋体" w:hAnsi="宋体" w:cs="宋体"/>
          <w:sz w:val="48"/>
          <w:szCs w:val="48"/>
        </w:rPr>
        <w:t xml:space="preserve">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ind w:firstLine="3000" w:firstLineChars="1000"/>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[2024]918号-2</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sz w:val="32"/>
          <w:szCs w:val="32"/>
        </w:rPr>
      </w:pPr>
      <w:r>
        <w:rPr>
          <w:rFonts w:hint="eastAsia" w:ascii="宋体" w:hAnsi="宋体" w:cs="宋体"/>
          <w:sz w:val="32"/>
          <w:szCs w:val="32"/>
        </w:rPr>
        <w:t>采购人：</w:t>
      </w:r>
      <w:r>
        <w:rPr>
          <w:rFonts w:hint="eastAsia" w:ascii="宋体" w:hAnsi="宋体"/>
          <w:sz w:val="32"/>
          <w:szCs w:val="32"/>
        </w:rPr>
        <w:t>杭州市临安区综合行政执法局</w:t>
      </w:r>
    </w:p>
    <w:p>
      <w:pPr>
        <w:spacing w:line="360" w:lineRule="auto"/>
        <w:jc w:val="center"/>
        <w:rPr>
          <w:rFonts w:ascii="宋体" w:hAnsi="宋体" w:cs="宋体"/>
          <w:bCs/>
          <w:sz w:val="32"/>
          <w:szCs w:val="32"/>
        </w:rPr>
      </w:pPr>
      <w:r>
        <w:rPr>
          <w:rFonts w:hint="eastAsia" w:ascii="宋体" w:hAnsi="宋体" w:cs="宋体"/>
          <w:bCs/>
          <w:sz w:val="32"/>
          <w:szCs w:val="32"/>
        </w:rPr>
        <w:t>采购代理机构：</w:t>
      </w:r>
      <w:r>
        <w:rPr>
          <w:rFonts w:hint="eastAsia" w:ascii="宋体" w:hAnsi="宋体"/>
          <w:sz w:val="32"/>
          <w:szCs w:val="32"/>
        </w:rPr>
        <w:t>浙江豪圣建设项目管理有限公司</w:t>
      </w:r>
    </w:p>
    <w:p>
      <w:pPr>
        <w:snapToGrid w:val="0"/>
        <w:spacing w:line="360" w:lineRule="auto"/>
        <w:jc w:val="center"/>
        <w:rPr>
          <w:rFonts w:ascii="宋体" w:hAnsi="宋体" w:cs="宋体"/>
          <w:sz w:val="24"/>
        </w:rPr>
      </w:pPr>
      <w:r>
        <w:rPr>
          <w:rFonts w:hint="eastAsia" w:ascii="宋体" w:hAnsi="宋体"/>
          <w:sz w:val="32"/>
          <w:szCs w:val="32"/>
        </w:rPr>
        <w:t>二〇二四年</w:t>
      </w:r>
      <w:r>
        <w:rPr>
          <w:rFonts w:hint="eastAsia" w:ascii="宋体" w:hAnsi="宋体"/>
          <w:sz w:val="32"/>
          <w:szCs w:val="32"/>
          <w:lang w:val="en-US" w:eastAsia="zh-CN"/>
        </w:rPr>
        <w:t>五</w:t>
      </w:r>
      <w:r>
        <w:rPr>
          <w:rFonts w:hint="eastAsia" w:ascii="宋体" w:hAnsi="宋体"/>
          <w:sz w:val="32"/>
          <w:szCs w:val="32"/>
        </w:rPr>
        <w:t>月</w:t>
      </w:r>
      <w:r>
        <w:rPr>
          <w:rFonts w:hint="eastAsia" w:ascii="宋体" w:hAnsi="宋体" w:cs="宋体"/>
          <w:sz w:val="24"/>
        </w:rPr>
        <w:br w:type="page"/>
      </w:r>
      <w:bookmarkStart w:id="0" w:name="_Hlt67893495"/>
      <w:bookmarkEnd w:id="0"/>
    </w:p>
    <w:p>
      <w:pPr>
        <w:pStyle w:val="21"/>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240" w:firstLineChars="100"/>
        <w:rPr>
          <w:rFonts w:ascii="宋体" w:hAnsi="宋体" w:cs="宋体"/>
          <w:sz w:val="24"/>
          <w:u w:val="single"/>
        </w:rPr>
      </w:pPr>
      <w:r>
        <w:rPr>
          <w:rFonts w:hint="eastAsia" w:ascii="宋体" w:hAnsi="宋体" w:cs="宋体"/>
          <w:sz w:val="24"/>
          <w:u w:val="single"/>
          <w:lang w:eastAsia="zh-CN"/>
        </w:rPr>
        <w:t>临安区城市内涝智慧化治理服务项目（重新招标）</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20"/>
          <w:rFonts w:hint="eastAsia" w:ascii="宋体" w:hAnsi="宋体" w:eastAsia="宋体" w:cs="宋体"/>
          <w:snapToGrid/>
          <w:kern w:val="2"/>
          <w:sz w:val="24"/>
          <w:szCs w:val="24"/>
        </w:rPr>
        <w:t>https://www.zcygov.cn/）获取（下载）招标文件，并于</w:t>
      </w:r>
      <w:r>
        <w:rPr>
          <w:rFonts w:hint="eastAsia" w:ascii="宋体" w:hAnsi="宋体" w:cs="宋体"/>
          <w:sz w:val="24"/>
          <w:lang w:eastAsia="zh-CN"/>
        </w:rPr>
        <w:t>2024年</w:t>
      </w:r>
      <w:r>
        <w:rPr>
          <w:rFonts w:hint="eastAsia" w:ascii="宋体" w:hAnsi="宋体" w:cs="宋体"/>
          <w:sz w:val="24"/>
          <w:lang w:val="en-US" w:eastAsia="zh-CN"/>
        </w:rPr>
        <w:t>6</w:t>
      </w:r>
      <w:r>
        <w:rPr>
          <w:rFonts w:hint="eastAsia" w:ascii="宋体" w:hAnsi="宋体" w:cs="宋体"/>
          <w:sz w:val="24"/>
          <w:lang w:eastAsia="zh-CN"/>
        </w:rPr>
        <w:t>月2</w:t>
      </w:r>
      <w:r>
        <w:rPr>
          <w:rFonts w:hint="eastAsia" w:ascii="宋体" w:hAnsi="宋体" w:cs="宋体"/>
          <w:sz w:val="24"/>
          <w:lang w:val="en-US" w:eastAsia="zh-CN"/>
        </w:rPr>
        <w:t>0</w:t>
      </w:r>
      <w:r>
        <w:rPr>
          <w:rFonts w:hint="eastAsia" w:ascii="宋体" w:hAnsi="宋体" w:cs="宋体"/>
          <w:sz w:val="24"/>
          <w:lang w:eastAsia="zh-CN"/>
        </w:rPr>
        <w:t>日</w:t>
      </w:r>
      <w:r>
        <w:rPr>
          <w:rFonts w:hint="eastAsia" w:ascii="宋体" w:hAnsi="宋体" w:cs="宋体"/>
          <w:sz w:val="24"/>
        </w:rPr>
        <w:t>14点</w:t>
      </w:r>
      <w:r>
        <w:rPr>
          <w:rStyle w:val="20"/>
          <w:rFonts w:hint="eastAsia" w:ascii="宋体" w:hAnsi="宋体" w:cs="宋体"/>
          <w:snapToGrid/>
          <w:kern w:val="2"/>
          <w:sz w:val="24"/>
          <w:szCs w:val="24"/>
        </w:rPr>
        <w:t>00</w:t>
      </w:r>
      <w:r>
        <w:rPr>
          <w:rStyle w:val="20"/>
          <w:rFonts w:hint="eastAsia" w:ascii="宋体" w:hAnsi="宋体" w:eastAsia="宋体" w:cs="宋体"/>
          <w:snapToGrid/>
          <w:kern w:val="2"/>
          <w:sz w:val="24"/>
          <w:szCs w:val="24"/>
        </w:rPr>
        <w:t>分</w:t>
      </w:r>
      <w:r>
        <w:rPr>
          <w:rStyle w:val="20"/>
          <w:rFonts w:hint="eastAsia" w:ascii="宋体" w:hAnsi="宋体" w:eastAsia="宋体" w:cs="宋体"/>
          <w:bCs/>
          <w:snapToGrid/>
          <w:kern w:val="2"/>
          <w:sz w:val="24"/>
          <w:szCs w:val="24"/>
        </w:rPr>
        <w:t>00秒</w:t>
      </w:r>
      <w:r>
        <w:rPr>
          <w:rStyle w:val="20"/>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napToGrid w:val="0"/>
        <w:spacing w:line="360" w:lineRule="auto"/>
        <w:ind w:firstLine="482" w:firstLineChars="200"/>
        <w:rPr>
          <w:rFonts w:hint="eastAsia" w:ascii="宋体" w:hAnsi="宋体" w:eastAsia="宋体" w:cs="宋体"/>
          <w:sz w:val="30"/>
          <w:szCs w:val="30"/>
          <w:lang w:eastAsia="zh-CN"/>
        </w:rPr>
      </w:pPr>
      <w:r>
        <w:rPr>
          <w:rFonts w:hint="eastAsia" w:ascii="宋体" w:hAnsi="宋体" w:cs="宋体"/>
          <w:b/>
          <w:sz w:val="24"/>
        </w:rPr>
        <w:t>项目编号：</w:t>
      </w:r>
      <w:r>
        <w:rPr>
          <w:rFonts w:hint="eastAsia" w:ascii="宋体" w:hAnsi="宋体" w:cs="宋体"/>
          <w:sz w:val="30"/>
          <w:szCs w:val="30"/>
          <w:lang w:eastAsia="zh-CN"/>
        </w:rPr>
        <w:t>[2024]918号-2</w:t>
      </w:r>
    </w:p>
    <w:p>
      <w:pPr>
        <w:spacing w:line="360" w:lineRule="auto"/>
        <w:ind w:firstLine="480"/>
        <w:rPr>
          <w:rFonts w:hint="eastAsia" w:ascii="宋体" w:hAnsi="宋体" w:eastAsia="宋体" w:cs="宋体"/>
          <w:b/>
          <w:sz w:val="24"/>
          <w:lang w:eastAsia="zh-CN"/>
        </w:rPr>
      </w:pPr>
      <w:r>
        <w:rPr>
          <w:rFonts w:hint="eastAsia" w:ascii="宋体" w:hAnsi="宋体" w:cs="宋体"/>
          <w:b/>
          <w:sz w:val="24"/>
        </w:rPr>
        <w:t>项目名称：</w:t>
      </w:r>
      <w:r>
        <w:rPr>
          <w:rFonts w:hint="eastAsia" w:ascii="宋体" w:hAnsi="宋体" w:cs="宋体"/>
          <w:b/>
          <w:sz w:val="24"/>
          <w:lang w:eastAsia="zh-CN"/>
        </w:rPr>
        <w:t>临安区城市内涝智慧化治理服务项目（重新招标）</w:t>
      </w:r>
    </w:p>
    <w:p>
      <w:pPr>
        <w:spacing w:line="360" w:lineRule="auto"/>
        <w:ind w:firstLine="482" w:firstLineChars="200"/>
        <w:rPr>
          <w:rFonts w:ascii="宋体" w:hAnsi="宋体" w:cs="宋体"/>
          <w:b/>
          <w:sz w:val="24"/>
        </w:rPr>
      </w:pPr>
      <w:r>
        <w:rPr>
          <w:rFonts w:hint="eastAsia" w:ascii="宋体" w:hAnsi="宋体" w:cs="宋体"/>
          <w:b/>
          <w:sz w:val="24"/>
        </w:rPr>
        <w:t>预算金额（元）：</w:t>
      </w:r>
      <w:r>
        <w:rPr>
          <w:rFonts w:hint="eastAsia" w:ascii="仿宋_GB2312" w:hAnsi="仿宋" w:eastAsia="仿宋_GB2312"/>
          <w:b/>
          <w:bCs/>
          <w:sz w:val="24"/>
          <w:lang w:eastAsia="zh-CN"/>
        </w:rPr>
        <w:t>2150000</w:t>
      </w:r>
      <w:r>
        <w:rPr>
          <w:rFonts w:hint="eastAsia" w:ascii="宋体" w:hAnsi="宋体" w:cs="宋体"/>
          <w:b/>
          <w:sz w:val="24"/>
        </w:rPr>
        <w:t>。</w:t>
      </w:r>
    </w:p>
    <w:p>
      <w:pPr>
        <w:spacing w:line="360" w:lineRule="auto"/>
        <w:ind w:firstLine="482" w:firstLineChars="200"/>
        <w:rPr>
          <w:rFonts w:ascii="宋体" w:hAnsi="宋体" w:cs="宋体"/>
          <w:b/>
          <w:sz w:val="24"/>
        </w:rPr>
      </w:pPr>
      <w:r>
        <w:rPr>
          <w:rFonts w:hint="eastAsia" w:ascii="宋体" w:hAnsi="宋体" w:cs="宋体"/>
          <w:b/>
          <w:sz w:val="24"/>
        </w:rPr>
        <w:t>最高限价（元）：</w:t>
      </w:r>
      <w:r>
        <w:rPr>
          <w:rFonts w:hint="eastAsia" w:ascii="宋体" w:hAnsi="宋体" w:cs="宋体"/>
          <w:b/>
          <w:sz w:val="24"/>
          <w:lang w:eastAsia="zh-CN"/>
        </w:rPr>
        <w:t>2150000</w:t>
      </w:r>
      <w:r>
        <w:rPr>
          <w:rFonts w:hint="eastAsia" w:ascii="宋体" w:hAnsi="宋体" w:cs="宋体"/>
          <w:b/>
          <w:sz w:val="24"/>
        </w:rPr>
        <w:t>。</w:t>
      </w:r>
    </w:p>
    <w:p>
      <w:pPr>
        <w:spacing w:line="360" w:lineRule="auto"/>
        <w:ind w:firstLine="482" w:firstLineChars="200"/>
        <w:rPr>
          <w:rFonts w:ascii="宋体" w:hAnsi="宋体" w:cs="宋体"/>
          <w:snapToGrid w:val="0"/>
          <w:kern w:val="28"/>
          <w:sz w:val="24"/>
          <w:szCs w:val="20"/>
        </w:rPr>
      </w:pPr>
      <w:r>
        <w:rPr>
          <w:rFonts w:hint="eastAsia" w:ascii="宋体" w:hAnsi="宋体" w:eastAsia="宋体" w:cs="宋体"/>
          <w:b/>
          <w:sz w:val="24"/>
        </w:rPr>
        <w:t>采购需求：</w:t>
      </w:r>
      <w:r>
        <w:rPr>
          <w:rFonts w:hint="eastAsia" w:ascii="宋体" w:hAnsi="宋体" w:eastAsia="宋体" w:cs="宋体"/>
          <w:snapToGrid w:val="0"/>
          <w:kern w:val="28"/>
          <w:sz w:val="24"/>
          <w:szCs w:val="20"/>
        </w:rPr>
        <w:t>开展实施临安区城市内涝智慧化治理项目：完成临安区20个排水分区内涝建模工作，主</w:t>
      </w:r>
      <w:r>
        <w:rPr>
          <w:rFonts w:hint="eastAsia" w:ascii="宋体" w:hAnsi="宋体" w:cs="宋体"/>
          <w:snapToGrid w:val="0"/>
          <w:kern w:val="28"/>
          <w:sz w:val="24"/>
          <w:szCs w:val="20"/>
        </w:rPr>
        <w:t>要通过收集已有地面高程、雨水管网、河道分布、历史积水点等信息，进行数据清洗、属性赋值等再加工操作，并接入所有感知设备数据，利用形态学算法和水文水动力模型，计算地面积水量，并通过建立内涝预测预警平台，实现积水信息预测和预报，单个排水分区3小时预见期模拟计算完成时间不超出20分钟，构建平战结合、多跨协同的内涝监测预警智慧化管理体系；详见第三部分采购需求。</w:t>
      </w:r>
    </w:p>
    <w:p>
      <w:pPr>
        <w:spacing w:line="360" w:lineRule="auto"/>
        <w:ind w:firstLine="411" w:firstLineChars="195"/>
        <w:rPr>
          <w:rFonts w:ascii="宋体" w:hAnsi="宋体" w:cs="宋体"/>
          <w:b/>
          <w:bCs/>
          <w:snapToGrid w:val="0"/>
          <w:kern w:val="28"/>
          <w:sz w:val="24"/>
          <w:szCs w:val="20"/>
        </w:rPr>
      </w:pPr>
      <w:r>
        <w:rPr>
          <w:rFonts w:hint="eastAsia" w:ascii="宋体" w:hAnsi="宋体" w:cs="宋体"/>
          <w:b/>
        </w:rPr>
        <w:t>合同履约期限：</w:t>
      </w:r>
      <w:r>
        <w:rPr>
          <w:rFonts w:hint="eastAsia" w:ascii="宋体" w:hAnsi="宋体" w:cs="宋体"/>
          <w:b/>
          <w:bCs/>
          <w:snapToGrid w:val="0"/>
          <w:kern w:val="28"/>
          <w:sz w:val="24"/>
          <w:szCs w:val="20"/>
        </w:rPr>
        <w:t>三年（</w:t>
      </w:r>
      <w:r>
        <w:rPr>
          <w:rFonts w:hint="eastAsia"/>
          <w:sz w:val="24"/>
        </w:rPr>
        <w:t>自合同签订之日起36个月）</w:t>
      </w:r>
      <w:r>
        <w:rPr>
          <w:rFonts w:hint="eastAsia" w:ascii="宋体" w:hAnsi="宋体" w:cs="宋体"/>
          <w:b/>
          <w:bCs/>
          <w:snapToGrid w:val="0"/>
          <w:kern w:val="28"/>
          <w:sz w:val="24"/>
          <w:szCs w:val="20"/>
        </w:rPr>
        <w:t>。</w:t>
      </w:r>
    </w:p>
    <w:p>
      <w:pPr>
        <w:pStyle w:val="4"/>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cs="宋体"/>
              <w:color w:val="auto"/>
              <w:kern w:val="0"/>
              <w:sz w:val="24"/>
            </w:rPr>
            <w:t>☐</w:t>
          </w:r>
        </w:sdtContent>
      </w:sdt>
      <w:r>
        <w:rPr>
          <w:rFonts w:hint="eastAsia" w:hAnsi="宋体" w:cs="宋体"/>
          <w:b/>
          <w:color w:val="auto"/>
          <w:sz w:val="24"/>
        </w:rPr>
        <w:t>是；</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napToGrid w:val="0"/>
          <w:kern w:val="28"/>
          <w:sz w:val="24"/>
          <w:szCs w:val="20"/>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snapToGrid w:val="0"/>
            <w:color w:val="0000FF"/>
            <w:kern w:val="28"/>
            <w:sz w:val="24"/>
            <w:szCs w:val="20"/>
          </w:rPr>
        </w:sdtEndPr>
        <w:sdtContent>
          <w:r>
            <w:rPr>
              <w:rFonts w:hint="eastAsia" w:ascii="宋体" w:hAnsi="宋体" w:cs="宋体"/>
              <w:snapToGrid w:val="0"/>
              <w:kern w:val="28"/>
              <w:sz w:val="24"/>
              <w:szCs w:val="20"/>
            </w:rPr>
            <w:t>☐</w:t>
          </w:r>
        </w:sdtContent>
      </w:sdt>
      <w:r>
        <w:rPr>
          <w:rFonts w:hint="eastAsia" w:ascii="宋体" w:hAnsi="宋体" w:cs="宋体"/>
          <w:snapToGrid w:val="0"/>
          <w:kern w:val="28"/>
          <w:sz w:val="24"/>
          <w:szCs w:val="20"/>
        </w:rPr>
        <w:t>无（注：不得限制大中型企业与小微企业组成联合体参与投标）；</w:t>
      </w:r>
    </w:p>
    <w:p>
      <w:pPr>
        <w:spacing w:line="360" w:lineRule="auto"/>
        <w:ind w:firstLine="480" w:firstLineChars="200"/>
        <w:rPr>
          <w:rFonts w:ascii="宋体" w:hAnsi="宋体" w:cs="宋体"/>
          <w:snapToGrid w:val="0"/>
          <w:kern w:val="28"/>
          <w:sz w:val="24"/>
          <w:szCs w:val="20"/>
        </w:rPr>
      </w:pPr>
      <w:sdt>
        <w:sdtPr>
          <w:rPr>
            <w:rFonts w:hint="eastAsia" w:ascii="宋体" w:hAnsi="宋体" w:cs="宋体"/>
            <w:snapToGrid w:val="0"/>
            <w:kern w:val="28"/>
            <w:sz w:val="24"/>
            <w:szCs w:val="20"/>
          </w:rPr>
          <w:id w:val="-1"/>
          <w14:checkbox>
            <w14:checked w14:val="0"/>
            <w14:checkedState w14:val="00FE" w14:font="Wingdings"/>
            <w14:uncheckedState w14:val="2610" w14:font="MS Gothic"/>
          </w14:checkbox>
        </w:sdtPr>
        <w:sdtEndPr>
          <w:rPr>
            <w:rFonts w:hint="eastAsia" w:ascii="宋体" w:hAnsi="宋体" w:cs="宋体"/>
            <w:snapToGrid w:val="0"/>
            <w:kern w:val="28"/>
            <w:sz w:val="24"/>
            <w:szCs w:val="20"/>
          </w:rPr>
        </w:sdtEndPr>
        <w:sdtContent>
          <w:r>
            <w:rPr>
              <w:rFonts w:hint="eastAsia" w:ascii="MS Gothic" w:hAnsi="MS Gothic" w:cs="宋体"/>
              <w:snapToGrid w:val="0"/>
              <w:kern w:val="28"/>
              <w:sz w:val="24"/>
              <w:szCs w:val="20"/>
            </w:rPr>
            <w:t>☐</w:t>
          </w:r>
        </w:sdtContent>
      </w:sdt>
      <w:r>
        <w:rPr>
          <w:rFonts w:hint="eastAsia" w:ascii="宋体" w:hAnsi="宋体" w:cs="宋体"/>
          <w:snapToGrid w:val="0"/>
          <w:kern w:val="28"/>
          <w:sz w:val="24"/>
          <w:szCs w:val="20"/>
        </w:rPr>
        <w:t>专门面向中小企业</w:t>
      </w:r>
    </w:p>
    <w:p>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sdt>
        <w:sdtPr>
          <w:rPr>
            <w:rFonts w:hint="eastAsia" w:ascii="宋体" w:hAnsi="宋体" w:cs="宋体"/>
            <w:snapToGrid w:val="0"/>
            <w:color w:val="000000" w:themeColor="text1"/>
            <w:kern w:val="28"/>
            <w:sz w:val="24"/>
            <w:szCs w:val="20"/>
            <w:highlight w:val="none"/>
            <w14:textFill>
              <w14:solidFill>
                <w14:schemeClr w14:val="tx1"/>
              </w14:solidFill>
            </w14:textFill>
          </w:rPr>
          <w:id w:val="-1"/>
          <w14:checkbox>
            <w14:checked w14:val="1"/>
            <w14:checkedState w14:val="00FE" w14:font="Wingdings"/>
            <w14:uncheckedState w14:val="2610" w14:font="MS Gothic"/>
          </w14:checkbox>
        </w:sdtPr>
        <w:sdtEndPr>
          <w:rPr>
            <w:rFonts w:hint="eastAsia" w:ascii="宋体" w:hAnsi="宋体" w:cs="宋体"/>
            <w:snapToGrid w:val="0"/>
            <w:color w:val="000000" w:themeColor="text1"/>
            <w:kern w:val="28"/>
            <w:sz w:val="24"/>
            <w:szCs w:val="20"/>
            <w:highlight w:val="none"/>
            <w14:textFill>
              <w14:solidFill>
                <w14:schemeClr w14:val="tx1"/>
              </w14:solidFill>
            </w14:textFill>
          </w:rPr>
        </w:sdtEndPr>
        <w:sdtContent>
          <w:r>
            <w:rPr>
              <w:rFonts w:ascii="Wingdings" w:hAnsi="Wingdings" w:eastAsia="宋体" w:cs="宋体"/>
              <w:snapToGrid w:val="0"/>
              <w:color w:val="000000" w:themeColor="text1"/>
              <w:kern w:val="28"/>
              <w:sz w:val="24"/>
              <w:szCs w:val="20"/>
              <w:highlight w:val="none"/>
              <w:lang w:val="en-US" w:eastAsia="zh-CN" w:bidi="ar-SA"/>
              <w14:textFill>
                <w14:solidFill>
                  <w14:schemeClr w14:val="tx1"/>
                </w14:solidFill>
              </w14:textFill>
            </w:rPr>
            <w:t>þ</w:t>
          </w:r>
        </w:sdtContent>
      </w:sdt>
      <w:r>
        <w:rPr>
          <w:rFonts w:hint="eastAsia" w:ascii="宋体" w:hAnsi="宋体" w:cs="宋体"/>
          <w:snapToGrid w:val="0"/>
          <w:color w:val="000000" w:themeColor="text1"/>
          <w:kern w:val="28"/>
          <w:sz w:val="24"/>
          <w:szCs w:val="20"/>
          <w:highlight w:val="none"/>
          <w14:textFill>
            <w14:solidFill>
              <w14:schemeClr w14:val="tx1"/>
            </w14:solidFill>
          </w14:textFill>
        </w:rPr>
        <w:t>服务全部由符合政策要求的中小企业承接，提供中小企业声明函；</w:t>
      </w:r>
    </w:p>
    <w:p>
      <w:pPr>
        <w:spacing w:line="360" w:lineRule="auto"/>
        <w:ind w:firstLine="480" w:firstLineChars="200"/>
        <w:rPr>
          <w:rFonts w:ascii="宋体" w:hAnsi="宋体" w:cs="宋体"/>
          <w:snapToGrid w:val="0"/>
          <w:kern w:val="28"/>
          <w:sz w:val="24"/>
          <w:szCs w:val="20"/>
        </w:rPr>
      </w:pPr>
      <w:sdt>
        <w:sdtPr>
          <w:rPr>
            <w:rFonts w:hint="eastAsia" w:ascii="宋体" w:hAnsi="宋体" w:cs="宋体"/>
            <w:snapToGrid w:val="0"/>
            <w:kern w:val="28"/>
            <w:sz w:val="24"/>
            <w:szCs w:val="20"/>
          </w:rPr>
          <w:id w:val="-1"/>
          <w14:checkbox>
            <w14:checked w14:val="0"/>
            <w14:checkedState w14:val="00FE" w14:font="Wingdings"/>
            <w14:uncheckedState w14:val="2610" w14:font="MS Gothic"/>
          </w14:checkbox>
        </w:sdtPr>
        <w:sdtEndPr>
          <w:rPr>
            <w:rFonts w:hint="eastAsia" w:ascii="宋体" w:hAnsi="宋体" w:cs="宋体"/>
            <w:snapToGrid w:val="0"/>
            <w:kern w:val="28"/>
            <w:sz w:val="24"/>
            <w:szCs w:val="20"/>
          </w:rPr>
        </w:sdtEndPr>
        <w:sdtContent>
          <w:r>
            <w:rPr>
              <w:rFonts w:hint="eastAsia" w:ascii="宋体" w:hAnsi="宋体" w:cs="宋体"/>
              <w:snapToGrid w:val="0"/>
              <w:kern w:val="28"/>
              <w:sz w:val="24"/>
              <w:szCs w:val="20"/>
            </w:rPr>
            <w:t>☐</w:t>
          </w:r>
        </w:sdtContent>
      </w:sdt>
      <w:r>
        <w:rPr>
          <w:rFonts w:hint="eastAsia" w:ascii="宋体" w:hAnsi="宋体" w:cs="宋体"/>
          <w:snapToGrid w:val="0"/>
          <w:kern w:val="28"/>
          <w:sz w:val="24"/>
          <w:szCs w:val="20"/>
        </w:rPr>
        <w:t>服务全部由符合政策要求的小微企业承接，提供中小企业声明函；</w:t>
      </w:r>
    </w:p>
    <w:p>
      <w:pPr>
        <w:spacing w:line="360" w:lineRule="auto"/>
        <w:ind w:firstLine="480" w:firstLineChars="200"/>
        <w:rPr>
          <w:rFonts w:ascii="宋体" w:hAnsi="宋体" w:cs="宋体"/>
          <w:snapToGrid w:val="0"/>
          <w:kern w:val="28"/>
          <w:sz w:val="24"/>
          <w:szCs w:val="20"/>
        </w:rPr>
      </w:pPr>
      <w:sdt>
        <w:sdtPr>
          <w:rPr>
            <w:rFonts w:hint="eastAsia" w:ascii="宋体" w:hAnsi="宋体" w:cs="宋体"/>
            <w:snapToGrid w:val="0"/>
            <w:kern w:val="28"/>
            <w:sz w:val="24"/>
            <w:szCs w:val="20"/>
          </w:rPr>
          <w:id w:val="-1"/>
          <w14:checkbox>
            <w14:checked w14:val="0"/>
            <w14:checkedState w14:val="00FE" w14:font="Wingdings"/>
            <w14:uncheckedState w14:val="2610" w14:font="MS Gothic"/>
          </w14:checkbox>
        </w:sdtPr>
        <w:sdtEndPr>
          <w:rPr>
            <w:rFonts w:hint="eastAsia" w:ascii="宋体" w:hAnsi="宋体" w:cs="宋体"/>
            <w:snapToGrid w:val="0"/>
            <w:kern w:val="28"/>
            <w:sz w:val="24"/>
            <w:szCs w:val="20"/>
          </w:rPr>
        </w:sdtEndPr>
        <w:sdtContent>
          <w:r>
            <w:rPr>
              <w:rFonts w:hint="eastAsia" w:ascii="宋体" w:hAnsi="宋体" w:cs="宋体"/>
              <w:snapToGrid w:val="0"/>
              <w:kern w:val="28"/>
              <w:sz w:val="24"/>
              <w:szCs w:val="20"/>
            </w:rPr>
            <w:t>☐</w:t>
          </w:r>
        </w:sdtContent>
      </w:sdt>
      <w:r>
        <w:rPr>
          <w:rFonts w:hint="eastAsia" w:ascii="宋体" w:hAnsi="宋体" w:cs="宋体"/>
          <w:snapToGrid w:val="0"/>
          <w:kern w:val="28"/>
          <w:sz w:val="24"/>
          <w:szCs w:val="20"/>
        </w:rPr>
        <w:t>要求以联合体形式参加，提供联合协议和中小企业声明函，联合协议中中小企业合同金额应当达到  %，其中小微企业合同金额应当达到 %;如果供应商本身提供所有标的均由中小企业制造、承建或承接，并相应达到了前述比例要求，视同符合了资格条件，无需再与其他中小企业组成联合体参加政府采购活动，无需提供联合协议；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宋体" w:hAnsi="宋体" w:cs="宋体"/>
          <w:snapToGrid w:val="0"/>
          <w:kern w:val="28"/>
          <w:sz w:val="24"/>
          <w:szCs w:val="20"/>
        </w:rPr>
      </w:pPr>
      <w:sdt>
        <w:sdtPr>
          <w:rPr>
            <w:rFonts w:hint="eastAsia" w:ascii="宋体" w:hAnsi="宋体" w:cs="宋体"/>
            <w:color w:val="0000FF"/>
            <w:kern w:val="0"/>
            <w:sz w:val="24"/>
          </w:rPr>
          <w:id w:val="34630645"/>
          <w14:checkbox>
            <w14:checked w14:val="0"/>
            <w14:checkedState w14:val="00FE" w14:font="Wingdings"/>
            <w14:uncheckedState w14:val="2610" w14:font="MS Gothic"/>
          </w14:checkbox>
        </w:sdtPr>
        <w:sdtEndPr>
          <w:rPr>
            <w:rFonts w:hint="eastAsia" w:ascii="宋体" w:hAnsi="宋体" w:cs="宋体"/>
            <w:snapToGrid w:val="0"/>
            <w:color w:val="0000FF"/>
            <w:kern w:val="28"/>
            <w:sz w:val="24"/>
            <w:szCs w:val="20"/>
          </w:rPr>
        </w:sdtEndPr>
        <w:sdtContent>
          <w:r>
            <w:rPr>
              <w:rFonts w:hint="eastAsia" w:ascii="MS Gothic" w:hAnsi="MS Gothic" w:cs="宋体"/>
              <w:snapToGrid w:val="0"/>
              <w:kern w:val="28"/>
              <w:sz w:val="24"/>
              <w:szCs w:val="20"/>
            </w:rPr>
            <w:t>☐</w:t>
          </w:r>
        </w:sdtContent>
      </w:sdt>
      <w:r>
        <w:rPr>
          <w:rFonts w:hint="eastAsia" w:ascii="宋体" w:hAnsi="宋体" w:cs="宋体"/>
          <w:snapToGrid w:val="0"/>
          <w:kern w:val="28"/>
          <w:sz w:val="24"/>
          <w:szCs w:val="20"/>
        </w:rPr>
        <w:t>要求合同分包，提供分包意向协议和中小企业声明函，分包意向协议中中小企业合同金额应当达到达到30% ，其中小微企业合同金额应当达到6% ;如果供应商本身提供所有标的均由中小企业制造、承建或承接，并相应达到了前述比例要求，视同符合了资格条件，无需再向中小企业分包，无需提供分包意向协议；</w:t>
      </w:r>
    </w:p>
    <w:p>
      <w:pPr>
        <w:snapToGrid w:val="0"/>
        <w:spacing w:line="360" w:lineRule="auto"/>
        <w:ind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lang w:val="en-US" w:eastAsia="zh-CN"/>
        </w:rPr>
        <w:t>采购公告发布之日起</w:t>
      </w:r>
      <w:r>
        <w:rPr>
          <w:rFonts w:hint="eastAsia" w:ascii="宋体" w:hAnsi="宋体" w:cs="宋体"/>
          <w:sz w:val="24"/>
        </w:rPr>
        <w:t>至2024年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20</w:t>
      </w:r>
      <w:r>
        <w:rPr>
          <w:rFonts w:hint="eastAsia" w:ascii="宋体" w:hAnsi="宋体" w:cs="宋体"/>
          <w:sz w:val="24"/>
        </w:rPr>
        <w:t>日，每天上午00:00至12:00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提交投标文件截止时间：</w:t>
      </w:r>
      <w:r>
        <w:rPr>
          <w:rFonts w:hint="eastAsia" w:ascii="宋体" w:hAnsi="宋体" w:cs="宋体"/>
          <w:sz w:val="24"/>
          <w:lang w:eastAsia="zh-CN"/>
        </w:rPr>
        <w:t>2024年6月20日14点00分 （北京时间）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highlight w:val="red"/>
          <w:u w:val="single"/>
        </w:rPr>
      </w:pPr>
      <w:r>
        <w:rPr>
          <w:rFonts w:hint="eastAsia" w:ascii="宋体" w:hAnsi="宋体" w:cs="宋体"/>
          <w:b/>
          <w:sz w:val="24"/>
        </w:rPr>
        <w:t>开标时间：</w:t>
      </w:r>
      <w:r>
        <w:rPr>
          <w:rFonts w:hint="eastAsia" w:ascii="宋体" w:hAnsi="宋体" w:cs="宋体"/>
          <w:sz w:val="24"/>
        </w:rPr>
        <w:t>2024年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20</w:t>
      </w:r>
      <w:r>
        <w:rPr>
          <w:rFonts w:hint="eastAsia" w:ascii="宋体" w:hAnsi="宋体" w:cs="宋体"/>
          <w:sz w:val="24"/>
        </w:rPr>
        <w:t>日14点00分  （北京时间）</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5</w:t>
      </w:r>
      <w:r>
        <w:rPr>
          <w:rFonts w:hint="eastAsia" w:ascii="宋体" w:hAnsi="宋体" w:cs="宋体"/>
          <w:sz w:val="24"/>
        </w:rPr>
        <w:t>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名    称：杭州市临安区综合行政执法局</w:t>
      </w:r>
    </w:p>
    <w:p>
      <w:pPr>
        <w:spacing w:line="360" w:lineRule="auto"/>
        <w:rPr>
          <w:rFonts w:ascii="宋体" w:hAnsi="宋体" w:cs="宋体"/>
          <w:sz w:val="24"/>
        </w:rPr>
      </w:pPr>
      <w:r>
        <w:rPr>
          <w:rFonts w:hint="eastAsia" w:ascii="宋体" w:hAnsi="宋体" w:cs="宋体"/>
          <w:sz w:val="24"/>
        </w:rPr>
        <w:t xml:space="preserve">    地    址：临安区畔湖路30号      </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ascii="宋体" w:hAnsi="宋体" w:cs="宋体"/>
          <w:sz w:val="24"/>
        </w:rPr>
      </w:pPr>
      <w:r>
        <w:rPr>
          <w:rFonts w:hint="eastAsia" w:ascii="宋体" w:hAnsi="宋体" w:cs="宋体"/>
          <w:sz w:val="24"/>
        </w:rPr>
        <w:t>项目联系人（询问）：袁杰</w:t>
      </w:r>
    </w:p>
    <w:p>
      <w:pPr>
        <w:spacing w:line="360" w:lineRule="auto"/>
        <w:rPr>
          <w:rFonts w:ascii="宋体" w:hAnsi="宋体" w:cs="宋体"/>
          <w:sz w:val="24"/>
        </w:rPr>
      </w:pPr>
      <w:r>
        <w:rPr>
          <w:rFonts w:hint="eastAsia" w:ascii="宋体" w:hAnsi="宋体" w:cs="宋体"/>
          <w:sz w:val="24"/>
        </w:rPr>
        <w:t xml:space="preserve">    项目联系方式（询问）：0571-61090801</w:t>
      </w:r>
    </w:p>
    <w:p>
      <w:pPr>
        <w:spacing w:line="360" w:lineRule="auto"/>
        <w:rPr>
          <w:rFonts w:ascii="宋体" w:hAnsi="宋体" w:cs="宋体"/>
          <w:sz w:val="24"/>
        </w:rPr>
      </w:pPr>
      <w:r>
        <w:rPr>
          <w:rFonts w:hint="eastAsia" w:ascii="宋体" w:hAnsi="宋体" w:cs="宋体"/>
          <w:sz w:val="24"/>
        </w:rPr>
        <w:t xml:space="preserve">    质疑联系人：孙琪</w:t>
      </w:r>
    </w:p>
    <w:p>
      <w:pPr>
        <w:spacing w:line="360" w:lineRule="auto"/>
        <w:rPr>
          <w:rFonts w:ascii="仿宋_GB2312" w:hAnsi="仿宋" w:eastAsia="仿宋_GB2312"/>
          <w:sz w:val="24"/>
        </w:rPr>
      </w:pPr>
      <w:r>
        <w:rPr>
          <w:rFonts w:hint="eastAsia" w:ascii="宋体" w:hAnsi="宋体" w:cs="宋体"/>
          <w:sz w:val="24"/>
        </w:rPr>
        <w:t xml:space="preserve">    质疑联系方式：0571-61103359</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称：浙江豪圣建设项目管理有限公司</w:t>
      </w:r>
    </w:p>
    <w:p>
      <w:pPr>
        <w:spacing w:line="360" w:lineRule="auto"/>
        <w:ind w:firstLine="480"/>
        <w:rPr>
          <w:rFonts w:ascii="宋体" w:hAnsi="宋体" w:cs="宋体"/>
          <w:sz w:val="24"/>
        </w:rPr>
      </w:pPr>
      <w:r>
        <w:rPr>
          <w:rFonts w:hint="eastAsia" w:ascii="宋体" w:hAnsi="宋体" w:cs="宋体"/>
          <w:sz w:val="24"/>
        </w:rPr>
        <w:t>地    址：杭州市临安区锦城街道新园街3号飞越数字5楼浙江豪圣</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项目联系人（询问）：盛乐</w:t>
      </w:r>
    </w:p>
    <w:p>
      <w:pPr>
        <w:spacing w:line="360" w:lineRule="auto"/>
        <w:rPr>
          <w:rFonts w:ascii="宋体" w:hAnsi="宋体" w:cs="宋体"/>
          <w:sz w:val="24"/>
        </w:rPr>
      </w:pPr>
      <w:r>
        <w:rPr>
          <w:rFonts w:hint="eastAsia" w:ascii="宋体" w:hAnsi="宋体" w:cs="宋体"/>
          <w:sz w:val="24"/>
        </w:rPr>
        <w:t xml:space="preserve">    项目联系方式（询问）： 0571-61081589</w:t>
      </w:r>
    </w:p>
    <w:p>
      <w:pPr>
        <w:spacing w:line="360" w:lineRule="auto"/>
        <w:rPr>
          <w:rFonts w:ascii="宋体" w:hAnsi="宋体" w:cs="宋体"/>
          <w:sz w:val="24"/>
        </w:rPr>
      </w:pPr>
      <w:r>
        <w:rPr>
          <w:rFonts w:hint="eastAsia" w:ascii="宋体" w:hAnsi="宋体" w:cs="宋体"/>
          <w:sz w:val="24"/>
        </w:rPr>
        <w:t xml:space="preserve">    质疑联系人：潘一庆</w:t>
      </w:r>
    </w:p>
    <w:p>
      <w:pPr>
        <w:spacing w:line="360" w:lineRule="auto"/>
        <w:ind w:firstLine="480"/>
        <w:rPr>
          <w:rFonts w:ascii="宋体" w:hAnsi="宋体" w:cs="宋体"/>
          <w:sz w:val="24"/>
        </w:rPr>
      </w:pPr>
      <w:r>
        <w:rPr>
          <w:rFonts w:hint="eastAsia" w:ascii="宋体" w:hAnsi="宋体" w:cs="宋体"/>
          <w:sz w:val="24"/>
        </w:rPr>
        <w:t xml:space="preserve">质疑联系方式：  0571-61081588    </w:t>
      </w:r>
    </w:p>
    <w:p>
      <w:pPr>
        <w:spacing w:line="360" w:lineRule="auto"/>
        <w:ind w:firstLine="480"/>
        <w:rPr>
          <w:rFonts w:ascii="宋体" w:hAnsi="宋体" w:cs="宋体"/>
          <w:sz w:val="24"/>
        </w:rPr>
      </w:pPr>
      <w:r>
        <w:rPr>
          <w:rFonts w:hint="eastAsia" w:ascii="宋体" w:hAnsi="宋体" w:cs="宋体"/>
          <w:sz w:val="24"/>
        </w:rPr>
        <w:t xml:space="preserve">3.同级政府采购监督管理部门            </w:t>
      </w:r>
    </w:p>
    <w:p>
      <w:pPr>
        <w:spacing w:line="360" w:lineRule="auto"/>
        <w:rPr>
          <w:rFonts w:ascii="宋体" w:hAnsi="宋体" w:cs="宋体"/>
          <w:sz w:val="24"/>
        </w:rPr>
      </w:pPr>
      <w:r>
        <w:rPr>
          <w:rFonts w:hint="eastAsia" w:ascii="宋体" w:hAnsi="宋体" w:cs="宋体"/>
          <w:sz w:val="24"/>
        </w:rPr>
        <w:t xml:space="preserve">    名    称：杭州市临安区财政局政府采购监督管理科    </w:t>
      </w:r>
    </w:p>
    <w:p>
      <w:pPr>
        <w:spacing w:line="360" w:lineRule="auto"/>
        <w:ind w:firstLine="480" w:firstLineChars="200"/>
        <w:rPr>
          <w:rFonts w:ascii="宋体" w:hAnsi="宋体" w:cs="宋体"/>
          <w:sz w:val="24"/>
        </w:rPr>
      </w:pPr>
      <w:r>
        <w:rPr>
          <w:rFonts w:hint="eastAsia" w:ascii="宋体" w:hAnsi="宋体" w:cs="宋体"/>
          <w:sz w:val="24"/>
        </w:rPr>
        <w:t xml:space="preserve">地    址：杭州市临安区锦城街道临天路1950号财政大楼411室 </w:t>
      </w:r>
    </w:p>
    <w:p>
      <w:pPr>
        <w:spacing w:line="360" w:lineRule="auto"/>
        <w:rPr>
          <w:rFonts w:ascii="宋体" w:hAnsi="宋体" w:cs="宋体"/>
          <w:sz w:val="24"/>
        </w:rPr>
      </w:pPr>
      <w:r>
        <w:rPr>
          <w:rFonts w:hint="eastAsia" w:ascii="宋体" w:hAnsi="宋体" w:cs="宋体"/>
          <w:sz w:val="24"/>
        </w:rPr>
        <w:t xml:space="preserve">    联系人 ：赵女士   </w:t>
      </w:r>
    </w:p>
    <w:p>
      <w:pPr>
        <w:spacing w:line="360" w:lineRule="auto"/>
        <w:ind w:firstLine="480"/>
        <w:rPr>
          <w:rFonts w:ascii="仿宋_GB2312" w:hAnsi="仿宋" w:eastAsia="仿宋_GB2312"/>
          <w:sz w:val="24"/>
        </w:rPr>
      </w:pPr>
      <w:r>
        <w:rPr>
          <w:rFonts w:hint="eastAsia" w:ascii="宋体" w:hAnsi="宋体" w:cs="宋体"/>
          <w:sz w:val="24"/>
        </w:rPr>
        <w:t xml:space="preserve">监督投诉电话：0571-89541692、89541691、89541697   </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1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rPr>
            </w:pPr>
            <w:r>
              <w:rPr>
                <w:rFonts w:hint="eastAsia" w:ascii="宋体" w:hAnsi="宋体" w:cs="宋体"/>
                <w:kern w:val="0"/>
                <w:sz w:val="24"/>
              </w:rPr>
              <w:t>（1）标的：</w:t>
            </w:r>
            <w:r>
              <w:rPr>
                <w:rFonts w:hint="eastAsia" w:ascii="宋体" w:hAnsi="宋体" w:cs="宋体"/>
                <w:sz w:val="24"/>
                <w:u w:val="single"/>
                <w:lang w:eastAsia="zh-CN"/>
              </w:rPr>
              <w:t>临安区城市内涝智慧化治理服务项目（重新招标）</w:t>
            </w:r>
            <w:r>
              <w:rPr>
                <w:rFonts w:hint="eastAsia" w:ascii="宋体" w:hAnsi="宋体" w:cs="宋体"/>
                <w:sz w:val="24"/>
                <w:u w:val="single"/>
              </w:rPr>
              <w:t xml:space="preserve"> </w:t>
            </w:r>
            <w:r>
              <w:rPr>
                <w:rFonts w:hint="eastAsia" w:ascii="宋体" w:hAnsi="宋体" w:cs="宋体"/>
                <w:kern w:val="0"/>
                <w:sz w:val="24"/>
              </w:rPr>
              <w:t xml:space="preserve">，属于 </w:t>
            </w:r>
            <w:r>
              <w:rPr>
                <w:rFonts w:hint="eastAsia" w:ascii="宋体" w:hAnsi="宋体" w:cs="宋体"/>
                <w:sz w:val="24"/>
                <w:u w:val="single"/>
              </w:rPr>
              <w:t xml:space="preserve">租赁和商务服务业   </w:t>
            </w:r>
            <w:r>
              <w:rPr>
                <w:rFonts w:hint="eastAsia" w:ascii="宋体" w:hAnsi="宋体" w:cs="宋体"/>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rPr>
            </w:pPr>
            <w:sdt>
              <w:sdtPr>
                <w:rPr>
                  <w:rFonts w:hint="eastAsia" w:ascii="宋体" w:hAnsi="宋体" w:cs="宋体"/>
                  <w:kern w:val="0"/>
                  <w:sz w:val="24"/>
                </w:rPr>
                <w:id w:val="-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ascii="宋体" w:hAnsi="宋体" w:cs="宋体"/>
                <w:kern w:val="0"/>
                <w:sz w:val="24"/>
              </w:rPr>
            </w:pPr>
            <w:r>
              <w:rPr>
                <w:rFonts w:hint="eastAsia" w:ascii="宋体" w:hAnsi="宋体" w:cs="宋体"/>
                <w:b/>
                <w:bCs/>
                <w:kern w:val="0"/>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2231063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szCs w:val="20"/>
              </w:rPr>
            </w:pPr>
            <w:sdt>
              <w:sdtPr>
                <w:rPr>
                  <w:rFonts w:hint="eastAsia" w:ascii="宋体" w:hAnsi="宋体" w:cs="宋体"/>
                  <w:kern w:val="0"/>
                  <w:sz w:val="24"/>
                </w:rPr>
                <w:id w:val="-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sz w:val="24"/>
              </w:rPr>
            </w:pPr>
            <w:sdt>
              <w:sdtPr>
                <w:rPr>
                  <w:rFonts w:hint="eastAsia" w:ascii="宋体" w:hAnsi="宋体" w:cs="宋体"/>
                  <w:kern w:val="0"/>
                  <w:sz w:val="24"/>
                </w:rPr>
                <w:id w:val="-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FF0000"/>
                <w:sz w:val="24"/>
                <w:highlight w:val="yellow"/>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szCs w:val="24"/>
              </w:rPr>
            </w:pPr>
            <w:sdt>
              <w:sdtPr>
                <w:rPr>
                  <w:rFonts w:hint="eastAsia"/>
                </w:rPr>
                <w:id w:val="-1859348549"/>
                <w14:checkbox>
                  <w14:checked w14:val="0"/>
                  <w14:checkedState w14:val="00FE" w14:font="Wingdings"/>
                  <w14:uncheckedState w14:val="2610" w14:font="MS Gothic"/>
                </w14:checkbox>
              </w:sdtPr>
              <w:sdtEndPr>
                <w:rPr>
                  <w:rFonts w:hint="eastAsia" w:ascii="仿宋" w:hAnsi="仿宋" w:eastAsia="仿宋" w:cs="仿宋"/>
                  <w:sz w:val="24"/>
                  <w:szCs w:val="24"/>
                </w:rPr>
              </w:sdtEndPr>
              <w:sdtContent>
                <w:r>
                  <w:rPr>
                    <w:rFonts w:hint="eastAsia" w:ascii="MS Gothic" w:hAnsi="MS Gothic" w:eastAsia="仿宋" w:cs="仿宋"/>
                    <w:kern w:val="2"/>
                    <w:sz w:val="24"/>
                    <w:szCs w:val="24"/>
                    <w:lang w:val="en-US" w:eastAsia="zh-CN" w:bidi="ar-SA"/>
                  </w:rPr>
                  <w:t>☐</w:t>
                </w:r>
              </w:sdtContent>
            </w:sdt>
            <w:r>
              <w:rPr>
                <w:rFonts w:hint="eastAsia" w:ascii="仿宋" w:hAnsi="仿宋" w:eastAsia="仿宋" w:cs="仿宋"/>
                <w:sz w:val="24"/>
                <w:szCs w:val="24"/>
              </w:rPr>
              <w:t>A不组织。</w:t>
            </w:r>
          </w:p>
          <w:p>
            <w:pPr>
              <w:spacing w:line="360" w:lineRule="auto"/>
              <w:rPr>
                <w:rFonts w:hint="eastAsia" w:ascii="仿宋" w:hAnsi="仿宋" w:eastAsia="仿宋" w:cs="仿宋"/>
                <w:sz w:val="24"/>
                <w:szCs w:val="24"/>
                <w:lang w:val="en-US" w:eastAsia="zh-CN"/>
              </w:rPr>
            </w:pPr>
            <w:sdt>
              <w:sdtPr>
                <w:rPr>
                  <w:rFonts w:hint="eastAsia" w:ascii="仿宋" w:hAnsi="仿宋" w:eastAsia="仿宋" w:cs="仿宋"/>
                  <w:sz w:val="24"/>
                  <w:szCs w:val="24"/>
                </w:rPr>
                <w:id w:val="1174071719"/>
                <w14:checkbox>
                  <w14:checked w14:val="1"/>
                  <w14:checkedState w14:val="00FE" w14:font="Wingdings"/>
                  <w14:uncheckedState w14:val="2610" w14:font="MS Gothic"/>
                </w14:checkbox>
              </w:sdtPr>
              <w:sdtEndPr>
                <w:rPr>
                  <w:rFonts w:hint="eastAsia" w:ascii="仿宋" w:hAnsi="仿宋" w:eastAsia="仿宋" w:cs="仿宋"/>
                  <w:sz w:val="24"/>
                  <w:szCs w:val="24"/>
                </w:rPr>
              </w:sdtEndPr>
              <w:sdtContent>
                <w:r>
                  <w:rPr>
                    <w:rFonts w:hint="eastAsia" w:ascii="Wingdings" w:hAnsi="Wingdings" w:eastAsia="仿宋" w:cs="仿宋"/>
                    <w:kern w:val="2"/>
                    <w:sz w:val="24"/>
                    <w:szCs w:val="24"/>
                    <w:lang w:val="en-US" w:eastAsia="zh-CN" w:bidi="ar-SA"/>
                  </w:rPr>
                  <w:t>þ</w:t>
                </w:r>
              </w:sdtContent>
            </w:sdt>
            <w:r>
              <w:rPr>
                <w:rFonts w:hint="eastAsia" w:ascii="仿宋" w:hAnsi="仿宋" w:eastAsia="仿宋" w:cs="仿宋"/>
                <w:sz w:val="24"/>
                <w:szCs w:val="24"/>
              </w:rPr>
              <w:t>B组织。</w:t>
            </w:r>
            <w:r>
              <w:rPr>
                <w:rFonts w:hint="eastAsia" w:ascii="仿宋" w:hAnsi="仿宋" w:eastAsia="仿宋" w:cs="仿宋"/>
                <w:sz w:val="24"/>
                <w:szCs w:val="24"/>
                <w:lang w:val="en-US" w:eastAsia="zh-CN"/>
              </w:rPr>
              <w:t xml:space="preserve"> </w:t>
            </w:r>
          </w:p>
          <w:p>
            <w:pPr>
              <w:snapToGrid w:val="0"/>
              <w:spacing w:line="360" w:lineRule="auto"/>
              <w:rPr>
                <w:rFonts w:hint="eastAsia" w:ascii="仿宋" w:hAnsi="仿宋" w:eastAsia="仿宋" w:cs="仿宋"/>
                <w:bCs/>
                <w:kern w:val="0"/>
                <w:sz w:val="24"/>
                <w:szCs w:val="24"/>
                <w:lang w:val="zh-CN"/>
              </w:rPr>
            </w:pPr>
            <w:r>
              <w:rPr>
                <w:rFonts w:hint="eastAsia" w:ascii="仿宋" w:hAnsi="仿宋" w:eastAsia="仿宋" w:cs="仿宋"/>
                <w:kern w:val="0"/>
                <w:sz w:val="24"/>
                <w:szCs w:val="24"/>
              </w:rPr>
              <w:t>在评标时安排每个投标人进行方案讲解演示。每个投标人时间不超过15分钟，讲解次序以投标文件解密时间先后次序为准，讲解演示人员不超过3人。讲解演示结束后按要求解答评标委员会提问</w:t>
            </w:r>
            <w:r>
              <w:rPr>
                <w:rFonts w:hint="eastAsia" w:ascii="仿宋" w:hAnsi="仿宋" w:eastAsia="仿宋" w:cs="仿宋"/>
                <w:bCs/>
                <w:kern w:val="0"/>
                <w:sz w:val="24"/>
                <w:szCs w:val="24"/>
                <w:lang w:val="zh-CN"/>
              </w:rPr>
              <w:t>。</w:t>
            </w:r>
          </w:p>
          <w:p>
            <w:pPr>
              <w:spacing w:line="360" w:lineRule="auto"/>
              <w:rPr>
                <w:rFonts w:ascii="宋体" w:hAnsi="宋体" w:cs="宋体"/>
                <w:b/>
                <w:color w:val="FF0000"/>
                <w:kern w:val="0"/>
                <w:sz w:val="24"/>
                <w:highlight w:val="yellow"/>
                <w:lang w:val="zh-CN"/>
              </w:rPr>
            </w:pPr>
            <w:r>
              <w:rPr>
                <w:rFonts w:hint="eastAsia" w:ascii="仿宋" w:hAnsi="仿宋" w:eastAsia="仿宋" w:cs="仿宋"/>
                <w:bCs/>
                <w:kern w:val="0"/>
                <w:sz w:val="24"/>
                <w:szCs w:val="24"/>
                <w:lang w:val="zh-CN"/>
              </w:rPr>
              <w:t>注：演示视频需密封送达，评标阶段拆封演示，因响应方自身原因导致无法演示或者演示效果不理想的，责任自负。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91"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7"/>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杭州市临安区锦城街道新园街3号飞越数字5楼浙江豪圣 </w:t>
            </w:r>
            <w:r>
              <w:rPr>
                <w:rFonts w:hint="eastAsia" w:hAnsi="宋体" w:cs="宋体"/>
                <w:kern w:val="28"/>
                <w:sz w:val="24"/>
                <w:szCs w:val="24"/>
              </w:rPr>
              <w:t>；备份投标文件签收人员联系电话：</w:t>
            </w:r>
            <w:r>
              <w:rPr>
                <w:rFonts w:hint="eastAsia" w:hAnsi="宋体" w:cs="宋体"/>
                <w:sz w:val="24"/>
                <w:u w:val="single"/>
              </w:rPr>
              <w:t xml:space="preserve"> 盛乐，0571-61081589</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lang w:val="en-US" w:eastAsia="zh-CN"/>
              </w:rPr>
              <w:t>中标单位支付，</w:t>
            </w:r>
            <w:bookmarkStart w:id="520" w:name="_GoBack"/>
            <w:bookmarkEnd w:id="520"/>
            <w:r>
              <w:rPr>
                <w:rFonts w:hint="eastAsia" w:ascii="宋体" w:hAnsi="宋体" w:cs="宋体"/>
                <w:snapToGrid w:val="0"/>
                <w:kern w:val="28"/>
                <w:sz w:val="24"/>
              </w:rPr>
              <w:t>代理服务费参照发改价格〔2011〕534号文件、国家发改委计价格〔2002〕1980号文件规定收费,单个采购项目代理服务费不足肆仟元可按肆仟元收取，代理服务收费按差额定率累进法计算。</w:t>
            </w:r>
          </w:p>
          <w:p>
            <w:pPr>
              <w:spacing w:line="360" w:lineRule="auto"/>
              <w:rPr>
                <w:rFonts w:ascii="宋体" w:hAnsi="宋体" w:cs="宋体"/>
                <w:snapToGrid w:val="0"/>
                <w:kern w:val="28"/>
                <w:sz w:val="24"/>
              </w:rPr>
            </w:pPr>
            <w:r>
              <w:rPr>
                <w:rFonts w:hint="eastAsia" w:ascii="宋体" w:hAnsi="宋体" w:cs="宋体"/>
                <w:snapToGrid w:val="0"/>
                <w:kern w:val="28"/>
                <w:sz w:val="24"/>
              </w:rPr>
              <w:drawing>
                <wp:inline distT="0" distB="0" distL="114300" distR="114300">
                  <wp:extent cx="3526790" cy="1605280"/>
                  <wp:effectExtent l="0" t="0" r="16510" b="13970"/>
                  <wp:docPr id="2" name="图片 2"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费标准"/>
                          <pic:cNvPicPr>
                            <a:picLocks noChangeAspect="1"/>
                          </pic:cNvPicPr>
                        </pic:nvPicPr>
                        <pic:blipFill>
                          <a:blip r:embed="rId26"/>
                          <a:stretch>
                            <a:fillRect/>
                          </a:stretch>
                        </pic:blipFill>
                        <pic:spPr>
                          <a:xfrm>
                            <a:off x="0" y="0"/>
                            <a:ext cx="3526790" cy="1605280"/>
                          </a:xfrm>
                          <a:prstGeom prst="rect">
                            <a:avLst/>
                          </a:prstGeom>
                          <a:noFill/>
                          <a:ln>
                            <a:noFill/>
                          </a:ln>
                        </pic:spPr>
                      </pic:pic>
                    </a:graphicData>
                  </a:graphic>
                </wp:inline>
              </w:drawing>
            </w:r>
          </w:p>
          <w:p>
            <w:pPr>
              <w:spacing w:line="360" w:lineRule="auto"/>
              <w:rPr>
                <w:rFonts w:ascii="宋体" w:hAnsi="宋体" w:cs="宋体"/>
                <w:snapToGrid w:val="0"/>
                <w:kern w:val="28"/>
                <w:sz w:val="24"/>
              </w:rPr>
            </w:pPr>
            <w:r>
              <w:rPr>
                <w:rFonts w:hint="eastAsia" w:ascii="宋体" w:hAnsi="宋体" w:cs="宋体"/>
                <w:snapToGrid w:val="0"/>
                <w:kern w:val="28"/>
                <w:sz w:val="24"/>
              </w:rPr>
              <w:t>收费对象：本项目代理服务费向中标供应商收取</w:t>
            </w:r>
          </w:p>
          <w:p>
            <w:pPr>
              <w:spacing w:line="360" w:lineRule="auto"/>
              <w:rPr>
                <w:rFonts w:ascii="宋体" w:hAnsi="宋体" w:cs="宋体"/>
                <w:snapToGrid w:val="0"/>
                <w:kern w:val="28"/>
                <w:sz w:val="24"/>
              </w:rPr>
            </w:pPr>
            <w:r>
              <w:rPr>
                <w:rFonts w:hint="eastAsia" w:ascii="宋体" w:hAnsi="宋体" w:cs="宋体"/>
                <w:snapToGrid w:val="0"/>
                <w:kern w:val="28"/>
                <w:sz w:val="24"/>
              </w:rPr>
              <w:t>缴纳时间：中标(成交)结果公示后5个工作日内一次性付清</w:t>
            </w:r>
          </w:p>
          <w:p>
            <w:pPr>
              <w:tabs>
                <w:tab w:val="left" w:pos="440"/>
              </w:tabs>
              <w:spacing w:line="312" w:lineRule="auto"/>
              <w:rPr>
                <w:rFonts w:ascii="宋体" w:hAnsi="宋体" w:cs="宋体"/>
                <w:snapToGrid w:val="0"/>
                <w:kern w:val="28"/>
                <w:sz w:val="24"/>
              </w:rPr>
            </w:pPr>
            <w:r>
              <w:rPr>
                <w:rFonts w:hint="eastAsia" w:ascii="宋体" w:hAnsi="宋体" w:cs="宋体"/>
                <w:snapToGrid w:val="0"/>
                <w:kern w:val="28"/>
                <w:sz w:val="24"/>
              </w:rPr>
              <w:t>缴纳形式：汇票/支票/电汇/现金</w:t>
            </w:r>
          </w:p>
          <w:p>
            <w:pPr>
              <w:tabs>
                <w:tab w:val="left" w:pos="440"/>
              </w:tabs>
              <w:spacing w:line="312" w:lineRule="auto"/>
              <w:rPr>
                <w:rFonts w:cs="宋体" w:asciiTheme="minorEastAsia" w:hAnsiTheme="minorEastAsia" w:eastAsiaTheme="minorEastAsia"/>
                <w:snapToGrid w:val="0"/>
                <w:kern w:val="28"/>
                <w:sz w:val="24"/>
                <w:szCs w:val="21"/>
              </w:rPr>
            </w:pPr>
            <w:r>
              <w:rPr>
                <w:rFonts w:hint="eastAsia" w:cs="宋体" w:asciiTheme="minorEastAsia" w:hAnsiTheme="minorEastAsia" w:eastAsiaTheme="minorEastAsia"/>
                <w:snapToGrid w:val="0"/>
                <w:kern w:val="28"/>
                <w:sz w:val="24"/>
                <w:szCs w:val="21"/>
              </w:rPr>
              <w:t>收款单位：浙江豪圣建设项目管理有限公司临安分公司</w:t>
            </w:r>
          </w:p>
          <w:p>
            <w:pPr>
              <w:tabs>
                <w:tab w:val="left" w:pos="440"/>
              </w:tabs>
              <w:spacing w:line="312" w:lineRule="auto"/>
              <w:rPr>
                <w:rFonts w:cs="宋体" w:asciiTheme="minorEastAsia" w:hAnsiTheme="minorEastAsia" w:eastAsiaTheme="minorEastAsia"/>
                <w:snapToGrid w:val="0"/>
                <w:kern w:val="28"/>
                <w:sz w:val="24"/>
                <w:szCs w:val="21"/>
              </w:rPr>
            </w:pPr>
            <w:r>
              <w:rPr>
                <w:rFonts w:hint="eastAsia" w:cs="宋体" w:asciiTheme="minorEastAsia" w:hAnsiTheme="minorEastAsia" w:eastAsiaTheme="minorEastAsia"/>
                <w:snapToGrid w:val="0"/>
                <w:kern w:val="28"/>
                <w:sz w:val="24"/>
                <w:szCs w:val="21"/>
              </w:rPr>
              <w:t>开户银行： 兴业银行杭州临安支行</w:t>
            </w:r>
          </w:p>
          <w:p>
            <w:pPr>
              <w:spacing w:line="360" w:lineRule="auto"/>
              <w:rPr>
                <w:rFonts w:cs="宋体" w:asciiTheme="minorEastAsia" w:hAnsiTheme="minorEastAsia" w:eastAsiaTheme="minorEastAsia"/>
                <w:snapToGrid w:val="0"/>
                <w:kern w:val="28"/>
                <w:sz w:val="24"/>
                <w:szCs w:val="21"/>
              </w:rPr>
            </w:pPr>
            <w:r>
              <w:rPr>
                <w:rFonts w:hint="eastAsia" w:cs="宋体" w:asciiTheme="minorEastAsia" w:hAnsiTheme="minorEastAsia" w:eastAsiaTheme="minorEastAsia"/>
                <w:snapToGrid w:val="0"/>
                <w:kern w:val="28"/>
                <w:sz w:val="24"/>
                <w:szCs w:val="21"/>
              </w:rPr>
              <w:t>银行账号：358530100100333403</w:t>
            </w:r>
          </w:p>
          <w:p>
            <w:pPr>
              <w:spacing w:line="360" w:lineRule="auto"/>
              <w:rPr>
                <w:rFonts w:cs="Arial" w:asciiTheme="minorEastAsia" w:hAnsiTheme="minorEastAsia" w:eastAsiaTheme="minorEastAsia"/>
                <w:kern w:val="0"/>
                <w:sz w:val="24"/>
              </w:rPr>
            </w:pPr>
            <w:r>
              <w:rPr>
                <w:rFonts w:hint="eastAsia" w:cs="宋体" w:asciiTheme="minorEastAsia" w:hAnsiTheme="minorEastAsia" w:eastAsiaTheme="minorEastAsia"/>
                <w:snapToGrid w:val="0"/>
                <w:kern w:val="28"/>
                <w:sz w:val="24"/>
                <w:szCs w:val="21"/>
              </w:rPr>
              <w:t>开户银行代码：309331008537</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7"/>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7"/>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4"/>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7"/>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7"/>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7"/>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7"/>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7"/>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7"/>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7"/>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7"/>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22"/>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22"/>
        <w:shd w:val="clear" w:color="auto" w:fill="FFFFFF"/>
        <w:snapToGrid w:val="0"/>
        <w:spacing w:after="240" w:afterAutospacing="0" w:line="360" w:lineRule="auto"/>
        <w:ind w:firstLine="400"/>
        <w:contextualSpacing/>
      </w:pPr>
      <w:r>
        <w:rPr>
          <w:rFonts w:hint="eastAsia"/>
        </w:rPr>
        <w:t>质疑函范本及制作说明详见附件2。</w:t>
      </w:r>
    </w:p>
    <w:p>
      <w:pPr>
        <w:pStyle w:val="22"/>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22"/>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22"/>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22"/>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22"/>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22"/>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22"/>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22"/>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22"/>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22"/>
        <w:shd w:val="clear" w:color="auto" w:fill="FFFFFF"/>
        <w:snapToGrid w:val="0"/>
        <w:spacing w:after="240" w:afterAutospacing="0" w:line="360" w:lineRule="auto"/>
        <w:ind w:firstLine="400"/>
        <w:contextualSpacing/>
      </w:pPr>
      <w:r>
        <w:rPr>
          <w:rFonts w:hint="eastAsia"/>
        </w:rPr>
        <w:t>投诉书范本及制作说明详见附件3。</w:t>
      </w:r>
    </w:p>
    <w:p>
      <w:pPr>
        <w:pStyle w:val="23"/>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7"/>
        <w:spacing w:line="360" w:lineRule="auto"/>
        <w:rPr>
          <w:rFonts w:hAnsi="宋体" w:cs="宋体"/>
          <w:b/>
          <w:sz w:val="24"/>
          <w:szCs w:val="24"/>
        </w:rPr>
      </w:pPr>
      <w:r>
        <w:rPr>
          <w:rFonts w:hint="eastAsia" w:hAnsi="宋体" w:cs="宋体"/>
          <w:b/>
          <w:sz w:val="24"/>
          <w:szCs w:val="24"/>
        </w:rPr>
        <w:t>5．招标文件的构成</w:t>
      </w:r>
    </w:p>
    <w:p>
      <w:pPr>
        <w:pStyle w:val="7"/>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7"/>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7"/>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7"/>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7"/>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7"/>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7"/>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7"/>
        <w:spacing w:line="360" w:lineRule="auto"/>
        <w:rPr>
          <w:rFonts w:hAnsi="宋体" w:cs="宋体"/>
          <w:b/>
          <w:sz w:val="24"/>
          <w:szCs w:val="24"/>
        </w:rPr>
      </w:pPr>
      <w:r>
        <w:rPr>
          <w:rFonts w:hint="eastAsia" w:hAnsi="宋体" w:cs="宋体"/>
          <w:b/>
          <w:sz w:val="24"/>
          <w:szCs w:val="24"/>
        </w:rPr>
        <w:t>6. 招标文件的澄清、修改</w:t>
      </w:r>
    </w:p>
    <w:p>
      <w:pPr>
        <w:pStyle w:val="2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23"/>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7"/>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7"/>
        <w:spacing w:line="360" w:lineRule="auto"/>
        <w:rPr>
          <w:rFonts w:hAnsi="宋体" w:cs="宋体"/>
          <w:b/>
          <w:sz w:val="24"/>
          <w:szCs w:val="24"/>
        </w:rPr>
      </w:pPr>
      <w:r>
        <w:rPr>
          <w:rFonts w:hint="eastAsia" w:hAnsi="宋体" w:cs="宋体"/>
          <w:b/>
          <w:sz w:val="24"/>
          <w:szCs w:val="24"/>
        </w:rPr>
        <w:t>8.开标前答疑会或现场考察</w:t>
      </w:r>
    </w:p>
    <w:p>
      <w:pPr>
        <w:pStyle w:val="7"/>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7"/>
        <w:spacing w:line="360" w:lineRule="auto"/>
        <w:rPr>
          <w:rFonts w:hAnsi="宋体" w:cs="宋体"/>
          <w:b/>
          <w:szCs w:val="24"/>
        </w:rPr>
      </w:pPr>
      <w:r>
        <w:rPr>
          <w:rFonts w:hint="eastAsia" w:hAnsi="宋体" w:cs="宋体"/>
          <w:b/>
          <w:kern w:val="28"/>
          <w:sz w:val="24"/>
          <w:szCs w:val="24"/>
        </w:rPr>
        <w:t>9.投标保证金</w:t>
      </w:r>
    </w:p>
    <w:p>
      <w:pPr>
        <w:pStyle w:val="4"/>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7"/>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7"/>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w:t>
      </w:r>
      <w:r>
        <w:rPr>
          <w:rFonts w:hint="eastAsia" w:ascii="宋体" w:hAnsi="宋体" w:cs="宋体"/>
          <w:sz w:val="24"/>
        </w:rPr>
        <w:t>协议（如果有)；</w:t>
      </w:r>
    </w:p>
    <w:p>
      <w:pPr>
        <w:snapToGrid w:val="0"/>
        <w:spacing w:line="360" w:lineRule="auto"/>
        <w:ind w:firstLine="960" w:firstLineChars="400"/>
        <w:rPr>
          <w:rFonts w:ascii="宋体" w:hAnsi="宋体" w:cs="宋体"/>
          <w:sz w:val="24"/>
        </w:rPr>
      </w:pPr>
      <w:r>
        <w:rPr>
          <w:rFonts w:hint="eastAsia" w:ascii="宋体" w:hAnsi="宋体" w:cs="宋体"/>
          <w:sz w:val="24"/>
        </w:rPr>
        <w:t>11.1.3落实政府采购政策需满足的资格要求（如果有)；</w:t>
      </w:r>
    </w:p>
    <w:p>
      <w:pPr>
        <w:snapToGrid w:val="0"/>
        <w:spacing w:line="360" w:lineRule="auto"/>
        <w:ind w:firstLine="960" w:firstLineChars="400"/>
        <w:rPr>
          <w:rFonts w:ascii="宋体" w:hAnsi="宋体" w:cs="宋体"/>
          <w:sz w:val="24"/>
        </w:rPr>
      </w:pPr>
      <w:r>
        <w:rPr>
          <w:rFonts w:hint="eastAsia" w:ascii="宋体" w:hAnsi="宋体" w:cs="宋体"/>
          <w:sz w:val="24"/>
        </w:rPr>
        <w:t>11.1.4本项目的特定资格要求；</w:t>
      </w:r>
    </w:p>
    <w:p>
      <w:pPr>
        <w:snapToGrid w:val="0"/>
        <w:spacing w:line="360" w:lineRule="auto"/>
        <w:ind w:firstLine="960" w:firstLineChars="400"/>
        <w:rPr>
          <w:rFonts w:ascii="宋体" w:hAnsi="宋体" w:cs="宋体"/>
          <w:sz w:val="24"/>
        </w:rPr>
      </w:pPr>
      <w:r>
        <w:rPr>
          <w:rFonts w:hint="eastAsia" w:ascii="宋体" w:hAnsi="宋体" w:cs="宋体"/>
          <w:sz w:val="24"/>
        </w:rPr>
        <w:t>11.1.5中小企业声明函。</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2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2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2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2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23"/>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2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23"/>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7"/>
        <w:spacing w:line="360" w:lineRule="auto"/>
        <w:rPr>
          <w:rFonts w:hAnsi="宋体" w:cs="宋体"/>
          <w:b/>
          <w:sz w:val="24"/>
          <w:szCs w:val="24"/>
        </w:rPr>
      </w:pPr>
      <w:r>
        <w:rPr>
          <w:rFonts w:hint="eastAsia" w:hAnsi="宋体" w:cs="宋体"/>
          <w:b/>
          <w:sz w:val="24"/>
          <w:szCs w:val="24"/>
        </w:rPr>
        <w:t>15.备份投标文件</w:t>
      </w:r>
    </w:p>
    <w:p>
      <w:pPr>
        <w:pStyle w:val="7"/>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7"/>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7"/>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7"/>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7"/>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23"/>
        <w:spacing w:before="0"/>
        <w:ind w:firstLine="0" w:firstLineChars="0"/>
        <w:rPr>
          <w:rFonts w:ascii="宋体" w:hAnsi="宋体" w:cs="宋体"/>
          <w:b/>
          <w:szCs w:val="24"/>
        </w:rPr>
      </w:pPr>
      <w:r>
        <w:rPr>
          <w:rFonts w:hint="eastAsia" w:ascii="宋体" w:hAnsi="宋体" w:cs="宋体"/>
          <w:b/>
          <w:szCs w:val="24"/>
        </w:rPr>
        <w:t>16.投标文件的无效处理</w:t>
      </w:r>
    </w:p>
    <w:p>
      <w:pPr>
        <w:pStyle w:val="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23"/>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23"/>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23"/>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23"/>
        <w:spacing w:before="0"/>
        <w:ind w:firstLine="643"/>
        <w:rPr>
          <w:rFonts w:ascii="宋体" w:hAnsi="宋体" w:cs="宋体"/>
          <w:b/>
          <w:sz w:val="32"/>
        </w:rPr>
      </w:pPr>
    </w:p>
    <w:p>
      <w:pPr>
        <w:pStyle w:val="23"/>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2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24"/>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2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2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23"/>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23"/>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23"/>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23"/>
        <w:spacing w:before="0"/>
        <w:ind w:firstLine="0" w:firstLineChars="0"/>
        <w:rPr>
          <w:rFonts w:ascii="宋体" w:hAnsi="宋体" w:cs="宋体"/>
          <w:b/>
          <w:szCs w:val="24"/>
        </w:rPr>
      </w:pPr>
      <w:r>
        <w:rPr>
          <w:rFonts w:hint="eastAsia" w:ascii="宋体" w:hAnsi="宋体" w:cs="宋体"/>
          <w:b/>
          <w:szCs w:val="24"/>
        </w:rPr>
        <w:t>20、信用信息查询</w:t>
      </w:r>
    </w:p>
    <w:p>
      <w:pPr>
        <w:pStyle w:val="2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2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2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2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23"/>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6"/>
        <w:spacing w:line="360" w:lineRule="auto"/>
        <w:ind w:left="479" w:hanging="479" w:hangingChars="199"/>
        <w:rPr>
          <w:rFonts w:cs="宋体"/>
          <w:b/>
        </w:rPr>
      </w:pPr>
      <w:r>
        <w:rPr>
          <w:rFonts w:hint="eastAsia" w:cs="宋体"/>
          <w:b/>
        </w:rPr>
        <w:t>22. 确定中标供应商</w:t>
      </w:r>
    </w:p>
    <w:p>
      <w:pPr>
        <w:pStyle w:val="2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2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23"/>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2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2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23"/>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23"/>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23"/>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23"/>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23"/>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23"/>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23"/>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23"/>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6"/>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74730295"/>
      <w:bookmarkEnd w:id="16"/>
      <w:bookmarkStart w:id="17" w:name="_Hlt68072998"/>
      <w:bookmarkEnd w:id="17"/>
      <w:bookmarkStart w:id="18" w:name="_Hlt68403820"/>
      <w:bookmarkEnd w:id="18"/>
      <w:bookmarkStart w:id="19" w:name="_Hlt74707468"/>
      <w:bookmarkEnd w:id="19"/>
      <w:bookmarkStart w:id="20" w:name="_Hlt74714665"/>
      <w:bookmarkEnd w:id="20"/>
      <w:bookmarkStart w:id="21" w:name="_Hlt68072990"/>
      <w:bookmarkEnd w:id="21"/>
      <w:bookmarkStart w:id="22" w:name="_Hlt68057669"/>
      <w:bookmarkEnd w:id="22"/>
      <w:bookmarkStart w:id="23" w:name="_Hlt68073093"/>
      <w:bookmarkEnd w:id="23"/>
      <w:bookmarkStart w:id="24" w:name="_Hlt75236011"/>
      <w:bookmarkEnd w:id="24"/>
      <w:bookmarkStart w:id="25" w:name="_Hlt75236290"/>
      <w:bookmarkEnd w:id="25"/>
      <w:bookmarkStart w:id="26" w:name="_Hlt75236101"/>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pStyle w:val="33"/>
        <w:spacing w:line="460" w:lineRule="exact"/>
        <w:ind w:firstLine="0" w:firstLineChars="0"/>
        <w:rPr>
          <w:rFonts w:ascii="宋体" w:hAnsi="宋体"/>
          <w:b/>
          <w:bCs/>
          <w:sz w:val="24"/>
          <w:szCs w:val="24"/>
        </w:rPr>
      </w:pPr>
      <w:r>
        <w:rPr>
          <w:rFonts w:hint="eastAsia" w:ascii="宋体" w:hAnsi="宋体"/>
          <w:b/>
          <w:bCs/>
          <w:sz w:val="24"/>
          <w:szCs w:val="24"/>
        </w:rPr>
        <w:t>一、项目背景</w:t>
      </w:r>
    </w:p>
    <w:p>
      <w:pPr>
        <w:spacing w:line="460" w:lineRule="exact"/>
        <w:ind w:firstLine="480" w:firstLineChars="200"/>
        <w:rPr>
          <w:rFonts w:ascii="宋体" w:hAnsi="宋体" w:cs="宋体"/>
          <w:sz w:val="24"/>
        </w:rPr>
      </w:pPr>
      <w:r>
        <w:rPr>
          <w:rFonts w:hint="eastAsia" w:ascii="宋体" w:hAnsi="宋体" w:cs="宋体"/>
          <w:sz w:val="24"/>
        </w:rPr>
        <w:t>根据《浙江省城市生命线安全工程建设方案》、《杭州市人民政府办公厅关于印发落实中央巡视反馈城市内涝问题整改工作方案的通知》以及杭州市城市内涝治理工作专班办公室文件《关于下达2024年杭州市内涝治理智慧化任务清单的函》（杭城涝治办〔2023〕3号）等文件要求，推进</w:t>
      </w:r>
      <w:r>
        <w:rPr>
          <w:rFonts w:hint="eastAsia" w:ascii="宋体" w:hAnsi="宋体" w:cs="宋体"/>
          <w:sz w:val="24"/>
          <w:lang w:eastAsia="zh-CN"/>
        </w:rPr>
        <w:t>临安区城市内涝智慧化治理服务项目（重新招标）</w:t>
      </w:r>
      <w:r>
        <w:rPr>
          <w:rFonts w:hint="eastAsia" w:ascii="宋体" w:hAnsi="宋体" w:cs="宋体"/>
          <w:sz w:val="24"/>
        </w:rPr>
        <w:t>。</w:t>
      </w:r>
    </w:p>
    <w:p>
      <w:pPr>
        <w:spacing w:line="460" w:lineRule="exact"/>
        <w:rPr>
          <w:rFonts w:ascii="宋体" w:hAnsi="宋体" w:cs="宋体"/>
          <w:b/>
          <w:bCs/>
          <w:sz w:val="24"/>
        </w:rPr>
      </w:pPr>
      <w:r>
        <w:rPr>
          <w:rFonts w:hint="eastAsia" w:ascii="宋体" w:hAnsi="宋体" w:cs="宋体"/>
          <w:b/>
          <w:bCs/>
          <w:sz w:val="24"/>
        </w:rPr>
        <w:t>二、建设目标：</w:t>
      </w:r>
    </w:p>
    <w:p>
      <w:pPr>
        <w:spacing w:line="460" w:lineRule="exact"/>
        <w:ind w:firstLine="480" w:firstLineChars="200"/>
        <w:rPr>
          <w:rFonts w:ascii="宋体" w:hAnsi="宋体" w:cs="宋体"/>
          <w:sz w:val="24"/>
        </w:rPr>
      </w:pPr>
      <w:r>
        <w:rPr>
          <w:rFonts w:hint="eastAsia" w:ascii="宋体" w:hAnsi="宋体" w:cs="宋体"/>
          <w:sz w:val="24"/>
        </w:rPr>
        <w:t>通过临安区城区内涝智慧化治理服务项目，完成城市排水分区内涝模型建设任务，实现内涝预测、预警、处置闭环管理和内涝治理跨部门、跨区域、跨层级协同处置，构建平战结合、多跨协同的内涝监测预警智慧化管理体系。</w:t>
      </w:r>
    </w:p>
    <w:p>
      <w:pPr>
        <w:spacing w:line="460" w:lineRule="exact"/>
        <w:rPr>
          <w:rFonts w:ascii="宋体" w:hAnsi="宋体" w:cs="宋体"/>
          <w:b/>
          <w:bCs/>
          <w:sz w:val="24"/>
        </w:rPr>
      </w:pPr>
      <w:r>
        <w:rPr>
          <w:rFonts w:hint="eastAsia" w:ascii="宋体" w:hAnsi="宋体" w:cs="宋体"/>
          <w:b/>
          <w:bCs/>
          <w:sz w:val="24"/>
        </w:rPr>
        <w:t>三、建设内容：</w:t>
      </w:r>
    </w:p>
    <w:p>
      <w:pPr>
        <w:spacing w:line="460" w:lineRule="exact"/>
        <w:ind w:firstLine="480" w:firstLineChars="200"/>
        <w:rPr>
          <w:rFonts w:ascii="宋体" w:hAnsi="宋体" w:cs="宋体"/>
          <w:sz w:val="24"/>
        </w:rPr>
      </w:pPr>
      <w:bookmarkStart w:id="28" w:name="_Hlk98686086"/>
      <w:r>
        <w:rPr>
          <w:rFonts w:hint="eastAsia" w:ascii="宋体" w:hAnsi="宋体" w:cs="宋体"/>
          <w:sz w:val="24"/>
        </w:rPr>
        <w:t>1、二级排水分区设定。</w:t>
      </w:r>
    </w:p>
    <w:p>
      <w:pPr>
        <w:spacing w:line="460" w:lineRule="exact"/>
        <w:ind w:firstLine="480" w:firstLineChars="200"/>
        <w:rPr>
          <w:rFonts w:ascii="宋体" w:hAnsi="宋体" w:cs="宋体"/>
          <w:sz w:val="24"/>
        </w:rPr>
      </w:pPr>
      <w:r>
        <w:rPr>
          <w:rFonts w:hint="eastAsia" w:ascii="宋体" w:hAnsi="宋体" w:cs="宋体"/>
          <w:sz w:val="24"/>
        </w:rPr>
        <w:t>临安区设定排水分区20个，此次内涝建模工作需要全覆盖，并对所有排水分区进行二级排水分区细致划分设定，主要通过收集已有地面高程、雨水管网、河道分布、历史积水点等信息，进行数据清洗、属性赋值等再加工操作，利用形态学等算法，计算二级排水分区内的排水设计降雨重现期、排水管网、历史积水点等信息。</w:t>
      </w:r>
    </w:p>
    <w:p>
      <w:pPr>
        <w:spacing w:line="460" w:lineRule="exact"/>
        <w:ind w:firstLine="480" w:firstLineChars="200"/>
        <w:rPr>
          <w:rFonts w:ascii="宋体" w:hAnsi="宋体" w:cs="宋体"/>
          <w:sz w:val="24"/>
        </w:rPr>
      </w:pPr>
      <w:r>
        <w:rPr>
          <w:rFonts w:hint="eastAsia" w:ascii="宋体" w:hAnsi="宋体" w:cs="宋体"/>
          <w:sz w:val="24"/>
        </w:rPr>
        <w:t>2、感知设备接入建设。</w:t>
      </w:r>
    </w:p>
    <w:p>
      <w:pPr>
        <w:spacing w:line="460" w:lineRule="exact"/>
        <w:ind w:firstLine="480" w:firstLineChars="200"/>
        <w:rPr>
          <w:rFonts w:ascii="宋体" w:hAnsi="宋体" w:cs="宋体"/>
          <w:sz w:val="24"/>
        </w:rPr>
      </w:pPr>
      <w:r>
        <w:rPr>
          <w:rFonts w:hint="eastAsia" w:ascii="宋体" w:hAnsi="宋体" w:cs="宋体"/>
          <w:sz w:val="24"/>
        </w:rPr>
        <w:t>完成地下空间、内涝点、重要排水管网等重点保障区域的雨量、水位、积水深度、视频（共享）等感知设备的共享接入，进行精细化管控。接入辖区内河道所在水域共享水位流量设备，重点区域排水管网关键节点共享液位监测点，内涝点、地下空间共享液位监测点等42套现有感知设备数据，并在此基础上在其他重要部位新增10套感知设备，所有感知设备及运维信息和实时监测信息实时上传至市、区两级级内涝平台。</w:t>
      </w:r>
    </w:p>
    <w:p>
      <w:pPr>
        <w:spacing w:line="460" w:lineRule="exact"/>
        <w:ind w:firstLine="480" w:firstLineChars="200"/>
        <w:rPr>
          <w:rFonts w:ascii="宋体" w:hAnsi="宋体" w:cs="宋体"/>
          <w:sz w:val="24"/>
        </w:rPr>
      </w:pPr>
      <w:r>
        <w:rPr>
          <w:rFonts w:hint="eastAsia" w:ascii="宋体" w:hAnsi="宋体" w:cs="宋体"/>
          <w:sz w:val="24"/>
        </w:rPr>
        <w:t>3、排水分区内涝建模。</w:t>
      </w:r>
    </w:p>
    <w:p>
      <w:pPr>
        <w:spacing w:line="460" w:lineRule="exact"/>
        <w:ind w:firstLine="480" w:firstLineChars="200"/>
        <w:rPr>
          <w:rFonts w:ascii="宋体" w:hAnsi="宋体" w:cs="宋体"/>
          <w:sz w:val="24"/>
        </w:rPr>
      </w:pPr>
      <w:r>
        <w:rPr>
          <w:rFonts w:hint="eastAsia" w:ascii="宋体" w:hAnsi="宋体" w:cs="宋体"/>
          <w:sz w:val="24"/>
        </w:rPr>
        <w:t>完成20个排水分区的内涝模型建设工作。模型充分运用二级排水分区划分结果、接入所有感知设备数据，运用水文水动力模型，计算地面积水量，实现积水信息预测和预报，单个排水分区3小时预见期模拟计算完成时间不超出20分钟，将内涝建模结果接入市级内涝平台，完成市级内涝考核任务。</w:t>
      </w:r>
    </w:p>
    <w:p>
      <w:pPr>
        <w:spacing w:line="460" w:lineRule="exact"/>
        <w:ind w:firstLine="480" w:firstLineChars="200"/>
        <w:rPr>
          <w:rFonts w:ascii="宋体" w:hAnsi="宋体" w:cs="宋体"/>
          <w:sz w:val="24"/>
        </w:rPr>
      </w:pPr>
      <w:r>
        <w:rPr>
          <w:rFonts w:hint="eastAsia" w:ascii="宋体" w:hAnsi="宋体" w:cs="宋体"/>
          <w:sz w:val="24"/>
        </w:rPr>
        <w:t>4、内涝预测预警平台。</w:t>
      </w:r>
    </w:p>
    <w:p>
      <w:pPr>
        <w:spacing w:line="460" w:lineRule="exact"/>
        <w:ind w:firstLine="480" w:firstLineChars="200"/>
        <w:rPr>
          <w:rFonts w:ascii="宋体" w:hAnsi="宋体" w:cs="宋体"/>
          <w:sz w:val="24"/>
        </w:rPr>
      </w:pPr>
      <w:r>
        <w:rPr>
          <w:rFonts w:hint="eastAsia" w:ascii="宋体" w:hAnsi="宋体" w:cs="宋体"/>
          <w:sz w:val="24"/>
        </w:rPr>
        <w:t>结合内涝处置业务实际，接入天气预报数据、排水分区内涝建模结果、现场巡查数据等，开发内涝预测预警平台，实现积水信息的可视化展示。</w:t>
      </w:r>
    </w:p>
    <w:p>
      <w:pPr>
        <w:spacing w:line="460" w:lineRule="exact"/>
        <w:ind w:firstLine="480" w:firstLineChars="200"/>
        <w:rPr>
          <w:rFonts w:ascii="宋体" w:hAnsi="宋体" w:cs="宋体"/>
          <w:sz w:val="24"/>
        </w:rPr>
      </w:pPr>
      <w:r>
        <w:rPr>
          <w:rFonts w:hint="eastAsia" w:ascii="宋体" w:hAnsi="宋体" w:cs="宋体"/>
          <w:sz w:val="24"/>
        </w:rPr>
        <w:t>5、内涝模型运行维护。</w:t>
      </w:r>
    </w:p>
    <w:p>
      <w:pPr>
        <w:spacing w:line="460" w:lineRule="exact"/>
        <w:ind w:firstLine="480" w:firstLineChars="200"/>
        <w:rPr>
          <w:rFonts w:ascii="宋体" w:hAnsi="宋体" w:cs="宋体"/>
          <w:sz w:val="24"/>
        </w:rPr>
      </w:pPr>
      <w:r>
        <w:rPr>
          <w:rFonts w:hint="eastAsia" w:ascii="宋体" w:hAnsi="宋体" w:cs="宋体"/>
          <w:sz w:val="24"/>
        </w:rPr>
        <w:t>在项目服务期内，确保内涝模型24小时不间断运行，及时响应杭州市以及临安区城市内涝治理工作专班的内涝建模需求，不定期维护和更新地面高程、雨水管网、河道分布、历史积水点等基础数据信息。运维期间需提供1名专业技术人员驻场服务。</w:t>
      </w:r>
    </w:p>
    <w:bookmarkEnd w:id="28"/>
    <w:p>
      <w:pPr>
        <w:pStyle w:val="25"/>
        <w:tabs>
          <w:tab w:val="left" w:pos="6300"/>
        </w:tabs>
        <w:spacing w:after="0"/>
        <w:ind w:left="0" w:leftChars="0" w:firstLine="0" w:firstLineChars="0"/>
        <w:rPr>
          <w:rFonts w:ascii="宋体" w:hAnsi="宋体" w:cs="宋体"/>
          <w:b/>
          <w:bCs/>
          <w:szCs w:val="24"/>
        </w:rPr>
      </w:pPr>
    </w:p>
    <w:p>
      <w:pPr>
        <w:pStyle w:val="25"/>
        <w:tabs>
          <w:tab w:val="left" w:pos="6300"/>
        </w:tabs>
        <w:spacing w:after="0"/>
        <w:ind w:left="0" w:leftChars="0" w:firstLine="0" w:firstLineChars="0"/>
        <w:rPr>
          <w:rFonts w:ascii="宋体" w:hAnsi="宋体" w:cs="宋体"/>
          <w:b/>
          <w:bCs/>
          <w:szCs w:val="24"/>
        </w:rPr>
      </w:pPr>
      <w:r>
        <w:rPr>
          <w:rFonts w:hint="eastAsia" w:ascii="宋体" w:hAnsi="宋体" w:cs="宋体"/>
          <w:b/>
          <w:bCs/>
          <w:szCs w:val="24"/>
        </w:rPr>
        <w:t>四、项目预算价格及费用支付方式</w:t>
      </w:r>
    </w:p>
    <w:p>
      <w:pPr>
        <w:pStyle w:val="25"/>
        <w:tabs>
          <w:tab w:val="left" w:pos="6300"/>
        </w:tabs>
        <w:spacing w:after="0"/>
        <w:ind w:left="0" w:leftChars="0"/>
        <w:rPr>
          <w:rFonts w:ascii="宋体" w:hAnsi="宋体" w:cs="宋体"/>
          <w:szCs w:val="24"/>
        </w:rPr>
      </w:pPr>
      <w:r>
        <w:rPr>
          <w:rFonts w:hint="eastAsia" w:ascii="宋体" w:hAnsi="宋体" w:cs="宋体"/>
          <w:szCs w:val="24"/>
        </w:rPr>
        <w:t>1、项目预算价格为人民币贰</w:t>
      </w:r>
      <w:r>
        <w:rPr>
          <w:rFonts w:hint="eastAsia" w:ascii="宋体" w:hAnsi="宋体" w:cs="宋体"/>
          <w:szCs w:val="24"/>
          <w:lang w:val="en-US" w:eastAsia="zh-CN"/>
        </w:rPr>
        <w:t>佰壹</w:t>
      </w:r>
      <w:r>
        <w:rPr>
          <w:rFonts w:hint="eastAsia" w:ascii="宋体" w:hAnsi="宋体" w:cs="宋体"/>
          <w:szCs w:val="24"/>
        </w:rPr>
        <w:t>拾</w:t>
      </w:r>
      <w:r>
        <w:rPr>
          <w:rFonts w:hint="eastAsia" w:ascii="宋体" w:hAnsi="宋体" w:cs="宋体"/>
          <w:szCs w:val="24"/>
          <w:lang w:val="en-US" w:eastAsia="zh-CN"/>
        </w:rPr>
        <w:t>伍</w:t>
      </w:r>
      <w:r>
        <w:rPr>
          <w:rFonts w:hint="eastAsia" w:ascii="宋体" w:hAnsi="宋体" w:cs="宋体"/>
          <w:szCs w:val="24"/>
        </w:rPr>
        <w:t>万元整（¥：</w:t>
      </w:r>
      <w:r>
        <w:rPr>
          <w:rFonts w:hint="eastAsia" w:ascii="宋体" w:hAnsi="宋体" w:cs="宋体"/>
          <w:szCs w:val="24"/>
          <w:u w:val="single"/>
          <w:lang w:eastAsia="zh-CN"/>
        </w:rPr>
        <w:t>2150000</w:t>
      </w:r>
      <w:r>
        <w:rPr>
          <w:rFonts w:hint="eastAsia" w:ascii="宋体" w:hAnsi="宋体" w:cs="宋体"/>
          <w:szCs w:val="24"/>
          <w:u w:val="single"/>
        </w:rPr>
        <w:t>.00</w:t>
      </w:r>
      <w:r>
        <w:rPr>
          <w:rFonts w:hint="eastAsia" w:ascii="宋体" w:hAnsi="宋体" w:cs="宋体"/>
          <w:szCs w:val="24"/>
        </w:rPr>
        <w:t>元）。</w:t>
      </w:r>
    </w:p>
    <w:p>
      <w:pPr>
        <w:spacing w:line="460" w:lineRule="exact"/>
        <w:ind w:firstLine="480" w:firstLineChars="200"/>
        <w:rPr>
          <w:rFonts w:hint="eastAsia" w:ascii="宋体" w:hAnsi="宋体" w:cs="宋体"/>
          <w:sz w:val="24"/>
        </w:rPr>
      </w:pPr>
      <w:r>
        <w:rPr>
          <w:rFonts w:hint="eastAsia" w:ascii="宋体" w:hAnsi="宋体" w:cs="宋体"/>
          <w:sz w:val="24"/>
        </w:rPr>
        <w:t>2、支付方式：</w:t>
      </w:r>
    </w:p>
    <w:p>
      <w:pPr>
        <w:spacing w:line="460" w:lineRule="exact"/>
        <w:ind w:firstLine="480" w:firstLineChars="200"/>
        <w:rPr>
          <w:rFonts w:hint="eastAsia" w:ascii="宋体" w:hAnsi="宋体" w:cs="宋体"/>
          <w:sz w:val="24"/>
        </w:rPr>
      </w:pPr>
      <w:r>
        <w:rPr>
          <w:rFonts w:hint="eastAsia" w:ascii="宋体" w:hAnsi="宋体" w:cs="宋体"/>
          <w:sz w:val="24"/>
        </w:rPr>
        <w:t>（1）项目建设费用：第一笔支付于合同签订后7个工作日内支付合同总价的50%；第二笔支付于项目完工后支付合同总价的35%；第三笔支付于项目完成终验后支付至合同项目建设部分100%。</w:t>
      </w:r>
    </w:p>
    <w:p>
      <w:pPr>
        <w:spacing w:line="460" w:lineRule="exact"/>
        <w:ind w:firstLine="480" w:firstLineChars="200"/>
        <w:rPr>
          <w:rFonts w:hint="eastAsia" w:ascii="宋体" w:hAnsi="宋体" w:cs="宋体"/>
          <w:sz w:val="24"/>
        </w:rPr>
      </w:pPr>
      <w:r>
        <w:rPr>
          <w:rFonts w:hint="eastAsia" w:ascii="宋体" w:hAnsi="宋体" w:cs="宋体"/>
          <w:sz w:val="24"/>
        </w:rPr>
        <w:t>（2）项目运维费用：年度运维费用于当年12月底前按合同运维费用报价支付。</w:t>
      </w:r>
    </w:p>
    <w:p>
      <w:pPr>
        <w:spacing w:line="360" w:lineRule="auto"/>
        <w:jc w:val="left"/>
        <w:rPr>
          <w:rFonts w:ascii="宋体" w:hAnsi="宋体" w:cs="宋体"/>
          <w:b/>
          <w:bCs/>
          <w:sz w:val="24"/>
        </w:rPr>
      </w:pPr>
      <w:r>
        <w:rPr>
          <w:rFonts w:hint="eastAsia" w:ascii="宋体" w:hAnsi="宋体" w:cs="宋体"/>
          <w:b/>
          <w:sz w:val="24"/>
        </w:rPr>
        <w:t>五、</w:t>
      </w:r>
      <w:r>
        <w:rPr>
          <w:rFonts w:hint="eastAsia" w:ascii="宋体" w:hAnsi="宋体" w:cs="宋体"/>
          <w:b/>
          <w:bCs/>
          <w:sz w:val="24"/>
        </w:rPr>
        <w:t>合同履约期</w:t>
      </w:r>
    </w:p>
    <w:p>
      <w:pPr>
        <w:spacing w:line="360" w:lineRule="auto"/>
        <w:ind w:firstLine="482" w:firstLineChars="200"/>
        <w:rPr>
          <w:rFonts w:ascii="宋体" w:hAnsi="宋体" w:cs="宋体"/>
          <w:b/>
          <w:bCs/>
          <w:snapToGrid w:val="0"/>
          <w:kern w:val="28"/>
          <w:sz w:val="24"/>
          <w:szCs w:val="20"/>
        </w:rPr>
      </w:pPr>
      <w:r>
        <w:rPr>
          <w:rFonts w:hint="eastAsia" w:ascii="宋体" w:hAnsi="宋体" w:cs="宋体"/>
          <w:b/>
          <w:bCs/>
          <w:snapToGrid w:val="0"/>
          <w:kern w:val="28"/>
          <w:sz w:val="24"/>
          <w:szCs w:val="20"/>
        </w:rPr>
        <w:t>三年（</w:t>
      </w:r>
      <w:r>
        <w:rPr>
          <w:rFonts w:hint="eastAsia"/>
          <w:sz w:val="24"/>
        </w:rPr>
        <w:t>自合同签订之日起36个月）</w:t>
      </w:r>
      <w:r>
        <w:rPr>
          <w:rFonts w:hint="eastAsia" w:ascii="宋体" w:hAnsi="宋体" w:cs="宋体"/>
          <w:b/>
          <w:bCs/>
          <w:snapToGrid w:val="0"/>
          <w:kern w:val="28"/>
          <w:sz w:val="24"/>
          <w:szCs w:val="20"/>
        </w:rPr>
        <w:t>。</w:t>
      </w:r>
    </w:p>
    <w:p>
      <w:pPr>
        <w:spacing w:line="360" w:lineRule="auto"/>
        <w:rPr>
          <w:rFonts w:ascii="宋体" w:hAnsi="宋体" w:cs="宋体"/>
          <w:sz w:val="24"/>
        </w:rPr>
      </w:pPr>
      <w:r>
        <w:rPr>
          <w:rFonts w:hint="eastAsia" w:ascii="宋体" w:hAnsi="宋体" w:cs="宋体"/>
          <w:b/>
          <w:bCs/>
          <w:color w:val="000000"/>
          <w:sz w:val="24"/>
        </w:rPr>
        <w:t>六、</w:t>
      </w:r>
      <w:r>
        <w:rPr>
          <w:rFonts w:hint="eastAsia" w:ascii="宋体" w:hAnsi="宋体" w:cs="宋体"/>
          <w:b/>
          <w:sz w:val="24"/>
        </w:rPr>
        <w:t>验收</w:t>
      </w:r>
    </w:p>
    <w:p>
      <w:pPr>
        <w:spacing w:line="360" w:lineRule="auto"/>
        <w:ind w:firstLine="480" w:firstLineChars="200"/>
        <w:rPr>
          <w:rFonts w:ascii="宋体" w:hAnsi="宋体" w:cs="宋体"/>
          <w:sz w:val="24"/>
        </w:rPr>
      </w:pPr>
      <w:r>
        <w:rPr>
          <w:rFonts w:hint="eastAsia" w:ascii="宋体" w:hAnsi="宋体" w:cs="宋体"/>
          <w:sz w:val="24"/>
        </w:rPr>
        <w:t>1、按照采购文件及合同的约定对成交供应商履约情况进行验收。验收由采购人自行组织，双方共同签署。验收结果应当与采购合同约定的资金支付条件挂钩，履约验收的各项资料应当存档备查。</w:t>
      </w:r>
    </w:p>
    <w:p>
      <w:pPr>
        <w:spacing w:line="360" w:lineRule="auto"/>
        <w:ind w:firstLine="480" w:firstLineChars="200"/>
        <w:rPr>
          <w:rFonts w:ascii="宋体" w:hAnsi="宋体" w:cs="宋体"/>
          <w:sz w:val="24"/>
        </w:rPr>
      </w:pPr>
      <w:r>
        <w:rPr>
          <w:rFonts w:hint="eastAsia" w:ascii="宋体" w:hAnsi="宋体" w:cs="宋体"/>
          <w:sz w:val="24"/>
        </w:rPr>
        <w:t>2、成交供应商在提供服务过程中如存在违反合同相关约定情况的，采购人有权要求成交供应商立即整改，成交供应商未按采购难要求整改的，采购人有权拒绝验收，并可中止合同履行，成交供应商承担因此发生的一切损失、费用及延误责任。验收费用由成交供应商承担。</w:t>
      </w:r>
    </w:p>
    <w:p>
      <w:pPr>
        <w:pStyle w:val="14"/>
        <w:ind w:firstLine="0"/>
        <w:rPr>
          <w:rFonts w:hAnsi="宋体" w:cs="宋体"/>
          <w:b/>
          <w:color w:val="000000"/>
          <w:szCs w:val="24"/>
        </w:rPr>
      </w:pPr>
      <w:r>
        <w:rPr>
          <w:rFonts w:hint="eastAsia" w:hAnsi="宋体" w:cs="宋体"/>
          <w:b/>
          <w:color w:val="000000"/>
          <w:szCs w:val="24"/>
          <w:lang w:val="en-US"/>
        </w:rPr>
        <w:t>七</w:t>
      </w:r>
      <w:r>
        <w:rPr>
          <w:rFonts w:hint="eastAsia" w:hAnsi="宋体" w:cs="宋体"/>
          <w:b/>
          <w:color w:val="000000"/>
          <w:szCs w:val="24"/>
        </w:rPr>
        <w:t>、合同签订</w:t>
      </w:r>
    </w:p>
    <w:p>
      <w:pPr>
        <w:pStyle w:val="14"/>
        <w:autoSpaceDE/>
        <w:autoSpaceDN/>
        <w:adjustRightInd/>
        <w:ind w:firstLine="480" w:firstLineChars="200"/>
        <w:rPr>
          <w:rFonts w:hAnsi="宋体" w:cs="宋体"/>
          <w:color w:val="000000"/>
          <w:szCs w:val="24"/>
        </w:rPr>
      </w:pPr>
      <w:r>
        <w:rPr>
          <w:rFonts w:hint="eastAsia" w:hAnsi="宋体" w:cs="宋体"/>
          <w:color w:val="000000"/>
          <w:szCs w:val="24"/>
        </w:rPr>
        <w:t>1、成交供应商须在成交后</w:t>
      </w:r>
      <w:r>
        <w:rPr>
          <w:rFonts w:hint="eastAsia" w:hAnsi="宋体" w:cs="宋体"/>
          <w:szCs w:val="24"/>
          <w:lang w:val="en-US"/>
        </w:rPr>
        <w:t>十天</w:t>
      </w:r>
      <w:r>
        <w:rPr>
          <w:rFonts w:hint="eastAsia" w:hAnsi="宋体" w:cs="宋体"/>
          <w:color w:val="000000"/>
          <w:szCs w:val="24"/>
        </w:rPr>
        <w:t xml:space="preserve">内和采购人签订合同。 </w:t>
      </w:r>
    </w:p>
    <w:p>
      <w:pPr>
        <w:pStyle w:val="10"/>
        <w:adjustRightInd/>
        <w:spacing w:line="360" w:lineRule="auto"/>
        <w:ind w:left="0" w:leftChars="0" w:firstLine="480" w:firstLineChars="200"/>
        <w:rPr>
          <w:rFonts w:ascii="仿宋" w:hAnsi="仿宋" w:eastAsia="仿宋" w:cs="仿宋"/>
          <w:sz w:val="24"/>
        </w:rPr>
      </w:pPr>
      <w:r>
        <w:rPr>
          <w:rFonts w:hint="eastAsia" w:ascii="宋体" w:hAnsi="宋体" w:cs="宋体"/>
          <w:color w:val="000000"/>
          <w:sz w:val="24"/>
        </w:rPr>
        <w:t>2、如成交供应商拒绝承担中标的项目，或提出采购人不能接受的条件，致使合同无法签订，采购人</w:t>
      </w:r>
      <w:r>
        <w:rPr>
          <w:rFonts w:hint="eastAsia" w:ascii="宋体" w:hAnsi="宋体" w:cs="宋体"/>
          <w:sz w:val="24"/>
        </w:rPr>
        <w:t>将对其失信行为上报至同级政府采购监督管理部门对其依法处理。</w:t>
      </w:r>
    </w:p>
    <w:tbl>
      <w:tblPr>
        <w:tblStyle w:val="16"/>
        <w:tblW w:w="8504" w:type="dxa"/>
        <w:tblInd w:w="91" w:type="dxa"/>
        <w:tblLayout w:type="fixed"/>
        <w:tblCellMar>
          <w:top w:w="0" w:type="dxa"/>
          <w:left w:w="108" w:type="dxa"/>
          <w:bottom w:w="0" w:type="dxa"/>
          <w:right w:w="108" w:type="dxa"/>
        </w:tblCellMar>
      </w:tblPr>
      <w:tblGrid>
        <w:gridCol w:w="454"/>
        <w:gridCol w:w="801"/>
        <w:gridCol w:w="725"/>
        <w:gridCol w:w="2469"/>
        <w:gridCol w:w="4055"/>
      </w:tblGrid>
      <w:tr>
        <w:tblPrEx>
          <w:tblCellMar>
            <w:top w:w="0" w:type="dxa"/>
            <w:left w:w="108" w:type="dxa"/>
            <w:bottom w:w="0" w:type="dxa"/>
            <w:right w:w="108" w:type="dxa"/>
          </w:tblCellMar>
        </w:tblPrEx>
        <w:trPr>
          <w:trHeight w:val="540" w:hRule="atLeast"/>
        </w:trPr>
        <w:tc>
          <w:tcPr>
            <w:tcW w:w="454" w:type="dxa"/>
            <w:tcBorders>
              <w:top w:val="single" w:color="000000" w:sz="4" w:space="0"/>
              <w:left w:val="single" w:color="000000" w:sz="4" w:space="0"/>
              <w:bottom w:val="single" w:color="000000" w:sz="4" w:space="0"/>
              <w:right w:val="single" w:color="000000" w:sz="4" w:space="0"/>
            </w:tcBorders>
            <w:shd w:val="clear" w:color="auto" w:fill="4472C4"/>
            <w:vAlign w:val="center"/>
          </w:tcPr>
          <w:p>
            <w:pPr>
              <w:widowControl/>
              <w:jc w:val="left"/>
              <w:textAlignment w:val="center"/>
              <w:rPr>
                <w:rFonts w:ascii="宋体" w:hAnsi="宋体" w:cs="宋体"/>
                <w:b/>
                <w:bCs/>
                <w:color w:val="FFFFFF"/>
                <w:sz w:val="22"/>
                <w:szCs w:val="22"/>
              </w:rPr>
            </w:pPr>
            <w:r>
              <w:rPr>
                <w:rFonts w:hint="eastAsia" w:ascii="宋体" w:hAnsi="宋体" w:cs="宋体"/>
                <w:b/>
                <w:bCs/>
                <w:color w:val="FFFFFF"/>
                <w:kern w:val="0"/>
                <w:sz w:val="22"/>
                <w:szCs w:val="22"/>
                <w:lang w:bidi="ar"/>
              </w:rPr>
              <w:t>序号</w:t>
            </w:r>
          </w:p>
        </w:tc>
        <w:tc>
          <w:tcPr>
            <w:tcW w:w="801" w:type="dxa"/>
            <w:tcBorders>
              <w:top w:val="single" w:color="000000" w:sz="4" w:space="0"/>
              <w:left w:val="single" w:color="000000" w:sz="4" w:space="0"/>
              <w:bottom w:val="single" w:color="000000" w:sz="4" w:space="0"/>
              <w:right w:val="single" w:color="000000" w:sz="4" w:space="0"/>
            </w:tcBorders>
            <w:shd w:val="clear" w:color="auto" w:fill="4472C4"/>
            <w:vAlign w:val="center"/>
          </w:tcPr>
          <w:p>
            <w:pPr>
              <w:widowControl/>
              <w:jc w:val="left"/>
              <w:textAlignment w:val="center"/>
              <w:rPr>
                <w:rFonts w:ascii="宋体" w:hAnsi="宋体" w:cs="宋体"/>
                <w:b/>
                <w:bCs/>
                <w:color w:val="FFFFFF"/>
                <w:sz w:val="22"/>
                <w:szCs w:val="22"/>
              </w:rPr>
            </w:pPr>
            <w:r>
              <w:rPr>
                <w:rFonts w:hint="eastAsia" w:ascii="宋体" w:hAnsi="宋体" w:cs="宋体"/>
                <w:b/>
                <w:bCs/>
                <w:color w:val="FFFFFF"/>
                <w:kern w:val="0"/>
                <w:sz w:val="22"/>
                <w:szCs w:val="22"/>
                <w:lang w:bidi="ar"/>
              </w:rPr>
              <w:t>平台/服务</w:t>
            </w:r>
          </w:p>
        </w:tc>
        <w:tc>
          <w:tcPr>
            <w:tcW w:w="725" w:type="dxa"/>
            <w:tcBorders>
              <w:top w:val="single" w:color="000000" w:sz="4" w:space="0"/>
              <w:left w:val="single" w:color="000000" w:sz="4" w:space="0"/>
              <w:bottom w:val="single" w:color="000000" w:sz="4" w:space="0"/>
              <w:right w:val="single" w:color="000000" w:sz="4" w:space="0"/>
            </w:tcBorders>
            <w:shd w:val="clear" w:color="auto" w:fill="4472C4"/>
            <w:vAlign w:val="center"/>
          </w:tcPr>
          <w:p>
            <w:pPr>
              <w:widowControl/>
              <w:jc w:val="left"/>
              <w:textAlignment w:val="center"/>
              <w:rPr>
                <w:rFonts w:ascii="宋体" w:hAnsi="宋体" w:cs="宋体"/>
                <w:b/>
                <w:bCs/>
                <w:color w:val="FFFFFF"/>
                <w:sz w:val="22"/>
                <w:szCs w:val="22"/>
              </w:rPr>
            </w:pPr>
            <w:r>
              <w:rPr>
                <w:rFonts w:hint="eastAsia" w:ascii="宋体" w:hAnsi="宋体" w:cs="宋体"/>
                <w:b/>
                <w:bCs/>
                <w:color w:val="FFFFFF"/>
                <w:kern w:val="0"/>
                <w:sz w:val="22"/>
                <w:szCs w:val="22"/>
                <w:lang w:bidi="ar"/>
              </w:rPr>
              <w:t>功能模块</w:t>
            </w:r>
          </w:p>
        </w:tc>
        <w:tc>
          <w:tcPr>
            <w:tcW w:w="2469" w:type="dxa"/>
            <w:tcBorders>
              <w:top w:val="single" w:color="000000" w:sz="4" w:space="0"/>
              <w:left w:val="single" w:color="000000" w:sz="4" w:space="0"/>
              <w:bottom w:val="single" w:color="000000" w:sz="4" w:space="0"/>
              <w:right w:val="nil"/>
            </w:tcBorders>
            <w:shd w:val="clear" w:color="auto" w:fill="4472C4"/>
            <w:vAlign w:val="center"/>
          </w:tcPr>
          <w:p>
            <w:pPr>
              <w:widowControl/>
              <w:jc w:val="center"/>
              <w:textAlignment w:val="center"/>
              <w:rPr>
                <w:rFonts w:ascii="宋体" w:hAnsi="宋体" w:cs="宋体"/>
                <w:b/>
                <w:bCs/>
                <w:color w:val="FFFFFF"/>
                <w:sz w:val="22"/>
                <w:szCs w:val="22"/>
              </w:rPr>
            </w:pPr>
            <w:r>
              <w:rPr>
                <w:rFonts w:hint="eastAsia" w:ascii="宋体" w:hAnsi="宋体" w:cs="宋体"/>
                <w:b/>
                <w:bCs/>
                <w:color w:val="FFFFFF"/>
                <w:kern w:val="0"/>
                <w:sz w:val="22"/>
                <w:szCs w:val="22"/>
                <w:lang w:bidi="ar"/>
              </w:rPr>
              <w:t>功能</w:t>
            </w:r>
          </w:p>
        </w:tc>
        <w:tc>
          <w:tcPr>
            <w:tcW w:w="4055" w:type="dxa"/>
            <w:tcBorders>
              <w:top w:val="single" w:color="000000" w:sz="4" w:space="0"/>
              <w:left w:val="single" w:color="000000" w:sz="4" w:space="0"/>
              <w:bottom w:val="single" w:color="000000" w:sz="4" w:space="0"/>
              <w:right w:val="single" w:color="000000" w:sz="4" w:space="0"/>
            </w:tcBorders>
            <w:shd w:val="clear" w:color="auto" w:fill="4472C4"/>
            <w:vAlign w:val="center"/>
          </w:tcPr>
          <w:p>
            <w:pPr>
              <w:widowControl/>
              <w:jc w:val="left"/>
              <w:textAlignment w:val="center"/>
              <w:rPr>
                <w:rFonts w:ascii="宋体" w:hAnsi="宋体" w:cs="宋体"/>
                <w:b/>
                <w:bCs/>
                <w:color w:val="FFFFFF"/>
                <w:sz w:val="22"/>
                <w:szCs w:val="22"/>
              </w:rPr>
            </w:pPr>
            <w:r>
              <w:rPr>
                <w:rFonts w:hint="eastAsia" w:ascii="宋体" w:hAnsi="宋体" w:cs="宋体"/>
                <w:b/>
                <w:bCs/>
                <w:color w:val="FFFFFF"/>
                <w:kern w:val="0"/>
                <w:sz w:val="22"/>
                <w:szCs w:val="22"/>
                <w:lang w:bidi="ar"/>
              </w:rPr>
              <w:t>功能描述</w:t>
            </w:r>
          </w:p>
        </w:tc>
      </w:tr>
      <w:tr>
        <w:tblPrEx>
          <w:tblCellMar>
            <w:top w:w="0" w:type="dxa"/>
            <w:left w:w="108" w:type="dxa"/>
            <w:bottom w:w="0" w:type="dxa"/>
            <w:right w:w="108" w:type="dxa"/>
          </w:tblCellMar>
        </w:tblPrEx>
        <w:trPr>
          <w:trHeight w:val="285"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0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数据服务</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二级排水分区设定</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数据转换</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将不同来源的雨水管网数据进行格式转换，统一为shp格式</w:t>
            </w:r>
          </w:p>
        </w:tc>
      </w:tr>
      <w:tr>
        <w:tblPrEx>
          <w:tblCellMar>
            <w:top w:w="0" w:type="dxa"/>
            <w:left w:w="108" w:type="dxa"/>
            <w:bottom w:w="0" w:type="dxa"/>
            <w:right w:w="108" w:type="dxa"/>
          </w:tblCellMar>
        </w:tblPrEx>
        <w:trPr>
          <w:trHeight w:val="285"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0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数据整合</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对不同来源的雨水管网数据进行合并、整合等操作</w:t>
            </w:r>
          </w:p>
        </w:tc>
      </w:tr>
      <w:tr>
        <w:tblPrEx>
          <w:tblCellMar>
            <w:top w:w="0" w:type="dxa"/>
            <w:left w:w="108" w:type="dxa"/>
            <w:bottom w:w="0" w:type="dxa"/>
            <w:right w:w="108" w:type="dxa"/>
          </w:tblCellMar>
        </w:tblPrEx>
        <w:trPr>
          <w:trHeight w:val="285"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80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数据清洗</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删除多余、重复或者明显错误的管网数据</w:t>
            </w:r>
          </w:p>
        </w:tc>
      </w:tr>
      <w:tr>
        <w:tblPrEx>
          <w:tblCellMar>
            <w:top w:w="0" w:type="dxa"/>
            <w:left w:w="108" w:type="dxa"/>
            <w:bottom w:w="0" w:type="dxa"/>
            <w:right w:w="108" w:type="dxa"/>
          </w:tblCellMar>
        </w:tblPrEx>
        <w:trPr>
          <w:trHeight w:val="285"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0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拓扑检查</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利用拓扑检查功能，核对雨水管网的形状、拓扑关系</w:t>
            </w:r>
          </w:p>
        </w:tc>
      </w:tr>
      <w:tr>
        <w:tblPrEx>
          <w:tblCellMar>
            <w:top w:w="0" w:type="dxa"/>
            <w:left w:w="108" w:type="dxa"/>
            <w:bottom w:w="0" w:type="dxa"/>
            <w:right w:w="108" w:type="dxa"/>
          </w:tblCellMar>
        </w:tblPrEx>
        <w:trPr>
          <w:trHeight w:val="285"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80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属性赋值</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对各个节点的管网数据的属性进行赋值</w:t>
            </w:r>
          </w:p>
        </w:tc>
      </w:tr>
      <w:tr>
        <w:tblPrEx>
          <w:tblCellMar>
            <w:top w:w="0" w:type="dxa"/>
            <w:left w:w="108" w:type="dxa"/>
            <w:bottom w:w="0" w:type="dxa"/>
            <w:right w:w="108" w:type="dxa"/>
          </w:tblCellMar>
        </w:tblPrEx>
        <w:trPr>
          <w:trHeight w:val="285"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80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二级排水分区细致划分</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对所有排水分区进行二级排水分区细致划分设定</w:t>
            </w:r>
          </w:p>
        </w:tc>
      </w:tr>
      <w:tr>
        <w:tblPrEx>
          <w:tblCellMar>
            <w:top w:w="0" w:type="dxa"/>
            <w:left w:w="108" w:type="dxa"/>
            <w:bottom w:w="0" w:type="dxa"/>
            <w:right w:w="108" w:type="dxa"/>
          </w:tblCellMar>
        </w:tblPrEx>
        <w:trPr>
          <w:trHeight w:val="54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80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二级排水分区内属性分割</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计算二级排水分区内的排水设计降雨重现期、排水管网、历史积水点等信息</w:t>
            </w:r>
          </w:p>
        </w:tc>
      </w:tr>
      <w:tr>
        <w:tblPrEx>
          <w:tblCellMar>
            <w:top w:w="0" w:type="dxa"/>
            <w:left w:w="108" w:type="dxa"/>
            <w:bottom w:w="0" w:type="dxa"/>
            <w:right w:w="108" w:type="dxa"/>
          </w:tblCellMar>
        </w:tblPrEx>
        <w:trPr>
          <w:trHeight w:val="285"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80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感知设备接入建设</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雨量数据接入</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将已有的雨量数据接入市级内涝平台</w:t>
            </w:r>
          </w:p>
        </w:tc>
      </w:tr>
      <w:tr>
        <w:tblPrEx>
          <w:tblCellMar>
            <w:top w:w="0" w:type="dxa"/>
            <w:left w:w="108" w:type="dxa"/>
            <w:bottom w:w="0" w:type="dxa"/>
            <w:right w:w="108" w:type="dxa"/>
          </w:tblCellMar>
        </w:tblPrEx>
        <w:trPr>
          <w:trHeight w:val="285"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80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河道水位数据接入</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将已有的河道水位数据接入市级内涝平台</w:t>
            </w:r>
          </w:p>
        </w:tc>
      </w:tr>
      <w:tr>
        <w:tblPrEx>
          <w:tblCellMar>
            <w:top w:w="0" w:type="dxa"/>
            <w:left w:w="108" w:type="dxa"/>
            <w:bottom w:w="0" w:type="dxa"/>
            <w:right w:w="108" w:type="dxa"/>
          </w:tblCellMar>
        </w:tblPrEx>
        <w:trPr>
          <w:trHeight w:val="285"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80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地面液位数据接入</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将已有的地面液位数据接入市级内涝平台</w:t>
            </w:r>
          </w:p>
        </w:tc>
      </w:tr>
      <w:tr>
        <w:tblPrEx>
          <w:tblCellMar>
            <w:top w:w="0" w:type="dxa"/>
            <w:left w:w="108" w:type="dxa"/>
            <w:bottom w:w="0" w:type="dxa"/>
            <w:right w:w="108" w:type="dxa"/>
          </w:tblCellMar>
        </w:tblPrEx>
        <w:trPr>
          <w:trHeight w:val="285"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80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管网液位数据接入</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将已有的管网液位数据接入市级内涝平台</w:t>
            </w:r>
          </w:p>
        </w:tc>
      </w:tr>
      <w:tr>
        <w:tblPrEx>
          <w:tblCellMar>
            <w:top w:w="0" w:type="dxa"/>
            <w:left w:w="108" w:type="dxa"/>
            <w:bottom w:w="0" w:type="dxa"/>
            <w:right w:w="108" w:type="dxa"/>
          </w:tblCellMar>
        </w:tblPrEx>
        <w:trPr>
          <w:trHeight w:val="285"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80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视频数据接入</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将已有的视频数据接入市级内涝平台</w:t>
            </w:r>
          </w:p>
        </w:tc>
      </w:tr>
      <w:tr>
        <w:tblPrEx>
          <w:tblCellMar>
            <w:top w:w="0" w:type="dxa"/>
            <w:left w:w="108" w:type="dxa"/>
            <w:bottom w:w="0" w:type="dxa"/>
            <w:right w:w="108" w:type="dxa"/>
          </w:tblCellMar>
        </w:tblPrEx>
        <w:trPr>
          <w:trHeight w:val="54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80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排水分区内涝建模</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内涝模型建设</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完成20个排水分区的内涝模型建设工作，单个排水分区3小时预见期模拟计算完成时间不超出20分钟</w:t>
            </w:r>
          </w:p>
        </w:tc>
      </w:tr>
      <w:tr>
        <w:tblPrEx>
          <w:tblCellMar>
            <w:top w:w="0" w:type="dxa"/>
            <w:left w:w="108" w:type="dxa"/>
            <w:bottom w:w="0" w:type="dxa"/>
            <w:right w:w="108" w:type="dxa"/>
          </w:tblCellMar>
        </w:tblPrEx>
        <w:trPr>
          <w:trHeight w:val="285"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80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雨水管网液位计算</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计算雨水管网的液位</w:t>
            </w:r>
          </w:p>
        </w:tc>
      </w:tr>
      <w:tr>
        <w:tblPrEx>
          <w:tblCellMar>
            <w:top w:w="0" w:type="dxa"/>
            <w:left w:w="108" w:type="dxa"/>
            <w:bottom w:w="0" w:type="dxa"/>
            <w:right w:w="108" w:type="dxa"/>
          </w:tblCellMar>
        </w:tblPrEx>
        <w:trPr>
          <w:trHeight w:val="285"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80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地面积水量计算</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计算地面的积水深度</w:t>
            </w:r>
          </w:p>
        </w:tc>
      </w:tr>
      <w:tr>
        <w:tblPrEx>
          <w:tblCellMar>
            <w:top w:w="0" w:type="dxa"/>
            <w:left w:w="108" w:type="dxa"/>
            <w:bottom w:w="0" w:type="dxa"/>
            <w:right w:w="108" w:type="dxa"/>
          </w:tblCellMar>
        </w:tblPrEx>
        <w:trPr>
          <w:trHeight w:val="285"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80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积水结果数据接入</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将积水结果数据接入市级内涝平台</w:t>
            </w:r>
          </w:p>
        </w:tc>
      </w:tr>
      <w:tr>
        <w:tblPrEx>
          <w:tblCellMar>
            <w:top w:w="0" w:type="dxa"/>
            <w:left w:w="108" w:type="dxa"/>
            <w:bottom w:w="0" w:type="dxa"/>
            <w:right w:w="108" w:type="dxa"/>
          </w:tblCellMar>
        </w:tblPrEx>
        <w:trPr>
          <w:trHeight w:val="285"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80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内涝预测预警平台</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天气预报数据接入</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将天气预报数据接入内涝预测预警平台</w:t>
            </w:r>
          </w:p>
        </w:tc>
      </w:tr>
      <w:tr>
        <w:tblPrEx>
          <w:tblCellMar>
            <w:top w:w="0" w:type="dxa"/>
            <w:left w:w="108" w:type="dxa"/>
            <w:bottom w:w="0" w:type="dxa"/>
            <w:right w:w="108" w:type="dxa"/>
          </w:tblCellMar>
        </w:tblPrEx>
        <w:trPr>
          <w:trHeight w:val="285"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80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排水分区内涝建模结果接入</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将地面积水数据接入内涝预测预警平台</w:t>
            </w:r>
          </w:p>
        </w:tc>
      </w:tr>
      <w:tr>
        <w:tblPrEx>
          <w:tblCellMar>
            <w:top w:w="0" w:type="dxa"/>
            <w:left w:w="108" w:type="dxa"/>
            <w:bottom w:w="0" w:type="dxa"/>
            <w:right w:w="108" w:type="dxa"/>
          </w:tblCellMar>
        </w:tblPrEx>
        <w:trPr>
          <w:trHeight w:val="285"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80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现场巡查数据接入</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将现场巡查数据接入内涝预测预警平台</w:t>
            </w:r>
          </w:p>
        </w:tc>
      </w:tr>
      <w:tr>
        <w:tblPrEx>
          <w:tblCellMar>
            <w:top w:w="0" w:type="dxa"/>
            <w:left w:w="108" w:type="dxa"/>
            <w:bottom w:w="0" w:type="dxa"/>
            <w:right w:w="108" w:type="dxa"/>
          </w:tblCellMar>
        </w:tblPrEx>
        <w:trPr>
          <w:trHeight w:val="285"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80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内涝预测预警平台</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积水信息的可视化展示</w:t>
            </w:r>
          </w:p>
        </w:tc>
      </w:tr>
      <w:tr>
        <w:tblPrEx>
          <w:tblCellMar>
            <w:top w:w="0" w:type="dxa"/>
            <w:left w:w="108" w:type="dxa"/>
            <w:bottom w:w="0" w:type="dxa"/>
            <w:right w:w="108" w:type="dxa"/>
          </w:tblCellMar>
        </w:tblPrEx>
        <w:trPr>
          <w:trHeight w:val="54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80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内涝模型运行维护</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内涝模型实时运行</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在项目服务期内，确保内涝模型24小时不间断运行，及时响应杭州市以及临安区城市内涝治理工作专班的内涝建模需求</w:t>
            </w:r>
          </w:p>
        </w:tc>
      </w:tr>
      <w:tr>
        <w:tblPrEx>
          <w:tblCellMar>
            <w:top w:w="0" w:type="dxa"/>
            <w:left w:w="108" w:type="dxa"/>
            <w:bottom w:w="0" w:type="dxa"/>
            <w:right w:w="108" w:type="dxa"/>
          </w:tblCellMar>
        </w:tblPrEx>
        <w:trPr>
          <w:trHeight w:val="54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80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基础数据更新</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不定期维护和更新地面高程、雨水管网、河道分布、历史积水点等基础数据信息</w:t>
            </w:r>
          </w:p>
        </w:tc>
      </w:tr>
      <w:tr>
        <w:tblPrEx>
          <w:tblCellMar>
            <w:top w:w="0" w:type="dxa"/>
            <w:left w:w="108" w:type="dxa"/>
            <w:bottom w:w="0" w:type="dxa"/>
            <w:right w:w="108" w:type="dxa"/>
          </w:tblCellMar>
        </w:tblPrEx>
        <w:trPr>
          <w:trHeight w:val="285"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80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人员驻场</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bidi="ar"/>
              </w:rPr>
              <w:t>需有一名相关技术人员驻场服务</w:t>
            </w:r>
            <w:r>
              <w:rPr>
                <w:rFonts w:hint="eastAsia" w:ascii="宋体" w:hAnsi="宋体" w:cs="宋体"/>
                <w:color w:val="000000"/>
                <w:kern w:val="0"/>
                <w:sz w:val="22"/>
                <w:szCs w:val="22"/>
                <w:lang w:val="en-US" w:eastAsia="zh-CN" w:bidi="ar"/>
              </w:rPr>
              <w:t>,服务期限为1年。</w:t>
            </w:r>
          </w:p>
        </w:tc>
      </w:tr>
    </w:tbl>
    <w:p>
      <w:pPr>
        <w:rPr>
          <w:rFonts w:ascii="宋体" w:hAnsi="宋体" w:cs="宋体"/>
          <w:bCs/>
          <w:sz w:val="24"/>
        </w:rPr>
      </w:pPr>
      <w:r>
        <w:rPr>
          <w:rFonts w:ascii="宋体" w:hAnsi="宋体" w:cs="宋体"/>
          <w:bCs/>
          <w:sz w:val="24"/>
        </w:rPr>
        <w:br w:type="page"/>
      </w:r>
    </w:p>
    <w:p>
      <w:pPr>
        <w:rPr>
          <w:rFonts w:ascii="宋体" w:hAnsi="宋体" w:cs="宋体"/>
          <w:snapToGrid w:val="0"/>
          <w:kern w:val="0"/>
          <w:sz w:val="24"/>
        </w:rPr>
      </w:pPr>
    </w:p>
    <w:p>
      <w:pPr>
        <w:spacing w:line="360" w:lineRule="auto"/>
        <w:ind w:firstLine="2530" w:firstLineChars="700"/>
        <w:outlineLvl w:val="0"/>
        <w:rPr>
          <w:rFonts w:ascii="宋体" w:hAnsi="宋体" w:cs="宋体"/>
          <w:b/>
          <w:sz w:val="36"/>
          <w:szCs w:val="36"/>
        </w:rPr>
      </w:pPr>
      <w:r>
        <w:rPr>
          <w:rFonts w:hint="eastAsia" w:ascii="宋体" w:hAnsi="宋体" w:cs="宋体"/>
          <w:b/>
          <w:sz w:val="36"/>
          <w:szCs w:val="36"/>
        </w:rPr>
        <w:t xml:space="preserve">第四部分   </w:t>
      </w:r>
      <w:bookmarkStart w:id="29" w:name="_Toc184314477"/>
      <w:bookmarkEnd w:id="29"/>
      <w:bookmarkStart w:id="30" w:name="_Toc184308054"/>
      <w:bookmarkEnd w:id="30"/>
      <w:bookmarkStart w:id="31" w:name="_Toc184313308"/>
      <w:bookmarkEnd w:id="31"/>
      <w:bookmarkStart w:id="32" w:name="_Toc184313309"/>
      <w:bookmarkEnd w:id="32"/>
      <w:bookmarkStart w:id="33" w:name="_Toc184308087"/>
      <w:bookmarkEnd w:id="33"/>
      <w:bookmarkStart w:id="34" w:name="_Toc184313257"/>
      <w:bookmarkEnd w:id="34"/>
      <w:bookmarkStart w:id="35" w:name="_Toc184314461"/>
      <w:bookmarkEnd w:id="35"/>
      <w:bookmarkStart w:id="36" w:name="_Toc184308083"/>
      <w:bookmarkEnd w:id="36"/>
      <w:bookmarkStart w:id="37" w:name="_Toc184310337"/>
      <w:bookmarkEnd w:id="37"/>
      <w:bookmarkStart w:id="38" w:name="_Toc184312113"/>
      <w:bookmarkEnd w:id="38"/>
      <w:bookmarkStart w:id="39" w:name="_Toc184314413"/>
      <w:bookmarkEnd w:id="39"/>
      <w:bookmarkStart w:id="40" w:name="_Toc184310277"/>
      <w:bookmarkEnd w:id="40"/>
      <w:bookmarkStart w:id="41" w:name="_Toc184313254"/>
      <w:bookmarkEnd w:id="41"/>
      <w:bookmarkStart w:id="42" w:name="_Toc184310344"/>
      <w:bookmarkEnd w:id="42"/>
      <w:bookmarkStart w:id="43" w:name="_Toc184310313"/>
      <w:bookmarkEnd w:id="43"/>
      <w:bookmarkStart w:id="44" w:name="_Toc184310278"/>
      <w:bookmarkEnd w:id="44"/>
      <w:bookmarkStart w:id="45" w:name="_Toc184313291"/>
      <w:bookmarkEnd w:id="45"/>
      <w:bookmarkStart w:id="46" w:name="_Toc184313277"/>
      <w:bookmarkEnd w:id="46"/>
      <w:bookmarkStart w:id="47" w:name="_Toc184312071"/>
      <w:bookmarkEnd w:id="47"/>
      <w:bookmarkStart w:id="48" w:name="_Toc184308084"/>
      <w:bookmarkEnd w:id="48"/>
      <w:bookmarkStart w:id="49" w:name="_Toc184308046"/>
      <w:bookmarkEnd w:id="49"/>
      <w:bookmarkStart w:id="50" w:name="_Toc184310275"/>
      <w:bookmarkEnd w:id="50"/>
      <w:bookmarkStart w:id="51" w:name="_Toc184308036"/>
      <w:bookmarkEnd w:id="51"/>
      <w:bookmarkStart w:id="52" w:name="_Toc184310312"/>
      <w:bookmarkEnd w:id="52"/>
      <w:bookmarkStart w:id="53" w:name="_Toc184312126"/>
      <w:bookmarkEnd w:id="53"/>
      <w:bookmarkStart w:id="54" w:name="_Toc184308068"/>
      <w:bookmarkEnd w:id="54"/>
      <w:bookmarkStart w:id="55" w:name="_Toc184310282"/>
      <w:bookmarkEnd w:id="55"/>
      <w:bookmarkStart w:id="56" w:name="_Toc184313259"/>
      <w:bookmarkEnd w:id="56"/>
      <w:bookmarkStart w:id="57" w:name="_Toc184314449"/>
      <w:bookmarkEnd w:id="57"/>
      <w:bookmarkStart w:id="58" w:name="_Toc184313290"/>
      <w:bookmarkEnd w:id="58"/>
      <w:bookmarkStart w:id="59" w:name="_Toc184310326"/>
      <w:bookmarkEnd w:id="59"/>
      <w:bookmarkStart w:id="60" w:name="_Toc184314431"/>
      <w:bookmarkEnd w:id="60"/>
      <w:bookmarkStart w:id="61" w:name="_Toc184314452"/>
      <w:bookmarkEnd w:id="61"/>
      <w:bookmarkStart w:id="62" w:name="_Toc184313280"/>
      <w:bookmarkEnd w:id="62"/>
      <w:bookmarkStart w:id="63" w:name="_Toc184310302"/>
      <w:bookmarkEnd w:id="63"/>
      <w:bookmarkStart w:id="64" w:name="_Toc184310321"/>
      <w:bookmarkEnd w:id="64"/>
      <w:bookmarkStart w:id="65" w:name="_Toc184313241"/>
      <w:bookmarkEnd w:id="65"/>
      <w:bookmarkStart w:id="66" w:name="_Toc184312114"/>
      <w:bookmarkEnd w:id="66"/>
      <w:bookmarkStart w:id="67" w:name="_Toc184312098"/>
      <w:bookmarkEnd w:id="67"/>
      <w:bookmarkStart w:id="68" w:name="_Toc184314437"/>
      <w:bookmarkEnd w:id="68"/>
      <w:bookmarkStart w:id="69" w:name="_Toc184312134"/>
      <w:bookmarkEnd w:id="69"/>
      <w:bookmarkStart w:id="70" w:name="_Toc184312070"/>
      <w:bookmarkEnd w:id="70"/>
      <w:bookmarkStart w:id="71" w:name="_Toc184313245"/>
      <w:bookmarkEnd w:id="71"/>
      <w:bookmarkStart w:id="72" w:name="_Toc184308048"/>
      <w:bookmarkEnd w:id="72"/>
      <w:bookmarkStart w:id="73" w:name="_Toc184314458"/>
      <w:bookmarkEnd w:id="73"/>
      <w:bookmarkStart w:id="74" w:name="_Toc184312118"/>
      <w:bookmarkEnd w:id="74"/>
      <w:bookmarkStart w:id="75" w:name="_Toc184310297"/>
      <w:bookmarkEnd w:id="75"/>
      <w:bookmarkStart w:id="76" w:name="_Toc184314446"/>
      <w:bookmarkEnd w:id="76"/>
      <w:bookmarkStart w:id="77" w:name="_Toc184313263"/>
      <w:bookmarkEnd w:id="77"/>
      <w:bookmarkStart w:id="78" w:name="_Toc184312067"/>
      <w:bookmarkEnd w:id="78"/>
      <w:bookmarkStart w:id="79" w:name="_Toc184310338"/>
      <w:bookmarkEnd w:id="79"/>
      <w:bookmarkStart w:id="80" w:name="_Toc184308074"/>
      <w:bookmarkEnd w:id="80"/>
      <w:bookmarkStart w:id="81" w:name="_Toc184308097"/>
      <w:bookmarkEnd w:id="81"/>
      <w:bookmarkStart w:id="82" w:name="_Toc184313307"/>
      <w:bookmarkEnd w:id="82"/>
      <w:bookmarkStart w:id="83" w:name="_Toc184314445"/>
      <w:bookmarkEnd w:id="83"/>
      <w:bookmarkStart w:id="84" w:name="_Toc184310292"/>
      <w:bookmarkEnd w:id="84"/>
      <w:bookmarkStart w:id="85" w:name="_Toc184310276"/>
      <w:bookmarkEnd w:id="85"/>
      <w:bookmarkStart w:id="86" w:name="_Toc184313242"/>
      <w:bookmarkEnd w:id="86"/>
      <w:bookmarkStart w:id="87" w:name="_Toc184314468"/>
      <w:bookmarkEnd w:id="87"/>
      <w:bookmarkStart w:id="88" w:name="_Toc184308039"/>
      <w:bookmarkEnd w:id="88"/>
      <w:bookmarkStart w:id="89" w:name="_Toc184314415"/>
      <w:bookmarkEnd w:id="89"/>
      <w:bookmarkStart w:id="90" w:name="_Toc184314443"/>
      <w:bookmarkEnd w:id="90"/>
      <w:bookmarkStart w:id="91" w:name="_Toc184308053"/>
      <w:bookmarkEnd w:id="91"/>
      <w:bookmarkStart w:id="92" w:name="_Toc184308071"/>
      <w:bookmarkEnd w:id="92"/>
      <w:bookmarkStart w:id="93" w:name="_Toc184314455"/>
      <w:bookmarkEnd w:id="93"/>
      <w:bookmarkStart w:id="94" w:name="_Toc184308079"/>
      <w:bookmarkEnd w:id="94"/>
      <w:bookmarkStart w:id="95" w:name="_Toc184314462"/>
      <w:bookmarkEnd w:id="95"/>
      <w:bookmarkStart w:id="96" w:name="_Toc184314410"/>
      <w:bookmarkEnd w:id="96"/>
      <w:bookmarkStart w:id="97" w:name="_Toc184310294"/>
      <w:bookmarkEnd w:id="97"/>
      <w:bookmarkStart w:id="98" w:name="_Toc184310335"/>
      <w:bookmarkEnd w:id="98"/>
      <w:bookmarkStart w:id="99" w:name="_Toc184310304"/>
      <w:bookmarkEnd w:id="99"/>
      <w:bookmarkStart w:id="100" w:name="_Toc184308077"/>
      <w:bookmarkEnd w:id="100"/>
      <w:bookmarkStart w:id="101" w:name="_Toc184310343"/>
      <w:bookmarkEnd w:id="101"/>
      <w:bookmarkStart w:id="102" w:name="_Toc184314467"/>
      <w:bookmarkEnd w:id="102"/>
      <w:bookmarkStart w:id="103" w:name="_Toc184310329"/>
      <w:bookmarkEnd w:id="103"/>
      <w:bookmarkStart w:id="104" w:name="_Toc184312102"/>
      <w:bookmarkEnd w:id="104"/>
      <w:bookmarkStart w:id="105" w:name="_Toc184308091"/>
      <w:bookmarkEnd w:id="105"/>
      <w:bookmarkStart w:id="106" w:name="_Toc184310305"/>
      <w:bookmarkEnd w:id="106"/>
      <w:bookmarkStart w:id="107" w:name="_Toc184313272"/>
      <w:bookmarkEnd w:id="107"/>
      <w:bookmarkStart w:id="108" w:name="_Toc184313249"/>
      <w:bookmarkEnd w:id="108"/>
      <w:bookmarkStart w:id="109" w:name="_Toc184310306"/>
      <w:bookmarkEnd w:id="109"/>
      <w:bookmarkStart w:id="110" w:name="_Toc184308080"/>
      <w:bookmarkEnd w:id="110"/>
      <w:bookmarkStart w:id="111" w:name="_Toc184312121"/>
      <w:bookmarkEnd w:id="111"/>
      <w:bookmarkStart w:id="112" w:name="_Toc184314438"/>
      <w:bookmarkEnd w:id="112"/>
      <w:bookmarkStart w:id="113" w:name="_Toc184314450"/>
      <w:bookmarkEnd w:id="113"/>
      <w:bookmarkStart w:id="114" w:name="_Toc184314434"/>
      <w:bookmarkEnd w:id="114"/>
      <w:bookmarkStart w:id="115" w:name="_Toc184308066"/>
      <w:bookmarkEnd w:id="115"/>
      <w:bookmarkStart w:id="116" w:name="_Toc184312123"/>
      <w:bookmarkEnd w:id="116"/>
      <w:bookmarkStart w:id="117" w:name="_Toc184308038"/>
      <w:bookmarkEnd w:id="117"/>
      <w:bookmarkStart w:id="118" w:name="_Toc184313286"/>
      <w:bookmarkEnd w:id="118"/>
      <w:bookmarkStart w:id="119" w:name="_Toc184314435"/>
      <w:bookmarkEnd w:id="119"/>
      <w:bookmarkStart w:id="120" w:name="_Toc184308107"/>
      <w:bookmarkEnd w:id="120"/>
      <w:bookmarkStart w:id="121" w:name="_Toc184310318"/>
      <w:bookmarkEnd w:id="121"/>
      <w:bookmarkStart w:id="122" w:name="_Toc184308037"/>
      <w:bookmarkEnd w:id="122"/>
      <w:bookmarkStart w:id="123" w:name="_Toc184308049"/>
      <w:bookmarkEnd w:id="123"/>
      <w:bookmarkStart w:id="124" w:name="_Toc184312074"/>
      <w:bookmarkEnd w:id="124"/>
      <w:bookmarkStart w:id="125" w:name="_Toc184310289"/>
      <w:bookmarkEnd w:id="125"/>
      <w:bookmarkStart w:id="126" w:name="_Toc184308098"/>
      <w:bookmarkEnd w:id="126"/>
      <w:bookmarkStart w:id="127" w:name="_Toc184308061"/>
      <w:bookmarkEnd w:id="127"/>
      <w:bookmarkStart w:id="128" w:name="_Toc184313250"/>
      <w:bookmarkEnd w:id="128"/>
      <w:bookmarkStart w:id="129" w:name="_Toc184310309"/>
      <w:bookmarkEnd w:id="129"/>
      <w:bookmarkStart w:id="130" w:name="_Toc184310273"/>
      <w:bookmarkEnd w:id="130"/>
      <w:bookmarkStart w:id="131" w:name="_Toc184312125"/>
      <w:bookmarkEnd w:id="131"/>
      <w:bookmarkStart w:id="132" w:name="_Toc184314411"/>
      <w:bookmarkEnd w:id="132"/>
      <w:bookmarkStart w:id="133" w:name="_Toc184310339"/>
      <w:bookmarkEnd w:id="133"/>
      <w:bookmarkStart w:id="134" w:name="_Toc184310317"/>
      <w:bookmarkEnd w:id="134"/>
      <w:bookmarkStart w:id="135" w:name="_Toc184313274"/>
      <w:bookmarkEnd w:id="135"/>
      <w:bookmarkStart w:id="136" w:name="_Toc184313266"/>
      <w:bookmarkEnd w:id="136"/>
      <w:bookmarkStart w:id="137" w:name="_Toc184310324"/>
      <w:bookmarkEnd w:id="137"/>
      <w:bookmarkStart w:id="138" w:name="_Toc184314479"/>
      <w:bookmarkEnd w:id="138"/>
      <w:bookmarkStart w:id="139" w:name="_Toc184310341"/>
      <w:bookmarkEnd w:id="139"/>
      <w:bookmarkStart w:id="140" w:name="_Toc184308108"/>
      <w:bookmarkEnd w:id="140"/>
      <w:bookmarkStart w:id="141" w:name="_Toc184308050"/>
      <w:bookmarkEnd w:id="141"/>
      <w:bookmarkStart w:id="142" w:name="_Toc184310310"/>
      <w:bookmarkEnd w:id="142"/>
      <w:bookmarkStart w:id="143" w:name="_Toc184308044"/>
      <w:bookmarkEnd w:id="143"/>
      <w:bookmarkStart w:id="144" w:name="_Toc184314459"/>
      <w:bookmarkEnd w:id="144"/>
      <w:bookmarkStart w:id="145" w:name="_Toc184314424"/>
      <w:bookmarkEnd w:id="145"/>
      <w:bookmarkStart w:id="146" w:name="_Toc184310328"/>
      <w:bookmarkEnd w:id="146"/>
      <w:bookmarkStart w:id="147" w:name="_Toc184314436"/>
      <w:bookmarkEnd w:id="147"/>
      <w:bookmarkStart w:id="148" w:name="_Toc184313243"/>
      <w:bookmarkEnd w:id="148"/>
      <w:bookmarkStart w:id="149" w:name="_Toc184314428"/>
      <w:bookmarkEnd w:id="149"/>
      <w:bookmarkStart w:id="150" w:name="_Toc184310314"/>
      <w:bookmarkEnd w:id="150"/>
      <w:bookmarkStart w:id="151" w:name="_Toc184312106"/>
      <w:bookmarkEnd w:id="151"/>
      <w:bookmarkStart w:id="152" w:name="_Toc184312091"/>
      <w:bookmarkEnd w:id="152"/>
      <w:bookmarkStart w:id="153" w:name="_Toc184310325"/>
      <w:bookmarkEnd w:id="153"/>
      <w:bookmarkStart w:id="154" w:name="_Toc184308078"/>
      <w:bookmarkEnd w:id="154"/>
      <w:bookmarkStart w:id="155" w:name="_Toc184310272"/>
      <w:bookmarkEnd w:id="155"/>
      <w:bookmarkStart w:id="156" w:name="_Toc184314474"/>
      <w:bookmarkEnd w:id="156"/>
      <w:bookmarkStart w:id="157" w:name="_Toc184314416"/>
      <w:bookmarkEnd w:id="157"/>
      <w:bookmarkStart w:id="158" w:name="_Toc184314482"/>
      <w:bookmarkEnd w:id="158"/>
      <w:bookmarkStart w:id="159" w:name="_Toc184312101"/>
      <w:bookmarkEnd w:id="159"/>
      <w:bookmarkStart w:id="160" w:name="_Toc184312128"/>
      <w:bookmarkEnd w:id="160"/>
      <w:bookmarkStart w:id="161" w:name="_Toc184312115"/>
      <w:bookmarkEnd w:id="161"/>
      <w:bookmarkStart w:id="162" w:name="_Toc184314444"/>
      <w:bookmarkEnd w:id="162"/>
      <w:bookmarkStart w:id="163" w:name="_Toc184312073"/>
      <w:bookmarkEnd w:id="163"/>
      <w:bookmarkStart w:id="164" w:name="_Toc184312097"/>
      <w:bookmarkEnd w:id="164"/>
      <w:bookmarkStart w:id="165" w:name="_Toc184308067"/>
      <w:bookmarkEnd w:id="165"/>
      <w:bookmarkStart w:id="166" w:name="_Toc184310303"/>
      <w:bookmarkEnd w:id="166"/>
      <w:bookmarkStart w:id="167" w:name="_Toc184310327"/>
      <w:bookmarkEnd w:id="167"/>
      <w:bookmarkStart w:id="168" w:name="_Toc184312093"/>
      <w:bookmarkEnd w:id="168"/>
      <w:bookmarkStart w:id="169" w:name="_Toc184314412"/>
      <w:bookmarkEnd w:id="169"/>
      <w:bookmarkStart w:id="170" w:name="_Toc184312103"/>
      <w:bookmarkEnd w:id="170"/>
      <w:bookmarkStart w:id="171" w:name="_Toc184314422"/>
      <w:bookmarkEnd w:id="171"/>
      <w:bookmarkStart w:id="172" w:name="_Toc184312080"/>
      <w:bookmarkEnd w:id="172"/>
      <w:bookmarkStart w:id="173" w:name="_Toc184308064"/>
      <w:bookmarkEnd w:id="173"/>
      <w:bookmarkStart w:id="174" w:name="_Toc184310281"/>
      <w:bookmarkEnd w:id="174"/>
      <w:bookmarkStart w:id="175" w:name="_Toc184314433"/>
      <w:bookmarkEnd w:id="175"/>
      <w:bookmarkStart w:id="176" w:name="_Toc184312087"/>
      <w:bookmarkEnd w:id="176"/>
      <w:bookmarkStart w:id="177" w:name="_Toc184310334"/>
      <w:bookmarkEnd w:id="177"/>
      <w:bookmarkStart w:id="178" w:name="_Toc184314473"/>
      <w:bookmarkEnd w:id="178"/>
      <w:bookmarkStart w:id="179" w:name="_Toc184312069"/>
      <w:bookmarkEnd w:id="179"/>
      <w:bookmarkStart w:id="180" w:name="_Toc184312068"/>
      <w:bookmarkEnd w:id="180"/>
      <w:bookmarkStart w:id="181" w:name="_Toc184313252"/>
      <w:bookmarkEnd w:id="181"/>
      <w:bookmarkStart w:id="182" w:name="_Toc184314480"/>
      <w:bookmarkEnd w:id="182"/>
      <w:bookmarkStart w:id="183" w:name="_Toc184308058"/>
      <w:bookmarkEnd w:id="183"/>
      <w:bookmarkStart w:id="184" w:name="_Toc184312104"/>
      <w:bookmarkEnd w:id="184"/>
      <w:bookmarkStart w:id="185" w:name="_Toc184312079"/>
      <w:bookmarkEnd w:id="185"/>
      <w:bookmarkStart w:id="186" w:name="_Toc184314430"/>
      <w:bookmarkEnd w:id="186"/>
      <w:bookmarkStart w:id="187" w:name="_Toc184313251"/>
      <w:bookmarkEnd w:id="187"/>
      <w:bookmarkStart w:id="188" w:name="_Toc184308081"/>
      <w:bookmarkEnd w:id="188"/>
      <w:bookmarkStart w:id="189" w:name="_Toc184308105"/>
      <w:bookmarkEnd w:id="189"/>
      <w:bookmarkStart w:id="190" w:name="_Toc184314418"/>
      <w:bookmarkEnd w:id="190"/>
      <w:bookmarkStart w:id="191" w:name="_Toc184312108"/>
      <w:bookmarkEnd w:id="191"/>
      <w:bookmarkStart w:id="192" w:name="_Toc184308040"/>
      <w:bookmarkEnd w:id="192"/>
      <w:bookmarkStart w:id="193" w:name="_Toc184308043"/>
      <w:bookmarkEnd w:id="193"/>
      <w:bookmarkStart w:id="194" w:name="_Toc184314423"/>
      <w:bookmarkEnd w:id="194"/>
      <w:bookmarkStart w:id="195" w:name="_Toc184314456"/>
      <w:bookmarkEnd w:id="195"/>
      <w:bookmarkStart w:id="196" w:name="_Toc184314427"/>
      <w:bookmarkEnd w:id="196"/>
      <w:bookmarkStart w:id="197" w:name="_Toc184310296"/>
      <w:bookmarkEnd w:id="197"/>
      <w:bookmarkStart w:id="198" w:name="_Toc184312112"/>
      <w:bookmarkEnd w:id="198"/>
      <w:bookmarkStart w:id="199" w:name="_Toc184313265"/>
      <w:bookmarkEnd w:id="199"/>
      <w:bookmarkStart w:id="200" w:name="_Toc184308073"/>
      <w:bookmarkEnd w:id="200"/>
      <w:bookmarkStart w:id="201" w:name="_Toc184312110"/>
      <w:bookmarkEnd w:id="201"/>
      <w:bookmarkStart w:id="202" w:name="_Toc184314420"/>
      <w:bookmarkEnd w:id="202"/>
      <w:bookmarkStart w:id="203" w:name="_Toc184313278"/>
      <w:bookmarkEnd w:id="203"/>
      <w:bookmarkStart w:id="204" w:name="_Toc184312085"/>
      <w:bookmarkEnd w:id="204"/>
      <w:bookmarkStart w:id="205" w:name="_Toc184310320"/>
      <w:bookmarkEnd w:id="205"/>
      <w:bookmarkStart w:id="206" w:name="_Toc184313293"/>
      <w:bookmarkEnd w:id="206"/>
      <w:bookmarkStart w:id="207" w:name="_Toc184308063"/>
      <w:bookmarkEnd w:id="207"/>
      <w:bookmarkStart w:id="208" w:name="_Toc184312100"/>
      <w:bookmarkEnd w:id="208"/>
      <w:bookmarkStart w:id="209" w:name="_Toc184310322"/>
      <w:bookmarkEnd w:id="209"/>
      <w:bookmarkStart w:id="210" w:name="_Toc184310280"/>
      <w:bookmarkEnd w:id="210"/>
      <w:bookmarkStart w:id="211" w:name="_Toc184312130"/>
      <w:bookmarkEnd w:id="211"/>
      <w:bookmarkStart w:id="212" w:name="_Toc184312076"/>
      <w:bookmarkEnd w:id="212"/>
      <w:bookmarkStart w:id="213" w:name="_Toc184313294"/>
      <w:bookmarkEnd w:id="213"/>
      <w:bookmarkStart w:id="214" w:name="_Toc184308045"/>
      <w:bookmarkEnd w:id="214"/>
      <w:bookmarkStart w:id="215" w:name="_Toc184314439"/>
      <w:bookmarkEnd w:id="215"/>
      <w:bookmarkStart w:id="216" w:name="_Toc184312138"/>
      <w:bookmarkEnd w:id="216"/>
      <w:bookmarkStart w:id="217" w:name="_Toc184308102"/>
      <w:bookmarkEnd w:id="217"/>
      <w:bookmarkStart w:id="218" w:name="_Toc184314463"/>
      <w:bookmarkEnd w:id="218"/>
      <w:bookmarkStart w:id="219" w:name="_Toc184312107"/>
      <w:bookmarkEnd w:id="219"/>
      <w:bookmarkStart w:id="220" w:name="_Toc184310331"/>
      <w:bookmarkEnd w:id="220"/>
      <w:bookmarkStart w:id="221" w:name="_Toc184314440"/>
      <w:bookmarkEnd w:id="221"/>
      <w:bookmarkStart w:id="222" w:name="_Toc184310299"/>
      <w:bookmarkEnd w:id="222"/>
      <w:bookmarkStart w:id="223" w:name="_Toc184312139"/>
      <w:bookmarkEnd w:id="223"/>
      <w:bookmarkStart w:id="224" w:name="_Toc184308070"/>
      <w:bookmarkEnd w:id="224"/>
      <w:bookmarkStart w:id="225" w:name="_Toc184312086"/>
      <w:bookmarkEnd w:id="225"/>
      <w:bookmarkStart w:id="226" w:name="_Toc184312137"/>
      <w:bookmarkEnd w:id="226"/>
      <w:bookmarkStart w:id="227" w:name="_Toc184310283"/>
      <w:bookmarkEnd w:id="227"/>
      <w:bookmarkStart w:id="228" w:name="_Toc184310340"/>
      <w:bookmarkEnd w:id="228"/>
      <w:bookmarkStart w:id="229" w:name="_Toc184308082"/>
      <w:bookmarkEnd w:id="229"/>
      <w:bookmarkStart w:id="230" w:name="_Toc184310311"/>
      <w:bookmarkEnd w:id="230"/>
      <w:bookmarkStart w:id="231" w:name="_Toc184314478"/>
      <w:bookmarkEnd w:id="231"/>
      <w:bookmarkStart w:id="232" w:name="_Toc184308057"/>
      <w:bookmarkEnd w:id="232"/>
      <w:bookmarkStart w:id="233" w:name="_Toc184310307"/>
      <w:bookmarkEnd w:id="233"/>
      <w:bookmarkStart w:id="234" w:name="_Toc184312132"/>
      <w:bookmarkEnd w:id="234"/>
      <w:bookmarkStart w:id="235" w:name="_Toc184308055"/>
      <w:bookmarkEnd w:id="235"/>
      <w:bookmarkStart w:id="236" w:name="_Toc184310288"/>
      <w:bookmarkEnd w:id="236"/>
      <w:bookmarkStart w:id="237" w:name="_Toc184308094"/>
      <w:bookmarkEnd w:id="237"/>
      <w:bookmarkStart w:id="238" w:name="_Toc184313285"/>
      <w:bookmarkEnd w:id="238"/>
      <w:bookmarkStart w:id="239" w:name="_Toc184312078"/>
      <w:bookmarkEnd w:id="239"/>
      <w:bookmarkStart w:id="240" w:name="_Toc184313281"/>
      <w:bookmarkEnd w:id="240"/>
      <w:bookmarkStart w:id="241" w:name="_Toc184312120"/>
      <w:bookmarkEnd w:id="241"/>
      <w:bookmarkStart w:id="242" w:name="_Toc184313283"/>
      <w:bookmarkEnd w:id="242"/>
      <w:bookmarkStart w:id="243" w:name="_Toc184314447"/>
      <w:bookmarkEnd w:id="243"/>
      <w:bookmarkStart w:id="244" w:name="_Toc184313292"/>
      <w:bookmarkEnd w:id="244"/>
      <w:bookmarkStart w:id="245" w:name="_Toc184313244"/>
      <w:bookmarkEnd w:id="245"/>
      <w:bookmarkStart w:id="246" w:name="_Toc184312077"/>
      <w:bookmarkEnd w:id="246"/>
      <w:bookmarkStart w:id="247" w:name="_Toc184313284"/>
      <w:bookmarkEnd w:id="247"/>
      <w:bookmarkStart w:id="248" w:name="_Toc184313268"/>
      <w:bookmarkEnd w:id="248"/>
      <w:bookmarkStart w:id="249" w:name="_Toc184313310"/>
      <w:bookmarkEnd w:id="249"/>
      <w:bookmarkStart w:id="250" w:name="_Toc184312084"/>
      <w:bookmarkEnd w:id="250"/>
      <w:bookmarkStart w:id="251" w:name="_Toc184314476"/>
      <w:bookmarkEnd w:id="251"/>
      <w:bookmarkStart w:id="252" w:name="_Toc184310300"/>
      <w:bookmarkEnd w:id="252"/>
      <w:bookmarkStart w:id="253" w:name="_Toc184310308"/>
      <w:bookmarkEnd w:id="253"/>
      <w:bookmarkStart w:id="254" w:name="_Toc184312117"/>
      <w:bookmarkEnd w:id="254"/>
      <w:bookmarkStart w:id="255" w:name="_Toc184313267"/>
      <w:bookmarkEnd w:id="255"/>
      <w:bookmarkStart w:id="256" w:name="_Toc184308076"/>
      <w:bookmarkEnd w:id="256"/>
      <w:bookmarkStart w:id="257" w:name="_Toc184310333"/>
      <w:bookmarkEnd w:id="257"/>
      <w:bookmarkStart w:id="258" w:name="_Toc184313306"/>
      <w:bookmarkEnd w:id="258"/>
      <w:bookmarkStart w:id="259" w:name="_Toc184312116"/>
      <w:bookmarkEnd w:id="259"/>
      <w:bookmarkStart w:id="260" w:name="_Toc184308060"/>
      <w:bookmarkEnd w:id="260"/>
      <w:bookmarkStart w:id="261" w:name="_Toc184312109"/>
      <w:bookmarkEnd w:id="261"/>
      <w:bookmarkStart w:id="262" w:name="_Toc184312127"/>
      <w:bookmarkEnd w:id="262"/>
      <w:bookmarkStart w:id="263" w:name="_Toc184314470"/>
      <w:bookmarkEnd w:id="263"/>
      <w:bookmarkStart w:id="264" w:name="_Toc184310330"/>
      <w:bookmarkEnd w:id="264"/>
      <w:bookmarkStart w:id="265" w:name="_Toc184308103"/>
      <w:bookmarkEnd w:id="265"/>
      <w:bookmarkStart w:id="266" w:name="_Toc184314460"/>
      <w:bookmarkEnd w:id="266"/>
      <w:bookmarkStart w:id="267" w:name="_Toc184313247"/>
      <w:bookmarkEnd w:id="267"/>
      <w:bookmarkStart w:id="268" w:name="_Toc184314454"/>
      <w:bookmarkEnd w:id="268"/>
      <w:bookmarkStart w:id="269" w:name="_Toc184308104"/>
      <w:bookmarkEnd w:id="269"/>
      <w:bookmarkStart w:id="270" w:name="_Toc184314429"/>
      <w:bookmarkEnd w:id="270"/>
      <w:bookmarkStart w:id="271" w:name="_Toc184313296"/>
      <w:bookmarkEnd w:id="271"/>
      <w:bookmarkStart w:id="272" w:name="_Toc184308088"/>
      <w:bookmarkEnd w:id="272"/>
      <w:bookmarkStart w:id="273" w:name="_Toc184314442"/>
      <w:bookmarkEnd w:id="273"/>
      <w:bookmarkStart w:id="274" w:name="_Toc184313271"/>
      <w:bookmarkEnd w:id="274"/>
      <w:bookmarkStart w:id="275" w:name="_Toc184310342"/>
      <w:bookmarkEnd w:id="275"/>
      <w:bookmarkStart w:id="276" w:name="_Toc184313273"/>
      <w:bookmarkEnd w:id="276"/>
      <w:bookmarkStart w:id="277" w:name="_Toc184313295"/>
      <w:bookmarkEnd w:id="277"/>
      <w:bookmarkStart w:id="278" w:name="_Toc184313270"/>
      <w:bookmarkEnd w:id="278"/>
      <w:bookmarkStart w:id="279" w:name="_Toc184308069"/>
      <w:bookmarkEnd w:id="279"/>
      <w:bookmarkStart w:id="280" w:name="_Toc184312096"/>
      <w:bookmarkEnd w:id="280"/>
      <w:bookmarkStart w:id="281" w:name="_Toc184313260"/>
      <w:bookmarkEnd w:id="281"/>
      <w:bookmarkStart w:id="282" w:name="_Toc184312075"/>
      <w:bookmarkEnd w:id="282"/>
      <w:bookmarkStart w:id="283" w:name="_Toc184310274"/>
      <w:bookmarkEnd w:id="283"/>
      <w:bookmarkStart w:id="284" w:name="_Toc184313304"/>
      <w:bookmarkEnd w:id="284"/>
      <w:bookmarkStart w:id="285" w:name="_Toc184312119"/>
      <w:bookmarkEnd w:id="285"/>
      <w:bookmarkStart w:id="286" w:name="_Toc184314419"/>
      <w:bookmarkEnd w:id="286"/>
      <w:bookmarkStart w:id="287" w:name="_Toc184312133"/>
      <w:bookmarkEnd w:id="287"/>
      <w:bookmarkStart w:id="288" w:name="_Toc184308085"/>
      <w:bookmarkEnd w:id="288"/>
      <w:bookmarkStart w:id="289" w:name="_Toc184314448"/>
      <w:bookmarkEnd w:id="289"/>
      <w:bookmarkStart w:id="290" w:name="_Toc184308075"/>
      <w:bookmarkEnd w:id="290"/>
      <w:bookmarkStart w:id="291" w:name="_Toc184310323"/>
      <w:bookmarkEnd w:id="291"/>
      <w:bookmarkStart w:id="292" w:name="_Toc184313275"/>
      <w:bookmarkEnd w:id="292"/>
      <w:bookmarkStart w:id="293" w:name="_Toc184308052"/>
      <w:bookmarkEnd w:id="293"/>
      <w:bookmarkStart w:id="294" w:name="_Toc184312088"/>
      <w:bookmarkEnd w:id="294"/>
      <w:bookmarkStart w:id="295" w:name="_Toc184313239"/>
      <w:bookmarkEnd w:id="295"/>
      <w:bookmarkStart w:id="296" w:name="_Toc184314465"/>
      <w:bookmarkEnd w:id="296"/>
      <w:bookmarkStart w:id="297" w:name="_Toc184310298"/>
      <w:bookmarkEnd w:id="297"/>
      <w:bookmarkStart w:id="298" w:name="_Toc184308100"/>
      <w:bookmarkEnd w:id="298"/>
      <w:bookmarkStart w:id="299" w:name="_Toc184312124"/>
      <w:bookmarkEnd w:id="299"/>
      <w:bookmarkStart w:id="300" w:name="_Toc184312095"/>
      <w:bookmarkEnd w:id="300"/>
      <w:bookmarkStart w:id="301" w:name="_Toc184313238"/>
      <w:bookmarkEnd w:id="301"/>
      <w:bookmarkStart w:id="302" w:name="_Toc184313246"/>
      <w:bookmarkEnd w:id="302"/>
      <w:bookmarkStart w:id="303" w:name="_Toc184312094"/>
      <w:bookmarkEnd w:id="303"/>
      <w:bookmarkStart w:id="304" w:name="_Toc184308062"/>
      <w:bookmarkEnd w:id="304"/>
      <w:bookmarkStart w:id="305" w:name="_Toc184308086"/>
      <w:bookmarkEnd w:id="305"/>
      <w:bookmarkStart w:id="306" w:name="_Toc184312129"/>
      <w:bookmarkEnd w:id="306"/>
      <w:bookmarkStart w:id="307" w:name="_Toc184313299"/>
      <w:bookmarkEnd w:id="307"/>
      <w:bookmarkStart w:id="308" w:name="_Toc184308047"/>
      <w:bookmarkEnd w:id="308"/>
      <w:bookmarkStart w:id="309" w:name="_Toc184312092"/>
      <w:bookmarkEnd w:id="309"/>
      <w:bookmarkStart w:id="310" w:name="_Toc184310293"/>
      <w:bookmarkEnd w:id="310"/>
      <w:bookmarkStart w:id="311" w:name="_Toc184308042"/>
      <w:bookmarkEnd w:id="311"/>
      <w:bookmarkStart w:id="312" w:name="_Toc184308092"/>
      <w:bookmarkEnd w:id="312"/>
      <w:bookmarkStart w:id="313" w:name="_Toc184313287"/>
      <w:bookmarkEnd w:id="313"/>
      <w:bookmarkStart w:id="314" w:name="_Toc184314475"/>
      <w:bookmarkEnd w:id="314"/>
      <w:bookmarkStart w:id="315" w:name="_Toc184308089"/>
      <w:bookmarkEnd w:id="315"/>
      <w:bookmarkStart w:id="316" w:name="_Toc184313288"/>
      <w:bookmarkEnd w:id="316"/>
      <w:bookmarkStart w:id="317" w:name="_Toc184308059"/>
      <w:bookmarkEnd w:id="317"/>
      <w:bookmarkStart w:id="318" w:name="_Toc184313255"/>
      <w:bookmarkEnd w:id="318"/>
      <w:bookmarkStart w:id="319" w:name="_Toc184313305"/>
      <w:bookmarkEnd w:id="319"/>
      <w:bookmarkStart w:id="320" w:name="_Toc184312090"/>
      <w:bookmarkEnd w:id="320"/>
      <w:bookmarkStart w:id="321" w:name="_Toc184313261"/>
      <w:bookmarkEnd w:id="321"/>
      <w:bookmarkStart w:id="322" w:name="_Toc184312082"/>
      <w:bookmarkEnd w:id="322"/>
      <w:bookmarkStart w:id="323" w:name="_Toc184308041"/>
      <w:bookmarkEnd w:id="323"/>
      <w:bookmarkStart w:id="324" w:name="_Toc184313279"/>
      <w:bookmarkEnd w:id="324"/>
      <w:bookmarkStart w:id="325" w:name="_Toc184314469"/>
      <w:bookmarkEnd w:id="325"/>
      <w:bookmarkStart w:id="326" w:name="_Toc184312072"/>
      <w:bookmarkEnd w:id="326"/>
      <w:bookmarkStart w:id="327" w:name="_Toc184310319"/>
      <w:bookmarkEnd w:id="327"/>
      <w:bookmarkStart w:id="328" w:name="_Toc184314472"/>
      <w:bookmarkEnd w:id="328"/>
      <w:bookmarkStart w:id="329" w:name="_Toc184312131"/>
      <w:bookmarkEnd w:id="329"/>
      <w:bookmarkStart w:id="330" w:name="_Toc184314481"/>
      <w:bookmarkEnd w:id="330"/>
      <w:bookmarkStart w:id="331" w:name="_Toc184308056"/>
      <w:bookmarkEnd w:id="331"/>
      <w:bookmarkStart w:id="332" w:name="_Toc184310332"/>
      <w:bookmarkEnd w:id="332"/>
      <w:bookmarkStart w:id="333" w:name="_Toc184314432"/>
      <w:bookmarkEnd w:id="333"/>
      <w:bookmarkStart w:id="334" w:name="_Toc184312111"/>
      <w:bookmarkEnd w:id="334"/>
      <w:bookmarkStart w:id="335" w:name="_Toc184310284"/>
      <w:bookmarkEnd w:id="335"/>
      <w:bookmarkStart w:id="336" w:name="_Toc184310287"/>
      <w:bookmarkEnd w:id="336"/>
      <w:bookmarkStart w:id="337" w:name="_Toc184314453"/>
      <w:bookmarkEnd w:id="337"/>
      <w:bookmarkStart w:id="338" w:name="_Toc184308093"/>
      <w:bookmarkEnd w:id="338"/>
      <w:bookmarkStart w:id="339" w:name="_Toc184312089"/>
      <w:bookmarkEnd w:id="339"/>
      <w:bookmarkStart w:id="340" w:name="_Toc184310279"/>
      <w:bookmarkEnd w:id="340"/>
      <w:bookmarkStart w:id="341" w:name="_Toc184308106"/>
      <w:bookmarkEnd w:id="341"/>
      <w:bookmarkStart w:id="342" w:name="_Toc184310290"/>
      <w:bookmarkEnd w:id="342"/>
      <w:bookmarkStart w:id="343" w:name="_Toc184313289"/>
      <w:bookmarkEnd w:id="343"/>
      <w:bookmarkStart w:id="344" w:name="_Toc184310286"/>
      <w:bookmarkEnd w:id="344"/>
      <w:bookmarkStart w:id="345" w:name="_Toc184314457"/>
      <w:bookmarkEnd w:id="345"/>
      <w:bookmarkStart w:id="346" w:name="_Toc184313282"/>
      <w:bookmarkEnd w:id="346"/>
      <w:bookmarkStart w:id="347" w:name="_Toc184310315"/>
      <w:bookmarkEnd w:id="347"/>
      <w:bookmarkStart w:id="348" w:name="_Toc184310285"/>
      <w:bookmarkEnd w:id="348"/>
      <w:bookmarkStart w:id="349" w:name="_Toc184313253"/>
      <w:bookmarkEnd w:id="349"/>
      <w:bookmarkStart w:id="350" w:name="_Toc184310301"/>
      <w:bookmarkEnd w:id="350"/>
      <w:bookmarkStart w:id="351" w:name="_Toc184314451"/>
      <w:bookmarkEnd w:id="351"/>
      <w:bookmarkStart w:id="352" w:name="_Toc184308051"/>
      <w:bookmarkEnd w:id="352"/>
      <w:bookmarkStart w:id="353" w:name="_Toc184308099"/>
      <w:bookmarkEnd w:id="353"/>
      <w:bookmarkStart w:id="354" w:name="_Toc184308096"/>
      <w:bookmarkEnd w:id="354"/>
      <w:bookmarkStart w:id="355" w:name="_Toc184314426"/>
      <w:bookmarkEnd w:id="355"/>
      <w:bookmarkStart w:id="356" w:name="_Toc184313303"/>
      <w:bookmarkEnd w:id="356"/>
      <w:bookmarkStart w:id="357" w:name="_Toc184313302"/>
      <w:bookmarkEnd w:id="357"/>
      <w:bookmarkStart w:id="358" w:name="_Toc184312081"/>
      <w:bookmarkEnd w:id="358"/>
      <w:bookmarkStart w:id="359" w:name="_Toc184314421"/>
      <w:bookmarkEnd w:id="359"/>
      <w:bookmarkStart w:id="360" w:name="_Toc184313258"/>
      <w:bookmarkEnd w:id="360"/>
      <w:bookmarkStart w:id="361" w:name="_Toc184310336"/>
      <w:bookmarkEnd w:id="361"/>
      <w:bookmarkStart w:id="362" w:name="_Toc184313264"/>
      <w:bookmarkEnd w:id="362"/>
      <w:bookmarkStart w:id="363" w:name="_Toc184312105"/>
      <w:bookmarkEnd w:id="363"/>
      <w:bookmarkStart w:id="364" w:name="_Toc184312136"/>
      <w:bookmarkEnd w:id="364"/>
      <w:bookmarkStart w:id="365" w:name="_Toc184308095"/>
      <w:bookmarkEnd w:id="365"/>
      <w:bookmarkStart w:id="366" w:name="_Toc184312122"/>
      <w:bookmarkEnd w:id="366"/>
      <w:bookmarkStart w:id="367" w:name="_Toc184314466"/>
      <w:bookmarkEnd w:id="367"/>
      <w:bookmarkStart w:id="368" w:name="_Toc184313300"/>
      <w:bookmarkEnd w:id="368"/>
      <w:bookmarkStart w:id="369" w:name="_Toc184314425"/>
      <w:bookmarkEnd w:id="369"/>
      <w:bookmarkStart w:id="370" w:name="_Toc184310291"/>
      <w:bookmarkEnd w:id="370"/>
      <w:bookmarkStart w:id="371" w:name="_Toc184313262"/>
      <w:bookmarkEnd w:id="371"/>
      <w:bookmarkStart w:id="372" w:name="_Toc184308072"/>
      <w:bookmarkEnd w:id="372"/>
      <w:bookmarkStart w:id="373" w:name="_Toc184313298"/>
      <w:bookmarkEnd w:id="373"/>
      <w:bookmarkStart w:id="374" w:name="_Toc184313240"/>
      <w:bookmarkEnd w:id="374"/>
      <w:bookmarkStart w:id="375" w:name="_Toc184308065"/>
      <w:bookmarkEnd w:id="375"/>
      <w:bookmarkStart w:id="376" w:name="_Toc184313276"/>
      <w:bookmarkEnd w:id="376"/>
      <w:bookmarkStart w:id="377" w:name="_Toc184313297"/>
      <w:bookmarkEnd w:id="377"/>
      <w:bookmarkStart w:id="378" w:name="_Toc184312135"/>
      <w:bookmarkEnd w:id="378"/>
      <w:bookmarkStart w:id="379" w:name="_Toc184313269"/>
      <w:bookmarkEnd w:id="379"/>
      <w:bookmarkStart w:id="380" w:name="_Toc184310316"/>
      <w:bookmarkEnd w:id="380"/>
      <w:bookmarkStart w:id="381" w:name="_Toc184313248"/>
      <w:bookmarkEnd w:id="381"/>
      <w:bookmarkStart w:id="382" w:name="_Toc184312099"/>
      <w:bookmarkEnd w:id="382"/>
      <w:bookmarkStart w:id="383" w:name="_Toc184314441"/>
      <w:bookmarkEnd w:id="383"/>
      <w:bookmarkStart w:id="384" w:name="_Toc184312083"/>
      <w:bookmarkEnd w:id="384"/>
      <w:bookmarkStart w:id="385" w:name="_Toc184313301"/>
      <w:bookmarkEnd w:id="385"/>
      <w:bookmarkStart w:id="386" w:name="_Toc184314417"/>
      <w:bookmarkEnd w:id="386"/>
      <w:bookmarkStart w:id="387" w:name="_Toc184310295"/>
      <w:bookmarkEnd w:id="387"/>
      <w:bookmarkStart w:id="388" w:name="_Toc184308090"/>
      <w:bookmarkEnd w:id="388"/>
      <w:bookmarkStart w:id="389" w:name="_Toc184314471"/>
      <w:bookmarkEnd w:id="389"/>
      <w:bookmarkStart w:id="390" w:name="_Toc184314464"/>
      <w:bookmarkEnd w:id="390"/>
      <w:bookmarkStart w:id="391" w:name="_Toc184313256"/>
      <w:bookmarkEnd w:id="391"/>
      <w:bookmarkStart w:id="392" w:name="_Toc184308101"/>
      <w:bookmarkEnd w:id="392"/>
      <w:bookmarkStart w:id="393" w:name="_Toc184314414"/>
      <w:bookmarkEnd w:id="393"/>
      <w:r>
        <w:rPr>
          <w:rFonts w:hint="eastAsia" w:ascii="宋体" w:hAnsi="宋体" w:cs="宋体"/>
          <w:b/>
          <w:sz w:val="36"/>
          <w:szCs w:val="36"/>
        </w:rPr>
        <w:t>评标办法</w:t>
      </w:r>
    </w:p>
    <w:p>
      <w:pPr>
        <w:snapToGrid w:val="0"/>
        <w:spacing w:line="360" w:lineRule="auto"/>
        <w:jc w:val="center"/>
        <w:rPr>
          <w:rFonts w:ascii="仿宋" w:hAnsi="仿宋" w:eastAsia="仿宋" w:cs="仿宋_GB2312"/>
          <w:b/>
          <w:color w:val="000000"/>
          <w:sz w:val="32"/>
          <w:szCs w:val="20"/>
        </w:rPr>
      </w:pPr>
      <w:r>
        <w:rPr>
          <w:rFonts w:hint="eastAsia" w:ascii="仿宋" w:hAnsi="仿宋" w:eastAsia="仿宋" w:cs="仿宋_GB2312"/>
          <w:b/>
          <w:color w:val="000000"/>
          <w:sz w:val="32"/>
          <w:szCs w:val="20"/>
        </w:rPr>
        <w:t>评标办法前附表</w:t>
      </w:r>
    </w:p>
    <w:tbl>
      <w:tblPr>
        <w:tblStyle w:val="17"/>
        <w:tblpPr w:leftFromText="180" w:rightFromText="180" w:vertAnchor="text" w:horzAnchor="page" w:tblpX="1406" w:tblpY="634"/>
        <w:tblOverlap w:val="never"/>
        <w:tblW w:w="53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4540"/>
        <w:gridCol w:w="758"/>
        <w:gridCol w:w="1113"/>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89"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序号</w:t>
            </w:r>
          </w:p>
        </w:tc>
        <w:tc>
          <w:tcPr>
            <w:tcW w:w="2493"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评审标准</w:t>
            </w:r>
          </w:p>
        </w:tc>
        <w:tc>
          <w:tcPr>
            <w:tcW w:w="416"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权重</w:t>
            </w:r>
          </w:p>
        </w:tc>
        <w:tc>
          <w:tcPr>
            <w:tcW w:w="611"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主观分/客观分属性</w:t>
            </w:r>
          </w:p>
        </w:tc>
        <w:tc>
          <w:tcPr>
            <w:tcW w:w="1089"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磋商文件中评审标准相应的商务技术资料目录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2493" w:type="pct"/>
            <w:vAlign w:val="center"/>
          </w:tcPr>
          <w:p>
            <w:pPr>
              <w:spacing w:line="360" w:lineRule="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委根据投标人对项目背景、建设目标及要求的理解程度，对项目概况、自然地理和排水条件、城市易积水点、排水防涝设施、内涝风险评估等的掌握程度等方面进行横向比较，酌情打分，投标文件未阐述不得分。（0-10分）</w:t>
            </w:r>
          </w:p>
        </w:tc>
        <w:tc>
          <w:tcPr>
            <w:tcW w:w="416" w:type="pct"/>
            <w:vAlign w:val="center"/>
          </w:tcPr>
          <w:p>
            <w:pPr>
              <w:spacing w:line="360" w:lineRule="auto"/>
              <w:jc w:val="center"/>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w:t>
            </w:r>
          </w:p>
        </w:tc>
        <w:tc>
          <w:tcPr>
            <w:tcW w:w="611"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主观分</w:t>
            </w:r>
          </w:p>
        </w:tc>
        <w:tc>
          <w:tcPr>
            <w:tcW w:w="1089"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Hans" w:bidi="ar-SA"/>
              </w:rPr>
              <w:t>项目理解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2493" w:type="pct"/>
            <w:vAlign w:val="center"/>
          </w:tcPr>
          <w:p>
            <w:pPr>
              <w:pStyle w:val="23"/>
              <w:spacing w:before="0"/>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评委根据投标人针对临安区所有排水分区进行二级排水分区细致划分设定，提出可行性技术实施方案的科学性、合理性、可行性进行横向比较，酌情打分，投标文件未阐述不得分。（0-6分）</w:t>
            </w:r>
          </w:p>
        </w:tc>
        <w:tc>
          <w:tcPr>
            <w:tcW w:w="416"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611"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主观分</w:t>
            </w:r>
          </w:p>
        </w:tc>
        <w:tc>
          <w:tcPr>
            <w:tcW w:w="1089"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二级排水分区设定实施方案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2493" w:type="pct"/>
            <w:vAlign w:val="center"/>
          </w:tcPr>
          <w:p>
            <w:pPr>
              <w:pStyle w:val="23"/>
              <w:spacing w:before="0"/>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委根据投标人针对地下空间、内涝点、重要排水管网等重点保障区域的雨量、水位、积水深度、视频（共享）等感知设备的共享接入，提出可行性技术实施方案的科学性、合理性、可行性进行横向比较，酌情打分，投标文件未阐述不得分。（0-6分）</w:t>
            </w:r>
          </w:p>
        </w:tc>
        <w:tc>
          <w:tcPr>
            <w:tcW w:w="416"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611"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主观分</w:t>
            </w:r>
          </w:p>
        </w:tc>
        <w:tc>
          <w:tcPr>
            <w:tcW w:w="1089" w:type="pct"/>
            <w:vAlign w:val="center"/>
          </w:tcPr>
          <w:p>
            <w:pPr>
              <w:pStyle w:val="23"/>
              <w:spacing w:before="0"/>
              <w:ind w:firstLine="0" w:firstLineChars="0"/>
              <w:jc w:val="center"/>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感知设备接入建设实施方案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2493" w:type="pct"/>
            <w:vAlign w:val="center"/>
          </w:tcPr>
          <w:p>
            <w:pPr>
              <w:pStyle w:val="23"/>
              <w:spacing w:before="0"/>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评委根据投标人针对20个排水分区的内涝模型建设工作，提出可行性技术实施方案的科学性、合理性、可行性进行横向比较，酌情打分，投标文件未阐述不得分。（0-6分）</w:t>
            </w:r>
          </w:p>
        </w:tc>
        <w:tc>
          <w:tcPr>
            <w:tcW w:w="416"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611"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主观分</w:t>
            </w:r>
          </w:p>
        </w:tc>
        <w:tc>
          <w:tcPr>
            <w:tcW w:w="1089" w:type="pct"/>
            <w:vAlign w:val="center"/>
          </w:tcPr>
          <w:p>
            <w:pPr>
              <w:pStyle w:val="23"/>
              <w:spacing w:before="0"/>
              <w:ind w:firstLine="0" w:firstLineChars="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排水分区内涝建模实施方案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2493" w:type="pct"/>
            <w:vAlign w:val="center"/>
          </w:tcPr>
          <w:p>
            <w:pPr>
              <w:pStyle w:val="23"/>
              <w:spacing w:before="0"/>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评委根据投标人针对内涝预测预警平台研发，提出可行性技术实施方案的科学性、合理性、可行性进行横向比较，酌情打分，投标文件未阐述不得分。（0-6分）</w:t>
            </w:r>
          </w:p>
        </w:tc>
        <w:tc>
          <w:tcPr>
            <w:tcW w:w="416"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611"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主观分</w:t>
            </w:r>
          </w:p>
        </w:tc>
        <w:tc>
          <w:tcPr>
            <w:tcW w:w="1089" w:type="pct"/>
            <w:vAlign w:val="center"/>
          </w:tcPr>
          <w:p>
            <w:pPr>
              <w:pStyle w:val="23"/>
              <w:spacing w:before="0"/>
              <w:ind w:firstLine="0" w:firstLineChars="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内涝预测预警平台实施方案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2493" w:type="pct"/>
            <w:vAlign w:val="center"/>
          </w:tcPr>
          <w:p>
            <w:pPr>
              <w:pStyle w:val="23"/>
              <w:spacing w:before="0"/>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评委根据投标人针对内涝模型运行维护，提出可行性技术实施方案的科学性、合理性、可行性进行横向比较，酌情打分，投标文件未阐述不得分。（0-6分）</w:t>
            </w:r>
          </w:p>
        </w:tc>
        <w:tc>
          <w:tcPr>
            <w:tcW w:w="416"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611"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主观分</w:t>
            </w:r>
          </w:p>
        </w:tc>
        <w:tc>
          <w:tcPr>
            <w:tcW w:w="1089" w:type="pct"/>
            <w:vAlign w:val="center"/>
          </w:tcPr>
          <w:p>
            <w:pPr>
              <w:pStyle w:val="23"/>
              <w:spacing w:before="0"/>
              <w:ind w:firstLine="0" w:firstLineChars="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内涝模型运行维护实施方案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w:t>
            </w:r>
          </w:p>
        </w:tc>
        <w:tc>
          <w:tcPr>
            <w:tcW w:w="2493" w:type="pct"/>
            <w:vAlign w:val="center"/>
          </w:tcPr>
          <w:p>
            <w:pPr>
              <w:pStyle w:val="23"/>
              <w:spacing w:before="0"/>
              <w:ind w:firstLine="0" w:firstLineChars="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评委对投标人进度实施计划、进度保证措施进行横向比较，酌情打分，投标文件未阐述不得分。（0-</w:t>
            </w: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分）</w:t>
            </w:r>
          </w:p>
        </w:tc>
        <w:tc>
          <w:tcPr>
            <w:tcW w:w="416"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611"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主观分</w:t>
            </w:r>
          </w:p>
        </w:tc>
        <w:tc>
          <w:tcPr>
            <w:tcW w:w="1089" w:type="pct"/>
            <w:vAlign w:val="center"/>
          </w:tcPr>
          <w:p>
            <w:pPr>
              <w:pStyle w:val="23"/>
              <w:spacing w:before="0"/>
              <w:ind w:firstLine="0" w:firstLineChars="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进度实施计划与保证措施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w:t>
            </w:r>
          </w:p>
        </w:tc>
        <w:tc>
          <w:tcPr>
            <w:tcW w:w="2493" w:type="pct"/>
            <w:vAlign w:val="center"/>
          </w:tcPr>
          <w:p>
            <w:pPr>
              <w:pStyle w:val="23"/>
              <w:spacing w:before="0"/>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评委对投标人质量控制与质量保证措施进行横向比较，酌情打分，投标文件未阐述不得分。（0-</w:t>
            </w: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分）</w:t>
            </w:r>
          </w:p>
        </w:tc>
        <w:tc>
          <w:tcPr>
            <w:tcW w:w="416"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611"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主观分</w:t>
            </w:r>
          </w:p>
        </w:tc>
        <w:tc>
          <w:tcPr>
            <w:tcW w:w="1089"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Hans" w:bidi="ar-SA"/>
              </w:rPr>
              <w:t>质量控制与质量保证措施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w:t>
            </w:r>
          </w:p>
        </w:tc>
        <w:tc>
          <w:tcPr>
            <w:tcW w:w="2493" w:type="pct"/>
            <w:vAlign w:val="center"/>
          </w:tcPr>
          <w:p>
            <w:pPr>
              <w:pStyle w:val="23"/>
              <w:spacing w:before="0"/>
              <w:ind w:firstLine="0" w:firstLineChars="0"/>
              <w:rPr>
                <w:rFonts w:hint="eastAsia" w:ascii="宋体" w:hAnsi="宋体" w:eastAsia="宋体" w:cs="宋体"/>
                <w:kern w:val="2"/>
                <w:sz w:val="24"/>
                <w:szCs w:val="24"/>
                <w:lang w:val="en-US" w:eastAsia="zh-Hans" w:bidi="ar-SA"/>
              </w:rPr>
            </w:pPr>
            <w:r>
              <w:rPr>
                <w:rFonts w:hint="eastAsia" w:ascii="宋体" w:hAnsi="宋体" w:eastAsia="宋体" w:cs="宋体"/>
                <w:kern w:val="2"/>
                <w:sz w:val="24"/>
                <w:szCs w:val="24"/>
                <w:lang w:val="en-US" w:eastAsia="zh-CN" w:bidi="ar-SA"/>
              </w:rPr>
              <w:t>评委对投标人安全保证与数据保密措施进行横向比较，酌情打分，投标文件未阐述不得分。（0-4分）</w:t>
            </w:r>
          </w:p>
        </w:tc>
        <w:tc>
          <w:tcPr>
            <w:tcW w:w="416"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611"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主观分</w:t>
            </w:r>
          </w:p>
        </w:tc>
        <w:tc>
          <w:tcPr>
            <w:tcW w:w="1089"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zh-CN" w:eastAsia="zh-CN" w:bidi="ar-SA"/>
              </w:rPr>
              <w:t>安全保证与数据保密措施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w:t>
            </w:r>
          </w:p>
        </w:tc>
        <w:tc>
          <w:tcPr>
            <w:tcW w:w="2493" w:type="pct"/>
            <w:vAlign w:val="center"/>
          </w:tcPr>
          <w:p>
            <w:pPr>
              <w:pStyle w:val="23"/>
              <w:spacing w:before="0"/>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评委对投标人提供的售后服务方案、售后服务承诺的可行性、完整性以及服务承诺落实的保障措施进行横向比较，酌情打分，投标文件未阐述不得分。（0-5分）</w:t>
            </w:r>
          </w:p>
        </w:tc>
        <w:tc>
          <w:tcPr>
            <w:tcW w:w="416"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611"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主观分</w:t>
            </w:r>
          </w:p>
        </w:tc>
        <w:tc>
          <w:tcPr>
            <w:tcW w:w="1089"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w:t>
            </w:r>
          </w:p>
        </w:tc>
        <w:tc>
          <w:tcPr>
            <w:tcW w:w="2493" w:type="pct"/>
            <w:vAlign w:val="center"/>
          </w:tcPr>
          <w:p>
            <w:pPr>
              <w:pStyle w:val="23"/>
              <w:numPr>
                <w:ilvl w:val="0"/>
                <w:numId w:val="0"/>
              </w:numPr>
              <w:spacing w:before="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结合采购需求，实地演示内涝预测预警平台，展示排水分区内涝建模结果、现场巡查数据等信息。评委对投标人在视频或地图上演示排水分区内涝区域形成过程；演示内涝预测预警信息；演示内涝预警分级处置过程；演示现场巡查、排查过程；演示积水预测点位展示信息等功能。</w:t>
            </w:r>
          </w:p>
          <w:p>
            <w:pPr>
              <w:pStyle w:val="23"/>
              <w:numPr>
                <w:ilvl w:val="0"/>
                <w:numId w:val="0"/>
              </w:numPr>
              <w:spacing w:before="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每演示一项功能得1分，不演示不得分（0-5分）。</w:t>
            </w:r>
          </w:p>
          <w:p>
            <w:pPr>
              <w:pStyle w:val="23"/>
              <w:spacing w:before="0"/>
              <w:ind w:firstLine="0" w:firstLineChars="0"/>
              <w:rPr>
                <w:rFonts w:hint="eastAsia" w:ascii="宋体" w:hAnsi="宋体" w:eastAsia="宋体" w:cs="宋体"/>
                <w:kern w:val="2"/>
                <w:sz w:val="24"/>
                <w:szCs w:val="24"/>
                <w:lang w:val="en-US" w:eastAsia="zh-CN" w:bidi="ar-SA"/>
              </w:rPr>
            </w:pPr>
          </w:p>
        </w:tc>
        <w:tc>
          <w:tcPr>
            <w:tcW w:w="416"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611"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客观分</w:t>
            </w:r>
          </w:p>
        </w:tc>
        <w:tc>
          <w:tcPr>
            <w:tcW w:w="1089"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平台演示。</w:t>
            </w:r>
          </w:p>
          <w:p>
            <w:pPr>
              <w:pStyle w:val="23"/>
              <w:spacing w:before="0"/>
              <w:ind w:firstLine="0" w:firstLineChars="0"/>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w:t>
            </w:r>
          </w:p>
        </w:tc>
        <w:tc>
          <w:tcPr>
            <w:tcW w:w="2493" w:type="pct"/>
            <w:vAlign w:val="center"/>
          </w:tcPr>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投标人拟派本项目负责人具有高级工程师</w:t>
            </w:r>
            <w:r>
              <w:rPr>
                <w:rFonts w:hint="eastAsia" w:ascii="宋体" w:hAnsi="宋体" w:eastAsia="宋体" w:cs="宋体"/>
                <w:kern w:val="2"/>
                <w:sz w:val="24"/>
                <w:szCs w:val="24"/>
                <w:lang w:val="en-US" w:eastAsia="zh-Hans" w:bidi="ar-SA"/>
              </w:rPr>
              <w:t>（信息化</w:t>
            </w:r>
            <w:r>
              <w:rPr>
                <w:rFonts w:hint="eastAsia" w:ascii="宋体" w:hAnsi="宋体" w:eastAsia="宋体" w:cs="宋体"/>
                <w:kern w:val="2"/>
                <w:sz w:val="24"/>
                <w:szCs w:val="24"/>
                <w:lang w:val="en-US" w:eastAsia="zh-CN" w:bidi="ar-SA"/>
              </w:rPr>
              <w:t>专业</w:t>
            </w:r>
            <w:r>
              <w:rPr>
                <w:rFonts w:hint="eastAsia" w:ascii="宋体" w:hAnsi="宋体" w:eastAsia="宋体" w:cs="宋体"/>
                <w:kern w:val="2"/>
                <w:sz w:val="24"/>
                <w:szCs w:val="24"/>
                <w:lang w:val="en-US" w:eastAsia="zh-Hans" w:bidi="ar-SA"/>
              </w:rPr>
              <w:t>）</w:t>
            </w:r>
            <w:r>
              <w:rPr>
                <w:rFonts w:hint="eastAsia" w:ascii="宋体" w:hAnsi="宋体" w:eastAsia="宋体" w:cs="宋体"/>
                <w:kern w:val="2"/>
                <w:sz w:val="24"/>
                <w:szCs w:val="24"/>
                <w:lang w:val="en-US" w:eastAsia="zh-CN" w:bidi="ar-SA"/>
              </w:rPr>
              <w:t>得2分，中级工程师得1分，不提供不得分。</w:t>
            </w:r>
          </w:p>
          <w:p>
            <w:pPr>
              <w:pStyle w:val="23"/>
              <w:spacing w:before="0" w:line="240" w:lineRule="auto"/>
              <w:ind w:firstLine="0" w:firstLineChars="0"/>
              <w:rPr>
                <w:rFonts w:hint="eastAsia" w:ascii="宋体" w:hAnsi="宋体" w:eastAsia="宋体" w:cs="宋体"/>
                <w:kern w:val="2"/>
                <w:sz w:val="24"/>
                <w:szCs w:val="24"/>
                <w:lang w:val="en-US" w:eastAsia="zh-Hans" w:bidi="ar-SA"/>
              </w:rPr>
            </w:pPr>
            <w:r>
              <w:rPr>
                <w:rFonts w:hint="eastAsia" w:ascii="宋体" w:hAnsi="宋体" w:eastAsia="宋体" w:cs="宋体"/>
                <w:kern w:val="2"/>
                <w:sz w:val="24"/>
                <w:szCs w:val="24"/>
                <w:lang w:val="en-US" w:eastAsia="zh-CN" w:bidi="ar-SA"/>
              </w:rPr>
              <w:t>【证明材料：提供拟派人员清单（包括但不限于：姓名、身份证、项目职责）、近3个月投标人所在公司社保证明、相关证书，证明材料不全或不满足要求的不得分。】</w:t>
            </w:r>
          </w:p>
        </w:tc>
        <w:tc>
          <w:tcPr>
            <w:tcW w:w="416"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611"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客观分</w:t>
            </w:r>
          </w:p>
        </w:tc>
        <w:tc>
          <w:tcPr>
            <w:tcW w:w="1089"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w:t>
            </w:r>
          </w:p>
        </w:tc>
        <w:tc>
          <w:tcPr>
            <w:tcW w:w="2493" w:type="pct"/>
            <w:vAlign w:val="center"/>
          </w:tcPr>
          <w:p>
            <w:pPr>
              <w:pStyle w:val="23"/>
              <w:spacing w:before="0" w:line="240" w:lineRule="auto"/>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Hans" w:bidi="ar-SA"/>
              </w:rPr>
              <w:t>本项目拟派项目组</w:t>
            </w:r>
            <w:r>
              <w:rPr>
                <w:rFonts w:hint="eastAsia" w:ascii="宋体" w:hAnsi="宋体" w:eastAsia="宋体" w:cs="宋体"/>
                <w:kern w:val="2"/>
                <w:sz w:val="24"/>
                <w:szCs w:val="24"/>
                <w:lang w:val="en-US" w:eastAsia="zh-CN" w:bidi="ar-SA"/>
              </w:rPr>
              <w:t>成员</w:t>
            </w:r>
            <w:r>
              <w:rPr>
                <w:rFonts w:hint="eastAsia" w:ascii="宋体" w:hAnsi="宋体" w:eastAsia="宋体" w:cs="宋体"/>
                <w:kern w:val="2"/>
                <w:sz w:val="24"/>
                <w:szCs w:val="24"/>
                <w:lang w:val="en-US" w:eastAsia="zh-Hans" w:bidi="ar-SA"/>
              </w:rPr>
              <w:t>具有</w:t>
            </w:r>
            <w:r>
              <w:rPr>
                <w:rFonts w:hint="eastAsia" w:ascii="宋体" w:hAnsi="宋体" w:eastAsia="宋体" w:cs="宋体"/>
                <w:kern w:val="2"/>
                <w:sz w:val="24"/>
                <w:szCs w:val="24"/>
                <w:lang w:val="en-US" w:eastAsia="zh-CN" w:bidi="ar-SA"/>
              </w:rPr>
              <w:t>中级工程师</w:t>
            </w:r>
            <w:r>
              <w:rPr>
                <w:rFonts w:hint="eastAsia" w:ascii="宋体" w:hAnsi="宋体" w:eastAsia="宋体" w:cs="宋体"/>
                <w:kern w:val="2"/>
                <w:sz w:val="24"/>
                <w:szCs w:val="24"/>
                <w:lang w:val="en-US" w:eastAsia="zh-Hans" w:bidi="ar-SA"/>
              </w:rPr>
              <w:t>（信息化</w:t>
            </w:r>
            <w:r>
              <w:rPr>
                <w:rFonts w:hint="eastAsia" w:ascii="宋体" w:hAnsi="宋体" w:eastAsia="宋体" w:cs="宋体"/>
                <w:kern w:val="2"/>
                <w:sz w:val="24"/>
                <w:szCs w:val="24"/>
                <w:lang w:val="en-US" w:eastAsia="zh-CN" w:bidi="ar-SA"/>
              </w:rPr>
              <w:t>专业</w:t>
            </w:r>
            <w:r>
              <w:rPr>
                <w:rFonts w:hint="eastAsia" w:ascii="宋体" w:hAnsi="宋体" w:eastAsia="宋体" w:cs="宋体"/>
                <w:kern w:val="2"/>
                <w:sz w:val="24"/>
                <w:szCs w:val="24"/>
                <w:lang w:val="en-US" w:eastAsia="zh-Hans" w:bidi="ar-SA"/>
              </w:rPr>
              <w:t>）</w:t>
            </w:r>
            <w:r>
              <w:rPr>
                <w:rFonts w:hint="eastAsia" w:ascii="宋体" w:hAnsi="宋体" w:eastAsia="宋体" w:cs="宋体"/>
                <w:kern w:val="2"/>
                <w:sz w:val="24"/>
                <w:szCs w:val="24"/>
                <w:lang w:val="en-US" w:eastAsia="zh-CN" w:bidi="ar-SA"/>
              </w:rPr>
              <w:t>的每人得0.5分，最高得2分；具有高级工程师</w:t>
            </w:r>
            <w:r>
              <w:rPr>
                <w:rFonts w:hint="eastAsia" w:ascii="宋体" w:hAnsi="宋体" w:eastAsia="宋体" w:cs="宋体"/>
                <w:kern w:val="2"/>
                <w:sz w:val="24"/>
                <w:szCs w:val="24"/>
                <w:lang w:val="en-US" w:eastAsia="zh-Hans" w:bidi="ar-SA"/>
              </w:rPr>
              <w:t>（信息化</w:t>
            </w:r>
            <w:r>
              <w:rPr>
                <w:rFonts w:hint="eastAsia" w:ascii="宋体" w:hAnsi="宋体" w:eastAsia="宋体" w:cs="宋体"/>
                <w:kern w:val="2"/>
                <w:sz w:val="24"/>
                <w:szCs w:val="24"/>
                <w:lang w:val="en-US" w:eastAsia="zh-CN" w:bidi="ar-SA"/>
              </w:rPr>
              <w:t>专业</w:t>
            </w:r>
            <w:r>
              <w:rPr>
                <w:rFonts w:hint="eastAsia" w:ascii="宋体" w:hAnsi="宋体" w:eastAsia="宋体" w:cs="宋体"/>
                <w:kern w:val="2"/>
                <w:sz w:val="24"/>
                <w:szCs w:val="24"/>
                <w:lang w:val="en-US" w:eastAsia="zh-Hans" w:bidi="ar-SA"/>
              </w:rPr>
              <w:t>）</w:t>
            </w:r>
            <w:r>
              <w:rPr>
                <w:rFonts w:hint="eastAsia" w:ascii="宋体" w:hAnsi="宋体" w:eastAsia="宋体" w:cs="宋体"/>
                <w:kern w:val="2"/>
                <w:sz w:val="24"/>
                <w:szCs w:val="24"/>
                <w:lang w:val="en-US" w:eastAsia="zh-CN" w:bidi="ar-SA"/>
              </w:rPr>
              <w:t>的每人得1分，最高得3分。本项共3分，不提供不得分。</w:t>
            </w:r>
          </w:p>
          <w:p>
            <w:pPr>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【证明材料：提供拟派人员清单（包括但不限于：姓名、身份证、项目职责）、近3个月投标人所在公司社保证明、相关证书，证明材料不全或不满足要求的不得分。】</w:t>
            </w:r>
          </w:p>
        </w:tc>
        <w:tc>
          <w:tcPr>
            <w:tcW w:w="416"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611"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客观分</w:t>
            </w:r>
          </w:p>
        </w:tc>
        <w:tc>
          <w:tcPr>
            <w:tcW w:w="1089"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w:t>
            </w:r>
          </w:p>
        </w:tc>
        <w:tc>
          <w:tcPr>
            <w:tcW w:w="2493" w:type="pct"/>
            <w:vAlign w:val="center"/>
          </w:tcPr>
          <w:p>
            <w:pPr>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具有ISO9001质量管理体系认证证书、ISO14001环境管理体系认证证书、ISO27001信息安全管理体系认证证书、ISO20000信息技术服务管理体系认证证书、ISO45001职业健康安全管理体系认证且在有效期内的，每有1个得1分；最高得5分。</w:t>
            </w:r>
          </w:p>
          <w:p>
            <w:pPr>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w:t>
            </w:r>
            <w:r>
              <w:rPr>
                <w:rFonts w:hint="eastAsia" w:ascii="宋体" w:hAnsi="宋体" w:eastAsia="宋体" w:cs="宋体"/>
                <w:kern w:val="2"/>
                <w:sz w:val="24"/>
                <w:szCs w:val="24"/>
                <w:lang w:val="en-US" w:eastAsia="zh-Hans" w:bidi="ar-SA"/>
              </w:rPr>
              <w:t>文件需提供以上证书复印件或扫描件，证书须在有效期内。否则不得分。</w:t>
            </w:r>
            <w:r>
              <w:rPr>
                <w:rFonts w:hint="eastAsia" w:ascii="宋体" w:hAnsi="宋体" w:eastAsia="宋体" w:cs="宋体"/>
                <w:kern w:val="2"/>
                <w:sz w:val="24"/>
                <w:szCs w:val="24"/>
                <w:lang w:val="en-US" w:eastAsia="zh-CN" w:bidi="ar-SA"/>
              </w:rPr>
              <w:t>】</w:t>
            </w:r>
          </w:p>
        </w:tc>
        <w:tc>
          <w:tcPr>
            <w:tcW w:w="416"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611"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客观分</w:t>
            </w:r>
          </w:p>
        </w:tc>
        <w:tc>
          <w:tcPr>
            <w:tcW w:w="1089"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w:t>
            </w:r>
          </w:p>
        </w:tc>
        <w:tc>
          <w:tcPr>
            <w:tcW w:w="2493" w:type="pct"/>
            <w:vAlign w:val="center"/>
          </w:tcPr>
          <w:p>
            <w:pPr>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投标人具有ITSS信息技术服务标准运行维护领域三级及以上资信认证证书得2分，否则不得分。</w:t>
            </w:r>
          </w:p>
          <w:p>
            <w:pPr>
              <w:pStyle w:val="23"/>
              <w:spacing w:before="0" w:line="240" w:lineRule="auto"/>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w:t>
            </w:r>
            <w:r>
              <w:rPr>
                <w:rFonts w:hint="eastAsia" w:ascii="宋体" w:hAnsi="宋体" w:eastAsia="宋体" w:cs="宋体"/>
                <w:kern w:val="2"/>
                <w:sz w:val="24"/>
                <w:szCs w:val="24"/>
                <w:lang w:val="en-US" w:eastAsia="zh-Hans" w:bidi="ar-SA"/>
              </w:rPr>
              <w:t>文件需提供以上证书复印件或扫描件，证书须在有效期内。否则不得分。</w:t>
            </w:r>
            <w:r>
              <w:rPr>
                <w:rFonts w:hint="eastAsia" w:ascii="宋体" w:hAnsi="宋体" w:eastAsia="宋体" w:cs="宋体"/>
                <w:kern w:val="2"/>
                <w:sz w:val="24"/>
                <w:szCs w:val="24"/>
                <w:lang w:val="en-US" w:eastAsia="zh-CN" w:bidi="ar-SA"/>
              </w:rPr>
              <w:t>】</w:t>
            </w:r>
          </w:p>
        </w:tc>
        <w:tc>
          <w:tcPr>
            <w:tcW w:w="416"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611"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客观分</w:t>
            </w:r>
          </w:p>
        </w:tc>
        <w:tc>
          <w:tcPr>
            <w:tcW w:w="1089"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运维能力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w:t>
            </w:r>
          </w:p>
        </w:tc>
        <w:tc>
          <w:tcPr>
            <w:tcW w:w="2493" w:type="pct"/>
            <w:vAlign w:val="center"/>
          </w:tcPr>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投标人自2021年1月1日以来有类似项目业绩的（政府信息化服务类），每有1个得1分，最高得2分。</w:t>
            </w:r>
          </w:p>
          <w:p>
            <w:pPr>
              <w:pStyle w:val="23"/>
              <w:spacing w:before="0" w:line="240" w:lineRule="auto"/>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【提供类似业绩项目的中标通知书及合同协议书，并加盖本单位公章，时间以合同签订时间为准】</w:t>
            </w:r>
          </w:p>
        </w:tc>
        <w:tc>
          <w:tcPr>
            <w:tcW w:w="416"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611"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客观分</w:t>
            </w:r>
          </w:p>
        </w:tc>
        <w:tc>
          <w:tcPr>
            <w:tcW w:w="1089"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同类</w:t>
            </w:r>
            <w:r>
              <w:rPr>
                <w:rFonts w:hint="eastAsia" w:ascii="宋体" w:hAnsi="宋体" w:eastAsia="宋体" w:cs="宋体"/>
                <w:kern w:val="2"/>
                <w:sz w:val="24"/>
                <w:szCs w:val="24"/>
                <w:lang w:val="en-US" w:eastAsia="zh-Hans" w:bidi="ar-SA"/>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w:t>
            </w:r>
          </w:p>
        </w:tc>
        <w:tc>
          <w:tcPr>
            <w:tcW w:w="2493" w:type="pct"/>
            <w:vAlign w:val="center"/>
          </w:tcPr>
          <w:p>
            <w:pPr>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有效最后报价的最低价作为评审基准价，其最低报价为满分；按［最后报价得分=（评审基准价/最后报价）*20］的计算公式计算。</w:t>
            </w:r>
          </w:p>
          <w:p>
            <w:pPr>
              <w:widowControl/>
              <w:shd w:val="clear" w:color="auto" w:fill="FFFFFF"/>
              <w:adjustRightInd/>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评审过程中，不得去掉报价中的最高报价和最低报价。</w:t>
            </w:r>
          </w:p>
        </w:tc>
        <w:tc>
          <w:tcPr>
            <w:tcW w:w="416"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w:t>
            </w:r>
          </w:p>
        </w:tc>
        <w:tc>
          <w:tcPr>
            <w:tcW w:w="611"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tc>
        <w:tc>
          <w:tcPr>
            <w:tcW w:w="1089" w:type="pct"/>
            <w:vAlign w:val="center"/>
          </w:tcPr>
          <w:p>
            <w:pPr>
              <w:pStyle w:val="23"/>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tc>
      </w:tr>
    </w:tbl>
    <w:p>
      <w:pPr>
        <w:snapToGrid w:val="0"/>
        <w:spacing w:line="360" w:lineRule="auto"/>
        <w:rPr>
          <w:rFonts w:hint="eastAsia" w:ascii="宋体" w:hAnsi="宋体" w:eastAsia="宋体" w:cs="宋体"/>
          <w:kern w:val="2"/>
          <w:sz w:val="24"/>
          <w:szCs w:val="24"/>
          <w:lang w:val="en-US" w:eastAsia="zh-CN" w:bidi="ar-SA"/>
        </w:rPr>
      </w:pPr>
    </w:p>
    <w:p>
      <w:pPr>
        <w:snapToGrid w:val="0"/>
        <w:spacing w:line="360" w:lineRule="auto"/>
        <w:rPr>
          <w:rFonts w:ascii="仿宋_GB2312" w:hAnsi="仿宋_GB2312" w:eastAsia="仿宋_GB2312" w:cs="仿宋_GB2312"/>
          <w:sz w:val="24"/>
          <w:szCs w:val="20"/>
        </w:rPr>
      </w:pPr>
      <w:r>
        <w:rPr>
          <w:rFonts w:hint="eastAsia" w:ascii="宋体" w:hAnsi="宋体" w:cs="宋体"/>
          <w:sz w:val="24"/>
        </w:rPr>
        <w:t> *备注：响应方编制响应文件（商务技术文件部分）时，建议按此目录（序号和内容）提供评标标准相应的商务技术资料。</w:t>
      </w:r>
      <w:r>
        <w:rPr>
          <w:rFonts w:hint="eastAsia" w:ascii="仿宋_GB2312" w:hAnsi="仿宋_GB2312" w:eastAsia="仿宋_GB2312" w:cs="仿宋_GB2312"/>
          <w:sz w:val="24"/>
          <w:szCs w:val="20"/>
        </w:rPr>
        <w:t>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23"/>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2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2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2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2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2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23"/>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2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6"/>
        <w:snapToGrid w:val="0"/>
        <w:spacing w:line="360" w:lineRule="auto"/>
        <w:rPr>
          <w:rFonts w:cs="宋体"/>
        </w:rPr>
      </w:pPr>
      <w:r>
        <w:rPr>
          <w:rFonts w:hint="eastAsia" w:cs="宋体"/>
        </w:rPr>
        <w:t>5.1符合专业条件的供应商或者对招标文件作实质响应的供应商不足3家的；</w:t>
      </w:r>
    </w:p>
    <w:p>
      <w:pPr>
        <w:pStyle w:val="6"/>
        <w:snapToGrid w:val="0"/>
        <w:spacing w:line="360" w:lineRule="auto"/>
        <w:rPr>
          <w:rFonts w:cs="宋体"/>
        </w:rPr>
      </w:pPr>
      <w:r>
        <w:rPr>
          <w:rFonts w:hint="eastAsia" w:cs="宋体"/>
        </w:rPr>
        <w:t>5.2出现影响采购公正的违法、违规行为的；</w:t>
      </w:r>
    </w:p>
    <w:p>
      <w:pPr>
        <w:pStyle w:val="6"/>
        <w:snapToGrid w:val="0"/>
        <w:spacing w:line="360" w:lineRule="auto"/>
        <w:rPr>
          <w:rFonts w:cs="宋体"/>
        </w:rPr>
      </w:pPr>
      <w:r>
        <w:rPr>
          <w:rFonts w:hint="eastAsia" w:cs="宋体"/>
        </w:rPr>
        <w:t>5.3投标人的报价均超过了采购预算，采购人不能支付的；</w:t>
      </w:r>
    </w:p>
    <w:p>
      <w:pPr>
        <w:pStyle w:val="6"/>
        <w:snapToGrid w:val="0"/>
        <w:spacing w:line="360" w:lineRule="auto"/>
        <w:rPr>
          <w:rFonts w:cs="宋体"/>
        </w:rPr>
      </w:pPr>
      <w:r>
        <w:rPr>
          <w:rFonts w:hint="eastAsia" w:cs="宋体"/>
        </w:rPr>
        <w:t>5.4因重大变故，采购任务取消的。</w:t>
      </w:r>
    </w:p>
    <w:p>
      <w:pPr>
        <w:pStyle w:val="6"/>
        <w:snapToGrid w:val="0"/>
        <w:spacing w:line="360" w:lineRule="auto"/>
        <w:rPr>
          <w:rFonts w:cs="宋体"/>
        </w:rPr>
      </w:pPr>
      <w:r>
        <w:rPr>
          <w:rFonts w:hint="eastAsia" w:cs="宋体"/>
        </w:rPr>
        <w:t>废标后，采购代理机构应当将废标理由通知所有投标人。</w:t>
      </w:r>
    </w:p>
    <w:p>
      <w:pPr>
        <w:pStyle w:val="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6"/>
        <w:snapToGrid w:val="0"/>
        <w:spacing w:line="360" w:lineRule="auto"/>
        <w:rPr>
          <w:rFonts w:cs="宋体"/>
        </w:rPr>
      </w:pPr>
      <w:r>
        <w:rPr>
          <w:rFonts w:hint="eastAsia" w:cs="宋体"/>
        </w:rPr>
        <w:t>7.1未确定中标供应商的，终止本次政府采购活动，重新开展政府采购活动。</w:t>
      </w:r>
    </w:p>
    <w:p>
      <w:pPr>
        <w:pStyle w:val="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cs="宋体"/>
        </w:rPr>
      </w:pPr>
      <w:r>
        <w:rPr>
          <w:rFonts w:hint="eastAsia" w:cs="宋体"/>
        </w:rPr>
        <w:t>7.4政府采购合同已经履行，给采购人、供应商造成损失的，由责任人承担赔偿责任。</w:t>
      </w:r>
    </w:p>
    <w:p>
      <w:pPr>
        <w:pStyle w:val="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6"/>
        <w:snapToGrid w:val="0"/>
        <w:spacing w:line="360" w:lineRule="auto"/>
        <w:ind w:firstLine="0" w:firstLineChars="0"/>
        <w:rPr>
          <w:rFonts w:cs="宋体"/>
        </w:rPr>
      </w:pPr>
    </w:p>
    <w:bookmarkEnd w:id="27"/>
    <w:p>
      <w:pPr>
        <w:widowControl/>
        <w:adjustRightInd/>
        <w:jc w:val="left"/>
        <w:rPr>
          <w:rFonts w:ascii="宋体" w:hAnsi="宋体" w:cs="宋体"/>
          <w:b/>
          <w:sz w:val="36"/>
          <w:szCs w:val="36"/>
        </w:rPr>
      </w:pPr>
      <w:bookmarkStart w:id="394" w:name="第五部分"/>
      <w:bookmarkStart w:id="395" w:name="_Toc86217003"/>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spacing w:line="480" w:lineRule="auto"/>
        <w:jc w:val="center"/>
        <w:rPr>
          <w:rFonts w:hint="eastAsia" w:ascii="宋体" w:hAnsi="宋体" w:cs="宋体"/>
          <w:sz w:val="24"/>
          <w:lang w:eastAsia="zh-CN"/>
        </w:rPr>
      </w:pPr>
      <w:r>
        <w:rPr>
          <w:rFonts w:hint="eastAsia" w:ascii="宋体" w:hAnsi="宋体" w:cs="宋体"/>
          <w:sz w:val="24"/>
        </w:rPr>
        <w:t>合同编号：</w:t>
      </w:r>
      <w:r>
        <w:rPr>
          <w:rFonts w:hint="eastAsia" w:ascii="宋体" w:hAnsi="宋体" w:cs="宋体"/>
          <w:sz w:val="24"/>
          <w:lang w:eastAsia="zh-CN"/>
        </w:rPr>
        <w:t>[2024]918号-2</w:t>
      </w: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25"/>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2"/>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27"/>
        <w:spacing w:before="120" w:line="22" w:lineRule="atLeast"/>
        <w:rPr>
          <w:rFonts w:ascii="宋体" w:hAnsi="宋体" w:eastAsia="宋体" w:cs="宋体"/>
          <w:szCs w:val="24"/>
        </w:rPr>
      </w:pPr>
    </w:p>
    <w:p>
      <w:pPr>
        <w:pStyle w:val="27"/>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00" w:themeColor="text1"/>
          <w:sz w:val="24"/>
          <w:u w:val="single"/>
          <w14:textFill>
            <w14:solidFill>
              <w14:schemeClr w14:val="tx1"/>
            </w14:solidFill>
          </w14:textFill>
        </w:rPr>
        <w:t>（采购人）</w:t>
      </w:r>
      <w:r>
        <w:rPr>
          <w:rFonts w:ascii="宋体" w:hAnsi="宋体"/>
          <w:color w:val="000000" w:themeColor="text1"/>
          <w:sz w:val="24"/>
          <w:u w:val="single"/>
          <w14:textFill>
            <w14:solidFill>
              <w14:schemeClr w14:val="tx1"/>
            </w14:solidFill>
          </w14:textFill>
        </w:rPr>
        <w:t xml:space="preserve"> </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（项目名称）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00" w:themeColor="text1"/>
          <w:sz w:val="24"/>
          <w:u w:val="single"/>
          <w14:textFill>
            <w14:solidFill>
              <w14:schemeClr w14:val="tx1"/>
            </w14:solidFill>
          </w14:textFill>
        </w:rPr>
        <w:t xml:space="preserve"> （采购人）</w:t>
      </w:r>
      <w:r>
        <w:rPr>
          <w:rFonts w:ascii="宋体" w:hAnsi="宋体"/>
          <w:color w:val="0000FF"/>
          <w:sz w:val="24"/>
          <w:u w:val="single"/>
        </w:rPr>
        <w:t xml:space="preserve">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96" w:name="_Toc19273"/>
      <w:bookmarkStart w:id="397" w:name="_Toc22967"/>
      <w:bookmarkStart w:id="398" w:name="_Toc20421"/>
      <w:bookmarkStart w:id="399" w:name="_Toc15367"/>
      <w:bookmarkStart w:id="400" w:name="_Toc28855"/>
      <w:r>
        <w:rPr>
          <w:rFonts w:ascii="宋体" w:hAnsi="宋体"/>
          <w:b/>
          <w:sz w:val="24"/>
        </w:rPr>
        <w:t xml:space="preserve">1.1 </w:t>
      </w:r>
      <w:r>
        <w:rPr>
          <w:rFonts w:hint="eastAsia" w:ascii="宋体" w:hAnsi="宋体"/>
          <w:b/>
          <w:sz w:val="24"/>
        </w:rPr>
        <w:t>合同组成部分</w:t>
      </w:r>
      <w:bookmarkEnd w:id="396"/>
      <w:bookmarkEnd w:id="397"/>
      <w:bookmarkEnd w:id="398"/>
      <w:bookmarkEnd w:id="399"/>
      <w:bookmarkEnd w:id="400"/>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1" w:name="_Toc2918"/>
      <w:bookmarkStart w:id="402" w:name="_Toc6311"/>
      <w:bookmarkStart w:id="403" w:name="_Toc22185"/>
      <w:bookmarkStart w:id="404" w:name="_Toc18585"/>
      <w:bookmarkStart w:id="405" w:name="_Toc6773"/>
      <w:r>
        <w:rPr>
          <w:rFonts w:ascii="宋体" w:hAnsi="宋体"/>
          <w:b/>
          <w:sz w:val="24"/>
        </w:rPr>
        <w:t xml:space="preserve">1.2 </w:t>
      </w:r>
      <w:r>
        <w:rPr>
          <w:rFonts w:hint="eastAsia" w:ascii="宋体" w:hAnsi="宋体"/>
          <w:b/>
          <w:sz w:val="24"/>
        </w:rPr>
        <w:t>标的</w:t>
      </w:r>
      <w:bookmarkEnd w:id="401"/>
      <w:bookmarkEnd w:id="402"/>
      <w:bookmarkEnd w:id="403"/>
      <w:bookmarkEnd w:id="404"/>
      <w:bookmarkEnd w:id="405"/>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2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06" w:name="_Toc1386"/>
      <w:bookmarkStart w:id="407" w:name="_Toc4929"/>
      <w:bookmarkStart w:id="408" w:name="_Toc5635"/>
      <w:bookmarkStart w:id="409" w:name="_Toc13918"/>
      <w:bookmarkStart w:id="410"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06"/>
      <w:bookmarkEnd w:id="407"/>
      <w:bookmarkEnd w:id="408"/>
      <w:bookmarkEnd w:id="409"/>
      <w:bookmarkEnd w:id="410"/>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9"/>
              <w:spacing w:line="560" w:lineRule="exact"/>
              <w:jc w:val="center"/>
              <w:rPr>
                <w:rFonts w:hAnsi="宋体"/>
                <w:sz w:val="24"/>
                <w:szCs w:val="24"/>
              </w:rPr>
            </w:pPr>
            <w:r>
              <w:rPr>
                <w:rFonts w:hAnsi="宋体"/>
                <w:sz w:val="24"/>
                <w:szCs w:val="24"/>
              </w:rPr>
              <w:t>序号</w:t>
            </w:r>
          </w:p>
        </w:tc>
        <w:tc>
          <w:tcPr>
            <w:tcW w:w="3402" w:type="dxa"/>
            <w:vAlign w:val="center"/>
          </w:tcPr>
          <w:p>
            <w:pPr>
              <w:pStyle w:val="29"/>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29"/>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9"/>
              <w:spacing w:line="560" w:lineRule="exact"/>
              <w:ind w:firstLine="200"/>
              <w:jc w:val="center"/>
              <w:rPr>
                <w:rFonts w:hAnsi="宋体"/>
                <w:sz w:val="24"/>
                <w:szCs w:val="24"/>
              </w:rPr>
            </w:pPr>
          </w:p>
        </w:tc>
        <w:tc>
          <w:tcPr>
            <w:tcW w:w="3402" w:type="dxa"/>
            <w:vAlign w:val="center"/>
          </w:tcPr>
          <w:p>
            <w:pPr>
              <w:pStyle w:val="29"/>
              <w:spacing w:line="560" w:lineRule="exact"/>
              <w:ind w:firstLine="200"/>
              <w:jc w:val="center"/>
              <w:rPr>
                <w:rFonts w:hAnsi="宋体"/>
                <w:sz w:val="24"/>
                <w:szCs w:val="24"/>
              </w:rPr>
            </w:pPr>
          </w:p>
        </w:tc>
        <w:tc>
          <w:tcPr>
            <w:tcW w:w="2552" w:type="dxa"/>
            <w:vAlign w:val="center"/>
          </w:tcPr>
          <w:p>
            <w:pPr>
              <w:pStyle w:val="29"/>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9"/>
              <w:spacing w:line="560" w:lineRule="exact"/>
              <w:ind w:firstLine="200"/>
              <w:jc w:val="center"/>
              <w:rPr>
                <w:rFonts w:hAnsi="宋体"/>
                <w:sz w:val="24"/>
                <w:szCs w:val="24"/>
              </w:rPr>
            </w:pPr>
          </w:p>
        </w:tc>
        <w:tc>
          <w:tcPr>
            <w:tcW w:w="3402" w:type="dxa"/>
            <w:vAlign w:val="center"/>
          </w:tcPr>
          <w:p>
            <w:pPr>
              <w:pStyle w:val="29"/>
              <w:spacing w:line="560" w:lineRule="exact"/>
              <w:ind w:firstLine="200"/>
              <w:jc w:val="center"/>
              <w:rPr>
                <w:rFonts w:hAnsi="宋体"/>
                <w:sz w:val="24"/>
                <w:szCs w:val="24"/>
              </w:rPr>
            </w:pPr>
          </w:p>
        </w:tc>
        <w:tc>
          <w:tcPr>
            <w:tcW w:w="2552" w:type="dxa"/>
            <w:vAlign w:val="center"/>
          </w:tcPr>
          <w:p>
            <w:pPr>
              <w:pStyle w:val="29"/>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9"/>
              <w:spacing w:line="560" w:lineRule="exact"/>
              <w:ind w:firstLine="200"/>
              <w:jc w:val="center"/>
              <w:rPr>
                <w:rFonts w:hAnsi="宋体"/>
                <w:sz w:val="24"/>
                <w:szCs w:val="24"/>
              </w:rPr>
            </w:pPr>
          </w:p>
        </w:tc>
        <w:tc>
          <w:tcPr>
            <w:tcW w:w="3402" w:type="dxa"/>
            <w:vAlign w:val="center"/>
          </w:tcPr>
          <w:p>
            <w:pPr>
              <w:pStyle w:val="29"/>
              <w:spacing w:line="560" w:lineRule="exact"/>
              <w:ind w:firstLine="200"/>
              <w:jc w:val="center"/>
              <w:rPr>
                <w:rFonts w:hAnsi="宋体"/>
                <w:sz w:val="24"/>
                <w:szCs w:val="24"/>
              </w:rPr>
            </w:pPr>
          </w:p>
        </w:tc>
        <w:tc>
          <w:tcPr>
            <w:tcW w:w="2552" w:type="dxa"/>
            <w:vAlign w:val="center"/>
          </w:tcPr>
          <w:p>
            <w:pPr>
              <w:pStyle w:val="29"/>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9"/>
              <w:spacing w:line="560" w:lineRule="exact"/>
              <w:ind w:firstLine="200"/>
              <w:jc w:val="center"/>
              <w:rPr>
                <w:rFonts w:hAnsi="宋体"/>
                <w:sz w:val="24"/>
                <w:szCs w:val="24"/>
              </w:rPr>
            </w:pPr>
          </w:p>
        </w:tc>
        <w:tc>
          <w:tcPr>
            <w:tcW w:w="3402" w:type="dxa"/>
            <w:vAlign w:val="center"/>
          </w:tcPr>
          <w:p>
            <w:pPr>
              <w:pStyle w:val="29"/>
              <w:spacing w:line="560" w:lineRule="exact"/>
              <w:ind w:firstLine="200"/>
              <w:jc w:val="center"/>
              <w:rPr>
                <w:rFonts w:hAnsi="宋体"/>
                <w:sz w:val="24"/>
                <w:szCs w:val="24"/>
              </w:rPr>
            </w:pPr>
          </w:p>
        </w:tc>
        <w:tc>
          <w:tcPr>
            <w:tcW w:w="2552" w:type="dxa"/>
            <w:vAlign w:val="center"/>
          </w:tcPr>
          <w:p>
            <w:pPr>
              <w:pStyle w:val="29"/>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29"/>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29"/>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1" w:name="_Toc14993"/>
      <w:bookmarkStart w:id="412" w:name="_Toc26916"/>
      <w:bookmarkStart w:id="413" w:name="_Toc30506"/>
      <w:bookmarkStart w:id="414" w:name="_Toc3654"/>
      <w:bookmarkStart w:id="415"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2"/>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1"/>
    <w:bookmarkEnd w:id="412"/>
    <w:bookmarkEnd w:id="413"/>
    <w:bookmarkEnd w:id="414"/>
    <w:bookmarkEnd w:id="415"/>
    <w:p>
      <w:pPr>
        <w:pStyle w:val="28"/>
        <w:spacing w:before="0" w:beforeAutospacing="0" w:after="0" w:afterAutospacing="0" w:line="360" w:lineRule="auto"/>
        <w:ind w:firstLine="480"/>
        <w:rPr>
          <w:b/>
        </w:rPr>
      </w:pPr>
      <w:bookmarkStart w:id="416" w:name="_Toc10340"/>
      <w:bookmarkStart w:id="417" w:name="_Toc1814"/>
      <w:bookmarkStart w:id="418" w:name="_Toc22618"/>
      <w:bookmarkStart w:id="419" w:name="_Toc4760"/>
      <w:bookmarkStart w:id="420" w:name="_Toc11108"/>
      <w:bookmarkStart w:id="421" w:name="_Toc8772"/>
      <w:bookmarkStart w:id="422" w:name="_Toc3625"/>
      <w:bookmarkStart w:id="423" w:name="_Toc31421"/>
      <w:r>
        <w:rPr>
          <w:rFonts w:hint="eastAsia"/>
          <w:b/>
        </w:rPr>
        <w:t>1.4履约保证金</w:t>
      </w:r>
    </w:p>
    <w:p>
      <w:pPr>
        <w:pStyle w:val="2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2"/>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6"/>
      <w:bookmarkEnd w:id="417"/>
      <w:bookmarkEnd w:id="418"/>
      <w:r>
        <w:rPr>
          <w:rFonts w:hint="eastAsia" w:ascii="宋体" w:hAnsi="宋体" w:cs="宋体"/>
          <w:b/>
          <w:sz w:val="24"/>
        </w:rPr>
        <w:t>预付款</w:t>
      </w:r>
    </w:p>
    <w:p>
      <w:pPr>
        <w:pStyle w:val="2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2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2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28"/>
        <w:spacing w:before="0" w:beforeAutospacing="0" w:after="0" w:afterAutospacing="0" w:line="360" w:lineRule="auto"/>
        <w:ind w:firstLine="480"/>
        <w:rPr>
          <w:b/>
          <w:bCs/>
        </w:rPr>
      </w:pPr>
      <w:r>
        <w:rPr>
          <w:rFonts w:hint="eastAsia"/>
          <w:b/>
          <w:bCs/>
        </w:rPr>
        <w:t>1.6资金支付</w:t>
      </w:r>
    </w:p>
    <w:p>
      <w:pPr>
        <w:pStyle w:val="2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9"/>
      <w:bookmarkEnd w:id="420"/>
      <w:bookmarkEnd w:id="421"/>
      <w:bookmarkEnd w:id="422"/>
      <w:bookmarkEnd w:id="423"/>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4" w:name="_Toc2375"/>
      <w:bookmarkStart w:id="425" w:name="_Toc24662"/>
      <w:bookmarkStart w:id="426" w:name="_Toc3079"/>
      <w:bookmarkStart w:id="427" w:name="_Toc5698"/>
      <w:bookmarkStart w:id="428" w:name="_Toc8586"/>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4"/>
      <w:bookmarkEnd w:id="425"/>
      <w:bookmarkEnd w:id="426"/>
      <w:bookmarkEnd w:id="427"/>
      <w:bookmarkEnd w:id="428"/>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29" w:name="_Toc9497"/>
      <w:bookmarkStart w:id="430" w:name="_Toc26807"/>
      <w:bookmarkStart w:id="431" w:name="_Toc18683"/>
      <w:bookmarkStart w:id="432" w:name="_Toc30329"/>
      <w:bookmarkStart w:id="433"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9"/>
    <w:bookmarkEnd w:id="430"/>
    <w:bookmarkEnd w:id="431"/>
    <w:bookmarkEnd w:id="432"/>
    <w:bookmarkEnd w:id="433"/>
    <w:p>
      <w:pPr>
        <w:spacing w:line="560" w:lineRule="exact"/>
        <w:ind w:firstLine="482" w:firstLineChars="200"/>
        <w:outlineLvl w:val="0"/>
        <w:rPr>
          <w:rFonts w:ascii="宋体" w:hAnsi="宋体" w:cs="宋体"/>
          <w:b/>
          <w:sz w:val="24"/>
        </w:rPr>
      </w:pPr>
      <w:bookmarkStart w:id="434" w:name="_Toc16021"/>
      <w:bookmarkStart w:id="435" w:name="_Toc15583"/>
      <w:bookmarkStart w:id="436" w:name="_Toc28375"/>
      <w:r>
        <w:rPr>
          <w:rFonts w:hint="eastAsia" w:ascii="宋体" w:hAnsi="宋体" w:cs="宋体"/>
          <w:b/>
          <w:sz w:val="24"/>
        </w:rPr>
        <w:t>1.9合同争议的解决</w:t>
      </w:r>
      <w:bookmarkEnd w:id="434"/>
      <w:bookmarkEnd w:id="435"/>
      <w:bookmarkEnd w:id="436"/>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37" w:name="_Toc15322"/>
      <w:bookmarkStart w:id="438" w:name="_Toc7245"/>
      <w:bookmarkStart w:id="439" w:name="_Toc11173"/>
      <w:r>
        <w:rPr>
          <w:rFonts w:hint="eastAsia" w:ascii="宋体" w:hAnsi="宋体" w:cs="宋体"/>
          <w:b/>
          <w:sz w:val="24"/>
        </w:rPr>
        <w:t>2.0 合同生效</w:t>
      </w:r>
      <w:bookmarkEnd w:id="437"/>
      <w:bookmarkEnd w:id="438"/>
      <w:bookmarkEnd w:id="439"/>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25"/>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40" w:name="_Toc5228"/>
      <w:bookmarkStart w:id="441" w:name="_Toc19680"/>
      <w:bookmarkStart w:id="442" w:name="_Toc25079"/>
      <w:bookmarkStart w:id="443" w:name="_Toc31297"/>
      <w:bookmarkStart w:id="444" w:name="_Toc14021"/>
      <w:r>
        <w:rPr>
          <w:rFonts w:ascii="宋体" w:hAnsi="宋体"/>
          <w:b/>
          <w:sz w:val="24"/>
        </w:rPr>
        <w:t>2.1 定义</w:t>
      </w:r>
      <w:bookmarkEnd w:id="440"/>
      <w:bookmarkEnd w:id="441"/>
      <w:bookmarkEnd w:id="442"/>
      <w:bookmarkEnd w:id="443"/>
      <w:bookmarkEnd w:id="444"/>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5" w:name="_Toc31402"/>
      <w:bookmarkStart w:id="446" w:name="_Toc3769"/>
      <w:bookmarkStart w:id="447" w:name="_Toc19539"/>
      <w:bookmarkStart w:id="448" w:name="_Toc16752"/>
      <w:bookmarkStart w:id="449" w:name="_Toc23289"/>
      <w:r>
        <w:rPr>
          <w:rFonts w:ascii="宋体" w:hAnsi="宋体"/>
          <w:b/>
          <w:sz w:val="24"/>
        </w:rPr>
        <w:t>2.2 技术规范</w:t>
      </w:r>
      <w:bookmarkEnd w:id="445"/>
      <w:bookmarkEnd w:id="446"/>
      <w:bookmarkEnd w:id="447"/>
      <w:bookmarkEnd w:id="448"/>
      <w:bookmarkEnd w:id="449"/>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50" w:name="_Toc9161"/>
      <w:bookmarkStart w:id="451" w:name="_Toc4133"/>
      <w:bookmarkStart w:id="452" w:name="_Toc12412"/>
      <w:bookmarkStart w:id="453" w:name="_Toc27945"/>
      <w:bookmarkStart w:id="454" w:name="_Toc13673"/>
      <w:r>
        <w:rPr>
          <w:rFonts w:ascii="宋体" w:hAnsi="宋体"/>
          <w:b/>
          <w:sz w:val="24"/>
        </w:rPr>
        <w:t>2.3 知识产权</w:t>
      </w:r>
      <w:bookmarkEnd w:id="450"/>
      <w:bookmarkEnd w:id="451"/>
      <w:bookmarkEnd w:id="452"/>
      <w:bookmarkEnd w:id="453"/>
      <w:bookmarkEnd w:id="454"/>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5" w:name="_Toc22011"/>
      <w:bookmarkStart w:id="456" w:name="_Toc26555"/>
      <w:bookmarkStart w:id="457" w:name="_Toc32670"/>
      <w:bookmarkStart w:id="458" w:name="_Toc15447"/>
      <w:bookmarkStart w:id="459" w:name="_Toc31233"/>
      <w:r>
        <w:rPr>
          <w:rFonts w:ascii="宋体" w:hAnsi="宋体"/>
          <w:b/>
          <w:sz w:val="24"/>
        </w:rPr>
        <w:t>2.5 结算方式和付款条件</w:t>
      </w:r>
      <w:bookmarkEnd w:id="455"/>
      <w:bookmarkEnd w:id="456"/>
      <w:bookmarkEnd w:id="457"/>
      <w:bookmarkEnd w:id="458"/>
      <w:bookmarkEnd w:id="459"/>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60" w:name="_Toc13467"/>
      <w:bookmarkStart w:id="461" w:name="_Toc18990"/>
      <w:bookmarkStart w:id="462" w:name="_Toc16163"/>
      <w:bookmarkStart w:id="463" w:name="_Toc30507"/>
      <w:bookmarkStart w:id="464" w:name="_Toc13154"/>
      <w:r>
        <w:rPr>
          <w:rFonts w:ascii="宋体" w:hAnsi="宋体"/>
          <w:b/>
          <w:sz w:val="24"/>
        </w:rPr>
        <w:t>2.6 技术资料和保密义务</w:t>
      </w:r>
      <w:bookmarkEnd w:id="460"/>
      <w:bookmarkEnd w:id="461"/>
      <w:bookmarkEnd w:id="462"/>
      <w:bookmarkEnd w:id="463"/>
      <w:bookmarkEnd w:id="464"/>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5" w:name="_Toc19069"/>
      <w:r>
        <w:rPr>
          <w:rFonts w:ascii="宋体" w:hAnsi="宋体"/>
          <w:b/>
          <w:sz w:val="24"/>
        </w:rPr>
        <w:t xml:space="preserve">2.7 </w:t>
      </w:r>
      <w:r>
        <w:rPr>
          <w:rFonts w:hint="eastAsia" w:ascii="宋体" w:hAnsi="宋体"/>
          <w:b/>
          <w:sz w:val="24"/>
        </w:rPr>
        <w:t>质量保证</w:t>
      </w:r>
      <w:bookmarkEnd w:id="465"/>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6" w:name="_Toc22267"/>
      <w:r>
        <w:rPr>
          <w:rFonts w:ascii="宋体" w:hAnsi="宋体"/>
          <w:b/>
          <w:sz w:val="24"/>
        </w:rPr>
        <w:t xml:space="preserve">2.8 </w:t>
      </w:r>
      <w:r>
        <w:rPr>
          <w:rFonts w:hint="eastAsia" w:ascii="宋体" w:hAnsi="宋体"/>
          <w:b/>
          <w:sz w:val="24"/>
        </w:rPr>
        <w:t>延迟履行</w:t>
      </w:r>
      <w:bookmarkEnd w:id="466"/>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67" w:name="_Toc10611"/>
      <w:r>
        <w:rPr>
          <w:rFonts w:ascii="宋体" w:hAnsi="宋体"/>
          <w:b/>
          <w:sz w:val="24"/>
        </w:rPr>
        <w:t xml:space="preserve">2.9 </w:t>
      </w:r>
      <w:r>
        <w:rPr>
          <w:rFonts w:hint="eastAsia" w:ascii="宋体" w:hAnsi="宋体"/>
          <w:b/>
          <w:sz w:val="24"/>
        </w:rPr>
        <w:t>合同变更</w:t>
      </w:r>
      <w:bookmarkEnd w:id="467"/>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8" w:name="_Toc10663"/>
      <w:bookmarkStart w:id="469" w:name="_Toc23368"/>
      <w:bookmarkStart w:id="470" w:name="_Toc42"/>
      <w:bookmarkStart w:id="471" w:name="_Toc26689"/>
      <w:bookmarkStart w:id="472" w:name="_Toc21830"/>
      <w:r>
        <w:rPr>
          <w:rFonts w:ascii="宋体" w:hAnsi="宋体"/>
          <w:b/>
          <w:sz w:val="24"/>
        </w:rPr>
        <w:t>2.10 合同转让和分包</w:t>
      </w:r>
      <w:bookmarkEnd w:id="468"/>
      <w:bookmarkEnd w:id="469"/>
      <w:bookmarkEnd w:id="470"/>
      <w:bookmarkEnd w:id="471"/>
      <w:bookmarkEnd w:id="472"/>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3" w:name="_Toc14371"/>
      <w:bookmarkStart w:id="474" w:name="_Toc26633"/>
      <w:bookmarkStart w:id="475" w:name="_Toc32494"/>
      <w:bookmarkStart w:id="476" w:name="_Toc25571"/>
      <w:bookmarkStart w:id="477" w:name="_Toc4720"/>
      <w:r>
        <w:rPr>
          <w:rFonts w:ascii="宋体" w:hAnsi="宋体"/>
          <w:b/>
          <w:sz w:val="24"/>
        </w:rPr>
        <w:t>2.11 不可抗力</w:t>
      </w:r>
      <w:bookmarkEnd w:id="473"/>
      <w:bookmarkEnd w:id="474"/>
      <w:bookmarkEnd w:id="475"/>
      <w:bookmarkEnd w:id="476"/>
      <w:bookmarkEnd w:id="477"/>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78" w:name="_Toc25783"/>
      <w:bookmarkStart w:id="479" w:name="_Toc23854"/>
      <w:bookmarkStart w:id="480" w:name="_Toc3638"/>
      <w:bookmarkStart w:id="481" w:name="_Toc14115"/>
      <w:bookmarkStart w:id="482" w:name="_Toc24465"/>
      <w:r>
        <w:rPr>
          <w:rFonts w:ascii="宋体" w:hAnsi="宋体"/>
          <w:b/>
          <w:sz w:val="24"/>
        </w:rPr>
        <w:t>2.12 税费</w:t>
      </w:r>
      <w:bookmarkEnd w:id="478"/>
      <w:bookmarkEnd w:id="479"/>
      <w:bookmarkEnd w:id="480"/>
      <w:bookmarkEnd w:id="481"/>
      <w:bookmarkEnd w:id="482"/>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3" w:name="_Toc26883"/>
      <w:bookmarkStart w:id="484" w:name="_Toc30105"/>
      <w:bookmarkStart w:id="485" w:name="_Toc7315"/>
      <w:bookmarkStart w:id="486" w:name="_Toc25525"/>
      <w:bookmarkStart w:id="487" w:name="_Toc14814"/>
      <w:r>
        <w:rPr>
          <w:rFonts w:ascii="宋体" w:hAnsi="宋体"/>
          <w:b/>
          <w:sz w:val="24"/>
        </w:rPr>
        <w:t>2.13 乙方破产</w:t>
      </w:r>
      <w:bookmarkEnd w:id="483"/>
      <w:bookmarkEnd w:id="484"/>
      <w:bookmarkEnd w:id="485"/>
      <w:bookmarkEnd w:id="486"/>
      <w:bookmarkEnd w:id="487"/>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88" w:name="_Toc1123"/>
      <w:bookmarkStart w:id="489" w:name="_Toc2016"/>
      <w:bookmarkStart w:id="490" w:name="_Toc23323"/>
      <w:r>
        <w:rPr>
          <w:rFonts w:ascii="宋体" w:hAnsi="宋体"/>
          <w:b/>
          <w:sz w:val="24"/>
        </w:rPr>
        <w:t>2.14 合同中止、终止</w:t>
      </w:r>
      <w:bookmarkEnd w:id="488"/>
      <w:bookmarkEnd w:id="489"/>
      <w:bookmarkEnd w:id="490"/>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1" w:name="_Toc17363"/>
      <w:bookmarkStart w:id="492" w:name="_Toc1969"/>
      <w:bookmarkStart w:id="493" w:name="_Toc14525"/>
      <w:r>
        <w:rPr>
          <w:rFonts w:ascii="宋体" w:hAnsi="宋体"/>
          <w:b/>
          <w:sz w:val="24"/>
        </w:rPr>
        <w:t>2.15 检验和验收</w:t>
      </w:r>
      <w:bookmarkEnd w:id="491"/>
      <w:bookmarkEnd w:id="492"/>
      <w:bookmarkEnd w:id="493"/>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4" w:name="_Toc2308"/>
      <w:bookmarkStart w:id="495" w:name="_Toc25198"/>
      <w:bookmarkStart w:id="496" w:name="_Toc31892"/>
      <w:bookmarkStart w:id="497" w:name="_Toc12666"/>
      <w:bookmarkStart w:id="498" w:name="_Toc9808"/>
      <w:r>
        <w:rPr>
          <w:rFonts w:ascii="宋体" w:hAnsi="宋体"/>
          <w:b/>
          <w:sz w:val="24"/>
        </w:rPr>
        <w:t>2.16 通知和送达</w:t>
      </w:r>
      <w:bookmarkEnd w:id="494"/>
      <w:bookmarkEnd w:id="495"/>
      <w:bookmarkEnd w:id="496"/>
      <w:bookmarkEnd w:id="497"/>
      <w:bookmarkEnd w:id="498"/>
    </w:p>
    <w:p>
      <w:pPr>
        <w:spacing w:line="560" w:lineRule="exact"/>
        <w:ind w:firstLine="480" w:firstLineChars="200"/>
        <w:rPr>
          <w:rFonts w:ascii="宋体" w:hAnsi="宋体"/>
          <w:sz w:val="24"/>
        </w:rPr>
      </w:pPr>
      <w:bookmarkStart w:id="499" w:name="_Toc18401"/>
      <w:bookmarkStart w:id="500"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9"/>
      <w:bookmarkEnd w:id="500"/>
    </w:p>
    <w:p>
      <w:pPr>
        <w:spacing w:line="560" w:lineRule="exact"/>
        <w:ind w:firstLine="482" w:firstLineChars="200"/>
        <w:outlineLvl w:val="0"/>
        <w:rPr>
          <w:rFonts w:ascii="宋体" w:hAnsi="宋体"/>
          <w:b/>
          <w:sz w:val="24"/>
        </w:rPr>
      </w:pPr>
      <w:bookmarkStart w:id="501" w:name="_Toc12254"/>
      <w:bookmarkStart w:id="502" w:name="_Toc28906"/>
      <w:bookmarkStart w:id="503" w:name="_Toc5063"/>
      <w:bookmarkStart w:id="504" w:name="_Toc27644"/>
      <w:bookmarkStart w:id="505"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1"/>
      <w:bookmarkEnd w:id="502"/>
      <w:bookmarkEnd w:id="503"/>
      <w:bookmarkEnd w:id="504"/>
      <w:bookmarkEnd w:id="505"/>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06" w:name="_Toc30599"/>
      <w:bookmarkStart w:id="507" w:name="_Toc4355"/>
      <w:bookmarkStart w:id="508" w:name="_Toc18540"/>
      <w:r>
        <w:rPr>
          <w:rFonts w:hint="eastAsia" w:ascii="宋体" w:hAnsi="宋体" w:cs="宋体"/>
          <w:b/>
          <w:sz w:val="24"/>
        </w:rPr>
        <w:t>2.18 计量单位</w:t>
      </w:r>
      <w:bookmarkEnd w:id="506"/>
      <w:bookmarkEnd w:id="507"/>
      <w:bookmarkEnd w:id="508"/>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09" w:name="_Toc331685784"/>
      <w:r>
        <w:rPr>
          <w:rFonts w:hint="eastAsia" w:ascii="宋体" w:hAnsi="宋体" w:cs="宋体"/>
          <w:b/>
          <w:sz w:val="24"/>
        </w:rPr>
        <w:t xml:space="preserve"> </w:t>
      </w:r>
      <w:bookmarkEnd w:id="509"/>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464" w:type="pct"/>
            <w:vAlign w:val="center"/>
          </w:tcPr>
          <w:p>
            <w:pPr>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64" w:type="pct"/>
            <w:vAlign w:val="center"/>
          </w:tcPr>
          <w:p>
            <w:pPr>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kern w:val="0"/>
                <w:sz w:val="24"/>
              </w:rPr>
              <w:t>1.5.1</w:t>
            </w:r>
          </w:p>
        </w:tc>
        <w:tc>
          <w:tcPr>
            <w:tcW w:w="4464" w:type="pct"/>
            <w:vAlign w:val="center"/>
          </w:tcPr>
          <w:p>
            <w:pPr>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64" w:type="pct"/>
            <w:vAlign w:val="center"/>
          </w:tcPr>
          <w:p>
            <w:pPr>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464" w:type="pct"/>
            <w:vAlign w:val="center"/>
          </w:tcPr>
          <w:p>
            <w:pPr>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52"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464" w:type="pct"/>
            <w:vAlign w:val="center"/>
          </w:tcPr>
          <w:p>
            <w:pPr>
              <w:spacing w:line="560" w:lineRule="exact"/>
              <w:ind w:left="-420" w:leftChars="-200" w:right="-420" w:rightChars="-200" w:firstLine="480" w:firstLineChars="200"/>
              <w:rPr>
                <w:rFonts w:hint="eastAsia" w:ascii="宋体" w:hAnsi="宋体" w:cs="宋体"/>
                <w:sz w:val="24"/>
              </w:rPr>
            </w:pPr>
            <w:r>
              <w:rPr>
                <w:rFonts w:hint="eastAsia" w:ascii="宋体" w:hAnsi="宋体" w:cs="宋体"/>
                <w:sz w:val="24"/>
              </w:rPr>
              <w:t>支付方式：</w:t>
            </w:r>
          </w:p>
          <w:p>
            <w:pPr>
              <w:spacing w:line="360" w:lineRule="auto"/>
              <w:rPr>
                <w:rFonts w:hint="eastAsia"/>
                <w:sz w:val="24"/>
              </w:rPr>
            </w:pPr>
            <w:r>
              <w:rPr>
                <w:rFonts w:hint="eastAsia" w:ascii="宋体" w:hAnsi="宋体" w:cs="宋体"/>
                <w:sz w:val="24"/>
              </w:rPr>
              <w:t>（</w:t>
            </w:r>
            <w:r>
              <w:rPr>
                <w:rFonts w:hint="eastAsia"/>
                <w:sz w:val="24"/>
              </w:rPr>
              <w:t>1）项目建设费用：第一笔支付于合同签订后7个工作日内支付合同总价的50%；第二笔支付于项目完工后支付合同总价的35%；第三笔支付于项目完成终验后支付至合同项目建设部分100%。</w:t>
            </w:r>
          </w:p>
          <w:p>
            <w:pPr>
              <w:spacing w:line="360" w:lineRule="auto"/>
              <w:rPr>
                <w:rFonts w:hint="eastAsia"/>
                <w:sz w:val="24"/>
              </w:rPr>
            </w:pPr>
            <w:r>
              <w:rPr>
                <w:rFonts w:hint="eastAsia"/>
                <w:sz w:val="24"/>
              </w:rPr>
              <w:t>（2）项目运维费用：年度运维费用于当年12月底前按合同运维费用报价支付。</w:t>
            </w:r>
          </w:p>
          <w:p>
            <w:pPr>
              <w:pStyle w:val="25"/>
              <w:tabs>
                <w:tab w:val="left" w:pos="6300"/>
              </w:tabs>
              <w:spacing w:after="0"/>
              <w:ind w:left="0" w:leftChars="0"/>
              <w:rPr>
                <w:rFonts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FF"/>
                <w:sz w:val="24"/>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.1</w:t>
            </w:r>
          </w:p>
        </w:tc>
        <w:tc>
          <w:tcPr>
            <w:tcW w:w="4464" w:type="pct"/>
            <w:vAlign w:val="center"/>
          </w:tcPr>
          <w:p>
            <w:pPr>
              <w:spacing w:line="360" w:lineRule="auto"/>
              <w:rPr>
                <w:rFonts w:asciiTheme="minorEastAsia" w:hAnsiTheme="minorEastAsia" w:eastAsiaTheme="minorEastAsia" w:cstheme="minorEastAsia"/>
                <w:color w:val="0000FF"/>
                <w:sz w:val="24"/>
              </w:rPr>
            </w:pPr>
            <w:r>
              <w:rPr>
                <w:rFonts w:hint="eastAsia" w:asciiTheme="minorEastAsia" w:hAnsiTheme="minorEastAsia" w:eastAsiaTheme="minorEastAsia" w:cstheme="minorEastAsia"/>
                <w:color w:val="000000" w:themeColor="text1"/>
                <w:sz w:val="24"/>
                <w14:textFill>
                  <w14:solidFill>
                    <w14:schemeClr w14:val="tx1"/>
                  </w14:solidFill>
                </w14:textFill>
              </w:rPr>
              <w:t>履行期限：</w:t>
            </w:r>
            <w:r>
              <w:rPr>
                <w:rFonts w:hint="eastAsia" w:ascii="宋体" w:hAnsi="宋体" w:cs="宋体"/>
                <w:b/>
                <w:bCs/>
                <w:snapToGrid w:val="0"/>
                <w:kern w:val="28"/>
                <w:sz w:val="24"/>
                <w:szCs w:val="20"/>
              </w:rPr>
              <w:t>三年（</w:t>
            </w:r>
            <w:r>
              <w:rPr>
                <w:rFonts w:hint="eastAsia"/>
                <w:sz w:val="24"/>
              </w:rPr>
              <w:t>自合同签订之日起36个月）</w:t>
            </w:r>
            <w:r>
              <w:rPr>
                <w:rFonts w:hint="eastAsia" w:ascii="宋体" w:hAnsi="宋体" w:cs="宋体"/>
                <w:b/>
                <w:bCs/>
                <w:snapToGrid w:val="0"/>
                <w:kern w:val="28"/>
                <w:sz w:val="24"/>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FF"/>
                <w:sz w:val="24"/>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.2</w:t>
            </w:r>
          </w:p>
        </w:tc>
        <w:tc>
          <w:tcPr>
            <w:tcW w:w="4464" w:type="pct"/>
            <w:vAlign w:val="center"/>
          </w:tcPr>
          <w:p>
            <w:pPr>
              <w:jc w:val="left"/>
              <w:outlineLvl w:val="0"/>
              <w:rPr>
                <w:rFonts w:asciiTheme="minorEastAsia" w:hAnsiTheme="minorEastAsia" w:eastAsiaTheme="minorEastAsia" w:cstheme="minorEastAsia"/>
                <w:color w:val="0000FF"/>
                <w:sz w:val="24"/>
              </w:rPr>
            </w:pPr>
            <w:r>
              <w:rPr>
                <w:rFonts w:hint="eastAsia" w:asciiTheme="minorEastAsia" w:hAnsiTheme="minorEastAsia" w:eastAsiaTheme="minorEastAsia" w:cstheme="minorEastAsia"/>
                <w:color w:val="000000" w:themeColor="text1"/>
                <w:sz w:val="24"/>
                <w14:textFill>
                  <w14:solidFill>
                    <w14:schemeClr w14:val="tx1"/>
                  </w14:solidFill>
                </w14:textFill>
              </w:rPr>
              <w:t>履行地点：甲方指定地点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FF"/>
                <w:sz w:val="24"/>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.3</w:t>
            </w:r>
          </w:p>
        </w:tc>
        <w:tc>
          <w:tcPr>
            <w:tcW w:w="4464" w:type="pct"/>
            <w:vAlign w:val="center"/>
          </w:tcPr>
          <w:p>
            <w:pPr>
              <w:jc w:val="left"/>
              <w:outlineLvl w:val="0"/>
              <w:rPr>
                <w:rFonts w:asciiTheme="minorEastAsia" w:hAnsiTheme="minorEastAsia" w:eastAsiaTheme="minorEastAsia" w:cstheme="minorEastAsia"/>
                <w:color w:val="0000FF"/>
                <w:sz w:val="24"/>
              </w:rPr>
            </w:pPr>
            <w:r>
              <w:rPr>
                <w:rFonts w:hint="eastAsia" w:asciiTheme="minorEastAsia" w:hAnsiTheme="minorEastAsia" w:eastAsiaTheme="minorEastAsia" w:cstheme="minorEastAsia"/>
                <w:color w:val="000000" w:themeColor="text1"/>
                <w:sz w:val="24"/>
                <w14:textFill>
                  <w14:solidFill>
                    <w14:schemeClr w14:val="tx1"/>
                  </w14:solidFill>
                </w14:textFill>
              </w:rPr>
              <w:t>履行方式：现场履行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64" w:type="pct"/>
            <w:vAlign w:val="center"/>
          </w:tcPr>
          <w:p>
            <w:pPr>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64" w:type="pct"/>
            <w:vAlign w:val="center"/>
          </w:tcPr>
          <w:p>
            <w:pPr>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1．合同在履行过程中发生争议时，甲方与乙方及时协商解决。协商不成时，在甲方所在地的人民法院进行诉讼。</w:t>
            </w:r>
          </w:p>
          <w:p>
            <w:pPr>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64" w:type="pct"/>
            <w:vAlign w:val="center"/>
          </w:tcPr>
          <w:p>
            <w:pPr>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1．合同在履行过程中发生争议时，甲方与乙方及时协商解决。协商不成时，在甲方所在地的人民法院进行诉讼。</w:t>
            </w:r>
          </w:p>
          <w:p>
            <w:pPr>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ascii="宋体" w:hAnsi="宋体"/>
                <w:sz w:val="24"/>
              </w:rPr>
              <w:t>2.3.2</w:t>
            </w:r>
          </w:p>
        </w:tc>
        <w:tc>
          <w:tcPr>
            <w:tcW w:w="4464" w:type="pct"/>
            <w:vAlign w:val="center"/>
          </w:tcPr>
          <w:p>
            <w:pPr>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2.5</w:t>
            </w:r>
          </w:p>
        </w:tc>
        <w:tc>
          <w:tcPr>
            <w:tcW w:w="4464" w:type="pct"/>
            <w:vAlign w:val="center"/>
          </w:tcPr>
          <w:p>
            <w:pPr>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结算方式和付款条件: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ascii="宋体" w:hAnsi="宋体"/>
                <w:sz w:val="24"/>
              </w:rPr>
              <w:t>2.15.3</w:t>
            </w:r>
          </w:p>
        </w:tc>
        <w:tc>
          <w:tcPr>
            <w:tcW w:w="4464" w:type="pct"/>
            <w:vAlign w:val="center"/>
          </w:tcPr>
          <w:p>
            <w:pPr>
              <w:spacing w:line="360" w:lineRule="auto"/>
              <w:rPr>
                <w:rFonts w:ascii="宋体" w:hAnsi="宋体" w:cs="宋体"/>
                <w:sz w:val="24"/>
              </w:rPr>
            </w:pPr>
            <w:r>
              <w:rPr>
                <w:rFonts w:hint="eastAsia" w:ascii="宋体" w:hAnsi="宋体" w:cs="宋体"/>
                <w:sz w:val="24"/>
              </w:rPr>
              <w:t>检验和验收标准:</w:t>
            </w:r>
          </w:p>
          <w:p>
            <w:pPr>
              <w:spacing w:line="360" w:lineRule="auto"/>
              <w:rPr>
                <w:rFonts w:ascii="宋体" w:hAnsi="宋体" w:cs="宋体"/>
                <w:sz w:val="24"/>
              </w:rPr>
            </w:pPr>
            <w:r>
              <w:rPr>
                <w:rFonts w:hint="eastAsia" w:ascii="宋体" w:hAnsi="宋体" w:cs="宋体"/>
                <w:sz w:val="24"/>
              </w:rPr>
              <w:t xml:space="preserve"> 1、依据《临安区政府采购合同履约和验收管理暂行办法》、采购文件要求、响应文件承诺和国家有关质量标准进行验收。设备试机，设备正常运行。</w:t>
            </w:r>
          </w:p>
          <w:p>
            <w:pPr>
              <w:spacing w:line="360" w:lineRule="auto"/>
              <w:rPr>
                <w:rFonts w:ascii="宋体" w:hAnsi="宋体" w:cs="宋体"/>
                <w:sz w:val="24"/>
              </w:rPr>
            </w:pPr>
            <w:r>
              <w:rPr>
                <w:rFonts w:hint="eastAsia" w:ascii="宋体" w:hAnsi="宋体" w:cs="宋体"/>
                <w:sz w:val="24"/>
              </w:rPr>
              <w:t>2、中标人应按照采购方要求组织验收，验收时中标人须在现场，验收合格后填写验收单。验收费用由中标人负责。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ascii="宋体" w:hAnsi="宋体"/>
                <w:b/>
                <w:sz w:val="24"/>
              </w:rPr>
              <w:t>2.</w:t>
            </w:r>
            <w:r>
              <w:rPr>
                <w:rFonts w:hint="eastAsia" w:ascii="宋体" w:hAnsi="宋体"/>
                <w:b/>
                <w:sz w:val="24"/>
              </w:rPr>
              <w:t>19</w:t>
            </w:r>
          </w:p>
        </w:tc>
        <w:tc>
          <w:tcPr>
            <w:tcW w:w="4464" w:type="pct"/>
            <w:vAlign w:val="center"/>
          </w:tcPr>
          <w:p>
            <w:pPr>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本合同一式伍份，甲方执两份，乙方执两份，代理公司壹份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sz w:val="24"/>
              </w:rPr>
            </w:pPr>
          </w:p>
        </w:tc>
        <w:tc>
          <w:tcPr>
            <w:tcW w:w="4464" w:type="pct"/>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rPr>
          <w:rFonts w:ascii="宋体" w:hAnsi="宋体" w:cs="宋体"/>
          <w:b/>
          <w:sz w:val="36"/>
          <w:szCs w:val="20"/>
        </w:rPr>
      </w:pPr>
      <w:r>
        <w:rPr>
          <w:rFonts w:hint="eastAsia" w:ascii="宋体" w:hAnsi="宋体" w:cs="宋体"/>
          <w:b/>
          <w:sz w:val="36"/>
          <w:szCs w:val="20"/>
        </w:rPr>
        <w:br w:type="page"/>
      </w: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rPr>
          <w:rFonts w:ascii="宋体" w:hAnsi="宋体" w:cs="宋体"/>
          <w:sz w:val="24"/>
        </w:rPr>
      </w:pPr>
      <w:r>
        <w:rPr>
          <w:rFonts w:hint="eastAsia" w:ascii="宋体" w:hAnsi="宋体" w:cs="宋体"/>
          <w:sz w:val="24"/>
        </w:rPr>
        <w:t xml:space="preserve">（5）中小企业申明函 ………………………………………………………（页码） </w:t>
      </w: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），联合协议中中小企业合同金额应当达到招标公告载明的比例；如果供应商本身提供所有标的均由中小企业承接的，并相应达到了前述比例要求</w:t>
      </w:r>
      <w:r>
        <w:rPr>
          <w:rFonts w:hint="eastAsia" w:ascii="宋体" w:hAnsi="宋体" w:cs="宋体"/>
          <w:color w:val="0000FF"/>
          <w:spacing w:val="8"/>
          <w:kern w:val="0"/>
          <w:sz w:val="24"/>
        </w:rPr>
        <w:t>，</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pStyle w:val="3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3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3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五、</w:t>
      </w:r>
      <w:r>
        <w:rPr>
          <w:rFonts w:hint="eastAsia" w:ascii="宋体" w:hAnsi="宋体" w:eastAsia="宋体" w:cs="宋体"/>
          <w:sz w:val="32"/>
          <w:szCs w:val="32"/>
        </w:rPr>
        <w:t>中小企业声明函（如果有）</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（9）招标文件中所要求的各项承诺书</w:t>
      </w:r>
      <w:r>
        <w:rPr>
          <w:rFonts w:hint="eastAsia" w:cs="宋体" w:asciiTheme="minorEastAsia" w:hAnsiTheme="minorEastAsia" w:eastAsiaTheme="minorEastAsia"/>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ind w:firstLine="3855" w:firstLineChars="1200"/>
        <w:jc w:val="left"/>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ind w:firstLine="480" w:firstLineChars="200"/>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     天（不少于90天），本投标文件在投标有效期满之前均具有约束力。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firstLine="480" w:firstLineChars="200"/>
        <w:rPr>
          <w:rFonts w:ascii="宋体" w:hAnsi="宋体" w:cs="宋体"/>
          <w:sz w:val="24"/>
        </w:rPr>
      </w:pPr>
      <w:r>
        <w:rPr>
          <w:rFonts w:hint="eastAsia" w:ascii="宋体" w:hAnsi="宋体" w:cs="宋体"/>
          <w:sz w:val="24"/>
        </w:rPr>
        <w:t>2.1资格文件：</w:t>
      </w:r>
    </w:p>
    <w:p>
      <w:pPr>
        <w:snapToGrid w:val="0"/>
        <w:spacing w:line="360" w:lineRule="auto"/>
        <w:ind w:firstLine="480" w:firstLineChars="200"/>
        <w:rPr>
          <w:rFonts w:ascii="宋体" w:hAnsi="宋体" w:cs="宋体"/>
          <w:sz w:val="24"/>
        </w:rPr>
      </w:pPr>
      <w:r>
        <w:rPr>
          <w:rFonts w:hint="eastAsia" w:ascii="宋体" w:hAnsi="宋体" w:cs="宋体"/>
          <w:sz w:val="24"/>
        </w:rPr>
        <w:t>2.1.1承诺函；</w:t>
      </w:r>
    </w:p>
    <w:p>
      <w:pPr>
        <w:snapToGrid w:val="0"/>
        <w:spacing w:line="360" w:lineRule="auto"/>
        <w:ind w:firstLine="480" w:firstLineChars="200"/>
        <w:rPr>
          <w:rFonts w:ascii="宋体" w:hAnsi="宋体" w:cs="宋体"/>
          <w:sz w:val="24"/>
        </w:rPr>
      </w:pPr>
      <w:r>
        <w:rPr>
          <w:rFonts w:hint="eastAsia" w:ascii="宋体" w:hAnsi="宋体" w:cs="宋体"/>
          <w:sz w:val="24"/>
        </w:rPr>
        <w:t>2.1.2联合协议</w:t>
      </w:r>
      <w:bookmarkStart w:id="510" w:name="_Hlk101257010"/>
      <w:r>
        <w:rPr>
          <w:rFonts w:hint="eastAsia" w:ascii="宋体" w:hAnsi="宋体" w:cs="宋体"/>
          <w:sz w:val="24"/>
        </w:rPr>
        <w:t>（如果有)</w:t>
      </w:r>
      <w:bookmarkEnd w:id="510"/>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2.1.3落实政府采购政策需满足的资格要求（如果有）；</w:t>
      </w:r>
    </w:p>
    <w:p>
      <w:pPr>
        <w:snapToGrid w:val="0"/>
        <w:spacing w:line="360" w:lineRule="auto"/>
        <w:ind w:firstLine="480" w:firstLineChars="200"/>
        <w:rPr>
          <w:rFonts w:ascii="宋体" w:hAnsi="宋体" w:cs="宋体"/>
          <w:sz w:val="24"/>
        </w:rPr>
      </w:pPr>
      <w:r>
        <w:rPr>
          <w:rFonts w:hint="eastAsia" w:ascii="宋体" w:hAnsi="宋体" w:cs="宋体"/>
          <w:sz w:val="24"/>
        </w:rPr>
        <w:t>2.1.4本项目的特定资格要求。</w:t>
      </w:r>
    </w:p>
    <w:p>
      <w:pPr>
        <w:snapToGrid w:val="0"/>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firstLine="480" w:firstLineChars="200"/>
        <w:rPr>
          <w:rFonts w:ascii="宋体" w:hAnsi="宋体" w:cs="宋体"/>
          <w:sz w:val="24"/>
        </w:rPr>
      </w:pPr>
      <w:r>
        <w:rPr>
          <w:rFonts w:hint="eastAsia" w:ascii="宋体" w:hAnsi="宋体" w:cs="宋体"/>
          <w:sz w:val="24"/>
        </w:rPr>
        <w:t>2.2.3分包意向协议（如果有)；</w:t>
      </w:r>
    </w:p>
    <w:p>
      <w:pPr>
        <w:snapToGrid w:val="0"/>
        <w:spacing w:line="360" w:lineRule="auto"/>
        <w:ind w:firstLine="480" w:firstLineChars="200"/>
        <w:rPr>
          <w:rFonts w:ascii="宋体" w:hAnsi="宋体" w:cs="宋体"/>
          <w:sz w:val="24"/>
        </w:rPr>
      </w:pPr>
      <w:r>
        <w:rPr>
          <w:rFonts w:hint="eastAsia" w:ascii="宋体" w:hAnsi="宋体" w:cs="宋体"/>
          <w:sz w:val="24"/>
        </w:rPr>
        <w:t>2.2.4符合性审查资料；</w:t>
      </w:r>
    </w:p>
    <w:p>
      <w:pPr>
        <w:snapToGrid w:val="0"/>
        <w:spacing w:line="360" w:lineRule="auto"/>
        <w:ind w:firstLine="480" w:firstLineChars="200"/>
        <w:rPr>
          <w:rFonts w:ascii="宋体" w:hAnsi="宋体" w:cs="宋体"/>
          <w:sz w:val="24"/>
        </w:rPr>
      </w:pPr>
      <w:r>
        <w:rPr>
          <w:rFonts w:hint="eastAsia" w:ascii="宋体" w:hAnsi="宋体" w:cs="宋体"/>
          <w:sz w:val="24"/>
        </w:rPr>
        <w:t>2.2.5评标标准相应的商务技术资料；</w:t>
      </w:r>
    </w:p>
    <w:p>
      <w:pPr>
        <w:snapToGrid w:val="0"/>
        <w:spacing w:line="360" w:lineRule="auto"/>
        <w:ind w:firstLine="480" w:firstLineChars="200"/>
        <w:rPr>
          <w:rFonts w:ascii="宋体" w:hAnsi="宋体" w:cs="宋体"/>
          <w:sz w:val="24"/>
        </w:rPr>
      </w:pPr>
      <w:r>
        <w:rPr>
          <w:rFonts w:hint="eastAsia" w:ascii="宋体" w:hAnsi="宋体" w:cs="宋体"/>
          <w:sz w:val="24"/>
        </w:rPr>
        <w:t>2.2.6投标标的清单；</w:t>
      </w:r>
    </w:p>
    <w:p>
      <w:pPr>
        <w:snapToGrid w:val="0"/>
        <w:spacing w:line="360" w:lineRule="auto"/>
        <w:ind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2.3.2中小企业声明函。</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31"/>
        <w:spacing w:line="360" w:lineRule="auto"/>
        <w:rPr>
          <w:rFonts w:hAnsi="宋体" w:cs="宋体"/>
          <w:bCs/>
          <w:sz w:val="24"/>
        </w:rPr>
      </w:pPr>
      <w:r>
        <w:rPr>
          <w:rFonts w:hint="eastAsia" w:hAnsi="宋体" w:cs="宋体"/>
          <w:bCs/>
          <w:sz w:val="24"/>
        </w:rPr>
        <w:t>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2" w:hRule="atLeast"/>
          <w:jc w:val="center"/>
        </w:trPr>
        <w:tc>
          <w:tcPr>
            <w:tcW w:w="9207" w:type="dxa"/>
          </w:tcPr>
          <w:p>
            <w:pPr>
              <w:pStyle w:val="31"/>
              <w:adjustRightInd w:val="0"/>
              <w:spacing w:line="360" w:lineRule="auto"/>
              <w:rPr>
                <w:rFonts w:hAnsi="宋体" w:cs="宋体"/>
                <w:bCs/>
                <w:sz w:val="24"/>
              </w:rPr>
            </w:pPr>
            <w:r>
              <w:rPr>
                <w:rFonts w:hint="eastAsia" w:hAnsi="宋体" w:cs="宋体"/>
                <w:bCs/>
                <w:sz w:val="24"/>
              </w:rPr>
              <w:t>正面：                                 反面：</w:t>
            </w:r>
          </w:p>
          <w:p>
            <w:pPr>
              <w:pStyle w:val="31"/>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b/>
          <w:kern w:val="0"/>
          <w:sz w:val="32"/>
          <w:szCs w:val="32"/>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r>
        <w:rPr>
          <w:rFonts w:hint="eastAsia" w:ascii="宋体" w:hAnsi="宋体" w:cs="宋体"/>
          <w:b/>
          <w:kern w:val="0"/>
          <w:sz w:val="32"/>
          <w:szCs w:val="32"/>
        </w:rPr>
        <w:t>授权委托人</w:t>
      </w:r>
      <w:r>
        <w:rPr>
          <w:rFonts w:hint="eastAsia" w:ascii="宋体" w:hAnsi="宋体" w:cs="宋体"/>
          <w:b/>
          <w:kern w:val="0"/>
          <w:sz w:val="32"/>
          <w:szCs w:val="32"/>
          <w:lang w:val="zh-CN"/>
        </w:rPr>
        <w:t>的身份证明</w:t>
      </w:r>
    </w:p>
    <w:p>
      <w:pPr>
        <w:pStyle w:val="31"/>
        <w:spacing w:line="360" w:lineRule="auto"/>
        <w:rPr>
          <w:rFonts w:hAnsi="宋体" w:cs="宋体"/>
          <w:bCs/>
          <w:sz w:val="24"/>
        </w:rPr>
      </w:pPr>
      <w:r>
        <w:rPr>
          <w:rFonts w:hint="eastAsia" w:hAnsi="宋体" w:cs="宋体"/>
          <w:bCs/>
          <w:sz w:val="24"/>
        </w:rPr>
        <w:t>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9" w:hRule="atLeast"/>
          <w:jc w:val="center"/>
        </w:trPr>
        <w:tc>
          <w:tcPr>
            <w:tcW w:w="9207" w:type="dxa"/>
          </w:tcPr>
          <w:p>
            <w:pPr>
              <w:pStyle w:val="31"/>
              <w:adjustRightInd w:val="0"/>
              <w:spacing w:line="360" w:lineRule="auto"/>
              <w:rPr>
                <w:rFonts w:hAnsi="宋体" w:cs="宋体"/>
                <w:bCs/>
                <w:sz w:val="24"/>
                <w:highlight w:val="magenta"/>
              </w:rPr>
            </w:pPr>
            <w:r>
              <w:rPr>
                <w:rFonts w:hint="eastAsia" w:hAnsi="宋体" w:cs="宋体"/>
                <w:bCs/>
                <w:sz w:val="24"/>
              </w:rPr>
              <w:t>正面：                                 反面：</w:t>
            </w:r>
          </w:p>
          <w:p>
            <w:pPr>
              <w:pStyle w:val="31"/>
              <w:adjustRightInd w:val="0"/>
              <w:spacing w:line="360" w:lineRule="auto"/>
              <w:rPr>
                <w:rFonts w:hAnsi="宋体" w:cs="宋体"/>
                <w:bCs/>
                <w:sz w:val="24"/>
                <w:highlight w:val="magenta"/>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r>
        <w:rPr>
          <w:rFonts w:hint="eastAsia" w:ascii="宋体" w:hAnsi="宋体" w:cs="宋体"/>
          <w:kern w:val="0"/>
          <w:sz w:val="24"/>
          <w:lang w:val="zh-CN"/>
        </w:rPr>
        <w:t xml:space="preserve">                   日期：  年  月  日</w:t>
      </w:r>
    </w:p>
    <w:p>
      <w:pPr>
        <w:snapToGrid w:val="0"/>
        <w:spacing w:line="360" w:lineRule="auto"/>
        <w:ind w:firstLine="1606" w:firstLineChars="500"/>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1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1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cs="仿宋_GB2312" w:asciiTheme="minorEastAsia" w:hAnsiTheme="minorEastAsia" w:eastAsiaTheme="minorEastAsia"/>
          <w:b/>
          <w:bCs/>
          <w:sz w:val="30"/>
          <w:szCs w:val="30"/>
          <w:highlight w:val="red"/>
        </w:rPr>
      </w:pPr>
    </w:p>
    <w:p>
      <w:pPr>
        <w:spacing w:line="360" w:lineRule="auto"/>
        <w:jc w:val="center"/>
        <w:rPr>
          <w:rFonts w:cs="仿宋_GB2312" w:asciiTheme="minorEastAsia" w:hAnsiTheme="minorEastAsia" w:eastAsiaTheme="minorEastAsia"/>
          <w:b/>
          <w:bCs/>
          <w:sz w:val="30"/>
          <w:szCs w:val="30"/>
          <w:highlight w:val="red"/>
        </w:rPr>
      </w:pPr>
    </w:p>
    <w:p>
      <w:pPr>
        <w:spacing w:line="360" w:lineRule="auto"/>
        <w:jc w:val="center"/>
        <w:rPr>
          <w:rFonts w:cs="仿宋_GB2312" w:asciiTheme="minorEastAsia" w:hAnsiTheme="minorEastAsia" w:eastAsiaTheme="minorEastAsia"/>
          <w:b/>
          <w:bCs/>
          <w:sz w:val="30"/>
          <w:szCs w:val="30"/>
          <w:highlight w:val="red"/>
        </w:rPr>
      </w:pPr>
    </w:p>
    <w:p>
      <w:pPr>
        <w:spacing w:line="360" w:lineRule="auto"/>
        <w:jc w:val="center"/>
        <w:rPr>
          <w:rFonts w:cs="仿宋_GB2312" w:asciiTheme="minorEastAsia" w:hAnsiTheme="minorEastAsia" w:eastAsiaTheme="minorEastAsia"/>
          <w:b/>
          <w:bCs/>
          <w:sz w:val="30"/>
          <w:szCs w:val="30"/>
          <w:highlight w:val="red"/>
        </w:rPr>
      </w:pPr>
    </w:p>
    <w:p>
      <w:pPr>
        <w:spacing w:line="360" w:lineRule="auto"/>
        <w:jc w:val="center"/>
        <w:rPr>
          <w:rFonts w:cs="仿宋_GB2312" w:asciiTheme="minorEastAsia" w:hAnsiTheme="minorEastAsia" w:eastAsiaTheme="minorEastAsia"/>
          <w:b/>
          <w:bCs/>
          <w:sz w:val="24"/>
          <w:lang w:val="zh-CN"/>
        </w:rPr>
      </w:pPr>
      <w:r>
        <w:rPr>
          <w:rFonts w:hint="eastAsia" w:cs="仿宋_GB2312" w:asciiTheme="minorEastAsia" w:hAnsiTheme="minorEastAsia" w:eastAsiaTheme="minorEastAsia"/>
          <w:b/>
          <w:bCs/>
          <w:sz w:val="24"/>
        </w:rPr>
        <w:t>九、</w:t>
      </w:r>
      <w:r>
        <w:rPr>
          <w:rFonts w:hint="eastAsia" w:cs="仿宋_GB2312" w:asciiTheme="minorEastAsia" w:hAnsiTheme="minorEastAsia" w:eastAsiaTheme="minorEastAsia"/>
          <w:b/>
          <w:bCs/>
          <w:sz w:val="24"/>
          <w:lang w:val="zh-CN"/>
        </w:rPr>
        <w:t>招标文件中所要求的各项承诺书</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（由投标人根据采购需求、评分标准自行编制）</w:t>
      </w:r>
    </w:p>
    <w:p>
      <w:pPr>
        <w:spacing w:line="360" w:lineRule="auto"/>
        <w:jc w:val="center"/>
        <w:rPr>
          <w:rFonts w:cs="仿宋_GB2312" w:asciiTheme="minorEastAsia" w:hAnsiTheme="minorEastAsia" w:eastAsiaTheme="minorEastAsia"/>
          <w:color w:val="0000FF"/>
          <w:sz w:val="24"/>
        </w:rPr>
      </w:pPr>
    </w:p>
    <w:p>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（一）实质性响应条款承诺书</w:t>
      </w:r>
    </w:p>
    <w:p>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cs="宋体"/>
          <w:sz w:val="24"/>
        </w:rPr>
        <w:t>（采购人）、（采购代理机构）</w:t>
      </w:r>
      <w:r>
        <w:rPr>
          <w:rFonts w:hint="eastAsia" w:cs="仿宋_GB2312" w:asciiTheme="minorEastAsia" w:hAnsiTheme="minorEastAsia" w:eastAsiaTheme="minorEastAsia"/>
          <w:color w:val="000000" w:themeColor="text1"/>
          <w:sz w:val="24"/>
          <w14:textFill>
            <w14:solidFill>
              <w14:schemeClr w14:val="tx1"/>
            </w14:solidFill>
          </w14:textFill>
        </w:rPr>
        <w:t>：</w:t>
      </w:r>
    </w:p>
    <w:p>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我公司承诺“在所投区域内无数字城管业务之外的涉及有关养护、道路保洁等方面的城管业务；不与投标区域内城管部门存在利益关系”。</w:t>
      </w:r>
    </w:p>
    <w:p>
      <w:pPr>
        <w:autoSpaceDE w:val="0"/>
        <w:autoSpaceDN w:val="0"/>
        <w:spacing w:line="360" w:lineRule="auto"/>
        <w:ind w:firstLine="5040" w:firstLineChars="2100"/>
        <w:rPr>
          <w:rFonts w:cs="仿宋_GB2312" w:asciiTheme="minorEastAsia" w:hAnsiTheme="minorEastAsia" w:eastAsiaTheme="minorEastAsia"/>
          <w:color w:val="000000" w:themeColor="text1"/>
          <w:sz w:val="24"/>
          <w:lang w:val="zh-CN"/>
          <w14:textFill>
            <w14:solidFill>
              <w14:schemeClr w14:val="tx1"/>
            </w14:solidFill>
          </w14:textFill>
        </w:rPr>
      </w:pPr>
    </w:p>
    <w:p>
      <w:pPr>
        <w:autoSpaceDE w:val="0"/>
        <w:autoSpaceDN w:val="0"/>
        <w:spacing w:line="360" w:lineRule="auto"/>
        <w:ind w:firstLine="5040" w:firstLineChars="21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lang w:val="zh-CN"/>
          <w14:textFill>
            <w14:solidFill>
              <w14:schemeClr w14:val="tx1"/>
            </w14:solidFill>
          </w14:textFill>
        </w:rPr>
        <w:t xml:space="preserve">投标人名称（电子签名）：      </w:t>
      </w:r>
    </w:p>
    <w:p>
      <w:pPr>
        <w:autoSpaceDE w:val="0"/>
        <w:autoSpaceDN w:val="0"/>
        <w:spacing w:line="360" w:lineRule="auto"/>
        <w:rPr>
          <w:rFonts w:cs="仿宋_GB2312" w:asciiTheme="minorEastAsia" w:hAnsiTheme="minorEastAsia" w:eastAsiaTheme="minorEastAsia"/>
          <w:color w:val="000000" w:themeColor="text1"/>
          <w:sz w:val="24"/>
          <w:lang w:val="zh-CN"/>
          <w14:textFill>
            <w14:solidFill>
              <w14:schemeClr w14:val="tx1"/>
            </w14:solidFill>
          </w14:textFill>
        </w:rPr>
      </w:pPr>
      <w:r>
        <w:rPr>
          <w:rFonts w:hint="eastAsia" w:cs="仿宋_GB2312" w:asciiTheme="minorEastAsia" w:hAnsiTheme="minorEastAsia" w:eastAsiaTheme="minorEastAsia"/>
          <w:color w:val="000000" w:themeColor="text1"/>
          <w:sz w:val="24"/>
          <w:lang w:val="zh-CN"/>
          <w14:textFill>
            <w14:solidFill>
              <w14:schemeClr w14:val="tx1"/>
            </w14:solidFill>
          </w14:textFill>
        </w:rPr>
        <w:t xml:space="preserve">                                        日期：  年  月   日</w:t>
      </w:r>
    </w:p>
    <w:p>
      <w:pPr>
        <w:spacing w:line="360" w:lineRule="auto"/>
        <w:jc w:val="center"/>
        <w:rPr>
          <w:rFonts w:cs="仿宋_GB2312" w:asciiTheme="minorEastAsia" w:hAnsiTheme="minorEastAsia" w:eastAsiaTheme="minorEastAsia"/>
          <w:b/>
          <w:bCs/>
          <w:color w:val="000000" w:themeColor="text1"/>
          <w:sz w:val="30"/>
          <w:szCs w:val="30"/>
          <w14:textFill>
            <w14:solidFill>
              <w14:schemeClr w14:val="tx1"/>
            </w14:solidFill>
          </w14:textFill>
        </w:rPr>
      </w:pPr>
    </w:p>
    <w:p>
      <w:pPr>
        <w:pStyle w:val="2"/>
        <w:jc w:val="center"/>
        <w:rPr>
          <w:rFonts w:cs="仿宋_GB2312" w:asciiTheme="minorEastAsia" w:hAnsiTheme="minorEastAsia" w:eastAsiaTheme="minorEastAsia"/>
          <w:b w:val="0"/>
          <w:bCs w:val="0"/>
          <w:color w:val="000000" w:themeColor="text1"/>
          <w:sz w:val="24"/>
          <w:szCs w:val="24"/>
          <w:lang w:val="en-US"/>
          <w14:textFill>
            <w14:solidFill>
              <w14:schemeClr w14:val="tx1"/>
            </w14:solidFill>
          </w14:textFill>
        </w:rPr>
      </w:pPr>
      <w:r>
        <w:rPr>
          <w:rFonts w:hint="eastAsia" w:cs="仿宋_GB2312" w:asciiTheme="minorEastAsia" w:hAnsiTheme="minorEastAsia" w:eastAsiaTheme="minorEastAsia"/>
          <w:b w:val="0"/>
          <w:bCs w:val="0"/>
          <w:color w:val="000000" w:themeColor="text1"/>
          <w:sz w:val="24"/>
          <w:szCs w:val="24"/>
          <w:lang w:val="en-US"/>
          <w14:textFill>
            <w14:solidFill>
              <w14:schemeClr w14:val="tx1"/>
            </w14:solidFill>
          </w14:textFill>
        </w:rPr>
        <w:t>（二）实质性响应条款承诺书</w:t>
      </w:r>
    </w:p>
    <w:p>
      <w:pPr>
        <w:pStyle w:val="2"/>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（采购人）、（采购代理机构）：</w:t>
      </w:r>
    </w:p>
    <w:p>
      <w:pPr>
        <w:pStyle w:val="2"/>
        <w:ind w:left="0" w:firstLine="480" w:firstLineChars="200"/>
        <w:rPr>
          <w:rFonts w:cs="仿宋_GB2312" w:asciiTheme="minorEastAsia" w:hAnsiTheme="minorEastAsia" w:eastAsiaTheme="minorEastAsia"/>
          <w:b w:val="0"/>
          <w:bCs w:val="0"/>
          <w:color w:val="000000" w:themeColor="text1"/>
          <w:sz w:val="24"/>
          <w:szCs w:val="24"/>
          <w:lang w:val="en-US"/>
          <w14:textFill>
            <w14:solidFill>
              <w14:schemeClr w14:val="tx1"/>
            </w14:solidFill>
          </w14:textFill>
        </w:rPr>
      </w:pPr>
      <w:r>
        <w:rPr>
          <w:rFonts w:cs="仿宋_GB2312" w:asciiTheme="minorEastAsia" w:hAnsiTheme="minorEastAsia" w:eastAsiaTheme="minorEastAsia"/>
          <w:b w:val="0"/>
          <w:bCs w:val="0"/>
          <w:color w:val="000000" w:themeColor="text1"/>
          <w:sz w:val="24"/>
          <w:szCs w:val="24"/>
          <w:lang w:val="en-US"/>
          <w14:textFill>
            <w14:solidFill>
              <w14:schemeClr w14:val="tx1"/>
            </w14:solidFill>
          </w14:textFill>
        </w:rPr>
        <w:t>为确保项目实施质量，投标人必须确保所投项目项目组人员及投入的软硬件设施固定</w:t>
      </w:r>
      <w:r>
        <w:rPr>
          <w:rFonts w:hint="eastAsia" w:cs="仿宋_GB2312" w:asciiTheme="minorEastAsia" w:hAnsiTheme="minorEastAsia" w:eastAsiaTheme="minorEastAsia"/>
          <w:b w:val="0"/>
          <w:bCs w:val="0"/>
          <w:color w:val="000000" w:themeColor="text1"/>
          <w:sz w:val="24"/>
          <w:szCs w:val="24"/>
          <w:lang w:val="en-US"/>
          <w14:textFill>
            <w14:solidFill>
              <w14:schemeClr w14:val="tx1"/>
            </w14:solidFill>
          </w14:textFill>
        </w:rPr>
        <w:t>为</w:t>
      </w:r>
      <w:r>
        <w:rPr>
          <w:rFonts w:cs="仿宋_GB2312" w:asciiTheme="minorEastAsia" w:hAnsiTheme="minorEastAsia" w:eastAsiaTheme="minorEastAsia"/>
          <w:b w:val="0"/>
          <w:bCs w:val="0"/>
          <w:color w:val="000000" w:themeColor="text1"/>
          <w:sz w:val="24"/>
          <w:szCs w:val="24"/>
          <w:lang w:val="en-US"/>
          <w14:textFill>
            <w14:solidFill>
              <w14:schemeClr w14:val="tx1"/>
            </w14:solidFill>
          </w14:textFill>
        </w:rPr>
        <w:t>本项目使用。</w:t>
      </w:r>
    </w:p>
    <w:p>
      <w:pPr>
        <w:autoSpaceDE w:val="0"/>
        <w:autoSpaceDN w:val="0"/>
        <w:spacing w:line="360" w:lineRule="auto"/>
        <w:ind w:firstLine="5040" w:firstLineChars="21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投标人名称（电子签名）：</w:t>
      </w:r>
      <w:r>
        <w:rPr>
          <w:rFonts w:cs="仿宋_GB2312" w:asciiTheme="minorEastAsia" w:hAnsiTheme="minorEastAsia" w:eastAsiaTheme="minorEastAsia"/>
          <w:color w:val="000000" w:themeColor="text1"/>
          <w:kern w:val="0"/>
          <w:sz w:val="24"/>
          <w:lang w:val="zh-CN"/>
          <w14:textFill>
            <w14:solidFill>
              <w14:schemeClr w14:val="tx1"/>
            </w14:solidFill>
          </w14:textFill>
        </w:rPr>
        <w:t xml:space="preserve">      </w:t>
      </w:r>
    </w:p>
    <w:p>
      <w:pPr>
        <w:autoSpaceDE w:val="0"/>
        <w:autoSpaceDN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cs="仿宋_GB2312" w:asciiTheme="minorEastAsia" w:hAnsiTheme="minorEastAsia" w:eastAsiaTheme="minorEastAsia"/>
          <w:color w:val="000000" w:themeColor="text1"/>
          <w:kern w:val="0"/>
          <w:sz w:val="24"/>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w:t>
      </w:r>
      <w:r>
        <w:rPr>
          <w:rFonts w:cs="仿宋_GB2312" w:asciiTheme="minorEastAsia" w:hAnsiTheme="minorEastAsia" w:eastAsiaTheme="minorEastAsia"/>
          <w:color w:val="000000" w:themeColor="text1"/>
          <w:kern w:val="0"/>
          <w:sz w:val="24"/>
          <w:lang w:val="zh-CN"/>
          <w14:textFill>
            <w14:solidFill>
              <w14:schemeClr w14:val="tx1"/>
            </w14:solidFill>
          </w14:textFill>
        </w:rPr>
        <w:t>日期：  年  月   日</w:t>
      </w:r>
    </w:p>
    <w:p>
      <w:pPr>
        <w:pStyle w:val="2"/>
        <w:ind w:left="0" w:firstLine="482" w:firstLineChars="200"/>
        <w:rPr>
          <w:rFonts w:cs="宋体" w:asciiTheme="minorEastAsia" w:hAnsiTheme="minorEastAsia" w:eastAsiaTheme="minorEastAsia"/>
          <w:snapToGrid w:val="0"/>
          <w:color w:val="000000" w:themeColor="text1"/>
          <w:kern w:val="28"/>
          <w:sz w:val="24"/>
          <w14:textFill>
            <w14:solidFill>
              <w14:schemeClr w14:val="tx1"/>
            </w14:solidFill>
          </w14:textFill>
        </w:rPr>
      </w:pPr>
    </w:p>
    <w:p>
      <w:pPr>
        <w:rPr>
          <w:color w:val="000000" w:themeColor="text1"/>
          <w14:textFill>
            <w14:solidFill>
              <w14:schemeClr w14:val="tx1"/>
            </w14:solidFill>
          </w14:textFill>
        </w:rPr>
      </w:pPr>
    </w:p>
    <w:p>
      <w:pPr>
        <w:spacing w:line="360" w:lineRule="auto"/>
        <w:ind w:left="72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（三）其他需要承诺的条款的承诺书（格式自拟）（如果有）</w:t>
      </w:r>
    </w:p>
    <w:p>
      <w:pPr>
        <w:autoSpaceDE w:val="0"/>
        <w:autoSpaceDN w:val="0"/>
        <w:spacing w:line="360" w:lineRule="auto"/>
        <w:ind w:firstLine="5040" w:firstLineChars="2100"/>
        <w:rPr>
          <w:rFonts w:cs="仿宋_GB2312" w:asciiTheme="minorEastAsia" w:hAnsiTheme="minorEastAsia" w:eastAsiaTheme="minorEastAsia"/>
          <w:color w:val="000000" w:themeColor="text1"/>
          <w:kern w:val="0"/>
          <w:sz w:val="24"/>
          <w14:textFill>
            <w14:solidFill>
              <w14:schemeClr w14:val="tx1"/>
            </w14:solidFill>
          </w14:textFill>
        </w:rPr>
      </w:pPr>
    </w:p>
    <w:p>
      <w:pPr>
        <w:autoSpaceDE w:val="0"/>
        <w:autoSpaceDN w:val="0"/>
        <w:spacing w:line="360" w:lineRule="auto"/>
        <w:ind w:firstLine="5040" w:firstLineChars="21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投标人名称（电子签名）：</w:t>
      </w:r>
      <w:r>
        <w:rPr>
          <w:rFonts w:cs="仿宋_GB2312" w:asciiTheme="minorEastAsia" w:hAnsiTheme="minorEastAsia" w:eastAsiaTheme="minorEastAsia"/>
          <w:color w:val="000000" w:themeColor="text1"/>
          <w:kern w:val="0"/>
          <w:sz w:val="24"/>
          <w:lang w:val="zh-CN"/>
          <w14:textFill>
            <w14:solidFill>
              <w14:schemeClr w14:val="tx1"/>
            </w14:solidFill>
          </w14:textFill>
        </w:rPr>
        <w:t xml:space="preserve">      </w:t>
      </w:r>
    </w:p>
    <w:p>
      <w:pPr>
        <w:autoSpaceDE w:val="0"/>
        <w:autoSpaceDN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cs="仿宋_GB2312" w:asciiTheme="minorEastAsia" w:hAnsiTheme="minorEastAsia" w:eastAsiaTheme="minorEastAsia"/>
          <w:color w:val="000000" w:themeColor="text1"/>
          <w:kern w:val="0"/>
          <w:sz w:val="24"/>
          <w:lang w:val="zh-CN"/>
          <w14:textFill>
            <w14:solidFill>
              <w14:schemeClr w14:val="tx1"/>
            </w14:solidFill>
          </w14:textFill>
        </w:rPr>
        <w:t xml:space="preserve">                                        日期：  年  月   日</w:t>
      </w:r>
    </w:p>
    <w:p>
      <w:pPr>
        <w:widowControl/>
        <w:adjustRightInd/>
        <w:jc w:val="left"/>
        <w:rPr>
          <w:rFonts w:cs="宋体" w:asciiTheme="minorEastAsia" w:hAnsiTheme="minorEastAsia" w:eastAsiaTheme="minorEastAsia"/>
          <w:b/>
          <w:bCs/>
          <w:color w:val="000000" w:themeColor="text1"/>
          <w:sz w:val="32"/>
          <w:szCs w:val="32"/>
          <w14:textFill>
            <w14:solidFill>
              <w14:schemeClr w14:val="tx1"/>
            </w14:solidFill>
          </w14:textFill>
        </w:rPr>
      </w:pPr>
      <w:r>
        <w:rPr>
          <w:rFonts w:cs="宋体" w:asciiTheme="minorEastAsia" w:hAnsiTheme="minorEastAsia" w:eastAsiaTheme="minorEastAsia"/>
          <w:b/>
          <w:bCs/>
          <w:color w:val="000000" w:themeColor="text1"/>
          <w:sz w:val="32"/>
          <w:szCs w:val="32"/>
          <w14:textFill>
            <w14:solidFill>
              <w14:schemeClr w14:val="tx1"/>
            </w14:solidFill>
          </w14:textFill>
        </w:rPr>
        <w:br w:type="page"/>
      </w:r>
    </w:p>
    <w:p>
      <w:pPr>
        <w:spacing w:line="360" w:lineRule="auto"/>
        <w:jc w:val="center"/>
        <w:rPr>
          <w:rFonts w:ascii="宋体" w:hAnsi="宋体" w:cs="宋体"/>
          <w:b/>
          <w:bCs/>
          <w:color w:val="000000" w:themeColor="text1"/>
          <w:sz w:val="24"/>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16"/>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w:t>
            </w: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pacing w:line="360" w:lineRule="auto"/>
        <w:ind w:firstLine="482" w:firstLineChars="200"/>
        <w:rPr>
          <w:rFonts w:ascii="宋体" w:hAnsi="宋体" w:cs="宋体"/>
          <w:b/>
          <w:kern w:val="0"/>
          <w:sz w:val="24"/>
          <w:lang w:val="zh-CN"/>
        </w:rPr>
      </w:pPr>
      <w:r>
        <w:rPr>
          <w:rFonts w:hint="eastAsia" w:ascii="宋体" w:hAnsi="宋体" w:cs="宋体"/>
          <w:b/>
          <w:kern w:val="0"/>
          <w:sz w:val="24"/>
          <w:lang w:val="zh-CN"/>
        </w:rPr>
        <w:t>3、特别提示：采购代理机构将对项目名称和项目编号，中标供应商名称、地址和中标金额，主要中标标的名称、服务范围、服务要求、服务时间、服务标准等予以公示。</w:t>
      </w:r>
    </w:p>
    <w:p>
      <w:pPr>
        <w:spacing w:line="360" w:lineRule="auto"/>
        <w:ind w:firstLine="482" w:firstLineChars="200"/>
        <w:rPr>
          <w:rFonts w:ascii="宋体" w:hAnsi="宋体" w:cs="宋体"/>
          <w:sz w:val="32"/>
          <w:szCs w:val="32"/>
        </w:rPr>
        <w:sectPr>
          <w:pgSz w:w="16838" w:h="11906" w:orient="landscape"/>
          <w:pgMar w:top="1418" w:right="1247" w:bottom="1418" w:left="1276" w:header="851" w:footer="992" w:gutter="0"/>
          <w:cols w:space="720" w:num="1"/>
          <w:titlePg/>
          <w:docGrid w:linePitch="312" w:charSpace="0"/>
        </w:sectPr>
      </w:pPr>
      <w:r>
        <w:rPr>
          <w:rFonts w:hint="eastAsia" w:ascii="宋体" w:hAnsi="宋体" w:cs="宋体"/>
          <w:b/>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
        <w:keepNext w:val="0"/>
        <w:keepLines w:val="0"/>
        <w:pageBreakBefore/>
        <w:widowControl/>
        <w:spacing w:before="100" w:beforeAutospacing="1" w:after="100" w:afterAutospacing="1" w:line="360" w:lineRule="auto"/>
        <w:ind w:left="0" w:firstLine="0"/>
        <w:jc w:val="center"/>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1" w:name="OLE_LINK14"/>
      <w:bookmarkStart w:id="512" w:name="OLE_LINK13"/>
      <w:r>
        <w:rPr>
          <w:rFonts w:hint="eastAsia" w:ascii="宋体" w:hAnsi="宋体" w:cs="宋体"/>
          <w:b/>
          <w:spacing w:val="6"/>
          <w:sz w:val="32"/>
          <w:szCs w:val="32"/>
        </w:rPr>
        <w:t>残疾人福利性单位声明函</w:t>
      </w:r>
    </w:p>
    <w:bookmarkEnd w:id="511"/>
    <w:bookmarkEnd w:id="512"/>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4"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4"/>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5"/>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p>
      <w:pPr>
        <w:jc w:val="center"/>
        <w:rPr>
          <w:rFonts w:ascii="仿宋" w:hAnsi="仿宋" w:eastAsia="仿宋" w:cs="仿宋"/>
          <w:sz w:val="44"/>
          <w:szCs w:val="44"/>
        </w:rPr>
      </w:pPr>
      <w:r>
        <w:rPr>
          <w:rFonts w:hint="eastAsia" w:ascii="仿宋" w:hAnsi="仿宋" w:eastAsia="仿宋" w:cs="仿宋"/>
          <w:b/>
          <w:bCs/>
          <w:sz w:val="40"/>
          <w:szCs w:val="40"/>
        </w:rPr>
        <w:t>政府采购融资畅通工程金融机构联系信息表</w:t>
      </w:r>
    </w:p>
    <w:p>
      <w:pPr>
        <w:rPr>
          <w:rFonts w:ascii="仿宋" w:hAnsi="仿宋" w:eastAsia="仿宋" w:cs="仿宋"/>
          <w:sz w:val="44"/>
          <w:szCs w:val="44"/>
        </w:rPr>
      </w:pPr>
    </w:p>
    <w:tbl>
      <w:tblPr>
        <w:tblStyle w:val="16"/>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ascii="仿宋" w:hAnsi="仿宋" w:eastAsia="仿宋" w:cs="仿宋"/>
                <w:sz w:val="28"/>
                <w:szCs w:val="28"/>
              </w:rPr>
            </w:pPr>
            <w:r>
              <w:rPr>
                <w:rFonts w:hint="eastAsia" w:ascii="仿宋" w:hAnsi="仿宋" w:eastAsia="仿宋" w:cs="仿宋"/>
                <w:sz w:val="28"/>
                <w:szCs w:val="28"/>
              </w:rPr>
              <w:t>金融机构各称</w:t>
            </w:r>
          </w:p>
        </w:tc>
        <w:tc>
          <w:tcPr>
            <w:tcW w:w="1425" w:type="dxa"/>
            <w:vAlign w:val="center"/>
          </w:tcPr>
          <w:p>
            <w:pPr>
              <w:jc w:val="center"/>
              <w:rPr>
                <w:rFonts w:ascii="仿宋" w:hAnsi="仿宋" w:eastAsia="仿宋" w:cs="仿宋"/>
                <w:sz w:val="28"/>
                <w:szCs w:val="28"/>
              </w:rPr>
            </w:pPr>
            <w:r>
              <w:rPr>
                <w:rFonts w:hint="eastAsia" w:ascii="仿宋" w:hAnsi="仿宋" w:eastAsia="仿宋" w:cs="仿宋"/>
                <w:sz w:val="28"/>
                <w:szCs w:val="28"/>
              </w:rPr>
              <w:t>联系人</w:t>
            </w:r>
          </w:p>
        </w:tc>
        <w:tc>
          <w:tcPr>
            <w:tcW w:w="2444" w:type="dxa"/>
            <w:vAlign w:val="center"/>
          </w:tcPr>
          <w:p>
            <w:pPr>
              <w:jc w:val="center"/>
              <w:rPr>
                <w:rFonts w:ascii="仿宋" w:hAnsi="仿宋" w:eastAsia="仿宋" w:cs="仿宋"/>
                <w:sz w:val="28"/>
                <w:szCs w:val="28"/>
              </w:rPr>
            </w:pPr>
            <w:r>
              <w:rPr>
                <w:rFonts w:hint="eastAsia" w:ascii="仿宋" w:hAnsi="仿宋" w:eastAsia="仿宋" w:cs="仿宋"/>
                <w:sz w:val="28"/>
                <w:szCs w:val="28"/>
              </w:rPr>
              <w:t>联系电话</w:t>
            </w:r>
          </w:p>
        </w:tc>
        <w:tc>
          <w:tcPr>
            <w:tcW w:w="2775" w:type="dxa"/>
            <w:vAlign w:val="center"/>
          </w:tcPr>
          <w:p>
            <w:pPr>
              <w:jc w:val="center"/>
              <w:rPr>
                <w:rFonts w:ascii="仿宋" w:hAnsi="仿宋" w:eastAsia="仿宋" w:cs="仿宋"/>
                <w:sz w:val="28"/>
                <w:szCs w:val="28"/>
              </w:rPr>
            </w:pPr>
            <w:r>
              <w:rPr>
                <w:rFonts w:hint="eastAsia" w:ascii="仿宋" w:hAnsi="仿宋" w:eastAsia="仿宋" w:cs="仿宋"/>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南</w:t>
            </w:r>
            <w:r>
              <w:rPr>
                <w:rFonts w:hint="eastAsia" w:ascii="仿宋" w:hAnsi="仿宋" w:eastAsia="仿宋" w:cs="仿宋"/>
                <w:sz w:val="28"/>
                <w:szCs w:val="28"/>
                <w:shd w:val="clear" w:color="auto" w:fill="FFFFFF"/>
              </w:rPr>
              <w:t>浔银行</w:t>
            </w:r>
          </w:p>
        </w:tc>
        <w:tc>
          <w:tcPr>
            <w:tcW w:w="1425" w:type="dxa"/>
            <w:tcBorders>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shd w:val="clear" w:color="auto" w:fill="FFFFFF"/>
              </w:rPr>
              <w:t>方薇</w:t>
            </w:r>
          </w:p>
        </w:tc>
        <w:tc>
          <w:tcPr>
            <w:tcW w:w="2444" w:type="dxa"/>
            <w:tcBorders>
              <w:bottom w:val="single" w:color="auto" w:sz="4" w:space="0"/>
            </w:tcBorders>
            <w:vAlign w:val="center"/>
          </w:tcPr>
          <w:p>
            <w:pPr>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13868003773</w:t>
            </w:r>
          </w:p>
        </w:tc>
        <w:tc>
          <w:tcPr>
            <w:tcW w:w="2775" w:type="dxa"/>
            <w:tcBorders>
              <w:bottom w:val="single" w:color="auto" w:sz="4" w:space="0"/>
            </w:tcBorders>
            <w:vAlign w:val="center"/>
          </w:tcPr>
          <w:p>
            <w:pPr>
              <w:pStyle w:val="12"/>
              <w:jc w:val="center"/>
              <w:rPr>
                <w:rFonts w:ascii="仿宋" w:hAnsi="仿宋" w:eastAsia="仿宋" w:cs="仿宋"/>
                <w:sz w:val="28"/>
                <w:szCs w:val="28"/>
              </w:rPr>
            </w:pPr>
            <w:r>
              <w:rPr>
                <w:rFonts w:hint="eastAsia" w:ascii="仿宋" w:hAnsi="仿宋" w:eastAsia="仿宋" w:cs="仿宋"/>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浦发银行临安分行</w:t>
            </w:r>
          </w:p>
        </w:tc>
        <w:tc>
          <w:tcPr>
            <w:tcW w:w="1425"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沈</w:t>
            </w:r>
            <w:r>
              <w:rPr>
                <w:rFonts w:hint="eastAsia" w:ascii="仿宋" w:hAnsi="仿宋" w:eastAsia="仿宋" w:cs="仿宋"/>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61092936</w:t>
            </w:r>
          </w:p>
          <w:p>
            <w:pPr>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700"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金林妹</w:t>
            </w:r>
          </w:p>
        </w:tc>
        <w:tc>
          <w:tcPr>
            <w:tcW w:w="2444" w:type="dxa"/>
            <w:tcBorders>
              <w:top w:val="single" w:color="auto" w:sz="4" w:space="0"/>
              <w:bottom w:val="single" w:color="auto" w:sz="4" w:space="0"/>
            </w:tcBorders>
            <w:vAlign w:val="center"/>
          </w:tcPr>
          <w:p>
            <w:pPr>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临安中信村镇银行</w:t>
            </w:r>
          </w:p>
        </w:tc>
        <w:tc>
          <w:tcPr>
            <w:tcW w:w="1425"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吕祎</w:t>
            </w:r>
          </w:p>
        </w:tc>
        <w:tc>
          <w:tcPr>
            <w:tcW w:w="2444" w:type="dxa"/>
            <w:tcBorders>
              <w:top w:val="single" w:color="auto" w:sz="4" w:space="0"/>
              <w:bottom w:val="single" w:color="auto" w:sz="4" w:space="0"/>
            </w:tcBorders>
            <w:vAlign w:val="center"/>
          </w:tcPr>
          <w:p>
            <w:pPr>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石镜街777号</w:t>
            </w:r>
          </w:p>
        </w:tc>
      </w:tr>
    </w:tbl>
    <w:p/>
    <w:p/>
    <w:p/>
    <w:p/>
    <w:p/>
    <w:p/>
    <w:p/>
    <w:p/>
    <w:p/>
    <w:p/>
    <w:p/>
    <w:p/>
    <w:p/>
    <w:p/>
    <w:p/>
    <w:p/>
    <w:p/>
    <w:p/>
    <w:p/>
    <w:p/>
    <w:p/>
    <w:p>
      <w:pPr>
        <w:rPr>
          <w:rFonts w:ascii="仿宋" w:hAnsi="仿宋" w:eastAsia="仿宋" w:cs="仿宋"/>
          <w:bCs/>
          <w:sz w:val="24"/>
          <w:szCs w:val="22"/>
        </w:rPr>
      </w:pPr>
      <w:r>
        <w:rPr>
          <w:rFonts w:hint="eastAsia" w:cs="仿宋_GB2312" w:asciiTheme="minorEastAsia" w:hAnsiTheme="minorEastAsia" w:eastAsiaTheme="minorEastAsia"/>
          <w:b/>
          <w:sz w:val="24"/>
        </w:rPr>
        <w:t>附件6：</w:t>
      </w:r>
      <w:r>
        <w:rPr>
          <w:rFonts w:hint="eastAsia" w:ascii="仿宋" w:hAnsi="仿宋" w:eastAsia="仿宋" w:cs="仿宋"/>
          <w:b/>
          <w:sz w:val="24"/>
          <w:szCs w:val="22"/>
        </w:rPr>
        <w:t>《中小企业划型标准规定》工信部联企业〔2011〕300号</w:t>
      </w:r>
    </w:p>
    <w:p>
      <w:pPr>
        <w:pStyle w:val="14"/>
      </w:pPr>
    </w:p>
    <w:tbl>
      <w:tblPr>
        <w:tblStyle w:val="16"/>
        <w:tblW w:w="0" w:type="auto"/>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Layout w:type="autofit"/>
        <w:tblCellMar>
          <w:top w:w="15" w:type="dxa"/>
          <w:left w:w="15" w:type="dxa"/>
          <w:bottom w:w="15" w:type="dxa"/>
          <w:right w:w="15" w:type="dxa"/>
        </w:tblCellMar>
      </w:tblPr>
      <w:tblGrid>
        <w:gridCol w:w="2100"/>
        <w:gridCol w:w="1414"/>
        <w:gridCol w:w="894"/>
        <w:gridCol w:w="1654"/>
        <w:gridCol w:w="1446"/>
        <w:gridCol w:w="111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453" w:hRule="atLeast"/>
        </w:trPr>
        <w:tc>
          <w:tcPr>
            <w:tcW w:w="2083"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
                <w:sz w:val="18"/>
                <w:szCs w:val="18"/>
              </w:rPr>
            </w:pPr>
            <w:r>
              <w:rPr>
                <w:rFonts w:hint="eastAsia" w:ascii="仿宋" w:hAnsi="仿宋" w:eastAsia="仿宋" w:cs="仿宋"/>
                <w:b/>
                <w:kern w:val="0"/>
                <w:sz w:val="18"/>
                <w:szCs w:val="18"/>
                <w:lang w:bidi="ar"/>
              </w:rPr>
              <w:t>行业名称</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
                <w:sz w:val="18"/>
                <w:szCs w:val="18"/>
              </w:rPr>
            </w:pPr>
            <w:r>
              <w:rPr>
                <w:rFonts w:hint="eastAsia" w:ascii="仿宋" w:hAnsi="仿宋" w:eastAsia="仿宋" w:cs="仿宋"/>
                <w:b/>
                <w:kern w:val="0"/>
                <w:sz w:val="18"/>
                <w:szCs w:val="18"/>
                <w:lang w:bidi="ar"/>
              </w:rPr>
              <w:t>指标名称</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
                <w:sz w:val="18"/>
                <w:szCs w:val="18"/>
              </w:rPr>
            </w:pPr>
            <w:r>
              <w:rPr>
                <w:rFonts w:hint="eastAsia" w:ascii="仿宋" w:hAnsi="仿宋" w:eastAsia="仿宋" w:cs="仿宋"/>
                <w:b/>
                <w:kern w:val="0"/>
                <w:sz w:val="18"/>
                <w:szCs w:val="18"/>
                <w:lang w:bidi="ar"/>
              </w:rPr>
              <w:t>计量</w:t>
            </w:r>
          </w:p>
          <w:p>
            <w:pPr>
              <w:widowControl/>
              <w:wordWrap w:val="0"/>
              <w:spacing w:line="320" w:lineRule="exact"/>
              <w:jc w:val="left"/>
              <w:textAlignment w:val="center"/>
              <w:rPr>
                <w:rFonts w:ascii="仿宋" w:hAnsi="仿宋" w:eastAsia="仿宋" w:cs="仿宋"/>
                <w:b/>
                <w:sz w:val="18"/>
                <w:szCs w:val="18"/>
              </w:rPr>
            </w:pPr>
            <w:r>
              <w:rPr>
                <w:rFonts w:hint="eastAsia" w:ascii="仿宋" w:hAnsi="仿宋" w:eastAsia="仿宋" w:cs="仿宋"/>
                <w:b/>
                <w:kern w:val="0"/>
                <w:sz w:val="18"/>
                <w:szCs w:val="18"/>
                <w:lang w:bidi="ar"/>
              </w:rPr>
              <w:t>单位</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
                <w:sz w:val="18"/>
                <w:szCs w:val="18"/>
              </w:rPr>
            </w:pPr>
            <w:r>
              <w:rPr>
                <w:rFonts w:hint="eastAsia" w:ascii="仿宋" w:hAnsi="仿宋" w:eastAsia="仿宋" w:cs="仿宋"/>
                <w:b/>
                <w:kern w:val="0"/>
                <w:sz w:val="18"/>
                <w:szCs w:val="18"/>
                <w:lang w:bidi="ar"/>
              </w:rPr>
              <w:t>中型</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
                <w:sz w:val="18"/>
                <w:szCs w:val="18"/>
              </w:rPr>
            </w:pPr>
            <w:r>
              <w:rPr>
                <w:rFonts w:hint="eastAsia" w:ascii="仿宋" w:hAnsi="仿宋" w:eastAsia="仿宋" w:cs="仿宋"/>
                <w:b/>
                <w:kern w:val="0"/>
                <w:sz w:val="18"/>
                <w:szCs w:val="18"/>
                <w:lang w:bidi="ar"/>
              </w:rPr>
              <w:t>小型</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
                <w:sz w:val="18"/>
                <w:szCs w:val="18"/>
              </w:rPr>
            </w:pPr>
            <w:r>
              <w:rPr>
                <w:rFonts w:hint="eastAsia" w:ascii="仿宋" w:hAnsi="仿宋" w:eastAsia="仿宋" w:cs="仿宋"/>
                <w:b/>
                <w:kern w:val="0"/>
                <w:sz w:val="18"/>
                <w:szCs w:val="18"/>
                <w:lang w:bidi="ar"/>
              </w:rPr>
              <w:t>微型</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2083"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农、林、牧、渔业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500≤Y&lt;20000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50≤Y&lt;500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Y&lt;50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工业*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300≤X&lt;1000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20≤X&lt;300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X&lt;20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sz w:val="18"/>
                <w:szCs w:val="18"/>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2000≤Y&lt;40000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300≤Y&lt;2000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Y&lt;300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建筑业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6000≤Y&lt;80000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300≤Y&lt;6000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Y&lt;300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480" w:hRule="atLeast"/>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sz w:val="18"/>
                <w:szCs w:val="18"/>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5000≤Z&lt;80000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300≤Z&lt;5000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Z&lt;300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批发业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20≤X&lt;200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5≤X&lt;20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X&lt;5</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sz w:val="18"/>
                <w:szCs w:val="18"/>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5000≤Y&lt;40000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1000≤Y&lt;5000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Y&lt;1000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零售业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50≤X&lt;300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10≤X&lt;50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X&lt;10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sz w:val="18"/>
                <w:szCs w:val="18"/>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500≤Y&lt;20000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100≤Y&lt;500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交通运输业*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300≤X&lt;1000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20≤X&lt;300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X&lt;20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sz w:val="18"/>
                <w:szCs w:val="18"/>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3000≤Y&lt;30000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200≤Y&lt;3000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Y&lt;200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仓储业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100≤X&lt;200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20≤X&lt;100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X&lt;20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sz w:val="18"/>
                <w:szCs w:val="18"/>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1000≤Y&lt;30000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100≤Y&lt;1000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邮政业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300≤X&lt;1000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20≤X&lt;300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X&lt;20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sz w:val="18"/>
                <w:szCs w:val="18"/>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2000≤Y&lt;30000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100≤Y&lt;2000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住宿业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100≤X&lt;300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10≤X&lt;100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X&lt;10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sz w:val="18"/>
                <w:szCs w:val="18"/>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2000≤Y&lt;10000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100≤Y&lt;2000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餐饮业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100≤X&lt;300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10≤X&lt;100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X&lt;10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sz w:val="18"/>
                <w:szCs w:val="18"/>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2000≤Y&lt;10000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100≤Y&lt;2000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信息传输业*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100≤X&lt;2000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10≤X&lt;100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X&lt;10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sz w:val="18"/>
                <w:szCs w:val="18"/>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1000≤Y&lt;100000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100≤Y&lt;1000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软件和信息技术服务业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100≤X&lt;300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10≤X&lt;100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X&lt;10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sz w:val="18"/>
                <w:szCs w:val="18"/>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1000≤Y&lt;10000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50≤Y&lt;1000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Y&lt;50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房地产开发经营</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1000≤Y&lt;200000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100≤Y&lt;1000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sz w:val="18"/>
                <w:szCs w:val="18"/>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5000≤Z&lt;10000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2000≤Z&lt;5000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Z&lt;2000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物业管理</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300≤X&lt;1000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100≤X&lt;300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X&lt;100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sz w:val="18"/>
                <w:szCs w:val="18"/>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1000≤Y&lt;5000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500≤Y&lt;1000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Y&lt;500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租赁和商务服务业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100≤X&lt;300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10≤X&lt;100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X&lt;10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sz w:val="18"/>
                <w:szCs w:val="18"/>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8000≤Z&lt;120000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100≤Z&lt;8000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Z&lt;100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trPr>
        <w:tc>
          <w:tcPr>
            <w:tcW w:w="2083"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其他未列明行业*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100≤X&lt;300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10≤X&lt;100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sz w:val="18"/>
                <w:szCs w:val="18"/>
              </w:rPr>
            </w:pPr>
            <w:r>
              <w:rPr>
                <w:rFonts w:hint="eastAsia" w:ascii="仿宋" w:hAnsi="仿宋" w:eastAsia="仿宋" w:cs="仿宋"/>
                <w:bCs/>
                <w:kern w:val="0"/>
                <w:sz w:val="18"/>
                <w:szCs w:val="18"/>
                <w:lang w:bidi="ar"/>
              </w:rPr>
              <w:t>X&lt;10</w:t>
            </w:r>
          </w:p>
        </w:tc>
      </w:tr>
    </w:tbl>
    <w:p/>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9"/>
      </w:rPr>
    </w:pPr>
    <w:r>
      <w:fldChar w:fldCharType="begin"/>
    </w:r>
    <w:r>
      <w:rPr>
        <w:rStyle w:val="19"/>
      </w:rPr>
      <w:instrText xml:space="preserve">PAGE  </w:instrText>
    </w:r>
    <w:r>
      <w:fldChar w:fldCharType="end"/>
    </w:r>
  </w:p>
  <w:p>
    <w:pPr>
      <w:pStyle w:val="8"/>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91899912"/>
    <w:bookmarkStart w:id="517" w:name="_Toc131845147"/>
    <w:bookmarkStart w:id="518" w:name="_Toc164085800"/>
    <w:bookmarkStart w:id="519" w:name="_Toc3611018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9"/>
      </w:rPr>
    </w:pPr>
    <w:r>
      <w:fldChar w:fldCharType="begin"/>
    </w:r>
    <w:r>
      <w:rPr>
        <w:rStyle w:val="19"/>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spacing w:line="360" w:lineRule="auto"/>
      <w:jc w:val="center"/>
      <w:rPr>
        <w:rFonts w:hint="eastAsia" w:ascii="仿宋" w:hAnsi="仿宋" w:eastAsia="仿宋" w:cs="仿宋_GB2312"/>
        <w:b/>
        <w:sz w:val="18"/>
        <w:szCs w:val="18"/>
      </w:rPr>
    </w:pPr>
    <w:r>
      <w:t></w:t>
    </w:r>
    <w:r>
      <w:rPr>
        <w:rFonts w:hint="eastAsia"/>
      </w:rPr>
      <w:t xml:space="preserve">     </w:t>
    </w:r>
  </w:p>
  <w:p>
    <w:pPr>
      <w:pStyle w:val="9"/>
      <w:pBdr>
        <w:bottom w:val="single" w:color="auto" w:sz="6" w:space="4"/>
      </w:pBdr>
      <w:tabs>
        <w:tab w:val="left" w:pos="5855"/>
      </w:tabs>
      <w:jc w:val="left"/>
      <w:rPr>
        <w:rFonts w:hint="eastAsia" w:eastAsia="宋体"/>
        <w:lang w:eastAsia="zh-CN"/>
      </w:rPr>
    </w:pPr>
    <w:r>
      <w:rPr>
        <w:rFonts w:hint="eastAsia"/>
        <w:lang w:eastAsia="zh-CN"/>
      </w:rPr>
      <w:tab/>
    </w:r>
    <w:r>
      <w:rPr>
        <w:rFonts w:hint="eastAsia"/>
        <w:lang w:eastAsia="zh-CN"/>
      </w:rPr>
      <w:tab/>
    </w:r>
    <w:r>
      <w:rPr>
        <w:rFonts w:hint="eastAsia"/>
        <w:lang w:eastAsia="zh-CN"/>
      </w:rPr>
      <w:tab/>
    </w:r>
  </w:p>
  <w:p>
    <w:pPr>
      <w:pStyle w:val="1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spacing w:line="360" w:lineRule="auto"/>
      <w:jc w:val="center"/>
      <w:rPr>
        <w:rFonts w:hint="eastAsia" w:ascii="仿宋" w:hAnsi="仿宋" w:eastAsia="仿宋" w:cs="仿宋_GB2312"/>
        <w:b/>
        <w:sz w:val="21"/>
        <w:szCs w:val="21"/>
      </w:rPr>
    </w:pPr>
    <w:r>
      <w:rPr>
        <w:lang w:val="zh-CN"/>
      </w:rPr>
      <w:t></w:t>
    </w:r>
    <w:r>
      <w:tab/>
    </w:r>
    <w:r>
      <w:rPr>
        <w:lang w:val="zh-CN"/>
      </w:rPr>
      <w:t></w:t>
    </w:r>
    <w:r>
      <w:tab/>
    </w:r>
    <w:r>
      <w:rPr>
        <w:rFonts w:hint="eastAsia"/>
        <w:lang w:val="en-US" w:eastAsia="zh-CN"/>
      </w:rPr>
      <w:t xml:space="preserve">                                         </w:t>
    </w:r>
  </w:p>
  <w:p>
    <w:pPr>
      <w:pStyle w:val="9"/>
      <w:pBdr>
        <w:bottom w:val="single" w:color="auto" w:sz="6"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spacing w:line="360" w:lineRule="auto"/>
      <w:jc w:val="center"/>
      <w:rPr>
        <w:rFonts w:hint="eastAsia" w:ascii="仿宋" w:hAnsi="仿宋" w:eastAsia="仿宋" w:cs="仿宋_GB2312"/>
        <w:b/>
        <w:sz w:val="21"/>
        <w:szCs w:val="21"/>
      </w:rPr>
    </w:pPr>
    <w:r>
      <w:t></w:t>
    </w:r>
    <w:r>
      <w:rPr>
        <w:rFonts w:hint="eastAsia"/>
      </w:rPr>
      <w:t xml:space="preserve">                                               </w:t>
    </w:r>
  </w:p>
  <w:p>
    <w:pPr>
      <w:pStyle w:val="9"/>
      <w:rPr>
        <w:rFonts w:ascii="仿宋_GB2312" w:eastAsia="仿宋_GB2312"/>
        <w:b/>
        <w:i/>
        <w:u w:val="single"/>
      </w:rPr>
    </w:pP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t></w:t>
    </w:r>
    <w:r>
      <w:rPr>
        <w:rFonts w:hint="eastAsia"/>
      </w:rPr>
      <w:t xml:space="preserve">         </w:t>
    </w:r>
  </w:p>
  <w:p>
    <w:pPr>
      <w:pStyle w:val="9"/>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t></w:t>
    </w:r>
    <w:r>
      <w:rPr>
        <w:rFonts w:hint="eastAsia"/>
      </w:rPr>
      <w:t xml:space="preserve">                 </w:t>
    </w:r>
    <w:r>
      <w:t xml:space="preserve">                                </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YmFmNDJlY2RhYmMxZjg2ODgwYTMwNmI1ZjE2MDIifQ=="/>
    <w:docVar w:name="KSO_WPS_MARK_KEY" w:val="41950dee-1f85-4b9c-b4ca-58dacdfc9ba4"/>
  </w:docVars>
  <w:rsids>
    <w:rsidRoot w:val="0A786BEE"/>
    <w:rsid w:val="00107867"/>
    <w:rsid w:val="001C314A"/>
    <w:rsid w:val="002F4FC4"/>
    <w:rsid w:val="00417018"/>
    <w:rsid w:val="00554A43"/>
    <w:rsid w:val="0065341C"/>
    <w:rsid w:val="006D1D07"/>
    <w:rsid w:val="00A717BA"/>
    <w:rsid w:val="028E4F47"/>
    <w:rsid w:val="06FF4665"/>
    <w:rsid w:val="09497142"/>
    <w:rsid w:val="0A786BEE"/>
    <w:rsid w:val="0B4957CB"/>
    <w:rsid w:val="0D200E92"/>
    <w:rsid w:val="0D8A3E56"/>
    <w:rsid w:val="0D9553DC"/>
    <w:rsid w:val="0E7367CA"/>
    <w:rsid w:val="0E933BBE"/>
    <w:rsid w:val="0EA00B5F"/>
    <w:rsid w:val="116F4196"/>
    <w:rsid w:val="11ED5C7A"/>
    <w:rsid w:val="17D42FA4"/>
    <w:rsid w:val="188B6B29"/>
    <w:rsid w:val="19362169"/>
    <w:rsid w:val="1C99656B"/>
    <w:rsid w:val="1E0D5462"/>
    <w:rsid w:val="1FF3FEDC"/>
    <w:rsid w:val="208B14DD"/>
    <w:rsid w:val="220E12E3"/>
    <w:rsid w:val="2248793A"/>
    <w:rsid w:val="23C55E7C"/>
    <w:rsid w:val="25475908"/>
    <w:rsid w:val="271D2423"/>
    <w:rsid w:val="29AF561F"/>
    <w:rsid w:val="2AAA4765"/>
    <w:rsid w:val="2AB27175"/>
    <w:rsid w:val="2B542EE4"/>
    <w:rsid w:val="2D2325AC"/>
    <w:rsid w:val="2E580034"/>
    <w:rsid w:val="2F642A08"/>
    <w:rsid w:val="2FF10C39"/>
    <w:rsid w:val="340F5CBB"/>
    <w:rsid w:val="348D24E9"/>
    <w:rsid w:val="37144D14"/>
    <w:rsid w:val="38194CD8"/>
    <w:rsid w:val="38884554"/>
    <w:rsid w:val="38A722E3"/>
    <w:rsid w:val="3B7A5413"/>
    <w:rsid w:val="3DA2194E"/>
    <w:rsid w:val="3DD47507"/>
    <w:rsid w:val="3E1A5671"/>
    <w:rsid w:val="3F0D6725"/>
    <w:rsid w:val="3F980BD8"/>
    <w:rsid w:val="402E6191"/>
    <w:rsid w:val="427174BE"/>
    <w:rsid w:val="47FE35A2"/>
    <w:rsid w:val="4970227E"/>
    <w:rsid w:val="4FA709C3"/>
    <w:rsid w:val="502A1E8D"/>
    <w:rsid w:val="523E09F1"/>
    <w:rsid w:val="53C06DA2"/>
    <w:rsid w:val="55326462"/>
    <w:rsid w:val="586E207E"/>
    <w:rsid w:val="58E6255C"/>
    <w:rsid w:val="591A351C"/>
    <w:rsid w:val="59C53F20"/>
    <w:rsid w:val="5C5A1297"/>
    <w:rsid w:val="5D3C099D"/>
    <w:rsid w:val="5D4D2BAA"/>
    <w:rsid w:val="5E420235"/>
    <w:rsid w:val="5EB56C59"/>
    <w:rsid w:val="60F4333C"/>
    <w:rsid w:val="612E2CF2"/>
    <w:rsid w:val="642503DD"/>
    <w:rsid w:val="66B77AE4"/>
    <w:rsid w:val="69F745C9"/>
    <w:rsid w:val="69FD7706"/>
    <w:rsid w:val="6B0B19AE"/>
    <w:rsid w:val="6B431148"/>
    <w:rsid w:val="6B8812E5"/>
    <w:rsid w:val="6CFB0D6C"/>
    <w:rsid w:val="6D655CEE"/>
    <w:rsid w:val="6DE62951"/>
    <w:rsid w:val="6E162992"/>
    <w:rsid w:val="6EF8683D"/>
    <w:rsid w:val="6F9D483C"/>
    <w:rsid w:val="72550762"/>
    <w:rsid w:val="73221F8B"/>
    <w:rsid w:val="7E2147E5"/>
    <w:rsid w:val="7FD10FC1"/>
    <w:rsid w:val="DAFF4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w:basedOn w:val="1"/>
    <w:next w:val="1"/>
    <w:autoRedefine/>
    <w:qFormat/>
    <w:uiPriority w:val="0"/>
    <w:pPr>
      <w:autoSpaceDE w:val="0"/>
      <w:autoSpaceDN w:val="0"/>
      <w:spacing w:line="360" w:lineRule="auto"/>
    </w:pPr>
    <w:rPr>
      <w:rFonts w:ascii="宋体" w:hAnsi="Arial" w:cs="Arial"/>
      <w:snapToGrid w:val="0"/>
      <w:sz w:val="24"/>
      <w:szCs w:val="21"/>
      <w:lang w:val="zh-CN"/>
    </w:rPr>
  </w:style>
  <w:style w:type="paragraph" w:styleId="6">
    <w:name w:val="Body Text Indent"/>
    <w:basedOn w:val="1"/>
    <w:next w:val="1"/>
    <w:autoRedefine/>
    <w:qFormat/>
    <w:uiPriority w:val="0"/>
    <w:pPr>
      <w:spacing w:line="480" w:lineRule="exact"/>
      <w:ind w:firstLine="480" w:firstLineChars="200"/>
    </w:pPr>
    <w:rPr>
      <w:rFonts w:ascii="宋体" w:hAnsi="宋体"/>
      <w:sz w:val="24"/>
    </w:rPr>
  </w:style>
  <w:style w:type="paragraph" w:styleId="7">
    <w:name w:val="Plain Text"/>
    <w:basedOn w:val="1"/>
    <w:autoRedefine/>
    <w:qFormat/>
    <w:uiPriority w:val="0"/>
    <w:rPr>
      <w:rFonts w:ascii="宋体" w:hAnsi="Courier New" w:cs="Arial"/>
      <w:snapToGrid w:val="0"/>
      <w:szCs w:val="21"/>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toc 6"/>
    <w:basedOn w:val="1"/>
    <w:next w:val="1"/>
    <w:autoRedefine/>
    <w:qFormat/>
    <w:uiPriority w:val="0"/>
    <w:pPr>
      <w:ind w:left="2100" w:leftChars="1000"/>
    </w:pPr>
  </w:style>
  <w:style w:type="paragraph" w:styleId="11">
    <w:name w:val="Body Text 2"/>
    <w:basedOn w:val="1"/>
    <w:autoRedefine/>
    <w:qFormat/>
    <w:uiPriority w:val="0"/>
    <w:pPr>
      <w:spacing w:after="120" w:line="480" w:lineRule="auto"/>
    </w:pPr>
  </w:style>
  <w:style w:type="paragraph" w:styleId="1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3">
    <w:name w:val="Title"/>
    <w:basedOn w:val="1"/>
    <w:autoRedefine/>
    <w:qFormat/>
    <w:uiPriority w:val="10"/>
    <w:pPr>
      <w:widowControl/>
      <w:overflowPunct w:val="0"/>
      <w:autoSpaceDE w:val="0"/>
      <w:autoSpaceDN w:val="0"/>
      <w:jc w:val="center"/>
      <w:textAlignment w:val="baseline"/>
    </w:pPr>
    <w:rPr>
      <w:b/>
      <w:kern w:val="0"/>
      <w:sz w:val="24"/>
      <w:szCs w:val="20"/>
      <w:lang w:val="en-GB"/>
    </w:rPr>
  </w:style>
  <w:style w:type="paragraph" w:styleId="14">
    <w:name w:val="Body Text First Indent"/>
    <w:basedOn w:val="5"/>
    <w:next w:val="15"/>
    <w:autoRedefine/>
    <w:qFormat/>
    <w:uiPriority w:val="0"/>
    <w:pPr>
      <w:ind w:firstLine="420"/>
    </w:pPr>
    <w:rPr>
      <w:rFonts w:hAnsi="Calibri" w:cs="Times New Roman"/>
      <w:snapToGrid/>
      <w:szCs w:val="20"/>
    </w:rPr>
  </w:style>
  <w:style w:type="paragraph" w:styleId="15">
    <w:name w:val="Body Text First Indent 2"/>
    <w:basedOn w:val="6"/>
    <w:next w:val="14"/>
    <w:autoRedefine/>
    <w:unhideWhenUsed/>
    <w:qFormat/>
    <w:uiPriority w:val="99"/>
    <w:pPr>
      <w:ind w:firstLine="42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autoRedefine/>
    <w:qFormat/>
    <w:uiPriority w:val="0"/>
    <w:rPr>
      <w:rFonts w:ascii="Arial" w:hAnsi="Arial" w:eastAsia="黑体" w:cs="Arial"/>
      <w:snapToGrid w:val="0"/>
      <w:kern w:val="0"/>
      <w:szCs w:val="21"/>
    </w:rPr>
  </w:style>
  <w:style w:type="character" w:styleId="20">
    <w:name w:val="Hyperlink"/>
    <w:autoRedefine/>
    <w:qFormat/>
    <w:uiPriority w:val="99"/>
    <w:rPr>
      <w:rFonts w:ascii="Arial" w:hAnsi="Arial" w:eastAsia="黑体" w:cs="Arial"/>
      <w:snapToGrid w:val="0"/>
      <w:color w:val="000000"/>
      <w:kern w:val="0"/>
      <w:sz w:val="18"/>
      <w:szCs w:val="18"/>
      <w:u w:val="none"/>
    </w:rPr>
  </w:style>
  <w:style w:type="paragraph" w:customStyle="1" w:styleId="21">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2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6">
    <w:name w:val="首行缩进"/>
    <w:basedOn w:val="1"/>
    <w:autoRedefine/>
    <w:qFormat/>
    <w:uiPriority w:val="0"/>
    <w:pPr>
      <w:spacing w:line="360" w:lineRule="auto"/>
      <w:ind w:firstLine="480" w:firstLineChars="200"/>
    </w:pPr>
    <w:rPr>
      <w:rFonts w:ascii="宋体"/>
      <w:sz w:val="24"/>
      <w:szCs w:val="20"/>
    </w:rPr>
  </w:style>
  <w:style w:type="paragraph" w:customStyle="1" w:styleId="2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9">
    <w:name w:val="纯文本1"/>
    <w:basedOn w:val="1"/>
    <w:autoRedefine/>
    <w:qFormat/>
    <w:uiPriority w:val="0"/>
    <w:pPr>
      <w:adjustRightInd/>
    </w:pPr>
    <w:rPr>
      <w:rFonts w:ascii="宋体" w:hAnsi="Courier New"/>
      <w:kern w:val="0"/>
      <w:sz w:val="20"/>
      <w:szCs w:val="20"/>
    </w:rPr>
  </w:style>
  <w:style w:type="paragraph" w:customStyle="1" w:styleId="3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1">
    <w:name w:val="纯文本_0_0"/>
    <w:basedOn w:val="32"/>
    <w:autoRedefine/>
    <w:qFormat/>
    <w:uiPriority w:val="0"/>
    <w:rPr>
      <w:rFonts w:ascii="宋体" w:hAnsi="Courier New"/>
      <w:szCs w:val="21"/>
    </w:rPr>
  </w:style>
  <w:style w:type="paragraph" w:customStyle="1" w:styleId="3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3">
    <w:name w:val="List Paragraph"/>
    <w:basedOn w:val="1"/>
    <w:autoRedefine/>
    <w:qFormat/>
    <w:uiPriority w:val="0"/>
    <w:pPr>
      <w:ind w:firstLine="420" w:firstLineChars="200"/>
    </w:pPr>
    <w:rPr>
      <w:szCs w:val="20"/>
    </w:rPr>
  </w:style>
  <w:style w:type="paragraph" w:customStyle="1" w:styleId="34">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35873</Words>
  <Characters>38538</Characters>
  <Lines>325</Lines>
  <Paragraphs>91</Paragraphs>
  <TotalTime>355</TotalTime>
  <ScaleCrop>false</ScaleCrop>
  <LinksUpToDate>false</LinksUpToDate>
  <CharactersWithSpaces>44120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2024-03-26T19:11:00Z</dcterms:created>
  <dc:creator>别离</dc:creator>
  <cp:lastModifiedBy>别离</cp:lastModifiedBy>
  <dcterms:modified xsi:type="dcterms:W3CDTF">2024-05-30T04:06:38Z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87AB2E607B8B4C80873D3FB843C1F758</vt:lpwstr>
  </property>
</Properties>
</file>