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7A62A2">
      <w:pPr>
        <w:spacing w:line="360" w:lineRule="auto"/>
        <w:jc w:val="center"/>
        <w:rPr>
          <w:rFonts w:hint="eastAsia" w:ascii="宋体" w:hAnsi="宋体" w:eastAsia="宋体" w:cs="宋体"/>
          <w:b/>
          <w:color w:val="auto"/>
          <w:sz w:val="24"/>
          <w:highlight w:val="none"/>
          <w:lang w:eastAsia="zh-CN"/>
        </w:rPr>
      </w:pPr>
    </w:p>
    <w:p w14:paraId="76DCAE63">
      <w:pPr>
        <w:spacing w:line="360" w:lineRule="auto"/>
        <w:jc w:val="center"/>
        <w:rPr>
          <w:rFonts w:hint="eastAsia" w:ascii="宋体" w:hAnsi="宋体" w:eastAsia="宋体" w:cs="宋体"/>
          <w:b/>
          <w:color w:val="auto"/>
          <w:sz w:val="24"/>
          <w:highlight w:val="none"/>
        </w:rPr>
      </w:pPr>
    </w:p>
    <w:p w14:paraId="3E188D42">
      <w:pPr>
        <w:adjustRightInd/>
        <w:spacing w:line="360" w:lineRule="auto"/>
        <w:jc w:val="center"/>
        <w:rPr>
          <w:rFonts w:hint="eastAsia" w:ascii="宋体" w:hAnsi="宋体" w:eastAsia="宋体" w:cs="宋体"/>
          <w:b/>
          <w:color w:val="auto"/>
          <w:sz w:val="44"/>
          <w:szCs w:val="44"/>
          <w:highlight w:val="none"/>
        </w:rPr>
      </w:pPr>
    </w:p>
    <w:p w14:paraId="58C00135">
      <w:pPr>
        <w:adjustRightInd/>
        <w:spacing w:line="360" w:lineRule="auto"/>
        <w:jc w:val="center"/>
        <w:rPr>
          <w:rFonts w:hint="eastAsia" w:ascii="宋体" w:hAnsi="宋体" w:cs="宋体"/>
          <w:b w:val="0"/>
          <w:bCs/>
          <w:color w:val="auto"/>
          <w:sz w:val="48"/>
          <w:szCs w:val="48"/>
          <w:highlight w:val="none"/>
          <w:u w:val="none"/>
          <w:lang w:val="en-US" w:eastAsia="zh-CN"/>
        </w:rPr>
      </w:pPr>
      <w:r>
        <w:rPr>
          <w:rFonts w:hint="eastAsia" w:ascii="宋体" w:hAnsi="宋体" w:cs="宋体"/>
          <w:b w:val="0"/>
          <w:bCs/>
          <w:color w:val="auto"/>
          <w:sz w:val="48"/>
          <w:szCs w:val="48"/>
          <w:highlight w:val="none"/>
          <w:u w:val="none"/>
          <w:lang w:val="en-US" w:eastAsia="zh-CN"/>
        </w:rPr>
        <w:t>建德市寿昌镇人民政府2025年寿昌初级中学改扩建-艺体楼设备采购项目</w:t>
      </w:r>
    </w:p>
    <w:p w14:paraId="6D1C608D">
      <w:pPr>
        <w:adjustRightInd/>
        <w:spacing w:line="360" w:lineRule="auto"/>
        <w:jc w:val="center"/>
        <w:rPr>
          <w:rFonts w:hint="eastAsia" w:ascii="宋体" w:hAnsi="宋体" w:eastAsia="宋体" w:cs="宋体"/>
          <w:b w:val="0"/>
          <w:bCs/>
          <w:color w:val="auto"/>
          <w:sz w:val="48"/>
          <w:szCs w:val="48"/>
          <w:highlight w:val="none"/>
        </w:rPr>
      </w:pPr>
      <w:r>
        <w:rPr>
          <w:rFonts w:hint="eastAsia" w:ascii="宋体" w:hAnsi="宋体" w:eastAsia="宋体" w:cs="宋体"/>
          <w:b w:val="0"/>
          <w:bCs/>
          <w:color w:val="auto"/>
          <w:sz w:val="48"/>
          <w:szCs w:val="48"/>
          <w:highlight w:val="none"/>
        </w:rPr>
        <w:t xml:space="preserve">招标文件 </w:t>
      </w:r>
    </w:p>
    <w:p w14:paraId="0750262D">
      <w:pPr>
        <w:adjustRightInd/>
        <w:spacing w:line="360" w:lineRule="auto"/>
        <w:jc w:val="center"/>
        <w:rPr>
          <w:rFonts w:hint="eastAsia" w:ascii="宋体" w:hAnsi="宋体" w:eastAsia="宋体" w:cs="宋体"/>
          <w:b/>
          <w:color w:val="auto"/>
          <w:sz w:val="44"/>
          <w:szCs w:val="44"/>
          <w:highlight w:val="none"/>
        </w:rPr>
      </w:pPr>
    </w:p>
    <w:p w14:paraId="17212A85">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（电子招投标）</w:t>
      </w:r>
      <w:bookmarkStart w:id="560" w:name="_GoBack"/>
      <w:bookmarkEnd w:id="560"/>
    </w:p>
    <w:p w14:paraId="3B596019">
      <w:pPr>
        <w:snapToGrid w:val="0"/>
        <w:spacing w:line="360" w:lineRule="auto"/>
        <w:ind w:firstLine="3300" w:firstLineChars="1100"/>
        <w:jc w:val="both"/>
        <w:rPr>
          <w:rFonts w:hint="eastAsia" w:ascii="宋体" w:hAnsi="宋体" w:eastAsia="宋体" w:cs="宋体"/>
          <w:color w:val="auto"/>
          <w:sz w:val="30"/>
          <w:szCs w:val="30"/>
          <w:highlight w:val="none"/>
          <w:u w:val="single"/>
          <w:lang w:val="en-US" w:eastAsia="zh-CN"/>
        </w:rPr>
      </w:pPr>
      <w:r>
        <w:rPr>
          <w:rFonts w:hint="eastAsia" w:ascii="宋体" w:hAnsi="宋体" w:eastAsia="宋体" w:cs="宋体"/>
          <w:color w:val="auto"/>
          <w:sz w:val="30"/>
          <w:szCs w:val="30"/>
          <w:highlight w:val="none"/>
        </w:rPr>
        <w:t>编号:</w:t>
      </w:r>
      <w:r>
        <w:rPr>
          <w:rFonts w:hint="eastAsia" w:ascii="宋体" w:hAnsi="宋体" w:cs="宋体"/>
          <w:b w:val="0"/>
          <w:bCs w:val="0"/>
          <w:color w:val="auto"/>
          <w:sz w:val="30"/>
          <w:szCs w:val="30"/>
          <w:highlight w:val="none"/>
          <w:u w:val="none"/>
          <w:lang w:val="en-US" w:eastAsia="zh-CN"/>
        </w:rPr>
        <w:t>JD2025BF-067</w:t>
      </w:r>
      <w:r>
        <w:rPr>
          <w:rFonts w:hint="eastAsia" w:ascii="宋体" w:hAnsi="宋体" w:eastAsia="宋体" w:cs="宋体"/>
          <w:b w:val="0"/>
          <w:bCs w:val="0"/>
          <w:color w:val="auto"/>
          <w:sz w:val="30"/>
          <w:szCs w:val="30"/>
          <w:highlight w:val="none"/>
          <w:u w:val="none"/>
          <w:lang w:val="en-US" w:eastAsia="zh-CN"/>
        </w:rPr>
        <w:t xml:space="preserve"> </w:t>
      </w:r>
    </w:p>
    <w:p w14:paraId="670B3335">
      <w:pPr>
        <w:adjustRightInd/>
        <w:spacing w:line="360" w:lineRule="auto"/>
        <w:rPr>
          <w:rFonts w:hint="eastAsia" w:ascii="宋体" w:hAnsi="宋体" w:eastAsia="宋体" w:cs="宋体"/>
          <w:color w:val="auto"/>
          <w:sz w:val="28"/>
          <w:szCs w:val="20"/>
          <w:highlight w:val="none"/>
        </w:rPr>
      </w:pPr>
    </w:p>
    <w:p w14:paraId="136244C3">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14:paraId="5A08B450">
      <w:pPr>
        <w:spacing w:line="360" w:lineRule="auto"/>
        <w:jc w:val="center"/>
        <w:rPr>
          <w:rFonts w:hint="eastAsia" w:ascii="宋体" w:hAnsi="宋体" w:eastAsia="宋体" w:cs="宋体"/>
          <w:b/>
          <w:color w:val="auto"/>
          <w:sz w:val="44"/>
          <w:szCs w:val="44"/>
          <w:highlight w:val="none"/>
        </w:rPr>
      </w:pPr>
    </w:p>
    <w:p w14:paraId="367A813A">
      <w:pPr>
        <w:pStyle w:val="3"/>
        <w:rPr>
          <w:rFonts w:hint="eastAsia" w:ascii="宋体" w:hAnsi="宋体" w:eastAsia="宋体" w:cs="宋体"/>
          <w:b/>
          <w:color w:val="auto"/>
          <w:sz w:val="44"/>
          <w:szCs w:val="44"/>
          <w:highlight w:val="none"/>
        </w:rPr>
      </w:pPr>
    </w:p>
    <w:p w14:paraId="5666FE3B">
      <w:pPr>
        <w:pStyle w:val="79"/>
        <w:rPr>
          <w:rFonts w:hint="eastAsia"/>
          <w:color w:val="auto"/>
          <w:highlight w:val="none"/>
        </w:rPr>
      </w:pPr>
    </w:p>
    <w:p w14:paraId="729A739A">
      <w:pPr>
        <w:spacing w:line="360" w:lineRule="auto"/>
        <w:jc w:val="center"/>
        <w:rPr>
          <w:rFonts w:hint="eastAsia" w:ascii="宋体" w:hAnsi="宋体" w:eastAsia="宋体" w:cs="宋体"/>
          <w:color w:val="auto"/>
          <w:sz w:val="24"/>
          <w:highlight w:val="none"/>
        </w:rPr>
      </w:pPr>
    </w:p>
    <w:p w14:paraId="2D3E9B2C">
      <w:pPr>
        <w:spacing w:line="360" w:lineRule="auto"/>
        <w:jc w:val="center"/>
        <w:rPr>
          <w:rFonts w:hint="eastAsia" w:ascii="宋体" w:hAnsi="宋体" w:eastAsia="宋体" w:cs="宋体"/>
          <w:color w:val="auto"/>
          <w:sz w:val="24"/>
          <w:highlight w:val="none"/>
        </w:rPr>
      </w:pPr>
    </w:p>
    <w:p w14:paraId="652719B6">
      <w:pPr>
        <w:spacing w:line="360" w:lineRule="auto"/>
        <w:rPr>
          <w:rFonts w:hint="eastAsia" w:ascii="宋体" w:hAnsi="宋体" w:eastAsia="宋体" w:cs="宋体"/>
          <w:color w:val="auto"/>
          <w:sz w:val="32"/>
          <w:szCs w:val="32"/>
          <w:highlight w:val="none"/>
        </w:rPr>
      </w:pPr>
    </w:p>
    <w:p w14:paraId="4B0EFC62">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eastAsia="宋体" w:cs="宋体"/>
          <w:color w:val="auto"/>
          <w:sz w:val="32"/>
          <w:szCs w:val="32"/>
          <w:highlight w:val="none"/>
        </w:rPr>
        <w:t>采</w:t>
      </w:r>
      <w:r>
        <w:rPr>
          <w:rFonts w:hint="eastAsia" w:ascii="宋体" w:hAnsi="宋体" w:eastAsia="宋体" w:cs="宋体"/>
          <w:bCs/>
          <w:color w:val="auto"/>
          <w:sz w:val="32"/>
          <w:szCs w:val="32"/>
          <w:highlight w:val="none"/>
        </w:rPr>
        <w:t>购人：</w:t>
      </w:r>
      <w:r>
        <w:rPr>
          <w:rFonts w:hint="eastAsia" w:ascii="宋体" w:hAnsi="宋体" w:cs="宋体"/>
          <w:bCs/>
          <w:color w:val="auto"/>
          <w:sz w:val="32"/>
          <w:szCs w:val="32"/>
          <w:highlight w:val="none"/>
          <w:lang w:eastAsia="zh-CN"/>
        </w:rPr>
        <w:t>建德市寿昌镇人民政府</w:t>
      </w:r>
    </w:p>
    <w:p w14:paraId="78B9624A">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采购代理机构：</w:t>
      </w:r>
      <w:r>
        <w:rPr>
          <w:rFonts w:hint="eastAsia" w:ascii="宋体" w:hAnsi="宋体" w:cs="宋体"/>
          <w:bCs/>
          <w:color w:val="auto"/>
          <w:sz w:val="32"/>
          <w:szCs w:val="32"/>
          <w:highlight w:val="none"/>
          <w:lang w:eastAsia="zh-CN"/>
        </w:rPr>
        <w:t>欧邦工程管理集团有限公司</w:t>
      </w:r>
    </w:p>
    <w:p w14:paraId="61014C7C">
      <w:pPr>
        <w:spacing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二〇二</w:t>
      </w:r>
      <w:r>
        <w:rPr>
          <w:rFonts w:hint="eastAsia" w:ascii="宋体" w:hAnsi="宋体" w:eastAsia="宋体" w:cs="宋体"/>
          <w:bCs/>
          <w:color w:val="auto"/>
          <w:sz w:val="32"/>
          <w:szCs w:val="32"/>
          <w:highlight w:val="none"/>
          <w:lang w:eastAsia="zh-CN"/>
        </w:rPr>
        <w:t>五</w:t>
      </w:r>
      <w:r>
        <w:rPr>
          <w:rFonts w:hint="eastAsia" w:ascii="宋体" w:hAnsi="宋体" w:eastAsia="宋体" w:cs="宋体"/>
          <w:bCs/>
          <w:color w:val="auto"/>
          <w:sz w:val="32"/>
          <w:szCs w:val="32"/>
          <w:highlight w:val="none"/>
        </w:rPr>
        <w:t>年</w:t>
      </w:r>
      <w:r>
        <w:rPr>
          <w:rFonts w:hint="eastAsia" w:ascii="宋体" w:hAnsi="宋体" w:cs="宋体"/>
          <w:bCs/>
          <w:color w:val="auto"/>
          <w:sz w:val="32"/>
          <w:szCs w:val="32"/>
          <w:highlight w:val="none"/>
          <w:lang w:val="en-US" w:eastAsia="zh-CN"/>
        </w:rPr>
        <w:t>六</w:t>
      </w:r>
      <w:r>
        <w:rPr>
          <w:rFonts w:hint="eastAsia" w:ascii="宋体" w:hAnsi="宋体" w:eastAsia="宋体" w:cs="宋体"/>
          <w:bCs/>
          <w:color w:val="auto"/>
          <w:sz w:val="32"/>
          <w:szCs w:val="32"/>
          <w:highlight w:val="none"/>
        </w:rPr>
        <w:t>月</w:t>
      </w:r>
      <w:r>
        <w:rPr>
          <w:rFonts w:hint="eastAsia" w:ascii="宋体" w:hAnsi="宋体" w:cs="宋体"/>
          <w:bCs/>
          <w:color w:val="auto"/>
          <w:sz w:val="32"/>
          <w:szCs w:val="32"/>
          <w:highlight w:val="none"/>
          <w:lang w:eastAsia="zh-CN"/>
        </w:rPr>
        <w:t>二十</w:t>
      </w:r>
      <w:r>
        <w:rPr>
          <w:rFonts w:hint="eastAsia" w:ascii="宋体" w:hAnsi="宋体" w:eastAsia="宋体" w:cs="宋体"/>
          <w:bCs/>
          <w:color w:val="auto"/>
          <w:sz w:val="32"/>
          <w:szCs w:val="32"/>
          <w:highlight w:val="none"/>
        </w:rPr>
        <w:t>日</w:t>
      </w:r>
    </w:p>
    <w:p w14:paraId="29B9613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0" w:name="_Hlt67893495"/>
      <w:bookmarkEnd w:id="0"/>
    </w:p>
    <w:p w14:paraId="01285E59">
      <w:pPr>
        <w:spacing w:line="360" w:lineRule="auto"/>
        <w:jc w:val="center"/>
        <w:rPr>
          <w:rFonts w:hint="eastAsia" w:ascii="宋体" w:hAnsi="宋体" w:eastAsia="宋体" w:cs="宋体"/>
          <w:color w:val="auto"/>
          <w:sz w:val="24"/>
          <w:highlight w:val="none"/>
        </w:rPr>
      </w:pPr>
    </w:p>
    <w:p w14:paraId="5E447093">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3D4787E0">
      <w:pPr>
        <w:spacing w:line="360" w:lineRule="auto"/>
        <w:rPr>
          <w:rFonts w:hint="eastAsia" w:ascii="宋体" w:hAnsi="宋体" w:eastAsia="宋体" w:cs="宋体"/>
          <w:color w:val="auto"/>
          <w:sz w:val="32"/>
          <w:szCs w:val="32"/>
          <w:highlight w:val="none"/>
        </w:rPr>
      </w:pPr>
    </w:p>
    <w:p w14:paraId="1B0BF720">
      <w:pPr>
        <w:spacing w:line="360" w:lineRule="auto"/>
        <w:rPr>
          <w:rFonts w:hint="eastAsia" w:ascii="宋体" w:hAnsi="宋体" w:eastAsia="宋体" w:cs="宋体"/>
          <w:color w:val="auto"/>
          <w:sz w:val="32"/>
          <w:szCs w:val="32"/>
          <w:highlight w:val="none"/>
        </w:rPr>
      </w:pPr>
    </w:p>
    <w:p w14:paraId="17236FF1">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招标公告</w:t>
      </w:r>
    </w:p>
    <w:p w14:paraId="09779C82">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投标人须知</w:t>
      </w:r>
    </w:p>
    <w:p w14:paraId="40328733">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采购需求</w:t>
      </w:r>
    </w:p>
    <w:p w14:paraId="3FDFE294">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评标办法</w:t>
      </w:r>
    </w:p>
    <w:p w14:paraId="70A30C28">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14:paraId="627EE671">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14:paraId="50B18990">
      <w:pPr>
        <w:spacing w:line="360" w:lineRule="auto"/>
        <w:ind w:firstLine="549" w:firstLineChars="229"/>
        <w:rPr>
          <w:rFonts w:hint="eastAsia" w:ascii="宋体" w:hAnsi="宋体" w:eastAsia="宋体" w:cs="宋体"/>
          <w:color w:val="auto"/>
          <w:sz w:val="24"/>
          <w:highlight w:val="none"/>
        </w:rPr>
      </w:pPr>
      <w:bookmarkStart w:id="1" w:name="_Hlt91233176"/>
      <w:bookmarkEnd w:id="1"/>
      <w:bookmarkStart w:id="2" w:name="_Toc91899869"/>
    </w:p>
    <w:p w14:paraId="72CE4302">
      <w:pPr>
        <w:spacing w:line="360" w:lineRule="auto"/>
        <w:ind w:firstLine="549" w:firstLineChars="229"/>
        <w:rPr>
          <w:rFonts w:hint="eastAsia" w:ascii="宋体" w:hAnsi="宋体" w:eastAsia="宋体" w:cs="宋体"/>
          <w:color w:val="auto"/>
          <w:sz w:val="24"/>
          <w:highlight w:val="none"/>
        </w:rPr>
      </w:pPr>
    </w:p>
    <w:p w14:paraId="15A1C59F">
      <w:pPr>
        <w:spacing w:line="360" w:lineRule="auto"/>
        <w:ind w:firstLine="549" w:firstLineChars="229"/>
        <w:rPr>
          <w:rFonts w:hint="eastAsia" w:ascii="宋体" w:hAnsi="宋体" w:eastAsia="宋体" w:cs="宋体"/>
          <w:color w:val="auto"/>
          <w:sz w:val="24"/>
          <w:highlight w:val="none"/>
        </w:rPr>
      </w:pPr>
    </w:p>
    <w:p w14:paraId="5E52C435">
      <w:pPr>
        <w:spacing w:line="360" w:lineRule="auto"/>
        <w:ind w:firstLine="549" w:firstLineChars="229"/>
        <w:rPr>
          <w:rFonts w:hint="eastAsia" w:ascii="宋体" w:hAnsi="宋体" w:eastAsia="宋体" w:cs="宋体"/>
          <w:color w:val="auto"/>
          <w:sz w:val="24"/>
          <w:highlight w:val="none"/>
        </w:rPr>
      </w:pPr>
    </w:p>
    <w:p w14:paraId="0BBC9B7E">
      <w:pPr>
        <w:spacing w:line="360" w:lineRule="auto"/>
        <w:ind w:firstLine="549" w:firstLineChars="229"/>
        <w:rPr>
          <w:rFonts w:hint="eastAsia" w:ascii="宋体" w:hAnsi="宋体" w:eastAsia="宋体" w:cs="宋体"/>
          <w:color w:val="auto"/>
          <w:sz w:val="24"/>
          <w:highlight w:val="none"/>
        </w:rPr>
      </w:pPr>
    </w:p>
    <w:p w14:paraId="3E2F31B6">
      <w:pPr>
        <w:spacing w:line="360" w:lineRule="auto"/>
        <w:ind w:firstLine="549" w:firstLineChars="229"/>
        <w:rPr>
          <w:rFonts w:hint="eastAsia" w:ascii="宋体" w:hAnsi="宋体" w:eastAsia="宋体" w:cs="宋体"/>
          <w:color w:val="auto"/>
          <w:sz w:val="24"/>
          <w:highlight w:val="none"/>
        </w:rPr>
      </w:pPr>
    </w:p>
    <w:p w14:paraId="53A4AE85">
      <w:pPr>
        <w:spacing w:line="360" w:lineRule="auto"/>
        <w:ind w:firstLine="549" w:firstLineChars="229"/>
        <w:rPr>
          <w:rFonts w:hint="eastAsia" w:ascii="宋体" w:hAnsi="宋体" w:eastAsia="宋体" w:cs="宋体"/>
          <w:color w:val="auto"/>
          <w:sz w:val="24"/>
          <w:highlight w:val="none"/>
        </w:rPr>
      </w:pPr>
    </w:p>
    <w:p w14:paraId="39B304E4">
      <w:pPr>
        <w:spacing w:line="360" w:lineRule="auto"/>
        <w:ind w:firstLine="549" w:firstLineChars="229"/>
        <w:rPr>
          <w:rFonts w:hint="eastAsia" w:ascii="宋体" w:hAnsi="宋体" w:eastAsia="宋体" w:cs="宋体"/>
          <w:color w:val="auto"/>
          <w:sz w:val="24"/>
          <w:highlight w:val="none"/>
        </w:rPr>
      </w:pPr>
    </w:p>
    <w:p w14:paraId="68E7892D">
      <w:pPr>
        <w:spacing w:line="360" w:lineRule="auto"/>
        <w:ind w:firstLine="549" w:firstLineChars="229"/>
        <w:rPr>
          <w:rFonts w:hint="eastAsia" w:ascii="宋体" w:hAnsi="宋体" w:eastAsia="宋体" w:cs="宋体"/>
          <w:color w:val="auto"/>
          <w:sz w:val="24"/>
          <w:highlight w:val="none"/>
        </w:rPr>
      </w:pPr>
    </w:p>
    <w:p w14:paraId="65F6648A">
      <w:pPr>
        <w:spacing w:line="360" w:lineRule="auto"/>
        <w:ind w:firstLine="549" w:firstLineChars="229"/>
        <w:rPr>
          <w:rFonts w:hint="eastAsia" w:ascii="宋体" w:hAnsi="宋体" w:eastAsia="宋体" w:cs="宋体"/>
          <w:color w:val="auto"/>
          <w:sz w:val="24"/>
          <w:highlight w:val="none"/>
        </w:rPr>
      </w:pPr>
    </w:p>
    <w:p w14:paraId="66FE6419">
      <w:pPr>
        <w:spacing w:line="360" w:lineRule="auto"/>
        <w:ind w:firstLine="549" w:firstLineChars="229"/>
        <w:rPr>
          <w:rFonts w:hint="eastAsia" w:ascii="宋体" w:hAnsi="宋体" w:eastAsia="宋体" w:cs="宋体"/>
          <w:color w:val="auto"/>
          <w:sz w:val="24"/>
          <w:highlight w:val="none"/>
        </w:rPr>
      </w:pPr>
    </w:p>
    <w:p w14:paraId="684B55FF">
      <w:pPr>
        <w:spacing w:line="360" w:lineRule="auto"/>
        <w:ind w:firstLine="549" w:firstLineChars="229"/>
        <w:rPr>
          <w:rFonts w:hint="eastAsia" w:ascii="宋体" w:hAnsi="宋体" w:eastAsia="宋体" w:cs="宋体"/>
          <w:color w:val="auto"/>
          <w:sz w:val="24"/>
          <w:highlight w:val="none"/>
        </w:rPr>
      </w:pPr>
    </w:p>
    <w:p w14:paraId="693CE769">
      <w:pPr>
        <w:spacing w:line="360" w:lineRule="auto"/>
        <w:ind w:firstLine="549" w:firstLineChars="229"/>
        <w:rPr>
          <w:rFonts w:hint="eastAsia" w:ascii="宋体" w:hAnsi="宋体" w:eastAsia="宋体" w:cs="宋体"/>
          <w:color w:val="auto"/>
          <w:sz w:val="24"/>
          <w:highlight w:val="none"/>
        </w:rPr>
      </w:pPr>
    </w:p>
    <w:p w14:paraId="1BBB55C0">
      <w:pPr>
        <w:spacing w:line="360" w:lineRule="auto"/>
        <w:rPr>
          <w:rFonts w:hint="eastAsia" w:ascii="宋体" w:hAnsi="宋体" w:eastAsia="宋体" w:cs="宋体"/>
          <w:color w:val="auto"/>
          <w:sz w:val="24"/>
          <w:highlight w:val="none"/>
        </w:rPr>
      </w:pPr>
    </w:p>
    <w:p w14:paraId="6605913E">
      <w:pPr>
        <w:adjustRightInd/>
        <w:spacing w:line="360" w:lineRule="auto"/>
        <w:jc w:val="center"/>
        <w:outlineLvl w:val="0"/>
        <w:rPr>
          <w:rFonts w:hint="eastAsia" w:ascii="宋体" w:hAnsi="宋体" w:eastAsia="宋体" w:cs="宋体"/>
          <w:b/>
          <w:color w:val="auto"/>
          <w:sz w:val="36"/>
          <w:szCs w:val="20"/>
          <w:highlight w:val="none"/>
        </w:rPr>
      </w:pPr>
      <w:bookmarkStart w:id="3" w:name="第一部分"/>
      <w:r>
        <w:rPr>
          <w:rFonts w:hint="eastAsia" w:ascii="宋体" w:hAnsi="宋体" w:eastAsia="宋体" w:cs="宋体"/>
          <w:b/>
          <w:color w:val="auto"/>
          <w:sz w:val="36"/>
          <w:szCs w:val="36"/>
          <w:highlight w:val="none"/>
        </w:rPr>
        <w:br w:type="page"/>
      </w:r>
      <w:bookmarkEnd w:id="2"/>
      <w:bookmarkEnd w:id="3"/>
      <w:bookmarkStart w:id="4" w:name="_Hlt74707423"/>
      <w:bookmarkEnd w:id="4"/>
      <w:bookmarkStart w:id="5" w:name="_Hlt74728647"/>
      <w:bookmarkEnd w:id="5"/>
      <w:bookmarkStart w:id="6" w:name="_Hlt74649545"/>
      <w:bookmarkEnd w:id="6"/>
      <w:bookmarkStart w:id="7" w:name="_Hlt74729822"/>
      <w:bookmarkEnd w:id="7"/>
      <w:bookmarkStart w:id="8" w:name="第二部分"/>
      <w:bookmarkStart w:id="9" w:name="_Toc91899870"/>
      <w:bookmarkStart w:id="10" w:name="_Toc91899871"/>
      <w:r>
        <w:rPr>
          <w:rFonts w:hint="eastAsia" w:ascii="宋体" w:hAnsi="宋体" w:eastAsia="宋体" w:cs="宋体"/>
          <w:b/>
          <w:color w:val="auto"/>
          <w:sz w:val="36"/>
          <w:szCs w:val="20"/>
          <w:highlight w:val="none"/>
        </w:rPr>
        <w:t>第一部分 招标公告</w:t>
      </w:r>
    </w:p>
    <w:p w14:paraId="63A7B8D1">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010C7F91">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val="en-US" w:eastAsia="zh-CN"/>
        </w:rPr>
        <w:t>建德市寿昌镇人民政府2025年寿昌初级中学改扩建-艺体楼设备采购项目</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w:t>
      </w:r>
      <w:r>
        <w:rPr>
          <w:rStyle w:val="76"/>
          <w:rFonts w:hint="eastAsia" w:ascii="宋体" w:hAnsi="宋体" w:cs="宋体"/>
          <w:snapToGrid/>
          <w:color w:val="auto"/>
          <w:kern w:val="2"/>
          <w:sz w:val="24"/>
          <w:szCs w:val="24"/>
          <w:highlight w:val="none"/>
          <w:lang w:val="en-US" w:eastAsia="zh-CN"/>
        </w:rPr>
        <w:t>2025年7月14日14点00分00</w:t>
      </w:r>
      <w:r>
        <w:rPr>
          <w:rStyle w:val="76"/>
          <w:rFonts w:hint="eastAsia" w:ascii="宋体" w:hAnsi="宋体" w:eastAsia="宋体" w:cs="宋体"/>
          <w:bCs/>
          <w:snapToGrid/>
          <w:color w:val="auto"/>
          <w:kern w:val="2"/>
          <w:sz w:val="24"/>
          <w:szCs w:val="24"/>
          <w:highlight w:val="none"/>
        </w:rPr>
        <w:t>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0FFC8A30">
      <w:pPr>
        <w:keepNext w:val="0"/>
        <w:keepLines w:val="0"/>
        <w:pageBreakBefore w:val="0"/>
        <w:kinsoku/>
        <w:wordWrap/>
        <w:overflowPunct/>
        <w:topLinePunct w:val="0"/>
        <w:autoSpaceDE/>
        <w:autoSpaceDN/>
        <w:bidi w:val="0"/>
        <w:adjustRightInd w:val="0"/>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14:paraId="0D8B0E2D">
      <w:pPr>
        <w:keepNext w:val="0"/>
        <w:keepLines w:val="0"/>
        <w:pageBreakBefore w:val="0"/>
        <w:kinsoku/>
        <w:wordWrap/>
        <w:overflowPunct/>
        <w:topLinePunct w:val="0"/>
        <w:autoSpaceDE/>
        <w:autoSpaceDN/>
        <w:bidi w:val="0"/>
        <w:adjustRightInd w:val="0"/>
        <w:spacing w:line="440" w:lineRule="exac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项目编号：</w:t>
      </w:r>
      <w:r>
        <w:rPr>
          <w:rFonts w:hint="eastAsia" w:ascii="宋体" w:hAnsi="宋体" w:cs="宋体"/>
          <w:b/>
          <w:color w:val="auto"/>
          <w:sz w:val="24"/>
          <w:highlight w:val="none"/>
          <w:lang w:eastAsia="zh-CN"/>
        </w:rPr>
        <w:t>JD2025BF-067</w:t>
      </w:r>
    </w:p>
    <w:p w14:paraId="75DB2E23">
      <w:pPr>
        <w:keepNext w:val="0"/>
        <w:keepLines w:val="0"/>
        <w:pageBreakBefore w:val="0"/>
        <w:kinsoku/>
        <w:wordWrap/>
        <w:overflowPunct/>
        <w:topLinePunct w:val="0"/>
        <w:autoSpaceDE/>
        <w:autoSpaceDN/>
        <w:bidi w:val="0"/>
        <w:adjustRightInd w:val="0"/>
        <w:spacing w:line="440" w:lineRule="exac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w:t>
      </w:r>
      <w:r>
        <w:rPr>
          <w:rFonts w:hint="eastAsia" w:ascii="宋体" w:hAnsi="宋体" w:cs="宋体"/>
          <w:b/>
          <w:color w:val="auto"/>
          <w:sz w:val="24"/>
          <w:highlight w:val="none"/>
          <w:u w:val="single"/>
          <w:lang w:val="en-US" w:eastAsia="zh-CN"/>
        </w:rPr>
        <w:t>建德市寿昌镇人民政府2025年寿昌初级中学改扩建-艺体楼设备采购项目</w:t>
      </w:r>
    </w:p>
    <w:p w14:paraId="20643A23">
      <w:pPr>
        <w:keepNext w:val="0"/>
        <w:keepLines w:val="0"/>
        <w:pageBreakBefore w:val="0"/>
        <w:kinsoku/>
        <w:wordWrap/>
        <w:overflowPunct/>
        <w:topLinePunct w:val="0"/>
        <w:autoSpaceDE/>
        <w:autoSpaceDN/>
        <w:bidi w:val="0"/>
        <w:adjustRightInd w:val="0"/>
        <w:spacing w:line="44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cs="宋体"/>
          <w:b/>
          <w:bCs/>
          <w:color w:val="auto"/>
          <w:sz w:val="24"/>
          <w:szCs w:val="24"/>
          <w:highlight w:val="none"/>
          <w:u w:val="single"/>
          <w:shd w:val="clear" w:color="auto" w:fill="FFFFFF"/>
          <w:lang w:val="en-US" w:eastAsia="zh-CN"/>
        </w:rPr>
        <w:t>599088.00</w:t>
      </w:r>
      <w:r>
        <w:rPr>
          <w:rFonts w:hint="eastAsia" w:ascii="宋体" w:hAnsi="宋体" w:eastAsia="宋体" w:cs="宋体"/>
          <w:color w:val="auto"/>
          <w:sz w:val="24"/>
          <w:highlight w:val="none"/>
        </w:rPr>
        <w:t xml:space="preserve"> </w:t>
      </w:r>
    </w:p>
    <w:p w14:paraId="69A01EFA">
      <w:pPr>
        <w:keepNext w:val="0"/>
        <w:keepLines w:val="0"/>
        <w:pageBreakBefore w:val="0"/>
        <w:kinsoku/>
        <w:wordWrap/>
        <w:overflowPunct/>
        <w:topLinePunct w:val="0"/>
        <w:autoSpaceDE/>
        <w:autoSpaceDN/>
        <w:bidi w:val="0"/>
        <w:adjustRightInd w:val="0"/>
        <w:spacing w:line="440" w:lineRule="exact"/>
        <w:ind w:firstLine="48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最高限价（元）：</w:t>
      </w:r>
      <w:r>
        <w:rPr>
          <w:rFonts w:hint="eastAsia" w:ascii="宋体" w:hAnsi="宋体" w:cs="宋体"/>
          <w:b/>
          <w:bCs/>
          <w:color w:val="auto"/>
          <w:sz w:val="24"/>
          <w:szCs w:val="24"/>
          <w:highlight w:val="none"/>
          <w:u w:val="single"/>
          <w:shd w:val="clear" w:color="auto" w:fill="FFFFFF"/>
          <w:lang w:val="en-US" w:eastAsia="zh-CN"/>
        </w:rPr>
        <w:t>599088.00</w:t>
      </w:r>
    </w:p>
    <w:p w14:paraId="3E109379">
      <w:pPr>
        <w:pStyle w:val="15"/>
        <w:keepNext w:val="0"/>
        <w:keepLines w:val="0"/>
        <w:pageBreakBefore w:val="0"/>
        <w:kinsoku/>
        <w:wordWrap/>
        <w:overflowPunct/>
        <w:topLinePunct w:val="0"/>
        <w:autoSpaceDE/>
        <w:autoSpaceDN/>
        <w:bidi w:val="0"/>
        <w:adjustRightInd w:val="0"/>
        <w:spacing w:line="440" w:lineRule="exact"/>
        <w:ind w:firstLine="480"/>
        <w:textAlignment w:val="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采购需求：</w:t>
      </w:r>
      <w:r>
        <w:rPr>
          <w:rFonts w:hint="eastAsia" w:hAnsi="宋体" w:cs="宋体"/>
          <w:b/>
          <w:color w:val="auto"/>
          <w:sz w:val="24"/>
          <w:highlight w:val="none"/>
          <w:lang w:eastAsia="zh-CN"/>
        </w:rPr>
        <w:t>建德市寿昌镇人民政府2025年寿昌初级中学改扩建-艺体楼设备采购项目</w:t>
      </w:r>
    </w:p>
    <w:p w14:paraId="2D086CF0">
      <w:pPr>
        <w:pStyle w:val="15"/>
        <w:keepNext w:val="0"/>
        <w:keepLines w:val="0"/>
        <w:pageBreakBefore w:val="0"/>
        <w:kinsoku/>
        <w:wordWrap/>
        <w:overflowPunct/>
        <w:topLinePunct w:val="0"/>
        <w:autoSpaceDE/>
        <w:autoSpaceDN/>
        <w:bidi w:val="0"/>
        <w:adjustRightInd w:val="0"/>
        <w:spacing w:line="440" w:lineRule="exact"/>
        <w:ind w:firstLine="480"/>
        <w:textAlignment w:val="auto"/>
        <w:rPr>
          <w:rFonts w:hint="eastAsia" w:ascii="宋体" w:hAnsi="宋体" w:eastAsia="宋体" w:cs="宋体"/>
          <w:bCs/>
          <w:snapToGrid/>
          <w:color w:val="auto"/>
          <w:kern w:val="2"/>
          <w:sz w:val="24"/>
          <w:szCs w:val="24"/>
          <w:highlight w:val="none"/>
        </w:rPr>
      </w:pPr>
      <w:r>
        <w:rPr>
          <w:rFonts w:hint="eastAsia" w:hAnsi="宋体" w:cs="宋体"/>
          <w:bCs/>
          <w:color w:val="auto"/>
          <w:kern w:val="2"/>
          <w:sz w:val="24"/>
          <w:szCs w:val="24"/>
          <w:highlight w:val="none"/>
        </w:rPr>
        <w:t>主要内容</w:t>
      </w:r>
      <w:r>
        <w:rPr>
          <w:rFonts w:hint="eastAsia" w:hAnsi="宋体" w:cs="宋体"/>
          <w:bCs/>
          <w:color w:val="auto"/>
          <w:kern w:val="2"/>
          <w:sz w:val="24"/>
          <w:szCs w:val="24"/>
          <w:highlight w:val="none"/>
          <w:lang w:eastAsia="zh-CN"/>
        </w:rPr>
        <w:t>：寿昌初级中学改扩建</w:t>
      </w:r>
      <w:r>
        <w:rPr>
          <w:rFonts w:hint="eastAsia" w:hAnsi="宋体" w:cs="宋体"/>
          <w:bCs/>
          <w:color w:val="auto"/>
          <w:kern w:val="2"/>
          <w:sz w:val="24"/>
          <w:szCs w:val="24"/>
          <w:highlight w:val="none"/>
        </w:rPr>
        <w:t>及附属设施一批</w:t>
      </w:r>
      <w:r>
        <w:rPr>
          <w:rFonts w:hint="eastAsia" w:hAnsi="宋体" w:cs="宋体"/>
          <w:bCs/>
          <w:color w:val="auto"/>
          <w:kern w:val="2"/>
          <w:sz w:val="24"/>
          <w:szCs w:val="24"/>
          <w:highlight w:val="none"/>
          <w:lang w:eastAsia="zh-CN"/>
        </w:rPr>
        <w:t>，</w:t>
      </w:r>
      <w:r>
        <w:rPr>
          <w:rFonts w:hint="eastAsia" w:hAnsi="宋体" w:cs="宋体"/>
          <w:bCs/>
          <w:color w:val="auto"/>
          <w:kern w:val="2"/>
          <w:sz w:val="24"/>
          <w:szCs w:val="24"/>
          <w:highlight w:val="none"/>
        </w:rPr>
        <w:t>（</w:t>
      </w:r>
      <w:r>
        <w:rPr>
          <w:rFonts w:hint="eastAsia" w:ascii="宋体" w:hAnsi="宋体" w:cs="宋体"/>
          <w:color w:val="auto"/>
          <w:sz w:val="24"/>
          <w:highlight w:val="none"/>
          <w:lang w:eastAsia="zh-CN"/>
        </w:rPr>
        <w:t>包括但不限于达到生产、供货、运输装卸、安装调试、税金、产品保护、保险、备品备件、配件、附件、培训、验收、辅助工作维护等</w:t>
      </w:r>
      <w:r>
        <w:rPr>
          <w:rFonts w:hint="eastAsia" w:hAnsi="宋体" w:cs="宋体"/>
          <w:bCs/>
          <w:color w:val="auto"/>
          <w:kern w:val="2"/>
          <w:sz w:val="24"/>
          <w:szCs w:val="24"/>
          <w:highlight w:val="none"/>
        </w:rPr>
        <w:t>）</w:t>
      </w:r>
      <w:r>
        <w:rPr>
          <w:rFonts w:hint="eastAsia" w:ascii="宋体" w:hAnsi="宋体" w:eastAsia="宋体" w:cs="宋体"/>
          <w:snapToGrid/>
          <w:color w:val="auto"/>
          <w:kern w:val="2"/>
          <w:sz w:val="24"/>
          <w:szCs w:val="24"/>
          <w:highlight w:val="none"/>
        </w:rPr>
        <w:t>具体以招标文件第三部分采购需求为准，供应商可点击本公告下方“浏览采购文件”查看采购需求。</w:t>
      </w:r>
    </w:p>
    <w:p w14:paraId="4F9B5FB7">
      <w:pPr>
        <w:pStyle w:val="129"/>
        <w:keepNext w:val="0"/>
        <w:keepLines w:val="0"/>
        <w:pageBreakBefore w:val="0"/>
        <w:kinsoku/>
        <w:wordWrap/>
        <w:overflowPunct/>
        <w:topLinePunct w:val="0"/>
        <w:autoSpaceDE/>
        <w:autoSpaceDN/>
        <w:bidi w:val="0"/>
        <w:adjustRightInd w:val="0"/>
        <w:spacing w:line="440" w:lineRule="exact"/>
        <w:ind w:firstLine="482"/>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b/>
          <w:color w:val="auto"/>
          <w:highlight w:val="none"/>
        </w:rPr>
        <w:t>合同履约期限：</w:t>
      </w:r>
      <w:r>
        <w:rPr>
          <w:rFonts w:hint="eastAsia" w:ascii="宋体" w:hAnsi="宋体" w:eastAsia="宋体" w:cs="宋体"/>
          <w:snapToGrid/>
          <w:color w:val="auto"/>
          <w:kern w:val="2"/>
          <w:sz w:val="24"/>
          <w:szCs w:val="24"/>
          <w:highlight w:val="none"/>
          <w:lang w:val="en-US" w:eastAsia="zh-CN" w:bidi="ar-SA"/>
        </w:rPr>
        <w:t>中标人在签订合同后，必须在</w:t>
      </w:r>
      <w:r>
        <w:rPr>
          <w:rFonts w:hint="eastAsia" w:ascii="宋体" w:hAnsi="宋体" w:cs="宋体"/>
          <w:snapToGrid/>
          <w:color w:val="auto"/>
          <w:kern w:val="2"/>
          <w:sz w:val="24"/>
          <w:szCs w:val="24"/>
          <w:highlight w:val="none"/>
          <w:lang w:val="en-US" w:eastAsia="zh-CN" w:bidi="ar-SA"/>
        </w:rPr>
        <w:t>30</w:t>
      </w:r>
      <w:r>
        <w:rPr>
          <w:rFonts w:hint="eastAsia" w:ascii="宋体" w:hAnsi="宋体" w:eastAsia="宋体" w:cs="宋体"/>
          <w:snapToGrid/>
          <w:color w:val="auto"/>
          <w:kern w:val="2"/>
          <w:sz w:val="24"/>
          <w:szCs w:val="24"/>
          <w:highlight w:val="none"/>
          <w:lang w:val="en-US" w:eastAsia="zh-CN" w:bidi="ar-SA"/>
        </w:rPr>
        <w:t>日历天内按采购单位要求完成交货、安装调试完成，无质量问题并通过最终验收后交付采购单位使用，如在规定的时间内由于供应商的原因不能完成交货的，供应商应承担由此给采购单位造成的损失。</w:t>
      </w:r>
      <w:r>
        <w:rPr>
          <w:rFonts w:hint="eastAsia" w:ascii="宋体" w:hAnsi="宋体" w:eastAsia="宋体" w:cs="宋体"/>
          <w:b/>
          <w:color w:val="auto"/>
          <w:kern w:val="2"/>
          <w:sz w:val="24"/>
          <w:szCs w:val="24"/>
          <w:highlight w:val="none"/>
          <w:lang w:val="en-US" w:eastAsia="zh-CN" w:bidi="ar-SA"/>
        </w:rPr>
        <w:t xml:space="preserve"> </w:t>
      </w:r>
      <w:r>
        <w:rPr>
          <w:rFonts w:hint="eastAsia" w:ascii="宋体" w:hAnsi="宋体" w:eastAsia="宋体" w:cs="宋体"/>
          <w:b/>
          <w:color w:val="auto"/>
          <w:highlight w:val="none"/>
          <w:lang w:val="en-US" w:eastAsia="zh-CN"/>
        </w:rPr>
        <w:t xml:space="preserve">   </w:t>
      </w:r>
    </w:p>
    <w:p w14:paraId="03F504F9">
      <w:pPr>
        <w:pStyle w:val="15"/>
        <w:keepNext w:val="0"/>
        <w:keepLines w:val="0"/>
        <w:pageBreakBefore w:val="0"/>
        <w:kinsoku/>
        <w:wordWrap/>
        <w:overflowPunct/>
        <w:topLinePunct w:val="0"/>
        <w:autoSpaceDE/>
        <w:autoSpaceDN/>
        <w:bidi w:val="0"/>
        <w:adjustRightInd w:val="0"/>
        <w:spacing w:line="440" w:lineRule="exact"/>
        <w:ind w:firstLine="480"/>
        <w:textAlignment w:val="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color w:val="auto"/>
            <w:kern w:val="0"/>
            <w:sz w:val="24"/>
            <w:highlight w:val="none"/>
          </w:rPr>
          <w:id w:val="147474795"/>
        </w:sdtPr>
        <w:sdtEndPr>
          <w:rPr>
            <w:rFonts w:hint="eastAsia" w:ascii="宋体" w:hAnsi="宋体" w:eastAsia="宋体" w:cs="宋体"/>
            <w:color w:val="auto"/>
            <w:kern w:val="0"/>
            <w:sz w:val="24"/>
            <w:highlight w:val="none"/>
          </w:rPr>
        </w:sdtEndPr>
        <w:sdtContent>
          <w:sdt>
            <w:sdtPr>
              <w:rPr>
                <w:rFonts w:hint="eastAsia" w:ascii="宋体" w:hAnsi="宋体" w:eastAsia="宋体" w:cs="宋体"/>
                <w:color w:val="auto"/>
                <w:kern w:val="0"/>
                <w:sz w:val="24"/>
                <w:highlight w:val="none"/>
              </w:rPr>
              <w:id w:val="2035453831"/>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A8"/>
              </w:r>
            </w:sdtContent>
          </w:sdt>
        </w:sdtContent>
      </w:sdt>
      <w:r>
        <w:rPr>
          <w:rFonts w:hint="eastAsia" w:ascii="宋体" w:hAnsi="宋体" w:eastAsia="宋体" w:cs="宋体"/>
          <w:b/>
          <w:color w:val="auto"/>
          <w:sz w:val="24"/>
          <w:highlight w:val="none"/>
        </w:rPr>
        <w:t>是</w:t>
      </w:r>
      <w:r>
        <w:rPr>
          <w:rFonts w:hint="eastAsia" w:ascii="宋体" w:hAnsi="宋体" w:eastAsia="宋体" w:cs="宋体"/>
          <w:b/>
          <w:snapToGrid/>
          <w:color w:val="auto"/>
          <w:kern w:val="2"/>
          <w:sz w:val="24"/>
          <w:highlight w:val="none"/>
        </w:rPr>
        <w:t>；</w:t>
      </w:r>
      <w:sdt>
        <w:sdtPr>
          <w:rPr>
            <w:rFonts w:hint="eastAsia" w:ascii="宋体" w:hAnsi="宋体" w:eastAsia="宋体" w:cs="宋体"/>
            <w:color w:val="auto"/>
            <w:kern w:val="0"/>
            <w:sz w:val="24"/>
            <w:highlight w:val="none"/>
          </w:rPr>
          <w:id w:val="-1765526721"/>
        </w:sdtPr>
        <w:sdtEndPr>
          <w:rPr>
            <w:rFonts w:hint="eastAsia" w:ascii="宋体" w:hAnsi="宋体" w:eastAsia="宋体" w:cs="宋体"/>
            <w:color w:val="auto"/>
            <w:kern w:val="0"/>
            <w:sz w:val="24"/>
            <w:highlight w:val="none"/>
          </w:rPr>
        </w:sdtEndPr>
        <w:sdtContent>
          <w:sdt>
            <w:sdtPr>
              <w:rPr>
                <w:rFonts w:hint="eastAsia" w:ascii="宋体" w:hAnsi="宋体" w:eastAsia="宋体" w:cs="宋体"/>
                <w:color w:val="auto"/>
                <w:kern w:val="0"/>
                <w:sz w:val="24"/>
                <w:highlight w:val="none"/>
              </w:rPr>
              <w:id w:val="147462809"/>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FE"/>
              </w:r>
            </w:sdtContent>
          </w:sdt>
        </w:sdtContent>
      </w:sdt>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14:paraId="0CC72AFF">
      <w:pPr>
        <w:keepNext w:val="0"/>
        <w:keepLines w:val="0"/>
        <w:pageBreakBefore w:val="0"/>
        <w:kinsoku/>
        <w:wordWrap/>
        <w:overflowPunct/>
        <w:topLinePunct w:val="0"/>
        <w:autoSpaceDE/>
        <w:autoSpaceDN/>
        <w:bidi w:val="0"/>
        <w:adjustRightInd w:val="0"/>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w:t>
      </w:r>
      <w:bookmarkStart w:id="11" w:name="_Hlk101132948"/>
      <w:r>
        <w:rPr>
          <w:rFonts w:hint="eastAsia" w:ascii="宋体" w:hAnsi="宋体" w:eastAsia="宋体" w:cs="宋体"/>
          <w:b/>
          <w:color w:val="auto"/>
          <w:sz w:val="24"/>
          <w:highlight w:val="none"/>
        </w:rPr>
        <w:t>申请人的资格要求</w:t>
      </w:r>
      <w:bookmarkEnd w:id="11"/>
      <w:r>
        <w:rPr>
          <w:rFonts w:hint="eastAsia" w:ascii="宋体" w:hAnsi="宋体" w:eastAsia="宋体" w:cs="宋体"/>
          <w:b/>
          <w:color w:val="auto"/>
          <w:sz w:val="24"/>
          <w:highlight w:val="none"/>
        </w:rPr>
        <w:t>：</w:t>
      </w:r>
    </w:p>
    <w:p w14:paraId="3DCAA1AE">
      <w:pPr>
        <w:keepNext w:val="0"/>
        <w:keepLines w:val="0"/>
        <w:pageBreakBefore w:val="0"/>
        <w:kinsoku/>
        <w:wordWrap/>
        <w:overflowPunct/>
        <w:topLinePunct w:val="0"/>
        <w:autoSpaceDE/>
        <w:autoSpaceDN/>
        <w:bidi w:val="0"/>
        <w:adjustRightInd w:val="0"/>
        <w:spacing w:line="440" w:lineRule="exact"/>
        <w:ind w:firstLine="48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40388E83">
      <w:pPr>
        <w:keepNext w:val="0"/>
        <w:keepLines w:val="0"/>
        <w:pageBreakBefore w:val="0"/>
        <w:kinsoku/>
        <w:wordWrap/>
        <w:overflowPunct/>
        <w:topLinePunct w:val="0"/>
        <w:autoSpaceDE/>
        <w:autoSpaceDN/>
        <w:bidi w:val="0"/>
        <w:adjustRightInd w:val="0"/>
        <w:spacing w:line="440" w:lineRule="exact"/>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14:paraId="25BBEDC3">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59351EA7">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sym w:font="Wingdings" w:char="00A8"/>
      </w:r>
      <w:sdt>
        <w:sdtPr>
          <w:rPr>
            <w:rFonts w:hint="eastAsia" w:ascii="宋体" w:hAnsi="宋体" w:eastAsia="宋体" w:cs="宋体"/>
            <w:color w:val="auto"/>
            <w:kern w:val="0"/>
            <w:sz w:val="24"/>
            <w:highlight w:val="none"/>
          </w:rPr>
          <w:id w:val="515496243"/>
          <w:showingPlcHdr/>
        </w:sdtPr>
        <w:sdtEndPr>
          <w:rPr>
            <w:rFonts w:hint="eastAsia" w:ascii="宋体" w:hAnsi="宋体" w:eastAsia="宋体" w:cs="宋体"/>
            <w:color w:val="auto"/>
            <w:kern w:val="0"/>
            <w:sz w:val="24"/>
            <w:highlight w:val="none"/>
          </w:rPr>
        </w:sdtEndPr>
        <w:sdtContent/>
      </w:sdt>
      <w:r>
        <w:rPr>
          <w:rFonts w:hint="eastAsia" w:ascii="宋体" w:hAnsi="宋体" w:eastAsia="宋体" w:cs="宋体"/>
          <w:color w:val="auto"/>
          <w:sz w:val="24"/>
          <w:highlight w:val="none"/>
        </w:rPr>
        <w:t>无；</w:t>
      </w:r>
    </w:p>
    <w:p w14:paraId="13739D61">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024704304"/>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FE"/>
          </w:r>
          <w:sdt>
            <w:sdtPr>
              <w:rPr>
                <w:rFonts w:hint="eastAsia" w:ascii="宋体" w:hAnsi="宋体" w:eastAsia="宋体" w:cs="宋体"/>
                <w:color w:val="auto"/>
                <w:kern w:val="0"/>
                <w:sz w:val="24"/>
                <w:highlight w:val="none"/>
              </w:rPr>
              <w:id w:val="147467819"/>
              <w:showingPlcHdr/>
            </w:sdtPr>
            <w:sdtEndPr>
              <w:rPr>
                <w:rFonts w:hint="eastAsia" w:ascii="宋体" w:hAnsi="宋体" w:eastAsia="宋体" w:cs="宋体"/>
                <w:color w:val="auto"/>
                <w:kern w:val="0"/>
                <w:sz w:val="24"/>
                <w:highlight w:val="none"/>
              </w:rPr>
            </w:sdtEndPr>
            <w:sdtContent/>
          </w:sdt>
        </w:sdtContent>
      </w:sdt>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140C3A40">
      <w:pPr>
        <w:keepNext w:val="0"/>
        <w:keepLines w:val="0"/>
        <w:pageBreakBefore w:val="0"/>
        <w:kinsoku/>
        <w:wordWrap/>
        <w:overflowPunct/>
        <w:topLinePunct w:val="0"/>
        <w:autoSpaceDE/>
        <w:autoSpaceDN/>
        <w:bidi w:val="0"/>
        <w:adjustRightInd w:val="0"/>
        <w:spacing w:line="440" w:lineRule="exact"/>
        <w:ind w:firstLine="897" w:firstLineChars="374"/>
        <w:textAlignment w:val="auto"/>
        <w:rPr>
          <w:rFonts w:hint="eastAsia" w:ascii="宋体" w:hAnsi="宋体" w:eastAsia="宋体" w:cs="宋体"/>
          <w:color w:val="auto"/>
          <w:sz w:val="24"/>
          <w:highlight w:val="none"/>
          <w:u w:val="single"/>
        </w:rPr>
      </w:pPr>
      <w:sdt>
        <w:sdtPr>
          <w:rPr>
            <w:rFonts w:hint="eastAsia" w:ascii="宋体" w:hAnsi="宋体" w:eastAsia="宋体" w:cs="宋体"/>
            <w:color w:val="auto"/>
            <w:kern w:val="0"/>
            <w:sz w:val="24"/>
            <w:highlight w:val="none"/>
          </w:rPr>
          <w:id w:val="-924730588"/>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FE"/>
          </w:r>
          <w:sdt>
            <w:sdtPr>
              <w:rPr>
                <w:rFonts w:hint="eastAsia" w:ascii="宋体" w:hAnsi="宋体" w:eastAsia="宋体" w:cs="宋体"/>
                <w:color w:val="auto"/>
                <w:kern w:val="0"/>
                <w:sz w:val="24"/>
                <w:highlight w:val="none"/>
              </w:rPr>
              <w:id w:val="147451250"/>
              <w:showingPlcHdr/>
            </w:sdtPr>
            <w:sdtEndPr>
              <w:rPr>
                <w:rFonts w:hint="eastAsia" w:ascii="宋体" w:hAnsi="宋体" w:eastAsia="宋体" w:cs="宋体"/>
                <w:color w:val="auto"/>
                <w:kern w:val="0"/>
                <w:sz w:val="24"/>
                <w:highlight w:val="none"/>
              </w:rPr>
            </w:sdtEndPr>
            <w:sdtContent/>
          </w:sdt>
        </w:sdtContent>
      </w:sdt>
      <w:r>
        <w:rPr>
          <w:rFonts w:hint="eastAsia" w:ascii="宋体" w:hAnsi="宋体" w:eastAsia="宋体" w:cs="宋体"/>
          <w:color w:val="auto"/>
          <w:sz w:val="24"/>
          <w:highlight w:val="none"/>
        </w:rPr>
        <w:t>货物全部由符合政策要求的中小企业制造，提供中小企业声明函；</w:t>
      </w:r>
    </w:p>
    <w:p w14:paraId="26989B18">
      <w:pPr>
        <w:keepNext w:val="0"/>
        <w:keepLines w:val="0"/>
        <w:pageBreakBefore w:val="0"/>
        <w:kinsoku/>
        <w:wordWrap/>
        <w:overflowPunct/>
        <w:topLinePunct w:val="0"/>
        <w:autoSpaceDE/>
        <w:autoSpaceDN/>
        <w:bidi w:val="0"/>
        <w:adjustRightInd w:val="0"/>
        <w:spacing w:line="440" w:lineRule="exact"/>
        <w:ind w:firstLine="897" w:firstLineChars="374"/>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152604937"/>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货物全部由符合政策要求的小微企业制造，提供中小企业声明函；</w:t>
      </w:r>
    </w:p>
    <w:p w14:paraId="4A770B62">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85607795"/>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bookmarkStart w:id="12" w:name="_Hlk101132524"/>
        </w:sdtContent>
      </w:sdt>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bookmarkEnd w:id="12"/>
    <w:p w14:paraId="6758A24B">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4630645"/>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要求合同分包，提供分包意向协议和中小企业声明函，分包意向协议中中小企业合同金额应当达到达到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2D74A714">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4.本项目的特定资格要求：无；</w:t>
      </w:r>
    </w:p>
    <w:p w14:paraId="4DDA47A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A839DC9">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14:paraId="28BC9FC3">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cs="宋体"/>
          <w:color w:val="auto"/>
          <w:sz w:val="24"/>
          <w:highlight w:val="none"/>
          <w:u w:val="single"/>
          <w:lang w:eastAsia="zh-CN"/>
        </w:rPr>
        <w:t xml:space="preserve">2025年7月14日 </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4C2408D7">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631AB87F">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59D70E1A">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u w:val="single"/>
        </w:rPr>
        <w:t xml:space="preserve">0 </w:t>
      </w:r>
      <w:r>
        <w:rPr>
          <w:rFonts w:hint="eastAsia" w:ascii="宋体" w:hAnsi="宋体" w:eastAsia="宋体" w:cs="宋体"/>
          <w:color w:val="auto"/>
          <w:sz w:val="24"/>
          <w:highlight w:val="none"/>
        </w:rPr>
        <w:tab/>
      </w:r>
    </w:p>
    <w:p w14:paraId="6E858A7D">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14:paraId="290088E4">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2025年7月14日14点00分00</w:t>
      </w:r>
      <w:r>
        <w:rPr>
          <w:rFonts w:hint="eastAsia" w:ascii="宋体" w:hAnsi="宋体" w:eastAsia="宋体" w:cs="宋体"/>
          <w:color w:val="auto"/>
          <w:sz w:val="24"/>
          <w:highlight w:val="none"/>
          <w:u w:val="single"/>
        </w:rPr>
        <w:t>秒</w:t>
      </w:r>
      <w:r>
        <w:rPr>
          <w:rFonts w:hint="eastAsia" w:ascii="宋体" w:hAnsi="宋体" w:eastAsia="宋体" w:cs="宋体"/>
          <w:color w:val="auto"/>
          <w:sz w:val="24"/>
          <w:highlight w:val="none"/>
        </w:rPr>
        <w:t>（北京时间）</w:t>
      </w:r>
    </w:p>
    <w:p w14:paraId="05891C64">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08AEB40F">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textAlignment w:val="auto"/>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2025年7月14日14点00分00</w:t>
      </w:r>
      <w:r>
        <w:rPr>
          <w:rFonts w:hint="eastAsia" w:ascii="宋体" w:hAnsi="宋体" w:eastAsia="宋体" w:cs="宋体"/>
          <w:color w:val="auto"/>
          <w:sz w:val="24"/>
          <w:highlight w:val="none"/>
          <w:u w:val="single"/>
        </w:rPr>
        <w:t>秒</w:t>
      </w:r>
    </w:p>
    <w:p w14:paraId="6728CBAF">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14:paraId="6685E365">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14:paraId="0ABCF745">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69BDC387">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14:paraId="209DBC14">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w:t>
      </w:r>
      <w:r>
        <w:rPr>
          <w:rFonts w:hint="eastAsia" w:ascii="宋体" w:hAnsi="宋体" w:cs="宋体"/>
          <w:color w:val="auto"/>
          <w:sz w:val="24"/>
          <w:highlight w:val="none"/>
          <w:lang w:eastAsia="zh-CN"/>
        </w:rPr>
        <w:t>7月2号</w:t>
      </w:r>
      <w:r>
        <w:rPr>
          <w:rFonts w:hint="eastAsia" w:ascii="宋体" w:hAnsi="宋体" w:eastAsia="宋体" w:cs="宋体"/>
          <w:color w:val="auto"/>
          <w:sz w:val="24"/>
          <w:highlight w:val="none"/>
        </w:rPr>
        <w:t>开始实施，此前有关规定与上述文件内容不一致的，按上述文件要求执行。</w:t>
      </w:r>
    </w:p>
    <w:p w14:paraId="0041A23F">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914D23">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D2C0621">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070DB7C">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14:paraId="3F1F8595">
      <w:pPr>
        <w:keepNext w:val="0"/>
        <w:keepLines w:val="0"/>
        <w:pageBreakBefore w:val="0"/>
        <w:widowControl w:val="0"/>
        <w:kinsoku/>
        <w:wordWrap/>
        <w:overflowPunct/>
        <w:topLinePunct w:val="0"/>
        <w:autoSpaceDE/>
        <w:autoSpaceDN/>
        <w:bidi w:val="0"/>
        <w:adjustRightInd w:val="0"/>
        <w:snapToGrid/>
        <w:spacing w:line="420" w:lineRule="exact"/>
        <w:ind w:firstLine="465"/>
        <w:textAlignment w:val="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1.采购人信息</w:t>
      </w:r>
    </w:p>
    <w:p w14:paraId="23C11CC5">
      <w:pPr>
        <w:keepNext w:val="0"/>
        <w:keepLines w:val="0"/>
        <w:pageBreakBefore w:val="0"/>
        <w:widowControl w:val="0"/>
        <w:kinsoku/>
        <w:wordWrap/>
        <w:overflowPunct/>
        <w:topLinePunct w:val="0"/>
        <w:autoSpaceDE/>
        <w:autoSpaceDN/>
        <w:bidi w:val="0"/>
        <w:adjustRightInd w:val="0"/>
        <w:snapToGrid/>
        <w:spacing w:line="420" w:lineRule="exact"/>
        <w:ind w:firstLine="465"/>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名    称：建德市寿昌镇人民政府 </w:t>
      </w:r>
    </w:p>
    <w:p w14:paraId="32A8F22C">
      <w:pPr>
        <w:keepNext w:val="0"/>
        <w:keepLines w:val="0"/>
        <w:pageBreakBefore w:val="0"/>
        <w:widowControl w:val="0"/>
        <w:kinsoku/>
        <w:wordWrap/>
        <w:overflowPunct/>
        <w:topLinePunct w:val="0"/>
        <w:autoSpaceDE/>
        <w:autoSpaceDN/>
        <w:bidi w:val="0"/>
        <w:adjustRightInd w:val="0"/>
        <w:snapToGrid/>
        <w:spacing w:line="420" w:lineRule="exact"/>
        <w:ind w:firstLine="465"/>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    址：建德市寿昌镇中山路38号       </w:t>
      </w:r>
    </w:p>
    <w:p w14:paraId="0AC874DB">
      <w:pPr>
        <w:keepNext w:val="0"/>
        <w:keepLines w:val="0"/>
        <w:pageBreakBefore w:val="0"/>
        <w:widowControl w:val="0"/>
        <w:kinsoku/>
        <w:wordWrap/>
        <w:overflowPunct/>
        <w:topLinePunct w:val="0"/>
        <w:autoSpaceDE/>
        <w:autoSpaceDN/>
        <w:bidi w:val="0"/>
        <w:adjustRightInd w:val="0"/>
        <w:snapToGrid/>
        <w:spacing w:line="420" w:lineRule="exact"/>
        <w:ind w:firstLine="465"/>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 /</w:t>
      </w:r>
    </w:p>
    <w:p w14:paraId="5F7C5B94">
      <w:pPr>
        <w:keepNext w:val="0"/>
        <w:keepLines w:val="0"/>
        <w:pageBreakBefore w:val="0"/>
        <w:widowControl w:val="0"/>
        <w:kinsoku/>
        <w:wordWrap/>
        <w:overflowPunct/>
        <w:topLinePunct w:val="0"/>
        <w:autoSpaceDE/>
        <w:autoSpaceDN/>
        <w:bidi w:val="0"/>
        <w:adjustRightInd w:val="0"/>
        <w:snapToGrid/>
        <w:spacing w:line="420" w:lineRule="exact"/>
        <w:ind w:firstLine="465"/>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项目联系人（询问）：叶晓良  </w:t>
      </w:r>
    </w:p>
    <w:p w14:paraId="3D24EE78">
      <w:pPr>
        <w:keepNext w:val="0"/>
        <w:keepLines w:val="0"/>
        <w:pageBreakBefore w:val="0"/>
        <w:widowControl w:val="0"/>
        <w:kinsoku/>
        <w:wordWrap/>
        <w:overflowPunct/>
        <w:topLinePunct w:val="0"/>
        <w:autoSpaceDE/>
        <w:autoSpaceDN/>
        <w:bidi w:val="0"/>
        <w:adjustRightInd w:val="0"/>
        <w:snapToGrid/>
        <w:spacing w:line="420" w:lineRule="exact"/>
        <w:ind w:firstLine="465"/>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项目联系方式（询问）：13588498767</w:t>
      </w:r>
    </w:p>
    <w:p w14:paraId="7946C6B1">
      <w:pPr>
        <w:keepNext w:val="0"/>
        <w:keepLines w:val="0"/>
        <w:pageBreakBefore w:val="0"/>
        <w:widowControl w:val="0"/>
        <w:kinsoku/>
        <w:wordWrap/>
        <w:overflowPunct/>
        <w:topLinePunct w:val="0"/>
        <w:autoSpaceDE/>
        <w:autoSpaceDN/>
        <w:bidi w:val="0"/>
        <w:adjustRightInd w:val="0"/>
        <w:snapToGrid/>
        <w:spacing w:line="420" w:lineRule="exact"/>
        <w:ind w:firstLine="465"/>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质疑联系人：</w:t>
      </w:r>
      <w:r>
        <w:rPr>
          <w:rFonts w:hint="eastAsia" w:ascii="宋体" w:hAnsi="宋体" w:cs="宋体"/>
          <w:color w:val="auto"/>
          <w:sz w:val="24"/>
          <w:highlight w:val="none"/>
          <w:lang w:eastAsia="zh-CN"/>
        </w:rPr>
        <w:t>邓燕刚</w:t>
      </w:r>
      <w:r>
        <w:rPr>
          <w:rFonts w:hint="eastAsia" w:ascii="宋体" w:hAnsi="宋体" w:eastAsia="宋体" w:cs="宋体"/>
          <w:color w:val="auto"/>
          <w:sz w:val="24"/>
          <w:highlight w:val="none"/>
        </w:rPr>
        <w:t xml:space="preserve"> </w:t>
      </w:r>
    </w:p>
    <w:p w14:paraId="091A1C49">
      <w:pPr>
        <w:keepNext w:val="0"/>
        <w:keepLines w:val="0"/>
        <w:pageBreakBefore w:val="0"/>
        <w:widowControl w:val="0"/>
        <w:kinsoku/>
        <w:wordWrap/>
        <w:overflowPunct/>
        <w:topLinePunct w:val="0"/>
        <w:autoSpaceDE/>
        <w:autoSpaceDN/>
        <w:bidi w:val="0"/>
        <w:adjustRightInd w:val="0"/>
        <w:snapToGrid/>
        <w:spacing w:line="420" w:lineRule="exact"/>
        <w:ind w:firstLine="465"/>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质疑联系方式：</w:t>
      </w:r>
      <w:r>
        <w:rPr>
          <w:rFonts w:hint="eastAsia" w:ascii="宋体" w:hAnsi="宋体" w:cs="宋体"/>
          <w:color w:val="auto"/>
          <w:sz w:val="24"/>
          <w:highlight w:val="none"/>
          <w:lang w:val="en-US" w:eastAsia="zh-CN"/>
        </w:rPr>
        <w:t>18958137335</w:t>
      </w:r>
    </w:p>
    <w:p w14:paraId="35582E6F">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bCs/>
          <w:color w:val="auto"/>
          <w:sz w:val="24"/>
          <w:highlight w:val="none"/>
        </w:rPr>
        <w:t xml:space="preserve"> 2.采购代理机构信息  </w:t>
      </w:r>
      <w:r>
        <w:rPr>
          <w:rFonts w:hint="eastAsia" w:ascii="宋体" w:hAnsi="宋体" w:eastAsia="宋体" w:cs="宋体"/>
          <w:color w:val="auto"/>
          <w:sz w:val="24"/>
          <w:highlight w:val="none"/>
        </w:rPr>
        <w:t xml:space="preserve">          </w:t>
      </w:r>
    </w:p>
    <w:p w14:paraId="298CC658">
      <w:pPr>
        <w:keepNext w:val="0"/>
        <w:keepLines w:val="0"/>
        <w:pageBreakBefore w:val="0"/>
        <w:widowControl w:val="0"/>
        <w:kinsoku/>
        <w:wordWrap/>
        <w:overflowPunct/>
        <w:topLinePunct w:val="0"/>
        <w:autoSpaceDE/>
        <w:autoSpaceDN/>
        <w:bidi w:val="0"/>
        <w:adjustRightInd w:val="0"/>
        <w:snapToGrid/>
        <w:spacing w:line="420" w:lineRule="exact"/>
        <w:ind w:firstLine="48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欧邦工程管理集团有限公司</w:t>
      </w:r>
    </w:p>
    <w:p w14:paraId="1A112600">
      <w:pPr>
        <w:keepNext w:val="0"/>
        <w:keepLines w:val="0"/>
        <w:pageBreakBefore w:val="0"/>
        <w:widowControl w:val="0"/>
        <w:kinsoku/>
        <w:wordWrap/>
        <w:overflowPunct/>
        <w:topLinePunct w:val="0"/>
        <w:autoSpaceDE/>
        <w:autoSpaceDN/>
        <w:bidi w:val="0"/>
        <w:adjustRightInd w:val="0"/>
        <w:snapToGrid/>
        <w:spacing w:line="420" w:lineRule="exact"/>
        <w:ind w:firstLine="48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地    址：</w:t>
      </w:r>
      <w:r>
        <w:rPr>
          <w:rFonts w:hint="eastAsia" w:ascii="宋体" w:hAnsi="宋体" w:cs="宋体"/>
          <w:color w:val="auto"/>
          <w:sz w:val="24"/>
          <w:highlight w:val="none"/>
          <w:lang w:eastAsia="zh-CN"/>
        </w:rPr>
        <w:t>建德市新安江街道红枫商场17号一层</w:t>
      </w:r>
    </w:p>
    <w:p w14:paraId="0F7F84DB">
      <w:pPr>
        <w:keepNext w:val="0"/>
        <w:keepLines w:val="0"/>
        <w:pageBreakBefore w:val="0"/>
        <w:widowControl w:val="0"/>
        <w:kinsoku/>
        <w:wordWrap/>
        <w:overflowPunct/>
        <w:topLinePunct w:val="0"/>
        <w:autoSpaceDE/>
        <w:autoSpaceDN/>
        <w:bidi w:val="0"/>
        <w:adjustRightInd w:val="0"/>
        <w:snapToGrid/>
        <w:spacing w:line="420" w:lineRule="exact"/>
        <w:ind w:firstLine="480"/>
        <w:textAlignment w:val="auto"/>
        <w:rPr>
          <w:rFonts w:hint="eastAsia" w:ascii="宋体" w:hAnsi="宋体" w:cs="宋体"/>
          <w:b w:val="0"/>
          <w:bCs w:val="0"/>
          <w:color w:val="auto"/>
          <w:sz w:val="24"/>
          <w:highlight w:val="none"/>
          <w:lang w:val="en-US" w:eastAsia="zh-CN"/>
        </w:rPr>
      </w:pPr>
      <w:r>
        <w:rPr>
          <w:rFonts w:hint="eastAsia" w:ascii="宋体" w:hAnsi="宋体" w:eastAsia="宋体" w:cs="宋体"/>
          <w:b w:val="0"/>
          <w:bCs w:val="0"/>
          <w:color w:val="auto"/>
          <w:sz w:val="24"/>
          <w:highlight w:val="none"/>
        </w:rPr>
        <w:t>传    真：</w:t>
      </w:r>
      <w:r>
        <w:rPr>
          <w:rFonts w:hint="eastAsia" w:ascii="宋体" w:hAnsi="宋体" w:cs="宋体"/>
          <w:b w:val="0"/>
          <w:bCs w:val="0"/>
          <w:color w:val="auto"/>
          <w:sz w:val="24"/>
          <w:highlight w:val="none"/>
          <w:lang w:val="en-US" w:eastAsia="zh-CN"/>
        </w:rPr>
        <w:t>/</w:t>
      </w:r>
    </w:p>
    <w:p w14:paraId="54124D64">
      <w:pPr>
        <w:keepNext w:val="0"/>
        <w:keepLines w:val="0"/>
        <w:pageBreakBefore w:val="0"/>
        <w:widowControl w:val="0"/>
        <w:kinsoku/>
        <w:wordWrap/>
        <w:overflowPunct/>
        <w:topLinePunct w:val="0"/>
        <w:autoSpaceDE/>
        <w:autoSpaceDN/>
        <w:bidi w:val="0"/>
        <w:adjustRightInd w:val="0"/>
        <w:snapToGrid/>
        <w:spacing w:line="420" w:lineRule="exact"/>
        <w:ind w:firstLine="48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项目联系人（询问）：</w:t>
      </w:r>
      <w:r>
        <w:rPr>
          <w:rFonts w:hint="eastAsia" w:ascii="宋体" w:hAnsi="宋体" w:cs="宋体"/>
          <w:b w:val="0"/>
          <w:bCs w:val="0"/>
          <w:color w:val="auto"/>
          <w:sz w:val="24"/>
          <w:highlight w:val="none"/>
          <w:lang w:val="en-US" w:eastAsia="zh-CN"/>
        </w:rPr>
        <w:t>李昕淼</w:t>
      </w:r>
      <w:r>
        <w:rPr>
          <w:rFonts w:hint="eastAsia" w:ascii="宋体" w:hAnsi="宋体" w:eastAsia="宋体" w:cs="宋体"/>
          <w:b w:val="0"/>
          <w:bCs w:val="0"/>
          <w:color w:val="auto"/>
          <w:sz w:val="24"/>
          <w:highlight w:val="none"/>
        </w:rPr>
        <w:t xml:space="preserve"> </w:t>
      </w:r>
    </w:p>
    <w:p w14:paraId="6E357B28">
      <w:pPr>
        <w:keepNext w:val="0"/>
        <w:keepLines w:val="0"/>
        <w:pageBreakBefore w:val="0"/>
        <w:widowControl w:val="0"/>
        <w:kinsoku/>
        <w:wordWrap/>
        <w:overflowPunct/>
        <w:topLinePunct w:val="0"/>
        <w:autoSpaceDE/>
        <w:autoSpaceDN/>
        <w:bidi w:val="0"/>
        <w:adjustRightInd w:val="0"/>
        <w:snapToGrid/>
        <w:spacing w:line="420" w:lineRule="exact"/>
        <w:ind w:firstLine="480"/>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项目联系方式（询问）：</w:t>
      </w:r>
      <w:r>
        <w:rPr>
          <w:rFonts w:hint="eastAsia" w:ascii="宋体" w:hAnsi="宋体" w:cs="宋体"/>
          <w:b w:val="0"/>
          <w:bCs w:val="0"/>
          <w:color w:val="auto"/>
          <w:sz w:val="24"/>
          <w:highlight w:val="none"/>
          <w:lang w:val="en-US" w:eastAsia="zh-CN"/>
        </w:rPr>
        <w:t>15372041892</w:t>
      </w:r>
      <w:r>
        <w:rPr>
          <w:rFonts w:hint="eastAsia" w:ascii="宋体" w:hAnsi="宋体" w:eastAsia="宋体" w:cs="宋体"/>
          <w:b w:val="0"/>
          <w:bCs w:val="0"/>
          <w:color w:val="auto"/>
          <w:sz w:val="24"/>
          <w:highlight w:val="none"/>
        </w:rPr>
        <w:t xml:space="preserve"> </w:t>
      </w:r>
    </w:p>
    <w:p w14:paraId="0AD832E9">
      <w:pPr>
        <w:keepNext w:val="0"/>
        <w:keepLines w:val="0"/>
        <w:pageBreakBefore w:val="0"/>
        <w:widowControl w:val="0"/>
        <w:kinsoku/>
        <w:wordWrap/>
        <w:overflowPunct/>
        <w:topLinePunct w:val="0"/>
        <w:autoSpaceDE/>
        <w:autoSpaceDN/>
        <w:bidi w:val="0"/>
        <w:adjustRightInd w:val="0"/>
        <w:snapToGrid/>
        <w:spacing w:line="420" w:lineRule="exact"/>
        <w:ind w:firstLine="48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质疑联系人：</w:t>
      </w:r>
      <w:r>
        <w:rPr>
          <w:rFonts w:hint="eastAsia" w:ascii="宋体" w:hAnsi="宋体" w:cs="宋体"/>
          <w:b w:val="0"/>
          <w:bCs w:val="0"/>
          <w:color w:val="auto"/>
          <w:sz w:val="24"/>
          <w:highlight w:val="none"/>
          <w:lang w:eastAsia="zh-CN"/>
        </w:rPr>
        <w:t>唐国华</w:t>
      </w:r>
    </w:p>
    <w:p w14:paraId="3FC1D0B5">
      <w:pPr>
        <w:keepNext w:val="0"/>
        <w:keepLines w:val="0"/>
        <w:pageBreakBefore w:val="0"/>
        <w:widowControl w:val="0"/>
        <w:kinsoku/>
        <w:wordWrap/>
        <w:overflowPunct/>
        <w:topLinePunct w:val="0"/>
        <w:autoSpaceDE/>
        <w:autoSpaceDN/>
        <w:bidi w:val="0"/>
        <w:adjustRightInd w:val="0"/>
        <w:snapToGrid/>
        <w:spacing w:line="420" w:lineRule="exact"/>
        <w:ind w:firstLine="480"/>
        <w:textAlignment w:val="auto"/>
        <w:rPr>
          <w:rFonts w:hint="default"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质疑联系方式：</w:t>
      </w:r>
      <w:r>
        <w:rPr>
          <w:rFonts w:hint="eastAsia" w:ascii="宋体" w:hAnsi="宋体" w:cs="宋体"/>
          <w:b w:val="0"/>
          <w:bCs w:val="0"/>
          <w:color w:val="auto"/>
          <w:sz w:val="24"/>
          <w:highlight w:val="none"/>
          <w:lang w:val="en-US" w:eastAsia="zh-CN"/>
        </w:rPr>
        <w:t>17788555592</w:t>
      </w:r>
    </w:p>
    <w:p w14:paraId="4C98017D">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bCs/>
          <w:color w:val="auto"/>
          <w:sz w:val="24"/>
          <w:highlight w:val="none"/>
        </w:rPr>
        <w:t xml:space="preserve">  3.</w:t>
      </w:r>
      <w:r>
        <w:rPr>
          <w:rFonts w:hint="eastAsia" w:ascii="宋体" w:hAnsi="宋体" w:eastAsia="宋体" w:cs="宋体"/>
          <w:b/>
          <w:bCs/>
          <w:color w:val="auto"/>
          <w:highlight w:val="none"/>
        </w:rPr>
        <w:t xml:space="preserve"> </w:t>
      </w:r>
      <w:r>
        <w:rPr>
          <w:rFonts w:hint="eastAsia" w:ascii="宋体" w:hAnsi="宋体" w:eastAsia="宋体" w:cs="宋体"/>
          <w:b/>
          <w:bCs/>
          <w:color w:val="auto"/>
          <w:sz w:val="24"/>
          <w:highlight w:val="none"/>
        </w:rPr>
        <w:t>同级政府采购监督管理部门</w:t>
      </w:r>
      <w:r>
        <w:rPr>
          <w:rFonts w:hint="eastAsia" w:ascii="宋体" w:hAnsi="宋体" w:eastAsia="宋体" w:cs="宋体"/>
          <w:color w:val="auto"/>
          <w:sz w:val="24"/>
          <w:highlight w:val="none"/>
        </w:rPr>
        <w:t xml:space="preserve">            </w:t>
      </w:r>
    </w:p>
    <w:p w14:paraId="474B17F4">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称：建德市财政局、浙江省政府采购行政裁决服务中心（杭州）</w:t>
      </w:r>
    </w:p>
    <w:p w14:paraId="411A13C7">
      <w:pPr>
        <w:keepNext w:val="0"/>
        <w:keepLines w:val="0"/>
        <w:pageBreakBefore w:val="0"/>
        <w:widowControl w:val="0"/>
        <w:kinsoku/>
        <w:wordWrap/>
        <w:overflowPunct/>
        <w:topLinePunct w:val="0"/>
        <w:autoSpaceDE/>
        <w:autoSpaceDN/>
        <w:bidi w:val="0"/>
        <w:adjustRightInd w:val="0"/>
        <w:snapToGrid/>
        <w:spacing w:line="420" w:lineRule="exact"/>
        <w:ind w:left="479" w:leftChars="228" w:firstLine="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址：杭州市上城区清泰街549号城建综合大楼11楼（快递仅限ems或顺丰）传    真： /</w:t>
      </w:r>
    </w:p>
    <w:p w14:paraId="6956D19D">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 ：匡老师</w:t>
      </w:r>
    </w:p>
    <w:p w14:paraId="286B3A8A">
      <w:pPr>
        <w:keepNext w:val="0"/>
        <w:keepLines w:val="0"/>
        <w:pageBreakBefore w:val="0"/>
        <w:widowControl w:val="0"/>
        <w:kinsoku/>
        <w:wordWrap/>
        <w:overflowPunct/>
        <w:topLinePunct w:val="0"/>
        <w:autoSpaceDE/>
        <w:autoSpaceDN/>
        <w:bidi w:val="0"/>
        <w:adjustRightInd w:val="0"/>
        <w:snapToGrid/>
        <w:spacing w:line="42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监督投诉电话：电话：0571-87807798     </w:t>
      </w:r>
    </w:p>
    <w:p w14:paraId="117FA1EF">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2908C7F9">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6EE44C91">
      <w:pPr>
        <w:pStyle w:val="3"/>
        <w:jc w:val="cente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8"/>
      <w:r>
        <w:rPr>
          <w:rFonts w:hint="eastAsia" w:ascii="宋体" w:hAnsi="宋体" w:eastAsia="宋体" w:cs="宋体"/>
          <w:b/>
          <w:color w:val="auto"/>
          <w:sz w:val="36"/>
          <w:szCs w:val="20"/>
          <w:highlight w:val="none"/>
        </w:rPr>
        <w:t xml:space="preserve"> 投标人须知</w:t>
      </w:r>
      <w:bookmarkEnd w:id="9"/>
    </w:p>
    <w:p w14:paraId="3A02F3F8">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2"/>
        <w:tblW w:w="5512" w:type="pct"/>
        <w:tblInd w:w="-33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28" w:type="dxa"/>
          <w:bottom w:w="0" w:type="dxa"/>
          <w:right w:w="28" w:type="dxa"/>
        </w:tblCellMar>
      </w:tblPr>
      <w:tblGrid>
        <w:gridCol w:w="692"/>
        <w:gridCol w:w="1634"/>
        <w:gridCol w:w="7735"/>
      </w:tblGrid>
      <w:tr w14:paraId="2E972A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344" w:type="pct"/>
            <w:tcBorders>
              <w:top w:val="single" w:color="auto" w:sz="4" w:space="0"/>
              <w:left w:val="single" w:color="auto" w:sz="4" w:space="0"/>
              <w:bottom w:val="single" w:color="auto" w:sz="4" w:space="0"/>
              <w:right w:val="single" w:color="auto" w:sz="4" w:space="0"/>
            </w:tcBorders>
          </w:tcPr>
          <w:p w14:paraId="56C14333">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812" w:type="pct"/>
            <w:tcBorders>
              <w:top w:val="single" w:color="000000" w:sz="8" w:space="0"/>
              <w:left w:val="single" w:color="auto" w:sz="4" w:space="0"/>
              <w:bottom w:val="single" w:color="000000" w:sz="8" w:space="0"/>
              <w:right w:val="single" w:color="000000" w:sz="8" w:space="0"/>
            </w:tcBorders>
            <w:vAlign w:val="center"/>
          </w:tcPr>
          <w:p w14:paraId="7F8BA11C">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3843" w:type="pct"/>
            <w:tcBorders>
              <w:top w:val="single" w:color="000000" w:sz="8" w:space="0"/>
              <w:left w:val="single" w:color="000000" w:sz="2" w:space="0"/>
              <w:bottom w:val="single" w:color="000000" w:sz="8" w:space="0"/>
              <w:right w:val="single" w:color="000000" w:sz="8" w:space="0"/>
            </w:tcBorders>
            <w:vAlign w:val="center"/>
          </w:tcPr>
          <w:p w14:paraId="77172F3C">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本项目的特别规定</w:t>
            </w:r>
          </w:p>
        </w:tc>
      </w:tr>
      <w:tr w14:paraId="6FAEE2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344" w:type="pct"/>
            <w:tcBorders>
              <w:top w:val="single" w:color="auto" w:sz="4" w:space="0"/>
              <w:left w:val="single" w:color="auto" w:sz="4" w:space="0"/>
              <w:bottom w:val="single" w:color="auto" w:sz="4" w:space="0"/>
              <w:right w:val="single" w:color="auto" w:sz="4" w:space="0"/>
            </w:tcBorders>
          </w:tcPr>
          <w:p w14:paraId="245E587C">
            <w:pPr>
              <w:snapToGrid w:val="0"/>
              <w:spacing w:line="360" w:lineRule="auto"/>
              <w:jc w:val="center"/>
              <w:rPr>
                <w:rFonts w:hint="eastAsia" w:ascii="宋体" w:hAnsi="宋体" w:eastAsia="宋体" w:cs="宋体"/>
                <w:color w:val="auto"/>
                <w:sz w:val="24"/>
                <w:highlight w:val="none"/>
              </w:rPr>
            </w:pPr>
          </w:p>
          <w:p w14:paraId="40A96D4A">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812" w:type="pct"/>
            <w:tcBorders>
              <w:top w:val="single" w:color="000000" w:sz="8" w:space="0"/>
              <w:left w:val="single" w:color="auto" w:sz="4" w:space="0"/>
              <w:bottom w:val="single" w:color="000000" w:sz="8" w:space="0"/>
              <w:right w:val="single" w:color="000000" w:sz="8" w:space="0"/>
            </w:tcBorders>
            <w:vAlign w:val="center"/>
          </w:tcPr>
          <w:p w14:paraId="7D13DE4B">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项目属性与核心产品</w:t>
            </w:r>
          </w:p>
        </w:tc>
        <w:tc>
          <w:tcPr>
            <w:tcW w:w="3843" w:type="pct"/>
            <w:tcBorders>
              <w:top w:val="single" w:color="000000" w:sz="8" w:space="0"/>
              <w:left w:val="single" w:color="000000" w:sz="2" w:space="0"/>
              <w:bottom w:val="single" w:color="000000" w:sz="8" w:space="0"/>
              <w:right w:val="single" w:color="000000" w:sz="8" w:space="0"/>
            </w:tcBorders>
            <w:vAlign w:val="center"/>
          </w:tcPr>
          <w:p w14:paraId="7C55A4CF">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    </w:t>
            </w:r>
          </w:p>
        </w:tc>
      </w:tr>
      <w:tr w14:paraId="59E2E1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344" w:type="pct"/>
            <w:tcBorders>
              <w:top w:val="single" w:color="auto" w:sz="4" w:space="0"/>
              <w:left w:val="single" w:color="auto" w:sz="4" w:space="0"/>
              <w:bottom w:val="single" w:color="auto" w:sz="4" w:space="0"/>
              <w:right w:val="single" w:color="auto" w:sz="4" w:space="0"/>
            </w:tcBorders>
            <w:vAlign w:val="center"/>
          </w:tcPr>
          <w:p w14:paraId="336F60D4">
            <w:pPr>
              <w:jc w:val="center"/>
              <w:rPr>
                <w:color w:val="auto"/>
                <w:highlight w:val="none"/>
              </w:rPr>
            </w:pPr>
          </w:p>
          <w:p w14:paraId="54BC76DD">
            <w:pPr>
              <w:jc w:val="center"/>
              <w:rPr>
                <w:rFonts w:hint="eastAsia" w:ascii="宋体" w:hAnsi="宋体" w:eastAsia="宋体" w:cs="宋体"/>
                <w:color w:val="auto"/>
                <w:sz w:val="24"/>
                <w:highlight w:val="none"/>
              </w:rPr>
            </w:pPr>
            <w:r>
              <w:rPr>
                <w:rFonts w:hint="eastAsia"/>
                <w:color w:val="auto"/>
                <w:highlight w:val="none"/>
              </w:rPr>
              <w:t>2</w:t>
            </w:r>
          </w:p>
        </w:tc>
        <w:tc>
          <w:tcPr>
            <w:tcW w:w="812" w:type="pct"/>
            <w:tcBorders>
              <w:top w:val="single" w:color="000000" w:sz="8" w:space="0"/>
              <w:left w:val="single" w:color="auto" w:sz="4" w:space="0"/>
              <w:bottom w:val="single" w:color="000000" w:sz="8" w:space="0"/>
              <w:right w:val="single" w:color="000000" w:sz="8" w:space="0"/>
            </w:tcBorders>
            <w:vAlign w:val="center"/>
          </w:tcPr>
          <w:p w14:paraId="7014E81D">
            <w:pPr>
              <w:rPr>
                <w:rFonts w:hint="eastAsia" w:ascii="宋体" w:hAnsi="宋体" w:eastAsia="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3843" w:type="pct"/>
            <w:tcBorders>
              <w:top w:val="single" w:color="000000" w:sz="8" w:space="0"/>
              <w:left w:val="single" w:color="000000" w:sz="2" w:space="0"/>
              <w:bottom w:val="single" w:color="000000" w:sz="8" w:space="0"/>
              <w:right w:val="single" w:color="000000" w:sz="8" w:space="0"/>
            </w:tcBorders>
            <w:vAlign w:val="center"/>
          </w:tcPr>
          <w:p w14:paraId="2275139D">
            <w:pPr>
              <w:numPr>
                <w:ilvl w:val="0"/>
                <w:numId w:val="1"/>
              </w:num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rPr>
              <w:t>主扩声线阵列全频扬声器，</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r>
              <w:rPr>
                <w:rFonts w:hint="eastAsia" w:ascii="宋体" w:hAnsi="宋体" w:eastAsia="宋体" w:cs="宋体"/>
                <w:color w:val="auto"/>
                <w:sz w:val="24"/>
                <w:szCs w:val="24"/>
                <w:highlight w:val="none"/>
              </w:rPr>
              <w:t>；</w:t>
            </w:r>
          </w:p>
          <w:p w14:paraId="3A315172">
            <w:pPr>
              <w:numPr>
                <w:ilvl w:val="0"/>
                <w:numId w:val="1"/>
              </w:num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rPr>
              <w:t>主扩声线阵列次低频扬声器</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r>
              <w:rPr>
                <w:rFonts w:hint="eastAsia" w:ascii="宋体" w:hAnsi="宋体" w:eastAsia="宋体" w:cs="宋体"/>
                <w:color w:val="auto"/>
                <w:sz w:val="24"/>
                <w:szCs w:val="24"/>
                <w:highlight w:val="none"/>
              </w:rPr>
              <w:t>；</w:t>
            </w:r>
          </w:p>
          <w:p w14:paraId="348924FB">
            <w:pPr>
              <w:numPr>
                <w:ilvl w:val="0"/>
                <w:numId w:val="1"/>
              </w:num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rPr>
              <w:t>超低频扬声器，</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r>
              <w:rPr>
                <w:rFonts w:hint="eastAsia" w:ascii="宋体" w:hAnsi="宋体" w:eastAsia="宋体" w:cs="宋体"/>
                <w:color w:val="auto"/>
                <w:sz w:val="24"/>
                <w:szCs w:val="24"/>
                <w:highlight w:val="none"/>
              </w:rPr>
              <w:t>；</w:t>
            </w:r>
          </w:p>
          <w:p w14:paraId="7150255D">
            <w:pPr>
              <w:numPr>
                <w:ilvl w:val="0"/>
                <w:numId w:val="1"/>
              </w:num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rPr>
              <w:t>舞台返送全频扬声器</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r>
              <w:rPr>
                <w:rFonts w:hint="eastAsia" w:ascii="宋体" w:hAnsi="宋体" w:eastAsia="宋体" w:cs="宋体"/>
                <w:color w:val="auto"/>
                <w:sz w:val="24"/>
                <w:szCs w:val="24"/>
                <w:highlight w:val="none"/>
              </w:rPr>
              <w:t>；</w:t>
            </w:r>
          </w:p>
          <w:p w14:paraId="7A3D390C">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rPr>
              <w:t>辅助补声全频扬声器</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r>
              <w:rPr>
                <w:rFonts w:hint="eastAsia" w:ascii="宋体" w:hAnsi="宋体" w:eastAsia="宋体" w:cs="宋体"/>
                <w:color w:val="auto"/>
                <w:sz w:val="24"/>
                <w:szCs w:val="24"/>
                <w:highlight w:val="none"/>
              </w:rPr>
              <w:t>；</w:t>
            </w:r>
          </w:p>
          <w:p w14:paraId="5BC0F92C">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rPr>
              <w:t>专业功率放大器（线阵全频）</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1718890E">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cs="宋体"/>
                <w:color w:val="auto"/>
                <w:kern w:val="0"/>
                <w:sz w:val="21"/>
                <w:szCs w:val="21"/>
                <w:highlight w:val="none"/>
                <w:u w:val="single"/>
              </w:rPr>
              <w:t>专业功率放大器（线阵次低频）</w:t>
            </w:r>
            <w:r>
              <w:rPr>
                <w:rFonts w:hint="eastAsia"/>
                <w:color w:val="auto"/>
                <w:highlight w:val="none"/>
                <w:lang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2072129F">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rPr>
              <w:t>专业功率放大器（超低频）</w:t>
            </w:r>
            <w:r>
              <w:rPr>
                <w:rFonts w:hint="eastAsia" w:ascii="宋体" w:hAnsi="宋体" w:cs="宋体"/>
                <w:color w:val="auto"/>
                <w:sz w:val="24"/>
                <w:szCs w:val="24"/>
                <w:highlight w:val="none"/>
                <w:lang w:val="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7C44DEE8">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rPr>
              <w:t>专业功率放大器（舞台返送）</w:t>
            </w:r>
            <w:r>
              <w:rPr>
                <w:rFonts w:hint="eastAsia" w:ascii="宋体" w:hAnsi="宋体" w:cs="宋体"/>
                <w:color w:val="auto"/>
                <w:sz w:val="24"/>
                <w:szCs w:val="24"/>
                <w:highlight w:val="none"/>
                <w:lang w:val="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28C47BE7">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en-US" w:eastAsia="zh-CN"/>
              </w:rPr>
              <w:t>专业功率放大器（辅助补声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2EF65385">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en-US" w:eastAsia="zh-CN"/>
              </w:rPr>
              <w:t>数字音频处理器，</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525DE038">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数字音频处理器</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6555938C">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数字音视频一体化边缘管理平台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3BE3C57C">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真分集一拖二无线手持话筒</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71D8B19B">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真分集一拖二无线头戴话筒</w:t>
            </w:r>
            <w:r>
              <w:rPr>
                <w:rFonts w:hint="eastAsia" w:ascii="宋体" w:hAnsi="宋体" w:cs="宋体"/>
                <w:color w:val="auto"/>
                <w:sz w:val="24"/>
                <w:szCs w:val="24"/>
                <w:highlight w:val="none"/>
                <w:u w:val="single"/>
                <w:lang w:val="zh-CN"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0798EBDC">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真分集一拖二无线领夹话筒</w:t>
            </w:r>
            <w:r>
              <w:rPr>
                <w:rFonts w:hint="eastAsia" w:ascii="宋体" w:hAnsi="宋体" w:cs="宋体"/>
                <w:color w:val="auto"/>
                <w:sz w:val="24"/>
                <w:szCs w:val="24"/>
                <w:highlight w:val="none"/>
                <w:u w:val="single"/>
                <w:lang w:val="zh-CN"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48F49842">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eastAsia="zh-CN"/>
              </w:rPr>
              <w:t>天线分配放大器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06B3CA2D">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en-US" w:eastAsia="zh-CN"/>
              </w:rPr>
              <w:t>无线数字会议系统主控机</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4C3B74C2">
            <w:pPr>
              <w:numPr>
                <w:ilvl w:val="0"/>
                <w:numId w:val="1"/>
              </w:numPr>
              <w:spacing w:line="240" w:lineRule="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无线数字会议主席单元(内置锂电池）</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3B728706">
            <w:pPr>
              <w:numPr>
                <w:ilvl w:val="0"/>
                <w:numId w:val="1"/>
              </w:numPr>
              <w:spacing w:line="240" w:lineRule="auto"/>
              <w:rPr>
                <w:rFonts w:hint="eastAsia" w:ascii="宋体" w:hAnsi="宋体" w:eastAsia="宋体" w:cs="宋体"/>
                <w:color w:val="auto"/>
                <w:sz w:val="24"/>
                <w:szCs w:val="24"/>
                <w:highlight w:val="none"/>
                <w:u w:val="single"/>
                <w:lang w:val="zh-CN" w:eastAsia="zh-CN"/>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无线数字会议代表单元(内置锂电池）</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5345852C">
            <w:pPr>
              <w:numPr>
                <w:ilvl w:val="0"/>
                <w:numId w:val="1"/>
              </w:numPr>
              <w:spacing w:line="240" w:lineRule="auto"/>
              <w:rPr>
                <w:rFonts w:hint="eastAsia" w:ascii="宋体" w:hAnsi="宋体" w:eastAsia="宋体" w:cs="宋体"/>
                <w:color w:val="auto"/>
                <w:sz w:val="24"/>
                <w:szCs w:val="24"/>
                <w:highlight w:val="none"/>
                <w:u w:val="single"/>
                <w:lang w:val="zh-CN" w:eastAsia="zh-CN"/>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充电箱</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3A3D5E0D">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数字反馈抑制器</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5A466588">
            <w:pPr>
              <w:numPr>
                <w:ilvl w:val="0"/>
                <w:numId w:val="1"/>
              </w:numPr>
              <w:spacing w:line="240" w:lineRule="auto"/>
              <w:rPr>
                <w:rFonts w:hint="eastAsia" w:ascii="宋体" w:hAnsi="宋体" w:eastAsia="宋体" w:cs="宋体"/>
                <w:color w:val="auto"/>
                <w:sz w:val="24"/>
                <w:szCs w:val="24"/>
                <w:highlight w:val="none"/>
                <w:u w:val="single"/>
                <w:lang w:val="zh-CN" w:eastAsia="zh-CN"/>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合唱话筒</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72B82FA5">
            <w:pPr>
              <w:numPr>
                <w:ilvl w:val="0"/>
                <w:numId w:val="1"/>
              </w:numPr>
              <w:spacing w:line="240" w:lineRule="auto"/>
              <w:rPr>
                <w:rFonts w:hint="eastAsia" w:ascii="宋体" w:hAnsi="宋体" w:eastAsia="宋体" w:cs="宋体"/>
                <w:color w:val="auto"/>
                <w:sz w:val="24"/>
                <w:szCs w:val="24"/>
                <w:highlight w:val="none"/>
                <w:u w:val="single"/>
                <w:lang w:val="zh-CN" w:eastAsia="zh-CN"/>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电源时序器（独立滤波，带232接口）</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34BAFFD9">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机柜</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3E6F6AB4">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200W成像灯</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70F422F2">
            <w:pPr>
              <w:numPr>
                <w:ilvl w:val="0"/>
                <w:numId w:val="1"/>
              </w:numPr>
              <w:spacing w:line="240" w:lineRule="auto"/>
              <w:rPr>
                <w:rFonts w:hint="eastAsia" w:ascii="宋体" w:hAnsi="宋体" w:eastAsia="宋体" w:cs="宋体"/>
                <w:color w:val="auto"/>
                <w:sz w:val="24"/>
                <w:szCs w:val="24"/>
                <w:highlight w:val="none"/>
                <w:u w:val="single"/>
                <w:lang w:val="zh-CN" w:eastAsia="zh-CN"/>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调焦面光灯</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0134BB0A">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18颗4合一全彩帕灯</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1FB8ECA5">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LED三基色灯</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行业标的：</w:t>
            </w:r>
            <w:r>
              <w:rPr>
                <w:rFonts w:hint="eastAsia" w:ascii="宋体" w:hAnsi="宋体" w:eastAsia="宋体" w:cs="宋体"/>
                <w:color w:val="auto"/>
                <w:sz w:val="24"/>
                <w:szCs w:val="24"/>
                <w:highlight w:val="none"/>
                <w:u w:val="single"/>
                <w:lang w:val="zh-CN" w:eastAsia="zh-CN"/>
              </w:rPr>
              <w:t>295光束灯</w:t>
            </w:r>
          </w:p>
          <w:p w14:paraId="2D272F8F">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金刚1024</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1BBE5854">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8路放大器</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57E4E45A">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12路直通柜</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5DF16224">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光束灯保险绳</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585FD942">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大灯钩</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p w14:paraId="4657C07B">
            <w:pPr>
              <w:numPr>
                <w:ilvl w:val="0"/>
                <w:numId w:val="1"/>
              </w:numPr>
              <w:spacing w:line="240" w:lineRule="auto"/>
              <w:rPr>
                <w:rFonts w:hint="eastAsia"/>
                <w:color w:val="auto"/>
                <w:highlight w:val="none"/>
              </w:rPr>
            </w:pPr>
            <w:r>
              <w:rPr>
                <w:rFonts w:hint="eastAsia" w:ascii="宋体" w:hAnsi="宋体" w:eastAsia="宋体" w:cs="宋体"/>
                <w:color w:val="auto"/>
                <w:sz w:val="24"/>
                <w:szCs w:val="24"/>
                <w:highlight w:val="none"/>
                <w:lang w:val="zh-CN"/>
              </w:rPr>
              <w:t>标的：</w:t>
            </w:r>
            <w:r>
              <w:rPr>
                <w:rFonts w:hint="eastAsia" w:ascii="宋体" w:hAnsi="宋体" w:eastAsia="宋体" w:cs="宋体"/>
                <w:color w:val="auto"/>
                <w:sz w:val="24"/>
                <w:szCs w:val="24"/>
                <w:highlight w:val="none"/>
                <w:u w:val="single"/>
                <w:lang w:val="zh-CN" w:eastAsia="zh-CN"/>
              </w:rPr>
              <w:t>小灯钩</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 xml:space="preserve"> 工业</w:t>
            </w:r>
            <w:r>
              <w:rPr>
                <w:rFonts w:hint="eastAsia" w:ascii="宋体" w:hAnsi="宋体" w:eastAsia="宋体" w:cs="宋体"/>
                <w:color w:val="auto"/>
                <w:sz w:val="24"/>
                <w:szCs w:val="24"/>
                <w:highlight w:val="none"/>
                <w:lang w:val="zh-CN"/>
              </w:rPr>
              <w:t xml:space="preserve"> 行业</w:t>
            </w:r>
          </w:p>
        </w:tc>
      </w:tr>
      <w:tr w14:paraId="3D0090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344" w:type="pct"/>
            <w:tcBorders>
              <w:top w:val="single" w:color="auto" w:sz="4" w:space="0"/>
              <w:left w:val="single" w:color="auto" w:sz="4" w:space="0"/>
              <w:bottom w:val="single" w:color="auto" w:sz="4" w:space="0"/>
              <w:right w:val="single" w:color="auto" w:sz="4" w:space="0"/>
            </w:tcBorders>
          </w:tcPr>
          <w:p w14:paraId="51E26407">
            <w:pPr>
              <w:snapToGrid w:val="0"/>
              <w:spacing w:line="360" w:lineRule="auto"/>
              <w:jc w:val="center"/>
              <w:rPr>
                <w:rFonts w:hint="eastAsia" w:ascii="宋体" w:hAnsi="宋体" w:eastAsia="宋体" w:cs="宋体"/>
                <w:color w:val="auto"/>
                <w:sz w:val="24"/>
                <w:highlight w:val="none"/>
              </w:rPr>
            </w:pPr>
          </w:p>
          <w:p w14:paraId="25A20EA9">
            <w:pPr>
              <w:snapToGrid w:val="0"/>
              <w:spacing w:line="360" w:lineRule="auto"/>
              <w:jc w:val="center"/>
              <w:rPr>
                <w:rFonts w:hint="eastAsia" w:ascii="宋体" w:hAnsi="宋体" w:eastAsia="宋体" w:cs="宋体"/>
                <w:color w:val="auto"/>
                <w:sz w:val="24"/>
                <w:highlight w:val="none"/>
              </w:rPr>
            </w:pPr>
          </w:p>
          <w:p w14:paraId="6E3707EC">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812" w:type="pct"/>
            <w:tcBorders>
              <w:top w:val="single" w:color="000000" w:sz="8" w:space="0"/>
              <w:left w:val="single" w:color="auto" w:sz="4" w:space="0"/>
              <w:bottom w:val="single" w:color="000000" w:sz="8" w:space="0"/>
              <w:right w:val="single" w:color="000000" w:sz="8" w:space="0"/>
            </w:tcBorders>
            <w:vAlign w:val="center"/>
          </w:tcPr>
          <w:p w14:paraId="1AC4F141">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是否允许采购进口产品</w:t>
            </w:r>
          </w:p>
        </w:tc>
        <w:tc>
          <w:tcPr>
            <w:tcW w:w="3843" w:type="pct"/>
            <w:tcBorders>
              <w:top w:val="single" w:color="000000" w:sz="8" w:space="0"/>
              <w:left w:val="single" w:color="000000" w:sz="2" w:space="0"/>
              <w:bottom w:val="single" w:color="000000" w:sz="8" w:space="0"/>
              <w:right w:val="single" w:color="000000" w:sz="8" w:space="0"/>
            </w:tcBorders>
            <w:vAlign w:val="center"/>
          </w:tcPr>
          <w:p w14:paraId="6546757C">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828425707"/>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eastAsia="宋体" w:cs="宋体"/>
                <w:color w:val="auto"/>
                <w:kern w:val="0"/>
                <w:sz w:val="24"/>
                <w:highlight w:val="none"/>
              </w:rPr>
              <w:t>本项目不允许采购进口产品。</w:t>
            </w:r>
          </w:p>
          <w:p w14:paraId="2D3F6E3C">
            <w:pPr>
              <w:spacing w:line="360" w:lineRule="auto"/>
              <w:rPr>
                <w:rFonts w:hint="eastAsia" w:ascii="宋体" w:hAnsi="宋体" w:eastAsia="宋体" w:cs="宋体"/>
                <w:color w:val="auto"/>
                <w:highlight w:val="none"/>
              </w:rPr>
            </w:pPr>
            <w:sdt>
              <w:sdtPr>
                <w:rPr>
                  <w:rFonts w:hint="eastAsia" w:ascii="宋体" w:hAnsi="宋体" w:eastAsia="宋体" w:cs="宋体"/>
                  <w:color w:val="auto"/>
                  <w:kern w:val="0"/>
                  <w:sz w:val="24"/>
                  <w:highlight w:val="none"/>
                </w:rPr>
                <w:id w:val="-52852824"/>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可以就</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采购进口产品。</w:t>
            </w:r>
          </w:p>
        </w:tc>
      </w:tr>
      <w:tr w14:paraId="3F8266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344" w:type="pct"/>
            <w:tcBorders>
              <w:top w:val="single" w:color="auto" w:sz="4" w:space="0"/>
              <w:left w:val="single" w:color="auto" w:sz="4" w:space="0"/>
              <w:bottom w:val="single" w:color="auto" w:sz="4" w:space="0"/>
              <w:right w:val="single" w:color="auto" w:sz="4" w:space="0"/>
            </w:tcBorders>
            <w:vAlign w:val="center"/>
          </w:tcPr>
          <w:p w14:paraId="36C15CE8">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812" w:type="pct"/>
            <w:tcBorders>
              <w:top w:val="single" w:color="000000" w:sz="8" w:space="0"/>
              <w:left w:val="single" w:color="auto" w:sz="4" w:space="0"/>
              <w:bottom w:val="single" w:color="000000" w:sz="8" w:space="0"/>
              <w:right w:val="single" w:color="000000" w:sz="8" w:space="0"/>
            </w:tcBorders>
            <w:vAlign w:val="center"/>
          </w:tcPr>
          <w:p w14:paraId="6AAB6D2C">
            <w:pPr>
              <w:snapToGrid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分包</w:t>
            </w:r>
          </w:p>
        </w:tc>
        <w:tc>
          <w:tcPr>
            <w:tcW w:w="3843" w:type="pct"/>
            <w:tcBorders>
              <w:top w:val="single" w:color="000000" w:sz="8" w:space="0"/>
              <w:left w:val="single" w:color="000000" w:sz="2" w:space="0"/>
              <w:bottom w:val="single" w:color="000000" w:sz="8" w:space="0"/>
              <w:right w:val="single" w:color="000000" w:sz="8" w:space="0"/>
            </w:tcBorders>
            <w:vAlign w:val="center"/>
          </w:tcPr>
          <w:p w14:paraId="69A08B88">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477286927"/>
              </w:sdtPr>
              <w:sdtEndPr>
                <w:rPr>
                  <w:rFonts w:hint="eastAsia" w:ascii="宋体" w:hAnsi="宋体" w:eastAsia="宋体" w:cs="宋体"/>
                  <w:color w:val="auto"/>
                  <w:kern w:val="0"/>
                  <w:sz w:val="24"/>
                  <w:highlight w:val="none"/>
                </w:rPr>
              </w:sdtEndPr>
              <w:sdtContent>
                <w:sdt>
                  <w:sdtPr>
                    <w:rPr>
                      <w:rFonts w:hint="eastAsia" w:ascii="宋体" w:hAnsi="宋体" w:eastAsia="宋体" w:cs="宋体"/>
                      <w:color w:val="auto"/>
                      <w:kern w:val="0"/>
                      <w:sz w:val="24"/>
                      <w:highlight w:val="none"/>
                    </w:rPr>
                    <w:id w:val="147477430"/>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同意将非主体、非关键性的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工作分包。</w:t>
            </w:r>
            <w:sdt>
              <w:sdtPr>
                <w:rPr>
                  <w:rFonts w:hint="eastAsia" w:ascii="宋体" w:hAnsi="宋体" w:eastAsia="宋体" w:cs="宋体"/>
                  <w:color w:val="auto"/>
                  <w:kern w:val="0"/>
                  <w:sz w:val="24"/>
                  <w:highlight w:val="none"/>
                </w:rPr>
                <w:id w:val="-1276331357"/>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lang w:val="en-US" w:eastAsia="zh-CN"/>
                  </w:rPr>
                  <w:t xml:space="preserve">      </w:t>
                </w:r>
              </w:sdtContent>
            </w:sdt>
            <w:r>
              <w:rPr>
                <w:rFonts w:hint="eastAsia" w:ascii="宋体" w:hAnsi="宋体" w:eastAsia="宋体" w:cs="宋体"/>
                <w:color w:val="auto"/>
                <w:kern w:val="0"/>
                <w:sz w:val="24"/>
                <w:highlight w:val="none"/>
              </w:rPr>
              <w:t xml:space="preserve"> </w:t>
            </w:r>
          </w:p>
          <w:p w14:paraId="7B9CF5D0">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71985"/>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FE"/>
                </w:r>
              </w:sdtContent>
            </w:sdt>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p w14:paraId="5B7E836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注：不得限制大中型企业向小微企业合理分包。</w:t>
            </w:r>
          </w:p>
        </w:tc>
      </w:tr>
      <w:tr w14:paraId="38C019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344" w:type="pct"/>
            <w:tcBorders>
              <w:top w:val="single" w:color="auto" w:sz="4" w:space="0"/>
              <w:left w:val="single" w:color="auto" w:sz="4" w:space="0"/>
              <w:bottom w:val="single" w:color="auto" w:sz="4" w:space="0"/>
              <w:right w:val="single" w:color="auto" w:sz="4" w:space="0"/>
            </w:tcBorders>
          </w:tcPr>
          <w:p w14:paraId="085C5048">
            <w:pPr>
              <w:snapToGrid w:val="0"/>
              <w:spacing w:line="360" w:lineRule="auto"/>
              <w:jc w:val="center"/>
              <w:rPr>
                <w:rFonts w:hint="eastAsia" w:ascii="宋体" w:hAnsi="宋体" w:eastAsia="宋体" w:cs="宋体"/>
                <w:color w:val="auto"/>
                <w:sz w:val="24"/>
                <w:highlight w:val="none"/>
              </w:rPr>
            </w:pPr>
          </w:p>
          <w:p w14:paraId="02B44AE2">
            <w:pPr>
              <w:snapToGrid w:val="0"/>
              <w:spacing w:line="360" w:lineRule="auto"/>
              <w:jc w:val="center"/>
              <w:rPr>
                <w:rFonts w:hint="eastAsia" w:ascii="宋体" w:hAnsi="宋体" w:eastAsia="宋体" w:cs="宋体"/>
                <w:color w:val="auto"/>
                <w:sz w:val="24"/>
                <w:highlight w:val="none"/>
              </w:rPr>
            </w:pPr>
          </w:p>
          <w:p w14:paraId="1AB7725B">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812" w:type="pct"/>
            <w:tcBorders>
              <w:top w:val="single" w:color="000000" w:sz="8" w:space="0"/>
              <w:left w:val="single" w:color="auto" w:sz="4" w:space="0"/>
              <w:bottom w:val="single" w:color="000000" w:sz="8" w:space="0"/>
              <w:right w:val="single" w:color="000000" w:sz="8" w:space="0"/>
            </w:tcBorders>
            <w:vAlign w:val="center"/>
          </w:tcPr>
          <w:p w14:paraId="4266B54A">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tc>
        <w:tc>
          <w:tcPr>
            <w:tcW w:w="3843" w:type="pct"/>
            <w:tcBorders>
              <w:top w:val="single" w:color="000000" w:sz="8" w:space="0"/>
              <w:left w:val="single" w:color="000000" w:sz="2" w:space="0"/>
              <w:bottom w:val="single" w:color="000000" w:sz="8" w:space="0"/>
              <w:right w:val="single" w:color="000000" w:sz="8" w:space="0"/>
            </w:tcBorders>
            <w:vAlign w:val="center"/>
          </w:tcPr>
          <w:p w14:paraId="1FDDE680">
            <w:pPr>
              <w:spacing w:line="360" w:lineRule="auto"/>
              <w:rPr>
                <w:rFonts w:hint="eastAsia" w:ascii="宋体" w:hAnsi="宋体" w:eastAsia="宋体" w:cs="宋体"/>
                <w:color w:val="auto"/>
                <w:sz w:val="24"/>
                <w:highlight w:val="none"/>
                <w:lang w:eastAsia="zh-CN"/>
              </w:rPr>
            </w:pPr>
            <w:sdt>
              <w:sdtPr>
                <w:rPr>
                  <w:rFonts w:hint="eastAsia" w:ascii="宋体" w:hAnsi="宋体" w:eastAsia="宋体" w:cs="宋体"/>
                  <w:color w:val="auto"/>
                  <w:kern w:val="0"/>
                  <w:sz w:val="24"/>
                  <w:highlight w:val="none"/>
                </w:rPr>
                <w:id w:val="-212966419"/>
              </w:sdtPr>
              <w:sdtEndPr>
                <w:rPr>
                  <w:rFonts w:hint="eastAsia" w:ascii="宋体" w:hAnsi="宋体" w:eastAsia="宋体" w:cs="宋体"/>
                  <w:color w:val="auto"/>
                  <w:kern w:val="0"/>
                  <w:sz w:val="24"/>
                  <w:highlight w:val="none"/>
                </w:rPr>
              </w:sdtEndPr>
              <w:sdtContent>
                <w:sdt>
                  <w:sdtPr>
                    <w:rPr>
                      <w:rFonts w:hint="eastAsia" w:ascii="宋体" w:hAnsi="宋体" w:eastAsia="宋体" w:cs="宋体"/>
                      <w:color w:val="auto"/>
                      <w:kern w:val="0"/>
                      <w:sz w:val="24"/>
                      <w:highlight w:val="none"/>
                    </w:rPr>
                    <w:id w:val="147474491"/>
                  </w:sdtPr>
                  <w:sdtEndPr>
                    <w:rPr>
                      <w:rFonts w:hint="eastAsia" w:ascii="宋体" w:hAnsi="宋体" w:eastAsia="宋体" w:cs="宋体"/>
                      <w:color w:val="auto"/>
                      <w:kern w:val="0"/>
                      <w:sz w:val="24"/>
                      <w:highlight w:val="none"/>
                    </w:rPr>
                  </w:sdtEndPr>
                  <w:sdtContent>
                    <w:sdt>
                      <w:sdtPr>
                        <w:rPr>
                          <w:rFonts w:hint="eastAsia" w:ascii="宋体" w:hAnsi="宋体" w:eastAsia="宋体" w:cs="宋体"/>
                          <w:color w:val="auto"/>
                          <w:kern w:val="0"/>
                          <w:sz w:val="24"/>
                          <w:highlight w:val="none"/>
                        </w:rPr>
                        <w:id w:val="147477029"/>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FE"/>
                        </w:r>
                      </w:sdtContent>
                    </w:sdt>
                  </w:sdtContent>
                </w:sdt>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不组织，如需现场踏勘，自行与采购单位联系</w:t>
            </w:r>
            <w:r>
              <w:rPr>
                <w:rFonts w:hint="eastAsia" w:ascii="宋体" w:hAnsi="宋体" w:eastAsia="宋体" w:cs="宋体"/>
                <w:color w:val="auto"/>
                <w:sz w:val="24"/>
                <w:highlight w:val="none"/>
                <w:lang w:eastAsia="zh-CN"/>
              </w:rPr>
              <w:t>；</w:t>
            </w:r>
          </w:p>
          <w:p w14:paraId="26BB630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联系方式：</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w:t>
            </w:r>
          </w:p>
          <w:p w14:paraId="3E29E438">
            <w:pPr>
              <w:spacing w:line="360" w:lineRule="auto"/>
              <w:rPr>
                <w:rFonts w:hint="eastAsia" w:ascii="宋体" w:hAnsi="宋体" w:eastAsia="宋体" w:cs="宋体"/>
                <w:color w:val="auto"/>
                <w:sz w:val="24"/>
                <w:szCs w:val="20"/>
                <w:highlight w:val="none"/>
              </w:rPr>
            </w:pPr>
            <w:sdt>
              <w:sdtPr>
                <w:rPr>
                  <w:rFonts w:hint="eastAsia" w:ascii="宋体" w:hAnsi="宋体" w:eastAsia="宋体" w:cs="宋体"/>
                  <w:color w:val="auto"/>
                  <w:kern w:val="0"/>
                  <w:sz w:val="24"/>
                  <w:highlight w:val="none"/>
                </w:rPr>
                <w:id w:val="-999802974"/>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tc>
      </w:tr>
      <w:tr w14:paraId="0071F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344" w:type="pct"/>
            <w:tcBorders>
              <w:top w:val="single" w:color="auto" w:sz="4" w:space="0"/>
              <w:left w:val="single" w:color="auto" w:sz="4" w:space="0"/>
              <w:bottom w:val="single" w:color="auto" w:sz="4" w:space="0"/>
              <w:right w:val="single" w:color="auto" w:sz="4" w:space="0"/>
            </w:tcBorders>
          </w:tcPr>
          <w:p w14:paraId="10FE31A4">
            <w:pPr>
              <w:snapToGrid w:val="0"/>
              <w:spacing w:line="360" w:lineRule="auto"/>
              <w:jc w:val="center"/>
              <w:rPr>
                <w:rFonts w:hint="eastAsia" w:ascii="宋体" w:hAnsi="宋体" w:eastAsia="宋体" w:cs="宋体"/>
                <w:color w:val="auto"/>
                <w:sz w:val="24"/>
                <w:highlight w:val="none"/>
              </w:rPr>
            </w:pPr>
          </w:p>
          <w:p w14:paraId="53597E2A">
            <w:pPr>
              <w:snapToGrid w:val="0"/>
              <w:spacing w:line="360" w:lineRule="auto"/>
              <w:jc w:val="center"/>
              <w:rPr>
                <w:rFonts w:hint="eastAsia" w:ascii="宋体" w:hAnsi="宋体" w:eastAsia="宋体" w:cs="宋体"/>
                <w:color w:val="auto"/>
                <w:sz w:val="24"/>
                <w:highlight w:val="none"/>
              </w:rPr>
            </w:pPr>
          </w:p>
          <w:p w14:paraId="4EAB8A3D">
            <w:pPr>
              <w:snapToGrid w:val="0"/>
              <w:spacing w:line="360" w:lineRule="auto"/>
              <w:jc w:val="center"/>
              <w:rPr>
                <w:rFonts w:hint="eastAsia" w:ascii="宋体" w:hAnsi="宋体" w:eastAsia="宋体" w:cs="宋体"/>
                <w:color w:val="auto"/>
                <w:sz w:val="24"/>
                <w:highlight w:val="none"/>
              </w:rPr>
            </w:pPr>
          </w:p>
          <w:p w14:paraId="474674C0">
            <w:pPr>
              <w:snapToGrid w:val="0"/>
              <w:spacing w:line="360" w:lineRule="auto"/>
              <w:jc w:val="center"/>
              <w:rPr>
                <w:rFonts w:hint="eastAsia" w:ascii="宋体" w:hAnsi="宋体" w:eastAsia="宋体" w:cs="宋体"/>
                <w:color w:val="auto"/>
                <w:sz w:val="24"/>
                <w:highlight w:val="none"/>
              </w:rPr>
            </w:pPr>
          </w:p>
          <w:p w14:paraId="7570307C">
            <w:pPr>
              <w:snapToGrid w:val="0"/>
              <w:spacing w:line="360" w:lineRule="auto"/>
              <w:jc w:val="center"/>
              <w:rPr>
                <w:rFonts w:hint="eastAsia" w:ascii="宋体" w:hAnsi="宋体" w:eastAsia="宋体" w:cs="宋体"/>
                <w:color w:val="auto"/>
                <w:sz w:val="24"/>
                <w:highlight w:val="none"/>
              </w:rPr>
            </w:pPr>
          </w:p>
          <w:p w14:paraId="52ABAC6B">
            <w:pPr>
              <w:snapToGrid w:val="0"/>
              <w:spacing w:line="360" w:lineRule="auto"/>
              <w:jc w:val="center"/>
              <w:rPr>
                <w:rFonts w:hint="eastAsia" w:ascii="宋体" w:hAnsi="宋体" w:eastAsia="宋体" w:cs="宋体"/>
                <w:color w:val="auto"/>
                <w:sz w:val="24"/>
                <w:highlight w:val="none"/>
              </w:rPr>
            </w:pPr>
          </w:p>
          <w:p w14:paraId="596E7BDD">
            <w:pPr>
              <w:snapToGrid w:val="0"/>
              <w:spacing w:line="360" w:lineRule="auto"/>
              <w:jc w:val="center"/>
              <w:rPr>
                <w:rFonts w:hint="eastAsia" w:ascii="宋体" w:hAnsi="宋体" w:eastAsia="宋体" w:cs="宋体"/>
                <w:color w:val="auto"/>
                <w:sz w:val="24"/>
                <w:highlight w:val="none"/>
              </w:rPr>
            </w:pPr>
          </w:p>
          <w:p w14:paraId="72BF5E0B">
            <w:pPr>
              <w:snapToGrid w:val="0"/>
              <w:spacing w:line="360" w:lineRule="auto"/>
              <w:jc w:val="center"/>
              <w:rPr>
                <w:rFonts w:hint="eastAsia" w:ascii="宋体" w:hAnsi="宋体" w:eastAsia="宋体" w:cs="宋体"/>
                <w:color w:val="auto"/>
                <w:sz w:val="24"/>
                <w:highlight w:val="none"/>
              </w:rPr>
            </w:pPr>
          </w:p>
          <w:p w14:paraId="1C4DBDCF">
            <w:pPr>
              <w:snapToGrid w:val="0"/>
              <w:spacing w:line="360" w:lineRule="auto"/>
              <w:jc w:val="center"/>
              <w:rPr>
                <w:rFonts w:hint="eastAsia" w:ascii="宋体" w:hAnsi="宋体" w:eastAsia="宋体" w:cs="宋体"/>
                <w:color w:val="auto"/>
                <w:sz w:val="24"/>
                <w:highlight w:val="none"/>
              </w:rPr>
            </w:pPr>
          </w:p>
          <w:p w14:paraId="42F92C3C">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812" w:type="pct"/>
            <w:tcBorders>
              <w:top w:val="single" w:color="000000" w:sz="8" w:space="0"/>
              <w:left w:val="single" w:color="auto" w:sz="4" w:space="0"/>
              <w:bottom w:val="single" w:color="000000" w:sz="8" w:space="0"/>
              <w:right w:val="single" w:color="000000" w:sz="8" w:space="0"/>
            </w:tcBorders>
            <w:vAlign w:val="center"/>
          </w:tcPr>
          <w:p w14:paraId="1AAFEF64">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tc>
        <w:tc>
          <w:tcPr>
            <w:tcW w:w="3843" w:type="pct"/>
            <w:tcBorders>
              <w:top w:val="single" w:color="000000" w:sz="8" w:space="0"/>
              <w:left w:val="single" w:color="000000" w:sz="2" w:space="0"/>
              <w:bottom w:val="single" w:color="000000" w:sz="8" w:space="0"/>
              <w:right w:val="single" w:color="000000" w:sz="8" w:space="0"/>
            </w:tcBorders>
            <w:vAlign w:val="center"/>
          </w:tcPr>
          <w:p w14:paraId="2C144A62">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639946486"/>
              </w:sdtPr>
              <w:sdtEndPr>
                <w:rPr>
                  <w:rFonts w:hint="eastAsia" w:ascii="宋体" w:hAnsi="宋体" w:eastAsia="宋体" w:cs="宋体"/>
                  <w:color w:val="auto"/>
                  <w:kern w:val="0"/>
                  <w:sz w:val="24"/>
                  <w:highlight w:val="none"/>
                </w:rPr>
              </w:sdtEndPr>
              <w:sdtContent>
                <w:sdt>
                  <w:sdtPr>
                    <w:rPr>
                      <w:rFonts w:hint="eastAsia" w:ascii="宋体" w:hAnsi="宋体" w:eastAsia="宋体" w:cs="宋体"/>
                      <w:color w:val="auto"/>
                      <w:kern w:val="0"/>
                      <w:sz w:val="24"/>
                      <w:highlight w:val="none"/>
                    </w:rPr>
                    <w:id w:val="147465534"/>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FE"/>
                    </w:r>
                  </w:sdtContent>
                </w:sdt>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en-US" w:eastAsia="zh-CN"/>
                  </w:rPr>
                  <w:t xml:space="preserve"> </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14:paraId="3E594588">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026831988"/>
              </w:sdtPr>
              <w:sdtEndPr>
                <w:rPr>
                  <w:rFonts w:hint="eastAsia" w:ascii="宋体" w:hAnsi="宋体" w:eastAsia="宋体" w:cs="宋体"/>
                  <w:color w:val="auto"/>
                  <w:kern w:val="0"/>
                  <w:sz w:val="24"/>
                  <w:highlight w:val="none"/>
                </w:rPr>
              </w:sdtEndPr>
              <w:sdtContent>
                <w:sdt>
                  <w:sdtPr>
                    <w:rPr>
                      <w:rFonts w:hint="eastAsia" w:ascii="宋体" w:hAnsi="宋体" w:eastAsia="宋体" w:cs="宋体"/>
                      <w:color w:val="auto"/>
                      <w:kern w:val="0"/>
                      <w:sz w:val="24"/>
                      <w:highlight w:val="none"/>
                    </w:rPr>
                    <w:id w:val="147478046"/>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A8"/>
                    </w:r>
                  </w:sdtContent>
                </w:sdt>
              </w:sdtContent>
            </w:sdt>
            <w:r>
              <w:rPr>
                <w:rFonts w:hint="eastAsia" w:ascii="宋体" w:hAnsi="宋体" w:eastAsia="宋体" w:cs="宋体"/>
                <w:color w:val="auto"/>
                <w:kern w:val="0"/>
                <w:sz w:val="24"/>
                <w:highlight w:val="none"/>
              </w:rPr>
              <w:t>B要求提供，</w:t>
            </w:r>
          </w:p>
          <w:p w14:paraId="539787AD">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kern w:val="0"/>
                <w:sz w:val="24"/>
                <w:highlight w:val="none"/>
              </w:rPr>
              <w:t>；</w:t>
            </w:r>
          </w:p>
          <w:p w14:paraId="04D3C5DA">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14:paraId="617DD0A8">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14:paraId="734DA98D">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w:t>
            </w:r>
            <w:sdt>
              <w:sdtPr>
                <w:rPr>
                  <w:rFonts w:hint="eastAsia" w:ascii="宋体" w:hAnsi="宋体" w:eastAsia="宋体" w:cs="宋体"/>
                  <w:color w:val="auto"/>
                  <w:kern w:val="0"/>
                  <w:sz w:val="24"/>
                  <w:highlight w:val="none"/>
                </w:rPr>
                <w:id w:val="1303421454"/>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A8"/>
                </w:r>
              </w:sdtContent>
            </w:sdt>
            <w:r>
              <w:rPr>
                <w:rFonts w:hint="eastAsia" w:ascii="宋体" w:hAnsi="宋体" w:eastAsia="宋体" w:cs="宋体"/>
                <w:color w:val="auto"/>
                <w:kern w:val="0"/>
                <w:sz w:val="24"/>
                <w:highlight w:val="none"/>
              </w:rPr>
              <w:t>否；</w:t>
            </w:r>
            <w:sdt>
              <w:sdtPr>
                <w:rPr>
                  <w:rFonts w:hint="eastAsia" w:ascii="宋体" w:hAnsi="宋体" w:eastAsia="宋体" w:cs="宋体"/>
                  <w:color w:val="auto"/>
                  <w:kern w:val="0"/>
                  <w:sz w:val="24"/>
                  <w:highlight w:val="none"/>
                </w:rPr>
                <w:id w:val="1621728433"/>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61BADA2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cs="宋体"/>
                <w:color w:val="auto"/>
                <w:sz w:val="24"/>
                <w:highlight w:val="none"/>
                <w:u w:val="single"/>
                <w:lang w:val="en-US" w:eastAsia="zh-CN"/>
              </w:rPr>
              <w:t>2025年  月   日8:30-</w:t>
            </w:r>
            <w:r>
              <w:rPr>
                <w:rFonts w:hint="eastAsia" w:ascii="宋体" w:hAnsi="宋体" w:cs="宋体"/>
                <w:color w:val="auto"/>
                <w:sz w:val="24"/>
                <w:highlight w:val="none"/>
                <w:u w:val="single"/>
              </w:rPr>
              <w:t>9</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rPr>
              <w:t>30</w:t>
            </w:r>
            <w:r>
              <w:rPr>
                <w:rFonts w:hint="eastAsia" w:ascii="宋体" w:hAnsi="宋体" w:cs="宋体"/>
                <w:color w:val="auto"/>
                <w:sz w:val="24"/>
                <w:highlight w:val="none"/>
                <w:u w:val="single"/>
                <w:lang w:val="en-US" w:eastAsia="zh-CN"/>
              </w:rPr>
              <w:t>期间</w:t>
            </w:r>
            <w:r>
              <w:rPr>
                <w:rFonts w:hint="eastAsia" w:ascii="宋体" w:hAnsi="宋体" w:eastAsia="宋体" w:cs="宋体"/>
                <w:color w:val="auto"/>
                <w:kern w:val="0"/>
                <w:sz w:val="24"/>
                <w:highlight w:val="none"/>
              </w:rPr>
              <w:t>；地点：</w:t>
            </w:r>
            <w:r>
              <w:rPr>
                <w:rFonts w:hint="eastAsia" w:ascii="宋体" w:hAnsi="宋体" w:cs="宋体"/>
                <w:color w:val="auto"/>
                <w:kern w:val="0"/>
                <w:sz w:val="24"/>
                <w:highlight w:val="none"/>
                <w:u w:val="single"/>
              </w:rPr>
              <w:t>杭州市公共资源交易中心建德分中心（</w:t>
            </w:r>
            <w:r>
              <w:rPr>
                <w:rFonts w:hint="eastAsia" w:ascii="宋体" w:hAnsi="宋体" w:cs="宋体"/>
                <w:color w:val="auto"/>
                <w:kern w:val="0"/>
                <w:sz w:val="24"/>
                <w:highlight w:val="none"/>
                <w:u w:val="single"/>
                <w:lang w:val="en-US" w:eastAsia="zh-CN"/>
              </w:rPr>
              <w:t>杭州市建德市</w:t>
            </w:r>
            <w:r>
              <w:rPr>
                <w:rFonts w:hint="eastAsia" w:ascii="宋体" w:hAnsi="宋体" w:cs="宋体"/>
                <w:color w:val="auto"/>
                <w:kern w:val="0"/>
                <w:sz w:val="24"/>
                <w:highlight w:val="none"/>
                <w:u w:val="single"/>
              </w:rPr>
              <w:t>洋溪街道新安江路399号（原建德市客运中心）</w:t>
            </w:r>
            <w:r>
              <w:rPr>
                <w:rFonts w:hint="eastAsia" w:ascii="宋体" w:hAnsi="宋体" w:cs="宋体"/>
                <w:color w:val="auto"/>
                <w:kern w:val="0"/>
                <w:sz w:val="24"/>
                <w:highlight w:val="none"/>
                <w:u w:val="single"/>
                <w:lang w:val="en-US" w:eastAsia="zh-CN"/>
              </w:rPr>
              <w:t>2楼</w:t>
            </w:r>
            <w:r>
              <w:rPr>
                <w:rFonts w:hint="eastAsia" w:ascii="宋体" w:hAnsi="宋体" w:cs="宋体"/>
                <w:color w:val="auto"/>
                <w:kern w:val="0"/>
                <w:sz w:val="24"/>
                <w:highlight w:val="none"/>
                <w:u w:val="single"/>
              </w:rPr>
              <w:t>）</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李昕淼</w:t>
            </w:r>
            <w:r>
              <w:rPr>
                <w:rFonts w:hint="eastAsia" w:ascii="宋体" w:hAnsi="宋体" w:cs="宋体"/>
                <w:color w:val="auto"/>
                <w:sz w:val="24"/>
                <w:highlight w:val="none"/>
                <w:lang w:val="en-US" w:eastAsia="zh-CN"/>
              </w:rPr>
              <w:t xml:space="preserve">  联系方式：15372041892</w:t>
            </w:r>
            <w:r>
              <w:rPr>
                <w:rFonts w:hint="eastAsia" w:ascii="宋体" w:hAnsi="宋体" w:eastAsia="宋体" w:cs="宋体"/>
                <w:color w:val="auto"/>
                <w:sz w:val="24"/>
                <w:highlight w:val="none"/>
              </w:rPr>
              <w:t>。请投标人在上述时间内提供样品并按规定位置安装完毕。超过截止时间的，采购人或采购代理机构将不予接收，并将清场并封闭样品现场。</w:t>
            </w:r>
          </w:p>
          <w:p w14:paraId="3953901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209F4E45">
            <w:pPr>
              <w:spacing w:line="360" w:lineRule="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（7）制作、运输、安装和保管样品所发生的一切费用由投标人自理。</w:t>
            </w:r>
          </w:p>
        </w:tc>
      </w:tr>
      <w:tr w14:paraId="312255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0" w:hRule="atLeast"/>
        </w:trPr>
        <w:tc>
          <w:tcPr>
            <w:tcW w:w="344" w:type="pct"/>
            <w:tcBorders>
              <w:top w:val="single" w:color="auto" w:sz="4" w:space="0"/>
              <w:left w:val="single" w:color="auto" w:sz="4" w:space="0"/>
              <w:bottom w:val="single" w:color="auto" w:sz="4" w:space="0"/>
              <w:right w:val="single" w:color="auto" w:sz="4" w:space="0"/>
            </w:tcBorders>
          </w:tcPr>
          <w:p w14:paraId="52ADB0D5">
            <w:pPr>
              <w:snapToGrid w:val="0"/>
              <w:spacing w:line="360" w:lineRule="auto"/>
              <w:jc w:val="center"/>
              <w:rPr>
                <w:rFonts w:hint="eastAsia" w:ascii="宋体" w:hAnsi="宋体" w:eastAsia="宋体" w:cs="宋体"/>
                <w:color w:val="auto"/>
                <w:sz w:val="24"/>
                <w:highlight w:val="none"/>
              </w:rPr>
            </w:pPr>
          </w:p>
          <w:p w14:paraId="3EC08C9A">
            <w:pPr>
              <w:snapToGrid w:val="0"/>
              <w:spacing w:line="360" w:lineRule="auto"/>
              <w:jc w:val="center"/>
              <w:rPr>
                <w:rFonts w:hint="eastAsia" w:ascii="宋体" w:hAnsi="宋体" w:eastAsia="宋体" w:cs="宋体"/>
                <w:color w:val="auto"/>
                <w:sz w:val="24"/>
                <w:highlight w:val="none"/>
              </w:rPr>
            </w:pPr>
          </w:p>
          <w:p w14:paraId="40293B7A">
            <w:pPr>
              <w:snapToGrid w:val="0"/>
              <w:spacing w:line="360" w:lineRule="auto"/>
              <w:jc w:val="center"/>
              <w:rPr>
                <w:rFonts w:hint="eastAsia" w:ascii="宋体" w:hAnsi="宋体" w:eastAsia="宋体" w:cs="宋体"/>
                <w:color w:val="auto"/>
                <w:sz w:val="24"/>
                <w:highlight w:val="none"/>
              </w:rPr>
            </w:pPr>
          </w:p>
          <w:p w14:paraId="095037C4">
            <w:pPr>
              <w:snapToGrid w:val="0"/>
              <w:spacing w:line="360" w:lineRule="auto"/>
              <w:jc w:val="center"/>
              <w:rPr>
                <w:rFonts w:hint="eastAsia" w:ascii="宋体" w:hAnsi="宋体" w:eastAsia="宋体" w:cs="宋体"/>
                <w:color w:val="auto"/>
                <w:sz w:val="24"/>
                <w:highlight w:val="none"/>
              </w:rPr>
            </w:pPr>
          </w:p>
          <w:p w14:paraId="7AEF2338">
            <w:pPr>
              <w:snapToGrid w:val="0"/>
              <w:spacing w:line="360" w:lineRule="auto"/>
              <w:jc w:val="center"/>
              <w:rPr>
                <w:rFonts w:hint="eastAsia" w:ascii="宋体" w:hAnsi="宋体" w:eastAsia="宋体" w:cs="宋体"/>
                <w:color w:val="auto"/>
                <w:sz w:val="24"/>
                <w:highlight w:val="none"/>
              </w:rPr>
            </w:pPr>
          </w:p>
          <w:p w14:paraId="79E11409">
            <w:pPr>
              <w:snapToGrid w:val="0"/>
              <w:spacing w:line="360" w:lineRule="auto"/>
              <w:jc w:val="center"/>
              <w:rPr>
                <w:rFonts w:hint="eastAsia" w:ascii="宋体" w:hAnsi="宋体" w:eastAsia="宋体" w:cs="宋体"/>
                <w:color w:val="auto"/>
                <w:sz w:val="24"/>
                <w:highlight w:val="none"/>
              </w:rPr>
            </w:pPr>
          </w:p>
          <w:p w14:paraId="0B5A2C2C">
            <w:pPr>
              <w:snapToGrid w:val="0"/>
              <w:spacing w:line="360" w:lineRule="auto"/>
              <w:jc w:val="center"/>
              <w:rPr>
                <w:rFonts w:hint="eastAsia" w:ascii="宋体" w:hAnsi="宋体" w:eastAsia="宋体" w:cs="宋体"/>
                <w:color w:val="auto"/>
                <w:sz w:val="24"/>
                <w:highlight w:val="none"/>
              </w:rPr>
            </w:pPr>
          </w:p>
          <w:p w14:paraId="3E6F1012">
            <w:pPr>
              <w:snapToGrid w:val="0"/>
              <w:spacing w:line="360" w:lineRule="auto"/>
              <w:jc w:val="center"/>
              <w:rPr>
                <w:rFonts w:hint="eastAsia" w:ascii="宋体" w:hAnsi="宋体" w:eastAsia="宋体" w:cs="宋体"/>
                <w:color w:val="auto"/>
                <w:sz w:val="24"/>
                <w:highlight w:val="none"/>
              </w:rPr>
            </w:pPr>
          </w:p>
          <w:p w14:paraId="66069D9E">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812" w:type="pct"/>
            <w:tcBorders>
              <w:top w:val="single" w:color="000000" w:sz="8" w:space="0"/>
              <w:left w:val="single" w:color="auto" w:sz="4" w:space="0"/>
              <w:bottom w:val="single" w:color="000000" w:sz="8" w:space="0"/>
              <w:right w:val="single" w:color="000000" w:sz="8" w:space="0"/>
            </w:tcBorders>
            <w:vAlign w:val="center"/>
          </w:tcPr>
          <w:p w14:paraId="657C7811">
            <w:pPr>
              <w:snapToGrid w:val="0"/>
              <w:spacing w:line="360" w:lineRule="auto"/>
              <w:jc w:val="center"/>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方案讲解演示</w:t>
            </w:r>
          </w:p>
        </w:tc>
        <w:tc>
          <w:tcPr>
            <w:tcW w:w="3843" w:type="pct"/>
            <w:tcBorders>
              <w:top w:val="single" w:color="000000" w:sz="8" w:space="0"/>
              <w:left w:val="single" w:color="000000" w:sz="2" w:space="0"/>
              <w:bottom w:val="single" w:color="000000" w:sz="8" w:space="0"/>
              <w:right w:val="single" w:color="000000" w:sz="8" w:space="0"/>
            </w:tcBorders>
            <w:vAlign w:val="center"/>
          </w:tcPr>
          <w:p w14:paraId="5ADC91D8">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859348549"/>
              </w:sdtPr>
              <w:sdtEndPr>
                <w:rPr>
                  <w:rFonts w:hint="eastAsia" w:ascii="宋体" w:hAnsi="宋体" w:eastAsia="宋体" w:cs="宋体"/>
                  <w:color w:val="auto"/>
                  <w:kern w:val="0"/>
                  <w:sz w:val="24"/>
                  <w:highlight w:val="none"/>
                </w:rPr>
              </w:sdtEndPr>
              <w:sdtContent>
                <w:sdt>
                  <w:sdtPr>
                    <w:rPr>
                      <w:rFonts w:hint="eastAsia" w:ascii="宋体" w:hAnsi="宋体" w:eastAsia="宋体" w:cs="宋体"/>
                      <w:color w:val="auto"/>
                      <w:kern w:val="0"/>
                      <w:sz w:val="24"/>
                      <w:highlight w:val="none"/>
                    </w:rPr>
                    <w:id w:val="147457685"/>
                  </w:sdtPr>
                  <w:sdtEndPr>
                    <w:rPr>
                      <w:rFonts w:hint="eastAsia" w:ascii="宋体" w:hAnsi="宋体" w:eastAsia="宋体" w:cs="宋体"/>
                      <w:color w:val="auto"/>
                      <w:kern w:val="0"/>
                      <w:sz w:val="24"/>
                      <w:highlight w:val="none"/>
                    </w:rPr>
                  </w:sdtEndPr>
                  <w:sdtContent>
                    <w:sdt>
                      <w:sdtPr>
                        <w:rPr>
                          <w:rFonts w:hint="eastAsia" w:ascii="宋体" w:hAnsi="宋体" w:eastAsia="宋体" w:cs="宋体"/>
                          <w:color w:val="auto"/>
                          <w:kern w:val="0"/>
                          <w:sz w:val="24"/>
                          <w:highlight w:val="none"/>
                        </w:rPr>
                        <w:id w:val="147472888"/>
                      </w:sdtPr>
                      <w:sdtEndPr>
                        <w:rPr>
                          <w:rFonts w:hint="eastAsia" w:ascii="宋体" w:hAnsi="宋体" w:eastAsia="宋体" w:cs="宋体"/>
                          <w:color w:val="auto"/>
                          <w:kern w:val="0"/>
                          <w:sz w:val="24"/>
                          <w:highlight w:val="none"/>
                        </w:rPr>
                      </w:sdtEndPr>
                      <w:sdtContent>
                        <w:sdt>
                          <w:sdtPr>
                            <w:rPr>
                              <w:rFonts w:hint="eastAsia" w:ascii="宋体" w:hAnsi="宋体" w:eastAsia="宋体" w:cs="宋体"/>
                              <w:color w:val="auto"/>
                              <w:kern w:val="0"/>
                              <w:sz w:val="24"/>
                              <w:highlight w:val="none"/>
                            </w:rPr>
                            <w:id w:val="147455339"/>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A8"/>
                            </w:r>
                          </w:sdtContent>
                        </w:sdt>
                      </w:sdtContent>
                    </w:sdt>
                  </w:sdtContent>
                </w:sdt>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43E5305A">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47469126"/>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FE"/>
                </w:r>
              </w:sdtContent>
            </w:sdt>
            <w:sdt>
              <w:sdtPr>
                <w:rPr>
                  <w:rFonts w:hint="eastAsia" w:ascii="宋体" w:hAnsi="宋体" w:eastAsia="宋体" w:cs="宋体"/>
                  <w:color w:val="auto"/>
                  <w:kern w:val="0"/>
                  <w:sz w:val="24"/>
                  <w:highlight w:val="none"/>
                </w:rPr>
                <w:id w:val="1174071719"/>
                <w:showingPlcHdr/>
              </w:sdtPr>
              <w:sdtEndPr>
                <w:rPr>
                  <w:rFonts w:hint="eastAsia" w:ascii="宋体" w:hAnsi="宋体" w:eastAsia="宋体" w:cs="宋体"/>
                  <w:i w:val="0"/>
                  <w:iCs w:val="0"/>
                  <w:color w:val="auto"/>
                  <w:kern w:val="0"/>
                  <w:sz w:val="24"/>
                  <w:highlight w:val="none"/>
                </w:rPr>
              </w:sdtEndPr>
              <w:sdtContent>
                <w:r>
                  <w:rPr>
                    <w:rFonts w:hint="eastAsia" w:ascii="宋体" w:hAnsi="宋体" w:cs="宋体"/>
                    <w:i w:val="0"/>
                    <w:iCs w:val="0"/>
                    <w:color w:val="auto"/>
                    <w:kern w:val="0"/>
                    <w:sz w:val="24"/>
                    <w:highlight w:val="none"/>
                    <w:lang w:eastAsia="zh-CN"/>
                  </w:rPr>
                  <w:t xml:space="preserve">     </w:t>
                </w:r>
              </w:sdtContent>
            </w:sdt>
            <w:r>
              <w:rPr>
                <w:rFonts w:hint="eastAsia" w:ascii="宋体" w:hAnsi="宋体" w:eastAsia="宋体" w:cs="宋体"/>
                <w:i w:val="0"/>
                <w:iCs w:val="0"/>
                <w:color w:val="auto"/>
                <w:kern w:val="0"/>
                <w:sz w:val="24"/>
                <w:highlight w:val="none"/>
              </w:rPr>
              <w:t>B组织</w:t>
            </w:r>
            <w:r>
              <w:rPr>
                <w:rFonts w:hint="eastAsia" w:ascii="宋体" w:hAnsi="宋体" w:eastAsia="宋体" w:cs="宋体"/>
                <w:color w:val="auto"/>
                <w:kern w:val="0"/>
                <w:sz w:val="24"/>
                <w:highlight w:val="none"/>
              </w:rPr>
              <w:t>。</w:t>
            </w:r>
          </w:p>
          <w:p w14:paraId="0D007D5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lang w:val="en-US" w:eastAsia="zh-CN"/>
              </w:rPr>
              <w:t>10</w:t>
            </w:r>
            <w:r>
              <w:rPr>
                <w:rFonts w:hint="eastAsia" w:ascii="宋体" w:hAnsi="宋体" w:eastAsia="宋体" w:cs="宋体"/>
                <w:color w:val="auto"/>
                <w:kern w:val="0"/>
                <w:sz w:val="24"/>
                <w:highlight w:val="none"/>
                <w:u w:val="single"/>
              </w:rPr>
              <w:t>（编制时可根据项目情况进行调整）</w:t>
            </w:r>
            <w:r>
              <w:rPr>
                <w:rFonts w:hint="eastAsia" w:ascii="宋体" w:hAnsi="宋体" w:eastAsia="宋体" w:cs="宋体"/>
                <w:color w:val="auto"/>
                <w:kern w:val="0"/>
                <w:sz w:val="24"/>
                <w:highlight w:val="none"/>
              </w:rPr>
              <w:t>分钟，讲解次序以投标文件解密时间先后次序为准，讲解演示人员不超过</w:t>
            </w:r>
            <w:r>
              <w:rPr>
                <w:rFonts w:hint="eastAsia" w:ascii="宋体" w:hAnsi="宋体" w:eastAsia="宋体" w:cs="宋体"/>
                <w:color w:val="auto"/>
                <w:kern w:val="0"/>
                <w:sz w:val="24"/>
                <w:highlight w:val="none"/>
                <w:u w:val="single"/>
              </w:rPr>
              <w:t>3（编制时可根据项目情况进行调整）</w:t>
            </w:r>
            <w:r>
              <w:rPr>
                <w:rFonts w:hint="eastAsia" w:ascii="宋体" w:hAnsi="宋体" w:eastAsia="宋体" w:cs="宋体"/>
                <w:color w:val="auto"/>
                <w:kern w:val="0"/>
                <w:sz w:val="24"/>
                <w:highlight w:val="none"/>
              </w:rPr>
              <w:t>人。讲解演示结束后按要求解答评标委员会提问。</w:t>
            </w:r>
          </w:p>
          <w:p w14:paraId="7D1E634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（2）方案讲解演示可选择以下其中一种方式：</w:t>
            </w:r>
          </w:p>
          <w:p w14:paraId="62023920">
            <w:pPr>
              <w:snapToGrid w:val="0"/>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47461840"/>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FE"/>
                </w:r>
              </w:sdtContent>
            </w:sdt>
            <w:r>
              <w:rPr>
                <w:rFonts w:hint="eastAsia" w:ascii="宋体" w:hAnsi="宋体" w:eastAsia="宋体" w:cs="宋体"/>
                <w:color w:val="auto"/>
                <w:kern w:val="0"/>
                <w:sz w:val="24"/>
                <w:highlight w:val="none"/>
              </w:rPr>
              <w:t>方式一：政采云平台在线讲解演示。政采云平台在线讲解需投标人根据政采云平台操作要求做好准备工作，提前完善软硬件配置环境。</w:t>
            </w:r>
          </w:p>
          <w:p w14:paraId="5F276ED4">
            <w:pPr>
              <w:snapToGrid w:val="0"/>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47481655"/>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A8"/>
                </w:r>
              </w:sdtContent>
            </w:sdt>
            <w:r>
              <w:rPr>
                <w:rFonts w:hint="eastAsia" w:ascii="宋体" w:hAnsi="宋体" w:eastAsia="宋体" w:cs="宋体"/>
                <w:color w:val="auto"/>
                <w:kern w:val="0"/>
                <w:sz w:val="24"/>
                <w:highlight w:val="none"/>
              </w:rPr>
              <w:t>方式二：交易中心现场讲解演示。现场讲解地点为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65489337">
            <w:pPr>
              <w:snapToGrid w:val="0"/>
              <w:spacing w:line="360" w:lineRule="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34891B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rPr>
        <w:tc>
          <w:tcPr>
            <w:tcW w:w="344" w:type="pct"/>
            <w:vMerge w:val="restart"/>
            <w:tcBorders>
              <w:top w:val="single" w:color="auto" w:sz="4" w:space="0"/>
              <w:left w:val="single" w:color="auto" w:sz="4" w:space="0"/>
              <w:right w:val="single" w:color="auto" w:sz="4" w:space="0"/>
            </w:tcBorders>
          </w:tcPr>
          <w:p w14:paraId="0C4290E3">
            <w:pPr>
              <w:snapToGrid w:val="0"/>
              <w:spacing w:line="360" w:lineRule="auto"/>
              <w:jc w:val="center"/>
              <w:rPr>
                <w:rFonts w:hint="eastAsia" w:ascii="宋体" w:hAnsi="宋体" w:eastAsia="宋体" w:cs="宋体"/>
                <w:color w:val="auto"/>
                <w:sz w:val="24"/>
                <w:highlight w:val="none"/>
              </w:rPr>
            </w:pPr>
          </w:p>
          <w:p w14:paraId="5538549F">
            <w:pPr>
              <w:snapToGrid w:val="0"/>
              <w:spacing w:line="360" w:lineRule="auto"/>
              <w:jc w:val="center"/>
              <w:rPr>
                <w:rFonts w:hint="eastAsia" w:ascii="宋体" w:hAnsi="宋体" w:eastAsia="宋体" w:cs="宋体"/>
                <w:color w:val="auto"/>
                <w:sz w:val="24"/>
                <w:highlight w:val="none"/>
              </w:rPr>
            </w:pPr>
          </w:p>
          <w:p w14:paraId="6A5724BB">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812" w:type="pct"/>
            <w:vMerge w:val="restart"/>
            <w:tcBorders>
              <w:top w:val="single" w:color="000000" w:sz="8" w:space="0"/>
              <w:left w:val="single" w:color="auto" w:sz="4" w:space="0"/>
              <w:right w:val="single" w:color="000000" w:sz="8" w:space="0"/>
            </w:tcBorders>
            <w:vAlign w:val="center"/>
          </w:tcPr>
          <w:p w14:paraId="3C8013AE">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投标人应当提供的资格、资信证明文件</w:t>
            </w:r>
          </w:p>
        </w:tc>
        <w:tc>
          <w:tcPr>
            <w:tcW w:w="3843" w:type="pct"/>
            <w:tcBorders>
              <w:top w:val="single" w:color="000000" w:sz="8" w:space="0"/>
              <w:left w:val="single" w:color="000000" w:sz="2" w:space="0"/>
              <w:bottom w:val="single" w:color="auto" w:sz="4" w:space="0"/>
              <w:right w:val="single" w:color="000000" w:sz="8" w:space="0"/>
            </w:tcBorders>
            <w:vAlign w:val="center"/>
          </w:tcPr>
          <w:p w14:paraId="7B1BE7F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（1）资格证明文件：见招标文件第二部分11.1。</w:t>
            </w:r>
          </w:p>
          <w:p w14:paraId="13F68886">
            <w:pPr>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color w:val="auto"/>
                <w:kern w:val="0"/>
                <w:sz w:val="24"/>
                <w:highlight w:val="none"/>
                <w:lang w:val="zh-CN"/>
              </w:rPr>
              <w:t>投标人未提供有效的资格证明文件的，视为投标人不具备招标文件中规定的资格要求，投标无效。</w:t>
            </w:r>
          </w:p>
        </w:tc>
      </w:tr>
      <w:tr w14:paraId="7F72D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rPr>
        <w:tc>
          <w:tcPr>
            <w:tcW w:w="344" w:type="pct"/>
            <w:vMerge w:val="continue"/>
            <w:tcBorders>
              <w:left w:val="single" w:color="auto" w:sz="4" w:space="0"/>
              <w:bottom w:val="single" w:color="auto" w:sz="4" w:space="0"/>
              <w:right w:val="single" w:color="auto" w:sz="4" w:space="0"/>
            </w:tcBorders>
          </w:tcPr>
          <w:p w14:paraId="151819C1">
            <w:pPr>
              <w:snapToGrid w:val="0"/>
              <w:spacing w:line="360" w:lineRule="auto"/>
              <w:jc w:val="center"/>
              <w:rPr>
                <w:rFonts w:hint="eastAsia" w:ascii="宋体" w:hAnsi="宋体" w:eastAsia="宋体" w:cs="宋体"/>
                <w:color w:val="auto"/>
                <w:sz w:val="24"/>
                <w:highlight w:val="none"/>
              </w:rPr>
            </w:pPr>
          </w:p>
        </w:tc>
        <w:tc>
          <w:tcPr>
            <w:tcW w:w="812" w:type="pct"/>
            <w:vMerge w:val="continue"/>
            <w:tcBorders>
              <w:left w:val="single" w:color="auto" w:sz="4" w:space="0"/>
              <w:bottom w:val="single" w:color="000000" w:sz="8" w:space="0"/>
              <w:right w:val="single" w:color="000000" w:sz="8" w:space="0"/>
            </w:tcBorders>
            <w:vAlign w:val="center"/>
          </w:tcPr>
          <w:p w14:paraId="35F59D47">
            <w:pPr>
              <w:snapToGrid w:val="0"/>
              <w:spacing w:line="360" w:lineRule="auto"/>
              <w:jc w:val="center"/>
              <w:rPr>
                <w:rFonts w:hint="eastAsia" w:ascii="宋体" w:hAnsi="宋体" w:eastAsia="宋体" w:cs="宋体"/>
                <w:b/>
                <w:color w:val="auto"/>
                <w:sz w:val="24"/>
                <w:highlight w:val="none"/>
              </w:rPr>
            </w:pPr>
          </w:p>
        </w:tc>
        <w:tc>
          <w:tcPr>
            <w:tcW w:w="3843" w:type="pct"/>
            <w:tcBorders>
              <w:top w:val="single" w:color="auto" w:sz="4" w:space="0"/>
              <w:left w:val="single" w:color="000000" w:sz="2" w:space="0"/>
              <w:bottom w:val="single" w:color="000000" w:sz="8" w:space="0"/>
              <w:right w:val="single" w:color="000000" w:sz="8" w:space="0"/>
            </w:tcBorders>
            <w:vAlign w:val="center"/>
          </w:tcPr>
          <w:p w14:paraId="6AC14C9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（2）资信证明文件：根据招标文件第四部分评标标准提供。</w:t>
            </w:r>
          </w:p>
        </w:tc>
      </w:tr>
      <w:tr w14:paraId="09E432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344" w:type="pct"/>
            <w:tcBorders>
              <w:top w:val="single" w:color="auto" w:sz="4" w:space="0"/>
              <w:left w:val="single" w:color="000000" w:sz="8" w:space="0"/>
              <w:bottom w:val="single" w:color="auto" w:sz="4" w:space="0"/>
              <w:right w:val="single" w:color="000000" w:sz="2" w:space="0"/>
            </w:tcBorders>
          </w:tcPr>
          <w:p w14:paraId="2FBB4CE6">
            <w:pPr>
              <w:snapToGrid w:val="0"/>
              <w:spacing w:line="360" w:lineRule="auto"/>
              <w:jc w:val="center"/>
              <w:rPr>
                <w:rFonts w:hint="eastAsia" w:ascii="宋体" w:hAnsi="宋体" w:eastAsia="宋体" w:cs="宋体"/>
                <w:color w:val="auto"/>
                <w:sz w:val="24"/>
                <w:highlight w:val="none"/>
              </w:rPr>
            </w:pPr>
          </w:p>
          <w:p w14:paraId="13BABE48">
            <w:pPr>
              <w:snapToGrid w:val="0"/>
              <w:spacing w:line="360" w:lineRule="auto"/>
              <w:jc w:val="center"/>
              <w:rPr>
                <w:rFonts w:hint="eastAsia" w:ascii="宋体" w:hAnsi="宋体" w:eastAsia="宋体" w:cs="宋体"/>
                <w:color w:val="auto"/>
                <w:sz w:val="24"/>
                <w:highlight w:val="none"/>
              </w:rPr>
            </w:pPr>
          </w:p>
          <w:p w14:paraId="70DAAC62">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812" w:type="pct"/>
            <w:tcBorders>
              <w:top w:val="single" w:color="000000" w:sz="8" w:space="0"/>
              <w:left w:val="single" w:color="000000" w:sz="2" w:space="0"/>
              <w:bottom w:val="single" w:color="000000" w:sz="8" w:space="0"/>
              <w:right w:val="single" w:color="000000" w:sz="8" w:space="0"/>
            </w:tcBorders>
            <w:vAlign w:val="center"/>
          </w:tcPr>
          <w:p w14:paraId="01225631">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节能产品、环境标志产品</w:t>
            </w:r>
          </w:p>
        </w:tc>
        <w:tc>
          <w:tcPr>
            <w:tcW w:w="3843" w:type="pct"/>
            <w:tcBorders>
              <w:top w:val="single" w:color="000000" w:sz="8" w:space="0"/>
              <w:left w:val="single" w:color="000000" w:sz="2" w:space="0"/>
              <w:bottom w:val="single" w:color="000000" w:sz="8" w:space="0"/>
              <w:right w:val="single" w:color="000000" w:sz="8" w:space="0"/>
            </w:tcBorders>
            <w:vAlign w:val="center"/>
          </w:tcPr>
          <w:p w14:paraId="19608522">
            <w:pPr>
              <w:snapToGrid w:val="0"/>
              <w:spacing w:line="360" w:lineRule="auto"/>
              <w:rPr>
                <w:rFonts w:hint="eastAsia" w:ascii="宋体" w:hAnsi="宋体" w:eastAsia="宋体" w:cs="宋体"/>
                <w:color w:val="auto"/>
                <w:highlight w:val="none"/>
              </w:rPr>
            </w:pPr>
            <w:r>
              <w:rPr>
                <w:rFonts w:hint="eastAsia" w:ascii="宋体" w:hAnsi="宋体" w:eastAsia="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092C90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344" w:type="pct"/>
            <w:tcBorders>
              <w:top w:val="single" w:color="auto" w:sz="4" w:space="0"/>
              <w:left w:val="single" w:color="000000" w:sz="8" w:space="0"/>
              <w:bottom w:val="single" w:color="auto" w:sz="4" w:space="0"/>
              <w:right w:val="single" w:color="000000" w:sz="2" w:space="0"/>
            </w:tcBorders>
          </w:tcPr>
          <w:p w14:paraId="308722B4">
            <w:pPr>
              <w:snapToGrid w:val="0"/>
              <w:spacing w:line="360" w:lineRule="auto"/>
              <w:jc w:val="center"/>
              <w:rPr>
                <w:rFonts w:hint="eastAsia" w:ascii="宋体" w:hAnsi="宋体" w:eastAsia="宋体" w:cs="宋体"/>
                <w:color w:val="auto"/>
                <w:sz w:val="24"/>
                <w:highlight w:val="none"/>
              </w:rPr>
            </w:pPr>
          </w:p>
          <w:p w14:paraId="1B86F96D">
            <w:pPr>
              <w:snapToGrid w:val="0"/>
              <w:spacing w:line="360" w:lineRule="auto"/>
              <w:jc w:val="center"/>
              <w:rPr>
                <w:rFonts w:hint="eastAsia" w:ascii="宋体" w:hAnsi="宋体" w:eastAsia="宋体" w:cs="宋体"/>
                <w:color w:val="auto"/>
                <w:sz w:val="24"/>
                <w:highlight w:val="none"/>
              </w:rPr>
            </w:pPr>
          </w:p>
          <w:p w14:paraId="3DD268A6">
            <w:pPr>
              <w:snapToGrid w:val="0"/>
              <w:spacing w:line="360" w:lineRule="auto"/>
              <w:jc w:val="center"/>
              <w:rPr>
                <w:rFonts w:hint="eastAsia" w:ascii="宋体" w:hAnsi="宋体" w:eastAsia="宋体" w:cs="宋体"/>
                <w:color w:val="auto"/>
                <w:sz w:val="24"/>
                <w:highlight w:val="none"/>
              </w:rPr>
            </w:pPr>
          </w:p>
          <w:p w14:paraId="366D904F">
            <w:pPr>
              <w:snapToGrid w:val="0"/>
              <w:spacing w:line="360" w:lineRule="auto"/>
              <w:jc w:val="center"/>
              <w:rPr>
                <w:rFonts w:hint="eastAsia" w:ascii="宋体" w:hAnsi="宋体" w:eastAsia="宋体" w:cs="宋体"/>
                <w:color w:val="auto"/>
                <w:sz w:val="24"/>
                <w:highlight w:val="none"/>
              </w:rPr>
            </w:pPr>
          </w:p>
          <w:p w14:paraId="430257C2">
            <w:pPr>
              <w:snapToGrid w:val="0"/>
              <w:spacing w:line="360" w:lineRule="auto"/>
              <w:jc w:val="center"/>
              <w:rPr>
                <w:rFonts w:hint="eastAsia" w:ascii="宋体" w:hAnsi="宋体" w:eastAsia="宋体" w:cs="宋体"/>
                <w:color w:val="auto"/>
                <w:sz w:val="24"/>
                <w:highlight w:val="none"/>
              </w:rPr>
            </w:pPr>
          </w:p>
          <w:p w14:paraId="34DB61D2">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812" w:type="pct"/>
            <w:tcBorders>
              <w:top w:val="single" w:color="000000" w:sz="8" w:space="0"/>
              <w:left w:val="single" w:color="000000" w:sz="2" w:space="0"/>
              <w:bottom w:val="single" w:color="000000" w:sz="8" w:space="0"/>
              <w:right w:val="single" w:color="000000" w:sz="8" w:space="0"/>
            </w:tcBorders>
            <w:vAlign w:val="center"/>
          </w:tcPr>
          <w:p w14:paraId="48C38C2E">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报价要求</w:t>
            </w:r>
          </w:p>
        </w:tc>
        <w:tc>
          <w:tcPr>
            <w:tcW w:w="3843" w:type="pct"/>
            <w:tcBorders>
              <w:top w:val="single" w:color="000000" w:sz="8" w:space="0"/>
              <w:left w:val="single" w:color="000000" w:sz="2" w:space="0"/>
              <w:bottom w:val="single" w:color="000000" w:sz="8" w:space="0"/>
              <w:right w:val="single" w:color="000000" w:sz="8" w:space="0"/>
            </w:tcBorders>
            <w:vAlign w:val="center"/>
          </w:tcPr>
          <w:p w14:paraId="7B9F35F5">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有关本项目实施所需的所有费用（含税费）均计入报价。</w:t>
            </w:r>
            <w:r>
              <w:rPr>
                <w:rFonts w:hint="eastAsia" w:ascii="宋体" w:hAnsi="宋体" w:eastAsia="宋体" w:cs="宋体"/>
                <w:b/>
                <w:bCs/>
                <w:color w:val="auto"/>
                <w:kern w:val="0"/>
                <w:sz w:val="24"/>
                <w:highlight w:val="none"/>
                <w:lang w:val="zh-CN"/>
              </w:rPr>
              <w:t>投标文件</w:t>
            </w:r>
            <w:r>
              <w:rPr>
                <w:rFonts w:hint="eastAsia" w:ascii="宋体" w:hAnsi="宋体" w:eastAsia="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eastAsia="宋体" w:cs="宋体"/>
                <w:b/>
                <w:color w:val="auto"/>
                <w:kern w:val="0"/>
                <w:sz w:val="24"/>
                <w:highlight w:val="none"/>
                <w:lang w:val="zh-CN"/>
              </w:rPr>
              <w:t>提醒：验收时检测费用由采购人承担，不包含在投标总价中。</w:t>
            </w:r>
          </w:p>
          <w:p w14:paraId="56204759">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投标报价出现下列情形的，投标无效：</w:t>
            </w:r>
          </w:p>
          <w:p w14:paraId="4DE17A4A">
            <w:pPr>
              <w:snapToGrid w:val="0"/>
              <w:spacing w:line="360" w:lineRule="auto"/>
              <w:ind w:firstLine="241" w:firstLineChars="100"/>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投标文件出现不是唯一的、有选择性投标报价的；</w:t>
            </w:r>
          </w:p>
          <w:p w14:paraId="7DC4859F">
            <w:pPr>
              <w:snapToGrid w:val="0"/>
              <w:spacing w:line="360" w:lineRule="auto"/>
              <w:ind w:firstLine="241" w:firstLineChars="100"/>
              <w:jc w:val="left"/>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投标报价超过招标文件中规定的预算金额或者最高限价的;</w:t>
            </w:r>
          </w:p>
          <w:p w14:paraId="2F78A4CE">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1"/>
                <w:highlight w:val="none"/>
              </w:rPr>
              <w:t>;</w:t>
            </w:r>
          </w:p>
          <w:p w14:paraId="77A82285">
            <w:pPr>
              <w:spacing w:line="360" w:lineRule="auto"/>
              <w:ind w:firstLine="241" w:firstLineChars="1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投标人对根据修正原则修正后的报价不确认的</w:t>
            </w:r>
            <w:r>
              <w:rPr>
                <w:rFonts w:hint="eastAsia" w:ascii="宋体" w:hAnsi="宋体" w:eastAsia="宋体" w:cs="宋体"/>
                <w:b/>
                <w:color w:val="auto"/>
                <w:sz w:val="24"/>
                <w:highlight w:val="none"/>
              </w:rPr>
              <w:t>。</w:t>
            </w:r>
          </w:p>
        </w:tc>
      </w:tr>
      <w:tr w14:paraId="3CBEB5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218" w:hRule="atLeast"/>
        </w:trPr>
        <w:tc>
          <w:tcPr>
            <w:tcW w:w="344" w:type="pct"/>
            <w:tcBorders>
              <w:top w:val="single" w:color="auto" w:sz="4" w:space="0"/>
              <w:left w:val="single" w:color="000000" w:sz="8" w:space="0"/>
              <w:right w:val="single" w:color="000000" w:sz="2" w:space="0"/>
            </w:tcBorders>
          </w:tcPr>
          <w:p w14:paraId="63F0569E">
            <w:pPr>
              <w:snapToGrid w:val="0"/>
              <w:spacing w:line="360" w:lineRule="auto"/>
              <w:jc w:val="center"/>
              <w:rPr>
                <w:rFonts w:hint="eastAsia" w:ascii="宋体" w:hAnsi="宋体" w:eastAsia="宋体" w:cs="宋体"/>
                <w:color w:val="auto"/>
                <w:sz w:val="24"/>
                <w:highlight w:val="none"/>
              </w:rPr>
            </w:pPr>
          </w:p>
          <w:p w14:paraId="714A1FDA">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812" w:type="pct"/>
            <w:tcBorders>
              <w:top w:val="single" w:color="000000" w:sz="8" w:space="0"/>
              <w:left w:val="single" w:color="000000" w:sz="2" w:space="0"/>
              <w:right w:val="single" w:color="000000" w:sz="8" w:space="0"/>
            </w:tcBorders>
            <w:vAlign w:val="center"/>
          </w:tcPr>
          <w:p w14:paraId="0939CCB4">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中小企业信用融资</w:t>
            </w:r>
          </w:p>
        </w:tc>
        <w:tc>
          <w:tcPr>
            <w:tcW w:w="3843" w:type="pct"/>
            <w:tcBorders>
              <w:top w:val="single" w:color="000000" w:sz="8" w:space="0"/>
              <w:left w:val="single" w:color="000000" w:sz="2" w:space="0"/>
              <w:right w:val="single" w:color="000000" w:sz="8" w:space="0"/>
            </w:tcBorders>
            <w:vAlign w:val="center"/>
          </w:tcPr>
          <w:p w14:paraId="3A0812D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-【融资服务】，可在热门申请中选择产品直接申请，也可点击云智贷匹配适合产品进行申请，或者在可申请项目中根据该项目进行申请。具体可咨询建德市财政局采购办，联系电话：0571-64718168.</w:t>
            </w:r>
          </w:p>
        </w:tc>
      </w:tr>
      <w:tr w14:paraId="16432D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rPr>
        <w:tc>
          <w:tcPr>
            <w:tcW w:w="344" w:type="pct"/>
            <w:tcBorders>
              <w:top w:val="single" w:color="auto" w:sz="4" w:space="0"/>
              <w:left w:val="single" w:color="000000" w:sz="8" w:space="0"/>
              <w:bottom w:val="single" w:color="auto" w:sz="4" w:space="0"/>
              <w:right w:val="single" w:color="000000" w:sz="2" w:space="0"/>
            </w:tcBorders>
          </w:tcPr>
          <w:p w14:paraId="7075C6A6">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812" w:type="pct"/>
            <w:tcBorders>
              <w:top w:val="single" w:color="000000" w:sz="8" w:space="0"/>
              <w:left w:val="single" w:color="000000" w:sz="2" w:space="0"/>
              <w:bottom w:val="single" w:color="000000" w:sz="8" w:space="0"/>
              <w:right w:val="single" w:color="000000" w:sz="8" w:space="0"/>
            </w:tcBorders>
            <w:vAlign w:val="center"/>
          </w:tcPr>
          <w:p w14:paraId="11CB59B4">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备份投标文件送达地点和签收人员 </w:t>
            </w:r>
          </w:p>
        </w:tc>
        <w:tc>
          <w:tcPr>
            <w:tcW w:w="3843" w:type="pct"/>
            <w:tcBorders>
              <w:top w:val="single" w:color="000000" w:sz="8" w:space="0"/>
              <w:left w:val="single" w:color="000000" w:sz="2" w:space="0"/>
              <w:bottom w:val="single" w:color="000000" w:sz="8" w:space="0"/>
              <w:right w:val="single" w:color="000000" w:sz="8" w:space="0"/>
            </w:tcBorders>
            <w:vAlign w:val="center"/>
          </w:tcPr>
          <w:p w14:paraId="01BA1213">
            <w:pPr>
              <w:pStyle w:val="33"/>
              <w:spacing w:line="360" w:lineRule="auto"/>
              <w:rPr>
                <w:rFonts w:hint="eastAsia" w:ascii="宋体" w:hAnsi="宋体" w:eastAsia="宋体" w:cs="宋体"/>
                <w:color w:val="auto"/>
                <w:kern w:val="28"/>
                <w:sz w:val="24"/>
                <w:highlight w:val="none"/>
              </w:rPr>
            </w:pPr>
            <w:r>
              <w:rPr>
                <w:rFonts w:hint="eastAsia" w:ascii="宋体" w:hAnsi="宋体" w:eastAsia="宋体" w:cs="宋体"/>
                <w:color w:val="auto"/>
                <w:kern w:val="28"/>
                <w:sz w:val="24"/>
                <w:szCs w:val="24"/>
                <w:highlight w:val="none"/>
              </w:rPr>
              <w:t>备份投标文件送达地点：</w:t>
            </w:r>
            <w:r>
              <w:rPr>
                <w:rFonts w:hint="eastAsia" w:hAnsi="宋体" w:cs="宋体"/>
                <w:color w:val="auto"/>
                <w:kern w:val="28"/>
                <w:sz w:val="24"/>
                <w:szCs w:val="24"/>
                <w:highlight w:val="none"/>
                <w:u w:val="single"/>
                <w:lang w:eastAsia="zh-CN"/>
              </w:rPr>
              <w:t>建德市新安江街道红枫商场17号一层</w:t>
            </w:r>
            <w:r>
              <w:rPr>
                <w:rFonts w:hint="eastAsia" w:ascii="宋体" w:hAnsi="宋体" w:eastAsia="宋体" w:cs="宋体"/>
                <w:color w:val="auto"/>
                <w:kern w:val="28"/>
                <w:sz w:val="24"/>
                <w:szCs w:val="24"/>
                <w:highlight w:val="none"/>
              </w:rPr>
              <w:t>；备份投标文件签收人员联系电话：</w:t>
            </w:r>
            <w:r>
              <w:rPr>
                <w:rFonts w:hint="eastAsia" w:hAnsi="宋体" w:cs="宋体"/>
                <w:color w:val="auto"/>
                <w:kern w:val="28"/>
                <w:sz w:val="24"/>
                <w:szCs w:val="24"/>
                <w:highlight w:val="none"/>
                <w:u w:val="single"/>
                <w:lang w:val="en-US" w:eastAsia="zh-CN"/>
              </w:rPr>
              <w:t>李昕淼</w:t>
            </w:r>
            <w:r>
              <w:rPr>
                <w:rFonts w:hint="eastAsia" w:ascii="宋体" w:hAnsi="宋体" w:eastAsia="宋体" w:cs="宋体"/>
                <w:color w:val="auto"/>
                <w:kern w:val="28"/>
                <w:sz w:val="24"/>
                <w:szCs w:val="24"/>
                <w:highlight w:val="none"/>
                <w:u w:val="single"/>
                <w:lang w:val="en-US" w:eastAsia="zh-CN"/>
              </w:rPr>
              <w:t xml:space="preserve"> </w:t>
            </w:r>
            <w:r>
              <w:rPr>
                <w:rFonts w:hint="eastAsia" w:hAnsi="宋体" w:cs="宋体"/>
                <w:color w:val="auto"/>
                <w:kern w:val="28"/>
                <w:sz w:val="24"/>
                <w:szCs w:val="24"/>
                <w:highlight w:val="none"/>
                <w:u w:val="single"/>
                <w:lang w:val="en-US" w:eastAsia="zh-CN"/>
              </w:rPr>
              <w:t>15372041892</w:t>
            </w:r>
            <w:r>
              <w:rPr>
                <w:rFonts w:hint="eastAsia" w:ascii="宋体" w:hAnsi="宋体" w:eastAsia="宋体" w:cs="宋体"/>
                <w:color w:val="auto"/>
                <w:kern w:val="28"/>
                <w:sz w:val="24"/>
                <w:szCs w:val="24"/>
                <w:highlight w:val="none"/>
                <w:u w:val="single"/>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采购人、采购代理机构不强制或变相强制投标人提交备份投标文件。未按规定提供相应的备份投标文件，造成项目开评标活动无法进行下去的，投标无效。</w:t>
            </w:r>
          </w:p>
        </w:tc>
      </w:tr>
      <w:tr w14:paraId="4A168C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rPr>
        <w:tc>
          <w:tcPr>
            <w:tcW w:w="344" w:type="pct"/>
            <w:tcBorders>
              <w:top w:val="single" w:color="auto" w:sz="4" w:space="0"/>
              <w:left w:val="single" w:color="000000" w:sz="8" w:space="0"/>
              <w:bottom w:val="single" w:color="auto" w:sz="4" w:space="0"/>
              <w:right w:val="single" w:color="000000" w:sz="2" w:space="0"/>
            </w:tcBorders>
          </w:tcPr>
          <w:p w14:paraId="16E490C5">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812" w:type="pct"/>
            <w:tcBorders>
              <w:top w:val="single" w:color="000000" w:sz="8" w:space="0"/>
              <w:left w:val="single" w:color="000000" w:sz="2" w:space="0"/>
              <w:bottom w:val="single" w:color="000000" w:sz="8" w:space="0"/>
              <w:right w:val="single" w:color="000000" w:sz="8" w:space="0"/>
            </w:tcBorders>
            <w:vAlign w:val="center"/>
          </w:tcPr>
          <w:p w14:paraId="345CFD05">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采购代理服务费</w:t>
            </w:r>
          </w:p>
        </w:tc>
        <w:tc>
          <w:tcPr>
            <w:tcW w:w="3843" w:type="pct"/>
            <w:tcBorders>
              <w:top w:val="single" w:color="000000" w:sz="8" w:space="0"/>
              <w:left w:val="single" w:color="000000" w:sz="2" w:space="0"/>
              <w:bottom w:val="single" w:color="000000" w:sz="8" w:space="0"/>
              <w:right w:val="single" w:color="000000" w:sz="8" w:space="0"/>
            </w:tcBorders>
            <w:vAlign w:val="center"/>
          </w:tcPr>
          <w:p w14:paraId="0E2F675A">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876584110"/>
              </w:sdtPr>
              <w:sdtEndPr>
                <w:rPr>
                  <w:rFonts w:hint="eastAsia" w:ascii="宋体" w:hAnsi="宋体" w:eastAsia="宋体" w:cs="宋体"/>
                  <w:color w:val="auto"/>
                  <w:kern w:val="0"/>
                  <w:sz w:val="24"/>
                  <w:highlight w:val="none"/>
                </w:rPr>
              </w:sdtEndPr>
              <w:sdtContent/>
            </w:sdt>
            <w:sdt>
              <w:sdtPr>
                <w:rPr>
                  <w:rFonts w:hint="eastAsia" w:ascii="宋体" w:hAnsi="宋体" w:eastAsia="宋体" w:cs="宋体"/>
                  <w:color w:val="auto"/>
                  <w:kern w:val="0"/>
                  <w:sz w:val="24"/>
                  <w:highlight w:val="none"/>
                </w:rPr>
                <w:id w:val="876584111"/>
                <w:showingPlcHdr/>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lang w:eastAsia="zh-CN"/>
                  </w:rPr>
                  <w:t xml:space="preserve">     </w:t>
                </w:r>
              </w:sdtContent>
            </w:sdt>
            <w:r>
              <w:rPr>
                <w:rFonts w:hint="eastAsia" w:ascii="宋体" w:hAnsi="宋体" w:eastAsia="宋体" w:cs="宋体"/>
                <w:b w:val="0"/>
                <w:bCs/>
                <w:color w:val="auto"/>
                <w:kern w:val="0"/>
                <w:sz w:val="24"/>
                <w:highlight w:val="none"/>
              </w:rPr>
              <w:t>投标总</w:t>
            </w:r>
            <w:r>
              <w:rPr>
                <w:rFonts w:hint="eastAsia" w:ascii="宋体" w:hAnsi="宋体" w:eastAsia="宋体" w:cs="宋体"/>
                <w:b w:val="0"/>
                <w:bCs/>
                <w:color w:val="auto"/>
                <w:spacing w:val="-2"/>
                <w:sz w:val="24"/>
                <w:highlight w:val="none"/>
              </w:rPr>
              <w:t>报价应含采购服务费，采购服务费按照国家发展计划委员会计价格[2002]1980 号文《招标代理服务费管理暂行办法》及发改办价格[2003]857号文的收费标准（货物类）计取，为</w:t>
            </w:r>
            <w:r>
              <w:rPr>
                <w:rFonts w:hint="eastAsia" w:ascii="宋体" w:hAnsi="宋体" w:eastAsia="宋体" w:cs="宋体"/>
                <w:b w:val="0"/>
                <w:bCs/>
                <w:color w:val="auto"/>
                <w:spacing w:val="-2"/>
                <w:sz w:val="24"/>
                <w:highlight w:val="none"/>
                <w:lang w:val="en-US" w:eastAsia="zh-CN"/>
              </w:rPr>
              <w:t>采购服务费</w:t>
            </w:r>
            <w:r>
              <w:rPr>
                <w:rFonts w:hint="eastAsia" w:ascii="宋体" w:hAnsi="宋体" w:eastAsia="宋体" w:cs="宋体"/>
                <w:b w:val="0"/>
                <w:bCs/>
                <w:color w:val="auto"/>
                <w:spacing w:val="-2"/>
                <w:sz w:val="24"/>
                <w:highlight w:val="none"/>
              </w:rPr>
              <w:t>人民币</w:t>
            </w:r>
            <w:r>
              <w:rPr>
                <w:rFonts w:hint="eastAsia" w:ascii="宋体" w:hAnsi="宋体" w:cs="宋体"/>
                <w:color w:val="auto"/>
                <w:sz w:val="24"/>
                <w:highlight w:val="none"/>
                <w:u w:val="single"/>
                <w:lang w:val="en-US" w:eastAsia="zh-CN"/>
              </w:rPr>
              <w:t>陆仟叁佰</w:t>
            </w:r>
            <w:r>
              <w:rPr>
                <w:rFonts w:hint="eastAsia" w:ascii="宋体" w:hAnsi="宋体" w:eastAsia="宋体" w:cs="宋体"/>
                <w:snapToGrid w:val="0"/>
                <w:color w:val="auto"/>
                <w:kern w:val="28"/>
                <w:sz w:val="24"/>
                <w:highlight w:val="none"/>
              </w:rPr>
              <w:fldChar w:fldCharType="begin"/>
            </w:r>
            <w:r>
              <w:rPr>
                <w:rFonts w:hint="eastAsia" w:ascii="宋体" w:hAnsi="宋体" w:eastAsia="宋体" w:cs="宋体"/>
                <w:snapToGrid w:val="0"/>
                <w:color w:val="auto"/>
                <w:kern w:val="28"/>
                <w:sz w:val="24"/>
                <w:highlight w:val="none"/>
              </w:rPr>
              <w:instrText xml:space="preserve"> = 6900 \* CHINESENUM4 \* MERGEFORMAT </w:instrText>
            </w:r>
            <w:r>
              <w:rPr>
                <w:rFonts w:hint="eastAsia" w:ascii="宋体" w:hAnsi="宋体" w:eastAsia="宋体" w:cs="宋体"/>
                <w:snapToGrid w:val="0"/>
                <w:color w:val="auto"/>
                <w:kern w:val="28"/>
                <w:sz w:val="24"/>
                <w:highlight w:val="none"/>
              </w:rPr>
              <w:fldChar w:fldCharType="separate"/>
            </w:r>
            <w:r>
              <w:rPr>
                <w:rFonts w:hint="eastAsia" w:ascii="宋体" w:hAnsi="宋体" w:eastAsia="宋体" w:cs="宋体"/>
                <w:snapToGrid w:val="0"/>
                <w:color w:val="auto"/>
                <w:kern w:val="28"/>
                <w:sz w:val="24"/>
                <w:highlight w:val="none"/>
              </w:rPr>
              <w:t>元整</w:t>
            </w:r>
            <w:r>
              <w:rPr>
                <w:rFonts w:hint="eastAsia" w:ascii="宋体" w:hAnsi="宋体" w:eastAsia="宋体" w:cs="宋体"/>
                <w:snapToGrid w:val="0"/>
                <w:color w:val="auto"/>
                <w:kern w:val="28"/>
                <w:sz w:val="24"/>
                <w:highlight w:val="none"/>
              </w:rPr>
              <w:fldChar w:fldCharType="end"/>
            </w:r>
            <w:r>
              <w:rPr>
                <w:rFonts w:hint="eastAsia" w:ascii="宋体" w:hAnsi="宋体" w:eastAsia="宋体" w:cs="宋体"/>
                <w:snapToGrid w:val="0"/>
                <w:color w:val="auto"/>
                <w:kern w:val="28"/>
                <w:sz w:val="24"/>
                <w:highlight w:val="none"/>
              </w:rPr>
              <w:t>（¥：6300</w:t>
            </w:r>
            <w:r>
              <w:rPr>
                <w:rFonts w:hint="eastAsia" w:ascii="宋体" w:hAnsi="宋体" w:cs="宋体"/>
                <w:snapToGrid w:val="0"/>
                <w:color w:val="auto"/>
                <w:kern w:val="28"/>
                <w:sz w:val="24"/>
                <w:highlight w:val="none"/>
                <w:lang w:val="en-US" w:eastAsia="zh-CN"/>
              </w:rPr>
              <w:t>.00</w:t>
            </w:r>
            <w:r>
              <w:rPr>
                <w:rFonts w:hint="eastAsia" w:ascii="宋体" w:hAnsi="宋体" w:eastAsia="宋体" w:cs="宋体"/>
                <w:snapToGrid w:val="0"/>
                <w:color w:val="auto"/>
                <w:kern w:val="28"/>
                <w:sz w:val="24"/>
                <w:highlight w:val="none"/>
              </w:rPr>
              <w:t>元），由中标单位在领取中标通知书时支付给采购代理公司。</w:t>
            </w:r>
          </w:p>
        </w:tc>
      </w:tr>
      <w:tr w14:paraId="730295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344" w:type="pct"/>
            <w:vMerge w:val="restart"/>
            <w:tcBorders>
              <w:top w:val="single" w:color="auto" w:sz="4" w:space="0"/>
              <w:left w:val="single" w:color="000000" w:sz="8" w:space="0"/>
              <w:right w:val="single" w:color="000000" w:sz="2" w:space="0"/>
            </w:tcBorders>
          </w:tcPr>
          <w:p w14:paraId="17CE1D96">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p>
        </w:tc>
        <w:tc>
          <w:tcPr>
            <w:tcW w:w="812" w:type="pct"/>
            <w:vMerge w:val="restart"/>
            <w:tcBorders>
              <w:top w:val="single" w:color="000000" w:sz="8" w:space="0"/>
              <w:left w:val="single" w:color="000000" w:sz="2" w:space="0"/>
              <w:right w:val="single" w:color="000000" w:sz="8" w:space="0"/>
            </w:tcBorders>
            <w:vAlign w:val="center"/>
          </w:tcPr>
          <w:p w14:paraId="3A0606BF">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tc>
        <w:tc>
          <w:tcPr>
            <w:tcW w:w="3843" w:type="pct"/>
            <w:tcBorders>
              <w:top w:val="single" w:color="000000" w:sz="8" w:space="0"/>
              <w:left w:val="single" w:color="000000" w:sz="2" w:space="0"/>
              <w:bottom w:val="single" w:color="000000" w:sz="8" w:space="0"/>
              <w:right w:val="single" w:color="000000" w:sz="8" w:space="0"/>
            </w:tcBorders>
            <w:vAlign w:val="center"/>
          </w:tcPr>
          <w:p w14:paraId="76CF728E">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05B0B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344" w:type="pct"/>
            <w:vMerge w:val="continue"/>
            <w:tcBorders>
              <w:left w:val="single" w:color="000000" w:sz="8" w:space="0"/>
              <w:bottom w:val="single" w:color="auto" w:sz="4" w:space="0"/>
              <w:right w:val="single" w:color="000000" w:sz="2" w:space="0"/>
            </w:tcBorders>
          </w:tcPr>
          <w:p w14:paraId="1CB32865">
            <w:pPr>
              <w:snapToGrid w:val="0"/>
              <w:spacing w:line="360" w:lineRule="auto"/>
              <w:jc w:val="center"/>
              <w:rPr>
                <w:rFonts w:hint="eastAsia" w:ascii="宋体" w:hAnsi="宋体" w:eastAsia="宋体" w:cs="宋体"/>
                <w:color w:val="auto"/>
                <w:sz w:val="24"/>
                <w:highlight w:val="none"/>
              </w:rPr>
            </w:pPr>
          </w:p>
        </w:tc>
        <w:tc>
          <w:tcPr>
            <w:tcW w:w="812" w:type="pct"/>
            <w:vMerge w:val="continue"/>
            <w:tcBorders>
              <w:left w:val="single" w:color="000000" w:sz="2" w:space="0"/>
              <w:bottom w:val="single" w:color="000000" w:sz="8" w:space="0"/>
              <w:right w:val="single" w:color="000000" w:sz="8" w:space="0"/>
            </w:tcBorders>
            <w:vAlign w:val="center"/>
          </w:tcPr>
          <w:p w14:paraId="61B430BD">
            <w:pPr>
              <w:snapToGrid w:val="0"/>
              <w:spacing w:line="360" w:lineRule="auto"/>
              <w:jc w:val="center"/>
              <w:rPr>
                <w:rFonts w:hint="eastAsia" w:ascii="宋体" w:hAnsi="宋体" w:eastAsia="宋体" w:cs="宋体"/>
                <w:b/>
                <w:color w:val="auto"/>
                <w:sz w:val="24"/>
                <w:highlight w:val="none"/>
              </w:rPr>
            </w:pPr>
          </w:p>
        </w:tc>
        <w:tc>
          <w:tcPr>
            <w:tcW w:w="3843" w:type="pct"/>
            <w:tcBorders>
              <w:top w:val="single" w:color="000000" w:sz="8" w:space="0"/>
              <w:left w:val="single" w:color="000000" w:sz="2" w:space="0"/>
              <w:bottom w:val="single" w:color="000000" w:sz="8" w:space="0"/>
              <w:right w:val="single" w:color="000000" w:sz="8" w:space="0"/>
            </w:tcBorders>
            <w:vAlign w:val="center"/>
          </w:tcPr>
          <w:p w14:paraId="708A0D06">
            <w:pPr>
              <w:spacing w:line="36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369766551"/>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snapToGrid w:val="0"/>
                <w:color w:val="auto"/>
                <w:kern w:val="28"/>
                <w:sz w:val="24"/>
                <w:highlight w:val="none"/>
              </w:rPr>
              <w:t>联合体投标的，联合体各方均需按招标文件第四部分评标标准要求提供资信证明文件，否则视为不符合相关要求。</w:t>
            </w:r>
          </w:p>
          <w:p w14:paraId="18D45B36">
            <w:pPr>
              <w:spacing w:line="36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1052570136"/>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A8"/>
                </w:r>
              </w:sdtContent>
            </w:sdt>
            <w:r>
              <w:rPr>
                <w:rFonts w:hint="eastAsia" w:ascii="宋体" w:hAnsi="宋体" w:eastAsia="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bl>
    <w:p w14:paraId="28E42EDA">
      <w:pPr>
        <w:snapToGrid w:val="0"/>
        <w:spacing w:line="360" w:lineRule="auto"/>
        <w:jc w:val="center"/>
        <w:rPr>
          <w:rFonts w:hint="eastAsia" w:ascii="宋体" w:hAnsi="宋体" w:eastAsia="宋体" w:cs="宋体"/>
          <w:b/>
          <w:color w:val="auto"/>
          <w:sz w:val="32"/>
          <w:szCs w:val="20"/>
          <w:highlight w:val="none"/>
        </w:rPr>
      </w:pPr>
    </w:p>
    <w:bookmarkEnd w:id="10"/>
    <w:p w14:paraId="51BE3687">
      <w:pPr>
        <w:rPr>
          <w:rFonts w:hint="eastAsia" w:ascii="宋体" w:hAnsi="宋体" w:eastAsia="宋体" w:cs="宋体"/>
          <w:b/>
          <w:color w:val="auto"/>
          <w:sz w:val="32"/>
          <w:szCs w:val="20"/>
          <w:highlight w:val="none"/>
        </w:rPr>
      </w:pPr>
      <w:bookmarkStart w:id="13" w:name="第三部分"/>
      <w:bookmarkStart w:id="14" w:name="_Toc164416483"/>
      <w:r>
        <w:rPr>
          <w:rFonts w:hint="eastAsia" w:ascii="宋体" w:hAnsi="宋体" w:eastAsia="宋体" w:cs="宋体"/>
          <w:b/>
          <w:color w:val="auto"/>
          <w:sz w:val="32"/>
          <w:szCs w:val="20"/>
          <w:highlight w:val="none"/>
        </w:rPr>
        <w:br w:type="page"/>
      </w:r>
    </w:p>
    <w:p w14:paraId="27451E4E">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一、总则</w:t>
      </w:r>
    </w:p>
    <w:p w14:paraId="3960EBF0">
      <w:pPr>
        <w:snapToGrid w:val="0"/>
        <w:spacing w:line="360" w:lineRule="auto"/>
        <w:ind w:firstLine="361" w:firstLineChars="150"/>
        <w:jc w:val="left"/>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适用范围</w:t>
      </w:r>
    </w:p>
    <w:p w14:paraId="7A089070">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6E72FF7B">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2.定义</w:t>
      </w:r>
    </w:p>
    <w:p w14:paraId="36D234D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292DDCE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“采购代理机构”系指招标公告中载明的本项目的采购代理机构。</w:t>
      </w:r>
    </w:p>
    <w:p w14:paraId="24BBA61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“投标人”系指是指响应招标、参加投标竞争的法人、其他组织或者自然人。</w:t>
      </w:r>
    </w:p>
    <w:p w14:paraId="2896FFD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14:paraId="5040D17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FE7560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2.6“电子交易平台”系指本项目政府采购活动所依托的政府采购云平台（https://www.zcygov.cn/）。</w:t>
      </w:r>
    </w:p>
    <w:p w14:paraId="4D4AE45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 “▲” 系指实质性要求条款，“</w:t>
      </w:r>
      <w:sdt>
        <w:sdtPr>
          <w:rPr>
            <w:rFonts w:hint="eastAsia" w:ascii="宋体" w:hAnsi="宋体" w:eastAsia="宋体" w:cs="宋体"/>
            <w:color w:val="auto"/>
            <w:kern w:val="0"/>
            <w:sz w:val="24"/>
            <w:highlight w:val="none"/>
          </w:rPr>
          <w:id w:val="147460328"/>
        </w:sdtPr>
        <w:sdtEndPr>
          <w:rPr>
            <w:rFonts w:hint="eastAsia" w:ascii="宋体" w:hAnsi="宋体" w:eastAsia="宋体" w:cs="宋体"/>
            <w:color w:val="auto"/>
            <w:kern w:val="0"/>
            <w:sz w:val="24"/>
            <w:highlight w:val="none"/>
          </w:rPr>
        </w:sdtEndPr>
        <w:sdtContent>
          <w:sdt>
            <w:sdtPr>
              <w:rPr>
                <w:rFonts w:hint="eastAsia" w:ascii="宋体" w:hAnsi="宋体" w:eastAsia="宋体" w:cs="宋体"/>
                <w:color w:val="auto"/>
                <w:kern w:val="0"/>
                <w:sz w:val="24"/>
                <w:highlight w:val="none"/>
              </w:rPr>
              <w:id w:val="147461729"/>
            </w:sdtPr>
            <w:sdtEndPr>
              <w:rPr>
                <w:rFonts w:hint="eastAsia" w:ascii="宋体" w:hAnsi="宋体" w:eastAsia="宋体" w:cs="宋体"/>
                <w:color w:val="auto"/>
                <w:kern w:val="0"/>
                <w:sz w:val="24"/>
                <w:highlight w:val="none"/>
              </w:rPr>
            </w:sdtEndPr>
            <w:sdtContent>
              <w:sdt>
                <w:sdtPr>
                  <w:rPr>
                    <w:rFonts w:hint="eastAsia" w:ascii="宋体" w:hAnsi="宋体" w:eastAsia="宋体" w:cs="宋体"/>
                    <w:color w:val="auto"/>
                    <w:kern w:val="0"/>
                    <w:sz w:val="24"/>
                    <w:highlight w:val="none"/>
                  </w:rPr>
                  <w:id w:val="147464522"/>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FE"/>
                  </w:r>
                </w:sdtContent>
              </w:sdt>
              <w:r>
                <w:rPr>
                  <w:rFonts w:hint="eastAsia" w:ascii="宋体" w:hAnsi="宋体" w:eastAsia="宋体" w:cs="宋体"/>
                  <w:color w:val="auto"/>
                  <w:kern w:val="0"/>
                  <w:sz w:val="24"/>
                  <w:highlight w:val="none"/>
                </w:rPr>
                <w:t></w:t>
              </w:r>
            </w:sdtContent>
          </w:sdt>
        </w:sdtContent>
      </w:sdt>
      <w:r>
        <w:rPr>
          <w:rFonts w:hint="eastAsia" w:ascii="宋体" w:hAnsi="宋体" w:eastAsia="宋体" w:cs="宋体"/>
          <w:color w:val="auto"/>
          <w:sz w:val="24"/>
          <w:highlight w:val="none"/>
        </w:rPr>
        <w:t>” 系指适用本项目的要求，“</w:t>
      </w:r>
      <w:sdt>
        <w:sdtPr>
          <w:rPr>
            <w:rFonts w:hint="eastAsia" w:ascii="宋体" w:hAnsi="宋体" w:eastAsia="宋体" w:cs="宋体"/>
            <w:color w:val="auto"/>
            <w:kern w:val="0"/>
            <w:sz w:val="24"/>
            <w:highlight w:val="none"/>
          </w:rPr>
          <w:id w:val="404888855"/>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 系指不适用本项目的要求。</w:t>
      </w:r>
    </w:p>
    <w:p w14:paraId="013E43C3">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采购项目需要落实的政府采购政策</w:t>
      </w:r>
    </w:p>
    <w:p w14:paraId="42BD9032">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eastAsia="宋体" w:cs="宋体"/>
          <w:color w:val="auto"/>
          <w:kern w:val="0"/>
          <w:sz w:val="24"/>
          <w:highlight w:val="none"/>
        </w:rPr>
        <w:t>优先采购向我国企业转让技术、与我国企业签订消化吸收再创新方案的供应商的进口产品</w:t>
      </w:r>
      <w:r>
        <w:rPr>
          <w:rFonts w:hint="eastAsia" w:ascii="宋体" w:hAnsi="宋体" w:eastAsia="宋体" w:cs="宋体"/>
          <w:color w:val="auto"/>
          <w:sz w:val="24"/>
          <w:highlight w:val="none"/>
        </w:rPr>
        <w:t>。</w:t>
      </w:r>
    </w:p>
    <w:p w14:paraId="2BC06E7B">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56271314">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1331AD4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357A899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eastAsia="宋体" w:cs="宋体"/>
          <w:color w:val="auto"/>
          <w:sz w:val="24"/>
          <w:highlight w:val="none"/>
        </w:rPr>
        <w:t>鼓励采购单位优先采购秸秆环保板材等资源综合利用产品。鼓励采购单位优先采购绿色物流配送服务、提供新能源交通工具的租赁服务。</w:t>
      </w:r>
    </w:p>
    <w:p w14:paraId="6B62968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4B5DFB45">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3.3支持中小企业发展</w:t>
      </w:r>
    </w:p>
    <w:p w14:paraId="4961122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23BF8C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14:paraId="0D5F8D78">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3.3.2</w:t>
      </w:r>
      <w:r>
        <w:rPr>
          <w:rFonts w:hint="eastAsia" w:ascii="宋体" w:hAnsi="宋体" w:eastAsia="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2B3158A7">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14:paraId="4BEC01D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3.3.3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eastAsia="宋体" w:cs="宋体"/>
          <w:color w:val="auto"/>
          <w:sz w:val="24"/>
          <w:highlight w:val="none"/>
        </w:rPr>
        <w:t>联合协议或者分包意向协议约定小微企业的合同份额占到合同总金额30%以上的</w:t>
      </w:r>
      <w:bookmarkEnd w:id="16"/>
      <w:r>
        <w:rPr>
          <w:rFonts w:hint="eastAsia" w:ascii="宋体" w:hAnsi="宋体" w:eastAsia="宋体" w:cs="宋体"/>
          <w:color w:val="auto"/>
          <w:sz w:val="24"/>
          <w:highlight w:val="none"/>
        </w:rPr>
        <w:t>，对联合体或者大中型企业的报价给予6%的扣除，用扣除后的价格参加评审。组成联合体或者接受分包的小微企业与联合体内其他企业、分包企业之间存在直接控股、管理关系的，不享受价格扣除优惠政策。</w:t>
      </w:r>
    </w:p>
    <w:p w14:paraId="64EBED3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32CA524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356C56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43FE709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3.3.7中小企业享受扶持政策获得政府采购合同的，小微企业不得将合同分包给大中型企业，中型企业不得将合同分包给大型企业。</w:t>
      </w:r>
    </w:p>
    <w:p w14:paraId="69066CC8">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支持创新发展</w:t>
      </w:r>
    </w:p>
    <w:p w14:paraId="5EE16EC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3.4.1 采购人优先采购被认定为首台套产品和“制造精品”的自主创新产品。</w:t>
      </w:r>
    </w:p>
    <w:p w14:paraId="3E59089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48ED2469">
      <w:pPr>
        <w:spacing w:line="360" w:lineRule="auto"/>
        <w:ind w:firstLine="240" w:firstLineChars="100"/>
        <w:rPr>
          <w:rFonts w:hint="eastAsia" w:ascii="宋体" w:hAnsi="宋体" w:eastAsia="宋体" w:cs="宋体"/>
          <w:b/>
          <w:color w:val="auto"/>
          <w:highlight w:val="none"/>
        </w:rPr>
      </w:pPr>
      <w:r>
        <w:rPr>
          <w:rFonts w:hint="eastAsia" w:ascii="宋体" w:hAnsi="宋体" w:eastAsia="宋体" w:cs="宋体"/>
          <w:color w:val="auto"/>
          <w:sz w:val="24"/>
          <w:highlight w:val="none"/>
        </w:rPr>
        <w:t>3.5平等对待内外资企业和符合条件的破产重整企业平等对待内外资企业和符合条件的破产重整企业，切实保障企业公平竞争，平等维护企业的合法利益。</w:t>
      </w:r>
      <w:r>
        <w:rPr>
          <w:rFonts w:hint="eastAsia" w:ascii="宋体" w:hAnsi="宋体" w:eastAsia="宋体" w:cs="宋体"/>
          <w:color w:val="auto"/>
          <w:sz w:val="24"/>
          <w:highlight w:val="none"/>
        </w:rPr>
        <w:cr/>
      </w:r>
      <w:r>
        <w:rPr>
          <w:rFonts w:hint="eastAsia" w:ascii="宋体" w:hAnsi="宋体" w:eastAsia="宋体" w:cs="宋体"/>
          <w:b/>
          <w:color w:val="auto"/>
          <w:highlight w:val="none"/>
        </w:rPr>
        <w:t>4. 询问、质疑、投诉</w:t>
      </w:r>
    </w:p>
    <w:p w14:paraId="7015E975">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4.1在线询问、质疑、投诉</w:t>
      </w:r>
    </w:p>
    <w:p w14:paraId="72F0D5AF">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2BBBEFD">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4.2供应商询问</w:t>
      </w:r>
    </w:p>
    <w:p w14:paraId="3C307444">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BE07822">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4.3供应商质疑</w:t>
      </w:r>
    </w:p>
    <w:p w14:paraId="19388147">
      <w:pPr>
        <w:pStyle w:val="33"/>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.1提出质疑的供应商应当是参与所质疑项目采购活动的供应商。潜在供应商已依法获取其可质疑的招标文件的，可以对该文件提出质疑。</w:t>
      </w:r>
    </w:p>
    <w:p w14:paraId="13A9EF58">
      <w:pPr>
        <w:pStyle w:val="33"/>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B9483E2">
      <w:pPr>
        <w:pStyle w:val="15"/>
        <w:spacing w:line="360" w:lineRule="auto"/>
        <w:ind w:firstLine="480" w:firstLineChars="200"/>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4.3.2.1对招标文件提出质疑的，质疑期限为供应商获得招标文件之日或者招标文件公告期限届满之日起计算。</w:t>
      </w:r>
    </w:p>
    <w:p w14:paraId="36B82BFD">
      <w:pPr>
        <w:pStyle w:val="33"/>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rPr>
        <w:t>4.3.2.2对采购过程提出质疑的，质疑期限为各采购程序环节结束之日起计算。4.3.2.3对采购结果提出质疑的，质疑期限自采购结果公告期限届满之日起计算。</w:t>
      </w:r>
    </w:p>
    <w:p w14:paraId="65F0B6A6">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w:t>
      </w:r>
      <w:r>
        <w:rPr>
          <w:rFonts w:hint="eastAsia" w:ascii="宋体" w:hAnsi="宋体" w:eastAsia="宋体" w:cs="宋体"/>
          <w:color w:val="auto"/>
          <w:sz w:val="24"/>
          <w:highlight w:val="none"/>
        </w:rPr>
        <w:t>供应商提出质疑应当提交质疑函和必要的证明材料。质疑函应当包括下列内容：</w:t>
      </w:r>
    </w:p>
    <w:p w14:paraId="5658ED2C">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4.3.3.1供应商的姓名或者名称、地址、邮编、联系人及联系电话；</w:t>
      </w:r>
    </w:p>
    <w:p w14:paraId="0380D066">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4.3.3.2质疑项目的名称、编号；</w:t>
      </w:r>
    </w:p>
    <w:p w14:paraId="4AE31A9B">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4.3.3.3具体、明确的质疑事项和与质疑事项相关的请求；</w:t>
      </w:r>
    </w:p>
    <w:p w14:paraId="65795394">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4.3.3.4事实依据；</w:t>
      </w:r>
    </w:p>
    <w:p w14:paraId="77D5178E">
      <w:pPr>
        <w:pStyle w:val="33"/>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4.3.3.5必要的法律依据；</w:t>
      </w:r>
    </w:p>
    <w:p w14:paraId="4497D832">
      <w:pPr>
        <w:pStyle w:val="33"/>
        <w:spacing w:line="360" w:lineRule="auto"/>
        <w:ind w:firstLine="960" w:firstLineChars="4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4.3.3.6提出质疑的日期。</w:t>
      </w:r>
    </w:p>
    <w:p w14:paraId="4D6D1802">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10F596B1">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质疑函范本及制作说明详见附件2。</w:t>
      </w:r>
    </w:p>
    <w:p w14:paraId="662EC5F1">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4.3.4对同一采购程序环节的质疑，供应商须在法定质疑期内一次性提出。</w:t>
      </w:r>
    </w:p>
    <w:p w14:paraId="41A6C68A">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7A2E3CCA">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.6询问或者质疑事项可能影响采购结果的，采购人应当暂停签订合同，已经签订合同的，应当中止履行合同。</w:t>
      </w:r>
    </w:p>
    <w:p w14:paraId="6735E274">
      <w:pPr>
        <w:pStyle w:val="887"/>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4.4供应商投诉</w:t>
      </w:r>
    </w:p>
    <w:p w14:paraId="56F73FD9">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4432CE4E">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w:t>
      </w:r>
      <w:r>
        <w:rPr>
          <w:rFonts w:hint="eastAsia" w:ascii="宋体" w:hAnsi="宋体" w:eastAsia="宋体" w:cs="宋体"/>
          <w:color w:val="auto"/>
          <w:highlight w:val="none"/>
          <w:lang w:val="zh-CN"/>
        </w:rPr>
        <w:t>2</w:t>
      </w:r>
      <w:r>
        <w:rPr>
          <w:rFonts w:hint="eastAsia" w:ascii="宋体" w:hAnsi="宋体" w:eastAsia="宋体" w:cs="宋体"/>
          <w:color w:val="auto"/>
          <w:highlight w:val="none"/>
        </w:rPr>
        <w:t>供应商投诉的事项不得超出已质疑事项的范围，基于质疑答复内容提出的投诉事项除外。</w:t>
      </w:r>
    </w:p>
    <w:p w14:paraId="39A02BCA">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4.4.3供应商投诉应当有明确的请求和必要的证明材料。</w:t>
      </w:r>
    </w:p>
    <w:p w14:paraId="61296AAB">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4.4.4 以联合体形式参加政府采购活动的，其投诉应当由组成联合体的所有供应商共同提出。</w:t>
      </w:r>
    </w:p>
    <w:p w14:paraId="11FCD643">
      <w:pPr>
        <w:pStyle w:val="887"/>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投诉书范本及制作说明详见附件3。</w:t>
      </w:r>
    </w:p>
    <w:p w14:paraId="048939B6">
      <w:pPr>
        <w:pStyle w:val="129"/>
        <w:snapToGrid w:val="0"/>
        <w:spacing w:before="0"/>
        <w:ind w:firstLine="360"/>
        <w:rPr>
          <w:rFonts w:hint="eastAsia" w:ascii="宋体" w:hAnsi="宋体" w:eastAsia="宋体" w:cs="宋体"/>
          <w:color w:val="auto"/>
          <w:sz w:val="18"/>
          <w:szCs w:val="18"/>
          <w:highlight w:val="none"/>
        </w:rPr>
      </w:pPr>
    </w:p>
    <w:p w14:paraId="5C0B7F5C">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 xml:space="preserve">      二、招标文件的构成、澄清、修改</w:t>
      </w:r>
    </w:p>
    <w:p w14:paraId="5B7F3E53">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5．招标文件的构成</w:t>
      </w:r>
    </w:p>
    <w:p w14:paraId="13CD3810">
      <w:pPr>
        <w:pStyle w:val="3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招标文件包括下列文件及附件：</w:t>
      </w:r>
    </w:p>
    <w:p w14:paraId="7D57EA66">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5.1.1招标公告；</w:t>
      </w:r>
    </w:p>
    <w:p w14:paraId="3B91ACF8">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5.1.2投标人须知；</w:t>
      </w:r>
    </w:p>
    <w:p w14:paraId="72C2D95E">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14:paraId="10F2A841">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5.1.4评标办法；</w:t>
      </w:r>
    </w:p>
    <w:p w14:paraId="3E4009F7">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14:paraId="002DB12D">
      <w:pPr>
        <w:pStyle w:val="33"/>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5.1.6</w:t>
      </w:r>
      <w:r>
        <w:rPr>
          <w:rFonts w:hint="eastAsia" w:ascii="宋体" w:hAnsi="宋体" w:eastAsia="宋体" w:cs="宋体"/>
          <w:color w:val="auto"/>
          <w:sz w:val="24"/>
          <w:szCs w:val="24"/>
          <w:highlight w:val="none"/>
        </w:rPr>
        <w:t>应提交的有关格式范例。</w:t>
      </w:r>
    </w:p>
    <w:p w14:paraId="6169490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5.2与本项目有关的</w:t>
      </w:r>
      <w:r>
        <w:rPr>
          <w:rFonts w:hint="eastAsia" w:ascii="宋体" w:hAnsi="宋体" w:eastAsia="宋体" w:cs="宋体"/>
          <w:bCs/>
          <w:color w:val="auto"/>
          <w:sz w:val="24"/>
          <w:highlight w:val="none"/>
        </w:rPr>
        <w:t>澄清或者修改的内容为招标文件的组成部分</w:t>
      </w:r>
      <w:r>
        <w:rPr>
          <w:rFonts w:hint="eastAsia" w:ascii="宋体" w:hAnsi="宋体" w:eastAsia="宋体" w:cs="宋体"/>
          <w:color w:val="auto"/>
          <w:sz w:val="24"/>
          <w:highlight w:val="none"/>
        </w:rPr>
        <w:t>。</w:t>
      </w:r>
    </w:p>
    <w:p w14:paraId="7C23511F">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 招标文件的澄清、修改</w:t>
      </w:r>
    </w:p>
    <w:p w14:paraId="47E06956">
      <w:pPr>
        <w:pStyle w:val="129"/>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6.1已获取招标文件的潜在投标人，若有问题需要澄清，应于投标截止时间前，以书面形式向采购代理机构提出。</w:t>
      </w:r>
    </w:p>
    <w:p w14:paraId="2D34376C">
      <w:pPr>
        <w:pStyle w:val="129"/>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16EE25D">
      <w:pPr>
        <w:pStyle w:val="23"/>
        <w:rPr>
          <w:rFonts w:hint="eastAsia" w:ascii="宋体" w:hAnsi="宋体" w:eastAsia="宋体" w:cs="宋体"/>
          <w:color w:val="auto"/>
          <w:sz w:val="18"/>
          <w:szCs w:val="18"/>
          <w:highlight w:val="none"/>
          <w:lang w:val="en-US"/>
        </w:rPr>
      </w:pPr>
      <w:r>
        <w:rPr>
          <w:rFonts w:hint="eastAsia" w:ascii="宋体" w:hAnsi="宋体" w:eastAsia="宋体" w:cs="宋体"/>
          <w:color w:val="auto"/>
          <w:szCs w:val="24"/>
          <w:highlight w:val="none"/>
          <w:lang w:val="en-US"/>
        </w:rPr>
        <w:t xml:space="preserve">    </w:t>
      </w:r>
    </w:p>
    <w:p w14:paraId="28FF60C2">
      <w:pPr>
        <w:adjustRightInd/>
        <w:spacing w:line="360" w:lineRule="auto"/>
        <w:jc w:val="center"/>
        <w:outlineLvl w:val="0"/>
        <w:rPr>
          <w:rFonts w:hint="eastAsia" w:ascii="宋体" w:hAnsi="宋体" w:eastAsia="宋体" w:cs="宋体"/>
          <w:b/>
          <w:color w:val="auto"/>
          <w:sz w:val="30"/>
          <w:szCs w:val="20"/>
          <w:highlight w:val="none"/>
        </w:rPr>
      </w:pPr>
      <w:r>
        <w:rPr>
          <w:rFonts w:hint="eastAsia" w:ascii="宋体" w:hAnsi="宋体" w:eastAsia="宋体" w:cs="宋体"/>
          <w:b/>
          <w:color w:val="auto"/>
          <w:sz w:val="30"/>
          <w:szCs w:val="20"/>
          <w:highlight w:val="none"/>
        </w:rPr>
        <w:t>三、投标</w:t>
      </w:r>
    </w:p>
    <w:p w14:paraId="54A1C562">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 招标文件的获取</w:t>
      </w:r>
    </w:p>
    <w:p w14:paraId="3C7EEAD8">
      <w:pPr>
        <w:spacing w:line="360" w:lineRule="auto"/>
        <w:ind w:firstLine="480" w:firstLineChars="20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详见招标公告中获取招标文件的时间期限、地点、方式及招标文件售价。</w:t>
      </w:r>
    </w:p>
    <w:p w14:paraId="64C60137">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8.开标前答疑会或现场考察</w:t>
      </w:r>
    </w:p>
    <w:p w14:paraId="7C9ADC1A">
      <w:pPr>
        <w:pStyle w:val="3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19E44F52">
      <w:pPr>
        <w:pStyle w:val="33"/>
        <w:spacing w:line="360" w:lineRule="auto"/>
        <w:rPr>
          <w:rFonts w:hint="eastAsia" w:ascii="宋体" w:hAnsi="宋体" w:eastAsia="宋体" w:cs="宋体"/>
          <w:b/>
          <w:color w:val="auto"/>
          <w:szCs w:val="24"/>
          <w:highlight w:val="none"/>
        </w:rPr>
      </w:pPr>
      <w:r>
        <w:rPr>
          <w:rFonts w:hint="eastAsia" w:ascii="宋体" w:hAnsi="宋体" w:eastAsia="宋体" w:cs="宋体"/>
          <w:b/>
          <w:color w:val="auto"/>
          <w:kern w:val="28"/>
          <w:sz w:val="24"/>
          <w:szCs w:val="24"/>
          <w:highlight w:val="none"/>
        </w:rPr>
        <w:t>9.投标保证金</w:t>
      </w:r>
    </w:p>
    <w:p w14:paraId="713D5DF9">
      <w:pPr>
        <w:pStyle w:val="15"/>
        <w:spacing w:line="360" w:lineRule="auto"/>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本项目不需缴纳投标保证金。</w:t>
      </w:r>
    </w:p>
    <w:p w14:paraId="74504406">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投标文件的语言</w:t>
      </w:r>
    </w:p>
    <w:p w14:paraId="073391AA">
      <w:pPr>
        <w:autoSpaceDE w:val="0"/>
        <w:autoSpaceDN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投标文件及投标人与采购有关的来往通知、函件和文件均应使用中文。</w:t>
      </w:r>
    </w:p>
    <w:p w14:paraId="523FFF84">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 投标文件的组成</w:t>
      </w:r>
    </w:p>
    <w:p w14:paraId="7253137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b/>
          <w:color w:val="auto"/>
          <w:sz w:val="24"/>
          <w:highlight w:val="none"/>
        </w:rPr>
        <w:t>资格文件</w:t>
      </w:r>
      <w:r>
        <w:rPr>
          <w:rFonts w:hint="eastAsia" w:ascii="宋体" w:hAnsi="宋体" w:eastAsia="宋体" w:cs="宋体"/>
          <w:color w:val="auto"/>
          <w:sz w:val="24"/>
          <w:highlight w:val="none"/>
        </w:rPr>
        <w:t>：</w:t>
      </w:r>
    </w:p>
    <w:p w14:paraId="6239DA3D">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11.1.1符合参加政府采购活动应当具备的一般条件的承诺函；</w:t>
      </w:r>
    </w:p>
    <w:p w14:paraId="6555C963">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11.1.2</w:t>
      </w:r>
      <w:bookmarkStart w:id="17" w:name="_Hlk101259339"/>
      <w:r>
        <w:rPr>
          <w:rFonts w:hint="eastAsia" w:ascii="宋体" w:hAnsi="宋体" w:eastAsia="宋体" w:cs="宋体"/>
          <w:snapToGrid w:val="0"/>
          <w:color w:val="auto"/>
          <w:kern w:val="28"/>
          <w:sz w:val="24"/>
          <w:szCs w:val="20"/>
          <w:highlight w:val="none"/>
        </w:rPr>
        <w:t>联合协议</w:t>
      </w:r>
      <w:bookmarkEnd w:id="17"/>
      <w:r>
        <w:rPr>
          <w:rFonts w:hint="eastAsia" w:ascii="宋体" w:hAnsi="宋体" w:eastAsia="宋体" w:cs="宋体"/>
          <w:snapToGrid w:val="0"/>
          <w:color w:val="auto"/>
          <w:kern w:val="28"/>
          <w:sz w:val="24"/>
          <w:szCs w:val="20"/>
          <w:highlight w:val="none"/>
        </w:rPr>
        <w:t>（如果有)；</w:t>
      </w:r>
    </w:p>
    <w:p w14:paraId="4047306D">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11.1.3落实政府采购政策需满足的资格要求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32E2162A">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6250EB9B">
      <w:pPr>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793FC27F">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11.2.1投标函；</w:t>
      </w:r>
      <w:r>
        <w:rPr>
          <w:rFonts w:hint="eastAsia" w:ascii="宋体" w:hAnsi="宋体" w:eastAsia="宋体" w:cs="宋体"/>
          <w:color w:val="auto"/>
          <w:sz w:val="24"/>
          <w:highlight w:val="none"/>
          <w:lang w:val="zh-CN"/>
        </w:rPr>
        <w:t xml:space="preserve"> </w:t>
      </w:r>
    </w:p>
    <w:p w14:paraId="166BE138">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11.2.2授权委托书或法定代表人（单位负责人、自然人本人）身份证明；</w:t>
      </w:r>
    </w:p>
    <w:p w14:paraId="6053CE8F">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11.2.3分包意向协议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39B22168">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11.2.4符合性审查资料；</w:t>
      </w:r>
    </w:p>
    <w:p w14:paraId="7D53B759">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11.2.5评标标准相应的商务技术资料；</w:t>
      </w:r>
    </w:p>
    <w:p w14:paraId="303DDBFD">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11.2.6投标标的清单；</w:t>
      </w:r>
    </w:p>
    <w:p w14:paraId="06242AB4">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11.2.7商务技术偏离表；</w:t>
      </w:r>
    </w:p>
    <w:p w14:paraId="634EC353">
      <w:pPr>
        <w:snapToGrid w:val="0"/>
        <w:spacing w:line="360" w:lineRule="auto"/>
        <w:ind w:firstLine="960" w:firstLineChars="4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36FD612A">
      <w:pPr>
        <w:snapToGrid w:val="0"/>
        <w:spacing w:line="360" w:lineRule="auto"/>
        <w:ind w:firstLine="480" w:firstLineChars="200"/>
        <w:rPr>
          <w:rFonts w:hint="eastAsia" w:ascii="宋体" w:hAnsi="宋体" w:eastAsia="宋体" w:cs="宋体"/>
          <w:color w:val="auto"/>
          <w:sz w:val="24"/>
          <w:highlight w:val="none"/>
          <w:u w:val="single"/>
          <w:lang w:val="zh-CN"/>
        </w:rPr>
      </w:pPr>
      <w:r>
        <w:rPr>
          <w:rFonts w:hint="eastAsia" w:ascii="宋体" w:hAnsi="宋体" w:eastAsia="宋体" w:cs="宋体"/>
          <w:color w:val="auto"/>
          <w:kern w:val="0"/>
          <w:sz w:val="24"/>
          <w:highlight w:val="none"/>
          <w:lang w:val="zh-CN"/>
        </w:rPr>
        <w:t>11.</w:t>
      </w:r>
      <w:r>
        <w:rPr>
          <w:rFonts w:hint="eastAsia" w:ascii="宋体" w:hAnsi="宋体" w:eastAsia="宋体" w:cs="宋体"/>
          <w:color w:val="auto"/>
          <w:kern w:val="0"/>
          <w:sz w:val="24"/>
          <w:highlight w:val="none"/>
        </w:rPr>
        <w:t>3</w:t>
      </w:r>
      <w:r>
        <w:rPr>
          <w:rFonts w:hint="eastAsia" w:ascii="宋体" w:hAnsi="宋体" w:eastAsia="宋体" w:cs="宋体"/>
          <w:b/>
          <w:color w:val="auto"/>
          <w:sz w:val="24"/>
          <w:highlight w:val="none"/>
        </w:rPr>
        <w:t>报价文件：</w:t>
      </w:r>
      <w:r>
        <w:rPr>
          <w:rFonts w:hint="eastAsia" w:ascii="宋体" w:hAnsi="宋体" w:eastAsia="宋体" w:cs="宋体"/>
          <w:color w:val="auto"/>
          <w:sz w:val="24"/>
          <w:highlight w:val="none"/>
        </w:rPr>
        <w:t xml:space="preserve"> </w:t>
      </w:r>
    </w:p>
    <w:p w14:paraId="1579C4E3">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11.3.1开标一览表（报价表）；</w:t>
      </w:r>
    </w:p>
    <w:p w14:paraId="485F2DE1">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11.3.2</w:t>
      </w:r>
      <w:r>
        <w:rPr>
          <w:rFonts w:hint="eastAsia" w:ascii="宋体" w:hAnsi="宋体" w:eastAsia="宋体" w:cs="宋体"/>
          <w:b w:val="0"/>
          <w:bCs w:val="0"/>
          <w:color w:val="auto"/>
          <w:kern w:val="2"/>
          <w:sz w:val="24"/>
          <w:szCs w:val="24"/>
          <w:highlight w:val="none"/>
          <w:lang w:val="en-US" w:eastAsia="zh-CN" w:bidi="ar-SA"/>
        </w:rPr>
        <w:t>提供《中小企业声明函》或《残疾人福利性单位声明函》或由省级以上监狱管理局、戒毒管理局（含新疆生产建设兵团）出具的属于监狱企业的证明文件（如果有）</w:t>
      </w:r>
      <w:r>
        <w:rPr>
          <w:rFonts w:hint="eastAsia" w:ascii="宋体" w:hAnsi="宋体" w:eastAsia="宋体" w:cs="宋体"/>
          <w:color w:val="auto"/>
          <w:sz w:val="24"/>
          <w:highlight w:val="none"/>
        </w:rPr>
        <w:t>。</w:t>
      </w:r>
    </w:p>
    <w:p w14:paraId="399770CA">
      <w:pPr>
        <w:spacing w:line="360" w:lineRule="auto"/>
        <w:ind w:firstLine="723" w:firstLineChars="3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投标文件含有采购人不能接受的附加条件的，投标无效；</w:t>
      </w:r>
    </w:p>
    <w:p w14:paraId="5F30C8F2">
      <w:pPr>
        <w:spacing w:line="360" w:lineRule="auto"/>
        <w:ind w:firstLine="723" w:firstLineChars="300"/>
        <w:rPr>
          <w:rFonts w:hint="eastAsia" w:ascii="宋体" w:hAnsi="宋体" w:eastAsia="宋体" w:cs="宋体"/>
          <w:b/>
          <w:color w:val="auto"/>
          <w:sz w:val="24"/>
          <w:szCs w:val="21"/>
          <w:highlight w:val="none"/>
        </w:rPr>
      </w:pPr>
      <w:r>
        <w:rPr>
          <w:rFonts w:hint="eastAsia" w:ascii="宋体" w:hAnsi="宋体" w:eastAsia="宋体" w:cs="宋体"/>
          <w:b/>
          <w:color w:val="auto"/>
          <w:sz w:val="24"/>
          <w:highlight w:val="none"/>
        </w:rPr>
        <w:t>投标人提供虚假材料投标的，投标无效。</w:t>
      </w:r>
    </w:p>
    <w:p w14:paraId="3DC8A6E1">
      <w:pPr>
        <w:pStyle w:val="129"/>
        <w:snapToGrid w:val="0"/>
        <w:spacing w:before="0"/>
        <w:ind w:firstLine="0" w:firstLineChars="0"/>
        <w:outlineLvl w:val="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12</w:t>
      </w:r>
      <w:r>
        <w:rPr>
          <w:rFonts w:hint="eastAsia" w:ascii="宋体" w:hAnsi="宋体" w:eastAsia="宋体" w:cs="宋体"/>
          <w:b/>
          <w:color w:val="auto"/>
          <w:kern w:val="0"/>
          <w:szCs w:val="24"/>
          <w:highlight w:val="none"/>
          <w:lang w:val="zh-CN"/>
        </w:rPr>
        <w:t xml:space="preserve">. </w:t>
      </w:r>
      <w:r>
        <w:rPr>
          <w:rFonts w:hint="eastAsia" w:ascii="宋体" w:hAnsi="宋体" w:eastAsia="宋体" w:cs="宋体"/>
          <w:b/>
          <w:color w:val="auto"/>
          <w:szCs w:val="24"/>
          <w:highlight w:val="none"/>
        </w:rPr>
        <w:t>投标文件的编制</w:t>
      </w:r>
    </w:p>
    <w:p w14:paraId="3B9D1D37">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BFE94EC">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55C10920">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7580C1A4">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13.投标文件的签署、盖章</w:t>
      </w:r>
    </w:p>
    <w:p w14:paraId="0636435A">
      <w:pPr>
        <w:pStyle w:val="129"/>
        <w:snapToGrid w:val="0"/>
        <w:spacing w:before="0"/>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rPr>
        <w:t>13.1投标文件按照招标文件第六部分格式要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▲投标人的投标文件未按照招标文件要求签署、盖章的，其投标无效</w:t>
      </w:r>
      <w:r>
        <w:rPr>
          <w:rFonts w:hint="eastAsia" w:ascii="宋体" w:hAnsi="宋体" w:eastAsia="宋体" w:cs="宋体"/>
          <w:color w:val="auto"/>
          <w:szCs w:val="24"/>
          <w:highlight w:val="none"/>
        </w:rPr>
        <w:t>。</w:t>
      </w:r>
    </w:p>
    <w:p w14:paraId="0A4161BA">
      <w:pPr>
        <w:pStyle w:val="129"/>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1112579E">
      <w:pPr>
        <w:pStyle w:val="129"/>
        <w:snapToGrid w:val="0"/>
        <w:spacing w:before="0"/>
        <w:ind w:firstLine="480"/>
        <w:rPr>
          <w:rFonts w:hint="eastAsia" w:ascii="宋体" w:hAnsi="宋体" w:eastAsia="宋体" w:cs="宋体"/>
          <w:color w:val="auto"/>
          <w:szCs w:val="24"/>
          <w:highlight w:val="none"/>
        </w:rPr>
      </w:pPr>
      <w:r>
        <w:rPr>
          <w:rFonts w:hint="eastAsia" w:ascii="宋体" w:hAnsi="宋体" w:eastAsia="宋体" w:cs="宋体"/>
          <w:color w:val="auto"/>
          <w:highlight w:val="none"/>
        </w:rPr>
        <w:t>13.3招标文件对投标文件签署、盖章的要求适用于电子签名。</w:t>
      </w:r>
    </w:p>
    <w:p w14:paraId="715759D3">
      <w:pPr>
        <w:pStyle w:val="129"/>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14. 投标文件的提交、补充、修改、撤回</w:t>
      </w:r>
    </w:p>
    <w:p w14:paraId="3DBB7FE4">
      <w:pPr>
        <w:pStyle w:val="129"/>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7B7622A">
      <w:pPr>
        <w:pStyle w:val="129"/>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0F42EE14">
      <w:pPr>
        <w:pStyle w:val="129"/>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5C5E82A1">
      <w:pPr>
        <w:pStyle w:val="33"/>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15.备份投标文件</w:t>
      </w:r>
    </w:p>
    <w:p w14:paraId="3B3BF3DE">
      <w:pPr>
        <w:pStyle w:val="33"/>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auto"/>
          <w:sz w:val="24"/>
          <w:szCs w:val="24"/>
          <w:highlight w:val="none"/>
        </w:rPr>
        <w:t>但采购人、采购代理机构不强制或变相强制投标人提交备份投标文件。</w:t>
      </w:r>
    </w:p>
    <w:p w14:paraId="61175932">
      <w:pPr>
        <w:pStyle w:val="33"/>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15.2备份投标文件须在“政采云投标客户端”制作生成，并储存在</w:t>
      </w:r>
      <w:r>
        <w:rPr>
          <w:rFonts w:hint="eastAsia" w:ascii="宋体" w:hAnsi="宋体" w:eastAsia="宋体" w:cs="宋体"/>
          <w:color w:val="auto"/>
          <w:sz w:val="24"/>
          <w:highlight w:val="none"/>
        </w:rPr>
        <w:t>DVD光盘等存储介质</w:t>
      </w:r>
      <w:r>
        <w:rPr>
          <w:rFonts w:hint="eastAsia" w:ascii="宋体" w:hAnsi="宋体" w:eastAsia="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存储、密封规定的备份投标文件将被视为无效或者被拒绝接收。</w:t>
      </w:r>
    </w:p>
    <w:p w14:paraId="75254BE9">
      <w:pPr>
        <w:pStyle w:val="3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6EBD6C89">
      <w:pPr>
        <w:pStyle w:val="3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auto"/>
          <w:sz w:val="24"/>
          <w:szCs w:val="24"/>
          <w:highlight w:val="none"/>
        </w:rPr>
        <w:t>招标文件第二部分投标人须知前附表规定的备份投标文件送达地点；</w:t>
      </w:r>
      <w:r>
        <w:rPr>
          <w:rFonts w:hint="eastAsia" w:ascii="宋体" w:hAnsi="宋体" w:eastAsia="宋体" w:cs="宋体"/>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6D95D7AE">
      <w:pPr>
        <w:pStyle w:val="33"/>
        <w:spacing w:line="360" w:lineRule="auto"/>
        <w:ind w:firstLine="479" w:firstLineChars="19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15.5投标人仅提交备份投标文件，未在电子交易平台传输递交投标文件的，投标无效。</w:t>
      </w:r>
    </w:p>
    <w:p w14:paraId="77974D29">
      <w:pPr>
        <w:pStyle w:val="129"/>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16.投标文件的无效处理</w:t>
      </w:r>
    </w:p>
    <w:p w14:paraId="1209FAAC">
      <w:pPr>
        <w:pStyle w:val="25"/>
        <w:spacing w:line="360" w:lineRule="auto"/>
        <w:ind w:firstLine="360"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有招标文件第四部分</w:t>
      </w:r>
      <w:r>
        <w:rPr>
          <w:rFonts w:hint="eastAsia" w:ascii="宋体" w:hAnsi="宋体" w:eastAsia="宋体" w:cs="宋体"/>
          <w:color w:val="auto"/>
          <w:highlight w:val="none"/>
        </w:rPr>
        <w:t>4.2规定</w:t>
      </w:r>
      <w:r>
        <w:rPr>
          <w:rFonts w:hint="eastAsia" w:ascii="宋体" w:hAnsi="宋体" w:eastAsia="宋体" w:cs="宋体"/>
          <w:color w:val="auto"/>
          <w:szCs w:val="21"/>
          <w:highlight w:val="none"/>
        </w:rPr>
        <w:t>的情形之一的，投标无效：</w:t>
      </w:r>
    </w:p>
    <w:p w14:paraId="3B936460">
      <w:pPr>
        <w:pStyle w:val="129"/>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17.投标有效期</w:t>
      </w:r>
    </w:p>
    <w:p w14:paraId="42892A65">
      <w:pPr>
        <w:spacing w:line="360" w:lineRule="auto"/>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17.1投标有效期为从提交投标文件的截止之日起90天。▲</w:t>
      </w:r>
      <w:r>
        <w:rPr>
          <w:rFonts w:hint="eastAsia" w:ascii="宋体" w:hAnsi="宋体" w:eastAsia="宋体" w:cs="宋体"/>
          <w:b/>
          <w:color w:val="auto"/>
          <w:sz w:val="24"/>
          <w:szCs w:val="20"/>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p w14:paraId="7E1A2534">
      <w:pPr>
        <w:pStyle w:val="129"/>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17.2投标文件合格投递后，自投标截止日期起，在投标有效期内有效。</w:t>
      </w:r>
    </w:p>
    <w:p w14:paraId="678A9083">
      <w:pPr>
        <w:pStyle w:val="129"/>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5EF1C7B5">
      <w:pPr>
        <w:pStyle w:val="129"/>
        <w:spacing w:before="0"/>
        <w:ind w:firstLine="643"/>
        <w:rPr>
          <w:rFonts w:hint="eastAsia" w:ascii="宋体" w:hAnsi="宋体" w:eastAsia="宋体" w:cs="宋体"/>
          <w:b/>
          <w:color w:val="auto"/>
          <w:sz w:val="32"/>
          <w:highlight w:val="none"/>
        </w:rPr>
      </w:pPr>
    </w:p>
    <w:p w14:paraId="3196B0E9">
      <w:pPr>
        <w:pStyle w:val="129"/>
        <w:spacing w:before="0"/>
        <w:ind w:firstLine="1928" w:firstLineChars="60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四、开标、资格审查与信用信息查询</w:t>
      </w:r>
    </w:p>
    <w:p w14:paraId="419483EF">
      <w:pPr>
        <w:pStyle w:val="555"/>
        <w:spacing w:before="0" w:line="360" w:lineRule="auto"/>
        <w:ind w:left="0" w:firstLine="241" w:firstLineChars="100"/>
        <w:contextualSpacing/>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18.开标</w:t>
      </w:r>
      <w:r>
        <w:rPr>
          <w:rFonts w:hint="eastAsia" w:ascii="宋体" w:hAnsi="宋体" w:eastAsia="宋体" w:cs="宋体"/>
          <w:color w:val="auto"/>
          <w:sz w:val="24"/>
          <w:highlight w:val="none"/>
        </w:rPr>
        <w:t xml:space="preserve"> </w:t>
      </w:r>
    </w:p>
    <w:p w14:paraId="1613330B">
      <w:pPr>
        <w:pStyle w:val="555"/>
        <w:spacing w:before="0" w:line="360" w:lineRule="auto"/>
        <w:ind w:left="0"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18.1采购代理机构按照招标文件规定的时间通过电子交易平台组织开标，所有投标人均应当准时在线参加。投标人不足3家的，不得开标。</w:t>
      </w:r>
    </w:p>
    <w:p w14:paraId="75B95804">
      <w:pPr>
        <w:pStyle w:val="555"/>
        <w:spacing w:before="0" w:line="360" w:lineRule="auto"/>
        <w:ind w:left="0" w:firstLine="240" w:firstLineChars="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14:paraId="7EF0F68C">
      <w:pPr>
        <w:pStyle w:val="555"/>
        <w:spacing w:before="0" w:line="360" w:lineRule="auto"/>
        <w:ind w:left="0" w:firstLine="240" w:firstLineChars="100"/>
        <w:contextualSpacing/>
        <w:rPr>
          <w:rFonts w:hint="eastAsia" w:ascii="宋体" w:hAnsi="宋体" w:eastAsia="宋体" w:cs="宋体"/>
          <w:b/>
          <w:color w:val="auto"/>
          <w:sz w:val="24"/>
          <w:highlight w:val="none"/>
        </w:rPr>
      </w:pPr>
      <w:r>
        <w:rPr>
          <w:rFonts w:hint="eastAsia" w:ascii="宋体" w:hAnsi="宋体" w:eastAsia="宋体" w:cs="宋体"/>
          <w:color w:val="auto"/>
          <w:sz w:val="24"/>
          <w:highlight w:val="none"/>
        </w:rPr>
        <w:t>　18.3</w:t>
      </w:r>
      <w:r>
        <w:rPr>
          <w:rFonts w:hint="eastAsia" w:ascii="宋体" w:hAnsi="宋体" w:eastAsia="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05C183A0">
      <w:pPr>
        <w:widowControl/>
        <w:spacing w:before="100" w:beforeAutospacing="1" w:after="240" w:line="360" w:lineRule="auto"/>
        <w:jc w:val="left"/>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　19、资格审查</w:t>
      </w:r>
    </w:p>
    <w:p w14:paraId="57973B3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19.1</w:t>
      </w:r>
      <w:r>
        <w:rPr>
          <w:rFonts w:hint="eastAsia" w:ascii="宋体" w:hAnsi="宋体" w:eastAsia="宋体" w:cs="宋体"/>
          <w:color w:val="auto"/>
          <w:sz w:val="24"/>
          <w:highlight w:val="none"/>
        </w:rPr>
        <w:t>采购人或采购代理机构依据法律法规和招标文件的规定，对投标人的资格进行审查。</w:t>
      </w:r>
    </w:p>
    <w:p w14:paraId="757A0EE5">
      <w:pPr>
        <w:pStyle w:val="129"/>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19.2投标人未按照招标文件要求提供与</w:t>
      </w:r>
      <w:r>
        <w:rPr>
          <w:rFonts w:hint="eastAsia" w:ascii="宋体" w:hAnsi="宋体" w:eastAsia="宋体" w:cs="宋体"/>
          <w:color w:val="auto"/>
          <w:highlight w:val="none"/>
        </w:rPr>
        <w:t>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投标人不具备招标文件中规定的资格要求，其投标无效。</w:t>
      </w:r>
    </w:p>
    <w:p w14:paraId="36626AAF">
      <w:pPr>
        <w:pStyle w:val="129"/>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rPr>
        <w:t>3对未通过资格审查的投标人，采购人或采购代理机构告知其未通过的原因。</w:t>
      </w:r>
    </w:p>
    <w:p w14:paraId="03B3E24F">
      <w:pPr>
        <w:pStyle w:val="129"/>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rPr>
        <w:t>4合格投标人不足3家的，不再评标。</w:t>
      </w:r>
    </w:p>
    <w:p w14:paraId="28F7BEAA">
      <w:pPr>
        <w:pStyle w:val="129"/>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20、信用信息查询</w:t>
      </w:r>
    </w:p>
    <w:p w14:paraId="62DDBF28">
      <w:pPr>
        <w:pStyle w:val="129"/>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20.1信用信息查询渠道及截止时间：采购代理机构将在资格审查时通过“信用中国”网站(www.creditchina.gov.cn)、中国政府采购网(www.ccgp.gov.cn)渠道查询投标人接受资格审查时的信用记录。</w:t>
      </w:r>
    </w:p>
    <w:p w14:paraId="693F7DBC">
      <w:pPr>
        <w:pStyle w:val="129"/>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20.2信用信息查询记录和证据留存的具体方式：现场查询的投标人的信用记录、查询结果经确认后将与采购文件一起存档。</w:t>
      </w:r>
    </w:p>
    <w:p w14:paraId="7D6303C3">
      <w:pPr>
        <w:pStyle w:val="129"/>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2DFFFEA9">
      <w:pPr>
        <w:pStyle w:val="129"/>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p>
    <w:p w14:paraId="5B33FA40">
      <w:pPr>
        <w:pStyle w:val="129"/>
        <w:spacing w:before="0"/>
        <w:ind w:firstLine="0" w:firstLineChars="0"/>
        <w:rPr>
          <w:rFonts w:hint="eastAsia" w:ascii="宋体" w:hAnsi="宋体" w:eastAsia="宋体" w:cs="宋体"/>
          <w:color w:val="auto"/>
          <w:kern w:val="0"/>
          <w:szCs w:val="24"/>
          <w:highlight w:val="none"/>
        </w:rPr>
      </w:pPr>
    </w:p>
    <w:p w14:paraId="3C66B469">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五、评标</w:t>
      </w:r>
    </w:p>
    <w:p w14:paraId="02360914">
      <w:pPr>
        <w:spacing w:line="360" w:lineRule="auto"/>
        <w:rPr>
          <w:rFonts w:hint="eastAsia" w:ascii="宋体" w:hAnsi="宋体" w:eastAsia="宋体" w:cs="宋体"/>
          <w:b/>
          <w:color w:val="auto"/>
          <w:sz w:val="24"/>
          <w:highlight w:val="none"/>
        </w:rPr>
      </w:pPr>
      <w:bookmarkStart w:id="18" w:name="_Toc91899903"/>
      <w:r>
        <w:rPr>
          <w:rFonts w:hint="eastAsia" w:ascii="宋体" w:hAnsi="宋体" w:eastAsia="宋体" w:cs="宋体"/>
          <w:b/>
          <w:color w:val="auto"/>
          <w:sz w:val="24"/>
          <w:highlight w:val="none"/>
        </w:rPr>
        <w:t>21.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4"/>
          <w:highlight w:val="none"/>
        </w:rPr>
        <w:t>详见招标文件第四部分评标办法。</w:t>
      </w:r>
    </w:p>
    <w:p w14:paraId="5EEFDAAC">
      <w:pPr>
        <w:spacing w:line="360" w:lineRule="auto"/>
        <w:rPr>
          <w:rFonts w:hint="eastAsia" w:ascii="宋体" w:hAnsi="宋体" w:eastAsia="宋体" w:cs="宋体"/>
          <w:b/>
          <w:color w:val="auto"/>
          <w:sz w:val="24"/>
          <w:highlight w:val="none"/>
        </w:rPr>
      </w:pPr>
    </w:p>
    <w:p w14:paraId="1EA070E9">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六、定 标</w:t>
      </w:r>
    </w:p>
    <w:p w14:paraId="309E400E">
      <w:pPr>
        <w:pStyle w:val="25"/>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22. 确定中标供应商</w:t>
      </w:r>
    </w:p>
    <w:p w14:paraId="5071F508">
      <w:pPr>
        <w:pStyle w:val="129"/>
        <w:snapToGrid w:val="0"/>
        <w:spacing w:before="0"/>
        <w:ind w:firstLine="48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65649C4B">
      <w:pPr>
        <w:pStyle w:val="129"/>
        <w:snapToGrid w:val="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23. 中标通知与中标结果公告</w:t>
      </w:r>
    </w:p>
    <w:p w14:paraId="69FDA0C6">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14:paraId="4A7B9820">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C98D6DE">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23.3公告期限为1个工作日。</w:t>
      </w:r>
    </w:p>
    <w:p w14:paraId="4FE16E91">
      <w:pPr>
        <w:snapToGrid w:val="0"/>
        <w:spacing w:line="360" w:lineRule="auto"/>
        <w:ind w:left="120" w:leftChars="57" w:firstLine="482" w:firstLineChars="150"/>
        <w:jc w:val="center"/>
        <w:rPr>
          <w:rFonts w:hint="eastAsia" w:ascii="宋体" w:hAnsi="宋体" w:eastAsia="宋体" w:cs="宋体"/>
          <w:b/>
          <w:color w:val="auto"/>
          <w:sz w:val="32"/>
          <w:highlight w:val="none"/>
        </w:rPr>
      </w:pPr>
    </w:p>
    <w:p w14:paraId="6D55C7B8">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七、合同授予</w:t>
      </w:r>
    </w:p>
    <w:p w14:paraId="18B1E48C">
      <w:pPr>
        <w:pStyle w:val="25"/>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 xml:space="preserve">24. </w:t>
      </w:r>
      <w:r>
        <w:rPr>
          <w:rFonts w:hint="eastAsia" w:ascii="宋体" w:hAnsi="宋体" w:eastAsia="宋体" w:cs="宋体"/>
          <w:color w:val="auto"/>
          <w:highlight w:val="none"/>
        </w:rPr>
        <w:t>合同主要条款详见第五部分拟签订的合同文本。</w:t>
      </w:r>
    </w:p>
    <w:p w14:paraId="18C274B4">
      <w:pPr>
        <w:pStyle w:val="25"/>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25. 合同的签订</w:t>
      </w:r>
    </w:p>
    <w:p w14:paraId="2D339CB4">
      <w:pPr>
        <w:widowControl/>
        <w:shd w:val="clear" w:color="auto" w:fill="FFFFFF"/>
        <w:spacing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25.1</w:t>
      </w:r>
      <w:r>
        <w:rPr>
          <w:rFonts w:hint="eastAsia" w:ascii="宋体" w:hAnsi="宋体" w:eastAsia="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C297E0C">
      <w:pPr>
        <w:pStyle w:val="129"/>
        <w:snapToGrid w:val="0"/>
        <w:spacing w:before="0"/>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649671F">
      <w:pPr>
        <w:pStyle w:val="129"/>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25.3如签订合同并生效后，供应商无故拒绝或延期，除按照合同条款处理外，列入不良行为记录一次，并给予通报。</w:t>
      </w:r>
    </w:p>
    <w:p w14:paraId="2733A319">
      <w:pPr>
        <w:pStyle w:val="129"/>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2BF626E0">
      <w:pPr>
        <w:pStyle w:val="129"/>
        <w:snapToGrid w:val="0"/>
        <w:spacing w:before="0" w:after="120"/>
        <w:ind w:firstLine="480"/>
        <w:rPr>
          <w:rFonts w:hint="eastAsia" w:ascii="宋体" w:hAnsi="宋体" w:eastAsia="宋体" w:cs="宋体"/>
          <w:color w:val="auto"/>
          <w:highlight w:val="none"/>
        </w:rPr>
      </w:pPr>
      <w:r>
        <w:rPr>
          <w:rFonts w:hint="eastAsia" w:ascii="宋体" w:hAnsi="宋体" w:eastAsia="宋体" w:cs="宋体"/>
          <w:color w:val="auto"/>
          <w:highlight w:val="none"/>
        </w:rPr>
        <w:t>25.5采购合同由采购人与中标供应商根据招标文件、投标文件等内容通过政府采购电子交易平台在线签订，自动备案。</w:t>
      </w:r>
    </w:p>
    <w:p w14:paraId="708965D1">
      <w:pPr>
        <w:pStyle w:val="25"/>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26. 履约保证金</w:t>
      </w:r>
    </w:p>
    <w:p w14:paraId="63B477FB">
      <w:pPr>
        <w:tabs>
          <w:tab w:val="left" w:pos="0"/>
        </w:tabs>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B43F8D6">
      <w:pPr>
        <w:tabs>
          <w:tab w:val="left" w:pos="0"/>
        </w:tabs>
        <w:spacing w:line="360" w:lineRule="auto"/>
        <w:ind w:firstLine="482"/>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lang w:val="en-US"/>
        </w:rPr>
        <w:t>可</w:t>
      </w:r>
      <w:r>
        <w:rPr>
          <w:rFonts w:hint="eastAsia" w:ascii="宋体" w:hAnsi="宋体" w:eastAsia="宋体" w:cs="宋体"/>
          <w:color w:val="auto"/>
          <w:kern w:val="0"/>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B6E6A9A">
      <w:pPr>
        <w:tabs>
          <w:tab w:val="left" w:pos="0"/>
        </w:tabs>
        <w:spacing w:line="360" w:lineRule="auto"/>
        <w:ind w:firstLine="482"/>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rPr>
        <w:t>27.预付款</w:t>
      </w:r>
    </w:p>
    <w:p w14:paraId="1A5DE5F3">
      <w:pPr>
        <w:adjustRightInd/>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417A58B2">
      <w:pPr>
        <w:rPr>
          <w:rFonts w:hint="eastAsia" w:ascii="宋体" w:hAnsi="宋体" w:eastAsia="宋体" w:cs="宋体"/>
          <w:color w:val="auto"/>
          <w:highlight w:val="none"/>
        </w:rPr>
      </w:pPr>
    </w:p>
    <w:p w14:paraId="219E3B2E">
      <w:pPr>
        <w:snapToGrid w:val="0"/>
        <w:spacing w:line="360" w:lineRule="auto"/>
        <w:ind w:firstLine="3357" w:firstLineChars="1045"/>
        <w:rPr>
          <w:rFonts w:hint="eastAsia" w:ascii="宋体" w:hAnsi="宋体" w:eastAsia="宋体" w:cs="宋体"/>
          <w:b/>
          <w:color w:val="auto"/>
          <w:sz w:val="32"/>
          <w:highlight w:val="none"/>
        </w:rPr>
      </w:pPr>
    </w:p>
    <w:p w14:paraId="6F816B7D">
      <w:pPr>
        <w:snapToGrid w:val="0"/>
        <w:spacing w:line="360" w:lineRule="auto"/>
        <w:ind w:firstLine="3357" w:firstLineChars="1045"/>
        <w:rPr>
          <w:rFonts w:hint="eastAsia" w:ascii="宋体" w:hAnsi="宋体" w:eastAsia="宋体" w:cs="宋体"/>
          <w:b/>
          <w:color w:val="auto"/>
          <w:sz w:val="24"/>
          <w:highlight w:val="none"/>
        </w:rPr>
      </w:pPr>
      <w:r>
        <w:rPr>
          <w:rFonts w:hint="eastAsia" w:ascii="宋体" w:hAnsi="宋体" w:eastAsia="宋体" w:cs="宋体"/>
          <w:b/>
          <w:color w:val="auto"/>
          <w:sz w:val="32"/>
          <w:highlight w:val="none"/>
        </w:rPr>
        <w:t>八、电子交易活动的中止</w:t>
      </w:r>
    </w:p>
    <w:p w14:paraId="65C4AAE1">
      <w:pPr>
        <w:pStyle w:val="129"/>
        <w:snapToGrid w:val="0"/>
        <w:spacing w:before="0"/>
        <w:ind w:firstLine="0" w:firstLineChars="0"/>
        <w:rPr>
          <w:rFonts w:hint="eastAsia" w:ascii="宋体" w:hAnsi="宋体" w:eastAsia="宋体" w:cs="宋体"/>
          <w:color w:val="auto"/>
          <w:highlight w:val="none"/>
        </w:rPr>
      </w:pPr>
      <w:r>
        <w:rPr>
          <w:rFonts w:hint="eastAsia" w:ascii="宋体" w:hAnsi="宋体" w:eastAsia="宋体" w:cs="宋体"/>
          <w:b/>
          <w:bCs/>
          <w:color w:val="auto"/>
          <w:highlight w:val="none"/>
        </w:rPr>
        <w:t>2</w:t>
      </w:r>
      <w:r>
        <w:rPr>
          <w:rFonts w:hint="eastAsia" w:ascii="宋体" w:hAnsi="宋体" w:eastAsia="宋体" w:cs="宋体"/>
          <w:b/>
          <w:bCs/>
          <w:color w:val="auto"/>
          <w:szCs w:val="24"/>
          <w:highlight w:val="none"/>
        </w:rPr>
        <w:t>8</w:t>
      </w:r>
      <w:r>
        <w:rPr>
          <w:rFonts w:hint="eastAsia" w:ascii="宋体" w:hAnsi="宋体" w:eastAsia="宋体" w:cs="宋体"/>
          <w:b/>
          <w:color w:val="auto"/>
          <w:szCs w:val="24"/>
          <w:highlight w:val="none"/>
        </w:rPr>
        <w:t>. 电子交易活动的中止。</w:t>
      </w:r>
      <w:r>
        <w:rPr>
          <w:rFonts w:hint="eastAsia" w:ascii="宋体" w:hAnsi="宋体" w:eastAsia="宋体" w:cs="宋体"/>
          <w:color w:val="auto"/>
          <w:highlight w:val="none"/>
        </w:rPr>
        <w:t>采购过程中出现以下情形，导致电子交易平台无法正常运行，或者无法保证电子交易的公平、公正和安全时，采购代理机构可中止电子交易活动：</w:t>
      </w:r>
    </w:p>
    <w:p w14:paraId="3D7EAC7A">
      <w:pPr>
        <w:pStyle w:val="129"/>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28.1电子交易平台发生故障而无法登录访问的； </w:t>
      </w:r>
    </w:p>
    <w:p w14:paraId="024D89C1">
      <w:pPr>
        <w:pStyle w:val="129"/>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28.2电子交易平台应用或数据库出现错误，不能进行正常操作的；</w:t>
      </w:r>
    </w:p>
    <w:p w14:paraId="126B2AB4">
      <w:pPr>
        <w:pStyle w:val="129"/>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28.3电子交易平台发现严重安全漏洞，有潜在泄密危险的；</w:t>
      </w:r>
    </w:p>
    <w:p w14:paraId="0F215546">
      <w:pPr>
        <w:pStyle w:val="129"/>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28.4病毒发作导致不能进行正常操作的； </w:t>
      </w:r>
    </w:p>
    <w:p w14:paraId="33029397">
      <w:pPr>
        <w:pStyle w:val="129"/>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28.5其他无法保证电子交易的公平、公正和安全的情况。</w:t>
      </w:r>
    </w:p>
    <w:p w14:paraId="29B74BC9">
      <w:pPr>
        <w:pStyle w:val="129"/>
        <w:snapToGrid w:val="0"/>
        <w:spacing w:before="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28EB98C0">
      <w:pPr>
        <w:tabs>
          <w:tab w:val="left" w:pos="0"/>
        </w:tabs>
        <w:spacing w:line="360" w:lineRule="auto"/>
        <w:ind w:firstLine="480"/>
        <w:rPr>
          <w:rFonts w:hint="eastAsia" w:ascii="宋体" w:hAnsi="宋体" w:eastAsia="宋体" w:cs="宋体"/>
          <w:color w:val="auto"/>
          <w:sz w:val="24"/>
          <w:highlight w:val="none"/>
        </w:rPr>
      </w:pPr>
    </w:p>
    <w:p w14:paraId="41A19950">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14:paraId="132C7CC9">
      <w:pPr>
        <w:pStyle w:val="25"/>
        <w:spacing w:line="360" w:lineRule="auto"/>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30.验收</w:t>
      </w:r>
    </w:p>
    <w:p w14:paraId="22B2C513">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8F53795">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76DF2B71">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A796E29">
      <w:pPr>
        <w:tabs>
          <w:tab w:val="left" w:pos="0"/>
        </w:tabs>
        <w:spacing w:line="360" w:lineRule="auto"/>
        <w:ind w:firstLine="480"/>
        <w:rPr>
          <w:rFonts w:hint="eastAsia" w:ascii="宋体" w:hAnsi="宋体" w:eastAsia="宋体" w:cs="宋体"/>
          <w:color w:val="auto"/>
          <w:sz w:val="18"/>
          <w:szCs w:val="18"/>
          <w:highlight w:val="none"/>
        </w:rPr>
      </w:pPr>
      <w:r>
        <w:rPr>
          <w:rFonts w:hint="eastAsia" w:ascii="宋体" w:hAnsi="宋体" w:eastAsia="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14:paraId="00963288">
      <w:pPr>
        <w:tabs>
          <w:tab w:val="left" w:pos="0"/>
        </w:tabs>
        <w:spacing w:line="360" w:lineRule="auto"/>
        <w:ind w:firstLine="480"/>
        <w:rPr>
          <w:rFonts w:hint="eastAsia" w:ascii="宋体" w:hAnsi="宋体" w:eastAsia="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74729768"/>
      <w:bookmarkEnd w:id="19"/>
      <w:bookmarkStart w:id="20" w:name="_Hlt68057669"/>
      <w:bookmarkEnd w:id="20"/>
      <w:bookmarkStart w:id="21" w:name="_Hlt74707468"/>
      <w:bookmarkEnd w:id="21"/>
      <w:bookmarkStart w:id="22" w:name="_Hlt68073093"/>
      <w:bookmarkEnd w:id="22"/>
      <w:bookmarkStart w:id="23" w:name="_Hlt68403820"/>
      <w:bookmarkEnd w:id="23"/>
      <w:bookmarkStart w:id="24" w:name="_Hlt75236011"/>
      <w:bookmarkEnd w:id="24"/>
      <w:bookmarkStart w:id="25" w:name="_Hlt74730295"/>
      <w:bookmarkEnd w:id="25"/>
      <w:bookmarkStart w:id="26" w:name="_Hlt68072990"/>
      <w:bookmarkEnd w:id="26"/>
      <w:bookmarkStart w:id="27" w:name="_Hlt68072998"/>
      <w:bookmarkEnd w:id="27"/>
      <w:bookmarkStart w:id="28" w:name="_Hlt75236101"/>
      <w:bookmarkEnd w:id="28"/>
      <w:bookmarkStart w:id="29" w:name="_Hlt75236290"/>
      <w:bookmarkEnd w:id="29"/>
      <w:bookmarkStart w:id="30" w:name="_Hlt74714665"/>
      <w:bookmarkEnd w:id="30"/>
    </w:p>
    <w:bookmarkEnd w:id="13"/>
    <w:bookmarkEnd w:id="14"/>
    <w:p w14:paraId="3FA38643">
      <w:pPr>
        <w:numPr>
          <w:ilvl w:val="0"/>
          <w:numId w:val="2"/>
        </w:numPr>
        <w:spacing w:line="360" w:lineRule="auto"/>
        <w:jc w:val="center"/>
        <w:outlineLvl w:val="0"/>
        <w:rPr>
          <w:rFonts w:hint="eastAsia" w:ascii="宋体" w:hAnsi="宋体" w:eastAsia="宋体" w:cs="宋体"/>
          <w:b/>
          <w:color w:val="auto"/>
          <w:sz w:val="36"/>
          <w:szCs w:val="36"/>
          <w:highlight w:val="none"/>
        </w:rPr>
      </w:pPr>
      <w:bookmarkStart w:id="31" w:name="第四部分"/>
      <w:r>
        <w:rPr>
          <w:rFonts w:hint="eastAsia" w:ascii="宋体" w:hAnsi="宋体" w:eastAsia="宋体" w:cs="宋体"/>
          <w:b/>
          <w:color w:val="auto"/>
          <w:sz w:val="36"/>
          <w:szCs w:val="36"/>
          <w:highlight w:val="none"/>
        </w:rPr>
        <w:t xml:space="preserve">  采购需求</w:t>
      </w:r>
    </w:p>
    <w:p w14:paraId="4D632CA3">
      <w:pPr>
        <w:snapToGrid w:val="0"/>
        <w:spacing w:line="360" w:lineRule="auto"/>
        <w:ind w:left="120" w:leftChars="57" w:firstLine="482" w:firstLineChars="150"/>
        <w:jc w:val="center"/>
        <w:rPr>
          <w:rStyle w:val="353"/>
          <w:rFonts w:hint="eastAsia" w:ascii="宋体" w:hAnsi="宋体" w:eastAsia="宋体" w:cs="宋体"/>
          <w:color w:val="auto"/>
          <w:spacing w:val="0"/>
          <w:sz w:val="32"/>
          <w:szCs w:val="20"/>
          <w:highlight w:val="none"/>
        </w:rPr>
      </w:pPr>
    </w:p>
    <w:p w14:paraId="421A5FF9">
      <w:pPr>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一、采购内容及数量</w:t>
      </w:r>
    </w:p>
    <w:tbl>
      <w:tblPr>
        <w:tblStyle w:val="62"/>
        <w:tblpPr w:leftFromText="180" w:rightFromText="180" w:vertAnchor="text" w:horzAnchor="page" w:tblpXSpec="center" w:tblpY="10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3113"/>
        <w:gridCol w:w="2451"/>
        <w:gridCol w:w="950"/>
        <w:gridCol w:w="825"/>
        <w:gridCol w:w="1385"/>
        <w:gridCol w:w="750"/>
      </w:tblGrid>
      <w:tr w14:paraId="782F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434" w:type="dxa"/>
            <w:noWrap w:val="0"/>
            <w:vAlign w:val="center"/>
          </w:tcPr>
          <w:p w14:paraId="0AADB7F7">
            <w:pPr>
              <w:widowControl/>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3113" w:type="dxa"/>
            <w:noWrap w:val="0"/>
            <w:vAlign w:val="center"/>
          </w:tcPr>
          <w:p w14:paraId="746D64AE">
            <w:pPr>
              <w:widowControl/>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项目名称</w:t>
            </w:r>
          </w:p>
        </w:tc>
        <w:tc>
          <w:tcPr>
            <w:tcW w:w="2451" w:type="dxa"/>
            <w:noWrap w:val="0"/>
            <w:vAlign w:val="center"/>
          </w:tcPr>
          <w:p w14:paraId="3503AF48">
            <w:pPr>
              <w:widowControl/>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主要技术参数及要求</w:t>
            </w:r>
          </w:p>
        </w:tc>
        <w:tc>
          <w:tcPr>
            <w:tcW w:w="950" w:type="dxa"/>
            <w:noWrap w:val="0"/>
            <w:vAlign w:val="center"/>
          </w:tcPr>
          <w:p w14:paraId="4EA1DCB2">
            <w:pPr>
              <w:widowControl/>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单位</w:t>
            </w:r>
          </w:p>
        </w:tc>
        <w:tc>
          <w:tcPr>
            <w:tcW w:w="825" w:type="dxa"/>
            <w:noWrap w:val="0"/>
            <w:vAlign w:val="center"/>
          </w:tcPr>
          <w:p w14:paraId="539107B0">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385" w:type="dxa"/>
            <w:noWrap w:val="0"/>
            <w:vAlign w:val="center"/>
          </w:tcPr>
          <w:p w14:paraId="419C788B">
            <w:pPr>
              <w:keepNext w:val="0"/>
              <w:keepLines w:val="0"/>
              <w:pageBreakBefore w:val="0"/>
              <w:widowControl/>
              <w:tabs>
                <w:tab w:val="left" w:pos="360"/>
              </w:tabs>
              <w:kinsoku/>
              <w:wordWrap/>
              <w:overflowPunct/>
              <w:topLinePunct w:val="0"/>
              <w:autoSpaceDE/>
              <w:autoSpaceDN/>
              <w:bidi w:val="0"/>
              <w:snapToGrid/>
              <w:spacing w:line="0" w:lineRule="atLeast"/>
              <w:jc w:val="center"/>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最高限价</w:t>
            </w:r>
          </w:p>
          <w:p w14:paraId="36285EA6">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（元）</w:t>
            </w:r>
          </w:p>
        </w:tc>
        <w:tc>
          <w:tcPr>
            <w:tcW w:w="750" w:type="dxa"/>
            <w:noWrap w:val="0"/>
            <w:vAlign w:val="center"/>
          </w:tcPr>
          <w:p w14:paraId="18E8436A">
            <w:pPr>
              <w:widowControl/>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297B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434" w:type="dxa"/>
            <w:noWrap w:val="0"/>
            <w:vAlign w:val="center"/>
          </w:tcPr>
          <w:p w14:paraId="3BBEA282">
            <w:pPr>
              <w:widowControl/>
              <w:jc w:val="center"/>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1</w:t>
            </w:r>
          </w:p>
        </w:tc>
        <w:tc>
          <w:tcPr>
            <w:tcW w:w="3113" w:type="dxa"/>
            <w:noWrap w:val="0"/>
            <w:vAlign w:val="center"/>
          </w:tcPr>
          <w:p w14:paraId="54FC3D20">
            <w:pPr>
              <w:jc w:val="center"/>
              <w:rPr>
                <w:rFonts w:hint="eastAsia" w:ascii="宋体" w:hAnsi="宋体" w:eastAsia="宋体" w:cs="宋体"/>
                <w:b/>
                <w:color w:val="auto"/>
                <w:sz w:val="24"/>
                <w:highlight w:val="none"/>
                <w:lang w:eastAsia="zh-CN"/>
              </w:rPr>
            </w:pPr>
            <w:r>
              <w:rPr>
                <w:rFonts w:hint="eastAsia" w:ascii="宋体" w:hAnsi="宋体" w:cs="宋体"/>
                <w:color w:val="auto"/>
                <w:sz w:val="24"/>
                <w:highlight w:val="none"/>
                <w:u w:val="single"/>
                <w:lang w:val="en-US" w:eastAsia="zh-CN"/>
              </w:rPr>
              <w:t>建德市寿昌镇人民政府2025年寿昌初级中学改扩建-艺体楼设备采购项目</w:t>
            </w:r>
          </w:p>
        </w:tc>
        <w:tc>
          <w:tcPr>
            <w:tcW w:w="2451" w:type="dxa"/>
            <w:noWrap w:val="0"/>
            <w:vAlign w:val="center"/>
          </w:tcPr>
          <w:p w14:paraId="58797253">
            <w:pPr>
              <w:widowControl/>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详见</w:t>
            </w:r>
          </w:p>
          <w:p w14:paraId="7D474221">
            <w:pPr>
              <w:widowControl/>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“二、采购需求”</w:t>
            </w:r>
          </w:p>
        </w:tc>
        <w:tc>
          <w:tcPr>
            <w:tcW w:w="950" w:type="dxa"/>
            <w:noWrap w:val="0"/>
            <w:vAlign w:val="center"/>
          </w:tcPr>
          <w:p w14:paraId="247AAAD6">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批</w:t>
            </w:r>
          </w:p>
        </w:tc>
        <w:tc>
          <w:tcPr>
            <w:tcW w:w="825" w:type="dxa"/>
            <w:noWrap w:val="0"/>
            <w:vAlign w:val="center"/>
          </w:tcPr>
          <w:p w14:paraId="5AA8C685">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w:t>
            </w:r>
          </w:p>
        </w:tc>
        <w:tc>
          <w:tcPr>
            <w:tcW w:w="1385" w:type="dxa"/>
            <w:noWrap w:val="0"/>
            <w:vAlign w:val="center"/>
          </w:tcPr>
          <w:p w14:paraId="16054FED">
            <w:pPr>
              <w:jc w:val="center"/>
              <w:rPr>
                <w:rFonts w:hint="eastAsia" w:ascii="宋体" w:hAnsi="宋体" w:eastAsia="宋体" w:cs="宋体"/>
                <w:b/>
                <w:color w:val="auto"/>
                <w:sz w:val="24"/>
                <w:highlight w:val="none"/>
                <w:lang w:val="en-US"/>
              </w:rPr>
            </w:pPr>
            <w:r>
              <w:rPr>
                <w:rFonts w:hint="eastAsia" w:ascii="宋体" w:hAnsi="宋体" w:cs="宋体"/>
                <w:b/>
                <w:color w:val="auto"/>
                <w:sz w:val="24"/>
                <w:highlight w:val="none"/>
                <w:lang w:val="en-US" w:eastAsia="zh-CN"/>
              </w:rPr>
              <w:t>599088.00</w:t>
            </w:r>
          </w:p>
        </w:tc>
        <w:tc>
          <w:tcPr>
            <w:tcW w:w="750" w:type="dxa"/>
            <w:noWrap w:val="0"/>
            <w:vAlign w:val="center"/>
          </w:tcPr>
          <w:p w14:paraId="1803FCC4">
            <w:pPr>
              <w:widowControl/>
              <w:jc w:val="center"/>
              <w:rPr>
                <w:rFonts w:hint="eastAsia" w:ascii="宋体" w:hAnsi="宋体" w:eastAsia="宋体" w:cs="宋体"/>
                <w:b/>
                <w:color w:val="auto"/>
                <w:sz w:val="24"/>
                <w:highlight w:val="none"/>
              </w:rPr>
            </w:pPr>
          </w:p>
        </w:tc>
      </w:tr>
      <w:tr w14:paraId="542A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908" w:type="dxa"/>
            <w:gridSpan w:val="7"/>
            <w:noWrap w:val="0"/>
            <w:vAlign w:val="center"/>
          </w:tcPr>
          <w:p w14:paraId="785121F9">
            <w:pPr>
              <w:widowControl/>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预算总价：人民币（大写）</w:t>
            </w:r>
            <w:r>
              <w:rPr>
                <w:rFonts w:hint="eastAsia" w:ascii="宋体" w:hAnsi="宋体" w:cs="宋体"/>
                <w:b/>
                <w:color w:val="auto"/>
                <w:sz w:val="24"/>
                <w:highlight w:val="none"/>
                <w:lang w:eastAsia="zh-CN"/>
              </w:rPr>
              <w:t>伍拾玖万玖仟零捌拾捌</w:t>
            </w:r>
            <w:r>
              <w:rPr>
                <w:rFonts w:hint="eastAsia" w:ascii="宋体" w:hAnsi="宋体" w:eastAsia="宋体" w:cs="宋体"/>
                <w:b/>
                <w:color w:val="auto"/>
                <w:sz w:val="24"/>
                <w:highlight w:val="none"/>
              </w:rPr>
              <w:t>元整</w:t>
            </w:r>
          </w:p>
        </w:tc>
      </w:tr>
    </w:tbl>
    <w:p w14:paraId="40B5D59C">
      <w:pPr>
        <w:rPr>
          <w:rFonts w:hint="eastAsia" w:ascii="宋体" w:hAnsi="宋体" w:eastAsia="宋体" w:cs="宋体"/>
          <w:color w:val="auto"/>
          <w:sz w:val="24"/>
          <w:highlight w:val="none"/>
        </w:rPr>
      </w:pPr>
    </w:p>
    <w:p w14:paraId="0B9653DD">
      <w:pPr>
        <w:rPr>
          <w:rFonts w:hint="eastAsia" w:ascii="宋体" w:hAnsi="宋体" w:eastAsia="宋体" w:cs="宋体"/>
          <w:color w:val="auto"/>
          <w:sz w:val="24"/>
          <w:highlight w:val="none"/>
        </w:rPr>
      </w:pPr>
    </w:p>
    <w:p w14:paraId="73B19249">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注：本项目为交钥匙</w:t>
      </w:r>
      <w:r>
        <w:rPr>
          <w:rFonts w:hint="eastAsia" w:ascii="宋体" w:hAnsi="宋体" w:eastAsia="宋体" w:cs="宋体"/>
          <w:color w:val="auto"/>
          <w:sz w:val="24"/>
          <w:highlight w:val="none"/>
          <w:lang w:eastAsia="zh-CN"/>
        </w:rPr>
        <w:t>项目</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以上预算</w:t>
      </w:r>
      <w:r>
        <w:rPr>
          <w:rFonts w:hint="eastAsia" w:ascii="宋体" w:hAnsi="宋体" w:eastAsia="宋体" w:cs="宋体"/>
          <w:color w:val="auto"/>
          <w:sz w:val="24"/>
          <w:highlight w:val="none"/>
        </w:rPr>
        <w:t>总价</w:t>
      </w:r>
      <w:r>
        <w:rPr>
          <w:rFonts w:hint="eastAsia" w:ascii="宋体" w:hAnsi="宋体" w:cs="宋体"/>
          <w:color w:val="auto"/>
          <w:sz w:val="24"/>
          <w:highlight w:val="none"/>
          <w:lang w:eastAsia="zh-CN"/>
        </w:rPr>
        <w:t>包括但不限于达到生产、供货、运输装卸、安装调试、税金、产品保护、保险、备品备件、配件、附件、培训、验收、辅助工作维护等</w:t>
      </w:r>
      <w:r>
        <w:rPr>
          <w:rFonts w:hint="eastAsia" w:ascii="宋体" w:hAnsi="宋体" w:eastAsia="宋体" w:cs="宋体"/>
          <w:color w:val="auto"/>
          <w:sz w:val="24"/>
          <w:highlight w:val="none"/>
        </w:rPr>
        <w:t xml:space="preserve">及其他因本项目而产生的一切费用。 </w:t>
      </w:r>
    </w:p>
    <w:p w14:paraId="254A9224">
      <w:pPr>
        <w:rPr>
          <w:rFonts w:hint="eastAsia" w:ascii="宋体" w:hAnsi="宋体" w:eastAsia="宋体" w:cs="宋体"/>
          <w:color w:val="auto"/>
          <w:sz w:val="24"/>
          <w:highlight w:val="none"/>
        </w:rPr>
      </w:pPr>
    </w:p>
    <w:p w14:paraId="1A8BBCF0">
      <w:pPr>
        <w:numPr>
          <w:ilvl w:val="0"/>
          <w:numId w:val="3"/>
        </w:numPr>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采购需求</w:t>
      </w:r>
    </w:p>
    <w:p w14:paraId="22095BEE">
      <w:pPr>
        <w:numPr>
          <w:ilvl w:val="0"/>
          <w:numId w:val="0"/>
        </w:numPr>
        <w:spacing w:line="440" w:lineRule="exact"/>
        <w:jc w:val="left"/>
        <w:rPr>
          <w:rFonts w:hint="eastAsia" w:ascii="宋体" w:hAnsi="宋体" w:eastAsia="宋体" w:cs="宋体"/>
          <w:b/>
          <w:color w:val="auto"/>
          <w:sz w:val="24"/>
          <w:highlight w:val="none"/>
        </w:rPr>
      </w:pPr>
    </w:p>
    <w:tbl>
      <w:tblPr>
        <w:tblStyle w:val="62"/>
        <w:tblW w:w="10240" w:type="dxa"/>
        <w:tblInd w:w="-253" w:type="dxa"/>
        <w:tblLayout w:type="fixed"/>
        <w:tblCellMar>
          <w:top w:w="0" w:type="dxa"/>
          <w:left w:w="108" w:type="dxa"/>
          <w:bottom w:w="0" w:type="dxa"/>
          <w:right w:w="108" w:type="dxa"/>
        </w:tblCellMar>
      </w:tblPr>
      <w:tblGrid>
        <w:gridCol w:w="427"/>
        <w:gridCol w:w="794"/>
        <w:gridCol w:w="4042"/>
        <w:gridCol w:w="441"/>
        <w:gridCol w:w="427"/>
        <w:gridCol w:w="849"/>
        <w:gridCol w:w="766"/>
        <w:gridCol w:w="2494"/>
      </w:tblGrid>
      <w:tr w14:paraId="62054286">
        <w:tblPrEx>
          <w:tblCellMar>
            <w:top w:w="0" w:type="dxa"/>
            <w:left w:w="108" w:type="dxa"/>
            <w:bottom w:w="0" w:type="dxa"/>
            <w:right w:w="108" w:type="dxa"/>
          </w:tblCellMar>
        </w:tblPrEx>
        <w:trPr>
          <w:trHeight w:val="564" w:hRule="atLeast"/>
        </w:trPr>
        <w:tc>
          <w:tcPr>
            <w:tcW w:w="10240" w:type="dxa"/>
            <w:gridSpan w:val="8"/>
            <w:tcBorders>
              <w:top w:val="single" w:color="000000" w:sz="4" w:space="0"/>
              <w:left w:val="single" w:color="000000" w:sz="4" w:space="0"/>
              <w:bottom w:val="single" w:color="000000" w:sz="4" w:space="0"/>
              <w:right w:val="single" w:color="000000" w:sz="4" w:space="0"/>
            </w:tcBorders>
            <w:shd w:val="clear" w:color="auto" w:fill="0070C0"/>
            <w:noWrap/>
            <w:vAlign w:val="center"/>
          </w:tcPr>
          <w:p w14:paraId="3084CA2C">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rPr>
            </w:pPr>
            <w:bookmarkStart w:id="32" w:name="OLE_LINK1"/>
            <w:r>
              <w:rPr>
                <w:rFonts w:hint="eastAsia" w:ascii="宋体" w:hAnsi="宋体" w:cs="宋体"/>
                <w:b/>
                <w:bCs/>
                <w:color w:val="auto"/>
                <w:kern w:val="0"/>
                <w:sz w:val="21"/>
                <w:szCs w:val="21"/>
                <w:highlight w:val="none"/>
              </w:rPr>
              <w:t>一楼扩声系统</w:t>
            </w:r>
          </w:p>
        </w:tc>
      </w:tr>
      <w:tr w14:paraId="2B60C180">
        <w:tblPrEx>
          <w:tblCellMar>
            <w:top w:w="0" w:type="dxa"/>
            <w:left w:w="108" w:type="dxa"/>
            <w:bottom w:w="0" w:type="dxa"/>
            <w:right w:w="108" w:type="dxa"/>
          </w:tblCellMar>
        </w:tblPrEx>
        <w:trPr>
          <w:trHeight w:val="24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9DA7">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序号</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1C5C">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设备名称</w:t>
            </w: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EDED">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参数</w:t>
            </w:r>
          </w:p>
        </w:tc>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8241">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数量</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532CC">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单位</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930A1">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单价（元）</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1B1C">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小计(元)</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84BF">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示意图片</w:t>
            </w:r>
          </w:p>
        </w:tc>
      </w:tr>
      <w:tr w14:paraId="3C9D8969">
        <w:tblPrEx>
          <w:tblCellMar>
            <w:top w:w="0" w:type="dxa"/>
            <w:left w:w="108" w:type="dxa"/>
            <w:bottom w:w="0" w:type="dxa"/>
            <w:right w:w="108" w:type="dxa"/>
          </w:tblCellMar>
        </w:tblPrEx>
        <w:trPr>
          <w:trHeight w:val="216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CA2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FFDF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主扩声线阵列</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全频扬声器</w:t>
            </w: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DC73">
            <w:pPr>
              <w:keepNext w:val="0"/>
              <w:keepLines w:val="0"/>
              <w:widowControl/>
              <w:suppressLineNumbers w:val="0"/>
              <w:spacing w:before="0" w:beforeAutospacing="0" w:after="0" w:afterAutospacing="0"/>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Engineering information技术参数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单元组成 Drivers　 LF:  2*8"  / HF:  2*1.75"</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额定功率Rated Power 500W</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额定阻抗(Nominal impedance) ≥16 ohms</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频率范围(Frequency Range) 70Hz-20KHz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灵敏度(Sensitivity(1m/1W)) ≥100 dB</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 xml:space="preserve">最大声压级(MAX SPL) ≥130 dB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辐射角度（Dispersion(H*V)):120°x 15°</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Construction </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97C5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13C4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只</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2D3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7740 </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63F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default" w:ascii="宋体" w:hAnsi="宋体" w:cs="宋体"/>
                <w:color w:val="auto"/>
                <w:kern w:val="0"/>
                <w:sz w:val="21"/>
                <w:szCs w:val="21"/>
                <w:highlight w:val="none"/>
              </w:rPr>
              <w:fldChar w:fldCharType="begin"/>
            </w:r>
            <w:r>
              <w:rPr>
                <w:rFonts w:hint="default" w:ascii="宋体" w:hAnsi="宋体" w:cs="宋体"/>
                <w:color w:val="auto"/>
                <w:kern w:val="0"/>
                <w:sz w:val="21"/>
                <w:szCs w:val="21"/>
                <w:highlight w:val="none"/>
              </w:rPr>
              <w:instrText xml:space="preserve"> =(f3*d3) </w:instrText>
            </w:r>
            <w:r>
              <w:rPr>
                <w:rFonts w:hint="default" w:ascii="宋体" w:hAnsi="宋体" w:cs="宋体"/>
                <w:color w:val="auto"/>
                <w:kern w:val="0"/>
                <w:sz w:val="21"/>
                <w:szCs w:val="21"/>
                <w:highlight w:val="none"/>
              </w:rPr>
              <w:fldChar w:fldCharType="separate"/>
            </w:r>
            <w:r>
              <w:rPr>
                <w:rFonts w:hint="default" w:ascii="宋体" w:hAnsi="宋体" w:cs="宋体"/>
                <w:color w:val="auto"/>
                <w:kern w:val="0"/>
                <w:sz w:val="21"/>
                <w:szCs w:val="21"/>
                <w:highlight w:val="none"/>
              </w:rPr>
              <w:t>61920</w:t>
            </w:r>
            <w:r>
              <w:rPr>
                <w:rFonts w:hint="default" w:ascii="宋体" w:hAnsi="宋体" w:cs="宋体"/>
                <w:color w:val="auto"/>
                <w:kern w:val="0"/>
                <w:sz w:val="21"/>
                <w:szCs w:val="21"/>
                <w:highlight w:val="none"/>
              </w:rPr>
              <w:fldChar w:fldCharType="end"/>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74A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61312" behindDoc="0" locked="0" layoutInCell="1" allowOverlap="1">
                  <wp:simplePos x="0" y="0"/>
                  <wp:positionH relativeFrom="column">
                    <wp:posOffset>227330</wp:posOffset>
                  </wp:positionH>
                  <wp:positionV relativeFrom="paragraph">
                    <wp:posOffset>531495</wp:posOffset>
                  </wp:positionV>
                  <wp:extent cx="1337945" cy="0"/>
                  <wp:effectExtent l="0" t="0" r="0" b="0"/>
                  <wp:wrapNone/>
                  <wp:docPr id="102" name="图片_13"/>
                  <wp:cNvGraphicFramePr/>
                  <a:graphic xmlns:a="http://schemas.openxmlformats.org/drawingml/2006/main">
                    <a:graphicData uri="http://schemas.openxmlformats.org/drawingml/2006/picture">
                      <pic:pic xmlns:pic="http://schemas.openxmlformats.org/drawingml/2006/picture">
                        <pic:nvPicPr>
                          <pic:cNvPr id="102" name="图片_13"/>
                          <pic:cNvPicPr/>
                        </pic:nvPicPr>
                        <pic:blipFill>
                          <a:blip r:embed="rId26"/>
                          <a:stretch>
                            <a:fillRect/>
                          </a:stretch>
                        </pic:blipFill>
                        <pic:spPr>
                          <a:xfrm>
                            <a:off x="0" y="0"/>
                            <a:ext cx="1337945" cy="0"/>
                          </a:xfrm>
                          <a:prstGeom prst="rect">
                            <a:avLst/>
                          </a:prstGeom>
                          <a:noFill/>
                          <a:ln>
                            <a:noFill/>
                          </a:ln>
                        </pic:spPr>
                      </pic:pic>
                    </a:graphicData>
                  </a:graphic>
                </wp:anchor>
              </w:drawing>
            </w:r>
            <w:r>
              <w:rPr>
                <w:rFonts w:hint="eastAsia" w:ascii="宋体" w:hAnsi="宋体" w:cs="宋体"/>
                <w:color w:val="auto"/>
                <w:kern w:val="0"/>
                <w:sz w:val="21"/>
                <w:szCs w:val="21"/>
                <w:highlight w:val="none"/>
                <w:bdr w:val="single" w:color="000000" w:sz="4" w:space="0"/>
              </w:rPr>
              <w:drawing>
                <wp:anchor distT="0" distB="0" distL="114300" distR="114300" simplePos="0" relativeHeight="251662336" behindDoc="0" locked="0" layoutInCell="1" allowOverlap="1">
                  <wp:simplePos x="0" y="0"/>
                  <wp:positionH relativeFrom="column">
                    <wp:posOffset>227330</wp:posOffset>
                  </wp:positionH>
                  <wp:positionV relativeFrom="paragraph">
                    <wp:posOffset>531495</wp:posOffset>
                  </wp:positionV>
                  <wp:extent cx="1337945" cy="0"/>
                  <wp:effectExtent l="0" t="0" r="0" b="0"/>
                  <wp:wrapNone/>
                  <wp:docPr id="100" name="图片_13_SpCnt_1"/>
                  <wp:cNvGraphicFramePr/>
                  <a:graphic xmlns:a="http://schemas.openxmlformats.org/drawingml/2006/main">
                    <a:graphicData uri="http://schemas.openxmlformats.org/drawingml/2006/picture">
                      <pic:pic xmlns:pic="http://schemas.openxmlformats.org/drawingml/2006/picture">
                        <pic:nvPicPr>
                          <pic:cNvPr id="100" name="图片_13_SpCnt_1"/>
                          <pic:cNvPicPr/>
                        </pic:nvPicPr>
                        <pic:blipFill>
                          <a:blip r:embed="rId26"/>
                          <a:stretch>
                            <a:fillRect/>
                          </a:stretch>
                        </pic:blipFill>
                        <pic:spPr>
                          <a:xfrm>
                            <a:off x="0" y="0"/>
                            <a:ext cx="1337945" cy="0"/>
                          </a:xfrm>
                          <a:prstGeom prst="rect">
                            <a:avLst/>
                          </a:prstGeom>
                          <a:noFill/>
                          <a:ln>
                            <a:noFill/>
                          </a:ln>
                        </pic:spPr>
                      </pic:pic>
                    </a:graphicData>
                  </a:graphic>
                </wp:anchor>
              </w:drawing>
            </w:r>
            <w:r>
              <w:rPr>
                <w:rFonts w:hint="eastAsia" w:ascii="宋体" w:hAnsi="宋体" w:cs="宋体"/>
                <w:color w:val="auto"/>
                <w:kern w:val="0"/>
                <w:sz w:val="21"/>
                <w:szCs w:val="21"/>
                <w:highlight w:val="none"/>
                <w:bdr w:val="single" w:color="000000" w:sz="4" w:space="0"/>
              </w:rPr>
              <w:drawing>
                <wp:anchor distT="0" distB="0" distL="114300" distR="114300" simplePos="0" relativeHeight="251663360" behindDoc="0" locked="0" layoutInCell="1" allowOverlap="1">
                  <wp:simplePos x="0" y="0"/>
                  <wp:positionH relativeFrom="column">
                    <wp:posOffset>227330</wp:posOffset>
                  </wp:positionH>
                  <wp:positionV relativeFrom="paragraph">
                    <wp:posOffset>531495</wp:posOffset>
                  </wp:positionV>
                  <wp:extent cx="1337945" cy="0"/>
                  <wp:effectExtent l="0" t="0" r="0" b="0"/>
                  <wp:wrapNone/>
                  <wp:docPr id="101" name="图片_13_SpCnt_2"/>
                  <wp:cNvGraphicFramePr/>
                  <a:graphic xmlns:a="http://schemas.openxmlformats.org/drawingml/2006/main">
                    <a:graphicData uri="http://schemas.openxmlformats.org/drawingml/2006/picture">
                      <pic:pic xmlns:pic="http://schemas.openxmlformats.org/drawingml/2006/picture">
                        <pic:nvPicPr>
                          <pic:cNvPr id="101" name="图片_13_SpCnt_2"/>
                          <pic:cNvPicPr/>
                        </pic:nvPicPr>
                        <pic:blipFill>
                          <a:blip r:embed="rId26"/>
                          <a:stretch>
                            <a:fillRect/>
                          </a:stretch>
                        </pic:blipFill>
                        <pic:spPr>
                          <a:xfrm>
                            <a:off x="0" y="0"/>
                            <a:ext cx="1337945" cy="0"/>
                          </a:xfrm>
                          <a:prstGeom prst="rect">
                            <a:avLst/>
                          </a:prstGeom>
                          <a:noFill/>
                          <a:ln>
                            <a:noFill/>
                          </a:ln>
                        </pic:spPr>
                      </pic:pic>
                    </a:graphicData>
                  </a:graphic>
                </wp:anchor>
              </w:drawing>
            </w:r>
            <w:r>
              <w:rPr>
                <w:rFonts w:hint="eastAsia" w:ascii="宋体" w:hAnsi="宋体" w:cs="宋体"/>
                <w:color w:val="auto"/>
                <w:kern w:val="0"/>
                <w:sz w:val="21"/>
                <w:szCs w:val="21"/>
                <w:highlight w:val="none"/>
                <w:bdr w:val="single" w:color="000000" w:sz="4" w:space="0"/>
              </w:rPr>
              <w:drawing>
                <wp:anchor distT="0" distB="0" distL="114300" distR="114300" simplePos="0" relativeHeight="251664384" behindDoc="0" locked="0" layoutInCell="1" allowOverlap="1">
                  <wp:simplePos x="0" y="0"/>
                  <wp:positionH relativeFrom="column">
                    <wp:posOffset>227330</wp:posOffset>
                  </wp:positionH>
                  <wp:positionV relativeFrom="paragraph">
                    <wp:posOffset>531495</wp:posOffset>
                  </wp:positionV>
                  <wp:extent cx="1337945" cy="0"/>
                  <wp:effectExtent l="0" t="0" r="0" b="0"/>
                  <wp:wrapNone/>
                  <wp:docPr id="103" name="图片_13_SpCnt_3"/>
                  <wp:cNvGraphicFramePr/>
                  <a:graphic xmlns:a="http://schemas.openxmlformats.org/drawingml/2006/main">
                    <a:graphicData uri="http://schemas.openxmlformats.org/drawingml/2006/picture">
                      <pic:pic xmlns:pic="http://schemas.openxmlformats.org/drawingml/2006/picture">
                        <pic:nvPicPr>
                          <pic:cNvPr id="103" name="图片_13_SpCnt_3"/>
                          <pic:cNvPicPr/>
                        </pic:nvPicPr>
                        <pic:blipFill>
                          <a:blip r:embed="rId26"/>
                          <a:stretch>
                            <a:fillRect/>
                          </a:stretch>
                        </pic:blipFill>
                        <pic:spPr>
                          <a:xfrm>
                            <a:off x="0" y="0"/>
                            <a:ext cx="1337945" cy="0"/>
                          </a:xfrm>
                          <a:prstGeom prst="rect">
                            <a:avLst/>
                          </a:prstGeom>
                          <a:noFill/>
                          <a:ln>
                            <a:noFill/>
                          </a:ln>
                        </pic:spPr>
                      </pic:pic>
                    </a:graphicData>
                  </a:graphic>
                </wp:anchor>
              </w:drawing>
            </w:r>
            <w:r>
              <w:rPr>
                <w:rFonts w:hint="eastAsia" w:ascii="宋体" w:hAnsi="宋体" w:cs="宋体"/>
                <w:color w:val="auto"/>
                <w:kern w:val="0"/>
                <w:sz w:val="21"/>
                <w:szCs w:val="21"/>
                <w:highlight w:val="none"/>
                <w:bdr w:val="single" w:color="000000" w:sz="4" w:space="0"/>
              </w:rPr>
              <w:drawing>
                <wp:anchor distT="0" distB="0" distL="114300" distR="114300" simplePos="0" relativeHeight="251665408" behindDoc="0" locked="0" layoutInCell="1" allowOverlap="1">
                  <wp:simplePos x="0" y="0"/>
                  <wp:positionH relativeFrom="column">
                    <wp:posOffset>307340</wp:posOffset>
                  </wp:positionH>
                  <wp:positionV relativeFrom="paragraph">
                    <wp:posOffset>92710</wp:posOffset>
                  </wp:positionV>
                  <wp:extent cx="1160780" cy="666115"/>
                  <wp:effectExtent l="0" t="0" r="12700" b="4445"/>
                  <wp:wrapNone/>
                  <wp:docPr id="104" name="图片_10"/>
                  <wp:cNvGraphicFramePr/>
                  <a:graphic xmlns:a="http://schemas.openxmlformats.org/drawingml/2006/main">
                    <a:graphicData uri="http://schemas.openxmlformats.org/drawingml/2006/picture">
                      <pic:pic xmlns:pic="http://schemas.openxmlformats.org/drawingml/2006/picture">
                        <pic:nvPicPr>
                          <pic:cNvPr id="104" name="图片_10"/>
                          <pic:cNvPicPr/>
                        </pic:nvPicPr>
                        <pic:blipFill>
                          <a:blip r:embed="rId27" cstate="print"/>
                          <a:stretch>
                            <a:fillRect/>
                          </a:stretch>
                        </pic:blipFill>
                        <pic:spPr>
                          <a:xfrm>
                            <a:off x="0" y="0"/>
                            <a:ext cx="1160780" cy="666115"/>
                          </a:xfrm>
                          <a:prstGeom prst="rect">
                            <a:avLst/>
                          </a:prstGeom>
                          <a:noFill/>
                          <a:ln>
                            <a:noFill/>
                          </a:ln>
                        </pic:spPr>
                      </pic:pic>
                    </a:graphicData>
                  </a:graphic>
                </wp:anchor>
              </w:drawing>
            </w:r>
          </w:p>
        </w:tc>
      </w:tr>
      <w:tr w14:paraId="31255C30">
        <w:tblPrEx>
          <w:tblCellMar>
            <w:top w:w="0" w:type="dxa"/>
            <w:left w:w="108" w:type="dxa"/>
            <w:bottom w:w="0" w:type="dxa"/>
            <w:right w:w="108" w:type="dxa"/>
          </w:tblCellMar>
        </w:tblPrEx>
        <w:trPr>
          <w:trHeight w:val="192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CC9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76F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主扩声线阵列</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次低频扬声器</w:t>
            </w: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0519D">
            <w:pPr>
              <w:keepNext w:val="0"/>
              <w:keepLines w:val="0"/>
              <w:widowControl/>
              <w:suppressLineNumbers w:val="0"/>
              <w:spacing w:before="0" w:beforeAutospacing="0" w:after="0" w:afterAutospacing="0"/>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Engineering information技术参数</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单元组成 Drivers　 LF:  2*12"</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额定功率Rated Power ≥800W</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额定阻抗(Nominal impedance) 4 ohms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频率范围(Frequency Range) 25Hz-260Hz</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灵敏度(Sensitivity(1m/1W)) ≥98dB</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最大声压级(MAX SPL) 130dB</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Construction </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1206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D469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只</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CCE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8820</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3B75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default" w:ascii="宋体" w:hAnsi="宋体" w:cs="宋体"/>
                <w:color w:val="auto"/>
                <w:kern w:val="0"/>
                <w:sz w:val="21"/>
                <w:szCs w:val="21"/>
                <w:highlight w:val="none"/>
              </w:rPr>
              <w:fldChar w:fldCharType="begin"/>
            </w:r>
            <w:r>
              <w:rPr>
                <w:rFonts w:hint="default" w:ascii="宋体" w:hAnsi="宋体" w:cs="宋体"/>
                <w:color w:val="auto"/>
                <w:kern w:val="0"/>
                <w:sz w:val="21"/>
                <w:szCs w:val="21"/>
                <w:highlight w:val="none"/>
              </w:rPr>
              <w:instrText xml:space="preserve"> </w:instrText>
            </w:r>
            <w:r>
              <w:rPr>
                <w:rFonts w:hint="eastAsia" w:ascii="宋体" w:hAnsi="宋体" w:cs="宋体"/>
                <w:color w:val="auto"/>
                <w:kern w:val="0"/>
                <w:sz w:val="21"/>
                <w:szCs w:val="21"/>
                <w:highlight w:val="none"/>
              </w:rPr>
              <w:instrText xml:space="preserve">=(f4*d4)</w:instrText>
            </w:r>
            <w:r>
              <w:rPr>
                <w:rFonts w:hint="default" w:ascii="宋体" w:hAnsi="宋体" w:cs="宋体"/>
                <w:color w:val="auto"/>
                <w:kern w:val="0"/>
                <w:sz w:val="21"/>
                <w:szCs w:val="21"/>
                <w:highlight w:val="none"/>
              </w:rPr>
              <w:instrText xml:space="preserve"> </w:instrText>
            </w:r>
            <w:r>
              <w:rPr>
                <w:rFonts w:hint="default" w:ascii="宋体" w:hAnsi="宋体" w:cs="宋体"/>
                <w:color w:val="auto"/>
                <w:kern w:val="0"/>
                <w:sz w:val="21"/>
                <w:szCs w:val="21"/>
                <w:highlight w:val="none"/>
              </w:rPr>
              <w:fldChar w:fldCharType="separate"/>
            </w:r>
            <w:r>
              <w:rPr>
                <w:rFonts w:hint="default" w:ascii="宋体" w:hAnsi="宋体" w:cs="宋体"/>
                <w:color w:val="auto"/>
                <w:kern w:val="0"/>
                <w:sz w:val="21"/>
                <w:szCs w:val="21"/>
                <w:highlight w:val="none"/>
              </w:rPr>
              <w:t>17640</w:t>
            </w:r>
            <w:r>
              <w:rPr>
                <w:rFonts w:hint="default" w:ascii="宋体" w:hAnsi="宋体" w:cs="宋体"/>
                <w:color w:val="auto"/>
                <w:kern w:val="0"/>
                <w:sz w:val="21"/>
                <w:szCs w:val="21"/>
                <w:highlight w:val="none"/>
              </w:rPr>
              <w:fldChar w:fldCharType="end"/>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EC4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66432" behindDoc="0" locked="0" layoutInCell="1" allowOverlap="1">
                  <wp:simplePos x="0" y="0"/>
                  <wp:positionH relativeFrom="column">
                    <wp:posOffset>241300</wp:posOffset>
                  </wp:positionH>
                  <wp:positionV relativeFrom="paragraph">
                    <wp:posOffset>234950</wp:posOffset>
                  </wp:positionV>
                  <wp:extent cx="1118235" cy="679450"/>
                  <wp:effectExtent l="0" t="0" r="9525" b="6350"/>
                  <wp:wrapNone/>
                  <wp:docPr id="105" name="图片_54"/>
                  <wp:cNvGraphicFramePr/>
                  <a:graphic xmlns:a="http://schemas.openxmlformats.org/drawingml/2006/main">
                    <a:graphicData uri="http://schemas.openxmlformats.org/drawingml/2006/picture">
                      <pic:pic xmlns:pic="http://schemas.openxmlformats.org/drawingml/2006/picture">
                        <pic:nvPicPr>
                          <pic:cNvPr id="105" name="图片_54"/>
                          <pic:cNvPicPr/>
                        </pic:nvPicPr>
                        <pic:blipFill>
                          <a:blip r:embed="rId28" cstate="print"/>
                          <a:stretch>
                            <a:fillRect/>
                          </a:stretch>
                        </pic:blipFill>
                        <pic:spPr>
                          <a:xfrm>
                            <a:off x="0" y="0"/>
                            <a:ext cx="1118235" cy="679450"/>
                          </a:xfrm>
                          <a:prstGeom prst="rect">
                            <a:avLst/>
                          </a:prstGeom>
                          <a:noFill/>
                          <a:ln>
                            <a:noFill/>
                          </a:ln>
                        </pic:spPr>
                      </pic:pic>
                    </a:graphicData>
                  </a:graphic>
                </wp:anchor>
              </w:drawing>
            </w:r>
          </w:p>
        </w:tc>
      </w:tr>
      <w:tr w14:paraId="67C87962">
        <w:tblPrEx>
          <w:tblCellMar>
            <w:top w:w="0" w:type="dxa"/>
            <w:left w:w="108" w:type="dxa"/>
            <w:bottom w:w="0" w:type="dxa"/>
            <w:right w:w="108" w:type="dxa"/>
          </w:tblCellMar>
        </w:tblPrEx>
        <w:trPr>
          <w:trHeight w:val="168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23D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A807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超低频扬声器</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2F8825BD">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单元组成 Drivers　 LF:  2*18"  115芯250磁</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额定功率Rated Power ≥1400W</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额定阻抗(Nominal impedance) ≥4 ohms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频率范围(Frequency Range) 28Hz-300Hz</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灵敏度(Sensitivity(1m/1W)) ≥102dB</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最大声压级(MAX SPL) ≥136dB</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Construction </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D6E4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B18C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只</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82B3">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12260</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C65C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24520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F59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67456" behindDoc="0" locked="0" layoutInCell="1" allowOverlap="1">
                  <wp:simplePos x="0" y="0"/>
                  <wp:positionH relativeFrom="column">
                    <wp:posOffset>374015</wp:posOffset>
                  </wp:positionH>
                  <wp:positionV relativeFrom="paragraph">
                    <wp:posOffset>165100</wp:posOffset>
                  </wp:positionV>
                  <wp:extent cx="1006475" cy="635635"/>
                  <wp:effectExtent l="0" t="0" r="14605" b="4445"/>
                  <wp:wrapNone/>
                  <wp:docPr id="106" name="图片_55"/>
                  <wp:cNvGraphicFramePr/>
                  <a:graphic xmlns:a="http://schemas.openxmlformats.org/drawingml/2006/main">
                    <a:graphicData uri="http://schemas.openxmlformats.org/drawingml/2006/picture">
                      <pic:pic xmlns:pic="http://schemas.openxmlformats.org/drawingml/2006/picture">
                        <pic:nvPicPr>
                          <pic:cNvPr id="106" name="图片_55"/>
                          <pic:cNvPicPr/>
                        </pic:nvPicPr>
                        <pic:blipFill>
                          <a:blip r:embed="rId29" cstate="print"/>
                          <a:stretch>
                            <a:fillRect/>
                          </a:stretch>
                        </pic:blipFill>
                        <pic:spPr>
                          <a:xfrm>
                            <a:off x="0" y="0"/>
                            <a:ext cx="1006475" cy="635635"/>
                          </a:xfrm>
                          <a:prstGeom prst="rect">
                            <a:avLst/>
                          </a:prstGeom>
                          <a:noFill/>
                          <a:ln>
                            <a:noFill/>
                          </a:ln>
                        </pic:spPr>
                      </pic:pic>
                    </a:graphicData>
                  </a:graphic>
                </wp:anchor>
              </w:drawing>
            </w:r>
          </w:p>
        </w:tc>
      </w:tr>
      <w:tr w14:paraId="48E537F3">
        <w:tblPrEx>
          <w:tblCellMar>
            <w:top w:w="0" w:type="dxa"/>
            <w:left w:w="108" w:type="dxa"/>
            <w:bottom w:w="0" w:type="dxa"/>
            <w:right w:w="108" w:type="dxa"/>
          </w:tblCellMar>
        </w:tblPrEx>
        <w:trPr>
          <w:trHeight w:val="216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654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EC8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舞台返送</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全频扬声器</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346EC5E7">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Engineering information技术参数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单元组成 Drivers　 LF:  1*12"  / HF:1*1.75"</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额定功率Rated Power ≥450W</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额定阻抗(Nominal impedance) 8 ohms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频率范围(Frequency Range) 45Hz-19KHz</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灵敏度(Sensitivity(1m/1W)) ≥98dB</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 xml:space="preserve">最大声压级(MAX SPL) ≥128dB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辐射角度（Dispersion(H*V)):90°x 60°</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Construction</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D3E1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39E1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只</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372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5850</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53B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23400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E33A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68480" behindDoc="0" locked="0" layoutInCell="1" allowOverlap="1">
                  <wp:simplePos x="0" y="0"/>
                  <wp:positionH relativeFrom="column">
                    <wp:posOffset>227330</wp:posOffset>
                  </wp:positionH>
                  <wp:positionV relativeFrom="paragraph">
                    <wp:posOffset>531495</wp:posOffset>
                  </wp:positionV>
                  <wp:extent cx="1337945" cy="0"/>
                  <wp:effectExtent l="0" t="0" r="0" b="0"/>
                  <wp:wrapNone/>
                  <wp:docPr id="107" name="图片_13_SpCnt_4"/>
                  <wp:cNvGraphicFramePr/>
                  <a:graphic xmlns:a="http://schemas.openxmlformats.org/drawingml/2006/main">
                    <a:graphicData uri="http://schemas.openxmlformats.org/drawingml/2006/picture">
                      <pic:pic xmlns:pic="http://schemas.openxmlformats.org/drawingml/2006/picture">
                        <pic:nvPicPr>
                          <pic:cNvPr id="107" name="图片_13_SpCnt_4"/>
                          <pic:cNvPicPr/>
                        </pic:nvPicPr>
                        <pic:blipFill>
                          <a:blip r:embed="rId26"/>
                          <a:stretch>
                            <a:fillRect/>
                          </a:stretch>
                        </pic:blipFill>
                        <pic:spPr>
                          <a:xfrm>
                            <a:off x="0" y="0"/>
                            <a:ext cx="1337945" cy="0"/>
                          </a:xfrm>
                          <a:prstGeom prst="rect">
                            <a:avLst/>
                          </a:prstGeom>
                          <a:noFill/>
                          <a:ln>
                            <a:noFill/>
                          </a:ln>
                        </pic:spPr>
                      </pic:pic>
                    </a:graphicData>
                  </a:graphic>
                </wp:anchor>
              </w:drawing>
            </w:r>
            <w:r>
              <w:rPr>
                <w:rFonts w:hint="eastAsia" w:ascii="宋体" w:hAnsi="宋体" w:cs="宋体"/>
                <w:color w:val="auto"/>
                <w:kern w:val="0"/>
                <w:sz w:val="21"/>
                <w:szCs w:val="21"/>
                <w:highlight w:val="none"/>
                <w:bdr w:val="single" w:color="000000" w:sz="4" w:space="0"/>
              </w:rPr>
              <w:drawing>
                <wp:anchor distT="0" distB="0" distL="114300" distR="114300" simplePos="0" relativeHeight="251669504" behindDoc="0" locked="0" layoutInCell="1" allowOverlap="1">
                  <wp:simplePos x="0" y="0"/>
                  <wp:positionH relativeFrom="column">
                    <wp:posOffset>227330</wp:posOffset>
                  </wp:positionH>
                  <wp:positionV relativeFrom="paragraph">
                    <wp:posOffset>531495</wp:posOffset>
                  </wp:positionV>
                  <wp:extent cx="1337945" cy="0"/>
                  <wp:effectExtent l="0" t="0" r="0" b="0"/>
                  <wp:wrapNone/>
                  <wp:docPr id="108" name="图片_13_SpCnt_5"/>
                  <wp:cNvGraphicFramePr/>
                  <a:graphic xmlns:a="http://schemas.openxmlformats.org/drawingml/2006/main">
                    <a:graphicData uri="http://schemas.openxmlformats.org/drawingml/2006/picture">
                      <pic:pic xmlns:pic="http://schemas.openxmlformats.org/drawingml/2006/picture">
                        <pic:nvPicPr>
                          <pic:cNvPr id="108" name="图片_13_SpCnt_5"/>
                          <pic:cNvPicPr/>
                        </pic:nvPicPr>
                        <pic:blipFill>
                          <a:blip r:embed="rId26"/>
                          <a:stretch>
                            <a:fillRect/>
                          </a:stretch>
                        </pic:blipFill>
                        <pic:spPr>
                          <a:xfrm>
                            <a:off x="0" y="0"/>
                            <a:ext cx="1337945" cy="0"/>
                          </a:xfrm>
                          <a:prstGeom prst="rect">
                            <a:avLst/>
                          </a:prstGeom>
                          <a:noFill/>
                          <a:ln>
                            <a:noFill/>
                          </a:ln>
                        </pic:spPr>
                      </pic:pic>
                    </a:graphicData>
                  </a:graphic>
                </wp:anchor>
              </w:drawing>
            </w:r>
            <w:r>
              <w:rPr>
                <w:rFonts w:hint="eastAsia" w:ascii="宋体" w:hAnsi="宋体" w:cs="宋体"/>
                <w:color w:val="auto"/>
                <w:kern w:val="0"/>
                <w:sz w:val="21"/>
                <w:szCs w:val="21"/>
                <w:highlight w:val="none"/>
                <w:bdr w:val="single" w:color="000000" w:sz="4" w:space="0"/>
              </w:rPr>
              <w:drawing>
                <wp:anchor distT="0" distB="0" distL="114300" distR="114300" simplePos="0" relativeHeight="251670528" behindDoc="0" locked="0" layoutInCell="1" allowOverlap="1">
                  <wp:simplePos x="0" y="0"/>
                  <wp:positionH relativeFrom="column">
                    <wp:posOffset>227330</wp:posOffset>
                  </wp:positionH>
                  <wp:positionV relativeFrom="paragraph">
                    <wp:posOffset>531495</wp:posOffset>
                  </wp:positionV>
                  <wp:extent cx="1337945" cy="0"/>
                  <wp:effectExtent l="0" t="0" r="0" b="0"/>
                  <wp:wrapNone/>
                  <wp:docPr id="109" name="图片_13_SpCnt_6"/>
                  <wp:cNvGraphicFramePr/>
                  <a:graphic xmlns:a="http://schemas.openxmlformats.org/drawingml/2006/main">
                    <a:graphicData uri="http://schemas.openxmlformats.org/drawingml/2006/picture">
                      <pic:pic xmlns:pic="http://schemas.openxmlformats.org/drawingml/2006/picture">
                        <pic:nvPicPr>
                          <pic:cNvPr id="109" name="图片_13_SpCnt_6"/>
                          <pic:cNvPicPr/>
                        </pic:nvPicPr>
                        <pic:blipFill>
                          <a:blip r:embed="rId26"/>
                          <a:stretch>
                            <a:fillRect/>
                          </a:stretch>
                        </pic:blipFill>
                        <pic:spPr>
                          <a:xfrm>
                            <a:off x="0" y="0"/>
                            <a:ext cx="1337945" cy="0"/>
                          </a:xfrm>
                          <a:prstGeom prst="rect">
                            <a:avLst/>
                          </a:prstGeom>
                          <a:noFill/>
                          <a:ln>
                            <a:noFill/>
                          </a:ln>
                        </pic:spPr>
                      </pic:pic>
                    </a:graphicData>
                  </a:graphic>
                </wp:anchor>
              </w:drawing>
            </w:r>
            <w:r>
              <w:rPr>
                <w:rFonts w:hint="eastAsia" w:ascii="宋体" w:hAnsi="宋体" w:cs="宋体"/>
                <w:color w:val="auto"/>
                <w:kern w:val="0"/>
                <w:sz w:val="21"/>
                <w:szCs w:val="21"/>
                <w:highlight w:val="none"/>
                <w:bdr w:val="single" w:color="000000" w:sz="4" w:space="0"/>
              </w:rPr>
              <w:drawing>
                <wp:anchor distT="0" distB="0" distL="114300" distR="114300" simplePos="0" relativeHeight="251671552" behindDoc="0" locked="0" layoutInCell="1" allowOverlap="1">
                  <wp:simplePos x="0" y="0"/>
                  <wp:positionH relativeFrom="column">
                    <wp:posOffset>227330</wp:posOffset>
                  </wp:positionH>
                  <wp:positionV relativeFrom="paragraph">
                    <wp:posOffset>531495</wp:posOffset>
                  </wp:positionV>
                  <wp:extent cx="1337945" cy="0"/>
                  <wp:effectExtent l="0" t="0" r="0" b="0"/>
                  <wp:wrapNone/>
                  <wp:docPr id="110" name="图片_13_SpCnt_7"/>
                  <wp:cNvGraphicFramePr/>
                  <a:graphic xmlns:a="http://schemas.openxmlformats.org/drawingml/2006/main">
                    <a:graphicData uri="http://schemas.openxmlformats.org/drawingml/2006/picture">
                      <pic:pic xmlns:pic="http://schemas.openxmlformats.org/drawingml/2006/picture">
                        <pic:nvPicPr>
                          <pic:cNvPr id="110" name="图片_13_SpCnt_7"/>
                          <pic:cNvPicPr/>
                        </pic:nvPicPr>
                        <pic:blipFill>
                          <a:blip r:embed="rId26"/>
                          <a:stretch>
                            <a:fillRect/>
                          </a:stretch>
                        </pic:blipFill>
                        <pic:spPr>
                          <a:xfrm>
                            <a:off x="0" y="0"/>
                            <a:ext cx="1337945" cy="0"/>
                          </a:xfrm>
                          <a:prstGeom prst="rect">
                            <a:avLst/>
                          </a:prstGeom>
                          <a:noFill/>
                          <a:ln>
                            <a:noFill/>
                          </a:ln>
                        </pic:spPr>
                      </pic:pic>
                    </a:graphicData>
                  </a:graphic>
                </wp:anchor>
              </w:drawing>
            </w:r>
            <w:r>
              <w:rPr>
                <w:rFonts w:hint="eastAsia" w:ascii="宋体" w:hAnsi="宋体" w:cs="宋体"/>
                <w:color w:val="auto"/>
                <w:kern w:val="0"/>
                <w:sz w:val="21"/>
                <w:szCs w:val="21"/>
                <w:highlight w:val="none"/>
                <w:bdr w:val="single" w:color="000000" w:sz="4" w:space="0"/>
              </w:rPr>
              <w:drawing>
                <wp:anchor distT="0" distB="0" distL="114300" distR="114300" simplePos="0" relativeHeight="251672576" behindDoc="0" locked="0" layoutInCell="1" allowOverlap="1">
                  <wp:simplePos x="0" y="0"/>
                  <wp:positionH relativeFrom="column">
                    <wp:posOffset>337185</wp:posOffset>
                  </wp:positionH>
                  <wp:positionV relativeFrom="paragraph">
                    <wp:posOffset>122555</wp:posOffset>
                  </wp:positionV>
                  <wp:extent cx="1078865" cy="740410"/>
                  <wp:effectExtent l="0" t="0" r="3175" b="6350"/>
                  <wp:wrapNone/>
                  <wp:docPr id="111" name="图片_56"/>
                  <wp:cNvGraphicFramePr/>
                  <a:graphic xmlns:a="http://schemas.openxmlformats.org/drawingml/2006/main">
                    <a:graphicData uri="http://schemas.openxmlformats.org/drawingml/2006/picture">
                      <pic:pic xmlns:pic="http://schemas.openxmlformats.org/drawingml/2006/picture">
                        <pic:nvPicPr>
                          <pic:cNvPr id="111" name="图片_56"/>
                          <pic:cNvPicPr/>
                        </pic:nvPicPr>
                        <pic:blipFill>
                          <a:blip r:embed="rId30" cstate="print"/>
                          <a:stretch>
                            <a:fillRect/>
                          </a:stretch>
                        </pic:blipFill>
                        <pic:spPr>
                          <a:xfrm>
                            <a:off x="0" y="0"/>
                            <a:ext cx="1078865" cy="740410"/>
                          </a:xfrm>
                          <a:prstGeom prst="rect">
                            <a:avLst/>
                          </a:prstGeom>
                          <a:noFill/>
                          <a:ln>
                            <a:noFill/>
                          </a:ln>
                        </pic:spPr>
                      </pic:pic>
                    </a:graphicData>
                  </a:graphic>
                </wp:anchor>
              </w:drawing>
            </w:r>
          </w:p>
        </w:tc>
      </w:tr>
      <w:tr w14:paraId="489AF6DA">
        <w:tblPrEx>
          <w:tblCellMar>
            <w:top w:w="0" w:type="dxa"/>
            <w:left w:w="108" w:type="dxa"/>
            <w:bottom w:w="0" w:type="dxa"/>
            <w:right w:w="108" w:type="dxa"/>
          </w:tblCellMar>
        </w:tblPrEx>
        <w:trPr>
          <w:trHeight w:val="216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997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9D9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辅助补声</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全频扬声器</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02CA44BC">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Engineering information技术参数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单元组成 Drivers　 LF:  1*15"  / HF:1*1.75"</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额定功率Rated Power ≥400W</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额定阻抗(Nominal impedance) ≥8 ohms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频率范围(Frequency Range) 45Hz-19KHz</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灵敏度(Sensitivity(1m/1W)) ≥97dB</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 xml:space="preserve">最大声压级(MAX SPL) ≥126dB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辐射角度（Dispersion(H*V)):90°x 60°</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Construction </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EF68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F93D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只</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9B8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7502</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0AE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45012</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46B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73600" behindDoc="0" locked="0" layoutInCell="1" allowOverlap="1">
                  <wp:simplePos x="0" y="0"/>
                  <wp:positionH relativeFrom="column">
                    <wp:posOffset>501650</wp:posOffset>
                  </wp:positionH>
                  <wp:positionV relativeFrom="paragraph">
                    <wp:posOffset>152400</wp:posOffset>
                  </wp:positionV>
                  <wp:extent cx="621665" cy="746125"/>
                  <wp:effectExtent l="0" t="0" r="3175" b="635"/>
                  <wp:wrapNone/>
                  <wp:docPr id="112" name="图片_57"/>
                  <wp:cNvGraphicFramePr/>
                  <a:graphic xmlns:a="http://schemas.openxmlformats.org/drawingml/2006/main">
                    <a:graphicData uri="http://schemas.openxmlformats.org/drawingml/2006/picture">
                      <pic:pic xmlns:pic="http://schemas.openxmlformats.org/drawingml/2006/picture">
                        <pic:nvPicPr>
                          <pic:cNvPr id="112" name="图片_57"/>
                          <pic:cNvPicPr/>
                        </pic:nvPicPr>
                        <pic:blipFill>
                          <a:blip r:embed="rId31" cstate="print"/>
                          <a:stretch>
                            <a:fillRect/>
                          </a:stretch>
                        </pic:blipFill>
                        <pic:spPr>
                          <a:xfrm>
                            <a:off x="0" y="0"/>
                            <a:ext cx="621665" cy="746125"/>
                          </a:xfrm>
                          <a:prstGeom prst="rect">
                            <a:avLst/>
                          </a:prstGeom>
                          <a:noFill/>
                          <a:ln>
                            <a:noFill/>
                          </a:ln>
                        </pic:spPr>
                      </pic:pic>
                    </a:graphicData>
                  </a:graphic>
                </wp:anchor>
              </w:drawing>
            </w:r>
          </w:p>
        </w:tc>
      </w:tr>
      <w:tr w14:paraId="7CB30FC3">
        <w:tblPrEx>
          <w:tblCellMar>
            <w:top w:w="0" w:type="dxa"/>
            <w:left w:w="108" w:type="dxa"/>
            <w:bottom w:w="0" w:type="dxa"/>
            <w:right w:w="108" w:type="dxa"/>
          </w:tblCellMar>
        </w:tblPrEx>
        <w:trPr>
          <w:trHeight w:val="168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554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FE2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专业功率放大器</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（线阵全频）</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61940B63">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频响：20~20kHz(-0.5dB);总谐波失真：&lt;0.05;信噪比：&gt;104dB;阻尼系数：&gt;600;分离度：&gt;60dB;转换速率：&gt;13v/ μs;</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输入灵敏度：0.775v/1.4v;输入阻抗：20k/10k;电压增益：≥32dB;输出类别：Class I;冷却：风冷,风由前向后吹;输入：XLR;输出：NL4/Binding post;功能：Power / SIG / clip /BRG/PAR;前面板指示：Protect /LCD indicator;前面板：Power switch / Volume control;后面板：Operation mode/input sensitivity/ filter;</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B8F4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2E88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3C33">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4424</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94A20">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color w:val="auto"/>
                <w:sz w:val="22"/>
                <w:szCs w:val="22"/>
                <w:highlight w:val="none"/>
              </w:rPr>
              <w:t>884</w:t>
            </w:r>
            <w:r>
              <w:rPr>
                <w:rFonts w:hint="eastAsia"/>
                <w:color w:val="auto"/>
                <w:sz w:val="22"/>
                <w:szCs w:val="22"/>
                <w:highlight w:val="none"/>
                <w:lang w:val="en-US" w:eastAsia="zh-CN"/>
              </w:rPr>
              <w:t>8</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343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79744" behindDoc="0" locked="0" layoutInCell="1" allowOverlap="1">
                  <wp:simplePos x="0" y="0"/>
                  <wp:positionH relativeFrom="column">
                    <wp:posOffset>15875</wp:posOffset>
                  </wp:positionH>
                  <wp:positionV relativeFrom="paragraph">
                    <wp:posOffset>142875</wp:posOffset>
                  </wp:positionV>
                  <wp:extent cx="1426210" cy="393065"/>
                  <wp:effectExtent l="0" t="0" r="6350" b="3175"/>
                  <wp:wrapNone/>
                  <wp:docPr id="44" name="图片_59"/>
                  <wp:cNvGraphicFramePr/>
                  <a:graphic xmlns:a="http://schemas.openxmlformats.org/drawingml/2006/main">
                    <a:graphicData uri="http://schemas.openxmlformats.org/drawingml/2006/picture">
                      <pic:pic xmlns:pic="http://schemas.openxmlformats.org/drawingml/2006/picture">
                        <pic:nvPicPr>
                          <pic:cNvPr id="44" name="图片_59"/>
                          <pic:cNvPicPr/>
                        </pic:nvPicPr>
                        <pic:blipFill>
                          <a:blip r:embed="rId32" cstate="print"/>
                          <a:stretch>
                            <a:fillRect/>
                          </a:stretch>
                        </pic:blipFill>
                        <pic:spPr>
                          <a:xfrm>
                            <a:off x="0" y="0"/>
                            <a:ext cx="1426210" cy="393065"/>
                          </a:xfrm>
                          <a:prstGeom prst="rect">
                            <a:avLst/>
                          </a:prstGeom>
                          <a:noFill/>
                          <a:ln>
                            <a:noFill/>
                          </a:ln>
                        </pic:spPr>
                      </pic:pic>
                    </a:graphicData>
                  </a:graphic>
                </wp:anchor>
              </w:drawing>
            </w:r>
          </w:p>
        </w:tc>
      </w:tr>
      <w:tr w14:paraId="272A2D56">
        <w:tblPrEx>
          <w:tblCellMar>
            <w:top w:w="0" w:type="dxa"/>
            <w:left w:w="108" w:type="dxa"/>
            <w:bottom w:w="0" w:type="dxa"/>
            <w:right w:w="108" w:type="dxa"/>
          </w:tblCellMar>
        </w:tblPrEx>
        <w:trPr>
          <w:trHeight w:val="168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2E1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D42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专业功率放大器</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（线阵次低频）</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368BBFDB">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频响：20~20kHz(-0.5dB);总谐波失真：&lt;0.05;信噪比：&gt;104dB;阻尼系数：&gt;600;分离度：&gt;60dB;转换速率：&gt;13v/ μs;</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输入灵敏度：0.775v/1.4v;输入阻抗：20k/10k;电压增益：≥32dB;输出类别：Class I;冷却：风冷,风由前向后吹;输入：XLR;输出：NL4/Binding post;功能：Power / SIG / clip /BRG/PAR;前面板指示：Protect /LCD indicator;前面板：Power switch / Volume control;后面板：Operation mode/input sensitivity/ filter;</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C2B8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3357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145F">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4046</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C5DC">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4046</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629D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80768" behindDoc="0" locked="0" layoutInCell="1" allowOverlap="1">
                  <wp:simplePos x="0" y="0"/>
                  <wp:positionH relativeFrom="column">
                    <wp:posOffset>31750</wp:posOffset>
                  </wp:positionH>
                  <wp:positionV relativeFrom="paragraph">
                    <wp:posOffset>279400</wp:posOffset>
                  </wp:positionV>
                  <wp:extent cx="1426210" cy="393065"/>
                  <wp:effectExtent l="0" t="0" r="6350" b="3175"/>
                  <wp:wrapNone/>
                  <wp:docPr id="45" name="图片_60"/>
                  <wp:cNvGraphicFramePr/>
                  <a:graphic xmlns:a="http://schemas.openxmlformats.org/drawingml/2006/main">
                    <a:graphicData uri="http://schemas.openxmlformats.org/drawingml/2006/picture">
                      <pic:pic xmlns:pic="http://schemas.openxmlformats.org/drawingml/2006/picture">
                        <pic:nvPicPr>
                          <pic:cNvPr id="45" name="图片_60"/>
                          <pic:cNvPicPr/>
                        </pic:nvPicPr>
                        <pic:blipFill>
                          <a:blip r:embed="rId33" cstate="print"/>
                          <a:stretch>
                            <a:fillRect/>
                          </a:stretch>
                        </pic:blipFill>
                        <pic:spPr>
                          <a:xfrm>
                            <a:off x="0" y="0"/>
                            <a:ext cx="1426210" cy="393065"/>
                          </a:xfrm>
                          <a:prstGeom prst="rect">
                            <a:avLst/>
                          </a:prstGeom>
                          <a:noFill/>
                          <a:ln>
                            <a:noFill/>
                          </a:ln>
                        </pic:spPr>
                      </pic:pic>
                    </a:graphicData>
                  </a:graphic>
                </wp:anchor>
              </w:drawing>
            </w:r>
          </w:p>
        </w:tc>
      </w:tr>
      <w:tr w14:paraId="0EB2927A">
        <w:tblPrEx>
          <w:tblCellMar>
            <w:top w:w="0" w:type="dxa"/>
            <w:left w:w="108" w:type="dxa"/>
            <w:bottom w:w="0" w:type="dxa"/>
            <w:right w:w="108" w:type="dxa"/>
          </w:tblCellMar>
        </w:tblPrEx>
        <w:trPr>
          <w:trHeight w:val="24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7B5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570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专业功率放大器</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（超低频）</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1A169600">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保护功能：直流电流（DC）保护，短路保护，电流限幅电压保护，限温保护.总谐波失真1kHz和1dB以下的裁剪：&lt; 0.09%.总谐波失真20Hz-20kHz 1瓦：&lt; 0.058%.信噪比：&gt; 110 dBA.信号通道分离（串扰）在1KHz）：&gt; 70 dB.频率响应1瓦8Ohm,20 Hz-20kHz：+/- 0.05 dB.阻尼控制：&gt; 400 8oh /1Khz.输入阻抗平衡/不平衡：20 / 10 kohm.电子平衡输入(NEUTRIK端子).输出连接器：speakon Neutrik（2 x nlt4）(NEUTRIK端子).冷却：风冷前后对流，温度控制速度.电源ON/OFF：前面板上的单个开关.控制：每个通道均设有1个电平衰减器.指示灯：每通道独立的LED指示灯；标称电压：220 Volt AC 50 Hz.工作电压：190-250V AC.软启动/电源.       </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2518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3C94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1968">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5064</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8F70">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5064</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B76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81792" behindDoc="0" locked="0" layoutInCell="1" allowOverlap="1">
                  <wp:simplePos x="0" y="0"/>
                  <wp:positionH relativeFrom="column">
                    <wp:posOffset>12700</wp:posOffset>
                  </wp:positionH>
                  <wp:positionV relativeFrom="paragraph">
                    <wp:posOffset>234950</wp:posOffset>
                  </wp:positionV>
                  <wp:extent cx="1426210" cy="393065"/>
                  <wp:effectExtent l="0" t="0" r="6350" b="3175"/>
                  <wp:wrapNone/>
                  <wp:docPr id="46" name="图片_61"/>
                  <wp:cNvGraphicFramePr/>
                  <a:graphic xmlns:a="http://schemas.openxmlformats.org/drawingml/2006/main">
                    <a:graphicData uri="http://schemas.openxmlformats.org/drawingml/2006/picture">
                      <pic:pic xmlns:pic="http://schemas.openxmlformats.org/drawingml/2006/picture">
                        <pic:nvPicPr>
                          <pic:cNvPr id="46" name="图片_61"/>
                          <pic:cNvPicPr/>
                        </pic:nvPicPr>
                        <pic:blipFill>
                          <a:blip r:embed="rId34" cstate="print"/>
                          <a:stretch>
                            <a:fillRect/>
                          </a:stretch>
                        </pic:blipFill>
                        <pic:spPr>
                          <a:xfrm>
                            <a:off x="0" y="0"/>
                            <a:ext cx="1426210" cy="393065"/>
                          </a:xfrm>
                          <a:prstGeom prst="rect">
                            <a:avLst/>
                          </a:prstGeom>
                          <a:noFill/>
                          <a:ln>
                            <a:noFill/>
                          </a:ln>
                        </pic:spPr>
                      </pic:pic>
                    </a:graphicData>
                  </a:graphic>
                </wp:anchor>
              </w:drawing>
            </w:r>
          </w:p>
        </w:tc>
      </w:tr>
      <w:tr w14:paraId="0FA73B18">
        <w:tblPrEx>
          <w:tblCellMar>
            <w:top w:w="0" w:type="dxa"/>
            <w:left w:w="108" w:type="dxa"/>
            <w:bottom w:w="0" w:type="dxa"/>
            <w:right w:w="108" w:type="dxa"/>
          </w:tblCellMar>
        </w:tblPrEx>
        <w:trPr>
          <w:trHeight w:val="168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15A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570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专业功率放大器</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（舞台返送）</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52EF85E5">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频响：20~20kHz(-0.5dB);总谐波失真：&lt;0.05;信噪比：&gt;100dB;阻尼系数：&gt;550;分离度：&gt;60dB;转换速率：&gt;13v/ μs;</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输入灵敏度：0.775v/1.4v;输入阻抗：20k/10k;电压增益：≥32dB;输出类别：Class I;冷却：Air flow from front to rear;输入：XLR;输出：NL4/Binding post;功能：Power / SIG / clip /BRG/PAR;前面板指示：Protect /LCD indicator;前面板：Power switch / Volume control;后面板：Operation mode/input sensitivity/ filter;</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C4A6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8A71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05B3">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3814</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9AA5">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3814</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DA4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82816" behindDoc="0" locked="0" layoutInCell="1" allowOverlap="1">
                  <wp:simplePos x="0" y="0"/>
                  <wp:positionH relativeFrom="column">
                    <wp:posOffset>76200</wp:posOffset>
                  </wp:positionH>
                  <wp:positionV relativeFrom="paragraph">
                    <wp:posOffset>266700</wp:posOffset>
                  </wp:positionV>
                  <wp:extent cx="1426210" cy="393065"/>
                  <wp:effectExtent l="0" t="0" r="6350" b="3175"/>
                  <wp:wrapNone/>
                  <wp:docPr id="47" name="图片_62"/>
                  <wp:cNvGraphicFramePr/>
                  <a:graphic xmlns:a="http://schemas.openxmlformats.org/drawingml/2006/main">
                    <a:graphicData uri="http://schemas.openxmlformats.org/drawingml/2006/picture">
                      <pic:pic xmlns:pic="http://schemas.openxmlformats.org/drawingml/2006/picture">
                        <pic:nvPicPr>
                          <pic:cNvPr id="47" name="图片_62"/>
                          <pic:cNvPicPr/>
                        </pic:nvPicPr>
                        <pic:blipFill>
                          <a:blip r:embed="rId35" cstate="print"/>
                          <a:stretch>
                            <a:fillRect/>
                          </a:stretch>
                        </pic:blipFill>
                        <pic:spPr>
                          <a:xfrm>
                            <a:off x="0" y="0"/>
                            <a:ext cx="1426210" cy="393065"/>
                          </a:xfrm>
                          <a:prstGeom prst="rect">
                            <a:avLst/>
                          </a:prstGeom>
                          <a:noFill/>
                          <a:ln>
                            <a:noFill/>
                          </a:ln>
                        </pic:spPr>
                      </pic:pic>
                    </a:graphicData>
                  </a:graphic>
                </wp:anchor>
              </w:drawing>
            </w:r>
          </w:p>
        </w:tc>
      </w:tr>
      <w:tr w14:paraId="3351EAB2">
        <w:tblPrEx>
          <w:tblCellMar>
            <w:top w:w="0" w:type="dxa"/>
            <w:left w:w="108" w:type="dxa"/>
            <w:bottom w:w="0" w:type="dxa"/>
            <w:right w:w="108" w:type="dxa"/>
          </w:tblCellMar>
        </w:tblPrEx>
        <w:trPr>
          <w:trHeight w:val="168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B9F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BB1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专业功率放大器</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（辅助补声）</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6BA3D5D3">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频响：20~20kHz(-0.5dB);总谐波失真：&lt;0.05;信噪比：&gt;100dB;阻尼系数：&gt;550;分离度：&gt;60dB;转换速率：&gt;13v/ μs;</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输入灵敏度：0.775v/1.4v;输入阻抗：20k/10k;电压增益：≥32dB;输出类别：Class I;冷却：Air flow from front to rear;输入：XLR;输出：NL4/Binding post;功能：Power / SIG / clip /BRG/PAR;前面板指示：Protect /LCD indicator;前面板：Power switch / Volume control;后面板：Operation mode/input sensitivity/ filter;</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7195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FC8B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BC87">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3814</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B1F3">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7628</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9E2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83840" behindDoc="0" locked="0" layoutInCell="1" allowOverlap="1">
                  <wp:simplePos x="0" y="0"/>
                  <wp:positionH relativeFrom="column">
                    <wp:posOffset>27940</wp:posOffset>
                  </wp:positionH>
                  <wp:positionV relativeFrom="paragraph">
                    <wp:posOffset>124460</wp:posOffset>
                  </wp:positionV>
                  <wp:extent cx="1426210" cy="393065"/>
                  <wp:effectExtent l="0" t="0" r="6350" b="3175"/>
                  <wp:wrapNone/>
                  <wp:docPr id="48" name="图片_63"/>
                  <wp:cNvGraphicFramePr/>
                  <a:graphic xmlns:a="http://schemas.openxmlformats.org/drawingml/2006/main">
                    <a:graphicData uri="http://schemas.openxmlformats.org/drawingml/2006/picture">
                      <pic:pic xmlns:pic="http://schemas.openxmlformats.org/drawingml/2006/picture">
                        <pic:nvPicPr>
                          <pic:cNvPr id="48" name="图片_63"/>
                          <pic:cNvPicPr/>
                        </pic:nvPicPr>
                        <pic:blipFill>
                          <a:blip r:embed="rId36" cstate="print"/>
                          <a:stretch>
                            <a:fillRect/>
                          </a:stretch>
                        </pic:blipFill>
                        <pic:spPr>
                          <a:xfrm>
                            <a:off x="0" y="0"/>
                            <a:ext cx="1426210" cy="393065"/>
                          </a:xfrm>
                          <a:prstGeom prst="rect">
                            <a:avLst/>
                          </a:prstGeom>
                          <a:noFill/>
                          <a:ln>
                            <a:noFill/>
                          </a:ln>
                        </pic:spPr>
                      </pic:pic>
                    </a:graphicData>
                  </a:graphic>
                </wp:anchor>
              </w:drawing>
            </w:r>
          </w:p>
        </w:tc>
      </w:tr>
      <w:tr w14:paraId="30C8466C">
        <w:tblPrEx>
          <w:tblCellMar>
            <w:top w:w="0" w:type="dxa"/>
            <w:left w:w="108" w:type="dxa"/>
            <w:bottom w:w="0" w:type="dxa"/>
            <w:right w:w="108" w:type="dxa"/>
          </w:tblCellMar>
        </w:tblPrEx>
        <w:trPr>
          <w:trHeight w:val="2207"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EC3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2D2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数字音频处理器</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48318297">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•96KHz采样频率，32-bit DSP处理器，24-bit A/D及D/A转换</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•4路输入8路输出，可灵活组合多种分频模式，高、低通分频点均可达20Hz～20KHz；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•提供USB2.0、USB3.0和RS485接口可连接电脑，其中RS485接口可最多连接250台设备和超过1500米的距离外用电脑来控制</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•直接用面板的功能键和拔轮进行功能设置或是连接电脑通过PC控制软件来控制，均十分方便、直观和简洁</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•单机最多可存储30组用户程序</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•可通过面板的SYSTEM按键来设定密码锁定面板控制功能，以防止参数被修改</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每个输入和输出均有6段独立的全参量均衡，调节增益范围可达±20dB，同时还可选择参量、高调、低调、1阶全通、2阶全通5种均衡模式</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 xml:space="preserve">每个输入通道可调噪声门，并且每个输入通道有两段全参数可调的动态均衡（DEQ），自动增益控制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•2×24 LCD蓝色背光显示功能设置，5段LED显示输入/输出的精确数字电平表、哑音及编辑状态</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•每个输入和输出均有延时和相位控制及哑音设置，延时最长可达1000ms，延时单位可选择毫秒(ms)、米(m)、英尺(ft)三种，延时可通过粗调及细调模式进行调节。</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•输出通道还可控制压缩、限幅及选择输入信号通道，并能将某通道的所有参数复制到另外一个通道同时进行联动控制</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•可以通过USB接口或RS485接口连接中控来控制矩阵和通道的哑音</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•支持设备输入、输出、系统功能分别设置密码进行锁定，实现数据保密</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•设备软件内置中控代码生成器、可实现一键中英文切换</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•可通过外置wifi盒与电脑进行连接,可实现互联网远程控制                                                                                         </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98B3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F783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DB09">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7221</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CC50">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7221</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287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84864" behindDoc="0" locked="0" layoutInCell="1" allowOverlap="1">
                  <wp:simplePos x="0" y="0"/>
                  <wp:positionH relativeFrom="column">
                    <wp:posOffset>88900</wp:posOffset>
                  </wp:positionH>
                  <wp:positionV relativeFrom="paragraph">
                    <wp:posOffset>409575</wp:posOffset>
                  </wp:positionV>
                  <wp:extent cx="1162050" cy="243840"/>
                  <wp:effectExtent l="0" t="0" r="11430" b="0"/>
                  <wp:wrapNone/>
                  <wp:docPr id="49" name="图片_64"/>
                  <wp:cNvGraphicFramePr/>
                  <a:graphic xmlns:a="http://schemas.openxmlformats.org/drawingml/2006/main">
                    <a:graphicData uri="http://schemas.openxmlformats.org/drawingml/2006/picture">
                      <pic:pic xmlns:pic="http://schemas.openxmlformats.org/drawingml/2006/picture">
                        <pic:nvPicPr>
                          <pic:cNvPr id="49" name="图片_64"/>
                          <pic:cNvPicPr/>
                        </pic:nvPicPr>
                        <pic:blipFill>
                          <a:blip r:embed="rId37" cstate="print"/>
                          <a:stretch>
                            <a:fillRect/>
                          </a:stretch>
                        </pic:blipFill>
                        <pic:spPr>
                          <a:xfrm>
                            <a:off x="0" y="0"/>
                            <a:ext cx="1162050" cy="243840"/>
                          </a:xfrm>
                          <a:prstGeom prst="rect">
                            <a:avLst/>
                          </a:prstGeom>
                          <a:noFill/>
                          <a:ln>
                            <a:noFill/>
                          </a:ln>
                        </pic:spPr>
                      </pic:pic>
                    </a:graphicData>
                  </a:graphic>
                </wp:anchor>
              </w:drawing>
            </w:r>
          </w:p>
        </w:tc>
      </w:tr>
      <w:tr w14:paraId="55F59314">
        <w:tblPrEx>
          <w:tblCellMar>
            <w:top w:w="0" w:type="dxa"/>
            <w:left w:w="108" w:type="dxa"/>
            <w:bottom w:w="0" w:type="dxa"/>
            <w:right w:w="108" w:type="dxa"/>
          </w:tblCellMar>
        </w:tblPrEx>
        <w:trPr>
          <w:trHeight w:val="134"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048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D7B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数字音频处理器</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74E33A8C">
            <w:pPr>
              <w:keepNext w:val="0"/>
              <w:keepLines w:val="0"/>
              <w:widowControl/>
              <w:suppressLineNumbers w:val="0"/>
              <w:tabs>
                <w:tab w:val="left" w:pos="0"/>
              </w:tabs>
              <w:spacing w:before="0" w:beforeAutospacing="0" w:after="200" w:afterAutospacing="0" w:line="360" w:lineRule="exact"/>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•96KHz采样频率，32-bit DSP处理器，24-bit A/D及D/A转换</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•4路输入68路输出，可灵活组合多种分频模式，高、低通分频点均可达20Hz～20KHz；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•提供USB2.0、USB3.0和RS485接口可连接电脑，其中RS485接口可最多连接250台设备和超过1500米的距离外用电脑来控制</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•直接用面板的功能键和拔轮进行功能设置或是连接电脑通过PC控制软件来控制，均十分方便、直观和简洁</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•单机最多可存储30组用户程序</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•可通过面板的SYSTEM按键来设定密码锁定面板控制功能，以防止参数被修改</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每个输入和输出均有6段独立的全参量均衡，调节增益范围可达±20dB，同时还可选择参量、高调、低调、1阶全通、2阶全通5种均衡模式</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 xml:space="preserve">每个输入通道可调噪声门，并且每个输入通道有两段全参数可调的动态均衡（DEQ），自动增益控制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•2×24 LCD蓝色背光显示功能设置，5段LED显示输入/输出的精确数字电平表、哑音及编辑状态</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•每个输入和输出均有延时和相位控制及哑音设置，延时最长可达1000ms，延时单位可选择毫秒(ms)、米(m)、英尺(ft)三种，延时可通过粗调及细调模式进行调节。</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•输出通道还可控制压缩、限幅及选择输入信号通道，并能将某通道的所有参数复制到另外一个通道同时进行联动控制</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•可以通过USB接口或RS485接口连接中控来控制矩阵和通道的哑音</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•支持设备输入、输出、系统功能分别设置密码进行锁定，实现数据保密</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•设备软件内置中控代码生成器、可实现一键中英文切换</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•可通过外置wifi盒与电脑进行连接,可实现互联网远程控制                                                                                         </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14B7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D1BD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8A9A">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7612 </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A51B">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7612</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568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85888" behindDoc="0" locked="0" layoutInCell="1" allowOverlap="1">
                  <wp:simplePos x="0" y="0"/>
                  <wp:positionH relativeFrom="column">
                    <wp:posOffset>120650</wp:posOffset>
                  </wp:positionH>
                  <wp:positionV relativeFrom="paragraph">
                    <wp:posOffset>355600</wp:posOffset>
                  </wp:positionV>
                  <wp:extent cx="1162050" cy="243205"/>
                  <wp:effectExtent l="0" t="0" r="11430" b="635"/>
                  <wp:wrapNone/>
                  <wp:docPr id="52" name="图片_65"/>
                  <wp:cNvGraphicFramePr/>
                  <a:graphic xmlns:a="http://schemas.openxmlformats.org/drawingml/2006/main">
                    <a:graphicData uri="http://schemas.openxmlformats.org/drawingml/2006/picture">
                      <pic:pic xmlns:pic="http://schemas.openxmlformats.org/drawingml/2006/picture">
                        <pic:nvPicPr>
                          <pic:cNvPr id="52" name="图片_65"/>
                          <pic:cNvPicPr/>
                        </pic:nvPicPr>
                        <pic:blipFill>
                          <a:blip r:embed="rId38" cstate="print"/>
                          <a:stretch>
                            <a:fillRect/>
                          </a:stretch>
                        </pic:blipFill>
                        <pic:spPr>
                          <a:xfrm>
                            <a:off x="0" y="0"/>
                            <a:ext cx="1162050" cy="243205"/>
                          </a:xfrm>
                          <a:prstGeom prst="rect">
                            <a:avLst/>
                          </a:prstGeom>
                          <a:noFill/>
                          <a:ln>
                            <a:noFill/>
                          </a:ln>
                        </pic:spPr>
                      </pic:pic>
                    </a:graphicData>
                  </a:graphic>
                </wp:anchor>
              </w:drawing>
            </w:r>
          </w:p>
        </w:tc>
      </w:tr>
      <w:tr w14:paraId="360CE5D9">
        <w:tblPrEx>
          <w:tblCellMar>
            <w:top w:w="0" w:type="dxa"/>
            <w:left w:w="108" w:type="dxa"/>
            <w:bottom w:w="0" w:type="dxa"/>
            <w:right w:w="108" w:type="dxa"/>
          </w:tblCellMar>
        </w:tblPrEx>
        <w:trPr>
          <w:trHeight w:val="1073"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C98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1"/>
                <w:szCs w:val="21"/>
                <w:highlight w:val="none"/>
              </w:rPr>
            </w:pPr>
            <w:r>
              <w:rPr>
                <w:rFonts w:hint="eastAsia" w:ascii="宋体" w:hAnsi="宋体" w:eastAsia="宋体" w:cs="宋体"/>
                <w:color w:val="auto"/>
                <w:kern w:val="0"/>
                <w:sz w:val="21"/>
                <w:szCs w:val="21"/>
                <w:highlight w:val="none"/>
                <w:lang w:val="en-US" w:eastAsia="zh-CN" w:bidi="ar"/>
                <w:woUserID w:val="1"/>
              </w:rPr>
              <w:t>14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60A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数字音视频一体化边缘管理平台</w:t>
            </w: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top"/>
          </w:tcPr>
          <w:p w14:paraId="00B4F9C4">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一、整体参数</w:t>
            </w:r>
          </w:p>
          <w:p w14:paraId="5C8654D8">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1.设备支持内置屏幕多板卡状态检测，通过屏幕实时显示业务板卡的类型、温度、功耗、是否运行。显示≥7个风扇转速，显示整机功率。投标时提供具有 CMA 或 CAL 或 CNAS 认证章的第三方权威机构功能性检验报告证明。</w:t>
            </w:r>
          </w:p>
          <w:p w14:paraId="2E893E14">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2.设备为一体式设备，设备220v电源接口≤2个，设备高度≥9U，设备深度≥400mm。投标时提供具有 CMA 或 CAL 或 CNAS 认证章的第三方权威机构功能性检验报告证明。</w:t>
            </w:r>
          </w:p>
          <w:p w14:paraId="740079D9">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3.支持屏幕≥7.0 英寸及≥5个状态指示灯。投标时提供具有 CMA 或 CAL 或 CNAS 认证章的第三方权威机构功能性检验报告证明和实物拍照图片。</w:t>
            </w:r>
          </w:p>
          <w:p w14:paraId="5646B5B4">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4.★设备采用一体化完全数字化架构，主控引擎与业务板卡完全物理分离, 业务板卡支持热插拔及混插。采用全分布式转发处理架构，独立主控引擎≥1 个，散热风扇≥7个，独立业务插槽数≥8 个。投标时提供具有 CMA 或 CAL 或 CNAS 认证章的第三方权威机构功能性检验报告证明和官网截图并加盖制造商公章。</w:t>
            </w:r>
          </w:p>
          <w:p w14:paraId="72614694">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5.设备支持主备功能，整机热备份。投标时提供具有 CMA 或 CAL 或 CNAS 认证章的第三方权威机构功能性检验报告证明和官网截图盖章。</w:t>
            </w:r>
          </w:p>
          <w:p w14:paraId="23CD4A84">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6.设备主引擎网络支持虚拟化技术：支持横向虚拟化技术，将多台设备虚拟为一台设备，支持长距离集群。支持DHCP snooping,DHCP server.DHCP relay 。投标时提供具有 CMA 或 CAL 或 CNAS 认证章的第三方权威机构功能性检验报告证明和官网截图盖章。</w:t>
            </w:r>
          </w:p>
          <w:p w14:paraId="761CB571">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7.设备主引擎交换容量≥336Gbps,包转发率≥108Mpps,基于端口的VLAN,基于802.1Q协议封装，支持GVRP，支持PVLAN，VLAN，范围1－4K任意划分Vlan Stacking (QinQ)。支持静态路由、策略路由、RIP、OSPF动态路由.支持PVST、RSTP、MSTP生成树。支持EAPS、ERPS以太网环网保护协议。投标时提供具有 CMA 或 CAL 或 CNAS 认证章的第三方权威机构功能性检验报告证明。</w:t>
            </w:r>
          </w:p>
          <w:p w14:paraId="71CC9466">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8.设备主引擎网络安全特性支持dhcp server，支持基于Snooping技术的防止DHCP报文攻击的方法。支持标准和扩展ACL，支持IP ACL、支持基于源/目的IP、三层IP协议号、TCP/UDP四层端口号、IP优先级、ToS、时间范围对数据进行过滤的一种访问控制列表的分类匹配方法。支持一种可同时对IP和MAC进行访问控制的过滤方法、防ARP欺骗、防ARP攻击防DHCP欺骗、防DHCP攻击、防IGMP攻击、IP Flood攻击。投标时提供具有 CMA 或 CAL 或 CNAS 认证章的第三方权威机构功能性检验报告证明。</w:t>
            </w:r>
          </w:p>
          <w:p w14:paraId="61115224">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9.设备主引擎网络为了便于管理，获取相邻设备地址及平台，支持PDP邻居发现协议。支持Telnet、SSH和WEB管理。投标时提供具有 CMA 或 CAL 或 CNAS 认证章的第三方权威机构功能性检验报告证明。</w:t>
            </w:r>
          </w:p>
          <w:p w14:paraId="42CC937C">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10.内置时序电源控制器，可顺序控制业务板卡供电或独立控制业务板卡供电，便于能耗管理。投标时提供具有 CMA 或 CAL 或 CNAS 认证章的第三方权威机构功能性检验报告证明。</w:t>
            </w:r>
          </w:p>
          <w:p w14:paraId="6514934E">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11.中枢板具有40口高速连接器≥8 个，30口欧式插座≥8 个的与业务板卡相连。投标时提供具有 CMA 或 CAL 或 CNAS 认证章的第三方权威机构功能性检验报告证明。</w:t>
            </w:r>
          </w:p>
          <w:p w14:paraId="79BCA0E9">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12.中枢板具有自动识别业务板卡的板卡类型和地址的功能，带有通讯功能,获取业务板卡状态和故障代码。投标时提供具有 CMA 或 CAL 或 CNAS 认证章的第三方权威机构功能性检验报告证明。</w:t>
            </w:r>
          </w:p>
          <w:p w14:paraId="65707606">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二、主控板卡</w:t>
            </w:r>
          </w:p>
          <w:p w14:paraId="35DF38C9">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设备业务板为板卡式，数据交换支持40口高速连接器与中枢板插拔式连接，12v供电支持30口欧式插座与中枢板插拔式连接，具备不少于8路9Pin红外端口，支持IR设备和以太网之间的数据通讯，支持IR指令学习功能。支持定时触发预设任务，支持自定义指令方式触发预设任务。投标时提供具有 CMA 或 CAL 或 CNAS 认证章的第三方权威机构功能性检验报告证明。</w:t>
            </w:r>
          </w:p>
          <w:p w14:paraId="3A1EBBD3">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2.端口具备ESD15K防护；系统具备死机自动重启功能；确保系统稳定可靠。投标时提供具有CMA或CAL或CNAS认证章的第三方权威机构检验报告证明；投标时提供具有 CMA 或 CAL 或 CNAS 认证章的第三方权威机构功能性检验报告证明和官网截图盖章。</w:t>
            </w:r>
          </w:p>
          <w:p w14:paraId="5DFE3534">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3.设备业务板卡核心芯片含64位处理器CPU，内核不低于4核，主频不低于2.0GHz，含GPU，支持OpenGL ES 1.1/2.0/3.2，OpenCL 2.0，Vulkan 1.1，含NPU，算力可达1TOP；内置不低于4GB内存及不低于32GB的FLASH存储器；投标时提供具有 CMA 或 CAL 或 CNAS 认证章的第三方权威机构功能性检验报告证明和官网截图盖章。</w:t>
            </w:r>
          </w:p>
          <w:p w14:paraId="7480A742">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4.主机能串口环出，串口1-8，任意一个输入，可以从另外一个串口环出。支持远程网络控制。投标时提供具有 CMA 或 CAL 或 CNAS 认证章的第三方权威机构功能性检验报告证明和官网截图盖章。</w:t>
            </w:r>
          </w:p>
          <w:p w14:paraId="1A2CD8B8">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5.主机支持内建WDT（看门狗定时器）自动重启触发器，确保系统长时间稳定运行。投标时提供具有 CMA 或 CAL 或 CNAS 认证章的第三方权威机构功能性检验报告证明和官网截图盖章。</w:t>
            </w:r>
          </w:p>
          <w:p w14:paraId="64AE453F">
            <w:pPr>
              <w:keepNext w:val="0"/>
              <w:keepLines w:val="0"/>
              <w:widowControl/>
              <w:suppressLineNumbers w:val="0"/>
              <w:spacing w:before="0" w:beforeAutospacing="0" w:after="0" w:afterAutospacing="0" w:line="360" w:lineRule="exact"/>
              <w:ind w:left="0" w:right="0"/>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6.内置管理软件，可配置和本设备相连接的各种智能设备和终端。</w:t>
            </w:r>
          </w:p>
          <w:p w14:paraId="791A9D06">
            <w:pPr>
              <w:keepNext w:val="0"/>
              <w:keepLines w:val="0"/>
              <w:widowControl/>
              <w:suppressLineNumbers w:val="0"/>
              <w:spacing w:before="0" w:beforeAutospacing="0" w:after="0" w:afterAutospacing="0" w:line="360" w:lineRule="exact"/>
              <w:ind w:left="0" w:leftChars="0" w:right="0" w:rightChars="0"/>
              <w:jc w:val="left"/>
              <w:textAlignment w:val="top"/>
              <w:rPr>
                <w:rFonts w:hint="default" w:ascii="宋体" w:hAnsi="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7.★音视频边缘节点配置：配置≥8路RS232控制接口的中央控制板卡、≥2路输入/2路输出的视频处理板卡、≥4通道的功率放大器板卡、配置≥8进8出的音频处理板卡、≥8路RJ45网络接口、数字网络架构的会议发言板卡，所有的功能板卡和槽位均采用1U设计。投标时提供具有 CMA 或 CAL 或 CNAS 认证章的第三方权威机构功能性检验报告证明和实体设备照片并加盖制造商公章。</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3FE3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80F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3EBB">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14666 </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FE69">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14666</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10A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default" w:ascii="宋体" w:hAnsi="宋体" w:cs="宋体"/>
                <w:color w:val="auto"/>
                <w:sz w:val="21"/>
                <w:szCs w:val="21"/>
                <w:highlight w:val="none"/>
                <w:woUserID w:val="1"/>
              </w:rPr>
              <w:drawing>
                <wp:inline distT="0" distB="0" distL="114300" distR="114300">
                  <wp:extent cx="1524000" cy="1149350"/>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9"/>
                          <a:stretch>
                            <a:fillRect/>
                          </a:stretch>
                        </pic:blipFill>
                        <pic:spPr>
                          <a:xfrm>
                            <a:off x="0" y="0"/>
                            <a:ext cx="1524000" cy="1149350"/>
                          </a:xfrm>
                          <a:prstGeom prst="rect">
                            <a:avLst/>
                          </a:prstGeom>
                        </pic:spPr>
                      </pic:pic>
                    </a:graphicData>
                  </a:graphic>
                </wp:inline>
              </w:drawing>
            </w:r>
          </w:p>
        </w:tc>
      </w:tr>
      <w:tr w14:paraId="232A6CBA">
        <w:tblPrEx>
          <w:tblCellMar>
            <w:top w:w="0" w:type="dxa"/>
            <w:left w:w="108" w:type="dxa"/>
            <w:bottom w:w="0" w:type="dxa"/>
            <w:right w:w="108" w:type="dxa"/>
          </w:tblCellMar>
        </w:tblPrEx>
        <w:trPr>
          <w:trHeight w:val="5833"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DBD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FC5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真分集一拖二无线手持话筒</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07D19BA7">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接收距离达150米远，适用于大型多功能厅：</w:t>
            </w:r>
          </w:p>
          <w:p w14:paraId="434C74C0">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1、频率范围：640-689.75MHz；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2、可调信道数：100×2；</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振荡方式：锁相环频率合成（PLL）；</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4、频率稳定度：±10ppm；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5、</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接收方式：真分集超外差二次变频；</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6、导频方式：数字导频；</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7、音频频响：60-13000Hz；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8、谐波失真：≤0.5%；</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9、信噪比 ≥50dB；</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10、音频输出：平衡输出和混合输出；</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11、接收灵敏度：≤-95dBm；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12、电源规格：：12VDC/2A。</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发射器：</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1、频率范围:640-689.75MHz；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2、可调信道数:200个；</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3、振荡方式:锁相环频率合成（PLL）；</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4、谐波抑制:-30dB；</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5、调制方式:调频（FM）；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6、调频方式:红外对频；</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7、最大偏移度:+-45KHz；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8、RF功率输出:3-30mW；</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9、拾音头:动圈式；</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10、供电方式:2节AA电池；</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11、电池寿命:约8-12小时。</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208B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7A12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EBE9">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4050 </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24A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kern w:val="0"/>
                <w:sz w:val="21"/>
                <w:szCs w:val="21"/>
                <w:highlight w:val="none"/>
                <w:lang w:val="en-US" w:eastAsia="zh-CN"/>
              </w:rPr>
              <w:t>8100</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308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86912" behindDoc="0" locked="0" layoutInCell="1" allowOverlap="1">
                  <wp:simplePos x="0" y="0"/>
                  <wp:positionH relativeFrom="column">
                    <wp:posOffset>152400</wp:posOffset>
                  </wp:positionH>
                  <wp:positionV relativeFrom="paragraph">
                    <wp:posOffset>60960</wp:posOffset>
                  </wp:positionV>
                  <wp:extent cx="1377315" cy="792480"/>
                  <wp:effectExtent l="0" t="0" r="9525" b="0"/>
                  <wp:wrapNone/>
                  <wp:docPr id="54" name="图片_13_SpCnt_8"/>
                  <wp:cNvGraphicFramePr/>
                  <a:graphic xmlns:a="http://schemas.openxmlformats.org/drawingml/2006/main">
                    <a:graphicData uri="http://schemas.openxmlformats.org/drawingml/2006/picture">
                      <pic:pic xmlns:pic="http://schemas.openxmlformats.org/drawingml/2006/picture">
                        <pic:nvPicPr>
                          <pic:cNvPr id="54" name="图片_13_SpCnt_8"/>
                          <pic:cNvPicPr/>
                        </pic:nvPicPr>
                        <pic:blipFill>
                          <a:blip r:embed="rId40" cstate="print"/>
                          <a:stretch>
                            <a:fillRect/>
                          </a:stretch>
                        </pic:blipFill>
                        <pic:spPr>
                          <a:xfrm>
                            <a:off x="0" y="0"/>
                            <a:ext cx="1377315" cy="792480"/>
                          </a:xfrm>
                          <a:prstGeom prst="rect">
                            <a:avLst/>
                          </a:prstGeom>
                          <a:noFill/>
                          <a:ln>
                            <a:noFill/>
                          </a:ln>
                        </pic:spPr>
                      </pic:pic>
                    </a:graphicData>
                  </a:graphic>
                </wp:anchor>
              </w:drawing>
            </w:r>
          </w:p>
        </w:tc>
      </w:tr>
      <w:tr w14:paraId="22775A03">
        <w:tblPrEx>
          <w:tblCellMar>
            <w:top w:w="0" w:type="dxa"/>
            <w:left w:w="108" w:type="dxa"/>
            <w:bottom w:w="0" w:type="dxa"/>
            <w:right w:w="108" w:type="dxa"/>
          </w:tblCellMar>
        </w:tblPrEx>
        <w:trPr>
          <w:trHeight w:val="5846"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9AA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7370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真分集一拖二无线头戴话筒</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3062F513">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无线接收机：</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1、频率范围：640-689.75MHz；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2、可调信道数：100×2；</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振荡方式：锁相环频率合成（PLL）；</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4、频率稳定度：±10ppm；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5、</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接收方式：真分集超外差二次变频；</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6、导频方式：数字导频；</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7、音频频响：60-13000Hz；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8、谐波失真：≤0.5%；</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9、信噪比 ≥50dB；</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10、音频输出：平衡输出和混合输出；</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11、接收灵敏度：≤-95dBm；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12、电源规格：：12VDC/2A。</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发射器：</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1、频率范围:640-689.75MHz；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2、可调信道数:200个；</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3、振荡方式:锁相环频率合成（PLL）；</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4、谐波抑制:-30dB；</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5、调制方式:调频（FM）；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6、调频方式:红外对频；</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7、最大偏移度:+-45KHz；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8、RF功率输出:3-30mW；</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9、拾音头:动圈式；</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10、供电方式:2节AA电池；</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11、电池寿命:约8-12小时。</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1071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854C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720C">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6750 </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419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6750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999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87936" behindDoc="0" locked="0" layoutInCell="1" allowOverlap="1">
                  <wp:simplePos x="0" y="0"/>
                  <wp:positionH relativeFrom="column">
                    <wp:posOffset>294005</wp:posOffset>
                  </wp:positionH>
                  <wp:positionV relativeFrom="paragraph">
                    <wp:posOffset>118110</wp:posOffset>
                  </wp:positionV>
                  <wp:extent cx="1198245" cy="777240"/>
                  <wp:effectExtent l="0" t="0" r="5715" b="0"/>
                  <wp:wrapNone/>
                  <wp:docPr id="55" name="图片_15"/>
                  <wp:cNvGraphicFramePr/>
                  <a:graphic xmlns:a="http://schemas.openxmlformats.org/drawingml/2006/main">
                    <a:graphicData uri="http://schemas.openxmlformats.org/drawingml/2006/picture">
                      <pic:pic xmlns:pic="http://schemas.openxmlformats.org/drawingml/2006/picture">
                        <pic:nvPicPr>
                          <pic:cNvPr id="55" name="图片_15"/>
                          <pic:cNvPicPr/>
                        </pic:nvPicPr>
                        <pic:blipFill>
                          <a:blip r:embed="rId41" cstate="print"/>
                          <a:stretch>
                            <a:fillRect/>
                          </a:stretch>
                        </pic:blipFill>
                        <pic:spPr>
                          <a:xfrm>
                            <a:off x="0" y="0"/>
                            <a:ext cx="1198245" cy="777240"/>
                          </a:xfrm>
                          <a:prstGeom prst="rect">
                            <a:avLst/>
                          </a:prstGeom>
                          <a:noFill/>
                          <a:ln>
                            <a:noFill/>
                          </a:ln>
                        </pic:spPr>
                      </pic:pic>
                    </a:graphicData>
                  </a:graphic>
                </wp:anchor>
              </w:drawing>
            </w:r>
          </w:p>
        </w:tc>
      </w:tr>
      <w:tr w14:paraId="6C51413F">
        <w:tblPrEx>
          <w:tblCellMar>
            <w:top w:w="0" w:type="dxa"/>
            <w:left w:w="108" w:type="dxa"/>
            <w:bottom w:w="0" w:type="dxa"/>
            <w:right w:w="108" w:type="dxa"/>
          </w:tblCellMar>
        </w:tblPrEx>
        <w:trPr>
          <w:trHeight w:val="5847"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41E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17</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FEF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真分集一拖二无线领夹话筒</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31C91B1E">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无线接收机：</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1、频率范围：640-689.75MHz；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2、可调信道数：100×2；</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振荡方式：锁相环频率合成（PLL）；</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4、频率稳定度：±10ppm；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5、</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接收方式：真分集超外差二次变频；</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6、导频方式：数字导频；</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7、音频频响：60-13000Hz；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8、谐波失真：≤0.5%；</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9、信噪比 ≥50dB；</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10、音频输出：平衡输出和混合输出；</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11、接收灵敏度：≤-95dBm；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12、电源规格：：12VDC/2A。</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发射器：</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1、频率范围:640-689.75MHz；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2、可调信道数:200个；</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3、振荡方式:锁相环频率合成（PLL）；</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4、谐波抑制:-30dB；</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5、调制方式:调频（FM）；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6、调频方式:红外对频；</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7、最大偏移度:+-45KHz；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8、RF功率输出:3-30mW；</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9、拾音头:动圈式；</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10、供电方式:2节AA电池；</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11、电池寿命:约8-12小时。</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D9C3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30E03">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07B2">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6210</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4C7B">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6210</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B52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88960" behindDoc="0" locked="0" layoutInCell="1" allowOverlap="1">
                  <wp:simplePos x="0" y="0"/>
                  <wp:positionH relativeFrom="column">
                    <wp:posOffset>189230</wp:posOffset>
                  </wp:positionH>
                  <wp:positionV relativeFrom="paragraph">
                    <wp:posOffset>83185</wp:posOffset>
                  </wp:positionV>
                  <wp:extent cx="1303020" cy="836930"/>
                  <wp:effectExtent l="0" t="0" r="7620" b="1270"/>
                  <wp:wrapNone/>
                  <wp:docPr id="92" name="图片_16"/>
                  <wp:cNvGraphicFramePr/>
                  <a:graphic xmlns:a="http://schemas.openxmlformats.org/drawingml/2006/main">
                    <a:graphicData uri="http://schemas.openxmlformats.org/drawingml/2006/picture">
                      <pic:pic xmlns:pic="http://schemas.openxmlformats.org/drawingml/2006/picture">
                        <pic:nvPicPr>
                          <pic:cNvPr id="92" name="图片_16"/>
                          <pic:cNvPicPr/>
                        </pic:nvPicPr>
                        <pic:blipFill>
                          <a:blip r:embed="rId42" cstate="print"/>
                          <a:stretch>
                            <a:fillRect/>
                          </a:stretch>
                        </pic:blipFill>
                        <pic:spPr>
                          <a:xfrm>
                            <a:off x="0" y="0"/>
                            <a:ext cx="1303020" cy="836930"/>
                          </a:xfrm>
                          <a:prstGeom prst="rect">
                            <a:avLst/>
                          </a:prstGeom>
                          <a:noFill/>
                          <a:ln>
                            <a:noFill/>
                          </a:ln>
                        </pic:spPr>
                      </pic:pic>
                    </a:graphicData>
                  </a:graphic>
                </wp:anchor>
              </w:drawing>
            </w:r>
          </w:p>
        </w:tc>
      </w:tr>
      <w:tr w14:paraId="3DBA821E">
        <w:tblPrEx>
          <w:tblCellMar>
            <w:top w:w="0" w:type="dxa"/>
            <w:left w:w="108" w:type="dxa"/>
            <w:bottom w:w="0" w:type="dxa"/>
            <w:right w:w="108" w:type="dxa"/>
          </w:tblCellMar>
        </w:tblPrEx>
        <w:trPr>
          <w:trHeight w:val="492"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596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18</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CAD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天线分配放大器</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71ADA06A">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具备UHF天线信号带通滤波功能，把带通以外的干扰信号进行过滤抑制衰减！经滤波后的射频信号进行放大及拆分为多路输出，从而补偿插入损失。分配系统允许四台接收机使用，同时还配有向每个接收机供电的电源插头！另外还配备一路射频信号级联端口，能够连接到第五个接收机或第二套天线分配系统的天线输入端口。在将天线射频信号拆分给多个输出端口时，信号强度将衰减！能够对信号进行放大补偿，以确保为接收机提供较强的信号。                                               </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7A2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2CD2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0AB9">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6480 </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1069">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6480</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F1E2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89984" behindDoc="0" locked="0" layoutInCell="1" allowOverlap="1">
                  <wp:simplePos x="0" y="0"/>
                  <wp:positionH relativeFrom="column">
                    <wp:posOffset>488950</wp:posOffset>
                  </wp:positionH>
                  <wp:positionV relativeFrom="paragraph">
                    <wp:posOffset>95250</wp:posOffset>
                  </wp:positionV>
                  <wp:extent cx="724535" cy="742315"/>
                  <wp:effectExtent l="0" t="0" r="6985" b="4445"/>
                  <wp:wrapNone/>
                  <wp:docPr id="93" name="图片_24"/>
                  <wp:cNvGraphicFramePr/>
                  <a:graphic xmlns:a="http://schemas.openxmlformats.org/drawingml/2006/main">
                    <a:graphicData uri="http://schemas.openxmlformats.org/drawingml/2006/picture">
                      <pic:pic xmlns:pic="http://schemas.openxmlformats.org/drawingml/2006/picture">
                        <pic:nvPicPr>
                          <pic:cNvPr id="93" name="图片_24"/>
                          <pic:cNvPicPr/>
                        </pic:nvPicPr>
                        <pic:blipFill>
                          <a:blip r:embed="rId43" cstate="print"/>
                          <a:stretch>
                            <a:fillRect/>
                          </a:stretch>
                        </pic:blipFill>
                        <pic:spPr>
                          <a:xfrm>
                            <a:off x="0" y="0"/>
                            <a:ext cx="724535" cy="742315"/>
                          </a:xfrm>
                          <a:prstGeom prst="rect">
                            <a:avLst/>
                          </a:prstGeom>
                          <a:noFill/>
                          <a:ln>
                            <a:noFill/>
                          </a:ln>
                        </pic:spPr>
                      </pic:pic>
                    </a:graphicData>
                  </a:graphic>
                </wp:anchor>
              </w:drawing>
            </w:r>
          </w:p>
        </w:tc>
      </w:tr>
      <w:tr w14:paraId="0F61E1F7">
        <w:tblPrEx>
          <w:tblCellMar>
            <w:top w:w="0" w:type="dxa"/>
            <w:left w:w="108" w:type="dxa"/>
            <w:bottom w:w="0" w:type="dxa"/>
            <w:right w:w="108" w:type="dxa"/>
          </w:tblCellMar>
        </w:tblPrEx>
        <w:trPr>
          <w:trHeight w:val="121"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F3F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19</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EAF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无线数字会议系统主控机</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1DC219E6">
            <w:pPr>
              <w:keepNext w:val="0"/>
              <w:keepLines w:val="0"/>
              <w:widowControl/>
              <w:suppressLineNumbers w:val="0"/>
              <w:spacing w:before="0" w:beforeAutospacing="0" w:after="20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主控机技术指标：</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载波频段：UHF640MHz-690MHz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调制方式：FM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工作有效距离：60米</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震荡方式：PLL相位锁定频率合成</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接收灵敏度：-95dBm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频带宽度：30MHz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最大偏移度：±45KHz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综合信噪比S/N：&gt;105dB</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综合T.H.D：&lt;0.7%@1KHz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综合频率响应：45Hz-18KHz±1dB</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供电：12V 1A</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输出插座：XLR平行式及6.3不平行式插座</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9785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AD1C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480D">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7704 </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10D9">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7704</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E56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91008" behindDoc="0" locked="0" layoutInCell="1" allowOverlap="1">
                  <wp:simplePos x="0" y="0"/>
                  <wp:positionH relativeFrom="column">
                    <wp:posOffset>137160</wp:posOffset>
                  </wp:positionH>
                  <wp:positionV relativeFrom="paragraph">
                    <wp:posOffset>203835</wp:posOffset>
                  </wp:positionV>
                  <wp:extent cx="1386840" cy="323850"/>
                  <wp:effectExtent l="0" t="0" r="0" b="11430"/>
                  <wp:wrapNone/>
                  <wp:docPr id="94" name="图片_26"/>
                  <wp:cNvGraphicFramePr/>
                  <a:graphic xmlns:a="http://schemas.openxmlformats.org/drawingml/2006/main">
                    <a:graphicData uri="http://schemas.openxmlformats.org/drawingml/2006/picture">
                      <pic:pic xmlns:pic="http://schemas.openxmlformats.org/drawingml/2006/picture">
                        <pic:nvPicPr>
                          <pic:cNvPr id="94" name="图片_26"/>
                          <pic:cNvPicPr/>
                        </pic:nvPicPr>
                        <pic:blipFill>
                          <a:blip r:embed="rId44" cstate="print"/>
                          <a:stretch>
                            <a:fillRect/>
                          </a:stretch>
                        </pic:blipFill>
                        <pic:spPr>
                          <a:xfrm>
                            <a:off x="0" y="0"/>
                            <a:ext cx="1386840" cy="323850"/>
                          </a:xfrm>
                          <a:prstGeom prst="rect">
                            <a:avLst/>
                          </a:prstGeom>
                          <a:noFill/>
                          <a:ln>
                            <a:noFill/>
                          </a:ln>
                        </pic:spPr>
                      </pic:pic>
                    </a:graphicData>
                  </a:graphic>
                </wp:anchor>
              </w:drawing>
            </w:r>
            <w:r>
              <w:rPr>
                <w:rFonts w:hint="eastAsia" w:ascii="宋体" w:hAnsi="宋体" w:cs="宋体"/>
                <w:color w:val="auto"/>
                <w:kern w:val="0"/>
                <w:sz w:val="21"/>
                <w:szCs w:val="21"/>
                <w:highlight w:val="none"/>
                <w:bdr w:val="single" w:color="000000" w:sz="4" w:space="0"/>
              </w:rPr>
              <w:drawing>
                <wp:anchor distT="0" distB="0" distL="114300" distR="114300" simplePos="0" relativeHeight="251692032" behindDoc="0" locked="0" layoutInCell="1" allowOverlap="1">
                  <wp:simplePos x="0" y="0"/>
                  <wp:positionH relativeFrom="column">
                    <wp:posOffset>147955</wp:posOffset>
                  </wp:positionH>
                  <wp:positionV relativeFrom="paragraph">
                    <wp:posOffset>567055</wp:posOffset>
                  </wp:positionV>
                  <wp:extent cx="1400175" cy="357505"/>
                  <wp:effectExtent l="0" t="0" r="1905" b="0"/>
                  <wp:wrapNone/>
                  <wp:docPr id="132" name="图片_29"/>
                  <wp:cNvGraphicFramePr/>
                  <a:graphic xmlns:a="http://schemas.openxmlformats.org/drawingml/2006/main">
                    <a:graphicData uri="http://schemas.openxmlformats.org/drawingml/2006/picture">
                      <pic:pic xmlns:pic="http://schemas.openxmlformats.org/drawingml/2006/picture">
                        <pic:nvPicPr>
                          <pic:cNvPr id="132" name="图片_29"/>
                          <pic:cNvPicPr/>
                        </pic:nvPicPr>
                        <pic:blipFill>
                          <a:blip r:embed="rId45" cstate="print"/>
                          <a:stretch>
                            <a:fillRect/>
                          </a:stretch>
                        </pic:blipFill>
                        <pic:spPr>
                          <a:xfrm>
                            <a:off x="0" y="0"/>
                            <a:ext cx="1400175" cy="357505"/>
                          </a:xfrm>
                          <a:prstGeom prst="rect">
                            <a:avLst/>
                          </a:prstGeom>
                          <a:noFill/>
                          <a:ln>
                            <a:noFill/>
                          </a:ln>
                        </pic:spPr>
                      </pic:pic>
                    </a:graphicData>
                  </a:graphic>
                </wp:anchor>
              </w:drawing>
            </w:r>
            <w:r>
              <w:rPr>
                <w:rFonts w:hint="eastAsia" w:ascii="宋体" w:hAnsi="宋体" w:cs="宋体"/>
                <w:color w:val="auto"/>
                <w:kern w:val="0"/>
                <w:sz w:val="21"/>
                <w:szCs w:val="21"/>
                <w:highlight w:val="none"/>
                <w:bdr w:val="single" w:color="000000" w:sz="4" w:space="0"/>
              </w:rPr>
              <w:drawing>
                <wp:anchor distT="0" distB="0" distL="114300" distR="114300" simplePos="0" relativeHeight="251693056" behindDoc="0" locked="0" layoutInCell="1" allowOverlap="1">
                  <wp:simplePos x="0" y="0"/>
                  <wp:positionH relativeFrom="column">
                    <wp:posOffset>497205</wp:posOffset>
                  </wp:positionH>
                  <wp:positionV relativeFrom="paragraph">
                    <wp:posOffset>981075</wp:posOffset>
                  </wp:positionV>
                  <wp:extent cx="843280" cy="721360"/>
                  <wp:effectExtent l="0" t="0" r="0" b="0"/>
                  <wp:wrapNone/>
                  <wp:docPr id="133" name="图片_13_SpCnt_9"/>
                  <wp:cNvGraphicFramePr/>
                  <a:graphic xmlns:a="http://schemas.openxmlformats.org/drawingml/2006/main">
                    <a:graphicData uri="http://schemas.openxmlformats.org/drawingml/2006/picture">
                      <pic:pic xmlns:pic="http://schemas.openxmlformats.org/drawingml/2006/picture">
                        <pic:nvPicPr>
                          <pic:cNvPr id="133" name="图片_13_SpCnt_9"/>
                          <pic:cNvPicPr/>
                        </pic:nvPicPr>
                        <pic:blipFill>
                          <a:blip r:embed="rId46" cstate="print"/>
                          <a:stretch>
                            <a:fillRect/>
                          </a:stretch>
                        </pic:blipFill>
                        <pic:spPr>
                          <a:xfrm>
                            <a:off x="0" y="0"/>
                            <a:ext cx="843280" cy="721360"/>
                          </a:xfrm>
                          <a:prstGeom prst="rect">
                            <a:avLst/>
                          </a:prstGeom>
                          <a:noFill/>
                          <a:ln>
                            <a:noFill/>
                          </a:ln>
                        </pic:spPr>
                      </pic:pic>
                    </a:graphicData>
                  </a:graphic>
                </wp:anchor>
              </w:drawing>
            </w:r>
          </w:p>
        </w:tc>
      </w:tr>
      <w:tr w14:paraId="14F3668D">
        <w:tblPrEx>
          <w:tblCellMar>
            <w:top w:w="0" w:type="dxa"/>
            <w:left w:w="108" w:type="dxa"/>
            <w:bottom w:w="0" w:type="dxa"/>
            <w:right w:w="108" w:type="dxa"/>
          </w:tblCellMar>
        </w:tblPrEx>
        <w:trPr>
          <w:trHeight w:val="9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1548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598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无线数字会议</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主席单元</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(内置锂电池）</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0648277D">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符合GB/T17618-1998国家标准；列席单元采用工程塑料材质，外观喷皮高档工艺，</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rPr>
              <w:t>内置天线，美观得体。</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列席单元话筒技术指标：</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载波频段：UHF640MHz-690MHz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rPr>
              <w:t>振荡方式：PLL相位锁定频率合成</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谐波辐射：&lt;-65dBm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频带宽度：50MHz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最大偏移度：±45KHz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传感器：电容式双振膜咪芯、 超心指向性</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RF功率输出：15mW</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使用电池:3600mAH锂离子电池，可以连续工作15小时,待机时长可达25个小时</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电流消耗：&lt;200mA</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35CC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8BF5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9D49">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4320 </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6449">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rPr>
            </w:pPr>
            <w:r>
              <w:rPr>
                <w:rFonts w:hint="eastAsia"/>
                <w:color w:val="auto"/>
                <w:sz w:val="22"/>
                <w:szCs w:val="22"/>
                <w:highlight w:val="none"/>
              </w:rPr>
              <w:t>4320</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FE6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94080" behindDoc="0" locked="0" layoutInCell="1" allowOverlap="1">
                  <wp:simplePos x="0" y="0"/>
                  <wp:positionH relativeFrom="column">
                    <wp:posOffset>227330</wp:posOffset>
                  </wp:positionH>
                  <wp:positionV relativeFrom="paragraph">
                    <wp:posOffset>531495</wp:posOffset>
                  </wp:positionV>
                  <wp:extent cx="1337945" cy="0"/>
                  <wp:effectExtent l="0" t="0" r="0" b="0"/>
                  <wp:wrapNone/>
                  <wp:docPr id="134" name="图片_13_SpCnt_10"/>
                  <wp:cNvGraphicFramePr/>
                  <a:graphic xmlns:a="http://schemas.openxmlformats.org/drawingml/2006/main">
                    <a:graphicData uri="http://schemas.openxmlformats.org/drawingml/2006/picture">
                      <pic:pic xmlns:pic="http://schemas.openxmlformats.org/drawingml/2006/picture">
                        <pic:nvPicPr>
                          <pic:cNvPr id="134" name="图片_13_SpCnt_10"/>
                          <pic:cNvPicPr/>
                        </pic:nvPicPr>
                        <pic:blipFill>
                          <a:blip r:embed="rId26"/>
                          <a:stretch>
                            <a:fillRect/>
                          </a:stretch>
                        </pic:blipFill>
                        <pic:spPr>
                          <a:xfrm>
                            <a:off x="0" y="0"/>
                            <a:ext cx="1337945" cy="0"/>
                          </a:xfrm>
                          <a:prstGeom prst="rect">
                            <a:avLst/>
                          </a:prstGeom>
                          <a:noFill/>
                          <a:ln>
                            <a:noFill/>
                          </a:ln>
                        </pic:spPr>
                      </pic:pic>
                    </a:graphicData>
                  </a:graphic>
                </wp:anchor>
              </w:drawing>
            </w:r>
            <w:r>
              <w:rPr>
                <w:rFonts w:hint="eastAsia" w:ascii="宋体" w:hAnsi="宋体" w:cs="宋体"/>
                <w:color w:val="auto"/>
                <w:kern w:val="0"/>
                <w:sz w:val="21"/>
                <w:szCs w:val="21"/>
                <w:highlight w:val="none"/>
                <w:bdr w:val="single" w:color="000000" w:sz="4" w:space="0"/>
              </w:rPr>
              <w:drawing>
                <wp:anchor distT="0" distB="0" distL="114300" distR="114300" simplePos="0" relativeHeight="251695104" behindDoc="0" locked="0" layoutInCell="1" allowOverlap="1">
                  <wp:simplePos x="0" y="0"/>
                  <wp:positionH relativeFrom="column">
                    <wp:posOffset>227330</wp:posOffset>
                  </wp:positionH>
                  <wp:positionV relativeFrom="paragraph">
                    <wp:posOffset>531495</wp:posOffset>
                  </wp:positionV>
                  <wp:extent cx="1337945" cy="0"/>
                  <wp:effectExtent l="0" t="0" r="0" b="0"/>
                  <wp:wrapNone/>
                  <wp:docPr id="135" name="图片_13_SpCnt_11"/>
                  <wp:cNvGraphicFramePr/>
                  <a:graphic xmlns:a="http://schemas.openxmlformats.org/drawingml/2006/main">
                    <a:graphicData uri="http://schemas.openxmlformats.org/drawingml/2006/picture">
                      <pic:pic xmlns:pic="http://schemas.openxmlformats.org/drawingml/2006/picture">
                        <pic:nvPicPr>
                          <pic:cNvPr id="135" name="图片_13_SpCnt_11"/>
                          <pic:cNvPicPr/>
                        </pic:nvPicPr>
                        <pic:blipFill>
                          <a:blip r:embed="rId26"/>
                          <a:stretch>
                            <a:fillRect/>
                          </a:stretch>
                        </pic:blipFill>
                        <pic:spPr>
                          <a:xfrm>
                            <a:off x="0" y="0"/>
                            <a:ext cx="1337945" cy="0"/>
                          </a:xfrm>
                          <a:prstGeom prst="rect">
                            <a:avLst/>
                          </a:prstGeom>
                          <a:noFill/>
                          <a:ln>
                            <a:noFill/>
                          </a:ln>
                        </pic:spPr>
                      </pic:pic>
                    </a:graphicData>
                  </a:graphic>
                </wp:anchor>
              </w:drawing>
            </w:r>
            <w:r>
              <w:rPr>
                <w:rFonts w:hint="eastAsia" w:ascii="宋体" w:hAnsi="宋体" w:cs="宋体"/>
                <w:color w:val="auto"/>
                <w:kern w:val="0"/>
                <w:sz w:val="21"/>
                <w:szCs w:val="21"/>
                <w:highlight w:val="none"/>
                <w:bdr w:val="single" w:color="000000" w:sz="4" w:space="0"/>
              </w:rPr>
              <w:drawing>
                <wp:anchor distT="0" distB="0" distL="114300" distR="114300" simplePos="0" relativeHeight="251696128" behindDoc="0" locked="0" layoutInCell="1" allowOverlap="1">
                  <wp:simplePos x="0" y="0"/>
                  <wp:positionH relativeFrom="column">
                    <wp:posOffset>227330</wp:posOffset>
                  </wp:positionH>
                  <wp:positionV relativeFrom="paragraph">
                    <wp:posOffset>531495</wp:posOffset>
                  </wp:positionV>
                  <wp:extent cx="1337945" cy="0"/>
                  <wp:effectExtent l="0" t="0" r="0" b="0"/>
                  <wp:wrapNone/>
                  <wp:docPr id="136" name="图片_13_SpCnt_12"/>
                  <wp:cNvGraphicFramePr/>
                  <a:graphic xmlns:a="http://schemas.openxmlformats.org/drawingml/2006/main">
                    <a:graphicData uri="http://schemas.openxmlformats.org/drawingml/2006/picture">
                      <pic:pic xmlns:pic="http://schemas.openxmlformats.org/drawingml/2006/picture">
                        <pic:nvPicPr>
                          <pic:cNvPr id="136" name="图片_13_SpCnt_12"/>
                          <pic:cNvPicPr/>
                        </pic:nvPicPr>
                        <pic:blipFill>
                          <a:blip r:embed="rId26"/>
                          <a:stretch>
                            <a:fillRect/>
                          </a:stretch>
                        </pic:blipFill>
                        <pic:spPr>
                          <a:xfrm>
                            <a:off x="0" y="0"/>
                            <a:ext cx="1337945" cy="0"/>
                          </a:xfrm>
                          <a:prstGeom prst="rect">
                            <a:avLst/>
                          </a:prstGeom>
                          <a:noFill/>
                          <a:ln>
                            <a:noFill/>
                          </a:ln>
                        </pic:spPr>
                      </pic:pic>
                    </a:graphicData>
                  </a:graphic>
                </wp:anchor>
              </w:drawing>
            </w:r>
            <w:r>
              <w:rPr>
                <w:rFonts w:hint="eastAsia" w:ascii="宋体" w:hAnsi="宋体" w:cs="宋体"/>
                <w:color w:val="auto"/>
                <w:kern w:val="0"/>
                <w:sz w:val="21"/>
                <w:szCs w:val="21"/>
                <w:highlight w:val="none"/>
                <w:bdr w:val="single" w:color="000000" w:sz="4" w:space="0"/>
              </w:rPr>
              <w:drawing>
                <wp:anchor distT="0" distB="0" distL="114300" distR="114300" simplePos="0" relativeHeight="251697152" behindDoc="0" locked="0" layoutInCell="1" allowOverlap="1">
                  <wp:simplePos x="0" y="0"/>
                  <wp:positionH relativeFrom="column">
                    <wp:posOffset>227330</wp:posOffset>
                  </wp:positionH>
                  <wp:positionV relativeFrom="paragraph">
                    <wp:posOffset>531495</wp:posOffset>
                  </wp:positionV>
                  <wp:extent cx="1337945" cy="0"/>
                  <wp:effectExtent l="0" t="0" r="0" b="0"/>
                  <wp:wrapNone/>
                  <wp:docPr id="137" name="图片_13_SpCnt_13"/>
                  <wp:cNvGraphicFramePr/>
                  <a:graphic xmlns:a="http://schemas.openxmlformats.org/drawingml/2006/main">
                    <a:graphicData uri="http://schemas.openxmlformats.org/drawingml/2006/picture">
                      <pic:pic xmlns:pic="http://schemas.openxmlformats.org/drawingml/2006/picture">
                        <pic:nvPicPr>
                          <pic:cNvPr id="137" name="图片_13_SpCnt_13"/>
                          <pic:cNvPicPr/>
                        </pic:nvPicPr>
                        <pic:blipFill>
                          <a:blip r:embed="rId26"/>
                          <a:stretch>
                            <a:fillRect/>
                          </a:stretch>
                        </pic:blipFill>
                        <pic:spPr>
                          <a:xfrm>
                            <a:off x="0" y="0"/>
                            <a:ext cx="1337945" cy="0"/>
                          </a:xfrm>
                          <a:prstGeom prst="rect">
                            <a:avLst/>
                          </a:prstGeom>
                          <a:noFill/>
                          <a:ln>
                            <a:noFill/>
                          </a:ln>
                        </pic:spPr>
                      </pic:pic>
                    </a:graphicData>
                  </a:graphic>
                </wp:anchor>
              </w:drawing>
            </w:r>
          </w:p>
        </w:tc>
      </w:tr>
      <w:tr w14:paraId="697A1D11">
        <w:tblPrEx>
          <w:tblCellMar>
            <w:top w:w="0" w:type="dxa"/>
            <w:left w:w="108" w:type="dxa"/>
            <w:bottom w:w="0" w:type="dxa"/>
            <w:right w:w="108" w:type="dxa"/>
          </w:tblCellMar>
        </w:tblPrEx>
        <w:trPr>
          <w:trHeight w:val="1662"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49C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0ED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无线数字会议</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代表单元</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（内置锂电池）</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01784CFF">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2.4寸TFT彩色液晶显示，分级菜单设计，使操作简明方便。且有诸多如电量显示和欠压警告，频率信道、信号指示和工作状态等功能。</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列席单元采用3600mAH锂离子电池，超低功耗，可以连续工作15小时,待机时长可达25个小时。</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列席单元通信状态下按键长亮蓝色灯，高档大气。</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发言时方管单元有灯条显示，鹅颈单元有</w:t>
            </w:r>
            <w:r>
              <w:rPr>
                <w:rFonts w:hint="eastAsia" w:ascii="宋体" w:hAnsi="宋体" w:cs="宋体"/>
                <w:color w:val="auto"/>
                <w:kern w:val="0"/>
                <w:sz w:val="21"/>
                <w:szCs w:val="21"/>
                <w:highlight w:val="none"/>
                <w:bdr w:val="single" w:color="000000" w:sz="4" w:space="0"/>
              </w:rPr>
              <w:drawing>
                <wp:anchor distT="0" distB="0" distL="114300" distR="114300" simplePos="0" relativeHeight="251675648" behindDoc="0" locked="0" layoutInCell="1" allowOverlap="1">
                  <wp:simplePos x="0" y="0"/>
                  <wp:positionH relativeFrom="column">
                    <wp:posOffset>4417060</wp:posOffset>
                  </wp:positionH>
                  <wp:positionV relativeFrom="paragraph">
                    <wp:posOffset>3455670</wp:posOffset>
                  </wp:positionV>
                  <wp:extent cx="784225" cy="510540"/>
                  <wp:effectExtent l="0" t="0" r="8255" b="7620"/>
                  <wp:wrapNone/>
                  <wp:docPr id="97" name="图片_49"/>
                  <wp:cNvGraphicFramePr/>
                  <a:graphic xmlns:a="http://schemas.openxmlformats.org/drawingml/2006/main">
                    <a:graphicData uri="http://schemas.openxmlformats.org/drawingml/2006/picture">
                      <pic:pic xmlns:pic="http://schemas.openxmlformats.org/drawingml/2006/picture">
                        <pic:nvPicPr>
                          <pic:cNvPr id="97" name="图片_49"/>
                          <pic:cNvPicPr/>
                        </pic:nvPicPr>
                        <pic:blipFill>
                          <a:blip r:embed="rId47" cstate="print"/>
                          <a:stretch>
                            <a:fillRect/>
                          </a:stretch>
                        </pic:blipFill>
                        <pic:spPr>
                          <a:xfrm>
                            <a:off x="0" y="0"/>
                            <a:ext cx="784225" cy="510540"/>
                          </a:xfrm>
                          <a:prstGeom prst="rect">
                            <a:avLst/>
                          </a:prstGeom>
                          <a:noFill/>
                          <a:ln>
                            <a:noFill/>
                          </a:ln>
                        </pic:spPr>
                      </pic:pic>
                    </a:graphicData>
                  </a:graphic>
                </wp:anchor>
              </w:drawing>
            </w:r>
            <w:r>
              <w:rPr>
                <w:rFonts w:hint="eastAsia" w:ascii="宋体" w:hAnsi="宋体" w:cs="宋体"/>
                <w:color w:val="auto"/>
                <w:kern w:val="0"/>
                <w:sz w:val="21"/>
                <w:szCs w:val="21"/>
                <w:highlight w:val="none"/>
              </w:rPr>
              <w:t>灯环显示。</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具备发言计时功能，方便与会者把控会议节奏。</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人性化功能：高清人声还原、超指向性角度60°、声音探测、独有续航供电、拒绝干扰。</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符合GB/T17618-1998国家标准；列席单元采用工程塑料材质，外观喷皮高档工艺，内置天线，美观得体。</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列席单元话筒技术指标：</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载波频段：UHF640MHz-690MHz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振荡方式：PLL相位锁定频率合成</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谐波辐射：&lt;-65dBm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频带宽度：50MHz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最大偏移度：±45KHz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传感器：电容式双振膜咪芯、 超心指向性</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RF功率输出：15mW</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使用电池:3600mAH锂离子电池，可以连续工作15小时,待机时长可达25个小时</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电流消耗：&lt;200mA</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A18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F274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914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4320 </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064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43200</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93A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74624" behindDoc="0" locked="0" layoutInCell="1" allowOverlap="1">
                  <wp:simplePos x="0" y="0"/>
                  <wp:positionH relativeFrom="column">
                    <wp:posOffset>444500</wp:posOffset>
                  </wp:positionH>
                  <wp:positionV relativeFrom="paragraph">
                    <wp:posOffset>123825</wp:posOffset>
                  </wp:positionV>
                  <wp:extent cx="841375" cy="718820"/>
                  <wp:effectExtent l="0" t="0" r="0" b="0"/>
                  <wp:wrapNone/>
                  <wp:docPr id="98" name="图片_14"/>
                  <wp:cNvGraphicFramePr/>
                  <a:graphic xmlns:a="http://schemas.openxmlformats.org/drawingml/2006/main">
                    <a:graphicData uri="http://schemas.openxmlformats.org/drawingml/2006/picture">
                      <pic:pic xmlns:pic="http://schemas.openxmlformats.org/drawingml/2006/picture">
                        <pic:nvPicPr>
                          <pic:cNvPr id="98" name="图片_14"/>
                          <pic:cNvPicPr/>
                        </pic:nvPicPr>
                        <pic:blipFill>
                          <a:blip r:embed="rId48" cstate="print"/>
                          <a:stretch>
                            <a:fillRect/>
                          </a:stretch>
                        </pic:blipFill>
                        <pic:spPr>
                          <a:xfrm>
                            <a:off x="0" y="0"/>
                            <a:ext cx="841375" cy="718820"/>
                          </a:xfrm>
                          <a:prstGeom prst="rect">
                            <a:avLst/>
                          </a:prstGeom>
                          <a:noFill/>
                          <a:ln>
                            <a:noFill/>
                          </a:ln>
                        </pic:spPr>
                      </pic:pic>
                    </a:graphicData>
                  </a:graphic>
                </wp:anchor>
              </w:drawing>
            </w:r>
          </w:p>
        </w:tc>
      </w:tr>
      <w:tr w14:paraId="45D2EE06">
        <w:tblPrEx>
          <w:tblCellMar>
            <w:top w:w="0" w:type="dxa"/>
            <w:left w:w="108" w:type="dxa"/>
            <w:bottom w:w="0" w:type="dxa"/>
            <w:right w:w="108" w:type="dxa"/>
          </w:tblCellMar>
        </w:tblPrEx>
        <w:trPr>
          <w:trHeight w:val="72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B92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22</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347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充电箱</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57AD929C">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电压：AC 220V</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总功率：5V40A/200W(足功率)</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57A53">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F2E3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DDC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1241</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5AB3">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1241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F33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p>
        </w:tc>
      </w:tr>
      <w:tr w14:paraId="078CF829">
        <w:tblPrEx>
          <w:tblCellMar>
            <w:top w:w="0" w:type="dxa"/>
            <w:left w:w="108" w:type="dxa"/>
            <w:bottom w:w="0" w:type="dxa"/>
            <w:right w:w="108" w:type="dxa"/>
          </w:tblCellMar>
        </w:tblPrEx>
        <w:trPr>
          <w:trHeight w:val="9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F25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23</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0B1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数字反馈抑制器</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4771C724">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1. 配置2寸TFT彩屏，实时显示当前音频电平，系统音量，麦克风音量；</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采用移频，陷波双算法，实时自动扫描啸叫抑制点并自动抑制，有效提升麦克风拾音距离；</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3.自动增益算法，高保真音质，讲话更轻松；</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4.24bit高性能A/D及D/A转换芯片,语音清晰，还原度高；</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5.支持4通道48V幻象电源独立开关控制；</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6.输入通道：4路平衡输入XLR和4路非平衡输入TRS，1路RCA接口；</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7.</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输出通道：2路平衡输出XLR，1路RCA；</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8.高效简单的操作，无需任何调试一键切换啸叫抑制功能打开或关闭，即时了解抑制器的效果；</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9.支持一键对啸叫点进行校正,Ai自适应算法清除啸叫；</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10.频率响应：20-20KHz（BYPASS） 100-16KHz（ACTIVE）；</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11.信噪比&gt;105dB，超低噪声;</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12.输入阻抗：10KΩ；</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13.输出阻抗：1KΩ；</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14.AD采样：48K,24bit；</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15.额定电压：220V/AC 50Hz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16.额定功率：&lt;20W</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7DB3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00E4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5AD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6120 </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B66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6120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3F9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76672" behindDoc="0" locked="0" layoutInCell="1" allowOverlap="1">
                  <wp:simplePos x="0" y="0"/>
                  <wp:positionH relativeFrom="column">
                    <wp:posOffset>98425</wp:posOffset>
                  </wp:positionH>
                  <wp:positionV relativeFrom="paragraph">
                    <wp:posOffset>1771015</wp:posOffset>
                  </wp:positionV>
                  <wp:extent cx="1346200" cy="419100"/>
                  <wp:effectExtent l="0" t="0" r="10160" b="7620"/>
                  <wp:wrapNone/>
                  <wp:docPr id="99" name="图片_51"/>
                  <wp:cNvGraphicFramePr/>
                  <a:graphic xmlns:a="http://schemas.openxmlformats.org/drawingml/2006/main">
                    <a:graphicData uri="http://schemas.openxmlformats.org/drawingml/2006/picture">
                      <pic:pic xmlns:pic="http://schemas.openxmlformats.org/drawingml/2006/picture">
                        <pic:nvPicPr>
                          <pic:cNvPr id="99" name="图片_51"/>
                          <pic:cNvPicPr/>
                        </pic:nvPicPr>
                        <pic:blipFill>
                          <a:blip r:embed="rId49" cstate="print"/>
                          <a:stretch>
                            <a:fillRect/>
                          </a:stretch>
                        </pic:blipFill>
                        <pic:spPr>
                          <a:xfrm>
                            <a:off x="0" y="0"/>
                            <a:ext cx="1346200" cy="419100"/>
                          </a:xfrm>
                          <a:prstGeom prst="rect">
                            <a:avLst/>
                          </a:prstGeom>
                          <a:noFill/>
                          <a:ln>
                            <a:noFill/>
                          </a:ln>
                        </pic:spPr>
                      </pic:pic>
                    </a:graphicData>
                  </a:graphic>
                </wp:anchor>
              </w:drawing>
            </w:r>
          </w:p>
        </w:tc>
      </w:tr>
      <w:tr w14:paraId="65664F9A">
        <w:tblPrEx>
          <w:tblCellMar>
            <w:top w:w="0" w:type="dxa"/>
            <w:left w:w="108" w:type="dxa"/>
            <w:bottom w:w="0" w:type="dxa"/>
            <w:right w:w="108" w:type="dxa"/>
          </w:tblCellMar>
        </w:tblPrEx>
        <w:trPr>
          <w:trHeight w:val="404"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37A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24</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BDB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合唱话筒</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49304629">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多指向，镀金Mylar膜片，48V幻象供电，晶体管无输出变压器，平衡输出，高灵敏度、低噪声、低失真、宽频响、方便使用，心形、8字形多种指向性可通过开关随心切换，声音丰满、浑厚，适用于各种高中低档场所录音、扩音。</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指向特性:心形指向性8字形指向性</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频率响应: 30 - 20000Hz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灵敏度:≥25mV/Pa ( - 32dB±2dB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输出阻抗: 200Ω</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最大声压级（dB）：130</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信噪比:≥96dB</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幻象供电: 48V</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输出连接器:底座后部，标准3针卡侬公头</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XLRM输出</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FE43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00DC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套</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BA4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3661 </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19A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7322</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9C3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77696" behindDoc="0" locked="0" layoutInCell="1" allowOverlap="1">
                  <wp:simplePos x="0" y="0"/>
                  <wp:positionH relativeFrom="column">
                    <wp:posOffset>457200</wp:posOffset>
                  </wp:positionH>
                  <wp:positionV relativeFrom="paragraph">
                    <wp:posOffset>63500</wp:posOffset>
                  </wp:positionV>
                  <wp:extent cx="704850" cy="705485"/>
                  <wp:effectExtent l="0" t="0" r="11430" b="10795"/>
                  <wp:wrapNone/>
                  <wp:docPr id="96" name="图片_30"/>
                  <wp:cNvGraphicFramePr/>
                  <a:graphic xmlns:a="http://schemas.openxmlformats.org/drawingml/2006/main">
                    <a:graphicData uri="http://schemas.openxmlformats.org/drawingml/2006/picture">
                      <pic:pic xmlns:pic="http://schemas.openxmlformats.org/drawingml/2006/picture">
                        <pic:nvPicPr>
                          <pic:cNvPr id="96" name="图片_30"/>
                          <pic:cNvPicPr/>
                        </pic:nvPicPr>
                        <pic:blipFill>
                          <a:blip r:embed="rId50" cstate="print"/>
                          <a:stretch>
                            <a:fillRect/>
                          </a:stretch>
                        </pic:blipFill>
                        <pic:spPr>
                          <a:xfrm>
                            <a:off x="0" y="0"/>
                            <a:ext cx="704850" cy="705485"/>
                          </a:xfrm>
                          <a:prstGeom prst="rect">
                            <a:avLst/>
                          </a:prstGeom>
                          <a:noFill/>
                          <a:ln>
                            <a:noFill/>
                          </a:ln>
                        </pic:spPr>
                      </pic:pic>
                    </a:graphicData>
                  </a:graphic>
                </wp:anchor>
              </w:drawing>
            </w:r>
          </w:p>
        </w:tc>
      </w:tr>
      <w:tr w14:paraId="61D92C2E">
        <w:tblPrEx>
          <w:tblCellMar>
            <w:top w:w="0" w:type="dxa"/>
            <w:left w:w="108" w:type="dxa"/>
            <w:bottom w:w="0" w:type="dxa"/>
            <w:right w:w="108" w:type="dxa"/>
          </w:tblCellMar>
        </w:tblPrEx>
        <w:trPr>
          <w:trHeight w:val="9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BC7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9DA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电源时序器</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（独立滤波，带232接口）</w:t>
            </w:r>
          </w:p>
        </w:tc>
        <w:tc>
          <w:tcPr>
            <w:tcW w:w="4042" w:type="dxa"/>
            <w:tcBorders>
              <w:top w:val="single" w:color="000000" w:sz="4" w:space="0"/>
              <w:left w:val="single" w:color="000000" w:sz="4" w:space="0"/>
              <w:bottom w:val="single" w:color="000000" w:sz="4" w:space="0"/>
              <w:right w:val="single" w:color="000000" w:sz="4" w:space="0"/>
            </w:tcBorders>
            <w:shd w:val="clear" w:color="auto" w:fill="auto"/>
          </w:tcPr>
          <w:p w14:paraId="0B63DFF7">
            <w:pPr>
              <w:keepNext w:val="0"/>
              <w:keepLines w:val="0"/>
              <w:widowControl/>
              <w:suppressLineNumbers w:val="0"/>
              <w:spacing w:before="0" w:beforeAutospacing="0" w:after="0" w:afterAutospacing="0"/>
              <w:ind w:left="0" w:right="0"/>
              <w:jc w:val="left"/>
              <w:textAlignment w:val="top"/>
              <w:rPr>
                <w:rFonts w:hint="default" w:ascii="宋体" w:hAnsi="宋体" w:cs="宋体"/>
                <w:color w:val="auto"/>
                <w:sz w:val="21"/>
                <w:szCs w:val="21"/>
                <w:highlight w:val="none"/>
              </w:rPr>
            </w:pPr>
            <w:r>
              <w:rPr>
                <w:rFonts w:hint="eastAsia" w:ascii="宋体" w:hAnsi="宋体" w:cs="宋体"/>
                <w:color w:val="auto"/>
                <w:kern w:val="0"/>
                <w:sz w:val="21"/>
                <w:szCs w:val="21"/>
                <w:highlight w:val="none"/>
              </w:rPr>
              <w:t>1 面板颜色：黑色</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 2 电力输入条件(单相3线)：AC190-250V 50-60HZ两相（三线：零，火，地）</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 3 通道数量：8路万用插座继电器受控</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 4 继电器受控输出最大承受单路功率/总功率(无功功率）：6000W/10000W最大承受无功功率</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 5 输出电源插座规格：阻燃ABS材料，最大可承受13A电流磷铜材质，标准万用插座</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 6 功能特点：1：点阵功能显示 2：液晶电压显示 3:顺序开启逆序关闭，自由设定通道 4:COM中控控制（指令控制）或自带软件控制5：时间间隔可调6：自由通道关闭7：级联叠机ID:0-255 10：中控外控8：面板通道独立关闭9:.6组定时功能10:可以设定使用时间（0-99小时）</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 7 每路开关间隔时间/定时时间：默认1秒（可以自由设置）</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 8 输出继电器触点电流：40A 277VAC</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 9 电路板规格：双面纤维板，主电源走线二次加厚加粗处理</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10 供电规格：适用电压AC190-260V 50-60HZ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11 主电缆线规格：3*4平方电缆线，总长度为1.8米欧式插头</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12 开启类型：按键式轻触开关</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13 单路独立开关功能：支持面板独立控制（可软件设定控制）</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14 功能显示电压显示表类型：点阵功能显示电压表与功能菜单</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15 叠机级联功能：有</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16 外接控制开关接口：RS232 COM接口中控控制</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17 随机控制软件及支持中控功能与ID数量分配：自带指令代码与控制软件，支持中控控制，ID:0-255</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9564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AF25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F7C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1271</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CF7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3813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E21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78720" behindDoc="0" locked="0" layoutInCell="1" allowOverlap="1">
                  <wp:simplePos x="0" y="0"/>
                  <wp:positionH relativeFrom="column">
                    <wp:posOffset>177800</wp:posOffset>
                  </wp:positionH>
                  <wp:positionV relativeFrom="paragraph">
                    <wp:posOffset>210820</wp:posOffset>
                  </wp:positionV>
                  <wp:extent cx="1358900" cy="655320"/>
                  <wp:effectExtent l="0" t="0" r="12700" b="0"/>
                  <wp:wrapNone/>
                  <wp:docPr id="95" name="图片_53"/>
                  <wp:cNvGraphicFramePr/>
                  <a:graphic xmlns:a="http://schemas.openxmlformats.org/drawingml/2006/main">
                    <a:graphicData uri="http://schemas.openxmlformats.org/drawingml/2006/picture">
                      <pic:pic xmlns:pic="http://schemas.openxmlformats.org/drawingml/2006/picture">
                        <pic:nvPicPr>
                          <pic:cNvPr id="95" name="图片_53"/>
                          <pic:cNvPicPr/>
                        </pic:nvPicPr>
                        <pic:blipFill>
                          <a:blip r:embed="rId51" cstate="print"/>
                          <a:stretch>
                            <a:fillRect/>
                          </a:stretch>
                        </pic:blipFill>
                        <pic:spPr>
                          <a:xfrm>
                            <a:off x="0" y="0"/>
                            <a:ext cx="1358900" cy="655320"/>
                          </a:xfrm>
                          <a:prstGeom prst="rect">
                            <a:avLst/>
                          </a:prstGeom>
                          <a:noFill/>
                          <a:ln>
                            <a:noFill/>
                          </a:ln>
                        </pic:spPr>
                      </pic:pic>
                    </a:graphicData>
                  </a:graphic>
                </wp:anchor>
              </w:drawing>
            </w:r>
          </w:p>
        </w:tc>
      </w:tr>
      <w:tr w14:paraId="44D0F4A0">
        <w:tblPrEx>
          <w:tblCellMar>
            <w:top w:w="0" w:type="dxa"/>
            <w:left w:w="108" w:type="dxa"/>
            <w:bottom w:w="0" w:type="dxa"/>
            <w:right w:w="108" w:type="dxa"/>
          </w:tblCellMar>
        </w:tblPrEx>
        <w:trPr>
          <w:trHeight w:val="9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98ED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DF6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机柜</w:t>
            </w: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0B19">
            <w:pPr>
              <w:keepNext w:val="0"/>
              <w:keepLines w:val="0"/>
              <w:suppressLineNumbers w:val="0"/>
              <w:spacing w:before="0" w:beforeAutospacing="0" w:after="0" w:afterAutospacing="0"/>
              <w:ind w:left="0" w:right="0"/>
              <w:rPr>
                <w:rFonts w:hint="default" w:ascii="宋体" w:hAnsi="宋体" w:cs="宋体"/>
                <w:color w:val="auto"/>
                <w:sz w:val="21"/>
                <w:szCs w:val="21"/>
                <w:highlight w:val="none"/>
              </w:rPr>
            </w:pP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EFBD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F3C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8D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2220</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F60F">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4440</w:t>
            </w:r>
          </w:p>
        </w:tc>
        <w:tc>
          <w:tcPr>
            <w:tcW w:w="2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B7D75">
            <w:pPr>
              <w:keepNext w:val="0"/>
              <w:keepLines w:val="0"/>
              <w:suppressLineNumbers w:val="0"/>
              <w:spacing w:before="0" w:beforeAutospacing="0" w:after="0" w:afterAutospacing="0"/>
              <w:ind w:left="0" w:right="0"/>
              <w:jc w:val="center"/>
              <w:rPr>
                <w:rFonts w:hint="default" w:ascii="宋体" w:hAnsi="宋体" w:cs="宋体"/>
                <w:color w:val="auto"/>
                <w:sz w:val="21"/>
                <w:szCs w:val="21"/>
                <w:highlight w:val="none"/>
              </w:rPr>
            </w:pPr>
          </w:p>
        </w:tc>
      </w:tr>
      <w:tr w14:paraId="043CE8A3">
        <w:tblPrEx>
          <w:tblCellMar>
            <w:top w:w="0" w:type="dxa"/>
            <w:left w:w="108" w:type="dxa"/>
            <w:bottom w:w="0" w:type="dxa"/>
            <w:right w:w="108" w:type="dxa"/>
          </w:tblCellMar>
        </w:tblPrEx>
        <w:trPr>
          <w:trHeight w:val="90" w:hRule="atLeast"/>
        </w:trPr>
        <w:tc>
          <w:tcPr>
            <w:tcW w:w="1024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194C3F3">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合计：</w:t>
            </w:r>
            <w:r>
              <w:rPr>
                <w:rFonts w:hint="eastAsia" w:ascii="宋体" w:hAnsi="宋体" w:cs="宋体"/>
                <w:color w:val="auto"/>
                <w:sz w:val="21"/>
                <w:szCs w:val="21"/>
                <w:highlight w:val="none"/>
                <w:lang w:val="en-US" w:eastAsia="zh-CN"/>
              </w:rPr>
              <w:t>叁拾叁万柒仟零玖拾壹</w:t>
            </w:r>
            <w:r>
              <w:rPr>
                <w:rFonts w:hint="eastAsia" w:ascii="宋体" w:hAnsi="宋体" w:cs="宋体"/>
                <w:color w:val="auto"/>
                <w:sz w:val="21"/>
                <w:szCs w:val="21"/>
                <w:highlight w:val="none"/>
              </w:rPr>
              <w:t>元整（¥</w:t>
            </w:r>
            <w:r>
              <w:rPr>
                <w:rFonts w:hint="eastAsia" w:ascii="宋体" w:hAnsi="宋体" w:cs="宋体"/>
                <w:color w:val="auto"/>
                <w:sz w:val="21"/>
                <w:szCs w:val="21"/>
                <w:highlight w:val="none"/>
                <w:lang w:val="en-US" w:eastAsia="zh-CN"/>
              </w:rPr>
              <w:t>337091.00</w:t>
            </w:r>
            <w:r>
              <w:rPr>
                <w:rFonts w:hint="eastAsia" w:ascii="宋体" w:hAnsi="宋体" w:cs="宋体"/>
                <w:color w:val="auto"/>
                <w:sz w:val="21"/>
                <w:szCs w:val="21"/>
                <w:highlight w:val="none"/>
              </w:rPr>
              <w:t>元）</w:t>
            </w:r>
          </w:p>
        </w:tc>
      </w:tr>
      <w:bookmarkEnd w:id="32"/>
    </w:tbl>
    <w:p w14:paraId="2F170587">
      <w:pPr>
        <w:numPr>
          <w:ilvl w:val="0"/>
          <w:numId w:val="0"/>
        </w:numPr>
        <w:spacing w:line="440" w:lineRule="exact"/>
        <w:jc w:val="left"/>
        <w:rPr>
          <w:rFonts w:hint="eastAsia" w:ascii="宋体" w:hAnsi="宋体" w:eastAsia="宋体" w:cs="宋体"/>
          <w:b/>
          <w:color w:val="auto"/>
          <w:sz w:val="24"/>
          <w:highlight w:val="none"/>
        </w:rPr>
      </w:pPr>
    </w:p>
    <w:tbl>
      <w:tblPr>
        <w:tblStyle w:val="62"/>
        <w:tblW w:w="10207" w:type="dxa"/>
        <w:tblInd w:w="-240" w:type="dxa"/>
        <w:tblLayout w:type="fixed"/>
        <w:tblCellMar>
          <w:top w:w="0" w:type="dxa"/>
          <w:left w:w="108" w:type="dxa"/>
          <w:bottom w:w="0" w:type="dxa"/>
          <w:right w:w="108" w:type="dxa"/>
        </w:tblCellMar>
      </w:tblPr>
      <w:tblGrid>
        <w:gridCol w:w="427"/>
        <w:gridCol w:w="636"/>
        <w:gridCol w:w="4408"/>
        <w:gridCol w:w="638"/>
        <w:gridCol w:w="638"/>
        <w:gridCol w:w="658"/>
        <w:gridCol w:w="957"/>
        <w:gridCol w:w="1845"/>
      </w:tblGrid>
      <w:tr w14:paraId="2ECA8F65">
        <w:tblPrEx>
          <w:tblCellMar>
            <w:top w:w="0" w:type="dxa"/>
            <w:left w:w="108" w:type="dxa"/>
            <w:bottom w:w="0" w:type="dxa"/>
            <w:right w:w="108" w:type="dxa"/>
          </w:tblCellMar>
        </w:tblPrEx>
        <w:trPr>
          <w:trHeight w:val="516" w:hRule="atLeast"/>
        </w:trPr>
        <w:tc>
          <w:tcPr>
            <w:tcW w:w="8362" w:type="dxa"/>
            <w:gridSpan w:val="7"/>
            <w:tcBorders>
              <w:top w:val="single" w:color="000000" w:sz="4" w:space="0"/>
              <w:left w:val="single" w:color="000000" w:sz="4" w:space="0"/>
              <w:bottom w:val="single" w:color="000000" w:sz="4" w:space="0"/>
              <w:right w:val="single" w:color="000000" w:sz="4" w:space="0"/>
            </w:tcBorders>
            <w:shd w:val="clear" w:color="auto" w:fill="0070C0"/>
            <w:noWrap/>
            <w:vAlign w:val="center"/>
          </w:tcPr>
          <w:p w14:paraId="45807BB6">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舞台灯光系统</w:t>
            </w:r>
          </w:p>
        </w:tc>
        <w:tc>
          <w:tcPr>
            <w:tcW w:w="1845" w:type="dxa"/>
            <w:tcBorders>
              <w:top w:val="single" w:color="000000" w:sz="4" w:space="0"/>
              <w:left w:val="single" w:color="000000" w:sz="4" w:space="0"/>
              <w:bottom w:val="single" w:color="000000" w:sz="4" w:space="0"/>
              <w:right w:val="single" w:color="000000" w:sz="4" w:space="0"/>
            </w:tcBorders>
            <w:shd w:val="clear" w:color="auto" w:fill="0070C0"/>
            <w:noWrap/>
            <w:vAlign w:val="center"/>
          </w:tcPr>
          <w:p w14:paraId="62CFFBFB">
            <w:pPr>
              <w:keepNext w:val="0"/>
              <w:keepLines w:val="0"/>
              <w:widowControl/>
              <w:suppressLineNumbers w:val="0"/>
              <w:spacing w:before="0" w:beforeAutospacing="0" w:after="0" w:afterAutospacing="0" w:line="260" w:lineRule="exact"/>
              <w:ind w:left="0" w:right="0"/>
              <w:jc w:val="center"/>
              <w:rPr>
                <w:rFonts w:hint="default" w:ascii="宋体" w:hAnsi="宋体" w:cs="宋体"/>
                <w:b/>
                <w:bCs/>
                <w:color w:val="auto"/>
                <w:sz w:val="21"/>
                <w:szCs w:val="21"/>
                <w:highlight w:val="none"/>
              </w:rPr>
            </w:pPr>
          </w:p>
        </w:tc>
      </w:tr>
      <w:tr w14:paraId="4D705254">
        <w:tblPrEx>
          <w:tblCellMar>
            <w:top w:w="0" w:type="dxa"/>
            <w:left w:w="108" w:type="dxa"/>
            <w:bottom w:w="0" w:type="dxa"/>
            <w:right w:w="108" w:type="dxa"/>
          </w:tblCellMar>
        </w:tblPrEx>
        <w:trPr>
          <w:trHeight w:val="312"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3176">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序号</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466D">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品名</w:t>
            </w:r>
          </w:p>
        </w:tc>
        <w:tc>
          <w:tcPr>
            <w:tcW w:w="44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07227">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性能</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4A031">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单位</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9B1F7">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数量</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4E3ED">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单价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9681">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小计</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80BB6">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b/>
                <w:bCs/>
                <w:color w:val="auto"/>
                <w:sz w:val="21"/>
                <w:szCs w:val="21"/>
                <w:highlight w:val="none"/>
              </w:rPr>
            </w:pPr>
            <w:r>
              <w:rPr>
                <w:rFonts w:hint="eastAsia" w:ascii="宋体" w:hAnsi="宋体" w:cs="宋体"/>
                <w:b/>
                <w:bCs/>
                <w:color w:val="auto"/>
                <w:kern w:val="0"/>
                <w:sz w:val="21"/>
                <w:szCs w:val="21"/>
                <w:highlight w:val="none"/>
              </w:rPr>
              <w:t>示意图片</w:t>
            </w:r>
          </w:p>
        </w:tc>
      </w:tr>
      <w:tr w14:paraId="362408F7">
        <w:tblPrEx>
          <w:tblCellMar>
            <w:top w:w="0" w:type="dxa"/>
            <w:left w:w="108" w:type="dxa"/>
            <w:bottom w:w="0" w:type="dxa"/>
            <w:right w:w="108" w:type="dxa"/>
          </w:tblCellMar>
        </w:tblPrEx>
        <w:trPr>
          <w:trHeight w:val="312" w:hRule="atLeast"/>
        </w:trPr>
        <w:tc>
          <w:tcPr>
            <w:tcW w:w="1020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8BEFC56">
            <w:pPr>
              <w:keepNext w:val="0"/>
              <w:keepLines w:val="0"/>
              <w:widowControl/>
              <w:suppressLineNumbers w:val="0"/>
              <w:spacing w:before="0" w:beforeAutospacing="0" w:after="0" w:afterAutospacing="0" w:line="260" w:lineRule="exact"/>
              <w:ind w:left="0" w:right="0"/>
              <w:jc w:val="left"/>
              <w:rPr>
                <w:rFonts w:hint="default" w:ascii="宋体" w:hAnsi="宋体" w:cs="宋体"/>
                <w:color w:val="auto"/>
                <w:sz w:val="21"/>
                <w:szCs w:val="21"/>
                <w:highlight w:val="none"/>
              </w:rPr>
            </w:pPr>
            <w:r>
              <w:rPr>
                <w:rFonts w:hint="eastAsia" w:ascii="宋体" w:hAnsi="宋体" w:cs="宋体"/>
                <w:color w:val="auto"/>
                <w:kern w:val="0"/>
                <w:sz w:val="21"/>
                <w:szCs w:val="21"/>
                <w:highlight w:val="none"/>
              </w:rPr>
              <w:t>面光灯</w:t>
            </w:r>
          </w:p>
        </w:tc>
      </w:tr>
      <w:tr w14:paraId="12BAA8A0">
        <w:tblPrEx>
          <w:tblCellMar>
            <w:top w:w="0" w:type="dxa"/>
            <w:left w:w="108" w:type="dxa"/>
            <w:bottom w:w="0" w:type="dxa"/>
            <w:right w:w="108" w:type="dxa"/>
          </w:tblCellMar>
        </w:tblPrEx>
        <w:trPr>
          <w:trHeight w:val="336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688D">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8FA4">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200W成像灯</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A764">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输入电压：AC100-240V，50-60Hz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额定功率：≥20W</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光    源：200W COB</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色    温：3200K/5600K可选</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显    指： ≥90</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灯珠寿命：50000h</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调    光：0-255，0%-100%线性调光</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光学材料：光学透镜透镜</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光学角度： 19°、26°、36°可选</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功能效果：散光、聚光</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防护等级：IP20</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控制模式：国际标准DMX512信号、自走、主从</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通道数量：2个DMX通道</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497E">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4A5B">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D336">
            <w:pPr>
              <w:keepNext w:val="0"/>
              <w:keepLines w:val="0"/>
              <w:suppressLineNumbers w:val="0"/>
              <w:spacing w:before="0" w:beforeAutospacing="0" w:after="0" w:afterAutospacing="0"/>
              <w:ind w:left="0" w:right="0"/>
              <w:jc w:val="left"/>
              <w:rPr>
                <w:rFonts w:hint="default" w:ascii="宋体" w:hAnsi="宋体" w:cs="宋体"/>
                <w:color w:val="auto"/>
                <w:sz w:val="22"/>
                <w:szCs w:val="22"/>
                <w:highlight w:val="none"/>
              </w:rPr>
            </w:pPr>
            <w:r>
              <w:rPr>
                <w:rFonts w:hint="eastAsia"/>
                <w:color w:val="auto"/>
                <w:sz w:val="22"/>
                <w:szCs w:val="22"/>
                <w:highlight w:val="none"/>
              </w:rPr>
              <w:t xml:space="preserve">3582 </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00CF9">
            <w:pPr>
              <w:keepNext w:val="0"/>
              <w:keepLines w:val="0"/>
              <w:widowControl/>
              <w:suppressLineNumbers w:val="0"/>
              <w:spacing w:before="0" w:beforeAutospacing="0" w:after="0" w:afterAutospacing="0"/>
              <w:ind w:left="0" w:right="0"/>
              <w:jc w:val="right"/>
              <w:textAlignment w:val="center"/>
              <w:rPr>
                <w:rFonts w:hint="default" w:ascii="宋体" w:hAnsi="宋体" w:cs="宋体"/>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57312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5283">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706368" behindDoc="0" locked="0" layoutInCell="1" allowOverlap="1">
                  <wp:simplePos x="0" y="0"/>
                  <wp:positionH relativeFrom="column">
                    <wp:posOffset>53340</wp:posOffset>
                  </wp:positionH>
                  <wp:positionV relativeFrom="paragraph">
                    <wp:posOffset>114300</wp:posOffset>
                  </wp:positionV>
                  <wp:extent cx="1028700" cy="861060"/>
                  <wp:effectExtent l="0" t="0" r="7620" b="7620"/>
                  <wp:wrapNone/>
                  <wp:docPr id="174" name="图片_2"/>
                  <wp:cNvGraphicFramePr/>
                  <a:graphic xmlns:a="http://schemas.openxmlformats.org/drawingml/2006/main">
                    <a:graphicData uri="http://schemas.openxmlformats.org/drawingml/2006/picture">
                      <pic:pic xmlns:pic="http://schemas.openxmlformats.org/drawingml/2006/picture">
                        <pic:nvPicPr>
                          <pic:cNvPr id="174" name="图片_2"/>
                          <pic:cNvPicPr/>
                        </pic:nvPicPr>
                        <pic:blipFill>
                          <a:blip r:embed="rId52" cstate="print"/>
                          <a:stretch>
                            <a:fillRect/>
                          </a:stretch>
                        </pic:blipFill>
                        <pic:spPr>
                          <a:xfrm>
                            <a:off x="0" y="0"/>
                            <a:ext cx="1028700" cy="861060"/>
                          </a:xfrm>
                          <a:prstGeom prst="rect">
                            <a:avLst/>
                          </a:prstGeom>
                          <a:noFill/>
                          <a:ln>
                            <a:noFill/>
                          </a:ln>
                        </pic:spPr>
                      </pic:pic>
                    </a:graphicData>
                  </a:graphic>
                </wp:anchor>
              </w:drawing>
            </w:r>
          </w:p>
        </w:tc>
      </w:tr>
      <w:tr w14:paraId="5497205C">
        <w:tblPrEx>
          <w:tblCellMar>
            <w:top w:w="0" w:type="dxa"/>
            <w:left w:w="108" w:type="dxa"/>
            <w:bottom w:w="0" w:type="dxa"/>
            <w:right w:w="108" w:type="dxa"/>
          </w:tblCellMar>
        </w:tblPrEx>
        <w:trPr>
          <w:trHeight w:val="18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0C98F9">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0270">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调焦面光灯</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1F64">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输入电压：AC90-240V 50HZ/60HZ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功   率：200w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色温：3200k-5600k可调</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发光角度：15-60度</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控制模式：DMX控制/主从/声控</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通道：6CH通道</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0E084">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7CB0">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7FF9">
            <w:pPr>
              <w:keepNext w:val="0"/>
              <w:keepLines w:val="0"/>
              <w:suppressLineNumbers w:val="0"/>
              <w:spacing w:before="0" w:beforeAutospacing="0" w:after="0" w:afterAutospacing="0"/>
              <w:ind w:left="0" w:right="0"/>
              <w:jc w:val="left"/>
              <w:rPr>
                <w:rFonts w:hint="default" w:ascii="宋体" w:hAnsi="宋体" w:cs="宋体"/>
                <w:color w:val="auto"/>
                <w:sz w:val="22"/>
                <w:szCs w:val="22"/>
                <w:highlight w:val="none"/>
              </w:rPr>
            </w:pPr>
            <w:r>
              <w:rPr>
                <w:rFonts w:hint="eastAsia"/>
                <w:color w:val="auto"/>
                <w:sz w:val="22"/>
                <w:szCs w:val="22"/>
                <w:highlight w:val="none"/>
              </w:rPr>
              <w:t xml:space="preserve">2101 </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3AE7">
            <w:pPr>
              <w:keepNext w:val="0"/>
              <w:keepLines w:val="0"/>
              <w:widowControl/>
              <w:suppressLineNumbers w:val="0"/>
              <w:spacing w:before="0" w:beforeAutospacing="0" w:after="0" w:afterAutospacing="0"/>
              <w:ind w:left="0" w:right="0"/>
              <w:jc w:val="right"/>
              <w:textAlignment w:val="center"/>
              <w:rPr>
                <w:rFonts w:hint="default" w:ascii="宋体" w:hAnsi="宋体" w:cs="宋体"/>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33616</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03E89">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707392" behindDoc="0" locked="0" layoutInCell="1" allowOverlap="1">
                  <wp:simplePos x="0" y="0"/>
                  <wp:positionH relativeFrom="column">
                    <wp:posOffset>90805</wp:posOffset>
                  </wp:positionH>
                  <wp:positionV relativeFrom="paragraph">
                    <wp:posOffset>99060</wp:posOffset>
                  </wp:positionV>
                  <wp:extent cx="1021715" cy="782955"/>
                  <wp:effectExtent l="0" t="0" r="14605" b="9525"/>
                  <wp:wrapNone/>
                  <wp:docPr id="175" name="图片_1"/>
                  <wp:cNvGraphicFramePr/>
                  <a:graphic xmlns:a="http://schemas.openxmlformats.org/drawingml/2006/main">
                    <a:graphicData uri="http://schemas.openxmlformats.org/drawingml/2006/picture">
                      <pic:pic xmlns:pic="http://schemas.openxmlformats.org/drawingml/2006/picture">
                        <pic:nvPicPr>
                          <pic:cNvPr id="175" name="图片_1"/>
                          <pic:cNvPicPr/>
                        </pic:nvPicPr>
                        <pic:blipFill>
                          <a:blip r:embed="rId53" cstate="print"/>
                          <a:stretch>
                            <a:fillRect/>
                          </a:stretch>
                        </pic:blipFill>
                        <pic:spPr>
                          <a:xfrm>
                            <a:off x="0" y="0"/>
                            <a:ext cx="1021715" cy="782955"/>
                          </a:xfrm>
                          <a:prstGeom prst="rect">
                            <a:avLst/>
                          </a:prstGeom>
                          <a:noFill/>
                          <a:ln>
                            <a:noFill/>
                          </a:ln>
                        </pic:spPr>
                      </pic:pic>
                    </a:graphicData>
                  </a:graphic>
                </wp:anchor>
              </w:drawing>
            </w:r>
          </w:p>
        </w:tc>
      </w:tr>
      <w:tr w14:paraId="4A1BDB79">
        <w:tblPrEx>
          <w:tblCellMar>
            <w:top w:w="0" w:type="dxa"/>
            <w:left w:w="108" w:type="dxa"/>
            <w:bottom w:w="0" w:type="dxa"/>
            <w:right w:w="108" w:type="dxa"/>
          </w:tblCellMar>
        </w:tblPrEx>
        <w:trPr>
          <w:trHeight w:val="312" w:hRule="atLeast"/>
        </w:trPr>
        <w:tc>
          <w:tcPr>
            <w:tcW w:w="1020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2C36324">
            <w:pPr>
              <w:keepNext w:val="0"/>
              <w:keepLines w:val="0"/>
              <w:widowControl/>
              <w:suppressLineNumbers w:val="0"/>
              <w:spacing w:before="0" w:beforeAutospacing="0" w:after="0" w:afterAutospacing="0" w:line="260" w:lineRule="exact"/>
              <w:ind w:left="0" w:right="0"/>
              <w:jc w:val="left"/>
              <w:rPr>
                <w:rFonts w:hint="default" w:ascii="宋体" w:hAnsi="宋体" w:cs="宋体"/>
                <w:color w:val="auto"/>
                <w:sz w:val="21"/>
                <w:szCs w:val="21"/>
                <w:highlight w:val="none"/>
              </w:rPr>
            </w:pPr>
            <w:r>
              <w:rPr>
                <w:rFonts w:hint="eastAsia" w:ascii="宋体" w:hAnsi="宋体" w:cs="宋体"/>
                <w:color w:val="auto"/>
                <w:kern w:val="0"/>
                <w:sz w:val="21"/>
                <w:szCs w:val="21"/>
                <w:highlight w:val="none"/>
              </w:rPr>
              <w:t>一顶光</w:t>
            </w:r>
          </w:p>
        </w:tc>
      </w:tr>
      <w:tr w14:paraId="16C5D531">
        <w:tblPrEx>
          <w:tblCellMar>
            <w:top w:w="0" w:type="dxa"/>
            <w:left w:w="108" w:type="dxa"/>
            <w:bottom w:w="0" w:type="dxa"/>
            <w:right w:w="108" w:type="dxa"/>
          </w:tblCellMar>
        </w:tblPrEx>
        <w:trPr>
          <w:trHeight w:val="27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6E110">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3</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C350">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18颗4合一</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全彩帕灯</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232D">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输入电压：90-240V  50/60HZ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额定功率: 200W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灯泡规格：18颗X10W红绿蓝白</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颜 色：RGBW四合一</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 防水设计：IP25</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透镜角度:25º（可选角度：15°、45°）</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调光：红、绿、蓝、白单色独立调光，总调光，宏功能调光</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频闪： 独立频闪通道</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控制方式：国际标准DMX512信号，标准模式8通道、扩展模式8个通道，主从同步控制模式，内置程序自动运行</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6767">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7EA9">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064E4">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594 </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B8195">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9504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C4CB4">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704320" behindDoc="0" locked="0" layoutInCell="1" allowOverlap="1">
                  <wp:simplePos x="0" y="0"/>
                  <wp:positionH relativeFrom="column">
                    <wp:posOffset>294005</wp:posOffset>
                  </wp:positionH>
                  <wp:positionV relativeFrom="paragraph">
                    <wp:posOffset>221615</wp:posOffset>
                  </wp:positionV>
                  <wp:extent cx="680085" cy="667385"/>
                  <wp:effectExtent l="0" t="0" r="5715" b="3175"/>
                  <wp:wrapNone/>
                  <wp:docPr id="172" name="图片_37"/>
                  <wp:cNvGraphicFramePr/>
                  <a:graphic xmlns:a="http://schemas.openxmlformats.org/drawingml/2006/main">
                    <a:graphicData uri="http://schemas.openxmlformats.org/drawingml/2006/picture">
                      <pic:pic xmlns:pic="http://schemas.openxmlformats.org/drawingml/2006/picture">
                        <pic:nvPicPr>
                          <pic:cNvPr id="172" name="图片_37"/>
                          <pic:cNvPicPr/>
                        </pic:nvPicPr>
                        <pic:blipFill>
                          <a:blip r:embed="rId54" cstate="print"/>
                          <a:stretch>
                            <a:fillRect/>
                          </a:stretch>
                        </pic:blipFill>
                        <pic:spPr>
                          <a:xfrm>
                            <a:off x="0" y="0"/>
                            <a:ext cx="680085" cy="667385"/>
                          </a:xfrm>
                          <a:prstGeom prst="rect">
                            <a:avLst/>
                          </a:prstGeom>
                          <a:noFill/>
                          <a:ln>
                            <a:noFill/>
                          </a:ln>
                        </pic:spPr>
                      </pic:pic>
                    </a:graphicData>
                  </a:graphic>
                </wp:anchor>
              </w:drawing>
            </w:r>
          </w:p>
        </w:tc>
      </w:tr>
      <w:tr w14:paraId="41EF0647">
        <w:tblPrEx>
          <w:tblCellMar>
            <w:top w:w="0" w:type="dxa"/>
            <w:left w:w="108" w:type="dxa"/>
            <w:bottom w:w="0" w:type="dxa"/>
            <w:right w:w="108" w:type="dxa"/>
          </w:tblCellMar>
        </w:tblPrEx>
        <w:trPr>
          <w:trHeight w:val="15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178D43">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4</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B450">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LED三基色灯</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A5B9">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电压：AC90V-240v,50/60HZ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功率：≥200W</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光源：432颗5730灯珠</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通道：4-6CH</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"颜色:正白、暖白、双色，控制方式：声控，自动，DMX512，联机。插头：音响插。开孔430X255mm</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DA08F">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72E5">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AD5F7">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1809 </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33ABE">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28944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DB1F">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705344" behindDoc="0" locked="0" layoutInCell="1" allowOverlap="1">
                  <wp:simplePos x="0" y="0"/>
                  <wp:positionH relativeFrom="column">
                    <wp:posOffset>177800</wp:posOffset>
                  </wp:positionH>
                  <wp:positionV relativeFrom="paragraph">
                    <wp:posOffset>71120</wp:posOffset>
                  </wp:positionV>
                  <wp:extent cx="895350" cy="871220"/>
                  <wp:effectExtent l="0" t="0" r="3810" b="12700"/>
                  <wp:wrapNone/>
                  <wp:docPr id="173" name="图片_7"/>
                  <wp:cNvGraphicFramePr/>
                  <a:graphic xmlns:a="http://schemas.openxmlformats.org/drawingml/2006/main">
                    <a:graphicData uri="http://schemas.openxmlformats.org/drawingml/2006/picture">
                      <pic:pic xmlns:pic="http://schemas.openxmlformats.org/drawingml/2006/picture">
                        <pic:nvPicPr>
                          <pic:cNvPr id="173" name="图片_7"/>
                          <pic:cNvPicPr/>
                        </pic:nvPicPr>
                        <pic:blipFill>
                          <a:blip r:embed="rId55" cstate="print"/>
                          <a:stretch>
                            <a:fillRect/>
                          </a:stretch>
                        </pic:blipFill>
                        <pic:spPr>
                          <a:xfrm>
                            <a:off x="0" y="0"/>
                            <a:ext cx="895350" cy="871220"/>
                          </a:xfrm>
                          <a:prstGeom prst="rect">
                            <a:avLst/>
                          </a:prstGeom>
                          <a:noFill/>
                          <a:ln>
                            <a:noFill/>
                          </a:ln>
                        </pic:spPr>
                      </pic:pic>
                    </a:graphicData>
                  </a:graphic>
                </wp:anchor>
              </w:drawing>
            </w:r>
          </w:p>
        </w:tc>
      </w:tr>
      <w:tr w14:paraId="397B9BE0">
        <w:tblPrEx>
          <w:tblCellMar>
            <w:top w:w="0" w:type="dxa"/>
            <w:left w:w="108" w:type="dxa"/>
            <w:bottom w:w="0" w:type="dxa"/>
            <w:right w:w="108" w:type="dxa"/>
          </w:tblCellMar>
        </w:tblPrEx>
        <w:trPr>
          <w:trHeight w:val="312" w:hRule="atLeast"/>
        </w:trPr>
        <w:tc>
          <w:tcPr>
            <w:tcW w:w="74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1B6BA5">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二顶光</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5E151">
            <w:pPr>
              <w:keepNext w:val="0"/>
              <w:keepLines w:val="0"/>
              <w:widowControl/>
              <w:suppressLineNumbers w:val="0"/>
              <w:spacing w:before="0" w:beforeAutospacing="0" w:after="0" w:afterAutospacing="0" w:line="260" w:lineRule="exact"/>
              <w:ind w:left="0" w:right="0"/>
              <w:jc w:val="left"/>
              <w:rPr>
                <w:rFonts w:hint="default" w:ascii="宋体" w:hAnsi="宋体" w:cs="宋体"/>
                <w:color w:val="auto"/>
                <w:sz w:val="21"/>
                <w:szCs w:val="21"/>
                <w:highlight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3DA1">
            <w:pPr>
              <w:keepNext w:val="0"/>
              <w:keepLines w:val="0"/>
              <w:widowControl/>
              <w:suppressLineNumbers w:val="0"/>
              <w:spacing w:before="0" w:beforeAutospacing="0" w:after="0" w:afterAutospacing="0" w:line="260" w:lineRule="exact"/>
              <w:ind w:left="0" w:right="0"/>
              <w:jc w:val="left"/>
              <w:rPr>
                <w:rFonts w:hint="default" w:ascii="宋体" w:hAnsi="宋体" w:cs="宋体"/>
                <w:color w:val="auto"/>
                <w:sz w:val="21"/>
                <w:szCs w:val="21"/>
                <w:highlight w:val="none"/>
              </w:rPr>
            </w:pPr>
          </w:p>
        </w:tc>
      </w:tr>
      <w:tr w14:paraId="2620D09E">
        <w:tblPrEx>
          <w:tblCellMar>
            <w:top w:w="0" w:type="dxa"/>
            <w:left w:w="108" w:type="dxa"/>
            <w:bottom w:w="0" w:type="dxa"/>
            <w:right w:w="108" w:type="dxa"/>
          </w:tblCellMar>
        </w:tblPrEx>
        <w:trPr>
          <w:trHeight w:val="21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4E507">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5</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D3A8">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18颗4合一</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全彩帕灯</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C865C">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输入电压：90-240V  50/60HZ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bdr w:val="single" w:color="000000" w:sz="4" w:space="0"/>
              </w:rPr>
              <w:drawing>
                <wp:anchor distT="0" distB="0" distL="114300" distR="114300" simplePos="0" relativeHeight="251702272" behindDoc="0" locked="0" layoutInCell="1" allowOverlap="1">
                  <wp:simplePos x="0" y="0"/>
                  <wp:positionH relativeFrom="column">
                    <wp:posOffset>4878070</wp:posOffset>
                  </wp:positionH>
                  <wp:positionV relativeFrom="paragraph">
                    <wp:posOffset>517525</wp:posOffset>
                  </wp:positionV>
                  <wp:extent cx="602615" cy="743585"/>
                  <wp:effectExtent l="0" t="0" r="6985" b="3175"/>
                  <wp:wrapNone/>
                  <wp:docPr id="160" name="图片_37_SpCnt_1"/>
                  <wp:cNvGraphicFramePr/>
                  <a:graphic xmlns:a="http://schemas.openxmlformats.org/drawingml/2006/main">
                    <a:graphicData uri="http://schemas.openxmlformats.org/drawingml/2006/picture">
                      <pic:pic xmlns:pic="http://schemas.openxmlformats.org/drawingml/2006/picture">
                        <pic:nvPicPr>
                          <pic:cNvPr id="160" name="图片_37_SpCnt_1"/>
                          <pic:cNvPicPr/>
                        </pic:nvPicPr>
                        <pic:blipFill>
                          <a:blip r:embed="rId56" cstate="print"/>
                          <a:stretch>
                            <a:fillRect/>
                          </a:stretch>
                        </pic:blipFill>
                        <pic:spPr>
                          <a:xfrm>
                            <a:off x="0" y="0"/>
                            <a:ext cx="602615" cy="743585"/>
                          </a:xfrm>
                          <a:prstGeom prst="rect">
                            <a:avLst/>
                          </a:prstGeom>
                          <a:noFill/>
                          <a:ln>
                            <a:noFill/>
                          </a:ln>
                        </pic:spPr>
                      </pic:pic>
                    </a:graphicData>
                  </a:graphic>
                </wp:anchor>
              </w:drawing>
            </w:r>
            <w:r>
              <w:rPr>
                <w:rFonts w:hint="eastAsia" w:ascii="宋体" w:hAnsi="宋体" w:cs="宋体"/>
                <w:color w:val="auto"/>
                <w:kern w:val="0"/>
                <w:sz w:val="21"/>
                <w:szCs w:val="21"/>
                <w:highlight w:val="none"/>
              </w:rPr>
              <w:t xml:space="preserve">额定功率: ≥200W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灯泡规格：18颗X10W红绿蓝白</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颜 色：RGBW四合一</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 防水设计：IP25</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透镜角度:25º（可选角度：15°、45°）</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调光：红、绿、蓝、白单色独立调光，总调光，宏功能调光</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频闪： 独立频闪通道</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控制方式：国际标准DMX512信号，标准模式8通道、扩展模式8个通道，主从同步控制模式，内置程序自动运行</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0A5E2">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B107">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2B3E">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639 </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F08E4">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10224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50869">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p>
        </w:tc>
      </w:tr>
      <w:tr w14:paraId="0C4BBDDF">
        <w:tblPrEx>
          <w:tblCellMar>
            <w:top w:w="0" w:type="dxa"/>
            <w:left w:w="108" w:type="dxa"/>
            <w:bottom w:w="0" w:type="dxa"/>
            <w:right w:w="108" w:type="dxa"/>
          </w:tblCellMar>
        </w:tblPrEx>
        <w:trPr>
          <w:trHeight w:val="54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DEBEF3">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6</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96951">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295光束灯</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9973">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电源:AC110-240V,50/60Hz 500W足功率电源（三防）</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光源：凯元灯泡 凯元点灯</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频闪: 高数频闪1-15次/秒的频闪切换，可选择随机频闪及脉冲频闪</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雾化:0-100%线性雾化 带七彩效果</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调焦:线性调焦 调光: 1-100%线性调节</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光学镜头:6层高清彩色镀膜透镜</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出光口径：≥145mm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光束角度: 平行光束角: 0-3.2度</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棱镜盘：16菱镜，8+16+24蜂窝菱镜，双菱镜可叠加</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颜色：1个固定颜色盘，14个颜色+白光，彩虹效果速度可调，半步颜色效果</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固图：1个固定图案盘，13个图案(含4个玻图），可双向变速旋转</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水平扫描:540度(160bit精度扫描)电子纠错.</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垂直扫描:250度(160bit精度扫描)电子纠错.</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通道模式:16个国际标准DMX512通道,主从模式.</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显示：彩色显示屏</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散热：整机全滚珠风扇（三防）</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马达数量: 共12个超静音马达</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整流器:电子整流器使产品重量更轻，亮度更强，灯泡更稳定，更环保，节能.</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AE229">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19BB">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18AB4">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2988 </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EABC7">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47808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AC0A">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703296" behindDoc="0" locked="0" layoutInCell="1" allowOverlap="1">
                  <wp:simplePos x="0" y="0"/>
                  <wp:positionH relativeFrom="column">
                    <wp:posOffset>-21590</wp:posOffset>
                  </wp:positionH>
                  <wp:positionV relativeFrom="paragraph">
                    <wp:posOffset>213360</wp:posOffset>
                  </wp:positionV>
                  <wp:extent cx="1144905" cy="773430"/>
                  <wp:effectExtent l="0" t="0" r="13335" b="3810"/>
                  <wp:wrapNone/>
                  <wp:docPr id="161" name="图片_5"/>
                  <wp:cNvGraphicFramePr/>
                  <a:graphic xmlns:a="http://schemas.openxmlformats.org/drawingml/2006/main">
                    <a:graphicData uri="http://schemas.openxmlformats.org/drawingml/2006/picture">
                      <pic:pic xmlns:pic="http://schemas.openxmlformats.org/drawingml/2006/picture">
                        <pic:nvPicPr>
                          <pic:cNvPr id="161" name="图片_5"/>
                          <pic:cNvPicPr/>
                        </pic:nvPicPr>
                        <pic:blipFill>
                          <a:blip r:embed="rId57" cstate="print"/>
                          <a:stretch>
                            <a:fillRect/>
                          </a:stretch>
                        </pic:blipFill>
                        <pic:spPr>
                          <a:xfrm>
                            <a:off x="0" y="0"/>
                            <a:ext cx="1144905" cy="773430"/>
                          </a:xfrm>
                          <a:prstGeom prst="rect">
                            <a:avLst/>
                          </a:prstGeom>
                          <a:noFill/>
                          <a:ln>
                            <a:noFill/>
                          </a:ln>
                        </pic:spPr>
                      </pic:pic>
                    </a:graphicData>
                  </a:graphic>
                </wp:anchor>
              </w:drawing>
            </w:r>
          </w:p>
        </w:tc>
      </w:tr>
      <w:tr w14:paraId="6E765BDD">
        <w:tblPrEx>
          <w:tblCellMar>
            <w:top w:w="0" w:type="dxa"/>
            <w:left w:w="108" w:type="dxa"/>
            <w:bottom w:w="0" w:type="dxa"/>
            <w:right w:w="108" w:type="dxa"/>
          </w:tblCellMar>
        </w:tblPrEx>
        <w:trPr>
          <w:trHeight w:val="360" w:hRule="atLeast"/>
        </w:trPr>
        <w:tc>
          <w:tcPr>
            <w:tcW w:w="74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F161C57">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三顶光</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EA3A">
            <w:pPr>
              <w:keepNext w:val="0"/>
              <w:keepLines w:val="0"/>
              <w:widowControl/>
              <w:suppressLineNumbers w:val="0"/>
              <w:spacing w:before="0" w:beforeAutospacing="0" w:after="0" w:afterAutospacing="0" w:line="260" w:lineRule="exact"/>
              <w:ind w:left="0" w:right="0"/>
              <w:jc w:val="left"/>
              <w:rPr>
                <w:rFonts w:hint="default" w:ascii="宋体" w:hAnsi="宋体" w:cs="宋体"/>
                <w:color w:val="auto"/>
                <w:sz w:val="21"/>
                <w:szCs w:val="21"/>
                <w:highlight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097C">
            <w:pPr>
              <w:keepNext w:val="0"/>
              <w:keepLines w:val="0"/>
              <w:widowControl/>
              <w:suppressLineNumbers w:val="0"/>
              <w:spacing w:before="0" w:beforeAutospacing="0" w:after="0" w:afterAutospacing="0" w:line="260" w:lineRule="exact"/>
              <w:ind w:left="0" w:right="0"/>
              <w:jc w:val="left"/>
              <w:rPr>
                <w:rFonts w:hint="default" w:ascii="宋体" w:hAnsi="宋体" w:cs="宋体"/>
                <w:color w:val="auto"/>
                <w:sz w:val="21"/>
                <w:szCs w:val="21"/>
                <w:highlight w:val="none"/>
              </w:rPr>
            </w:pPr>
          </w:p>
        </w:tc>
      </w:tr>
      <w:tr w14:paraId="4F719C46">
        <w:tblPrEx>
          <w:tblCellMar>
            <w:top w:w="0" w:type="dxa"/>
            <w:left w:w="108" w:type="dxa"/>
            <w:bottom w:w="0" w:type="dxa"/>
            <w:right w:w="108" w:type="dxa"/>
          </w:tblCellMar>
        </w:tblPrEx>
        <w:trPr>
          <w:trHeight w:val="9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E8ECE5">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7</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5E6D">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295光束灯</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ADBB">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电源:AC110-240V,50/60Hz 500W足功率电源（三防）</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光源：凯元灯泡 凯元点灯器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频闪: 高数频闪1-15次/秒的频闪切换，可选择随机频闪及脉冲频闪</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雾化:0-100%线性雾化 带七彩效果</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调焦:线性调焦 调光: 1-100%线性调节</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光学镜头:6层高清彩色镀膜透镜</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出光口径：≥145mm</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光束角度: 平行光束角: 0-3.2度</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棱镜盘：16菱镜，8+16+24蜂窝菱镜，双菱镜可叠加</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颜色：1个固定颜色盘，14个颜色+白光，彩虹效果速度可调，半步颜色效果</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固图：1个固定图案盘，13个图案(含4个玻图），可双向变速旋转</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水平扫描:540度(160bit精度扫描)电子纠错.</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垂直扫描:250度(160bit精度扫描)电子纠错.</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通道模式:16个国际标准DMX512通道,主从模式.</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显示：彩色显示屏</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散热：整机全滚珠风扇（三防）</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马达数量: 共12个超静音马达</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整流器:电子整流器使产品重量更轻，亮度更强，灯泡更稳定，更环保，节能.</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4BB2">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B49B5">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803D2">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2988 </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A60B8">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47808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BDF2">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700224" behindDoc="0" locked="0" layoutInCell="1" allowOverlap="1">
                  <wp:simplePos x="0" y="0"/>
                  <wp:positionH relativeFrom="column">
                    <wp:posOffset>-3175</wp:posOffset>
                  </wp:positionH>
                  <wp:positionV relativeFrom="paragraph">
                    <wp:posOffset>-17780</wp:posOffset>
                  </wp:positionV>
                  <wp:extent cx="990600" cy="909320"/>
                  <wp:effectExtent l="0" t="0" r="0" b="5080"/>
                  <wp:wrapNone/>
                  <wp:docPr id="158" name="图片_5_SpCnt_1"/>
                  <wp:cNvGraphicFramePr/>
                  <a:graphic xmlns:a="http://schemas.openxmlformats.org/drawingml/2006/main">
                    <a:graphicData uri="http://schemas.openxmlformats.org/drawingml/2006/picture">
                      <pic:pic xmlns:pic="http://schemas.openxmlformats.org/drawingml/2006/picture">
                        <pic:nvPicPr>
                          <pic:cNvPr id="158" name="图片_5_SpCnt_1"/>
                          <pic:cNvPicPr/>
                        </pic:nvPicPr>
                        <pic:blipFill>
                          <a:blip r:embed="rId58" cstate="print"/>
                          <a:stretch>
                            <a:fillRect/>
                          </a:stretch>
                        </pic:blipFill>
                        <pic:spPr>
                          <a:xfrm>
                            <a:off x="0" y="0"/>
                            <a:ext cx="990600" cy="909320"/>
                          </a:xfrm>
                          <a:prstGeom prst="rect">
                            <a:avLst/>
                          </a:prstGeom>
                          <a:noFill/>
                          <a:ln>
                            <a:noFill/>
                          </a:ln>
                        </pic:spPr>
                      </pic:pic>
                    </a:graphicData>
                  </a:graphic>
                </wp:anchor>
              </w:drawing>
            </w:r>
          </w:p>
        </w:tc>
      </w:tr>
      <w:tr w14:paraId="5D6D386A">
        <w:tblPrEx>
          <w:tblCellMar>
            <w:top w:w="0" w:type="dxa"/>
            <w:left w:w="108" w:type="dxa"/>
            <w:bottom w:w="0" w:type="dxa"/>
            <w:right w:w="108" w:type="dxa"/>
          </w:tblCellMar>
        </w:tblPrEx>
        <w:trPr>
          <w:trHeight w:val="117"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2E06B">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8</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A73A">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18颗4合一</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全彩帕灯</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FD6EB">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输入电压：90-240V  50/60HZ</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额定功率: ≥200W </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灯泡规格：18颗X10W红绿蓝白</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颜 色：RGBW四合一</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 xml:space="preserve"> 防水设计：IP25</w:t>
            </w:r>
            <w:r>
              <w:rPr>
                <w:rFonts w:hint="eastAsia" w:ascii="宋体" w:hAnsi="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透镜角度:25º（可选角度：15°、45°）</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调光：红、绿、蓝、白单色独立调光，总调光，宏功能调光</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频闪： 独立频闪通道</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控制方式：国际标准DMX512信号，标准模式8通道、扩展模式8个通道，主从同步控制模式，内置程序自动运行</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1C806">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5814">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16</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9AFC">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639 </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634D1">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10224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B6D8">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701248" behindDoc="0" locked="0" layoutInCell="1" allowOverlap="1">
                  <wp:simplePos x="0" y="0"/>
                  <wp:positionH relativeFrom="column">
                    <wp:posOffset>215900</wp:posOffset>
                  </wp:positionH>
                  <wp:positionV relativeFrom="paragraph">
                    <wp:posOffset>69850</wp:posOffset>
                  </wp:positionV>
                  <wp:extent cx="602615" cy="1156970"/>
                  <wp:effectExtent l="0" t="0" r="6985" b="1270"/>
                  <wp:wrapNone/>
                  <wp:docPr id="159" name="图片_37_SpCnt_2"/>
                  <wp:cNvGraphicFramePr/>
                  <a:graphic xmlns:a="http://schemas.openxmlformats.org/drawingml/2006/main">
                    <a:graphicData uri="http://schemas.openxmlformats.org/drawingml/2006/picture">
                      <pic:pic xmlns:pic="http://schemas.openxmlformats.org/drawingml/2006/picture">
                        <pic:nvPicPr>
                          <pic:cNvPr id="159" name="图片_37_SpCnt_2"/>
                          <pic:cNvPicPr/>
                        </pic:nvPicPr>
                        <pic:blipFill>
                          <a:blip r:embed="rId59" cstate="print"/>
                          <a:stretch>
                            <a:fillRect/>
                          </a:stretch>
                        </pic:blipFill>
                        <pic:spPr>
                          <a:xfrm>
                            <a:off x="0" y="0"/>
                            <a:ext cx="602615" cy="1156970"/>
                          </a:xfrm>
                          <a:prstGeom prst="rect">
                            <a:avLst/>
                          </a:prstGeom>
                          <a:noFill/>
                          <a:ln>
                            <a:noFill/>
                          </a:ln>
                        </pic:spPr>
                      </pic:pic>
                    </a:graphicData>
                  </a:graphic>
                </wp:anchor>
              </w:drawing>
            </w:r>
          </w:p>
        </w:tc>
      </w:tr>
      <w:tr w14:paraId="55612D25">
        <w:tblPrEx>
          <w:tblCellMar>
            <w:top w:w="0" w:type="dxa"/>
            <w:left w:w="108" w:type="dxa"/>
            <w:bottom w:w="0" w:type="dxa"/>
            <w:right w:w="108" w:type="dxa"/>
          </w:tblCellMar>
        </w:tblPrEx>
        <w:trPr>
          <w:trHeight w:val="360" w:hRule="atLeast"/>
        </w:trPr>
        <w:tc>
          <w:tcPr>
            <w:tcW w:w="74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CA0D27">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控制器+外设部分</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3A7AF">
            <w:pPr>
              <w:keepNext w:val="0"/>
              <w:keepLines w:val="0"/>
              <w:widowControl/>
              <w:suppressLineNumbers w:val="0"/>
              <w:spacing w:before="0" w:beforeAutospacing="0" w:after="0" w:afterAutospacing="0" w:line="260" w:lineRule="exact"/>
              <w:ind w:left="0" w:right="0"/>
              <w:jc w:val="left"/>
              <w:rPr>
                <w:rFonts w:hint="default" w:ascii="宋体" w:hAnsi="宋体" w:cs="宋体"/>
                <w:color w:val="auto"/>
                <w:sz w:val="21"/>
                <w:szCs w:val="21"/>
                <w:highlight w:val="none"/>
              </w:rPr>
            </w:pP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E572">
            <w:pPr>
              <w:keepNext w:val="0"/>
              <w:keepLines w:val="0"/>
              <w:widowControl/>
              <w:suppressLineNumbers w:val="0"/>
              <w:spacing w:before="0" w:beforeAutospacing="0" w:after="0" w:afterAutospacing="0" w:line="260" w:lineRule="exact"/>
              <w:ind w:left="0" w:right="0"/>
              <w:jc w:val="left"/>
              <w:rPr>
                <w:rFonts w:hint="default" w:ascii="宋体" w:hAnsi="宋体" w:cs="宋体"/>
                <w:color w:val="auto"/>
                <w:sz w:val="21"/>
                <w:szCs w:val="21"/>
                <w:highlight w:val="none"/>
              </w:rPr>
            </w:pPr>
          </w:p>
        </w:tc>
      </w:tr>
      <w:tr w14:paraId="445476D5">
        <w:tblPrEx>
          <w:tblCellMar>
            <w:top w:w="0" w:type="dxa"/>
            <w:left w:w="108" w:type="dxa"/>
            <w:bottom w:w="0" w:type="dxa"/>
            <w:right w:w="108" w:type="dxa"/>
          </w:tblCellMar>
        </w:tblPrEx>
        <w:trPr>
          <w:trHeight w:val="24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2222F">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9</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345AF">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 xml:space="preserve">金刚1024   </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3174C">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1.DMX512/1990 标准，≥ 512个DMX控制通道，光电隔离信号输出。</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2.同时控制最多32台电脑灯，每灯最大32个控制通道，使用动态灯址设置。</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3.内置图形轨迹发生器（SHAPE），方便用户对电脑灯进行图形轨迹控制，如画圆、渐变圆、线条、8字、波浪等多种效果。 图形参数（如：速度、大小、展开、方向）均可独立设置。</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rPr>
              <w:t>.30个走灯程序，每程序最多100步。可选自动速度控制、智能手动节拍控制（SWING）或音乐同步控制。</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5.可同时运行6个走灯程序、30个预置场景，并可同时对30台电脑灯进行提灯操作。</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6.配备MEM-CARD接口，用户可使用MEM-CARD闪存卡保存自己宝贵的数据。</w:t>
            </w:r>
            <w:r>
              <w:rPr>
                <w:rFonts w:hint="eastAsia" w:ascii="宋体" w:hAnsi="宋体" w:cs="宋体"/>
                <w:color w:val="auto"/>
                <w:kern w:val="0"/>
                <w:sz w:val="21"/>
                <w:szCs w:val="21"/>
                <w:highlight w:val="none"/>
              </w:rPr>
              <w:br w:type="textWrapping"/>
            </w:r>
            <w:r>
              <w:rPr>
                <w:rFonts w:hint="eastAsia" w:ascii="宋体" w:hAnsi="宋体" w:cs="宋体"/>
                <w:color w:val="auto"/>
                <w:kern w:val="0"/>
                <w:sz w:val="21"/>
                <w:szCs w:val="21"/>
                <w:highlight w:val="none"/>
              </w:rPr>
              <w:t>7.带背光的 LCD 显示运行参数。</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E56F3">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B4DA">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C6DD">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4212 </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902AF">
            <w:pPr>
              <w:keepNext w:val="0"/>
              <w:keepLines w:val="0"/>
              <w:suppressLineNumbers w:val="0"/>
              <w:spacing w:before="0" w:beforeAutospacing="0" w:after="0" w:afterAutospacing="0"/>
              <w:ind w:left="0" w:right="0"/>
              <w:jc w:val="right"/>
              <w:rPr>
                <w:rFonts w:hint="eastAsia"/>
                <w:color w:val="auto"/>
                <w:sz w:val="22"/>
                <w:szCs w:val="22"/>
                <w:highlight w:val="none"/>
              </w:rPr>
            </w:pPr>
            <w:r>
              <w:rPr>
                <w:rFonts w:hint="eastAsia"/>
                <w:color w:val="auto"/>
                <w:sz w:val="22"/>
                <w:szCs w:val="22"/>
                <w:highlight w:val="none"/>
                <w:lang w:val="en-US" w:eastAsia="zh-CN"/>
              </w:rPr>
              <w:t>4212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68E8">
            <w:pPr>
              <w:keepNext w:val="0"/>
              <w:keepLines w:val="0"/>
              <w:widowControl/>
              <w:suppressLineNumbers w:val="0"/>
              <w:spacing w:before="0" w:beforeAutospacing="0" w:after="0" w:afterAutospacing="0" w:line="260" w:lineRule="exact"/>
              <w:ind w:left="0" w:right="0"/>
              <w:jc w:val="center"/>
              <w:rPr>
                <w:rFonts w:hint="default" w:ascii="宋体" w:hAnsi="宋体" w:cs="宋体"/>
                <w:color w:val="auto"/>
                <w:sz w:val="21"/>
                <w:szCs w:val="21"/>
                <w:highlight w:val="none"/>
              </w:rPr>
            </w:pPr>
          </w:p>
        </w:tc>
      </w:tr>
      <w:tr w14:paraId="37069155">
        <w:tblPrEx>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auto" w:sz="4" w:space="0"/>
              <w:right w:val="single" w:color="000000" w:sz="4" w:space="0"/>
            </w:tcBorders>
            <w:shd w:val="clear" w:color="auto" w:fill="FFFFFF"/>
            <w:vAlign w:val="center"/>
          </w:tcPr>
          <w:p w14:paraId="4F53BCB6">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10</w:t>
            </w:r>
          </w:p>
        </w:tc>
        <w:tc>
          <w:tcPr>
            <w:tcW w:w="636" w:type="dxa"/>
            <w:tcBorders>
              <w:top w:val="single" w:color="000000" w:sz="4" w:space="0"/>
              <w:left w:val="single" w:color="000000" w:sz="4" w:space="0"/>
              <w:bottom w:val="single" w:color="auto" w:sz="4" w:space="0"/>
              <w:right w:val="single" w:color="000000" w:sz="4" w:space="0"/>
            </w:tcBorders>
            <w:shd w:val="clear" w:color="auto" w:fill="auto"/>
            <w:vAlign w:val="center"/>
          </w:tcPr>
          <w:p w14:paraId="730817C9">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8路放大器</w:t>
            </w:r>
          </w:p>
        </w:tc>
        <w:tc>
          <w:tcPr>
            <w:tcW w:w="4408" w:type="dxa"/>
            <w:tcBorders>
              <w:top w:val="single" w:color="000000" w:sz="4" w:space="0"/>
              <w:left w:val="single" w:color="000000" w:sz="4" w:space="0"/>
              <w:bottom w:val="single" w:color="auto" w:sz="4" w:space="0"/>
              <w:right w:val="single" w:color="000000" w:sz="4" w:space="0"/>
            </w:tcBorders>
            <w:shd w:val="clear" w:color="auto" w:fill="auto"/>
            <w:vAlign w:val="center"/>
          </w:tcPr>
          <w:p w14:paraId="231A4DD7">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输入输出光电隔离，4路或8路光电输出，信号放大整形功能，延长信号输出距离，增强数据线接入设备数量的能力。保护灯光控制台DMX512输出接口故障现场隔离，提高数字式灯光，控制系统的安全可靠性。</w:t>
            </w:r>
          </w:p>
        </w:tc>
        <w:tc>
          <w:tcPr>
            <w:tcW w:w="638" w:type="dxa"/>
            <w:tcBorders>
              <w:top w:val="single" w:color="000000" w:sz="4" w:space="0"/>
              <w:left w:val="single" w:color="000000" w:sz="4" w:space="0"/>
              <w:bottom w:val="single" w:color="auto" w:sz="4" w:space="0"/>
              <w:right w:val="single" w:color="000000" w:sz="4" w:space="0"/>
            </w:tcBorders>
            <w:shd w:val="clear" w:color="auto" w:fill="auto"/>
            <w:vAlign w:val="center"/>
          </w:tcPr>
          <w:p w14:paraId="4EA5533B">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638" w:type="dxa"/>
            <w:tcBorders>
              <w:top w:val="single" w:color="000000" w:sz="4" w:space="0"/>
              <w:left w:val="single" w:color="000000" w:sz="4" w:space="0"/>
              <w:bottom w:val="single" w:color="auto" w:sz="4" w:space="0"/>
              <w:right w:val="single" w:color="000000" w:sz="4" w:space="0"/>
            </w:tcBorders>
            <w:shd w:val="clear" w:color="auto" w:fill="auto"/>
            <w:vAlign w:val="center"/>
          </w:tcPr>
          <w:p w14:paraId="477A91BE">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65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2779671">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1140 </w:t>
            </w:r>
          </w:p>
        </w:tc>
        <w:tc>
          <w:tcPr>
            <w:tcW w:w="95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224DE75">
            <w:pPr>
              <w:keepNext w:val="0"/>
              <w:keepLines w:val="0"/>
              <w:suppressLineNumbers w:val="0"/>
              <w:spacing w:before="0" w:beforeAutospacing="0" w:after="0" w:afterAutospacing="0"/>
              <w:ind w:left="0" w:right="0"/>
              <w:jc w:val="right"/>
              <w:rPr>
                <w:rFonts w:hint="eastAsia"/>
                <w:color w:val="auto"/>
                <w:sz w:val="22"/>
                <w:szCs w:val="22"/>
                <w:highlight w:val="none"/>
              </w:rPr>
            </w:pPr>
            <w:r>
              <w:rPr>
                <w:rFonts w:hint="eastAsia"/>
                <w:color w:val="auto"/>
                <w:sz w:val="22"/>
                <w:szCs w:val="22"/>
                <w:highlight w:val="none"/>
                <w:lang w:val="en-US" w:eastAsia="zh-CN"/>
              </w:rPr>
              <w:t>1140</w:t>
            </w:r>
          </w:p>
        </w:tc>
        <w:tc>
          <w:tcPr>
            <w:tcW w:w="184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9751054">
            <w:pPr>
              <w:keepNext w:val="0"/>
              <w:keepLines w:val="0"/>
              <w:widowControl/>
              <w:suppressLineNumbers w:val="0"/>
              <w:spacing w:before="0" w:beforeAutospacing="0" w:after="0" w:afterAutospacing="0" w:line="260" w:lineRule="exact"/>
              <w:ind w:left="0" w:right="0"/>
              <w:jc w:val="center"/>
              <w:rPr>
                <w:rFonts w:hint="default" w:ascii="宋体" w:hAnsi="宋体" w:cs="宋体"/>
                <w:color w:val="auto"/>
                <w:sz w:val="21"/>
                <w:szCs w:val="21"/>
                <w:highlight w:val="none"/>
              </w:rPr>
            </w:pPr>
          </w:p>
        </w:tc>
      </w:tr>
      <w:tr w14:paraId="3A565A9D">
        <w:tblPrEx>
          <w:tblCellMar>
            <w:top w:w="0" w:type="dxa"/>
            <w:left w:w="108" w:type="dxa"/>
            <w:bottom w:w="0" w:type="dxa"/>
            <w:right w:w="108" w:type="dxa"/>
          </w:tblCellMar>
        </w:tblPrEx>
        <w:trPr>
          <w:trHeight w:val="900" w:hRule="atLeast"/>
        </w:trPr>
        <w:tc>
          <w:tcPr>
            <w:tcW w:w="427" w:type="dxa"/>
            <w:tcBorders>
              <w:top w:val="single" w:color="auto" w:sz="4" w:space="0"/>
              <w:left w:val="single" w:color="auto" w:sz="4" w:space="0"/>
              <w:bottom w:val="single" w:color="000000" w:sz="4" w:space="0"/>
              <w:right w:val="single" w:color="000000" w:sz="4" w:space="0"/>
            </w:tcBorders>
            <w:shd w:val="clear" w:color="auto" w:fill="FFFFFF"/>
            <w:vAlign w:val="center"/>
          </w:tcPr>
          <w:p w14:paraId="502906C1">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11</w:t>
            </w:r>
          </w:p>
        </w:tc>
        <w:tc>
          <w:tcPr>
            <w:tcW w:w="636" w:type="dxa"/>
            <w:tcBorders>
              <w:top w:val="single" w:color="auto" w:sz="4" w:space="0"/>
              <w:left w:val="single" w:color="000000" w:sz="4" w:space="0"/>
              <w:bottom w:val="single" w:color="000000" w:sz="4" w:space="0"/>
              <w:right w:val="single" w:color="000000" w:sz="4" w:space="0"/>
            </w:tcBorders>
            <w:shd w:val="clear" w:color="auto" w:fill="auto"/>
            <w:vAlign w:val="center"/>
          </w:tcPr>
          <w:p w14:paraId="37455571">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12路直通柜</w:t>
            </w:r>
          </w:p>
        </w:tc>
        <w:tc>
          <w:tcPr>
            <w:tcW w:w="4408" w:type="dxa"/>
            <w:tcBorders>
              <w:top w:val="single" w:color="auto" w:sz="4" w:space="0"/>
              <w:left w:val="single" w:color="000000" w:sz="4" w:space="0"/>
              <w:bottom w:val="single" w:color="000000" w:sz="4" w:space="0"/>
              <w:right w:val="single" w:color="000000" w:sz="4" w:space="0"/>
            </w:tcBorders>
            <w:shd w:val="clear" w:color="auto" w:fill="auto"/>
            <w:vAlign w:val="center"/>
          </w:tcPr>
          <w:p w14:paraId="5E4B2DCC">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12路电源直通箱舞台灯光12路6kw电源箱电源柜数字硅箱直通柜 本产品可直接接入舞台2KW常规灯具18只 或4KW灯具12只；12路单独控制；6路采用国标40A胶木插，6路采用国标10A胶木插，6平方主线，均烫锡焊接处理防止老化而发热。总功率48KW，每路≥4000W。</w:t>
            </w:r>
          </w:p>
        </w:tc>
        <w:tc>
          <w:tcPr>
            <w:tcW w:w="638" w:type="dxa"/>
            <w:tcBorders>
              <w:top w:val="single" w:color="auto" w:sz="4" w:space="0"/>
              <w:left w:val="single" w:color="000000" w:sz="4" w:space="0"/>
              <w:bottom w:val="single" w:color="000000" w:sz="4" w:space="0"/>
              <w:right w:val="single" w:color="000000" w:sz="4" w:space="0"/>
            </w:tcBorders>
            <w:shd w:val="clear" w:color="auto" w:fill="auto"/>
            <w:vAlign w:val="center"/>
          </w:tcPr>
          <w:p w14:paraId="28B7DB53">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台</w:t>
            </w:r>
          </w:p>
        </w:tc>
        <w:tc>
          <w:tcPr>
            <w:tcW w:w="638" w:type="dxa"/>
            <w:tcBorders>
              <w:top w:val="single" w:color="auto" w:sz="4" w:space="0"/>
              <w:left w:val="single" w:color="000000" w:sz="4" w:space="0"/>
              <w:bottom w:val="single" w:color="000000" w:sz="4" w:space="0"/>
              <w:right w:val="single" w:color="000000" w:sz="4" w:space="0"/>
            </w:tcBorders>
            <w:shd w:val="clear" w:color="auto" w:fill="auto"/>
            <w:vAlign w:val="center"/>
          </w:tcPr>
          <w:p w14:paraId="6B36B605">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w:t>
            </w:r>
          </w:p>
        </w:tc>
        <w:tc>
          <w:tcPr>
            <w:tcW w:w="658"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855C740">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2949 </w:t>
            </w:r>
          </w:p>
        </w:tc>
        <w:tc>
          <w:tcPr>
            <w:tcW w:w="957"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B02623A">
            <w:pPr>
              <w:keepNext w:val="0"/>
              <w:keepLines w:val="0"/>
              <w:suppressLineNumbers w:val="0"/>
              <w:spacing w:before="0" w:beforeAutospacing="0" w:after="0" w:afterAutospacing="0"/>
              <w:ind w:left="0" w:right="0"/>
              <w:jc w:val="right"/>
              <w:rPr>
                <w:rFonts w:hint="eastAsia"/>
                <w:color w:val="auto"/>
                <w:sz w:val="22"/>
                <w:szCs w:val="22"/>
                <w:highlight w:val="none"/>
              </w:rPr>
            </w:pPr>
            <w:r>
              <w:rPr>
                <w:rFonts w:hint="eastAsia"/>
                <w:color w:val="auto"/>
                <w:sz w:val="22"/>
                <w:szCs w:val="22"/>
                <w:highlight w:val="none"/>
                <w:lang w:val="en-US" w:eastAsia="zh-CN"/>
              </w:rPr>
              <w:t>2949</w:t>
            </w:r>
          </w:p>
        </w:tc>
        <w:tc>
          <w:tcPr>
            <w:tcW w:w="1845" w:type="dxa"/>
            <w:tcBorders>
              <w:top w:val="single" w:color="auto" w:sz="4" w:space="0"/>
              <w:left w:val="single" w:color="000000" w:sz="4" w:space="0"/>
              <w:bottom w:val="single" w:color="000000" w:sz="4" w:space="0"/>
              <w:right w:val="single" w:color="auto" w:sz="4" w:space="0"/>
            </w:tcBorders>
            <w:shd w:val="clear" w:color="auto" w:fill="auto"/>
            <w:noWrap/>
            <w:vAlign w:val="center"/>
          </w:tcPr>
          <w:p w14:paraId="1594B982">
            <w:pPr>
              <w:keepNext w:val="0"/>
              <w:keepLines w:val="0"/>
              <w:widowControl/>
              <w:suppressLineNumbers w:val="0"/>
              <w:spacing w:before="0" w:beforeAutospacing="0" w:after="0" w:afterAutospacing="0" w:line="260" w:lineRule="exact"/>
              <w:ind w:left="0" w:right="0"/>
              <w:jc w:val="center"/>
              <w:rPr>
                <w:rFonts w:hint="default" w:ascii="宋体" w:hAnsi="宋体" w:cs="宋体"/>
                <w:color w:val="auto"/>
                <w:sz w:val="21"/>
                <w:szCs w:val="21"/>
                <w:highlight w:val="none"/>
              </w:rPr>
            </w:pPr>
          </w:p>
        </w:tc>
      </w:tr>
      <w:tr w14:paraId="743D9C42">
        <w:tblPrEx>
          <w:tblCellMar>
            <w:top w:w="0" w:type="dxa"/>
            <w:left w:w="108" w:type="dxa"/>
            <w:bottom w:w="0" w:type="dxa"/>
            <w:right w:w="108" w:type="dxa"/>
          </w:tblCellMar>
        </w:tblPrEx>
        <w:trPr>
          <w:trHeight w:val="600" w:hRule="atLeast"/>
        </w:trPr>
        <w:tc>
          <w:tcPr>
            <w:tcW w:w="427" w:type="dxa"/>
            <w:tcBorders>
              <w:top w:val="single" w:color="000000" w:sz="4" w:space="0"/>
              <w:left w:val="single" w:color="auto" w:sz="4" w:space="0"/>
              <w:bottom w:val="single" w:color="000000" w:sz="4" w:space="0"/>
              <w:right w:val="single" w:color="000000" w:sz="4" w:space="0"/>
            </w:tcBorders>
            <w:shd w:val="clear" w:color="auto" w:fill="FFFFFF"/>
            <w:vAlign w:val="center"/>
          </w:tcPr>
          <w:p w14:paraId="01B5927A">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12</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404E">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光束灯保险绳</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1B29">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卡管：25-60mm. 适用于：LED灯，摇头灯，帕灯等，灯位调试灵便，安装稳定可靠，灵活控制光路</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3B7E">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0CAD">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32</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E792C">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21 </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E73BF">
            <w:pPr>
              <w:keepNext w:val="0"/>
              <w:keepLines w:val="0"/>
              <w:suppressLineNumbers w:val="0"/>
              <w:spacing w:before="0" w:beforeAutospacing="0" w:after="0" w:afterAutospacing="0"/>
              <w:ind w:left="0" w:right="0"/>
              <w:jc w:val="right"/>
              <w:rPr>
                <w:rFonts w:hint="eastAsia"/>
                <w:color w:val="auto"/>
                <w:sz w:val="22"/>
                <w:szCs w:val="22"/>
                <w:highlight w:val="none"/>
              </w:rPr>
            </w:pPr>
            <w:r>
              <w:rPr>
                <w:rFonts w:hint="eastAsia"/>
                <w:color w:val="auto"/>
                <w:sz w:val="22"/>
                <w:szCs w:val="22"/>
                <w:highlight w:val="none"/>
                <w:lang w:val="en-US" w:eastAsia="zh-CN"/>
              </w:rPr>
              <w:t>672</w:t>
            </w:r>
          </w:p>
        </w:tc>
        <w:tc>
          <w:tcPr>
            <w:tcW w:w="184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2BA312D">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98176" behindDoc="0" locked="0" layoutInCell="1" allowOverlap="1">
                  <wp:simplePos x="0" y="0"/>
                  <wp:positionH relativeFrom="column">
                    <wp:posOffset>224155</wp:posOffset>
                  </wp:positionH>
                  <wp:positionV relativeFrom="paragraph">
                    <wp:posOffset>88265</wp:posOffset>
                  </wp:positionV>
                  <wp:extent cx="666750" cy="160655"/>
                  <wp:effectExtent l="0" t="0" r="3810" b="6985"/>
                  <wp:wrapNone/>
                  <wp:docPr id="156" name="图片_26"/>
                  <wp:cNvGraphicFramePr/>
                  <a:graphic xmlns:a="http://schemas.openxmlformats.org/drawingml/2006/main">
                    <a:graphicData uri="http://schemas.openxmlformats.org/drawingml/2006/picture">
                      <pic:pic xmlns:pic="http://schemas.openxmlformats.org/drawingml/2006/picture">
                        <pic:nvPicPr>
                          <pic:cNvPr id="156" name="图片_26"/>
                          <pic:cNvPicPr/>
                        </pic:nvPicPr>
                        <pic:blipFill>
                          <a:blip r:embed="rId60" cstate="print"/>
                          <a:stretch>
                            <a:fillRect/>
                          </a:stretch>
                        </pic:blipFill>
                        <pic:spPr>
                          <a:xfrm>
                            <a:off x="0" y="0"/>
                            <a:ext cx="666750" cy="160655"/>
                          </a:xfrm>
                          <a:prstGeom prst="rect">
                            <a:avLst/>
                          </a:prstGeom>
                          <a:noFill/>
                          <a:ln>
                            <a:noFill/>
                          </a:ln>
                        </pic:spPr>
                      </pic:pic>
                    </a:graphicData>
                  </a:graphic>
                </wp:anchor>
              </w:drawing>
            </w:r>
          </w:p>
        </w:tc>
      </w:tr>
      <w:tr w14:paraId="277DCB4D">
        <w:tblPrEx>
          <w:tblCellMar>
            <w:top w:w="0" w:type="dxa"/>
            <w:left w:w="108" w:type="dxa"/>
            <w:bottom w:w="0" w:type="dxa"/>
            <w:right w:w="108" w:type="dxa"/>
          </w:tblCellMar>
        </w:tblPrEx>
        <w:trPr>
          <w:trHeight w:val="720" w:hRule="atLeast"/>
        </w:trPr>
        <w:tc>
          <w:tcPr>
            <w:tcW w:w="427" w:type="dxa"/>
            <w:tcBorders>
              <w:top w:val="single" w:color="000000" w:sz="4" w:space="0"/>
              <w:left w:val="single" w:color="auto" w:sz="4" w:space="0"/>
              <w:bottom w:val="single" w:color="000000" w:sz="4" w:space="0"/>
              <w:right w:val="single" w:color="000000" w:sz="4" w:space="0"/>
            </w:tcBorders>
            <w:shd w:val="clear" w:color="auto" w:fill="FFFFFF"/>
            <w:vAlign w:val="center"/>
          </w:tcPr>
          <w:p w14:paraId="1B5A3E0F">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13</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F552">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大灯钩</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CABB">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承重：≥30kg，结构：双捻(多股)，类型：吊装绳带，捻向：右同向(RHLL)、左交互(LHRL)，抗拉强度：5000（MPa），用途：灯具保险绳 吊牌，直径：1.0 1.2 1.5 2.0 2.5 3.0 4.0（mm），用途：吊挂各种舞台灯光、音响设备，为固定安装或移动演出设备保驾护航</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D614">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6DE85">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64</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304D0">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rPr>
              <w:t xml:space="preserve">51 </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CF57A">
            <w:pPr>
              <w:keepNext w:val="0"/>
              <w:keepLines w:val="0"/>
              <w:suppressLineNumbers w:val="0"/>
              <w:spacing w:before="0" w:beforeAutospacing="0" w:after="0" w:afterAutospacing="0"/>
              <w:ind w:left="0" w:right="0"/>
              <w:jc w:val="right"/>
              <w:rPr>
                <w:rFonts w:hint="eastAsia"/>
                <w:color w:val="auto"/>
                <w:sz w:val="22"/>
                <w:szCs w:val="22"/>
                <w:highlight w:val="none"/>
              </w:rPr>
            </w:pPr>
            <w:r>
              <w:rPr>
                <w:rFonts w:hint="eastAsia"/>
                <w:color w:val="auto"/>
                <w:sz w:val="22"/>
                <w:szCs w:val="22"/>
                <w:highlight w:val="none"/>
                <w:lang w:val="en-US" w:eastAsia="zh-CN"/>
              </w:rPr>
              <w:t>3264</w:t>
            </w:r>
          </w:p>
        </w:tc>
        <w:tc>
          <w:tcPr>
            <w:tcW w:w="184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17D79C5">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bdr w:val="single" w:color="000000" w:sz="4" w:space="0"/>
              </w:rPr>
              <w:drawing>
                <wp:anchor distT="0" distB="0" distL="114300" distR="114300" simplePos="0" relativeHeight="251699200" behindDoc="0" locked="0" layoutInCell="1" allowOverlap="1">
                  <wp:simplePos x="0" y="0"/>
                  <wp:positionH relativeFrom="column">
                    <wp:posOffset>235585</wp:posOffset>
                  </wp:positionH>
                  <wp:positionV relativeFrom="paragraph">
                    <wp:posOffset>850900</wp:posOffset>
                  </wp:positionV>
                  <wp:extent cx="850900" cy="0"/>
                  <wp:effectExtent l="0" t="0" r="0" b="0"/>
                  <wp:wrapNone/>
                  <wp:docPr id="157" name="图片_5_SpCnt_2"/>
                  <wp:cNvGraphicFramePr/>
                  <a:graphic xmlns:a="http://schemas.openxmlformats.org/drawingml/2006/main">
                    <a:graphicData uri="http://schemas.openxmlformats.org/drawingml/2006/picture">
                      <pic:pic xmlns:pic="http://schemas.openxmlformats.org/drawingml/2006/picture">
                        <pic:nvPicPr>
                          <pic:cNvPr id="157" name="图片_5_SpCnt_2"/>
                          <pic:cNvPicPr/>
                        </pic:nvPicPr>
                        <pic:blipFill>
                          <a:blip r:embed="rId61"/>
                          <a:stretch>
                            <a:fillRect/>
                          </a:stretch>
                        </pic:blipFill>
                        <pic:spPr>
                          <a:xfrm>
                            <a:off x="0" y="0"/>
                            <a:ext cx="850900" cy="0"/>
                          </a:xfrm>
                          <a:prstGeom prst="rect">
                            <a:avLst/>
                          </a:prstGeom>
                          <a:noFill/>
                          <a:ln>
                            <a:noFill/>
                          </a:ln>
                        </pic:spPr>
                      </pic:pic>
                    </a:graphicData>
                  </a:graphic>
                </wp:anchor>
              </w:drawing>
            </w:r>
          </w:p>
        </w:tc>
      </w:tr>
      <w:tr w14:paraId="2A10F33C">
        <w:tblPrEx>
          <w:tblCellMar>
            <w:top w:w="0" w:type="dxa"/>
            <w:left w:w="108" w:type="dxa"/>
            <w:bottom w:w="0" w:type="dxa"/>
            <w:right w:w="108" w:type="dxa"/>
          </w:tblCellMar>
        </w:tblPrEx>
        <w:trPr>
          <w:trHeight w:val="720" w:hRule="atLeast"/>
        </w:trPr>
        <w:tc>
          <w:tcPr>
            <w:tcW w:w="427" w:type="dxa"/>
            <w:tcBorders>
              <w:top w:val="single" w:color="000000" w:sz="4" w:space="0"/>
              <w:left w:val="single" w:color="auto" w:sz="4" w:space="0"/>
              <w:bottom w:val="single" w:color="000000" w:sz="4" w:space="0"/>
              <w:right w:val="single" w:color="000000" w:sz="4" w:space="0"/>
            </w:tcBorders>
            <w:shd w:val="clear" w:color="auto" w:fill="FFFFFF"/>
            <w:vAlign w:val="center"/>
          </w:tcPr>
          <w:p w14:paraId="79A87720">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14</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A62F">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小灯钩</w:t>
            </w:r>
          </w:p>
        </w:tc>
        <w:tc>
          <w:tcPr>
            <w:tcW w:w="4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855C">
            <w:pPr>
              <w:keepNext w:val="0"/>
              <w:keepLines w:val="0"/>
              <w:widowControl/>
              <w:suppressLineNumbers w:val="0"/>
              <w:spacing w:before="0" w:beforeAutospacing="0" w:after="0" w:afterAutospacing="0" w:line="260" w:lineRule="exact"/>
              <w:ind w:left="0" w:right="0"/>
              <w:jc w:val="left"/>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承重：≥30kg，结构：双捻(多股)，类型：吊装绳带，捻向：右同向(RHLL)、左交互(LHRL)，抗拉强度：5000（MPa），用途：灯具保险绳 吊牌，直径：1.0 1.2 1.5 2.0 2.5 3.0 4.0（mm），用途：吊挂各种舞台灯光、音响设备，为固定安装或移动演出设备保驾护航</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A7EF">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个</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36E8">
            <w:pPr>
              <w:keepNext w:val="0"/>
              <w:keepLines w:val="0"/>
              <w:widowControl/>
              <w:suppressLineNumbers w:val="0"/>
              <w:spacing w:before="0" w:beforeAutospacing="0" w:after="0" w:afterAutospacing="0" w:line="260" w:lineRule="exact"/>
              <w:ind w:left="0" w:right="0"/>
              <w:jc w:val="center"/>
              <w:textAlignment w:val="center"/>
              <w:rPr>
                <w:rFonts w:hint="default" w:ascii="宋体" w:hAnsi="宋体" w:cs="宋体"/>
                <w:color w:val="auto"/>
                <w:sz w:val="21"/>
                <w:szCs w:val="21"/>
                <w:highlight w:val="none"/>
              </w:rPr>
            </w:pPr>
            <w:r>
              <w:rPr>
                <w:rFonts w:hint="eastAsia" w:ascii="宋体" w:hAnsi="宋体" w:cs="宋体"/>
                <w:color w:val="auto"/>
                <w:kern w:val="0"/>
                <w:sz w:val="21"/>
                <w:szCs w:val="21"/>
                <w:highlight w:val="none"/>
              </w:rPr>
              <w:t>96</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A5020">
            <w:pPr>
              <w:keepNext w:val="0"/>
              <w:keepLines w:val="0"/>
              <w:suppressLineNumbers w:val="0"/>
              <w:spacing w:before="0" w:beforeAutospacing="0" w:after="0" w:afterAutospacing="0"/>
              <w:ind w:left="0" w:right="0"/>
              <w:jc w:val="right"/>
              <w:rPr>
                <w:rFonts w:hint="default" w:ascii="宋体" w:hAnsi="宋体" w:cs="宋体"/>
                <w:color w:val="auto"/>
                <w:sz w:val="22"/>
                <w:szCs w:val="22"/>
                <w:highlight w:val="none"/>
              </w:rPr>
            </w:pPr>
            <w:r>
              <w:rPr>
                <w:rFonts w:hint="eastAsia"/>
                <w:color w:val="auto"/>
                <w:sz w:val="22"/>
                <w:szCs w:val="22"/>
                <w:highlight w:val="none"/>
                <w:lang w:val="en-US" w:eastAsia="zh-CN"/>
              </w:rPr>
              <w:t>45</w:t>
            </w:r>
            <w:r>
              <w:rPr>
                <w:rFonts w:hint="eastAsia"/>
                <w:color w:val="auto"/>
                <w:sz w:val="22"/>
                <w:szCs w:val="22"/>
                <w:highlight w:val="none"/>
              </w:rPr>
              <w:t xml:space="preserve"> </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EEA58">
            <w:pPr>
              <w:keepNext w:val="0"/>
              <w:keepLines w:val="0"/>
              <w:suppressLineNumbers w:val="0"/>
              <w:spacing w:before="0" w:beforeAutospacing="0" w:after="0" w:afterAutospacing="0"/>
              <w:ind w:left="0" w:right="0"/>
              <w:jc w:val="right"/>
              <w:rPr>
                <w:rFonts w:hint="eastAsia"/>
                <w:color w:val="auto"/>
                <w:sz w:val="22"/>
                <w:szCs w:val="22"/>
                <w:highlight w:val="none"/>
              </w:rPr>
            </w:pPr>
            <w:r>
              <w:rPr>
                <w:rFonts w:hint="eastAsia"/>
                <w:color w:val="auto"/>
                <w:sz w:val="22"/>
                <w:szCs w:val="22"/>
                <w:highlight w:val="none"/>
                <w:lang w:val="en-US" w:eastAsia="zh-CN"/>
              </w:rPr>
              <w:t>4320</w:t>
            </w:r>
          </w:p>
        </w:tc>
        <w:tc>
          <w:tcPr>
            <w:tcW w:w="1845"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48EBE6E">
            <w:pPr>
              <w:keepNext w:val="0"/>
              <w:keepLines w:val="0"/>
              <w:widowControl/>
              <w:suppressLineNumbers w:val="0"/>
              <w:spacing w:before="0" w:beforeAutospacing="0" w:after="0" w:afterAutospacing="0" w:line="260" w:lineRule="exact"/>
              <w:ind w:left="0" w:right="0"/>
              <w:rPr>
                <w:rFonts w:hint="default" w:ascii="宋体" w:hAnsi="宋体" w:cs="宋体"/>
                <w:color w:val="auto"/>
                <w:sz w:val="21"/>
                <w:szCs w:val="21"/>
                <w:highlight w:val="none"/>
              </w:rPr>
            </w:pPr>
          </w:p>
        </w:tc>
      </w:tr>
      <w:tr w14:paraId="25503FB0">
        <w:tblPrEx>
          <w:tblCellMar>
            <w:top w:w="0" w:type="dxa"/>
            <w:left w:w="108" w:type="dxa"/>
            <w:bottom w:w="0" w:type="dxa"/>
            <w:right w:w="108" w:type="dxa"/>
          </w:tblCellMar>
        </w:tblPrEx>
        <w:trPr>
          <w:trHeight w:val="90" w:hRule="atLeast"/>
        </w:trPr>
        <w:tc>
          <w:tcPr>
            <w:tcW w:w="10207" w:type="dxa"/>
            <w:gridSpan w:val="8"/>
            <w:tcBorders>
              <w:top w:val="single" w:color="000000" w:sz="4" w:space="0"/>
              <w:left w:val="single" w:color="auto" w:sz="4" w:space="0"/>
              <w:bottom w:val="single" w:color="auto" w:sz="4" w:space="0"/>
              <w:right w:val="single" w:color="auto" w:sz="4" w:space="0"/>
            </w:tcBorders>
            <w:shd w:val="clear" w:color="auto" w:fill="FFFFFF"/>
            <w:vAlign w:val="center"/>
          </w:tcPr>
          <w:p w14:paraId="6C3E77F3">
            <w:pPr>
              <w:keepNext w:val="0"/>
              <w:keepLines w:val="0"/>
              <w:widowControl/>
              <w:suppressLineNumbers w:val="0"/>
              <w:spacing w:before="0" w:beforeAutospacing="0" w:after="0" w:afterAutospacing="0" w:line="260" w:lineRule="exact"/>
              <w:ind w:left="0"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 xml:space="preserve">合计：大写 </w:t>
            </w:r>
            <w:r>
              <w:rPr>
                <w:rFonts w:hint="eastAsia" w:ascii="宋体" w:hAnsi="宋体" w:cs="宋体"/>
                <w:color w:val="auto"/>
                <w:sz w:val="21"/>
                <w:szCs w:val="21"/>
                <w:highlight w:val="none"/>
                <w:lang w:val="en-US" w:eastAsia="zh-CN"/>
              </w:rPr>
              <w:t>贰拾陆万壹仟玖佰玖拾柒</w:t>
            </w:r>
            <w:r>
              <w:rPr>
                <w:rFonts w:hint="eastAsia" w:ascii="宋体" w:hAnsi="宋体" w:cs="宋体"/>
                <w:color w:val="auto"/>
                <w:sz w:val="21"/>
                <w:szCs w:val="21"/>
                <w:highlight w:val="none"/>
              </w:rPr>
              <w:t>元整 （¥</w:t>
            </w:r>
            <w:r>
              <w:rPr>
                <w:rFonts w:hint="eastAsia" w:ascii="宋体" w:hAnsi="宋体" w:cs="宋体"/>
                <w:color w:val="auto"/>
                <w:sz w:val="21"/>
                <w:szCs w:val="21"/>
                <w:highlight w:val="none"/>
                <w:lang w:val="en-US" w:eastAsia="zh-CN"/>
              </w:rPr>
              <w:t>261997.00</w:t>
            </w:r>
            <w:r>
              <w:rPr>
                <w:rFonts w:hint="eastAsia" w:ascii="宋体" w:hAnsi="宋体" w:cs="宋体"/>
                <w:color w:val="auto"/>
                <w:sz w:val="21"/>
                <w:szCs w:val="21"/>
                <w:highlight w:val="none"/>
              </w:rPr>
              <w:t>元）</w:t>
            </w:r>
          </w:p>
        </w:tc>
      </w:tr>
    </w:tbl>
    <w:p w14:paraId="5C668700">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highlight w:val="none"/>
          <w:lang w:val="en-US" w:eastAsia="zh-CN"/>
        </w:rPr>
      </w:pPr>
      <w:r>
        <w:rPr>
          <w:rFonts w:hint="eastAsia" w:ascii="宋体" w:hAnsi="宋体" w:eastAsia="宋体" w:cs="宋体"/>
          <w:b/>
          <w:color w:val="auto"/>
          <w:sz w:val="28"/>
          <w:szCs w:val="28"/>
          <w:highlight w:val="none"/>
          <w:lang w:val="en-US" w:eastAsia="zh-CN"/>
        </w:rPr>
        <w:t>三、商务条款</w:t>
      </w:r>
    </w:p>
    <w:p w14:paraId="242E9A0A">
      <w:pPr>
        <w:autoSpaceDE w:val="0"/>
        <w:autoSpaceDN w:val="0"/>
        <w:adjustRightInd w:val="0"/>
        <w:snapToGrid w:val="0"/>
        <w:spacing w:line="360" w:lineRule="auto"/>
        <w:ind w:firstLine="354" w:firstLineChars="147"/>
        <w:textAlignment w:val="bottom"/>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w:t>
      </w:r>
      <w:r>
        <w:rPr>
          <w:rFonts w:hint="eastAsia" w:asciiTheme="minorEastAsia" w:hAnsiTheme="minorEastAsia" w:eastAsiaTheme="minorEastAsia" w:cstheme="minorEastAsia"/>
          <w:b/>
          <w:color w:val="auto"/>
          <w:sz w:val="24"/>
          <w:szCs w:val="24"/>
          <w:highlight w:val="none"/>
        </w:rPr>
        <w:t>、采购的总体要求</w:t>
      </w:r>
    </w:p>
    <w:p w14:paraId="577B94FB">
      <w:pPr>
        <w:autoSpaceDE w:val="0"/>
        <w:autoSpaceDN w:val="0"/>
        <w:adjustRightInd w:val="0"/>
        <w:snapToGrid w:val="0"/>
        <w:spacing w:line="360" w:lineRule="auto"/>
        <w:ind w:firstLine="352" w:firstLineChars="147"/>
        <w:textAlignment w:val="bottom"/>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eastAsia="zh-CN"/>
        </w:rPr>
        <w:t>（</w:t>
      </w:r>
      <w:r>
        <w:rPr>
          <w:rFonts w:hint="eastAsia" w:asciiTheme="minorEastAsia" w:hAnsiTheme="minorEastAsia" w:eastAsiaTheme="minorEastAsia" w:cstheme="minorEastAsia"/>
          <w:b w:val="0"/>
          <w:bCs/>
          <w:color w:val="auto"/>
          <w:sz w:val="24"/>
          <w:szCs w:val="24"/>
          <w:highlight w:val="none"/>
        </w:rPr>
        <w:t>1</w:t>
      </w:r>
      <w:r>
        <w:rPr>
          <w:rFonts w:hint="eastAsia" w:asciiTheme="minorEastAsia" w:hAnsiTheme="minorEastAsia" w:eastAsiaTheme="minorEastAsia" w:cstheme="minorEastAsia"/>
          <w:b w:val="0"/>
          <w:bCs/>
          <w:color w:val="auto"/>
          <w:sz w:val="24"/>
          <w:szCs w:val="24"/>
          <w:highlight w:val="none"/>
          <w:lang w:eastAsia="zh-CN"/>
        </w:rPr>
        <w:t>）必须符合招标文件(</w:t>
      </w:r>
      <w:r>
        <w:rPr>
          <w:rFonts w:hint="eastAsia" w:asciiTheme="minorEastAsia" w:hAnsiTheme="minorEastAsia" w:eastAsiaTheme="minorEastAsia" w:cstheme="minorEastAsia"/>
          <w:color w:val="auto"/>
          <w:sz w:val="24"/>
          <w:szCs w:val="24"/>
          <w:highlight w:val="none"/>
          <w:lang w:eastAsia="zh-CN"/>
        </w:rPr>
        <w:t>包括补充更正，如有)的要求；必须是202</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eastAsia="zh-CN"/>
        </w:rPr>
        <w:t>年1月1日以后生产的、符合国家质量技术标准的设备。</w:t>
      </w:r>
    </w:p>
    <w:p w14:paraId="2CDE532E">
      <w:pPr>
        <w:autoSpaceDE w:val="0"/>
        <w:autoSpaceDN w:val="0"/>
        <w:adjustRightInd w:val="0"/>
        <w:snapToGrid w:val="0"/>
        <w:spacing w:line="480" w:lineRule="exact"/>
        <w:ind w:right="-178" w:rightChars="-85" w:firstLine="480" w:firstLineChars="200"/>
        <w:textAlignment w:val="bottom"/>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eastAsia="zh-CN"/>
        </w:rPr>
        <w:t>）售后服务按国家出版总署和国家其他有关规定执行，国家没有规定的按合法出版商规定执行。国家规定标准低于合法出版商标准的按出版商标准执行，</w:t>
      </w:r>
      <w:r>
        <w:rPr>
          <w:rFonts w:hint="eastAsia" w:asciiTheme="minorEastAsia" w:hAnsiTheme="minorEastAsia" w:eastAsiaTheme="minorEastAsia" w:cstheme="minorEastAsia"/>
          <w:color w:val="auto"/>
          <w:sz w:val="24"/>
          <w:szCs w:val="24"/>
          <w:highlight w:val="none"/>
        </w:rPr>
        <w:t>但最低免费原厂质保服务期不得少于</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年。</w:t>
      </w:r>
    </w:p>
    <w:p w14:paraId="1DA71F14">
      <w:pPr>
        <w:autoSpaceDE w:val="0"/>
        <w:autoSpaceDN w:val="0"/>
        <w:adjustRightInd w:val="0"/>
        <w:snapToGrid w:val="0"/>
        <w:spacing w:line="480" w:lineRule="exact"/>
        <w:ind w:firstLine="354" w:firstLineChars="147"/>
        <w:textAlignment w:val="bottom"/>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2</w:t>
      </w:r>
      <w:r>
        <w:rPr>
          <w:rFonts w:hint="eastAsia" w:asciiTheme="minorEastAsia" w:hAnsiTheme="minorEastAsia" w:eastAsiaTheme="minorEastAsia" w:cstheme="minorEastAsia"/>
          <w:b/>
          <w:color w:val="auto"/>
          <w:sz w:val="24"/>
          <w:szCs w:val="24"/>
          <w:highlight w:val="none"/>
        </w:rPr>
        <w:t>、售后服务</w:t>
      </w:r>
    </w:p>
    <w:p w14:paraId="135EF90E">
      <w:pPr>
        <w:autoSpaceDE w:val="0"/>
        <w:autoSpaceDN w:val="0"/>
        <w:adjustRightInd w:val="0"/>
        <w:snapToGrid w:val="0"/>
        <w:spacing w:line="480" w:lineRule="exact"/>
        <w:ind w:right="-178" w:rightChars="-85" w:firstLine="480" w:firstLineChars="200"/>
        <w:textAlignment w:val="bottom"/>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1、提供≥</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年的质保期，配备维护专用车辆定期对设备进行巡检，确保设备正常运行。质保期从验收合格交付使用之日起算；质保期内因不能排除的故障而影响工作的情况每发生一次，其质保期相应延长60 天，质保期内因设备本身缺陷造成各种故障应由卖方免费技术服务和维修。</w:t>
      </w:r>
    </w:p>
    <w:p w14:paraId="03913B82">
      <w:pPr>
        <w:autoSpaceDE w:val="0"/>
        <w:autoSpaceDN w:val="0"/>
        <w:adjustRightInd w:val="0"/>
        <w:snapToGrid w:val="0"/>
        <w:spacing w:line="480" w:lineRule="exact"/>
        <w:ind w:right="-178" w:rightChars="-85" w:firstLine="480" w:firstLineChars="200"/>
        <w:textAlignment w:val="bottom"/>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2、在设备（或系统）整个使用期内，卖方应确保正常使用，在接到用户维修要求后在0.5 小时内响应并提出解决方案，2 小时内到达现场对故障进行处理，维修过程中所需材料中标供应商在接到通知后应及时提供，最长不超过24 小时必须送达买方。若24 小时内无法修复的，应48 小时内提供相应备用设备并负责安装调试，为此，投标供应商应提供相应承诺书。</w:t>
      </w:r>
    </w:p>
    <w:p w14:paraId="170C1E91">
      <w:pPr>
        <w:autoSpaceDE w:val="0"/>
        <w:autoSpaceDN w:val="0"/>
        <w:adjustRightInd w:val="0"/>
        <w:snapToGrid w:val="0"/>
        <w:spacing w:line="480" w:lineRule="exact"/>
        <w:ind w:right="-178" w:rightChars="-85" w:firstLine="480" w:firstLineChars="200"/>
        <w:textAlignment w:val="bottom"/>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3、供应商在投标文件中须说明保修期内提供的服务计划。</w:t>
      </w:r>
    </w:p>
    <w:p w14:paraId="6488B6CA">
      <w:pPr>
        <w:autoSpaceDE w:val="0"/>
        <w:autoSpaceDN w:val="0"/>
        <w:adjustRightInd w:val="0"/>
        <w:snapToGrid w:val="0"/>
        <w:spacing w:line="480" w:lineRule="exact"/>
        <w:ind w:right="-178" w:rightChars="-85" w:firstLine="480" w:firstLineChars="200"/>
        <w:textAlignment w:val="bottom"/>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4、质保期内免收包括材料费在内的各种费用及相关服务费用。质保期满后，供应商提供跟踪服务，若需更换零配件，采购方只承担更换零配件的成本费，其余费用均由中标人承担。</w:t>
      </w:r>
    </w:p>
    <w:p w14:paraId="212BA3B7">
      <w:pPr>
        <w:autoSpaceDE w:val="0"/>
        <w:autoSpaceDN w:val="0"/>
        <w:adjustRightInd w:val="0"/>
        <w:snapToGrid w:val="0"/>
        <w:spacing w:line="480" w:lineRule="exact"/>
        <w:ind w:right="-178" w:rightChars="-85" w:firstLine="480" w:firstLineChars="200"/>
        <w:textAlignment w:val="bottom"/>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5、对提供的设备，供应商产品更新换代，不再批量生产该产品，也必须随时有备品零配件供应，并提供终身技术服务。</w:t>
      </w:r>
    </w:p>
    <w:p w14:paraId="61559941">
      <w:pPr>
        <w:autoSpaceDE w:val="0"/>
        <w:autoSpaceDN w:val="0"/>
        <w:adjustRightInd w:val="0"/>
        <w:snapToGrid w:val="0"/>
        <w:spacing w:line="480" w:lineRule="exact"/>
        <w:ind w:right="-178" w:rightChars="-85" w:firstLine="480" w:firstLineChars="200"/>
        <w:textAlignment w:val="bottom"/>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6、如供应商未达到以上要求，视为违约，采购方有权要求无条件退货，一切费用将由供应商承担。</w:t>
      </w:r>
    </w:p>
    <w:p w14:paraId="42853A8B">
      <w:pPr>
        <w:autoSpaceDE w:val="0"/>
        <w:autoSpaceDN w:val="0"/>
        <w:adjustRightInd w:val="0"/>
        <w:snapToGrid w:val="0"/>
        <w:spacing w:line="480" w:lineRule="exact"/>
        <w:ind w:firstLine="354" w:firstLineChars="147"/>
        <w:textAlignment w:val="bottom"/>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3、</w:t>
      </w:r>
      <w:r>
        <w:rPr>
          <w:rFonts w:hint="eastAsia" w:asciiTheme="minorEastAsia" w:hAnsiTheme="minorEastAsia" w:eastAsiaTheme="minorEastAsia" w:cstheme="minorEastAsia"/>
          <w:b/>
          <w:color w:val="auto"/>
          <w:sz w:val="24"/>
          <w:szCs w:val="24"/>
          <w:highlight w:val="none"/>
          <w:lang w:eastAsia="zh-CN"/>
        </w:rPr>
        <w:t>交货期限、地点及方式</w:t>
      </w:r>
    </w:p>
    <w:p w14:paraId="5F384BB6">
      <w:pPr>
        <w:spacing w:line="360" w:lineRule="auto"/>
        <w:ind w:firstLine="420"/>
        <w:jc w:val="left"/>
        <w:rPr>
          <w:rFonts w:hint="eastAsia" w:asciiTheme="minorEastAsia" w:hAnsiTheme="minorEastAsia" w:eastAsiaTheme="minorEastAsia" w:cstheme="minorEastAsia"/>
          <w:color w:val="auto"/>
          <w:sz w:val="24"/>
          <w:highlight w:val="none"/>
          <w:u w:val="none"/>
          <w:lang w:val="en-US" w:eastAsia="zh-CN"/>
        </w:rPr>
      </w:pPr>
      <w:r>
        <w:rPr>
          <w:rFonts w:hint="eastAsia" w:asciiTheme="minorEastAsia" w:hAnsiTheme="minorEastAsia" w:eastAsiaTheme="minorEastAsia" w:cstheme="minorEastAsia"/>
          <w:color w:val="auto"/>
          <w:sz w:val="24"/>
          <w:highlight w:val="none"/>
          <w:u w:val="none"/>
          <w:lang w:val="en-US" w:eastAsia="zh-CN"/>
        </w:rPr>
        <w:t>（1）交付期限：</w:t>
      </w:r>
      <w:r>
        <w:rPr>
          <w:rFonts w:hint="eastAsia" w:ascii="宋体" w:hAnsi="宋体" w:cs="宋体"/>
          <w:color w:val="auto"/>
          <w:sz w:val="24"/>
          <w:szCs w:val="24"/>
          <w:highlight w:val="none"/>
        </w:rPr>
        <w:t>中标人在签订合同后，必须在</w:t>
      </w:r>
      <w:r>
        <w:rPr>
          <w:rFonts w:hint="eastAsia" w:ascii="宋体" w:hAnsi="宋体" w:cs="宋体"/>
          <w:b/>
          <w:bCs/>
          <w:color w:val="auto"/>
          <w:sz w:val="24"/>
          <w:szCs w:val="24"/>
          <w:highlight w:val="none"/>
          <w:lang w:val="en-US" w:eastAsia="zh-CN"/>
        </w:rPr>
        <w:t>30</w:t>
      </w:r>
      <w:r>
        <w:rPr>
          <w:rFonts w:hint="eastAsia" w:ascii="宋体" w:hAnsi="宋体" w:cs="宋体"/>
          <w:b/>
          <w:bCs/>
          <w:color w:val="auto"/>
          <w:sz w:val="24"/>
          <w:szCs w:val="24"/>
          <w:highlight w:val="none"/>
        </w:rPr>
        <w:t>日历天</w:t>
      </w:r>
      <w:r>
        <w:rPr>
          <w:rFonts w:hint="eastAsia" w:ascii="宋体" w:hAnsi="宋体" w:cs="宋体"/>
          <w:color w:val="auto"/>
          <w:sz w:val="24"/>
          <w:szCs w:val="24"/>
          <w:highlight w:val="none"/>
        </w:rPr>
        <w:t>内按采购单位要求完成交货、安装调试完成，无质量问题并通过最终验收后交付采购单位使用。如在规定的时间内由于供应商的原因不能完成交货的，供应商应承担由此给采购单位造成的损失</w:t>
      </w:r>
      <w:r>
        <w:rPr>
          <w:rFonts w:hint="eastAsia" w:asciiTheme="minorEastAsia" w:hAnsiTheme="minorEastAsia" w:eastAsiaTheme="minorEastAsia" w:cstheme="minorEastAsia"/>
          <w:color w:val="auto"/>
          <w:sz w:val="24"/>
          <w:highlight w:val="none"/>
          <w:u w:val="none"/>
          <w:lang w:val="en-US" w:eastAsia="zh-CN"/>
        </w:rPr>
        <w:t>。</w:t>
      </w:r>
    </w:p>
    <w:p w14:paraId="33B5A24B">
      <w:pPr>
        <w:spacing w:line="360" w:lineRule="auto"/>
        <w:ind w:firstLine="420"/>
        <w:jc w:val="left"/>
        <w:rPr>
          <w:rFonts w:hint="eastAsia" w:ascii="宋体" w:hAnsi="宋体"/>
          <w:color w:val="auto"/>
          <w:sz w:val="24"/>
          <w:highlight w:val="none"/>
          <w:u w:val="none"/>
        </w:rPr>
      </w:pPr>
      <w:r>
        <w:rPr>
          <w:rFonts w:hint="eastAsia" w:ascii="宋体" w:hAnsi="宋体"/>
          <w:color w:val="auto"/>
          <w:sz w:val="24"/>
          <w:highlight w:val="none"/>
          <w:u w:val="none"/>
          <w:lang w:eastAsia="zh-CN"/>
        </w:rPr>
        <w:t>（</w:t>
      </w:r>
      <w:r>
        <w:rPr>
          <w:rFonts w:hint="eastAsia" w:ascii="宋体" w:hAnsi="宋体"/>
          <w:color w:val="auto"/>
          <w:sz w:val="24"/>
          <w:highlight w:val="none"/>
          <w:u w:val="none"/>
          <w:lang w:val="en-US" w:eastAsia="zh-CN"/>
        </w:rPr>
        <w:t>2</w:t>
      </w:r>
      <w:r>
        <w:rPr>
          <w:rFonts w:hint="eastAsia" w:ascii="宋体" w:hAnsi="宋体"/>
          <w:color w:val="auto"/>
          <w:sz w:val="24"/>
          <w:highlight w:val="none"/>
          <w:u w:val="none"/>
          <w:lang w:eastAsia="zh-CN"/>
        </w:rPr>
        <w:t>）</w:t>
      </w:r>
      <w:r>
        <w:rPr>
          <w:rFonts w:hint="eastAsia" w:ascii="宋体" w:hAnsi="宋体"/>
          <w:color w:val="auto"/>
          <w:sz w:val="24"/>
          <w:highlight w:val="none"/>
          <w:u w:val="none"/>
        </w:rPr>
        <w:t>收货及安装地点：</w:t>
      </w:r>
      <w:r>
        <w:rPr>
          <w:rFonts w:hint="eastAsia" w:ascii="宋体" w:hAnsi="宋体"/>
          <w:color w:val="auto"/>
          <w:sz w:val="24"/>
          <w:highlight w:val="none"/>
          <w:u w:val="none"/>
          <w:lang w:eastAsia="zh-CN"/>
        </w:rPr>
        <w:t>寿昌初级中学</w:t>
      </w:r>
    </w:p>
    <w:p w14:paraId="15CBC675">
      <w:pPr>
        <w:spacing w:line="360" w:lineRule="auto"/>
        <w:ind w:firstLine="420"/>
        <w:jc w:val="left"/>
        <w:rPr>
          <w:rFonts w:ascii="宋体" w:hAnsi="宋体"/>
          <w:color w:val="auto"/>
          <w:sz w:val="24"/>
          <w:highlight w:val="none"/>
          <w:u w:val="none"/>
        </w:rPr>
      </w:pPr>
      <w:r>
        <w:rPr>
          <w:rFonts w:hint="eastAsia" w:ascii="宋体" w:hAnsi="宋体"/>
          <w:color w:val="auto"/>
          <w:sz w:val="24"/>
          <w:highlight w:val="none"/>
          <w:u w:val="none"/>
          <w:lang w:eastAsia="zh-CN"/>
        </w:rPr>
        <w:t>（</w:t>
      </w:r>
      <w:r>
        <w:rPr>
          <w:rFonts w:hint="eastAsia" w:ascii="宋体" w:hAnsi="宋体"/>
          <w:color w:val="auto"/>
          <w:sz w:val="24"/>
          <w:highlight w:val="none"/>
          <w:u w:val="none"/>
          <w:lang w:val="en-US" w:eastAsia="zh-CN"/>
        </w:rPr>
        <w:t>3</w:t>
      </w:r>
      <w:r>
        <w:rPr>
          <w:rFonts w:hint="eastAsia" w:ascii="宋体" w:hAnsi="宋体"/>
          <w:color w:val="auto"/>
          <w:sz w:val="24"/>
          <w:highlight w:val="none"/>
          <w:u w:val="none"/>
          <w:lang w:eastAsia="zh-CN"/>
        </w:rPr>
        <w:t>）</w:t>
      </w:r>
      <w:r>
        <w:rPr>
          <w:rFonts w:hint="eastAsia" w:ascii="宋体" w:hAnsi="宋体"/>
          <w:color w:val="auto"/>
          <w:sz w:val="24"/>
          <w:highlight w:val="none"/>
          <w:u w:val="none"/>
        </w:rPr>
        <w:t xml:space="preserve">中标方免费提供中标货物的安装培训和技术指导 </w:t>
      </w:r>
    </w:p>
    <w:p w14:paraId="73A13BF6">
      <w:pPr>
        <w:autoSpaceDE w:val="0"/>
        <w:autoSpaceDN w:val="0"/>
        <w:adjustRightInd w:val="0"/>
        <w:snapToGrid w:val="0"/>
        <w:spacing w:line="480" w:lineRule="exact"/>
        <w:ind w:firstLine="354" w:firstLineChars="147"/>
        <w:textAlignment w:val="bottom"/>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4、履约验收标准</w:t>
      </w:r>
    </w:p>
    <w:p w14:paraId="191C88E1">
      <w:pPr>
        <w:pStyle w:val="24"/>
        <w:rPr>
          <w:rFonts w:hint="eastAsia" w:asciiTheme="minorEastAsia" w:hAnsiTheme="minorEastAsia" w:eastAsiaTheme="minorEastAsia" w:cstheme="minorEastAsia"/>
          <w:snapToGrid/>
          <w:color w:val="auto"/>
          <w:kern w:val="2"/>
          <w:sz w:val="24"/>
          <w:szCs w:val="24"/>
          <w:highlight w:val="none"/>
          <w:u w:val="none"/>
          <w:lang w:val="en-US" w:eastAsia="zh-CN" w:bidi="ar-SA"/>
        </w:rPr>
      </w:pPr>
      <w:r>
        <w:rPr>
          <w:rFonts w:hint="eastAsia" w:asciiTheme="minorEastAsia" w:hAnsiTheme="minorEastAsia" w:eastAsiaTheme="minorEastAsia" w:cstheme="minorEastAsia"/>
          <w:snapToGrid/>
          <w:color w:val="auto"/>
          <w:kern w:val="2"/>
          <w:sz w:val="24"/>
          <w:szCs w:val="24"/>
          <w:highlight w:val="none"/>
          <w:u w:val="none"/>
          <w:lang w:val="en-US" w:eastAsia="zh-CN" w:bidi="ar-SA"/>
        </w:rPr>
        <w:t>1、供货方应提供系统设备的有效检验材料，经采购人认可后，与合同的技术指标一起作为验收标准。采购人对系统设备验收合格后，出具验收报告并在《建德市政府采购物品验收反馈表》上签署意见并加盖单位公章。验收中发现系统设备达不到验收标准或合同规定的技术指标，卖方必须更换，并负担由此给用户造成的损失，直到验收合格为止。</w:t>
      </w:r>
    </w:p>
    <w:p w14:paraId="201C3238">
      <w:pPr>
        <w:pStyle w:val="24"/>
        <w:rPr>
          <w:rFonts w:hint="eastAsia" w:asciiTheme="minorEastAsia" w:hAnsiTheme="minorEastAsia" w:eastAsiaTheme="minorEastAsia" w:cstheme="minorEastAsia"/>
          <w:snapToGrid/>
          <w:color w:val="auto"/>
          <w:kern w:val="2"/>
          <w:sz w:val="24"/>
          <w:szCs w:val="24"/>
          <w:highlight w:val="none"/>
          <w:u w:val="none"/>
          <w:lang w:val="en-US" w:eastAsia="zh-CN" w:bidi="ar-SA"/>
        </w:rPr>
      </w:pPr>
      <w:r>
        <w:rPr>
          <w:rFonts w:hint="eastAsia" w:asciiTheme="minorEastAsia" w:hAnsiTheme="minorEastAsia" w:eastAsiaTheme="minorEastAsia" w:cstheme="minorEastAsia"/>
          <w:snapToGrid/>
          <w:color w:val="auto"/>
          <w:kern w:val="2"/>
          <w:sz w:val="24"/>
          <w:szCs w:val="24"/>
          <w:highlight w:val="none"/>
          <w:u w:val="none"/>
          <w:lang w:val="en-US" w:eastAsia="zh-CN" w:bidi="ar-SA"/>
        </w:rPr>
        <w:t>2、投标方应于投标书中提供系统设备的验收标准和检测办法，并在验收中提供买方认可的相应检测手段，验收标准应符合中国有关的国家、地方、行业的标准，如若中标，经买方确认后作为验收的依据。</w:t>
      </w:r>
    </w:p>
    <w:p w14:paraId="546A8FC7">
      <w:pPr>
        <w:spacing w:line="360" w:lineRule="auto"/>
        <w:ind w:firstLine="480" w:firstLineChars="200"/>
        <w:rPr>
          <w:rFonts w:hint="eastAsia" w:asciiTheme="minorEastAsia" w:hAnsiTheme="minorEastAsia" w:eastAsiaTheme="minorEastAsia" w:cstheme="minorEastAsia"/>
          <w:snapToGrid/>
          <w:color w:val="auto"/>
          <w:kern w:val="2"/>
          <w:sz w:val="24"/>
          <w:szCs w:val="24"/>
          <w:highlight w:val="none"/>
          <w:u w:val="none"/>
          <w:lang w:val="en-US" w:eastAsia="zh-CN" w:bidi="ar-SA"/>
        </w:rPr>
      </w:pPr>
      <w:r>
        <w:rPr>
          <w:rFonts w:hint="eastAsia" w:asciiTheme="minorEastAsia" w:hAnsiTheme="minorEastAsia" w:eastAsiaTheme="minorEastAsia" w:cstheme="minorEastAsia"/>
          <w:snapToGrid/>
          <w:color w:val="auto"/>
          <w:kern w:val="2"/>
          <w:sz w:val="24"/>
          <w:szCs w:val="24"/>
          <w:highlight w:val="none"/>
          <w:u w:val="none"/>
          <w:lang w:val="en-US" w:eastAsia="zh-CN" w:bidi="ar-SA"/>
        </w:rPr>
        <w:t xml:space="preserve">3、验收费用由产品供应商承担。 </w:t>
      </w:r>
    </w:p>
    <w:p w14:paraId="1AE286BE">
      <w:pPr>
        <w:spacing w:line="360" w:lineRule="auto"/>
        <w:ind w:firstLine="482" w:firstLineChars="200"/>
        <w:rPr>
          <w:rFonts w:hint="eastAsia" w:asciiTheme="minorEastAsia" w:hAnsiTheme="minorEastAsia" w:eastAsiaTheme="minorEastAsia" w:cstheme="minorEastAsia"/>
          <w:b/>
          <w:bCs/>
          <w:color w:val="auto"/>
          <w:sz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5</w:t>
      </w: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highlight w:val="none"/>
          <w:lang w:eastAsia="zh-CN"/>
        </w:rPr>
        <w:t>资金支付的方式、时间和条件</w:t>
      </w:r>
    </w:p>
    <w:p w14:paraId="10117452">
      <w:pPr>
        <w:spacing w:line="360" w:lineRule="auto"/>
        <w:ind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采购单位根据合同、投标文件等资料进行考核。</w:t>
      </w:r>
    </w:p>
    <w:p w14:paraId="1CF8BAE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第一期：合同生效及具备实施条件后7个工作日内由采购人向供应商支付合同总价50%的预付款；</w:t>
      </w:r>
    </w:p>
    <w:p w14:paraId="5F6B826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第二期：项目进度至80%时，由采购单位向中标供应商支付至合同总价的60%；</w:t>
      </w:r>
    </w:p>
    <w:p w14:paraId="56C1567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第三期：安装调试完毕并验收合格，由采购单位向中标供应商支付至合同总价的100%；</w:t>
      </w:r>
    </w:p>
    <w:p w14:paraId="7DC95F8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结算时：出具结款申请、发票原件及复印件、合同复印件、货物清单、经采购单位验收确认的《建德市政府采购验收反馈表》等。</w:t>
      </w:r>
    </w:p>
    <w:p w14:paraId="48AE70E9">
      <w:pPr>
        <w:spacing w:line="360" w:lineRule="auto"/>
        <w:ind w:firstLine="482" w:firstLineChars="200"/>
        <w:rPr>
          <w:rFonts w:hint="eastAsia" w:asciiTheme="minorEastAsia" w:hAnsiTheme="minorEastAsia" w:eastAsiaTheme="minorEastAsia" w:cstheme="minorEastAsia"/>
          <w:b/>
          <w:bCs/>
          <w:color w:val="auto"/>
          <w:sz w:val="24"/>
          <w:highlight w:val="none"/>
          <w:lang w:eastAsia="zh-CN"/>
        </w:rPr>
      </w:pPr>
      <w:r>
        <w:rPr>
          <w:rFonts w:hint="eastAsia" w:asciiTheme="minorEastAsia" w:hAnsiTheme="minorEastAsia" w:eastAsiaTheme="minorEastAsia" w:cstheme="minorEastAsia"/>
          <w:b/>
          <w:bCs/>
          <w:color w:val="auto"/>
          <w:sz w:val="24"/>
          <w:highlight w:val="none"/>
          <w:lang w:val="en-US" w:eastAsia="zh-CN"/>
        </w:rPr>
        <w:t>6</w:t>
      </w:r>
      <w:r>
        <w:rPr>
          <w:rFonts w:hint="eastAsia" w:asciiTheme="minorEastAsia" w:hAnsiTheme="minorEastAsia" w:eastAsiaTheme="minorEastAsia" w:cstheme="minorEastAsia"/>
          <w:b/>
          <w:bCs/>
          <w:color w:val="auto"/>
          <w:sz w:val="24"/>
          <w:highlight w:val="none"/>
          <w:lang w:eastAsia="zh-CN"/>
        </w:rPr>
        <w:t>、履约保证金</w:t>
      </w:r>
    </w:p>
    <w:p w14:paraId="69047EBF">
      <w:pPr>
        <w:spacing w:line="360" w:lineRule="auto"/>
        <w:ind w:firstLine="480" w:firstLineChars="200"/>
        <w:rPr>
          <w:rFonts w:hint="default" w:asciiTheme="minorEastAsia" w:hAnsiTheme="minorEastAsia" w:eastAsiaTheme="minorEastAsia" w:cstheme="minorEastAsia"/>
          <w:b w:val="0"/>
          <w:bCs w:val="0"/>
          <w:color w:val="auto"/>
          <w:sz w:val="24"/>
          <w:highlight w:val="none"/>
          <w:lang w:val="en-US" w:eastAsia="zh-CN"/>
        </w:rPr>
      </w:pPr>
      <w:r>
        <w:rPr>
          <w:rFonts w:hint="eastAsia" w:ascii="宋体" w:hAnsi="宋体" w:eastAsia="宋体" w:cs="宋体"/>
          <w:iCs/>
          <w:color w:val="auto"/>
          <w:sz w:val="24"/>
          <w:highlight w:val="none"/>
          <w:u w:val="single"/>
          <w:lang w:val="en-US" w:eastAsia="zh-CN"/>
        </w:rPr>
        <w:t>本项目收取履约保证金为合同金额1%。需要收取保证金的供应商在正式合同签订生效之日起7个工作日内，缴纳保证金至甲方指定账户（可采用银行、保险公司出具保函形式提交）。在验收合格后经回访正常后凭正式收款收据、履约保证金缴款凭证复印件办理结算手续。</w:t>
      </w:r>
    </w:p>
    <w:p w14:paraId="5FA23C83">
      <w:pP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14:paraId="5972D2B3">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第四部分   </w:t>
      </w:r>
      <w:bookmarkStart w:id="33" w:name="_Toc184313261"/>
      <w:bookmarkEnd w:id="33"/>
      <w:bookmarkStart w:id="34" w:name="_Toc184310275"/>
      <w:bookmarkEnd w:id="34"/>
      <w:bookmarkStart w:id="35" w:name="_Toc184310303"/>
      <w:bookmarkEnd w:id="35"/>
      <w:bookmarkStart w:id="36" w:name="_Toc184313248"/>
      <w:bookmarkEnd w:id="36"/>
      <w:bookmarkStart w:id="37" w:name="_Toc184310297"/>
      <w:bookmarkEnd w:id="37"/>
      <w:bookmarkStart w:id="38" w:name="_Toc184314438"/>
      <w:bookmarkEnd w:id="38"/>
      <w:bookmarkStart w:id="39" w:name="_Toc184312069"/>
      <w:bookmarkEnd w:id="39"/>
      <w:bookmarkStart w:id="40" w:name="_Toc184312133"/>
      <w:bookmarkEnd w:id="40"/>
      <w:bookmarkStart w:id="41" w:name="_Toc184308107"/>
      <w:bookmarkEnd w:id="41"/>
      <w:bookmarkStart w:id="42" w:name="_Toc184308062"/>
      <w:bookmarkEnd w:id="42"/>
      <w:bookmarkStart w:id="43" w:name="_Toc184313272"/>
      <w:bookmarkEnd w:id="43"/>
      <w:bookmarkStart w:id="44" w:name="_Toc184312132"/>
      <w:bookmarkEnd w:id="44"/>
      <w:bookmarkStart w:id="45" w:name="_Toc184313278"/>
      <w:bookmarkEnd w:id="45"/>
      <w:bookmarkStart w:id="46" w:name="_Toc184314442"/>
      <w:bookmarkEnd w:id="46"/>
      <w:bookmarkStart w:id="47" w:name="_Toc184308044"/>
      <w:bookmarkEnd w:id="47"/>
      <w:bookmarkStart w:id="48" w:name="_Toc184308047"/>
      <w:bookmarkEnd w:id="48"/>
      <w:bookmarkStart w:id="49" w:name="_Toc184308097"/>
      <w:bookmarkEnd w:id="49"/>
      <w:bookmarkStart w:id="50" w:name="_Toc184308094"/>
      <w:bookmarkEnd w:id="50"/>
      <w:bookmarkStart w:id="51" w:name="_Toc184313253"/>
      <w:bookmarkEnd w:id="51"/>
      <w:bookmarkStart w:id="52" w:name="_Toc184312080"/>
      <w:bookmarkEnd w:id="52"/>
      <w:bookmarkStart w:id="53" w:name="_Toc184312093"/>
      <w:bookmarkEnd w:id="53"/>
      <w:bookmarkStart w:id="54" w:name="_Toc184314432"/>
      <w:bookmarkEnd w:id="54"/>
      <w:bookmarkStart w:id="55" w:name="_Toc184308038"/>
      <w:bookmarkEnd w:id="55"/>
      <w:bookmarkStart w:id="56" w:name="_Toc184314427"/>
      <w:bookmarkEnd w:id="56"/>
      <w:bookmarkStart w:id="57" w:name="_Toc184313244"/>
      <w:bookmarkEnd w:id="57"/>
      <w:bookmarkStart w:id="58" w:name="_Toc184312134"/>
      <w:bookmarkEnd w:id="58"/>
      <w:bookmarkStart w:id="59" w:name="_Toc184308050"/>
      <w:bookmarkEnd w:id="59"/>
      <w:bookmarkStart w:id="60" w:name="_Toc184308076"/>
      <w:bookmarkEnd w:id="60"/>
      <w:bookmarkStart w:id="61" w:name="_Toc184310332"/>
      <w:bookmarkEnd w:id="61"/>
      <w:bookmarkStart w:id="62" w:name="_Toc184308059"/>
      <w:bookmarkEnd w:id="62"/>
      <w:bookmarkStart w:id="63" w:name="_Toc184308041"/>
      <w:bookmarkEnd w:id="63"/>
      <w:bookmarkStart w:id="64" w:name="_Toc184312086"/>
      <w:bookmarkEnd w:id="64"/>
      <w:bookmarkStart w:id="65" w:name="_Toc184314481"/>
      <w:bookmarkEnd w:id="65"/>
      <w:bookmarkStart w:id="66" w:name="_Toc184310283"/>
      <w:bookmarkEnd w:id="66"/>
      <w:bookmarkStart w:id="67" w:name="_Toc184313294"/>
      <w:bookmarkEnd w:id="67"/>
      <w:bookmarkStart w:id="68" w:name="_Toc184312090"/>
      <w:bookmarkEnd w:id="68"/>
      <w:bookmarkStart w:id="69" w:name="_Toc184310308"/>
      <w:bookmarkEnd w:id="69"/>
      <w:bookmarkStart w:id="70" w:name="_Toc184308087"/>
      <w:bookmarkEnd w:id="70"/>
      <w:bookmarkStart w:id="71" w:name="_Toc184310301"/>
      <w:bookmarkEnd w:id="71"/>
      <w:bookmarkStart w:id="72" w:name="_Toc184314464"/>
      <w:bookmarkEnd w:id="72"/>
      <w:bookmarkStart w:id="73" w:name="_Toc184310274"/>
      <w:bookmarkEnd w:id="73"/>
      <w:bookmarkStart w:id="74" w:name="_Toc184313260"/>
      <w:bookmarkEnd w:id="74"/>
      <w:bookmarkStart w:id="75" w:name="_Toc184310334"/>
      <w:bookmarkEnd w:id="75"/>
      <w:bookmarkStart w:id="76" w:name="_Toc184310296"/>
      <w:bookmarkEnd w:id="76"/>
      <w:bookmarkStart w:id="77" w:name="_Toc184310280"/>
      <w:bookmarkEnd w:id="77"/>
      <w:bookmarkStart w:id="78" w:name="_Toc184310291"/>
      <w:bookmarkEnd w:id="78"/>
      <w:bookmarkStart w:id="79" w:name="_Toc184308108"/>
      <w:bookmarkEnd w:id="79"/>
      <w:bookmarkStart w:id="80" w:name="_Toc184310306"/>
      <w:bookmarkEnd w:id="80"/>
      <w:bookmarkStart w:id="81" w:name="_Toc184312078"/>
      <w:bookmarkEnd w:id="81"/>
      <w:bookmarkStart w:id="82" w:name="_Toc184314436"/>
      <w:bookmarkEnd w:id="82"/>
      <w:bookmarkStart w:id="83" w:name="_Toc184314426"/>
      <w:bookmarkEnd w:id="83"/>
      <w:bookmarkStart w:id="84" w:name="_Toc184313290"/>
      <w:bookmarkEnd w:id="84"/>
      <w:bookmarkStart w:id="85" w:name="_Toc184310298"/>
      <w:bookmarkEnd w:id="85"/>
      <w:bookmarkStart w:id="86" w:name="_Toc184308080"/>
      <w:bookmarkEnd w:id="86"/>
      <w:bookmarkStart w:id="87" w:name="_Toc184313254"/>
      <w:bookmarkEnd w:id="87"/>
      <w:bookmarkStart w:id="88" w:name="_Toc184310326"/>
      <w:bookmarkEnd w:id="88"/>
      <w:bookmarkStart w:id="89" w:name="_Toc184312131"/>
      <w:bookmarkEnd w:id="89"/>
      <w:bookmarkStart w:id="90" w:name="_Toc184312095"/>
      <w:bookmarkEnd w:id="90"/>
      <w:bookmarkStart w:id="91" w:name="_Toc184308069"/>
      <w:bookmarkEnd w:id="91"/>
      <w:bookmarkStart w:id="92" w:name="_Toc184314423"/>
      <w:bookmarkEnd w:id="92"/>
      <w:bookmarkStart w:id="93" w:name="_Toc184312089"/>
      <w:bookmarkEnd w:id="93"/>
      <w:bookmarkStart w:id="94" w:name="_Toc184313256"/>
      <w:bookmarkEnd w:id="94"/>
      <w:bookmarkStart w:id="95" w:name="_Toc184313297"/>
      <w:bookmarkEnd w:id="95"/>
      <w:bookmarkStart w:id="96" w:name="_Toc184314444"/>
      <w:bookmarkEnd w:id="96"/>
      <w:bookmarkStart w:id="97" w:name="_Toc184313263"/>
      <w:bookmarkEnd w:id="97"/>
      <w:bookmarkStart w:id="98" w:name="_Toc184312088"/>
      <w:bookmarkEnd w:id="98"/>
      <w:bookmarkStart w:id="99" w:name="_Toc184313282"/>
      <w:bookmarkEnd w:id="99"/>
      <w:bookmarkStart w:id="100" w:name="_Toc184310294"/>
      <w:bookmarkEnd w:id="100"/>
      <w:bookmarkStart w:id="101" w:name="_Toc184313267"/>
      <w:bookmarkEnd w:id="101"/>
      <w:bookmarkStart w:id="102" w:name="_Toc184308085"/>
      <w:bookmarkEnd w:id="102"/>
      <w:bookmarkStart w:id="103" w:name="_Toc184308043"/>
      <w:bookmarkEnd w:id="103"/>
      <w:bookmarkStart w:id="104" w:name="_Toc184308054"/>
      <w:bookmarkEnd w:id="104"/>
      <w:bookmarkStart w:id="105" w:name="_Toc184312137"/>
      <w:bookmarkEnd w:id="105"/>
      <w:bookmarkStart w:id="106" w:name="_Toc184310292"/>
      <w:bookmarkEnd w:id="106"/>
      <w:bookmarkStart w:id="107" w:name="_Toc184308078"/>
      <w:bookmarkEnd w:id="107"/>
      <w:bookmarkStart w:id="108" w:name="_Toc184308090"/>
      <w:bookmarkEnd w:id="108"/>
      <w:bookmarkStart w:id="109" w:name="_Toc184313295"/>
      <w:bookmarkEnd w:id="109"/>
      <w:bookmarkStart w:id="110" w:name="_Toc184314458"/>
      <w:bookmarkEnd w:id="110"/>
      <w:bookmarkStart w:id="111" w:name="_Toc184312076"/>
      <w:bookmarkEnd w:id="111"/>
      <w:bookmarkStart w:id="112" w:name="_Toc184314455"/>
      <w:bookmarkEnd w:id="112"/>
      <w:bookmarkStart w:id="113" w:name="_Toc184313292"/>
      <w:bookmarkEnd w:id="113"/>
      <w:bookmarkStart w:id="114" w:name="_Toc184312091"/>
      <w:bookmarkEnd w:id="114"/>
      <w:bookmarkStart w:id="115" w:name="_Toc184314446"/>
      <w:bookmarkEnd w:id="115"/>
      <w:bookmarkStart w:id="116" w:name="_Toc184308081"/>
      <w:bookmarkEnd w:id="116"/>
      <w:bookmarkStart w:id="117" w:name="_Toc184313280"/>
      <w:bookmarkEnd w:id="117"/>
      <w:bookmarkStart w:id="118" w:name="_Toc184310313"/>
      <w:bookmarkEnd w:id="118"/>
      <w:bookmarkStart w:id="119" w:name="_Toc184314419"/>
      <w:bookmarkEnd w:id="119"/>
      <w:bookmarkStart w:id="120" w:name="_Toc184310318"/>
      <w:bookmarkEnd w:id="120"/>
      <w:bookmarkStart w:id="121" w:name="_Toc184310287"/>
      <w:bookmarkEnd w:id="121"/>
      <w:bookmarkStart w:id="122" w:name="_Toc184313285"/>
      <w:bookmarkEnd w:id="122"/>
      <w:bookmarkStart w:id="123" w:name="_Toc184313269"/>
      <w:bookmarkEnd w:id="123"/>
      <w:bookmarkStart w:id="124" w:name="_Toc184308083"/>
      <w:bookmarkEnd w:id="124"/>
      <w:bookmarkStart w:id="125" w:name="_Toc184313259"/>
      <w:bookmarkEnd w:id="125"/>
      <w:bookmarkStart w:id="126" w:name="_Toc184314431"/>
      <w:bookmarkEnd w:id="126"/>
      <w:bookmarkStart w:id="127" w:name="_Toc184313277"/>
      <w:bookmarkEnd w:id="127"/>
      <w:bookmarkStart w:id="128" w:name="_Toc184312136"/>
      <w:bookmarkEnd w:id="128"/>
      <w:bookmarkStart w:id="129" w:name="_Toc184313279"/>
      <w:bookmarkEnd w:id="129"/>
      <w:bookmarkStart w:id="130" w:name="_Toc184313268"/>
      <w:bookmarkEnd w:id="130"/>
      <w:bookmarkStart w:id="131" w:name="_Toc184308048"/>
      <w:bookmarkEnd w:id="131"/>
      <w:bookmarkStart w:id="132" w:name="_Toc184310309"/>
      <w:bookmarkEnd w:id="132"/>
      <w:bookmarkStart w:id="133" w:name="_Toc184314452"/>
      <w:bookmarkEnd w:id="133"/>
      <w:bookmarkStart w:id="134" w:name="_Toc184312107"/>
      <w:bookmarkEnd w:id="134"/>
      <w:bookmarkStart w:id="135" w:name="_Toc184308100"/>
      <w:bookmarkEnd w:id="135"/>
      <w:bookmarkStart w:id="136" w:name="_Toc184308067"/>
      <w:bookmarkEnd w:id="136"/>
      <w:bookmarkStart w:id="137" w:name="_Toc184308063"/>
      <w:bookmarkEnd w:id="137"/>
      <w:bookmarkStart w:id="138" w:name="_Toc184313308"/>
      <w:bookmarkEnd w:id="138"/>
      <w:bookmarkStart w:id="139" w:name="_Toc184310279"/>
      <w:bookmarkEnd w:id="139"/>
      <w:bookmarkStart w:id="140" w:name="_Toc184310328"/>
      <w:bookmarkEnd w:id="140"/>
      <w:bookmarkStart w:id="141" w:name="_Toc184308045"/>
      <w:bookmarkEnd w:id="141"/>
      <w:bookmarkStart w:id="142" w:name="_Toc184308072"/>
      <w:bookmarkEnd w:id="142"/>
      <w:bookmarkStart w:id="143" w:name="_Toc184313241"/>
      <w:bookmarkEnd w:id="143"/>
      <w:bookmarkStart w:id="144" w:name="_Toc184313291"/>
      <w:bookmarkEnd w:id="144"/>
      <w:bookmarkStart w:id="145" w:name="_Toc184314473"/>
      <w:bookmarkEnd w:id="145"/>
      <w:bookmarkStart w:id="146" w:name="_Toc184312103"/>
      <w:bookmarkEnd w:id="146"/>
      <w:bookmarkStart w:id="147" w:name="_Toc184308066"/>
      <w:bookmarkEnd w:id="147"/>
      <w:bookmarkStart w:id="148" w:name="_Toc184312068"/>
      <w:bookmarkEnd w:id="148"/>
      <w:bookmarkStart w:id="149" w:name="_Toc184308093"/>
      <w:bookmarkEnd w:id="149"/>
      <w:bookmarkStart w:id="150" w:name="_Toc184310314"/>
      <w:bookmarkEnd w:id="150"/>
      <w:bookmarkStart w:id="151" w:name="_Toc184312130"/>
      <w:bookmarkEnd w:id="151"/>
      <w:bookmarkStart w:id="152" w:name="_Toc184314439"/>
      <w:bookmarkEnd w:id="152"/>
      <w:bookmarkStart w:id="153" w:name="_Toc184314443"/>
      <w:bookmarkEnd w:id="153"/>
      <w:bookmarkStart w:id="154" w:name="_Toc184314418"/>
      <w:bookmarkEnd w:id="154"/>
      <w:bookmarkStart w:id="155" w:name="_Toc184308061"/>
      <w:bookmarkEnd w:id="155"/>
      <w:bookmarkStart w:id="156" w:name="_Toc184312119"/>
      <w:bookmarkEnd w:id="156"/>
      <w:bookmarkStart w:id="157" w:name="_Toc184310322"/>
      <w:bookmarkEnd w:id="157"/>
      <w:bookmarkStart w:id="158" w:name="_Toc184312073"/>
      <w:bookmarkEnd w:id="158"/>
      <w:bookmarkStart w:id="159" w:name="_Toc184312084"/>
      <w:bookmarkEnd w:id="159"/>
      <w:bookmarkStart w:id="160" w:name="_Toc184308073"/>
      <w:bookmarkEnd w:id="160"/>
      <w:bookmarkStart w:id="161" w:name="_Toc184312085"/>
      <w:bookmarkEnd w:id="161"/>
      <w:bookmarkStart w:id="162" w:name="_Toc184310336"/>
      <w:bookmarkEnd w:id="162"/>
      <w:bookmarkStart w:id="163" w:name="_Toc184314451"/>
      <w:bookmarkEnd w:id="163"/>
      <w:bookmarkStart w:id="164" w:name="_Toc184312128"/>
      <w:bookmarkEnd w:id="164"/>
      <w:bookmarkStart w:id="165" w:name="_Toc184314416"/>
      <w:bookmarkEnd w:id="165"/>
      <w:bookmarkStart w:id="166" w:name="_Toc184310299"/>
      <w:bookmarkEnd w:id="166"/>
      <w:bookmarkStart w:id="167" w:name="_Toc184312112"/>
      <w:bookmarkEnd w:id="167"/>
      <w:bookmarkStart w:id="168" w:name="_Toc184313245"/>
      <w:bookmarkEnd w:id="168"/>
      <w:bookmarkStart w:id="169" w:name="_Toc184314441"/>
      <w:bookmarkEnd w:id="169"/>
      <w:bookmarkStart w:id="170" w:name="_Toc184313302"/>
      <w:bookmarkEnd w:id="170"/>
      <w:bookmarkStart w:id="171" w:name="_Toc184308037"/>
      <w:bookmarkEnd w:id="171"/>
      <w:bookmarkStart w:id="172" w:name="_Toc184314460"/>
      <w:bookmarkEnd w:id="172"/>
      <w:bookmarkStart w:id="173" w:name="_Toc184312116"/>
      <w:bookmarkEnd w:id="173"/>
      <w:bookmarkStart w:id="174" w:name="_Toc184314466"/>
      <w:bookmarkEnd w:id="174"/>
      <w:bookmarkStart w:id="175" w:name="_Toc184310327"/>
      <w:bookmarkEnd w:id="175"/>
      <w:bookmarkStart w:id="176" w:name="_Toc184312129"/>
      <w:bookmarkEnd w:id="176"/>
      <w:bookmarkStart w:id="177" w:name="_Toc184313305"/>
      <w:bookmarkEnd w:id="177"/>
      <w:bookmarkStart w:id="178" w:name="_Toc184313246"/>
      <w:bookmarkEnd w:id="178"/>
      <w:bookmarkStart w:id="179" w:name="_Toc184308088"/>
      <w:bookmarkEnd w:id="179"/>
      <w:bookmarkStart w:id="180" w:name="_Toc184314424"/>
      <w:bookmarkEnd w:id="180"/>
      <w:bookmarkStart w:id="181" w:name="_Toc184310295"/>
      <w:bookmarkEnd w:id="181"/>
      <w:bookmarkStart w:id="182" w:name="_Toc184313303"/>
      <w:bookmarkEnd w:id="182"/>
      <w:bookmarkStart w:id="183" w:name="_Toc184312072"/>
      <w:bookmarkEnd w:id="183"/>
      <w:bookmarkStart w:id="184" w:name="_Toc184314472"/>
      <w:bookmarkEnd w:id="184"/>
      <w:bookmarkStart w:id="185" w:name="_Toc184314477"/>
      <w:bookmarkEnd w:id="185"/>
      <w:bookmarkStart w:id="186" w:name="_Toc184312077"/>
      <w:bookmarkEnd w:id="186"/>
      <w:bookmarkStart w:id="187" w:name="_Toc184308064"/>
      <w:bookmarkEnd w:id="187"/>
      <w:bookmarkStart w:id="188" w:name="_Toc184314411"/>
      <w:bookmarkEnd w:id="188"/>
      <w:bookmarkStart w:id="189" w:name="_Toc184314415"/>
      <w:bookmarkEnd w:id="189"/>
      <w:bookmarkStart w:id="190" w:name="_Toc184314412"/>
      <w:bookmarkEnd w:id="190"/>
      <w:bookmarkStart w:id="191" w:name="_Toc184310307"/>
      <w:bookmarkEnd w:id="191"/>
      <w:bookmarkStart w:id="192" w:name="_Toc184312105"/>
      <w:bookmarkEnd w:id="192"/>
      <w:bookmarkStart w:id="193" w:name="_Toc184313284"/>
      <w:bookmarkEnd w:id="193"/>
      <w:bookmarkStart w:id="194" w:name="_Toc184312114"/>
      <w:bookmarkEnd w:id="194"/>
      <w:bookmarkStart w:id="195" w:name="_Toc184314468"/>
      <w:bookmarkEnd w:id="195"/>
      <w:bookmarkStart w:id="196" w:name="_Toc184314433"/>
      <w:bookmarkEnd w:id="196"/>
      <w:bookmarkStart w:id="197" w:name="_Toc184310321"/>
      <w:bookmarkEnd w:id="197"/>
      <w:bookmarkStart w:id="198" w:name="_Toc184313275"/>
      <w:bookmarkEnd w:id="198"/>
      <w:bookmarkStart w:id="199" w:name="_Toc184313239"/>
      <w:bookmarkEnd w:id="199"/>
      <w:bookmarkStart w:id="200" w:name="_Toc184314478"/>
      <w:bookmarkEnd w:id="200"/>
      <w:bookmarkStart w:id="201" w:name="_Toc184312135"/>
      <w:bookmarkEnd w:id="201"/>
      <w:bookmarkStart w:id="202" w:name="_Toc184310305"/>
      <w:bookmarkEnd w:id="202"/>
      <w:bookmarkStart w:id="203" w:name="_Toc184312100"/>
      <w:bookmarkEnd w:id="203"/>
      <w:bookmarkStart w:id="204" w:name="_Toc184313310"/>
      <w:bookmarkEnd w:id="204"/>
      <w:bookmarkStart w:id="205" w:name="_Toc184312125"/>
      <w:bookmarkEnd w:id="205"/>
      <w:bookmarkStart w:id="206" w:name="_Toc184313247"/>
      <w:bookmarkEnd w:id="206"/>
      <w:bookmarkStart w:id="207" w:name="_Toc184308099"/>
      <w:bookmarkEnd w:id="207"/>
      <w:bookmarkStart w:id="208" w:name="_Toc184308091"/>
      <w:bookmarkEnd w:id="208"/>
      <w:bookmarkStart w:id="209" w:name="_Toc184310276"/>
      <w:bookmarkEnd w:id="209"/>
      <w:bookmarkStart w:id="210" w:name="_Toc184313306"/>
      <w:bookmarkEnd w:id="210"/>
      <w:bookmarkStart w:id="211" w:name="_Toc184308103"/>
      <w:bookmarkEnd w:id="211"/>
      <w:bookmarkStart w:id="212" w:name="_Toc184313274"/>
      <w:bookmarkEnd w:id="212"/>
      <w:bookmarkStart w:id="213" w:name="_Toc184313243"/>
      <w:bookmarkEnd w:id="213"/>
      <w:bookmarkStart w:id="214" w:name="_Toc184313264"/>
      <w:bookmarkEnd w:id="214"/>
      <w:bookmarkStart w:id="215" w:name="_Toc184308053"/>
      <w:bookmarkEnd w:id="215"/>
      <w:bookmarkStart w:id="216" w:name="_Toc184313251"/>
      <w:bookmarkEnd w:id="216"/>
      <w:bookmarkStart w:id="217" w:name="_Toc184314475"/>
      <w:bookmarkEnd w:id="217"/>
      <w:bookmarkStart w:id="218" w:name="_Toc184310288"/>
      <w:bookmarkEnd w:id="218"/>
      <w:bookmarkStart w:id="219" w:name="_Toc184308077"/>
      <w:bookmarkEnd w:id="219"/>
      <w:bookmarkStart w:id="220" w:name="_Toc184310300"/>
      <w:bookmarkEnd w:id="220"/>
      <w:bookmarkStart w:id="221" w:name="_Toc184308071"/>
      <w:bookmarkEnd w:id="221"/>
      <w:bookmarkStart w:id="222" w:name="_Toc184312071"/>
      <w:bookmarkEnd w:id="222"/>
      <w:bookmarkStart w:id="223" w:name="_Toc184310324"/>
      <w:bookmarkEnd w:id="223"/>
      <w:bookmarkStart w:id="224" w:name="_Toc184313281"/>
      <w:bookmarkEnd w:id="224"/>
      <w:bookmarkStart w:id="225" w:name="_Toc184308046"/>
      <w:bookmarkEnd w:id="225"/>
      <w:bookmarkStart w:id="226" w:name="_Toc184308039"/>
      <w:bookmarkEnd w:id="226"/>
      <w:bookmarkStart w:id="227" w:name="_Toc184310320"/>
      <w:bookmarkEnd w:id="227"/>
      <w:bookmarkStart w:id="228" w:name="_Toc184308040"/>
      <w:bookmarkEnd w:id="228"/>
      <w:bookmarkStart w:id="229" w:name="_Toc184313242"/>
      <w:bookmarkEnd w:id="229"/>
      <w:bookmarkStart w:id="230" w:name="_Toc184308075"/>
      <w:bookmarkEnd w:id="230"/>
      <w:bookmarkStart w:id="231" w:name="_Toc184312104"/>
      <w:bookmarkEnd w:id="231"/>
      <w:bookmarkStart w:id="232" w:name="_Toc184314422"/>
      <w:bookmarkEnd w:id="232"/>
      <w:bookmarkStart w:id="233" w:name="_Toc184313271"/>
      <w:bookmarkEnd w:id="233"/>
      <w:bookmarkStart w:id="234" w:name="_Toc184312113"/>
      <w:bookmarkEnd w:id="234"/>
      <w:bookmarkStart w:id="235" w:name="_Toc184314454"/>
      <w:bookmarkEnd w:id="235"/>
      <w:bookmarkStart w:id="236" w:name="_Toc184314482"/>
      <w:bookmarkEnd w:id="236"/>
      <w:bookmarkStart w:id="237" w:name="_Toc184308055"/>
      <w:bookmarkEnd w:id="237"/>
      <w:bookmarkStart w:id="238" w:name="_Toc184313249"/>
      <w:bookmarkEnd w:id="238"/>
      <w:bookmarkStart w:id="239" w:name="_Toc184312092"/>
      <w:bookmarkEnd w:id="239"/>
      <w:bookmarkStart w:id="240" w:name="_Toc184314476"/>
      <w:bookmarkEnd w:id="240"/>
      <w:bookmarkStart w:id="241" w:name="_Toc184310316"/>
      <w:bookmarkEnd w:id="241"/>
      <w:bookmarkStart w:id="242" w:name="_Toc184310293"/>
      <w:bookmarkEnd w:id="242"/>
      <w:bookmarkStart w:id="243" w:name="_Toc184308058"/>
      <w:bookmarkEnd w:id="243"/>
      <w:bookmarkStart w:id="244" w:name="_Toc184310319"/>
      <w:bookmarkEnd w:id="244"/>
      <w:bookmarkStart w:id="245" w:name="_Toc184312106"/>
      <w:bookmarkEnd w:id="245"/>
      <w:bookmarkStart w:id="246" w:name="_Toc184308106"/>
      <w:bookmarkEnd w:id="246"/>
      <w:bookmarkStart w:id="247" w:name="_Toc184312097"/>
      <w:bookmarkEnd w:id="247"/>
      <w:bookmarkStart w:id="248" w:name="_Toc184310272"/>
      <w:bookmarkEnd w:id="248"/>
      <w:bookmarkStart w:id="249" w:name="_Toc184313257"/>
      <w:bookmarkEnd w:id="249"/>
      <w:bookmarkStart w:id="250" w:name="_Toc184314471"/>
      <w:bookmarkEnd w:id="250"/>
      <w:bookmarkStart w:id="251" w:name="_Toc184310285"/>
      <w:bookmarkEnd w:id="251"/>
      <w:bookmarkStart w:id="252" w:name="_Toc184314447"/>
      <w:bookmarkEnd w:id="252"/>
      <w:bookmarkStart w:id="253" w:name="_Toc184312115"/>
      <w:bookmarkEnd w:id="253"/>
      <w:bookmarkStart w:id="254" w:name="_Toc184314480"/>
      <w:bookmarkEnd w:id="254"/>
      <w:bookmarkStart w:id="255" w:name="_Toc184312110"/>
      <w:bookmarkEnd w:id="255"/>
      <w:bookmarkStart w:id="256" w:name="_Toc184313250"/>
      <w:bookmarkEnd w:id="256"/>
      <w:bookmarkStart w:id="257" w:name="_Toc184308036"/>
      <w:bookmarkEnd w:id="257"/>
      <w:bookmarkStart w:id="258" w:name="_Toc184308052"/>
      <w:bookmarkEnd w:id="258"/>
      <w:bookmarkStart w:id="259" w:name="_Toc184314421"/>
      <w:bookmarkEnd w:id="259"/>
      <w:bookmarkStart w:id="260" w:name="_Toc184314479"/>
      <w:bookmarkEnd w:id="260"/>
      <w:bookmarkStart w:id="261" w:name="_Toc184313299"/>
      <w:bookmarkEnd w:id="261"/>
      <w:bookmarkStart w:id="262" w:name="_Toc184310284"/>
      <w:bookmarkEnd w:id="262"/>
      <w:bookmarkStart w:id="263" w:name="_Toc184308056"/>
      <w:bookmarkEnd w:id="263"/>
      <w:bookmarkStart w:id="264" w:name="_Toc184310317"/>
      <w:bookmarkEnd w:id="264"/>
      <w:bookmarkStart w:id="265" w:name="_Toc184310315"/>
      <w:bookmarkEnd w:id="265"/>
      <w:bookmarkStart w:id="266" w:name="_Toc184310331"/>
      <w:bookmarkEnd w:id="266"/>
      <w:bookmarkStart w:id="267" w:name="_Toc184312101"/>
      <w:bookmarkEnd w:id="267"/>
      <w:bookmarkStart w:id="268" w:name="_Toc184310338"/>
      <w:bookmarkEnd w:id="268"/>
      <w:bookmarkStart w:id="269" w:name="_Toc184310340"/>
      <w:bookmarkEnd w:id="269"/>
      <w:bookmarkStart w:id="270" w:name="_Toc184313300"/>
      <w:bookmarkEnd w:id="270"/>
      <w:bookmarkStart w:id="271" w:name="_Toc184308051"/>
      <w:bookmarkEnd w:id="271"/>
      <w:bookmarkStart w:id="272" w:name="_Toc184313265"/>
      <w:bookmarkEnd w:id="272"/>
      <w:bookmarkStart w:id="273" w:name="_Toc184313238"/>
      <w:bookmarkEnd w:id="273"/>
      <w:bookmarkStart w:id="274" w:name="_Toc184310278"/>
      <w:bookmarkEnd w:id="274"/>
      <w:bookmarkStart w:id="275" w:name="_Toc184310344"/>
      <w:bookmarkEnd w:id="275"/>
      <w:bookmarkStart w:id="276" w:name="_Toc184308104"/>
      <w:bookmarkEnd w:id="276"/>
      <w:bookmarkStart w:id="277" w:name="_Toc184313309"/>
      <w:bookmarkEnd w:id="277"/>
      <w:bookmarkStart w:id="278" w:name="_Toc184312138"/>
      <w:bookmarkEnd w:id="278"/>
      <w:bookmarkStart w:id="279" w:name="_Toc184314465"/>
      <w:bookmarkEnd w:id="279"/>
      <w:bookmarkStart w:id="280" w:name="_Toc184310341"/>
      <w:bookmarkEnd w:id="280"/>
      <w:bookmarkStart w:id="281" w:name="_Toc184308084"/>
      <w:bookmarkEnd w:id="281"/>
      <w:bookmarkStart w:id="282" w:name="_Toc184313304"/>
      <w:bookmarkEnd w:id="282"/>
      <w:bookmarkStart w:id="283" w:name="_Toc184308074"/>
      <w:bookmarkEnd w:id="283"/>
      <w:bookmarkStart w:id="284" w:name="_Toc184308057"/>
      <w:bookmarkEnd w:id="284"/>
      <w:bookmarkStart w:id="285" w:name="_Toc184310289"/>
      <w:bookmarkEnd w:id="285"/>
      <w:bookmarkStart w:id="286" w:name="_Toc184312096"/>
      <w:bookmarkEnd w:id="286"/>
      <w:bookmarkStart w:id="287" w:name="_Toc184312075"/>
      <w:bookmarkEnd w:id="287"/>
      <w:bookmarkStart w:id="288" w:name="_Toc184310333"/>
      <w:bookmarkEnd w:id="288"/>
      <w:bookmarkStart w:id="289" w:name="_Toc184314449"/>
      <w:bookmarkEnd w:id="289"/>
      <w:bookmarkStart w:id="290" w:name="_Toc184314425"/>
      <w:bookmarkEnd w:id="290"/>
      <w:bookmarkStart w:id="291" w:name="_Toc184314430"/>
      <w:bookmarkEnd w:id="291"/>
      <w:bookmarkStart w:id="292" w:name="_Toc184308082"/>
      <w:bookmarkEnd w:id="292"/>
      <w:bookmarkStart w:id="293" w:name="_Toc184313262"/>
      <w:bookmarkEnd w:id="293"/>
      <w:bookmarkStart w:id="294" w:name="_Toc184314470"/>
      <w:bookmarkEnd w:id="294"/>
      <w:bookmarkStart w:id="295" w:name="_Toc184312070"/>
      <w:bookmarkEnd w:id="295"/>
      <w:bookmarkStart w:id="296" w:name="_Toc184312126"/>
      <w:bookmarkEnd w:id="296"/>
      <w:bookmarkStart w:id="297" w:name="_Toc184308089"/>
      <w:bookmarkEnd w:id="297"/>
      <w:bookmarkStart w:id="298" w:name="_Toc184312108"/>
      <w:bookmarkEnd w:id="298"/>
      <w:bookmarkStart w:id="299" w:name="_Toc184313258"/>
      <w:bookmarkEnd w:id="299"/>
      <w:bookmarkStart w:id="300" w:name="_Toc184313283"/>
      <w:bookmarkEnd w:id="300"/>
      <w:bookmarkStart w:id="301" w:name="_Toc184310337"/>
      <w:bookmarkEnd w:id="301"/>
      <w:bookmarkStart w:id="302" w:name="_Toc184314410"/>
      <w:bookmarkEnd w:id="302"/>
      <w:bookmarkStart w:id="303" w:name="_Toc184314467"/>
      <w:bookmarkEnd w:id="303"/>
      <w:bookmarkStart w:id="304" w:name="_Toc184312120"/>
      <w:bookmarkEnd w:id="304"/>
      <w:bookmarkStart w:id="305" w:name="_Toc184308101"/>
      <w:bookmarkEnd w:id="305"/>
      <w:bookmarkStart w:id="306" w:name="_Toc184314420"/>
      <w:bookmarkEnd w:id="306"/>
      <w:bookmarkStart w:id="307" w:name="_Toc184314463"/>
      <w:bookmarkEnd w:id="307"/>
      <w:bookmarkStart w:id="308" w:name="_Toc184313286"/>
      <w:bookmarkEnd w:id="308"/>
      <w:bookmarkStart w:id="309" w:name="_Toc184310330"/>
      <w:bookmarkEnd w:id="309"/>
      <w:bookmarkStart w:id="310" w:name="_Toc184310329"/>
      <w:bookmarkEnd w:id="310"/>
      <w:bookmarkStart w:id="311" w:name="_Toc184314459"/>
      <w:bookmarkEnd w:id="311"/>
      <w:bookmarkStart w:id="312" w:name="_Toc184310281"/>
      <w:bookmarkEnd w:id="312"/>
      <w:bookmarkStart w:id="313" w:name="_Toc184314414"/>
      <w:bookmarkEnd w:id="313"/>
      <w:bookmarkStart w:id="314" w:name="_Toc184313289"/>
      <w:bookmarkEnd w:id="314"/>
      <w:bookmarkStart w:id="315" w:name="_Toc184314448"/>
      <w:bookmarkEnd w:id="315"/>
      <w:bookmarkStart w:id="316" w:name="_Toc184308098"/>
      <w:bookmarkEnd w:id="316"/>
      <w:bookmarkStart w:id="317" w:name="_Toc184313287"/>
      <w:bookmarkEnd w:id="317"/>
      <w:bookmarkStart w:id="318" w:name="_Toc184310342"/>
      <w:bookmarkEnd w:id="318"/>
      <w:bookmarkStart w:id="319" w:name="_Toc184308095"/>
      <w:bookmarkEnd w:id="319"/>
      <w:bookmarkStart w:id="320" w:name="_Toc184312121"/>
      <w:bookmarkEnd w:id="320"/>
      <w:bookmarkStart w:id="321" w:name="_Toc184313273"/>
      <w:bookmarkEnd w:id="321"/>
      <w:bookmarkStart w:id="322" w:name="_Toc184310339"/>
      <w:bookmarkEnd w:id="322"/>
      <w:bookmarkStart w:id="323" w:name="_Toc184313298"/>
      <w:bookmarkEnd w:id="323"/>
      <w:bookmarkStart w:id="324" w:name="_Toc184310277"/>
      <w:bookmarkEnd w:id="324"/>
      <w:bookmarkStart w:id="325" w:name="_Toc184313288"/>
      <w:bookmarkEnd w:id="325"/>
      <w:bookmarkStart w:id="326" w:name="_Toc184312098"/>
      <w:bookmarkEnd w:id="326"/>
      <w:bookmarkStart w:id="327" w:name="_Toc184310335"/>
      <w:bookmarkEnd w:id="327"/>
      <w:bookmarkStart w:id="328" w:name="_Toc184313296"/>
      <w:bookmarkEnd w:id="328"/>
      <w:bookmarkStart w:id="329" w:name="_Toc184312111"/>
      <w:bookmarkEnd w:id="329"/>
      <w:bookmarkStart w:id="330" w:name="_Toc184310312"/>
      <w:bookmarkEnd w:id="330"/>
      <w:bookmarkStart w:id="331" w:name="_Toc184308065"/>
      <w:bookmarkEnd w:id="331"/>
      <w:bookmarkStart w:id="332" w:name="_Toc184312123"/>
      <w:bookmarkEnd w:id="332"/>
      <w:bookmarkStart w:id="333" w:name="_Toc184314462"/>
      <w:bookmarkEnd w:id="333"/>
      <w:bookmarkStart w:id="334" w:name="_Toc184310310"/>
      <w:bookmarkEnd w:id="334"/>
      <w:bookmarkStart w:id="335" w:name="_Toc184310304"/>
      <w:bookmarkEnd w:id="335"/>
      <w:bookmarkStart w:id="336" w:name="_Toc184312074"/>
      <w:bookmarkEnd w:id="336"/>
      <w:bookmarkStart w:id="337" w:name="_Toc184312083"/>
      <w:bookmarkEnd w:id="337"/>
      <w:bookmarkStart w:id="338" w:name="_Toc184312124"/>
      <w:bookmarkEnd w:id="338"/>
      <w:bookmarkStart w:id="339" w:name="_Toc184314474"/>
      <w:bookmarkEnd w:id="339"/>
      <w:bookmarkStart w:id="340" w:name="_Toc184312102"/>
      <w:bookmarkEnd w:id="340"/>
      <w:bookmarkStart w:id="341" w:name="_Toc184312081"/>
      <w:bookmarkEnd w:id="341"/>
      <w:bookmarkStart w:id="342" w:name="_Toc184313301"/>
      <w:bookmarkEnd w:id="342"/>
      <w:bookmarkStart w:id="343" w:name="_Toc184312122"/>
      <w:bookmarkEnd w:id="343"/>
      <w:bookmarkStart w:id="344" w:name="_Toc184312082"/>
      <w:bookmarkEnd w:id="344"/>
      <w:bookmarkStart w:id="345" w:name="_Toc184314445"/>
      <w:bookmarkEnd w:id="345"/>
      <w:bookmarkStart w:id="346" w:name="_Toc184312079"/>
      <w:bookmarkEnd w:id="346"/>
      <w:bookmarkStart w:id="347" w:name="_Toc184314435"/>
      <w:bookmarkEnd w:id="347"/>
      <w:bookmarkStart w:id="348" w:name="_Toc184313252"/>
      <w:bookmarkEnd w:id="348"/>
      <w:bookmarkStart w:id="349" w:name="_Toc184313293"/>
      <w:bookmarkEnd w:id="349"/>
      <w:bookmarkStart w:id="350" w:name="_Toc184308042"/>
      <w:bookmarkEnd w:id="350"/>
      <w:bookmarkStart w:id="351" w:name="_Toc184308102"/>
      <w:bookmarkEnd w:id="351"/>
      <w:bookmarkStart w:id="352" w:name="_Toc184308068"/>
      <w:bookmarkEnd w:id="352"/>
      <w:bookmarkStart w:id="353" w:name="_Toc184312094"/>
      <w:bookmarkEnd w:id="353"/>
      <w:bookmarkStart w:id="354" w:name="_Toc184313255"/>
      <w:bookmarkEnd w:id="354"/>
      <w:bookmarkStart w:id="355" w:name="_Toc184313276"/>
      <w:bookmarkEnd w:id="355"/>
      <w:bookmarkStart w:id="356" w:name="_Toc184314417"/>
      <w:bookmarkEnd w:id="356"/>
      <w:bookmarkStart w:id="357" w:name="_Toc184314456"/>
      <w:bookmarkEnd w:id="357"/>
      <w:bookmarkStart w:id="358" w:name="_Toc184314428"/>
      <w:bookmarkEnd w:id="358"/>
      <w:bookmarkStart w:id="359" w:name="_Toc184308092"/>
      <w:bookmarkEnd w:id="359"/>
      <w:bookmarkStart w:id="360" w:name="_Toc184310290"/>
      <w:bookmarkEnd w:id="360"/>
      <w:bookmarkStart w:id="361" w:name="_Toc184313240"/>
      <w:bookmarkEnd w:id="361"/>
      <w:bookmarkStart w:id="362" w:name="_Toc184314434"/>
      <w:bookmarkEnd w:id="362"/>
      <w:bookmarkStart w:id="363" w:name="_Toc184314453"/>
      <w:bookmarkEnd w:id="363"/>
      <w:bookmarkStart w:id="364" w:name="_Toc184314413"/>
      <w:bookmarkEnd w:id="364"/>
      <w:bookmarkStart w:id="365" w:name="_Toc184314461"/>
      <w:bookmarkEnd w:id="365"/>
      <w:bookmarkStart w:id="366" w:name="_Toc184312067"/>
      <w:bookmarkEnd w:id="366"/>
      <w:bookmarkStart w:id="367" w:name="_Toc184312087"/>
      <w:bookmarkEnd w:id="367"/>
      <w:bookmarkStart w:id="368" w:name="_Toc184310282"/>
      <w:bookmarkEnd w:id="368"/>
      <w:bookmarkStart w:id="369" w:name="_Toc184308060"/>
      <w:bookmarkEnd w:id="369"/>
      <w:bookmarkStart w:id="370" w:name="_Toc184312117"/>
      <w:bookmarkEnd w:id="370"/>
      <w:bookmarkStart w:id="371" w:name="_Toc184312109"/>
      <w:bookmarkEnd w:id="371"/>
      <w:bookmarkStart w:id="372" w:name="_Toc184314469"/>
      <w:bookmarkEnd w:id="372"/>
      <w:bookmarkStart w:id="373" w:name="_Toc184314457"/>
      <w:bookmarkEnd w:id="373"/>
      <w:bookmarkStart w:id="374" w:name="_Toc184308070"/>
      <w:bookmarkEnd w:id="374"/>
      <w:bookmarkStart w:id="375" w:name="_Toc184312127"/>
      <w:bookmarkEnd w:id="375"/>
      <w:bookmarkStart w:id="376" w:name="_Toc184314437"/>
      <w:bookmarkEnd w:id="376"/>
      <w:bookmarkStart w:id="377" w:name="_Toc184310286"/>
      <w:bookmarkEnd w:id="377"/>
      <w:bookmarkStart w:id="378" w:name="_Toc184308086"/>
      <w:bookmarkEnd w:id="378"/>
      <w:bookmarkStart w:id="379" w:name="_Toc184313266"/>
      <w:bookmarkEnd w:id="379"/>
      <w:bookmarkStart w:id="380" w:name="_Toc184313307"/>
      <w:bookmarkEnd w:id="380"/>
      <w:bookmarkStart w:id="381" w:name="_Toc184308049"/>
      <w:bookmarkEnd w:id="381"/>
      <w:bookmarkStart w:id="382" w:name="_Toc184310343"/>
      <w:bookmarkEnd w:id="382"/>
      <w:bookmarkStart w:id="383" w:name="_Toc184308079"/>
      <w:bookmarkEnd w:id="383"/>
      <w:bookmarkStart w:id="384" w:name="_Toc184308105"/>
      <w:bookmarkEnd w:id="384"/>
      <w:bookmarkStart w:id="385" w:name="_Toc184310323"/>
      <w:bookmarkEnd w:id="385"/>
      <w:bookmarkStart w:id="386" w:name="_Toc184312118"/>
      <w:bookmarkEnd w:id="386"/>
      <w:bookmarkStart w:id="387" w:name="_Toc184312099"/>
      <w:bookmarkEnd w:id="387"/>
      <w:bookmarkStart w:id="388" w:name="_Toc184308096"/>
      <w:bookmarkEnd w:id="388"/>
      <w:bookmarkStart w:id="389" w:name="_Toc184312139"/>
      <w:bookmarkEnd w:id="389"/>
      <w:bookmarkStart w:id="390" w:name="_Toc184314440"/>
      <w:bookmarkEnd w:id="390"/>
      <w:bookmarkStart w:id="391" w:name="_Toc184310325"/>
      <w:bookmarkEnd w:id="391"/>
      <w:bookmarkStart w:id="392" w:name="_Toc184313270"/>
      <w:bookmarkEnd w:id="392"/>
      <w:bookmarkStart w:id="393" w:name="_Toc184310273"/>
      <w:bookmarkEnd w:id="393"/>
      <w:bookmarkStart w:id="394" w:name="_Toc184310302"/>
      <w:bookmarkEnd w:id="394"/>
      <w:bookmarkStart w:id="395" w:name="_Toc184310311"/>
      <w:bookmarkEnd w:id="395"/>
      <w:bookmarkStart w:id="396" w:name="_Toc184314450"/>
      <w:bookmarkEnd w:id="396"/>
      <w:bookmarkStart w:id="397" w:name="_Toc184314429"/>
      <w:bookmarkEnd w:id="397"/>
      <w:r>
        <w:rPr>
          <w:rFonts w:hint="eastAsia" w:ascii="宋体" w:hAnsi="宋体" w:eastAsia="宋体" w:cs="宋体"/>
          <w:b/>
          <w:color w:val="auto"/>
          <w:sz w:val="36"/>
          <w:szCs w:val="36"/>
          <w:highlight w:val="none"/>
        </w:rPr>
        <w:t>评标办法</w:t>
      </w:r>
    </w:p>
    <w:p w14:paraId="66251429">
      <w:pPr>
        <w:jc w:val="center"/>
        <w:rPr>
          <w:rFonts w:hint="eastAsia" w:ascii="宋体" w:hAnsi="宋体" w:eastAsia="宋体" w:cs="宋体"/>
          <w:color w:val="auto"/>
          <w:highlight w:val="none"/>
        </w:rPr>
      </w:pPr>
      <w:r>
        <w:rPr>
          <w:rFonts w:hint="eastAsia" w:ascii="宋体" w:hAnsi="宋体" w:eastAsia="宋体" w:cs="宋体"/>
          <w:b/>
          <w:color w:val="auto"/>
          <w:sz w:val="32"/>
          <w:szCs w:val="20"/>
          <w:highlight w:val="none"/>
        </w:rPr>
        <w:t>评标办法前附表</w:t>
      </w:r>
    </w:p>
    <w:tbl>
      <w:tblPr>
        <w:tblStyle w:val="62"/>
        <w:tblpPr w:leftFromText="180" w:rightFromText="180" w:vertAnchor="text" w:horzAnchor="page" w:tblpXSpec="center" w:tblpY="126"/>
        <w:tblW w:w="10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5572"/>
        <w:gridCol w:w="852"/>
        <w:gridCol w:w="1178"/>
        <w:gridCol w:w="1725"/>
      </w:tblGrid>
      <w:tr w14:paraId="1FC8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89" w:type="dxa"/>
            <w:vAlign w:val="center"/>
          </w:tcPr>
          <w:p w14:paraId="02E2C037">
            <w:pPr>
              <w:jc w:val="center"/>
              <w:outlineLvl w:val="0"/>
              <w:rPr>
                <w:rFonts w:hint="eastAsia" w:ascii="宋体" w:hAnsi="宋体" w:cs="宋体"/>
                <w:bCs/>
                <w:color w:val="auto"/>
                <w:sz w:val="24"/>
                <w:highlight w:val="none"/>
              </w:rPr>
            </w:pPr>
            <w:r>
              <w:rPr>
                <w:rFonts w:hint="eastAsia" w:ascii="宋体" w:hAnsi="宋体" w:cs="宋体"/>
                <w:bCs/>
                <w:color w:val="auto"/>
                <w:sz w:val="24"/>
                <w:highlight w:val="none"/>
              </w:rPr>
              <w:t>序号</w:t>
            </w:r>
          </w:p>
        </w:tc>
        <w:tc>
          <w:tcPr>
            <w:tcW w:w="5572" w:type="dxa"/>
            <w:vAlign w:val="center"/>
          </w:tcPr>
          <w:p w14:paraId="4FF4B354">
            <w:pPr>
              <w:jc w:val="center"/>
              <w:outlineLvl w:val="0"/>
              <w:rPr>
                <w:rFonts w:hint="eastAsia" w:ascii="宋体" w:hAnsi="宋体" w:cs="宋体"/>
                <w:bCs/>
                <w:color w:val="auto"/>
                <w:sz w:val="24"/>
                <w:highlight w:val="none"/>
              </w:rPr>
            </w:pPr>
            <w:r>
              <w:rPr>
                <w:rFonts w:hint="eastAsia" w:ascii="宋体" w:hAnsi="宋体" w:cs="宋体"/>
                <w:bCs/>
                <w:color w:val="auto"/>
                <w:sz w:val="24"/>
                <w:highlight w:val="none"/>
              </w:rPr>
              <w:t>评标标准</w:t>
            </w:r>
          </w:p>
        </w:tc>
        <w:tc>
          <w:tcPr>
            <w:tcW w:w="852" w:type="dxa"/>
            <w:vAlign w:val="center"/>
          </w:tcPr>
          <w:p w14:paraId="799083F1">
            <w:pPr>
              <w:jc w:val="center"/>
              <w:outlineLvl w:val="0"/>
              <w:rPr>
                <w:rFonts w:hint="eastAsia" w:ascii="宋体" w:hAnsi="宋体" w:cs="宋体"/>
                <w:bCs/>
                <w:color w:val="auto"/>
                <w:sz w:val="24"/>
                <w:highlight w:val="none"/>
              </w:rPr>
            </w:pPr>
            <w:r>
              <w:rPr>
                <w:rFonts w:hint="eastAsia" w:ascii="宋体" w:hAnsi="宋体" w:cs="宋体"/>
                <w:bCs/>
                <w:color w:val="auto"/>
                <w:sz w:val="24"/>
                <w:highlight w:val="none"/>
              </w:rPr>
              <w:t>权重</w:t>
            </w:r>
          </w:p>
        </w:tc>
        <w:tc>
          <w:tcPr>
            <w:tcW w:w="1178" w:type="dxa"/>
            <w:vAlign w:val="center"/>
          </w:tcPr>
          <w:p w14:paraId="3822B102">
            <w:pPr>
              <w:jc w:val="center"/>
              <w:outlineLvl w:val="0"/>
              <w:rPr>
                <w:rFonts w:hint="eastAsia" w:ascii="宋体" w:hAnsi="宋体" w:cs="宋体"/>
                <w:bCs/>
                <w:color w:val="auto"/>
                <w:sz w:val="24"/>
                <w:highlight w:val="none"/>
              </w:rPr>
            </w:pPr>
            <w:r>
              <w:rPr>
                <w:rFonts w:hint="eastAsia" w:ascii="宋体" w:hAnsi="宋体" w:cs="宋体"/>
                <w:bCs/>
                <w:color w:val="auto"/>
                <w:sz w:val="24"/>
                <w:highlight w:val="none"/>
              </w:rPr>
              <w:t>主观分/客观分属性</w:t>
            </w:r>
          </w:p>
        </w:tc>
        <w:tc>
          <w:tcPr>
            <w:tcW w:w="1725" w:type="dxa"/>
          </w:tcPr>
          <w:p w14:paraId="25ED6854">
            <w:pPr>
              <w:outlineLvl w:val="0"/>
              <w:rPr>
                <w:rFonts w:hint="eastAsia" w:ascii="宋体" w:hAnsi="宋体" w:cs="宋体"/>
                <w:bCs/>
                <w:color w:val="auto"/>
                <w:sz w:val="24"/>
                <w:highlight w:val="none"/>
              </w:rPr>
            </w:pPr>
            <w:r>
              <w:rPr>
                <w:rFonts w:hint="eastAsia" w:ascii="宋体" w:hAnsi="宋体" w:cs="宋体"/>
                <w:bCs/>
                <w:color w:val="auto"/>
                <w:sz w:val="24"/>
                <w:highlight w:val="none"/>
              </w:rPr>
              <w:t>投标文件中评标标准相应的商务技术资料目录</w:t>
            </w:r>
            <w:r>
              <w:rPr>
                <w:rFonts w:hint="eastAsia" w:ascii="宋体" w:hAnsi="宋体" w:cs="宋体"/>
                <w:color w:val="auto"/>
                <w:sz w:val="24"/>
                <w:highlight w:val="none"/>
                <w:shd w:val="clear" w:color="auto" w:fill="FFFFFF"/>
              </w:rPr>
              <w:t> *</w:t>
            </w:r>
          </w:p>
        </w:tc>
      </w:tr>
      <w:tr w14:paraId="17DD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9" w:type="dxa"/>
            <w:vAlign w:val="center"/>
          </w:tcPr>
          <w:p w14:paraId="5C834B1F">
            <w:pPr>
              <w:spacing w:line="360" w:lineRule="auto"/>
              <w:jc w:val="center"/>
              <w:outlineLvl w:val="0"/>
              <w:rPr>
                <w:rFonts w:hint="eastAsia" w:ascii="宋体" w:hAnsi="宋体" w:cs="宋体"/>
                <w:color w:val="auto"/>
                <w:sz w:val="24"/>
                <w:highlight w:val="none"/>
              </w:rPr>
            </w:pPr>
            <w:r>
              <w:rPr>
                <w:rFonts w:hint="eastAsia" w:ascii="宋体" w:hAnsi="宋体" w:cs="宋体"/>
                <w:color w:val="auto"/>
                <w:sz w:val="24"/>
                <w:highlight w:val="none"/>
              </w:rPr>
              <w:t>1</w:t>
            </w:r>
          </w:p>
        </w:tc>
        <w:tc>
          <w:tcPr>
            <w:tcW w:w="5572" w:type="dxa"/>
            <w:vAlign w:val="center"/>
          </w:tcPr>
          <w:p w14:paraId="33E5C705">
            <w:pPr>
              <w:jc w:val="left"/>
              <w:rPr>
                <w:rFonts w:hint="eastAsia" w:ascii="宋体" w:hAnsi="宋体" w:cs="宋体"/>
                <w:color w:val="auto"/>
                <w:kern w:val="0"/>
                <w:sz w:val="24"/>
                <w:highlight w:val="none"/>
              </w:rPr>
            </w:pPr>
            <w:r>
              <w:rPr>
                <w:rFonts w:hint="eastAsia" w:ascii="宋体" w:hAnsi="宋体" w:cs="宋体"/>
                <w:color w:val="auto"/>
                <w:kern w:val="0"/>
                <w:sz w:val="24"/>
                <w:highlight w:val="none"/>
              </w:rPr>
              <w:t>符合明确指标参数得12分：标有“★”的，属负偏离或缺漏项的每项扣2分；未标有“★”的，属负偏离或缺漏项的每项扣1分；扣完为止。</w:t>
            </w:r>
          </w:p>
          <w:p w14:paraId="1110CDBB">
            <w:pPr>
              <w:jc w:val="left"/>
              <w:rPr>
                <w:rFonts w:hint="eastAsia" w:ascii="宋体" w:hAnsi="宋体" w:cs="宋体"/>
                <w:color w:val="auto"/>
                <w:sz w:val="24"/>
                <w:highlight w:val="none"/>
              </w:rPr>
            </w:pPr>
            <w:r>
              <w:rPr>
                <w:rFonts w:hint="eastAsia" w:ascii="宋体" w:hAnsi="宋体" w:cs="宋体"/>
                <w:color w:val="auto"/>
                <w:kern w:val="0"/>
                <w:sz w:val="24"/>
                <w:highlight w:val="none"/>
              </w:rPr>
              <w:t>说明：若标有“★”的和未标有“★”的负偏离项共达到5个及以上的会导致投标无效，标有▲的指标存在负偏离的会导致投标无效。</w:t>
            </w:r>
          </w:p>
        </w:tc>
        <w:tc>
          <w:tcPr>
            <w:tcW w:w="852" w:type="dxa"/>
            <w:vAlign w:val="center"/>
          </w:tcPr>
          <w:p w14:paraId="4CB13A47">
            <w:pPr>
              <w:jc w:val="center"/>
              <w:rPr>
                <w:rFonts w:ascii="宋体" w:hAnsi="宋体" w:cs="宋体"/>
                <w:color w:val="auto"/>
                <w:sz w:val="24"/>
                <w:highlight w:val="none"/>
              </w:rPr>
            </w:pPr>
            <w:r>
              <w:rPr>
                <w:rFonts w:hint="eastAsia" w:ascii="宋体" w:hAnsi="宋体" w:cs="宋体"/>
                <w:color w:val="auto"/>
                <w:sz w:val="24"/>
                <w:highlight w:val="none"/>
              </w:rPr>
              <w:t>12</w:t>
            </w:r>
          </w:p>
        </w:tc>
        <w:tc>
          <w:tcPr>
            <w:tcW w:w="1178" w:type="dxa"/>
            <w:vAlign w:val="center"/>
          </w:tcPr>
          <w:p w14:paraId="46158A3D">
            <w:pPr>
              <w:spacing w:line="360" w:lineRule="auto"/>
              <w:jc w:val="center"/>
              <w:outlineLvl w:val="0"/>
              <w:rPr>
                <w:rFonts w:hint="eastAsia" w:ascii="宋体" w:hAnsi="宋体" w:eastAsia="宋体" w:cs="宋体"/>
                <w:color w:val="auto"/>
                <w:sz w:val="24"/>
                <w:highlight w:val="none"/>
                <w:lang w:eastAsia="zh-CN"/>
              </w:rPr>
            </w:pPr>
            <w:r>
              <w:rPr>
                <w:rFonts w:hint="eastAsia" w:ascii="宋体" w:hAnsi="宋体" w:cs="宋体"/>
                <w:color w:val="auto"/>
                <w:sz w:val="24"/>
                <w:highlight w:val="none"/>
              </w:rPr>
              <w:t>客观</w:t>
            </w:r>
          </w:p>
        </w:tc>
        <w:tc>
          <w:tcPr>
            <w:tcW w:w="1725" w:type="dxa"/>
            <w:vAlign w:val="center"/>
          </w:tcPr>
          <w:p w14:paraId="436514D6">
            <w:pPr>
              <w:spacing w:line="360" w:lineRule="auto"/>
              <w:jc w:val="center"/>
              <w:outlineLvl w:val="0"/>
              <w:rPr>
                <w:rFonts w:hint="eastAsia" w:ascii="宋体" w:hAnsi="宋体" w:cs="宋体"/>
                <w:color w:val="auto"/>
                <w:sz w:val="24"/>
                <w:highlight w:val="none"/>
              </w:rPr>
            </w:pPr>
          </w:p>
        </w:tc>
      </w:tr>
      <w:tr w14:paraId="03D8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89" w:type="dxa"/>
            <w:vAlign w:val="center"/>
          </w:tcPr>
          <w:p w14:paraId="19DF0B2B">
            <w:pPr>
              <w:spacing w:line="360" w:lineRule="auto"/>
              <w:jc w:val="center"/>
              <w:outlineLvl w:val="0"/>
              <w:rPr>
                <w:rFonts w:hint="eastAsia" w:ascii="宋体" w:hAnsi="宋体" w:cs="宋体"/>
                <w:color w:val="auto"/>
                <w:sz w:val="24"/>
                <w:highlight w:val="none"/>
              </w:rPr>
            </w:pPr>
            <w:r>
              <w:rPr>
                <w:rFonts w:hint="eastAsia" w:ascii="宋体" w:hAnsi="宋体" w:cs="宋体"/>
                <w:color w:val="auto"/>
                <w:sz w:val="24"/>
                <w:highlight w:val="none"/>
              </w:rPr>
              <w:t>2</w:t>
            </w:r>
          </w:p>
        </w:tc>
        <w:tc>
          <w:tcPr>
            <w:tcW w:w="5572" w:type="dxa"/>
            <w:vAlign w:val="center"/>
          </w:tcPr>
          <w:p w14:paraId="1CBC2D64">
            <w:pPr>
              <w:jc w:val="left"/>
              <w:rPr>
                <w:rFonts w:hint="eastAsia" w:ascii="宋体" w:hAnsi="宋体" w:cs="宋体"/>
                <w:color w:val="auto"/>
                <w:kern w:val="0"/>
                <w:sz w:val="24"/>
                <w:highlight w:val="none"/>
              </w:rPr>
            </w:pPr>
            <w:r>
              <w:rPr>
                <w:rFonts w:hint="eastAsia" w:ascii="宋体" w:hAnsi="宋体" w:cs="宋体"/>
                <w:color w:val="auto"/>
                <w:kern w:val="0"/>
                <w:sz w:val="24"/>
                <w:highlight w:val="none"/>
                <w:lang w:eastAsia="zh-Hans"/>
              </w:rPr>
              <w:t>对性能指标、技术参数属正偏或高配的、有先进程度的正偏离每项加</w:t>
            </w:r>
            <w:r>
              <w:rPr>
                <w:rFonts w:hint="eastAsia" w:ascii="宋体" w:hAnsi="宋体" w:cs="宋体"/>
                <w:color w:val="auto"/>
                <w:kern w:val="0"/>
                <w:sz w:val="24"/>
                <w:highlight w:val="none"/>
              </w:rPr>
              <w:t>1</w:t>
            </w:r>
            <w:r>
              <w:rPr>
                <w:rFonts w:hint="eastAsia" w:ascii="宋体" w:hAnsi="宋体" w:cs="宋体"/>
                <w:color w:val="auto"/>
                <w:kern w:val="0"/>
                <w:sz w:val="24"/>
                <w:highlight w:val="none"/>
                <w:lang w:eastAsia="zh-Hans"/>
              </w:rPr>
              <w:t>分，</w:t>
            </w:r>
            <w:r>
              <w:rPr>
                <w:rFonts w:hint="eastAsia" w:ascii="宋体" w:hAnsi="宋体" w:cs="宋体"/>
                <w:color w:val="auto"/>
                <w:kern w:val="0"/>
                <w:sz w:val="24"/>
                <w:highlight w:val="none"/>
              </w:rPr>
              <w:t>最高得2分。</w:t>
            </w:r>
          </w:p>
          <w:p w14:paraId="7A2614B7">
            <w:pPr>
              <w:jc w:val="left"/>
              <w:rPr>
                <w:rFonts w:hint="eastAsia" w:ascii="宋体" w:hAnsi="宋体" w:cs="宋体"/>
                <w:color w:val="auto"/>
                <w:kern w:val="0"/>
                <w:sz w:val="24"/>
                <w:highlight w:val="none"/>
                <w:lang w:eastAsia="zh-Hans"/>
              </w:rPr>
            </w:pPr>
            <w:r>
              <w:rPr>
                <w:rFonts w:hint="eastAsia" w:ascii="宋体" w:hAnsi="宋体" w:cs="宋体"/>
                <w:color w:val="auto"/>
                <w:kern w:val="0"/>
                <w:sz w:val="24"/>
                <w:highlight w:val="none"/>
                <w:lang w:eastAsia="zh-Hans"/>
              </w:rPr>
              <w:t>无实质性意义的正偏离不加分。</w:t>
            </w:r>
          </w:p>
        </w:tc>
        <w:tc>
          <w:tcPr>
            <w:tcW w:w="852" w:type="dxa"/>
            <w:vAlign w:val="center"/>
          </w:tcPr>
          <w:p w14:paraId="21F5A3F2">
            <w:pPr>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1178" w:type="dxa"/>
            <w:vAlign w:val="center"/>
          </w:tcPr>
          <w:p w14:paraId="679F514E">
            <w:pPr>
              <w:spacing w:line="360" w:lineRule="auto"/>
              <w:jc w:val="center"/>
              <w:outlineLvl w:val="0"/>
              <w:rPr>
                <w:rFonts w:hint="eastAsia" w:ascii="宋体" w:hAnsi="宋体" w:cs="宋体"/>
                <w:color w:val="auto"/>
                <w:sz w:val="24"/>
                <w:highlight w:val="none"/>
              </w:rPr>
            </w:pPr>
            <w:r>
              <w:rPr>
                <w:rFonts w:hint="eastAsia" w:ascii="宋体" w:hAnsi="宋体" w:cs="宋体"/>
                <w:color w:val="auto"/>
                <w:sz w:val="24"/>
                <w:highlight w:val="none"/>
              </w:rPr>
              <w:t>客观</w:t>
            </w:r>
          </w:p>
        </w:tc>
        <w:tc>
          <w:tcPr>
            <w:tcW w:w="1725" w:type="dxa"/>
            <w:vAlign w:val="center"/>
          </w:tcPr>
          <w:p w14:paraId="65FF07BB">
            <w:pPr>
              <w:spacing w:line="360" w:lineRule="auto"/>
              <w:jc w:val="center"/>
              <w:outlineLvl w:val="0"/>
              <w:rPr>
                <w:rFonts w:hint="eastAsia" w:ascii="宋体" w:hAnsi="宋体" w:cs="宋体"/>
                <w:color w:val="auto"/>
                <w:sz w:val="24"/>
                <w:highlight w:val="none"/>
              </w:rPr>
            </w:pPr>
          </w:p>
        </w:tc>
      </w:tr>
      <w:tr w14:paraId="7E29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89" w:type="dxa"/>
            <w:vAlign w:val="center"/>
          </w:tcPr>
          <w:p w14:paraId="25DD420B">
            <w:pPr>
              <w:spacing w:line="360" w:lineRule="auto"/>
              <w:jc w:val="center"/>
              <w:outlineLvl w:val="0"/>
              <w:rPr>
                <w:rFonts w:hint="eastAsia" w:ascii="宋体" w:hAnsi="宋体" w:cs="宋体"/>
                <w:color w:val="auto"/>
                <w:sz w:val="24"/>
                <w:highlight w:val="none"/>
              </w:rPr>
            </w:pPr>
            <w:r>
              <w:rPr>
                <w:rFonts w:hint="eastAsia" w:ascii="宋体" w:hAnsi="宋体" w:cs="宋体"/>
                <w:color w:val="auto"/>
                <w:sz w:val="24"/>
                <w:highlight w:val="none"/>
              </w:rPr>
              <w:t>3</w:t>
            </w:r>
          </w:p>
        </w:tc>
        <w:tc>
          <w:tcPr>
            <w:tcW w:w="5572" w:type="dxa"/>
            <w:vAlign w:val="center"/>
          </w:tcPr>
          <w:p w14:paraId="1C235D04">
            <w:pPr>
              <w:jc w:val="left"/>
              <w:rPr>
                <w:color w:val="auto"/>
                <w:highlight w:val="none"/>
              </w:rPr>
            </w:pPr>
            <w:r>
              <w:rPr>
                <w:rFonts w:hint="eastAsia" w:ascii="宋体" w:hAnsi="宋体" w:cs="宋体"/>
                <w:color w:val="auto"/>
                <w:kern w:val="0"/>
                <w:sz w:val="24"/>
                <w:highlight w:val="none"/>
                <w:lang w:eastAsia="zh-Hans"/>
              </w:rPr>
              <w:t>根据项目服务期整体要求，提供详细的进度安排。进度计划内容详细、合理可行的</w:t>
            </w:r>
          </w:p>
          <w:p w14:paraId="23C0FE8F">
            <w:pPr>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进度安排</w:t>
            </w:r>
            <w:r>
              <w:rPr>
                <w:rFonts w:hint="eastAsia" w:ascii="宋体" w:hAnsi="宋体" w:cs="宋体"/>
                <w:color w:val="auto"/>
                <w:sz w:val="24"/>
                <w:highlight w:val="none"/>
              </w:rPr>
              <w:t>合理性都非常好的得</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分</w:t>
            </w:r>
            <w:r>
              <w:rPr>
                <w:rFonts w:hint="eastAsia" w:ascii="宋体" w:hAnsi="宋体" w:eastAsia="宋体" w:cs="宋体"/>
                <w:color w:val="auto"/>
                <w:sz w:val="24"/>
                <w:szCs w:val="24"/>
                <w:highlight w:val="none"/>
                <w:lang w:val="en-US" w:eastAsia="zh-CN"/>
              </w:rPr>
              <w:t>；</w:t>
            </w:r>
          </w:p>
          <w:p w14:paraId="3368230F">
            <w:pPr>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进度安排</w:t>
            </w:r>
            <w:r>
              <w:rPr>
                <w:rFonts w:hint="eastAsia" w:ascii="宋体" w:hAnsi="宋体" w:cs="宋体"/>
                <w:color w:val="auto"/>
                <w:sz w:val="24"/>
                <w:highlight w:val="none"/>
              </w:rPr>
              <w:t>合理性都较好的得</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w:t>
            </w:r>
            <w:r>
              <w:rPr>
                <w:rFonts w:hint="eastAsia" w:ascii="宋体" w:hAnsi="宋体" w:eastAsia="宋体" w:cs="宋体"/>
                <w:color w:val="auto"/>
                <w:sz w:val="24"/>
                <w:szCs w:val="24"/>
                <w:highlight w:val="none"/>
                <w:lang w:val="en-US" w:eastAsia="zh-CN"/>
              </w:rPr>
              <w:t>；</w:t>
            </w:r>
          </w:p>
          <w:p w14:paraId="0A2CF71A">
            <w:pPr>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进度安排</w:t>
            </w:r>
            <w:r>
              <w:rPr>
                <w:rFonts w:hint="eastAsia" w:ascii="宋体" w:hAnsi="宋体" w:cs="宋体"/>
                <w:color w:val="auto"/>
                <w:sz w:val="24"/>
                <w:highlight w:val="none"/>
              </w:rPr>
              <w:t>合理性都有所欠缺得1分</w:t>
            </w:r>
            <w:r>
              <w:rPr>
                <w:rFonts w:hint="eastAsia" w:ascii="宋体" w:hAnsi="宋体" w:eastAsia="宋体" w:cs="宋体"/>
                <w:color w:val="auto"/>
                <w:sz w:val="24"/>
                <w:szCs w:val="24"/>
                <w:highlight w:val="none"/>
                <w:lang w:val="en-US" w:eastAsia="zh-CN"/>
              </w:rPr>
              <w:t>；</w:t>
            </w:r>
          </w:p>
          <w:p w14:paraId="343B744B">
            <w:pPr>
              <w:jc w:val="left"/>
              <w:rPr>
                <w:rFonts w:hint="eastAsia" w:ascii="宋体" w:hAnsi="宋体" w:cs="宋体"/>
                <w:color w:val="auto"/>
                <w:kern w:val="0"/>
                <w:sz w:val="24"/>
                <w:highlight w:val="none"/>
                <w:lang w:eastAsia="zh-Hans"/>
              </w:rPr>
            </w:pPr>
            <w:r>
              <w:rPr>
                <w:rFonts w:hint="eastAsia" w:ascii="宋体" w:hAnsi="宋体" w:eastAsia="宋体" w:cs="宋体"/>
                <w:color w:val="auto"/>
                <w:sz w:val="24"/>
                <w:szCs w:val="24"/>
                <w:highlight w:val="none"/>
                <w:lang w:val="en-US" w:eastAsia="zh-CN"/>
              </w:rPr>
              <w:t>未提供本项内容的本项不得分。</w:t>
            </w:r>
          </w:p>
        </w:tc>
        <w:tc>
          <w:tcPr>
            <w:tcW w:w="852" w:type="dxa"/>
            <w:vAlign w:val="center"/>
          </w:tcPr>
          <w:p w14:paraId="67E921FB">
            <w:pPr>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5</w:t>
            </w:r>
          </w:p>
        </w:tc>
        <w:tc>
          <w:tcPr>
            <w:tcW w:w="1178" w:type="dxa"/>
            <w:vAlign w:val="center"/>
          </w:tcPr>
          <w:p w14:paraId="75C997FC">
            <w:pPr>
              <w:spacing w:line="360" w:lineRule="auto"/>
              <w:jc w:val="center"/>
              <w:outlineLvl w:val="0"/>
              <w:rPr>
                <w:rFonts w:hint="eastAsia" w:ascii="宋体" w:hAnsi="宋体" w:cs="宋体"/>
                <w:color w:val="auto"/>
                <w:sz w:val="24"/>
                <w:highlight w:val="none"/>
              </w:rPr>
            </w:pPr>
            <w:r>
              <w:rPr>
                <w:rFonts w:hint="eastAsia" w:ascii="宋体" w:hAnsi="宋体" w:cs="宋体"/>
                <w:color w:val="auto"/>
                <w:sz w:val="24"/>
                <w:highlight w:val="none"/>
              </w:rPr>
              <w:t>主观</w:t>
            </w:r>
          </w:p>
        </w:tc>
        <w:tc>
          <w:tcPr>
            <w:tcW w:w="1725" w:type="dxa"/>
            <w:vAlign w:val="center"/>
          </w:tcPr>
          <w:p w14:paraId="51D89DC6">
            <w:pPr>
              <w:spacing w:line="360" w:lineRule="auto"/>
              <w:jc w:val="center"/>
              <w:outlineLvl w:val="0"/>
              <w:rPr>
                <w:rFonts w:hint="eastAsia" w:ascii="宋体" w:hAnsi="宋体" w:cs="宋体"/>
                <w:color w:val="auto"/>
                <w:sz w:val="24"/>
                <w:highlight w:val="none"/>
              </w:rPr>
            </w:pPr>
          </w:p>
        </w:tc>
      </w:tr>
      <w:tr w14:paraId="3D51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89" w:type="dxa"/>
            <w:vAlign w:val="center"/>
          </w:tcPr>
          <w:p w14:paraId="1DCF50CA">
            <w:pPr>
              <w:spacing w:line="360" w:lineRule="auto"/>
              <w:jc w:val="center"/>
              <w:outlineLvl w:val="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4</w:t>
            </w:r>
          </w:p>
        </w:tc>
        <w:tc>
          <w:tcPr>
            <w:tcW w:w="5572" w:type="dxa"/>
            <w:vAlign w:val="center"/>
          </w:tcPr>
          <w:p w14:paraId="355B16A5">
            <w:pPr>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eastAsia="zh-Hans"/>
              </w:rPr>
              <w:t>本项目为系统集成项目，以最终系统运行可靠、稳定、高效、方便和安全为最终目的。投标人应提供所涉及所有设备（含招标设备和集成实施所需的所有专业线缆，包括各类视音频线、光纤）的运输、集成、安装、线路连接实施、调试。本需求书描述的设备及设备参数指标应视为保证系统运行的最低要求，投标人可根据自身系统集成方案，在满足最低要求的基础上自行完善补充</w:t>
            </w:r>
            <w:r>
              <w:rPr>
                <w:rFonts w:hint="eastAsia" w:ascii="宋体" w:hAnsi="宋体" w:cs="宋体"/>
                <w:color w:val="auto"/>
                <w:kern w:val="0"/>
                <w:sz w:val="24"/>
                <w:highlight w:val="none"/>
              </w:rPr>
              <w:t>，最高得</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分</w:t>
            </w:r>
            <w:r>
              <w:rPr>
                <w:rFonts w:hint="eastAsia" w:ascii="宋体" w:hAnsi="宋体" w:cs="宋体"/>
                <w:color w:val="auto"/>
                <w:kern w:val="0"/>
                <w:sz w:val="24"/>
                <w:highlight w:val="none"/>
                <w:lang w:eastAsia="zh-CN"/>
              </w:rPr>
              <w:t>。</w:t>
            </w:r>
          </w:p>
        </w:tc>
        <w:tc>
          <w:tcPr>
            <w:tcW w:w="852" w:type="dxa"/>
            <w:vAlign w:val="center"/>
          </w:tcPr>
          <w:p w14:paraId="028099CD">
            <w:pPr>
              <w:spacing w:line="360" w:lineRule="auto"/>
              <w:ind w:firstLine="120" w:firstLineChars="50"/>
              <w:jc w:val="center"/>
              <w:outlineLvl w:val="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4</w:t>
            </w:r>
          </w:p>
        </w:tc>
        <w:tc>
          <w:tcPr>
            <w:tcW w:w="1178" w:type="dxa"/>
            <w:vAlign w:val="center"/>
          </w:tcPr>
          <w:p w14:paraId="1A99097E">
            <w:pPr>
              <w:jc w:val="center"/>
              <w:rPr>
                <w:rFonts w:hint="eastAsia" w:ascii="宋体" w:hAnsi="宋体" w:cs="宋体"/>
                <w:color w:val="auto"/>
                <w:sz w:val="24"/>
                <w:highlight w:val="none"/>
              </w:rPr>
            </w:pPr>
            <w:r>
              <w:rPr>
                <w:rFonts w:hint="eastAsia" w:ascii="宋体" w:hAnsi="宋体" w:cs="宋体"/>
                <w:color w:val="auto"/>
                <w:sz w:val="24"/>
                <w:highlight w:val="none"/>
              </w:rPr>
              <w:t>主观</w:t>
            </w:r>
          </w:p>
        </w:tc>
        <w:tc>
          <w:tcPr>
            <w:tcW w:w="1725" w:type="dxa"/>
            <w:vAlign w:val="center"/>
          </w:tcPr>
          <w:p w14:paraId="7C0DED34">
            <w:pPr>
              <w:spacing w:line="360" w:lineRule="auto"/>
              <w:jc w:val="center"/>
              <w:outlineLvl w:val="0"/>
              <w:rPr>
                <w:rFonts w:hint="eastAsia" w:ascii="宋体" w:hAnsi="宋体" w:cs="宋体"/>
                <w:color w:val="auto"/>
                <w:sz w:val="24"/>
                <w:highlight w:val="none"/>
              </w:rPr>
            </w:pPr>
          </w:p>
        </w:tc>
      </w:tr>
      <w:tr w14:paraId="74E0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9" w:type="dxa"/>
            <w:vAlign w:val="center"/>
          </w:tcPr>
          <w:p w14:paraId="0B9F47E9">
            <w:pPr>
              <w:spacing w:line="360" w:lineRule="auto"/>
              <w:jc w:val="center"/>
              <w:outlineLvl w:val="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5572" w:type="dxa"/>
            <w:vAlign w:val="center"/>
          </w:tcPr>
          <w:p w14:paraId="78967E52">
            <w:pPr>
              <w:jc w:val="left"/>
              <w:textAlignment w:val="bottom"/>
              <w:rPr>
                <w:rFonts w:ascii="宋体" w:hAnsi="宋体" w:cs="宋体"/>
                <w:color w:val="auto"/>
                <w:sz w:val="24"/>
                <w:highlight w:val="none"/>
              </w:rPr>
            </w:pPr>
            <w:r>
              <w:rPr>
                <w:rFonts w:hint="eastAsia" w:ascii="宋体" w:hAnsi="宋体" w:cs="宋体"/>
                <w:color w:val="auto"/>
                <w:sz w:val="24"/>
                <w:highlight w:val="none"/>
              </w:rPr>
              <w:t>项目总体技术解决方案（包括对用户需求的理解程度，方案设计的合理性，各系统的功能介绍等）的针对性、合理性及完整程度等综合比较进行评分，最高得</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分。</w:t>
            </w:r>
          </w:p>
        </w:tc>
        <w:tc>
          <w:tcPr>
            <w:tcW w:w="852" w:type="dxa"/>
            <w:vAlign w:val="center"/>
          </w:tcPr>
          <w:p w14:paraId="40791756">
            <w:pPr>
              <w:spacing w:line="360" w:lineRule="auto"/>
              <w:ind w:firstLine="120" w:firstLineChars="50"/>
              <w:jc w:val="center"/>
              <w:outlineLvl w:val="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5</w:t>
            </w:r>
          </w:p>
        </w:tc>
        <w:tc>
          <w:tcPr>
            <w:tcW w:w="1178" w:type="dxa"/>
            <w:vAlign w:val="center"/>
          </w:tcPr>
          <w:p w14:paraId="0081085A">
            <w:pPr>
              <w:jc w:val="center"/>
              <w:rPr>
                <w:rFonts w:hint="eastAsia" w:ascii="宋体" w:hAnsi="宋体" w:cs="宋体"/>
                <w:color w:val="auto"/>
                <w:sz w:val="24"/>
                <w:highlight w:val="none"/>
              </w:rPr>
            </w:pPr>
            <w:r>
              <w:rPr>
                <w:rFonts w:hint="eastAsia" w:ascii="宋体" w:hAnsi="宋体" w:cs="宋体"/>
                <w:color w:val="auto"/>
                <w:sz w:val="24"/>
                <w:highlight w:val="none"/>
              </w:rPr>
              <w:t>主观</w:t>
            </w:r>
          </w:p>
        </w:tc>
        <w:tc>
          <w:tcPr>
            <w:tcW w:w="1725" w:type="dxa"/>
            <w:vAlign w:val="center"/>
          </w:tcPr>
          <w:p w14:paraId="712A0A75">
            <w:pPr>
              <w:spacing w:line="360" w:lineRule="auto"/>
              <w:jc w:val="center"/>
              <w:outlineLvl w:val="0"/>
              <w:rPr>
                <w:rFonts w:hint="eastAsia" w:ascii="宋体" w:hAnsi="宋体" w:cs="宋体"/>
                <w:color w:val="auto"/>
                <w:kern w:val="0"/>
                <w:sz w:val="24"/>
                <w:highlight w:val="none"/>
              </w:rPr>
            </w:pPr>
          </w:p>
        </w:tc>
      </w:tr>
      <w:tr w14:paraId="7630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9" w:type="dxa"/>
            <w:vAlign w:val="center"/>
          </w:tcPr>
          <w:p w14:paraId="54385D0B">
            <w:pPr>
              <w:spacing w:line="360" w:lineRule="auto"/>
              <w:jc w:val="center"/>
              <w:outlineLvl w:val="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p>
        </w:tc>
        <w:tc>
          <w:tcPr>
            <w:tcW w:w="5572" w:type="dxa"/>
            <w:vAlign w:val="center"/>
          </w:tcPr>
          <w:p w14:paraId="11564B63">
            <w:pPr>
              <w:jc w:val="left"/>
              <w:textAlignment w:val="bottom"/>
              <w:rPr>
                <w:rFonts w:hint="eastAsia" w:ascii="宋体" w:hAnsi="宋体" w:cs="宋体"/>
                <w:color w:val="auto"/>
                <w:sz w:val="24"/>
                <w:highlight w:val="none"/>
              </w:rPr>
            </w:pPr>
            <w:r>
              <w:rPr>
                <w:rFonts w:hint="eastAsia" w:ascii="宋体" w:hAnsi="宋体" w:cs="宋体"/>
                <w:color w:val="auto"/>
                <w:sz w:val="24"/>
                <w:highlight w:val="none"/>
              </w:rPr>
              <w:t>技术文件中要求提供项目设备点位布置图、布线图、系统图，根据提供各项图纸的完整性、合理性，综合评定得分，最高得</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分，缺项或未提供不得分。</w:t>
            </w:r>
          </w:p>
        </w:tc>
        <w:tc>
          <w:tcPr>
            <w:tcW w:w="852" w:type="dxa"/>
            <w:vAlign w:val="center"/>
          </w:tcPr>
          <w:p w14:paraId="3696C705">
            <w:pPr>
              <w:spacing w:line="360" w:lineRule="auto"/>
              <w:ind w:firstLine="120" w:firstLineChars="50"/>
              <w:jc w:val="center"/>
              <w:outlineLvl w:val="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5</w:t>
            </w:r>
          </w:p>
        </w:tc>
        <w:tc>
          <w:tcPr>
            <w:tcW w:w="1178" w:type="dxa"/>
            <w:vAlign w:val="center"/>
          </w:tcPr>
          <w:p w14:paraId="515DCB2E">
            <w:pPr>
              <w:jc w:val="center"/>
              <w:rPr>
                <w:rFonts w:hint="eastAsia" w:ascii="宋体" w:hAnsi="宋体" w:cs="宋体"/>
                <w:color w:val="auto"/>
                <w:sz w:val="24"/>
                <w:highlight w:val="none"/>
              </w:rPr>
            </w:pPr>
            <w:r>
              <w:rPr>
                <w:rFonts w:hint="eastAsia" w:ascii="宋体" w:hAnsi="宋体" w:cs="宋体"/>
                <w:color w:val="auto"/>
                <w:sz w:val="24"/>
                <w:highlight w:val="none"/>
              </w:rPr>
              <w:t>主观</w:t>
            </w:r>
          </w:p>
        </w:tc>
        <w:tc>
          <w:tcPr>
            <w:tcW w:w="1725" w:type="dxa"/>
            <w:vAlign w:val="center"/>
          </w:tcPr>
          <w:p w14:paraId="16487EAD">
            <w:pPr>
              <w:spacing w:line="360" w:lineRule="auto"/>
              <w:jc w:val="center"/>
              <w:outlineLvl w:val="0"/>
              <w:rPr>
                <w:rFonts w:hint="eastAsia" w:ascii="宋体" w:hAnsi="宋体" w:cs="宋体"/>
                <w:color w:val="auto"/>
                <w:kern w:val="0"/>
                <w:sz w:val="24"/>
                <w:highlight w:val="none"/>
              </w:rPr>
            </w:pPr>
          </w:p>
        </w:tc>
      </w:tr>
      <w:tr w14:paraId="6825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889" w:type="dxa"/>
            <w:vAlign w:val="center"/>
          </w:tcPr>
          <w:p w14:paraId="3CC36DF1">
            <w:pPr>
              <w:spacing w:line="360" w:lineRule="auto"/>
              <w:jc w:val="center"/>
              <w:outlineLvl w:val="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7</w:t>
            </w:r>
          </w:p>
        </w:tc>
        <w:tc>
          <w:tcPr>
            <w:tcW w:w="5572" w:type="dxa"/>
            <w:vAlign w:val="center"/>
          </w:tcPr>
          <w:p w14:paraId="305D8A66">
            <w:pPr>
              <w:jc w:val="left"/>
              <w:rPr>
                <w:rFonts w:ascii="宋体" w:hAnsi="宋体" w:cs="宋体"/>
                <w:color w:val="auto"/>
                <w:sz w:val="24"/>
                <w:highlight w:val="none"/>
              </w:rPr>
            </w:pPr>
            <w:r>
              <w:rPr>
                <w:rFonts w:hint="eastAsia" w:ascii="宋体" w:hAnsi="宋体" w:cs="宋体"/>
                <w:color w:val="auto"/>
                <w:sz w:val="24"/>
                <w:highlight w:val="none"/>
              </w:rPr>
              <w:t>确保工程工期、质量的措施：依据供货、安装及调试进度控制、工期保障及其相关内容有利于本项目执行情况进行打分，</w:t>
            </w:r>
          </w:p>
          <w:p w14:paraId="0F932859">
            <w:pPr>
              <w:jc w:val="left"/>
              <w:rPr>
                <w:rFonts w:hint="eastAsia" w:ascii="宋体" w:hAnsi="宋体" w:cs="宋体"/>
                <w:color w:val="auto"/>
                <w:sz w:val="24"/>
                <w:highlight w:val="none"/>
              </w:rPr>
            </w:pPr>
            <w:r>
              <w:rPr>
                <w:rFonts w:hint="eastAsia" w:ascii="宋体" w:hAnsi="宋体" w:cs="宋体"/>
                <w:color w:val="auto"/>
                <w:sz w:val="24"/>
                <w:highlight w:val="none"/>
              </w:rPr>
              <w:t>方案阐述完备性合理性都非常好的得4分；</w:t>
            </w:r>
          </w:p>
          <w:p w14:paraId="1B7FA824">
            <w:pPr>
              <w:jc w:val="left"/>
              <w:rPr>
                <w:rFonts w:hint="eastAsia" w:ascii="宋体" w:hAnsi="宋体" w:cs="宋体"/>
                <w:color w:val="auto"/>
                <w:sz w:val="24"/>
                <w:highlight w:val="none"/>
              </w:rPr>
            </w:pPr>
            <w:r>
              <w:rPr>
                <w:rFonts w:hint="eastAsia" w:ascii="宋体" w:hAnsi="宋体" w:cs="宋体"/>
                <w:color w:val="auto"/>
                <w:sz w:val="24"/>
                <w:highlight w:val="none"/>
              </w:rPr>
              <w:t>方案阐述完备性合理性都较好的得3分；</w:t>
            </w:r>
          </w:p>
          <w:p w14:paraId="0B621D56">
            <w:pPr>
              <w:jc w:val="left"/>
              <w:rPr>
                <w:rFonts w:hint="eastAsia" w:ascii="宋体" w:hAnsi="宋体" w:cs="宋体"/>
                <w:color w:val="auto"/>
                <w:sz w:val="24"/>
                <w:highlight w:val="none"/>
              </w:rPr>
            </w:pPr>
            <w:r>
              <w:rPr>
                <w:rFonts w:hint="eastAsia" w:ascii="宋体" w:hAnsi="宋体" w:cs="宋体"/>
                <w:color w:val="auto"/>
                <w:sz w:val="24"/>
                <w:highlight w:val="none"/>
              </w:rPr>
              <w:t>方案阐述完备性合理性都一般的得2分；</w:t>
            </w:r>
          </w:p>
          <w:p w14:paraId="4E0C1ED1">
            <w:pPr>
              <w:jc w:val="left"/>
              <w:rPr>
                <w:rFonts w:hint="eastAsia" w:ascii="宋体" w:hAnsi="宋体" w:cs="宋体"/>
                <w:color w:val="auto"/>
                <w:sz w:val="24"/>
                <w:highlight w:val="none"/>
              </w:rPr>
            </w:pPr>
            <w:r>
              <w:rPr>
                <w:rFonts w:hint="eastAsia" w:ascii="宋体" w:hAnsi="宋体" w:cs="宋体"/>
                <w:color w:val="auto"/>
                <w:sz w:val="24"/>
                <w:highlight w:val="none"/>
              </w:rPr>
              <w:t>方案阐述完备性合理性都较差得1分；</w:t>
            </w:r>
          </w:p>
          <w:p w14:paraId="42072911">
            <w:pPr>
              <w:jc w:val="left"/>
              <w:textAlignment w:val="bottom"/>
              <w:rPr>
                <w:rFonts w:hint="eastAsia" w:ascii="宋体" w:hAnsi="宋体" w:cs="宋体"/>
                <w:color w:val="auto"/>
                <w:kern w:val="0"/>
                <w:sz w:val="24"/>
                <w:highlight w:val="none"/>
              </w:rPr>
            </w:pPr>
            <w:r>
              <w:rPr>
                <w:rFonts w:hint="eastAsia" w:ascii="宋体" w:hAnsi="宋体" w:cs="宋体"/>
                <w:color w:val="auto"/>
                <w:sz w:val="24"/>
                <w:highlight w:val="none"/>
              </w:rPr>
              <w:t>不提供的不得分。</w:t>
            </w:r>
          </w:p>
        </w:tc>
        <w:tc>
          <w:tcPr>
            <w:tcW w:w="852" w:type="dxa"/>
            <w:vAlign w:val="center"/>
          </w:tcPr>
          <w:p w14:paraId="27BF55A8">
            <w:pPr>
              <w:spacing w:line="360" w:lineRule="auto"/>
              <w:ind w:firstLine="120" w:firstLineChars="50"/>
              <w:jc w:val="center"/>
              <w:outlineLvl w:val="0"/>
              <w:rPr>
                <w:rFonts w:hint="eastAsia" w:ascii="宋体" w:hAnsi="宋体" w:cs="宋体"/>
                <w:color w:val="auto"/>
                <w:sz w:val="24"/>
                <w:highlight w:val="none"/>
              </w:rPr>
            </w:pPr>
            <w:r>
              <w:rPr>
                <w:rFonts w:hint="eastAsia" w:ascii="宋体" w:hAnsi="宋体" w:cs="宋体"/>
                <w:color w:val="auto"/>
                <w:sz w:val="24"/>
                <w:highlight w:val="none"/>
              </w:rPr>
              <w:t>4</w:t>
            </w:r>
          </w:p>
        </w:tc>
        <w:tc>
          <w:tcPr>
            <w:tcW w:w="1178" w:type="dxa"/>
            <w:vAlign w:val="center"/>
          </w:tcPr>
          <w:p w14:paraId="7245D7C2">
            <w:pPr>
              <w:jc w:val="center"/>
              <w:rPr>
                <w:rFonts w:hint="eastAsia" w:ascii="宋体" w:hAnsi="宋体" w:cs="宋体"/>
                <w:color w:val="auto"/>
                <w:sz w:val="24"/>
                <w:highlight w:val="none"/>
              </w:rPr>
            </w:pPr>
            <w:r>
              <w:rPr>
                <w:rFonts w:hint="eastAsia" w:ascii="宋体" w:hAnsi="宋体" w:cs="宋体"/>
                <w:color w:val="auto"/>
                <w:sz w:val="24"/>
                <w:highlight w:val="none"/>
              </w:rPr>
              <w:t>主观</w:t>
            </w:r>
          </w:p>
        </w:tc>
        <w:tc>
          <w:tcPr>
            <w:tcW w:w="1725" w:type="dxa"/>
            <w:vAlign w:val="center"/>
          </w:tcPr>
          <w:p w14:paraId="7C73237C">
            <w:pPr>
              <w:spacing w:line="360" w:lineRule="auto"/>
              <w:jc w:val="center"/>
              <w:outlineLvl w:val="0"/>
              <w:rPr>
                <w:rFonts w:hint="eastAsia" w:ascii="宋体" w:hAnsi="宋体" w:cs="宋体"/>
                <w:color w:val="auto"/>
                <w:sz w:val="24"/>
                <w:highlight w:val="none"/>
              </w:rPr>
            </w:pPr>
          </w:p>
        </w:tc>
      </w:tr>
      <w:tr w14:paraId="7EBF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89" w:type="dxa"/>
            <w:vAlign w:val="center"/>
          </w:tcPr>
          <w:p w14:paraId="7A697F4E">
            <w:pPr>
              <w:spacing w:line="360" w:lineRule="auto"/>
              <w:jc w:val="center"/>
              <w:outlineLvl w:val="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8</w:t>
            </w:r>
          </w:p>
        </w:tc>
        <w:tc>
          <w:tcPr>
            <w:tcW w:w="5572" w:type="dxa"/>
            <w:vAlign w:val="center"/>
          </w:tcPr>
          <w:p w14:paraId="3C45BE2F">
            <w:pPr>
              <w:jc w:val="left"/>
              <w:rPr>
                <w:rFonts w:hint="eastAsia" w:ascii="宋体" w:hAnsi="宋体" w:cs="宋体"/>
                <w:color w:val="auto"/>
                <w:sz w:val="24"/>
                <w:highlight w:val="none"/>
              </w:rPr>
            </w:pPr>
            <w:r>
              <w:rPr>
                <w:rFonts w:hint="eastAsia" w:ascii="宋体" w:hAnsi="宋体" w:cs="宋体"/>
                <w:color w:val="auto"/>
                <w:sz w:val="24"/>
                <w:highlight w:val="none"/>
              </w:rPr>
              <w:t>投标人对投标产品进行阐述，包含产品的科学性、先进性、可行性和扩展性等；产品是否有独到的优势进行打分。</w:t>
            </w:r>
          </w:p>
          <w:p w14:paraId="5A9DEBD0">
            <w:pPr>
              <w:jc w:val="left"/>
              <w:rPr>
                <w:rFonts w:hint="eastAsia" w:ascii="宋体" w:hAnsi="宋体" w:cs="宋体"/>
                <w:color w:val="auto"/>
                <w:sz w:val="24"/>
                <w:highlight w:val="none"/>
              </w:rPr>
            </w:pPr>
            <w:r>
              <w:rPr>
                <w:rFonts w:hint="eastAsia" w:ascii="宋体" w:hAnsi="宋体" w:cs="宋体"/>
                <w:color w:val="auto"/>
                <w:sz w:val="24"/>
                <w:highlight w:val="none"/>
              </w:rPr>
              <w:t>方案阐述完备性合理性都非常好的得</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分；</w:t>
            </w:r>
          </w:p>
          <w:p w14:paraId="776C6320">
            <w:pPr>
              <w:jc w:val="left"/>
              <w:rPr>
                <w:rFonts w:hint="eastAsia" w:ascii="宋体" w:hAnsi="宋体" w:cs="宋体"/>
                <w:color w:val="auto"/>
                <w:sz w:val="24"/>
                <w:highlight w:val="none"/>
              </w:rPr>
            </w:pPr>
            <w:r>
              <w:rPr>
                <w:rFonts w:hint="eastAsia" w:ascii="宋体" w:hAnsi="宋体" w:cs="宋体"/>
                <w:color w:val="auto"/>
                <w:sz w:val="24"/>
                <w:highlight w:val="none"/>
              </w:rPr>
              <w:t>方案阐述完备性合理性都较好的得</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w:t>
            </w:r>
          </w:p>
          <w:p w14:paraId="1423B74B">
            <w:pPr>
              <w:jc w:val="left"/>
              <w:rPr>
                <w:rFonts w:hint="eastAsia" w:ascii="宋体" w:hAnsi="宋体" w:cs="宋体"/>
                <w:color w:val="auto"/>
                <w:sz w:val="24"/>
                <w:highlight w:val="none"/>
              </w:rPr>
            </w:pPr>
            <w:r>
              <w:rPr>
                <w:rFonts w:hint="eastAsia" w:ascii="宋体" w:hAnsi="宋体" w:cs="宋体"/>
                <w:color w:val="auto"/>
                <w:sz w:val="24"/>
                <w:highlight w:val="none"/>
              </w:rPr>
              <w:t>方案阐述完备性合理性都有所欠缺得1分；</w:t>
            </w:r>
          </w:p>
          <w:p w14:paraId="393B64AE">
            <w:pPr>
              <w:jc w:val="left"/>
              <w:rPr>
                <w:rFonts w:hint="eastAsia" w:ascii="宋体" w:hAnsi="宋体" w:cs="宋体"/>
                <w:color w:val="auto"/>
                <w:kern w:val="0"/>
                <w:sz w:val="24"/>
                <w:highlight w:val="none"/>
              </w:rPr>
            </w:pPr>
            <w:r>
              <w:rPr>
                <w:rFonts w:hint="eastAsia" w:ascii="宋体" w:hAnsi="宋体" w:cs="宋体"/>
                <w:color w:val="auto"/>
                <w:sz w:val="24"/>
                <w:highlight w:val="none"/>
              </w:rPr>
              <w:t>不提供的不得分。</w:t>
            </w:r>
          </w:p>
        </w:tc>
        <w:tc>
          <w:tcPr>
            <w:tcW w:w="852" w:type="dxa"/>
            <w:vAlign w:val="center"/>
          </w:tcPr>
          <w:p w14:paraId="36923609">
            <w:pPr>
              <w:spacing w:line="360" w:lineRule="auto"/>
              <w:ind w:firstLine="120" w:firstLineChars="50"/>
              <w:jc w:val="center"/>
              <w:outlineLvl w:val="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5</w:t>
            </w:r>
          </w:p>
        </w:tc>
        <w:tc>
          <w:tcPr>
            <w:tcW w:w="1178" w:type="dxa"/>
            <w:vAlign w:val="center"/>
          </w:tcPr>
          <w:p w14:paraId="222FD468">
            <w:pPr>
              <w:jc w:val="center"/>
              <w:rPr>
                <w:rFonts w:hint="eastAsia" w:ascii="宋体" w:hAnsi="宋体" w:cs="宋体"/>
                <w:color w:val="auto"/>
                <w:sz w:val="24"/>
                <w:highlight w:val="none"/>
              </w:rPr>
            </w:pPr>
            <w:r>
              <w:rPr>
                <w:rFonts w:hint="eastAsia" w:ascii="宋体" w:hAnsi="宋体" w:cs="宋体"/>
                <w:color w:val="auto"/>
                <w:sz w:val="24"/>
                <w:highlight w:val="none"/>
              </w:rPr>
              <w:t>主观</w:t>
            </w:r>
          </w:p>
        </w:tc>
        <w:tc>
          <w:tcPr>
            <w:tcW w:w="1725" w:type="dxa"/>
            <w:vAlign w:val="center"/>
          </w:tcPr>
          <w:p w14:paraId="1FF46B28">
            <w:pPr>
              <w:spacing w:line="360" w:lineRule="auto"/>
              <w:jc w:val="center"/>
              <w:outlineLvl w:val="0"/>
              <w:rPr>
                <w:rFonts w:hint="eastAsia" w:ascii="宋体" w:hAnsi="宋体" w:cs="宋体"/>
                <w:color w:val="auto"/>
                <w:kern w:val="0"/>
                <w:sz w:val="24"/>
                <w:highlight w:val="none"/>
              </w:rPr>
            </w:pPr>
          </w:p>
        </w:tc>
      </w:tr>
      <w:tr w14:paraId="2EC6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889" w:type="dxa"/>
            <w:vAlign w:val="center"/>
          </w:tcPr>
          <w:p w14:paraId="17ABFA12">
            <w:pPr>
              <w:spacing w:line="360" w:lineRule="auto"/>
              <w:jc w:val="center"/>
              <w:outlineLvl w:val="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9</w:t>
            </w:r>
          </w:p>
        </w:tc>
        <w:tc>
          <w:tcPr>
            <w:tcW w:w="5572" w:type="dxa"/>
            <w:vAlign w:val="center"/>
          </w:tcPr>
          <w:p w14:paraId="79D40D82">
            <w:pPr>
              <w:jc w:val="left"/>
              <w:rPr>
                <w:rFonts w:hint="eastAsia" w:ascii="宋体" w:hAnsi="宋体" w:cs="宋体"/>
                <w:color w:val="auto"/>
                <w:sz w:val="24"/>
                <w:highlight w:val="none"/>
              </w:rPr>
            </w:pPr>
            <w:r>
              <w:rPr>
                <w:rFonts w:hint="eastAsia" w:ascii="宋体" w:hAnsi="宋体" w:cs="宋体"/>
                <w:color w:val="auto"/>
                <w:sz w:val="24"/>
                <w:highlight w:val="none"/>
              </w:rPr>
              <w:t>各投标人功能演示时间不超过10分钟。</w:t>
            </w:r>
          </w:p>
          <w:p w14:paraId="305FF06A">
            <w:pPr>
              <w:jc w:val="left"/>
              <w:rPr>
                <w:rFonts w:hint="eastAsia" w:ascii="宋体" w:hAnsi="宋体" w:cs="宋体"/>
                <w:color w:val="auto"/>
                <w:sz w:val="24"/>
                <w:highlight w:val="none"/>
              </w:rPr>
            </w:pPr>
            <w:r>
              <w:rPr>
                <w:rFonts w:hint="eastAsia" w:ascii="宋体" w:hAnsi="宋体" w:cs="宋体"/>
                <w:color w:val="auto"/>
                <w:sz w:val="24"/>
                <w:highlight w:val="none"/>
              </w:rPr>
              <w:t>一、综合管理一体机产品硬件演示</w:t>
            </w:r>
          </w:p>
          <w:p w14:paraId="6B96F004">
            <w:pPr>
              <w:jc w:val="left"/>
              <w:rPr>
                <w:rFonts w:hint="eastAsia" w:ascii="宋体" w:hAnsi="宋体" w:cs="宋体"/>
                <w:color w:val="auto"/>
                <w:sz w:val="24"/>
                <w:highlight w:val="none"/>
              </w:rPr>
            </w:pPr>
            <w:r>
              <w:rPr>
                <w:rFonts w:hint="eastAsia" w:ascii="宋体" w:hAnsi="宋体" w:cs="宋体"/>
                <w:color w:val="auto"/>
                <w:sz w:val="24"/>
                <w:highlight w:val="none"/>
              </w:rPr>
              <w:t>1．音视频边缘节点结构：插卡式机箱结构，功能板卡插槽数≥8个，须演示功能板卡可实现各槽位混插，全部满足的得2分，有不满足的得0分。</w:t>
            </w:r>
          </w:p>
          <w:p w14:paraId="1882BDAB">
            <w:pPr>
              <w:jc w:val="left"/>
              <w:rPr>
                <w:rFonts w:hint="eastAsia" w:ascii="宋体" w:hAnsi="宋体" w:cs="宋体"/>
                <w:color w:val="auto"/>
                <w:sz w:val="24"/>
                <w:highlight w:val="none"/>
              </w:rPr>
            </w:pPr>
            <w:r>
              <w:rPr>
                <w:rFonts w:hint="eastAsia" w:ascii="宋体" w:hAnsi="宋体" w:cs="宋体"/>
                <w:color w:val="auto"/>
                <w:sz w:val="24"/>
                <w:highlight w:val="none"/>
              </w:rPr>
              <w:t>2. 音视频边缘节点配置：配置≥8路RS232控制接口的中央控制板卡、≥2路输入/2路输出的视频处理板卡、≥4通道的功率放大器板卡、外置≥8进8出的音频处理板卡、≥8路RJ45网络接口、数字网络架构的会议发言板卡，所有的功能板卡和槽位均采用1U设计，全部满足的得3分，有不满足的得0分。</w:t>
            </w:r>
          </w:p>
          <w:p w14:paraId="6AB31878">
            <w:pPr>
              <w:jc w:val="left"/>
              <w:rPr>
                <w:rFonts w:hint="eastAsia" w:ascii="宋体" w:hAnsi="宋体" w:cs="宋体"/>
                <w:color w:val="auto"/>
                <w:sz w:val="24"/>
                <w:highlight w:val="none"/>
              </w:rPr>
            </w:pPr>
            <w:r>
              <w:rPr>
                <w:rFonts w:hint="eastAsia" w:ascii="宋体" w:hAnsi="宋体" w:cs="宋体"/>
                <w:color w:val="auto"/>
                <w:sz w:val="24"/>
                <w:highlight w:val="none"/>
              </w:rPr>
              <w:t>3. 音视频边缘节点热插拔：设备通电后，会议话筒、音箱正常发言出声，显示器画面正常显示，须对音频和视频设备板卡进行拔插操作，热插拔操作后，会议话筒、音箱出声正常，显示器画面正常显示。全部满足的得2分，有不满足的得0分。</w:t>
            </w:r>
          </w:p>
          <w:p w14:paraId="73BE9B24">
            <w:pPr>
              <w:jc w:val="left"/>
              <w:rPr>
                <w:rFonts w:hint="eastAsia" w:ascii="宋体" w:hAnsi="宋体" w:cs="宋体"/>
                <w:color w:val="auto"/>
                <w:sz w:val="24"/>
                <w:highlight w:val="none"/>
              </w:rPr>
            </w:pPr>
            <w:r>
              <w:rPr>
                <w:rFonts w:hint="eastAsia" w:ascii="宋体" w:hAnsi="宋体" w:cs="宋体"/>
                <w:color w:val="auto"/>
                <w:sz w:val="24"/>
                <w:highlight w:val="none"/>
              </w:rPr>
              <w:t>4. 会议话筒和会议主机板卡支持有线、无线共用的双通道双备份自动切换功能。会议话筒无线状态可发言，音箱正常出声。当断开无线接收基站电源及其它连接线缆，会议话筒插上网线，自动切换为有线通道，正常发言，音箱正常出声。会议话筒有线状态和无线状态均可正常发言，会议话筒有线无线通道切换时间≤1秒。全部满足的得2分，有不满足的得0分。</w:t>
            </w:r>
          </w:p>
          <w:p w14:paraId="7252B554">
            <w:pPr>
              <w:jc w:val="left"/>
              <w:rPr>
                <w:rFonts w:hint="eastAsia" w:ascii="宋体" w:hAnsi="宋体" w:cs="宋体"/>
                <w:color w:val="auto"/>
                <w:sz w:val="24"/>
                <w:highlight w:val="none"/>
              </w:rPr>
            </w:pPr>
            <w:r>
              <w:rPr>
                <w:rFonts w:hint="eastAsia" w:ascii="宋体" w:hAnsi="宋体" w:cs="宋体"/>
                <w:color w:val="auto"/>
                <w:sz w:val="24"/>
                <w:highlight w:val="none"/>
              </w:rPr>
              <w:t>5、互通功能演示：外置的分布式节点可以自定义输入/输出状态，可根据实际使用场景灵活改变。分布式节点的信号源能通过网络传输能够输出至综合一体机的内置板卡输出给显示器，画面显示正常。同时内置板卡输入的信号源也能通过网络传输至分布式节点并输出给显示器，画面显示正常。全部满足的得2分，有不满足的得0分。</w:t>
            </w:r>
          </w:p>
          <w:p w14:paraId="6A033E17">
            <w:pPr>
              <w:jc w:val="left"/>
              <w:rPr>
                <w:rFonts w:hint="eastAsia" w:ascii="宋体" w:hAnsi="宋体" w:cs="宋体"/>
                <w:color w:val="auto"/>
                <w:sz w:val="24"/>
                <w:highlight w:val="none"/>
              </w:rPr>
            </w:pPr>
            <w:r>
              <w:rPr>
                <w:rFonts w:hint="eastAsia" w:ascii="宋体" w:hAnsi="宋体" w:cs="宋体"/>
                <w:color w:val="auto"/>
                <w:sz w:val="24"/>
                <w:highlight w:val="none"/>
              </w:rPr>
              <w:t>二、音视频边缘节点产品PAD端演示。</w:t>
            </w:r>
          </w:p>
          <w:p w14:paraId="1971EBD3">
            <w:pPr>
              <w:jc w:val="left"/>
              <w:rPr>
                <w:rFonts w:hint="eastAsia" w:ascii="宋体" w:hAnsi="宋体" w:cs="宋体"/>
                <w:color w:val="auto"/>
                <w:sz w:val="24"/>
                <w:highlight w:val="none"/>
              </w:rPr>
            </w:pPr>
            <w:r>
              <w:rPr>
                <w:rFonts w:hint="eastAsia" w:ascii="宋体" w:hAnsi="宋体" w:cs="宋体"/>
                <w:color w:val="auto"/>
                <w:sz w:val="24"/>
                <w:highlight w:val="none"/>
              </w:rPr>
              <w:t>通过PAD端登录音视频边缘节点中控平台，在同一套软件中体现以下功能：</w:t>
            </w:r>
          </w:p>
          <w:p w14:paraId="4270AD9B">
            <w:pPr>
              <w:jc w:val="left"/>
              <w:rPr>
                <w:rFonts w:hint="eastAsia" w:ascii="宋体" w:hAnsi="宋体" w:cs="宋体"/>
                <w:color w:val="auto"/>
                <w:sz w:val="24"/>
                <w:highlight w:val="none"/>
              </w:rPr>
            </w:pPr>
            <w:r>
              <w:rPr>
                <w:rFonts w:hint="eastAsia" w:ascii="宋体" w:hAnsi="宋体" w:cs="宋体"/>
                <w:color w:val="auto"/>
                <w:sz w:val="24"/>
                <w:highlight w:val="none"/>
              </w:rPr>
              <w:t>1.监测并显示环境状态：室内温度、湿度、PM2.5/PM1.0值、甲醛值、CO2值、TVOC值。</w:t>
            </w:r>
          </w:p>
          <w:p w14:paraId="77C0F6BC">
            <w:pPr>
              <w:jc w:val="left"/>
              <w:rPr>
                <w:rFonts w:hint="eastAsia" w:ascii="宋体" w:hAnsi="宋体" w:cs="宋体"/>
                <w:color w:val="auto"/>
                <w:sz w:val="24"/>
                <w:highlight w:val="none"/>
              </w:rPr>
            </w:pPr>
            <w:r>
              <w:rPr>
                <w:rFonts w:hint="eastAsia" w:ascii="宋体" w:hAnsi="宋体" w:cs="宋体"/>
                <w:color w:val="auto"/>
                <w:sz w:val="24"/>
                <w:highlight w:val="none"/>
              </w:rPr>
              <w:t>2.支持配置≥10个场景模式，场景模式可任意添加或删减，各场景模式可一键调用。</w:t>
            </w:r>
          </w:p>
          <w:p w14:paraId="40C68BEC">
            <w:pPr>
              <w:jc w:val="left"/>
              <w:rPr>
                <w:rFonts w:hint="eastAsia" w:ascii="宋体" w:hAnsi="宋体" w:cs="宋体"/>
                <w:color w:val="auto"/>
                <w:sz w:val="24"/>
                <w:highlight w:val="none"/>
              </w:rPr>
            </w:pPr>
            <w:r>
              <w:rPr>
                <w:rFonts w:hint="eastAsia" w:ascii="宋体" w:hAnsi="宋体" w:cs="宋体"/>
                <w:color w:val="auto"/>
                <w:sz w:val="24"/>
                <w:highlight w:val="none"/>
              </w:rPr>
              <w:t>3.支持设备告警功能，可通过PAD端查看。</w:t>
            </w:r>
          </w:p>
          <w:p w14:paraId="2AAD6897">
            <w:pPr>
              <w:jc w:val="left"/>
              <w:rPr>
                <w:rFonts w:hint="eastAsia" w:ascii="宋体" w:hAnsi="宋体" w:cs="宋体"/>
                <w:color w:val="auto"/>
                <w:sz w:val="24"/>
                <w:highlight w:val="none"/>
              </w:rPr>
            </w:pPr>
            <w:r>
              <w:rPr>
                <w:rFonts w:hint="eastAsia" w:ascii="宋体" w:hAnsi="宋体" w:cs="宋体"/>
                <w:color w:val="auto"/>
                <w:sz w:val="24"/>
                <w:highlight w:val="none"/>
              </w:rPr>
              <w:t>注：具备以上第二大项中所列功能体现的每条得1分，本小项最高得3分。</w:t>
            </w:r>
          </w:p>
        </w:tc>
        <w:tc>
          <w:tcPr>
            <w:tcW w:w="852" w:type="dxa"/>
            <w:vAlign w:val="center"/>
          </w:tcPr>
          <w:p w14:paraId="599245B1">
            <w:pPr>
              <w:spacing w:line="360" w:lineRule="auto"/>
              <w:ind w:firstLine="120" w:firstLineChars="50"/>
              <w:jc w:val="center"/>
              <w:outlineLvl w:val="0"/>
              <w:rPr>
                <w:rFonts w:ascii="宋体" w:hAnsi="宋体" w:cs="宋体"/>
                <w:color w:val="auto"/>
                <w:sz w:val="24"/>
                <w:highlight w:val="none"/>
              </w:rPr>
            </w:pPr>
            <w:r>
              <w:rPr>
                <w:rFonts w:hint="eastAsia" w:ascii="宋体" w:hAnsi="宋体" w:cs="宋体"/>
                <w:color w:val="auto"/>
                <w:sz w:val="24"/>
                <w:highlight w:val="none"/>
              </w:rPr>
              <w:t>14</w:t>
            </w:r>
          </w:p>
        </w:tc>
        <w:tc>
          <w:tcPr>
            <w:tcW w:w="1178" w:type="dxa"/>
            <w:vAlign w:val="center"/>
          </w:tcPr>
          <w:p w14:paraId="5B887329">
            <w:pPr>
              <w:jc w:val="center"/>
              <w:rPr>
                <w:rFonts w:hint="eastAsia" w:ascii="宋体" w:hAnsi="宋体" w:cs="宋体"/>
                <w:color w:val="auto"/>
                <w:sz w:val="24"/>
                <w:highlight w:val="none"/>
              </w:rPr>
            </w:pPr>
            <w:r>
              <w:rPr>
                <w:rFonts w:hint="eastAsia" w:ascii="宋体" w:hAnsi="宋体" w:cs="宋体"/>
                <w:color w:val="auto"/>
                <w:sz w:val="24"/>
                <w:highlight w:val="none"/>
              </w:rPr>
              <w:t>主观</w:t>
            </w:r>
          </w:p>
        </w:tc>
        <w:tc>
          <w:tcPr>
            <w:tcW w:w="1725" w:type="dxa"/>
            <w:vAlign w:val="center"/>
          </w:tcPr>
          <w:p w14:paraId="1CB6E043">
            <w:pPr>
              <w:spacing w:line="360" w:lineRule="auto"/>
              <w:jc w:val="center"/>
              <w:outlineLvl w:val="0"/>
              <w:rPr>
                <w:rFonts w:hint="eastAsia" w:ascii="宋体" w:hAnsi="宋体" w:cs="宋体"/>
                <w:color w:val="auto"/>
                <w:kern w:val="0"/>
                <w:sz w:val="24"/>
                <w:highlight w:val="none"/>
              </w:rPr>
            </w:pPr>
          </w:p>
        </w:tc>
      </w:tr>
      <w:tr w14:paraId="32F3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89" w:type="dxa"/>
            <w:vAlign w:val="center"/>
          </w:tcPr>
          <w:p w14:paraId="01F406C8">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5572" w:type="dxa"/>
            <w:vAlign w:val="center"/>
          </w:tcPr>
          <w:p w14:paraId="09B4E00E">
            <w:pPr>
              <w:jc w:val="left"/>
              <w:rPr>
                <w:rFonts w:hint="eastAsia" w:ascii="宋体" w:hAnsi="宋体" w:cs="宋体"/>
                <w:color w:val="auto"/>
                <w:sz w:val="24"/>
                <w:highlight w:val="none"/>
              </w:rPr>
            </w:pPr>
            <w:r>
              <w:rPr>
                <w:rFonts w:hint="eastAsia" w:ascii="宋体" w:hAnsi="宋体" w:cs="宋体"/>
                <w:color w:val="auto"/>
                <w:sz w:val="24"/>
                <w:highlight w:val="none"/>
              </w:rPr>
              <w:t>项目组实施人员能力情况：</w:t>
            </w:r>
          </w:p>
          <w:p w14:paraId="282E3A43">
            <w:pPr>
              <w:jc w:val="left"/>
              <w:rPr>
                <w:rFonts w:hint="eastAsia" w:ascii="宋体" w:hAnsi="宋体" w:cs="宋体"/>
                <w:color w:val="auto"/>
                <w:sz w:val="24"/>
                <w:highlight w:val="none"/>
              </w:rPr>
            </w:pPr>
            <w:r>
              <w:rPr>
                <w:rFonts w:hint="eastAsia" w:ascii="宋体" w:hAnsi="宋体" w:cs="宋体"/>
                <w:color w:val="auto"/>
                <w:sz w:val="24"/>
                <w:highlight w:val="none"/>
              </w:rPr>
              <w:t>投标人应为本项目组建稳定的、专业的、独立的技术服务团队，项目经理应具备专业技术能力和丰富的实施经验，具体要求如下：</w:t>
            </w:r>
          </w:p>
          <w:p w14:paraId="02C1747C">
            <w:pPr>
              <w:jc w:val="left"/>
              <w:rPr>
                <w:rFonts w:hint="eastAsia" w:ascii="宋体" w:hAnsi="宋体" w:cs="宋体"/>
                <w:color w:val="auto"/>
                <w:sz w:val="24"/>
                <w:highlight w:val="none"/>
                <w:lang w:eastAsia="zh-CN"/>
              </w:rPr>
            </w:pPr>
            <w:r>
              <w:rPr>
                <w:rFonts w:hint="eastAsia" w:ascii="宋体" w:hAnsi="宋体" w:cs="宋体"/>
                <w:color w:val="auto"/>
                <w:sz w:val="24"/>
                <w:highlight w:val="none"/>
              </w:rPr>
              <w:t>具有建筑智能化专业高级工程师职称证书</w:t>
            </w:r>
            <w:r>
              <w:rPr>
                <w:rFonts w:hint="eastAsia" w:ascii="宋体" w:hAnsi="宋体" w:cs="宋体"/>
                <w:color w:val="auto"/>
                <w:sz w:val="24"/>
                <w:highlight w:val="none"/>
                <w:lang w:eastAsia="zh-CN"/>
              </w:rPr>
              <w:t>或</w:t>
            </w:r>
            <w:r>
              <w:rPr>
                <w:rFonts w:hint="eastAsia" w:ascii="宋体" w:hAnsi="宋体" w:cs="宋体"/>
                <w:color w:val="auto"/>
                <w:sz w:val="24"/>
                <w:highlight w:val="none"/>
              </w:rPr>
              <w:t>具有机电</w:t>
            </w:r>
            <w:r>
              <w:rPr>
                <w:rFonts w:hint="eastAsia" w:ascii="宋体" w:hAnsi="宋体" w:cs="宋体"/>
                <w:color w:val="auto"/>
                <w:sz w:val="24"/>
                <w:highlight w:val="none"/>
                <w:lang w:eastAsia="zh-CN"/>
              </w:rPr>
              <w:t>专业</w:t>
            </w:r>
            <w:r>
              <w:rPr>
                <w:rFonts w:hint="eastAsia" w:ascii="宋体" w:hAnsi="宋体" w:cs="宋体"/>
                <w:color w:val="auto"/>
                <w:sz w:val="24"/>
                <w:highlight w:val="none"/>
              </w:rPr>
              <w:t>一级注册建造师证书，得2</w:t>
            </w:r>
            <w:r>
              <w:rPr>
                <w:rFonts w:hint="eastAsia" w:ascii="宋体" w:hAnsi="宋体" w:cs="宋体"/>
                <w:color w:val="auto"/>
                <w:sz w:val="24"/>
                <w:highlight w:val="none"/>
                <w:lang w:eastAsia="zh-CN"/>
              </w:rPr>
              <w:t>分；</w:t>
            </w:r>
          </w:p>
          <w:p w14:paraId="3B24EAA5">
            <w:pPr>
              <w:jc w:val="left"/>
              <w:rPr>
                <w:rFonts w:hint="eastAsia" w:ascii="宋体" w:hAnsi="宋体" w:cs="宋体"/>
                <w:color w:val="auto"/>
                <w:sz w:val="24"/>
                <w:highlight w:val="none"/>
              </w:rPr>
            </w:pPr>
            <w:r>
              <w:rPr>
                <w:rFonts w:hint="eastAsia" w:ascii="宋体" w:hAnsi="宋体" w:cs="宋体"/>
                <w:color w:val="auto"/>
                <w:sz w:val="24"/>
                <w:highlight w:val="none"/>
              </w:rPr>
              <w:t>具有建筑智能化专业</w:t>
            </w:r>
            <w:r>
              <w:rPr>
                <w:rFonts w:hint="eastAsia" w:ascii="宋体" w:hAnsi="宋体" w:cs="宋体"/>
                <w:color w:val="auto"/>
                <w:sz w:val="24"/>
                <w:highlight w:val="none"/>
                <w:lang w:eastAsia="zh-CN"/>
              </w:rPr>
              <w:t>中级</w:t>
            </w:r>
            <w:r>
              <w:rPr>
                <w:rFonts w:hint="eastAsia" w:ascii="宋体" w:hAnsi="宋体" w:cs="宋体"/>
                <w:color w:val="auto"/>
                <w:sz w:val="24"/>
                <w:highlight w:val="none"/>
              </w:rPr>
              <w:t>工程师职称证书</w:t>
            </w:r>
            <w:r>
              <w:rPr>
                <w:rFonts w:hint="eastAsia" w:ascii="宋体" w:hAnsi="宋体" w:cs="宋体"/>
                <w:color w:val="auto"/>
                <w:sz w:val="24"/>
                <w:highlight w:val="none"/>
                <w:lang w:eastAsia="zh-CN"/>
              </w:rPr>
              <w:t>或</w:t>
            </w:r>
            <w:r>
              <w:rPr>
                <w:rFonts w:hint="eastAsia" w:ascii="宋体" w:hAnsi="宋体" w:cs="宋体"/>
                <w:color w:val="auto"/>
                <w:sz w:val="24"/>
                <w:highlight w:val="none"/>
              </w:rPr>
              <w:t>具有机电</w:t>
            </w:r>
            <w:r>
              <w:rPr>
                <w:rFonts w:hint="eastAsia" w:ascii="宋体" w:hAnsi="宋体" w:cs="宋体"/>
                <w:color w:val="auto"/>
                <w:sz w:val="24"/>
                <w:highlight w:val="none"/>
                <w:lang w:eastAsia="zh-CN"/>
              </w:rPr>
              <w:t>专业二</w:t>
            </w:r>
            <w:r>
              <w:rPr>
                <w:rFonts w:hint="eastAsia" w:ascii="宋体" w:hAnsi="宋体" w:cs="宋体"/>
                <w:color w:val="auto"/>
                <w:sz w:val="24"/>
                <w:highlight w:val="none"/>
              </w:rPr>
              <w:t>级注册建造师证书</w:t>
            </w:r>
            <w:r>
              <w:rPr>
                <w:rFonts w:hint="eastAsia" w:ascii="宋体" w:hAnsi="宋体" w:cs="宋体"/>
                <w:color w:val="auto"/>
                <w:sz w:val="24"/>
                <w:highlight w:val="none"/>
                <w:lang w:eastAsia="zh-CN"/>
              </w:rPr>
              <w:t>，得</w:t>
            </w:r>
            <w:r>
              <w:rPr>
                <w:rFonts w:hint="eastAsia" w:ascii="宋体" w:hAnsi="宋体" w:cs="宋体"/>
                <w:color w:val="auto"/>
                <w:sz w:val="24"/>
                <w:highlight w:val="none"/>
                <w:lang w:val="en-US" w:eastAsia="zh-CN"/>
              </w:rPr>
              <w:t>1分</w:t>
            </w:r>
            <w:r>
              <w:rPr>
                <w:rFonts w:hint="eastAsia" w:ascii="宋体" w:hAnsi="宋体" w:cs="宋体"/>
                <w:color w:val="auto"/>
                <w:sz w:val="24"/>
                <w:highlight w:val="none"/>
              </w:rPr>
              <w:t>。</w:t>
            </w:r>
          </w:p>
        </w:tc>
        <w:tc>
          <w:tcPr>
            <w:tcW w:w="852" w:type="dxa"/>
            <w:vAlign w:val="center"/>
          </w:tcPr>
          <w:p w14:paraId="124A83CD">
            <w:pPr>
              <w:spacing w:line="360" w:lineRule="auto"/>
              <w:ind w:firstLine="120" w:firstLineChars="50"/>
              <w:jc w:val="center"/>
              <w:outlineLvl w:val="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2</w:t>
            </w:r>
          </w:p>
        </w:tc>
        <w:tc>
          <w:tcPr>
            <w:tcW w:w="1178" w:type="dxa"/>
            <w:vAlign w:val="center"/>
          </w:tcPr>
          <w:p w14:paraId="4FAF0A5E">
            <w:pPr>
              <w:jc w:val="center"/>
              <w:rPr>
                <w:rFonts w:hint="eastAsia" w:ascii="宋体" w:hAnsi="宋体" w:cs="宋体"/>
                <w:color w:val="auto"/>
                <w:sz w:val="24"/>
                <w:highlight w:val="none"/>
              </w:rPr>
            </w:pPr>
            <w:r>
              <w:rPr>
                <w:rFonts w:hint="eastAsia" w:ascii="宋体" w:hAnsi="宋体" w:cs="宋体"/>
                <w:color w:val="auto"/>
                <w:sz w:val="24"/>
                <w:highlight w:val="none"/>
              </w:rPr>
              <w:t>客观</w:t>
            </w:r>
          </w:p>
        </w:tc>
        <w:tc>
          <w:tcPr>
            <w:tcW w:w="1725" w:type="dxa"/>
            <w:vAlign w:val="center"/>
          </w:tcPr>
          <w:p w14:paraId="092D8926">
            <w:pPr>
              <w:spacing w:line="360" w:lineRule="auto"/>
              <w:jc w:val="center"/>
              <w:outlineLvl w:val="0"/>
              <w:rPr>
                <w:rFonts w:hint="eastAsia" w:ascii="宋体" w:hAnsi="宋体" w:cs="宋体"/>
                <w:color w:val="auto"/>
                <w:sz w:val="24"/>
                <w:highlight w:val="none"/>
              </w:rPr>
            </w:pPr>
          </w:p>
        </w:tc>
      </w:tr>
      <w:tr w14:paraId="20FE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889" w:type="dxa"/>
            <w:vAlign w:val="center"/>
          </w:tcPr>
          <w:p w14:paraId="1DE25417">
            <w:pPr>
              <w:spacing w:line="360" w:lineRule="auto"/>
              <w:jc w:val="center"/>
              <w:outlineLvl w:val="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11</w:t>
            </w:r>
          </w:p>
        </w:tc>
        <w:tc>
          <w:tcPr>
            <w:tcW w:w="5572" w:type="dxa"/>
            <w:vAlign w:val="center"/>
          </w:tcPr>
          <w:p w14:paraId="5496799E">
            <w:pPr>
              <w:jc w:val="left"/>
              <w:rPr>
                <w:rFonts w:hint="eastAsia" w:ascii="宋体" w:hAnsi="宋体" w:cs="宋体"/>
                <w:color w:val="auto"/>
                <w:sz w:val="24"/>
                <w:highlight w:val="none"/>
              </w:rPr>
            </w:pPr>
            <w:r>
              <w:rPr>
                <w:rFonts w:hint="eastAsia" w:ascii="宋体" w:hAnsi="宋体" w:cs="宋体"/>
                <w:color w:val="auto"/>
                <w:sz w:val="24"/>
                <w:highlight w:val="none"/>
              </w:rPr>
              <w:t>施工人员证书：</w:t>
            </w:r>
          </w:p>
          <w:p w14:paraId="4F14A540">
            <w:pPr>
              <w:jc w:val="left"/>
              <w:rPr>
                <w:rFonts w:hint="eastAsia" w:ascii="宋体" w:hAnsi="宋体" w:cs="宋体"/>
                <w:color w:val="auto"/>
                <w:sz w:val="24"/>
                <w:highlight w:val="none"/>
              </w:rPr>
            </w:pPr>
            <w:r>
              <w:rPr>
                <w:rFonts w:hint="eastAsia" w:ascii="宋体" w:hAnsi="宋体" w:cs="宋体"/>
                <w:color w:val="auto"/>
                <w:sz w:val="24"/>
                <w:highlight w:val="none"/>
              </w:rPr>
              <w:t>施工团队中人员（除项目经理、技术负责人外）：具有建筑电工合格证书，得1分；</w:t>
            </w:r>
          </w:p>
          <w:p w14:paraId="382AEA38">
            <w:pPr>
              <w:jc w:val="left"/>
              <w:rPr>
                <w:rFonts w:hint="eastAsia" w:ascii="宋体" w:hAnsi="宋体" w:cs="宋体"/>
                <w:color w:val="auto"/>
                <w:sz w:val="24"/>
                <w:highlight w:val="none"/>
              </w:rPr>
            </w:pPr>
            <w:r>
              <w:rPr>
                <w:rFonts w:hint="eastAsia" w:ascii="宋体" w:hAnsi="宋体" w:cs="宋体"/>
                <w:color w:val="auto"/>
                <w:sz w:val="24"/>
                <w:highlight w:val="none"/>
              </w:rPr>
              <w:t>具有建筑焊工合格证书，得1分；</w:t>
            </w:r>
          </w:p>
          <w:p w14:paraId="19E38F7D">
            <w:pPr>
              <w:jc w:val="left"/>
              <w:rPr>
                <w:rFonts w:ascii="宋体" w:hAnsi="宋体" w:cs="宋体"/>
                <w:color w:val="auto"/>
                <w:sz w:val="24"/>
                <w:highlight w:val="none"/>
              </w:rPr>
            </w:pPr>
            <w:r>
              <w:rPr>
                <w:rFonts w:hint="eastAsia" w:ascii="宋体" w:hAnsi="宋体" w:cs="宋体"/>
                <w:color w:val="auto"/>
                <w:sz w:val="24"/>
                <w:highlight w:val="none"/>
              </w:rPr>
              <w:t>具有音响师（或调音师）证书，得1分（同一人最多得1分、相同证书最多得1分）共计3分；</w:t>
            </w:r>
          </w:p>
          <w:p w14:paraId="38B4BECD">
            <w:pPr>
              <w:jc w:val="left"/>
              <w:rPr>
                <w:rFonts w:hint="eastAsia" w:ascii="宋体" w:hAnsi="宋体" w:cs="宋体"/>
                <w:color w:val="auto"/>
                <w:sz w:val="24"/>
                <w:highlight w:val="none"/>
              </w:rPr>
            </w:pPr>
            <w:r>
              <w:rPr>
                <w:rFonts w:hint="eastAsia" w:ascii="宋体" w:hAnsi="宋体" w:cs="宋体"/>
                <w:color w:val="auto"/>
                <w:sz w:val="24"/>
                <w:highlight w:val="none"/>
              </w:rPr>
              <w:t>（提供以上人员证书复印件以及近3个月内在本单位缴纳的社保证明，未提供社保证明的该项不得分）</w:t>
            </w:r>
          </w:p>
        </w:tc>
        <w:tc>
          <w:tcPr>
            <w:tcW w:w="852" w:type="dxa"/>
            <w:vAlign w:val="center"/>
          </w:tcPr>
          <w:p w14:paraId="51236A49">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w:t>
            </w:r>
          </w:p>
        </w:tc>
        <w:tc>
          <w:tcPr>
            <w:tcW w:w="1178" w:type="dxa"/>
            <w:vAlign w:val="center"/>
          </w:tcPr>
          <w:p w14:paraId="50DD4926">
            <w:pPr>
              <w:spacing w:line="360" w:lineRule="auto"/>
              <w:jc w:val="center"/>
              <w:outlineLvl w:val="0"/>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客观</w:t>
            </w:r>
          </w:p>
        </w:tc>
        <w:tc>
          <w:tcPr>
            <w:tcW w:w="1725" w:type="dxa"/>
            <w:vAlign w:val="center"/>
          </w:tcPr>
          <w:p w14:paraId="407F9DC3">
            <w:pPr>
              <w:spacing w:line="360" w:lineRule="auto"/>
              <w:jc w:val="center"/>
              <w:outlineLvl w:val="0"/>
              <w:rPr>
                <w:rFonts w:hint="eastAsia" w:ascii="宋体" w:hAnsi="宋体" w:cs="宋体"/>
                <w:color w:val="auto"/>
                <w:sz w:val="24"/>
                <w:highlight w:val="none"/>
              </w:rPr>
            </w:pPr>
          </w:p>
        </w:tc>
      </w:tr>
      <w:tr w14:paraId="5000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1" w:hRule="atLeast"/>
        </w:trPr>
        <w:tc>
          <w:tcPr>
            <w:tcW w:w="889" w:type="dxa"/>
            <w:vAlign w:val="center"/>
          </w:tcPr>
          <w:p w14:paraId="6430BFD9">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12</w:t>
            </w:r>
          </w:p>
        </w:tc>
        <w:tc>
          <w:tcPr>
            <w:tcW w:w="5572" w:type="dxa"/>
            <w:vAlign w:val="center"/>
          </w:tcPr>
          <w:p w14:paraId="3D3CC917">
            <w:pPr>
              <w:jc w:val="left"/>
              <w:rPr>
                <w:rFonts w:hint="eastAsia" w:ascii="宋体" w:hAnsi="宋体" w:cs="宋体"/>
                <w:color w:val="auto"/>
                <w:sz w:val="24"/>
                <w:highlight w:val="none"/>
              </w:rPr>
            </w:pPr>
            <w:r>
              <w:rPr>
                <w:rFonts w:hint="eastAsia" w:ascii="宋体" w:hAnsi="宋体" w:cs="宋体"/>
                <w:color w:val="auto"/>
                <w:sz w:val="24"/>
                <w:highlight w:val="none"/>
              </w:rPr>
              <w:t>根据各投标人所提供的售后服务方案（包括但不限于人员的配备、解决问题的能力、保养维修方案、紧急故障处理预案、项目维护计划（</w:t>
            </w:r>
            <w:r>
              <w:rPr>
                <w:rFonts w:hint="eastAsia" w:ascii="宋体" w:hAnsi="宋体" w:cs="宋体"/>
                <w:color w:val="auto"/>
                <w:kern w:val="0"/>
                <w:sz w:val="24"/>
                <w:highlight w:val="none"/>
              </w:rPr>
              <w:t>对用户故障的响应、处理、定期巡检等情况</w:t>
            </w:r>
            <w:r>
              <w:rPr>
                <w:rFonts w:hint="eastAsia" w:ascii="宋体" w:hAnsi="宋体" w:cs="宋体"/>
                <w:color w:val="auto"/>
                <w:sz w:val="24"/>
                <w:highlight w:val="none"/>
              </w:rPr>
              <w:t>）、</w:t>
            </w:r>
            <w:r>
              <w:rPr>
                <w:rFonts w:hint="eastAsia" w:ascii="宋体" w:hAnsi="宋体" w:cs="宋体"/>
                <w:color w:val="auto"/>
                <w:kern w:val="0"/>
                <w:sz w:val="24"/>
                <w:highlight w:val="none"/>
              </w:rPr>
              <w:t>产品质量保证、</w:t>
            </w:r>
            <w:r>
              <w:rPr>
                <w:rFonts w:hint="eastAsia" w:ascii="宋体" w:hAnsi="宋体" w:cs="宋体"/>
                <w:color w:val="auto"/>
                <w:sz w:val="24"/>
                <w:highlight w:val="none"/>
              </w:rPr>
              <w:t>备品备件的供应等）进行评审：</w:t>
            </w:r>
          </w:p>
          <w:p w14:paraId="5FFB485A">
            <w:pPr>
              <w:jc w:val="left"/>
              <w:rPr>
                <w:rFonts w:hint="eastAsia" w:ascii="宋体" w:hAnsi="宋体" w:cs="宋体"/>
                <w:color w:val="auto"/>
                <w:sz w:val="24"/>
                <w:highlight w:val="none"/>
              </w:rPr>
            </w:pPr>
            <w:r>
              <w:rPr>
                <w:rFonts w:hint="eastAsia" w:ascii="宋体" w:hAnsi="宋体" w:cs="宋体"/>
                <w:color w:val="auto"/>
                <w:sz w:val="24"/>
                <w:highlight w:val="none"/>
              </w:rPr>
              <w:t>售后服务方案全面、详细，合理，可行性强的，得3分；</w:t>
            </w:r>
          </w:p>
          <w:p w14:paraId="46138C19">
            <w:pPr>
              <w:jc w:val="left"/>
              <w:rPr>
                <w:rFonts w:hint="eastAsia" w:ascii="宋体" w:hAnsi="宋体" w:cs="宋体"/>
                <w:color w:val="auto"/>
                <w:sz w:val="24"/>
                <w:highlight w:val="none"/>
              </w:rPr>
            </w:pPr>
            <w:r>
              <w:rPr>
                <w:rFonts w:hint="eastAsia" w:ascii="宋体" w:hAnsi="宋体" w:cs="宋体"/>
                <w:color w:val="auto"/>
                <w:sz w:val="24"/>
                <w:highlight w:val="none"/>
              </w:rPr>
              <w:t>售后服务方案较全面、详细，合理，可行性较强的，得2分；</w:t>
            </w:r>
          </w:p>
          <w:p w14:paraId="76F26808">
            <w:pPr>
              <w:jc w:val="left"/>
              <w:rPr>
                <w:rFonts w:hint="eastAsia" w:ascii="宋体" w:hAnsi="宋体" w:cs="宋体"/>
                <w:color w:val="auto"/>
                <w:sz w:val="24"/>
                <w:highlight w:val="none"/>
              </w:rPr>
            </w:pPr>
            <w:r>
              <w:rPr>
                <w:rFonts w:hint="eastAsia" w:ascii="宋体" w:hAnsi="宋体" w:cs="宋体"/>
                <w:color w:val="auto"/>
                <w:sz w:val="24"/>
                <w:highlight w:val="none"/>
              </w:rPr>
              <w:t>售后服务方案全面性、合理性都一般，可行性一般的，得1分；</w:t>
            </w:r>
          </w:p>
          <w:p w14:paraId="4C8DE9A6">
            <w:pPr>
              <w:jc w:val="left"/>
              <w:rPr>
                <w:rFonts w:hint="eastAsia" w:ascii="宋体" w:hAnsi="宋体" w:cs="宋体"/>
                <w:color w:val="auto"/>
                <w:kern w:val="0"/>
                <w:sz w:val="24"/>
                <w:highlight w:val="none"/>
              </w:rPr>
            </w:pPr>
            <w:r>
              <w:rPr>
                <w:rFonts w:hint="eastAsia" w:ascii="宋体" w:hAnsi="宋体" w:cs="宋体"/>
                <w:color w:val="auto"/>
                <w:sz w:val="24"/>
                <w:highlight w:val="none"/>
              </w:rPr>
              <w:t>不提供的不得分。</w:t>
            </w:r>
          </w:p>
        </w:tc>
        <w:tc>
          <w:tcPr>
            <w:tcW w:w="852" w:type="dxa"/>
            <w:vAlign w:val="center"/>
          </w:tcPr>
          <w:p w14:paraId="7B497120">
            <w:pPr>
              <w:spacing w:line="360" w:lineRule="auto"/>
              <w:ind w:firstLine="120" w:firstLineChars="50"/>
              <w:jc w:val="center"/>
              <w:outlineLvl w:val="0"/>
              <w:rPr>
                <w:rFonts w:hint="eastAsia" w:ascii="宋体" w:hAnsi="宋体" w:cs="宋体"/>
                <w:color w:val="auto"/>
                <w:sz w:val="24"/>
                <w:highlight w:val="none"/>
              </w:rPr>
            </w:pPr>
            <w:r>
              <w:rPr>
                <w:rFonts w:hint="eastAsia" w:ascii="宋体" w:hAnsi="宋体" w:cs="宋体"/>
                <w:color w:val="auto"/>
                <w:sz w:val="24"/>
                <w:highlight w:val="none"/>
              </w:rPr>
              <w:t>3</w:t>
            </w:r>
          </w:p>
        </w:tc>
        <w:tc>
          <w:tcPr>
            <w:tcW w:w="1178" w:type="dxa"/>
            <w:vAlign w:val="center"/>
          </w:tcPr>
          <w:p w14:paraId="4B85C113">
            <w:pPr>
              <w:spacing w:line="360" w:lineRule="auto"/>
              <w:jc w:val="center"/>
              <w:outlineLvl w:val="0"/>
              <w:rPr>
                <w:rFonts w:hint="eastAsia" w:ascii="宋体" w:hAnsi="宋体" w:cs="宋体"/>
                <w:color w:val="auto"/>
                <w:sz w:val="24"/>
                <w:highlight w:val="none"/>
              </w:rPr>
            </w:pPr>
            <w:r>
              <w:rPr>
                <w:rFonts w:hint="eastAsia" w:ascii="宋体" w:hAnsi="宋体" w:cs="宋体"/>
                <w:color w:val="auto"/>
                <w:sz w:val="24"/>
                <w:highlight w:val="none"/>
              </w:rPr>
              <w:t>主观</w:t>
            </w:r>
          </w:p>
        </w:tc>
        <w:tc>
          <w:tcPr>
            <w:tcW w:w="1725" w:type="dxa"/>
            <w:vAlign w:val="center"/>
          </w:tcPr>
          <w:p w14:paraId="654CD7D5">
            <w:pPr>
              <w:spacing w:line="360" w:lineRule="auto"/>
              <w:jc w:val="center"/>
              <w:outlineLvl w:val="0"/>
              <w:rPr>
                <w:rFonts w:hint="eastAsia" w:ascii="宋体" w:hAnsi="宋体" w:cs="宋体"/>
                <w:color w:val="auto"/>
                <w:sz w:val="24"/>
                <w:highlight w:val="none"/>
              </w:rPr>
            </w:pPr>
          </w:p>
        </w:tc>
      </w:tr>
      <w:tr w14:paraId="74E0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889" w:type="dxa"/>
            <w:vAlign w:val="center"/>
          </w:tcPr>
          <w:p w14:paraId="4EF99B3F">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13</w:t>
            </w:r>
          </w:p>
        </w:tc>
        <w:tc>
          <w:tcPr>
            <w:tcW w:w="5572" w:type="dxa"/>
            <w:vAlign w:val="center"/>
          </w:tcPr>
          <w:p w14:paraId="58C59035">
            <w:pPr>
              <w:adjustRightInd/>
              <w:jc w:val="left"/>
              <w:rPr>
                <w:rFonts w:hint="eastAsia" w:ascii="宋体" w:hAnsi="宋体" w:cs="宋体"/>
                <w:bCs/>
                <w:color w:val="auto"/>
                <w:sz w:val="24"/>
                <w:highlight w:val="none"/>
              </w:rPr>
            </w:pPr>
            <w:r>
              <w:rPr>
                <w:rFonts w:hint="eastAsia" w:ascii="宋体" w:hAnsi="宋体" w:cs="宋体"/>
                <w:color w:val="auto"/>
                <w:kern w:val="0"/>
                <w:sz w:val="24"/>
                <w:highlight w:val="none"/>
              </w:rPr>
              <w:t>投标供应商投标人具有ISO14001环境管理体系、ISO9001质量管理体系、ISO 45001职业健康安全管理体系证书的并且在有效期内的，每提供一个得1分，最高得3分。</w:t>
            </w:r>
          </w:p>
          <w:p w14:paraId="2E3A36AB">
            <w:pPr>
              <w:pStyle w:val="61"/>
              <w:ind w:left="0" w:leftChars="0" w:firstLine="0" w:firstLineChars="0"/>
              <w:rPr>
                <w:rFonts w:hint="eastAsia" w:cs="宋体"/>
                <w:color w:val="auto"/>
                <w:highlight w:val="none"/>
              </w:rPr>
            </w:pPr>
            <w:r>
              <w:rPr>
                <w:rFonts w:hint="eastAsia" w:cs="宋体"/>
                <w:b/>
                <w:color w:val="auto"/>
                <w:sz w:val="24"/>
                <w:highlight w:val="none"/>
              </w:rPr>
              <w:t>注：</w:t>
            </w:r>
            <w:r>
              <w:rPr>
                <w:rFonts w:hint="eastAsia" w:cs="宋体"/>
                <w:b/>
                <w:color w:val="auto"/>
                <w:kern w:val="0"/>
                <w:sz w:val="24"/>
                <w:highlight w:val="none"/>
              </w:rPr>
              <w:t>须提供证书复印件与官网查询截图并</w:t>
            </w:r>
            <w:r>
              <w:rPr>
                <w:rFonts w:hint="eastAsia" w:cs="宋体"/>
                <w:b/>
                <w:bCs/>
                <w:color w:val="auto"/>
                <w:kern w:val="0"/>
                <w:sz w:val="24"/>
                <w:highlight w:val="none"/>
              </w:rPr>
              <w:t>加盖</w:t>
            </w:r>
            <w:r>
              <w:rPr>
                <w:rFonts w:hint="eastAsia" w:cs="宋体"/>
                <w:b/>
                <w:bCs/>
                <w:color w:val="auto"/>
                <w:sz w:val="24"/>
                <w:szCs w:val="22"/>
                <w:highlight w:val="none"/>
              </w:rPr>
              <w:t>投标单位</w:t>
            </w:r>
            <w:r>
              <w:rPr>
                <w:rFonts w:hint="eastAsia" w:cs="宋体"/>
                <w:b/>
                <w:bCs/>
                <w:color w:val="auto"/>
                <w:kern w:val="0"/>
                <w:sz w:val="24"/>
                <w:highlight w:val="none"/>
              </w:rPr>
              <w:t>公章</w:t>
            </w:r>
          </w:p>
        </w:tc>
        <w:tc>
          <w:tcPr>
            <w:tcW w:w="852" w:type="dxa"/>
            <w:vAlign w:val="center"/>
          </w:tcPr>
          <w:p w14:paraId="0A5009CD">
            <w:pPr>
              <w:spacing w:line="360" w:lineRule="auto"/>
              <w:ind w:firstLine="120" w:firstLineChars="50"/>
              <w:jc w:val="center"/>
              <w:outlineLvl w:val="0"/>
              <w:rPr>
                <w:rFonts w:hint="eastAsia" w:ascii="宋体" w:hAnsi="宋体" w:cs="宋体"/>
                <w:color w:val="auto"/>
                <w:sz w:val="24"/>
                <w:highlight w:val="none"/>
              </w:rPr>
            </w:pPr>
            <w:r>
              <w:rPr>
                <w:rFonts w:hint="eastAsia" w:ascii="宋体" w:hAnsi="宋体" w:cs="宋体"/>
                <w:color w:val="auto"/>
                <w:sz w:val="24"/>
                <w:highlight w:val="none"/>
              </w:rPr>
              <w:t>3</w:t>
            </w:r>
          </w:p>
        </w:tc>
        <w:tc>
          <w:tcPr>
            <w:tcW w:w="1178" w:type="dxa"/>
            <w:vAlign w:val="center"/>
          </w:tcPr>
          <w:p w14:paraId="3B94C27B">
            <w:pPr>
              <w:spacing w:line="360" w:lineRule="auto"/>
              <w:jc w:val="center"/>
              <w:outlineLvl w:val="0"/>
              <w:rPr>
                <w:rFonts w:hint="eastAsia" w:ascii="宋体" w:hAnsi="宋体" w:cs="宋体"/>
                <w:color w:val="auto"/>
                <w:kern w:val="0"/>
                <w:sz w:val="24"/>
                <w:highlight w:val="none"/>
              </w:rPr>
            </w:pPr>
            <w:r>
              <w:rPr>
                <w:rFonts w:hint="eastAsia" w:ascii="宋体" w:hAnsi="宋体" w:cs="宋体"/>
                <w:color w:val="auto"/>
                <w:sz w:val="24"/>
                <w:highlight w:val="none"/>
              </w:rPr>
              <w:t>客观</w:t>
            </w:r>
          </w:p>
        </w:tc>
        <w:tc>
          <w:tcPr>
            <w:tcW w:w="1725" w:type="dxa"/>
            <w:vAlign w:val="center"/>
          </w:tcPr>
          <w:p w14:paraId="54F5CDB0">
            <w:pPr>
              <w:spacing w:line="360" w:lineRule="auto"/>
              <w:jc w:val="center"/>
              <w:outlineLvl w:val="0"/>
              <w:rPr>
                <w:rFonts w:hint="eastAsia" w:ascii="宋体" w:hAnsi="宋体" w:cs="宋体"/>
                <w:color w:val="auto"/>
                <w:kern w:val="0"/>
                <w:sz w:val="24"/>
                <w:highlight w:val="none"/>
              </w:rPr>
            </w:pPr>
          </w:p>
        </w:tc>
      </w:tr>
      <w:tr w14:paraId="522F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889" w:type="dxa"/>
            <w:shd w:val="clear" w:color="auto" w:fill="auto"/>
            <w:vAlign w:val="center"/>
          </w:tcPr>
          <w:p w14:paraId="6A5CD7CB">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14</w:t>
            </w:r>
          </w:p>
        </w:tc>
        <w:tc>
          <w:tcPr>
            <w:tcW w:w="5572" w:type="dxa"/>
            <w:shd w:val="clear" w:color="auto" w:fill="auto"/>
            <w:vAlign w:val="center"/>
          </w:tcPr>
          <w:p w14:paraId="06CF6695">
            <w:pPr>
              <w:jc w:val="left"/>
              <w:rPr>
                <w:rFonts w:hint="eastAsia" w:ascii="宋体" w:hAnsi="宋体" w:cs="宋体"/>
                <w:color w:val="auto"/>
                <w:kern w:val="0"/>
                <w:sz w:val="24"/>
                <w:highlight w:val="none"/>
              </w:rPr>
            </w:pPr>
            <w:r>
              <w:rPr>
                <w:rFonts w:hint="eastAsia" w:ascii="宋体" w:hAnsi="宋体" w:cs="宋体"/>
                <w:color w:val="auto"/>
                <w:kern w:val="0"/>
                <w:sz w:val="24"/>
                <w:highlight w:val="none"/>
              </w:rPr>
              <w:t>自2022年1月1日以来（以合同签订时间为准）类似项目业绩，每提供一个得1分，最高得3分。</w:t>
            </w:r>
          </w:p>
          <w:p w14:paraId="5D9F21D1">
            <w:pPr>
              <w:jc w:val="left"/>
              <w:rPr>
                <w:rFonts w:hint="eastAsia" w:ascii="宋体" w:hAnsi="宋体" w:cs="宋体"/>
                <w:color w:val="auto"/>
                <w:kern w:val="0"/>
                <w:sz w:val="24"/>
                <w:highlight w:val="none"/>
              </w:rPr>
            </w:pPr>
            <w:r>
              <w:rPr>
                <w:rFonts w:hint="eastAsia" w:ascii="宋体" w:hAnsi="宋体" w:cs="宋体"/>
                <w:color w:val="auto"/>
                <w:kern w:val="0"/>
                <w:sz w:val="24"/>
                <w:highlight w:val="none"/>
              </w:rPr>
              <w:t>（须同时提供合同扫描件及验收合格证明文件，否则不得分。）</w:t>
            </w:r>
          </w:p>
        </w:tc>
        <w:tc>
          <w:tcPr>
            <w:tcW w:w="852" w:type="dxa"/>
            <w:shd w:val="clear" w:color="auto" w:fill="auto"/>
            <w:vAlign w:val="center"/>
          </w:tcPr>
          <w:p w14:paraId="3CE137E7">
            <w:pPr>
              <w:spacing w:line="360" w:lineRule="auto"/>
              <w:ind w:firstLine="120" w:firstLineChars="50"/>
              <w:jc w:val="center"/>
              <w:outlineLvl w:val="0"/>
              <w:rPr>
                <w:rFonts w:hint="eastAsia" w:ascii="宋体" w:hAnsi="宋体" w:cs="宋体"/>
                <w:color w:val="auto"/>
                <w:sz w:val="24"/>
                <w:highlight w:val="none"/>
              </w:rPr>
            </w:pPr>
            <w:r>
              <w:rPr>
                <w:rFonts w:hint="eastAsia" w:ascii="宋体" w:hAnsi="宋体" w:cs="宋体"/>
                <w:color w:val="auto"/>
                <w:sz w:val="24"/>
                <w:highlight w:val="none"/>
              </w:rPr>
              <w:t>3</w:t>
            </w:r>
          </w:p>
        </w:tc>
        <w:tc>
          <w:tcPr>
            <w:tcW w:w="1178" w:type="dxa"/>
            <w:shd w:val="clear" w:color="auto" w:fill="auto"/>
            <w:vAlign w:val="center"/>
          </w:tcPr>
          <w:p w14:paraId="272A5EC1">
            <w:pPr>
              <w:spacing w:line="360" w:lineRule="auto"/>
              <w:jc w:val="center"/>
              <w:outlineLvl w:val="0"/>
              <w:rPr>
                <w:rFonts w:hint="eastAsia" w:ascii="宋体" w:hAnsi="宋体" w:cs="宋体"/>
                <w:color w:val="auto"/>
                <w:kern w:val="0"/>
                <w:sz w:val="24"/>
                <w:highlight w:val="none"/>
              </w:rPr>
            </w:pPr>
            <w:r>
              <w:rPr>
                <w:rFonts w:hint="eastAsia" w:ascii="宋体" w:hAnsi="宋体" w:cs="宋体"/>
                <w:color w:val="auto"/>
                <w:sz w:val="24"/>
                <w:highlight w:val="none"/>
              </w:rPr>
              <w:t>客观</w:t>
            </w:r>
          </w:p>
        </w:tc>
        <w:tc>
          <w:tcPr>
            <w:tcW w:w="1725" w:type="dxa"/>
            <w:vAlign w:val="center"/>
          </w:tcPr>
          <w:p w14:paraId="1F81D0AE">
            <w:pPr>
              <w:spacing w:line="360" w:lineRule="auto"/>
              <w:jc w:val="center"/>
              <w:outlineLvl w:val="0"/>
              <w:rPr>
                <w:rFonts w:hint="eastAsia" w:ascii="宋体" w:hAnsi="宋体" w:cs="宋体"/>
                <w:color w:val="auto"/>
                <w:kern w:val="0"/>
                <w:sz w:val="24"/>
                <w:highlight w:val="none"/>
              </w:rPr>
            </w:pPr>
          </w:p>
        </w:tc>
      </w:tr>
      <w:tr w14:paraId="0EBD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889" w:type="dxa"/>
            <w:shd w:val="clear" w:color="auto" w:fill="auto"/>
            <w:vAlign w:val="center"/>
          </w:tcPr>
          <w:p w14:paraId="00F76341">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5572" w:type="dxa"/>
            <w:shd w:val="clear" w:color="auto" w:fill="auto"/>
            <w:vAlign w:val="center"/>
          </w:tcPr>
          <w:p w14:paraId="2DA76D8F">
            <w:pPr>
              <w:jc w:val="left"/>
              <w:outlineLvl w:val="0"/>
              <w:rPr>
                <w:rFonts w:hint="eastAsia" w:ascii="宋体" w:hAnsi="宋体" w:cs="宋体"/>
                <w:color w:val="auto"/>
                <w:sz w:val="24"/>
                <w:highlight w:val="none"/>
              </w:rPr>
            </w:pPr>
            <w:r>
              <w:rPr>
                <w:rFonts w:hint="eastAsia" w:ascii="宋体" w:hAnsi="宋体" w:cs="宋体"/>
                <w:color w:val="auto"/>
                <w:sz w:val="24"/>
                <w:highlight w:val="none"/>
              </w:rPr>
              <w:t>有效投标报价的最低价作为评标基准价，其最低报价为满分；按［投标报价得分=（评标基准价/投标报价）*30］的计算公式计算。评标过程中，不得去掉报价中的最高报价和最低报价。</w:t>
            </w:r>
          </w:p>
          <w:p w14:paraId="0B22E297">
            <w:pPr>
              <w:jc w:val="left"/>
              <w:outlineLvl w:val="0"/>
              <w:rPr>
                <w:rFonts w:hint="eastAsia" w:ascii="宋体" w:hAnsi="宋体" w:cs="宋体"/>
                <w:color w:val="auto"/>
                <w:kern w:val="0"/>
                <w:sz w:val="24"/>
                <w:highlight w:val="none"/>
              </w:rPr>
            </w:pPr>
            <w:r>
              <w:rPr>
                <w:rFonts w:hint="eastAsia" w:ascii="宋体" w:hAnsi="宋体" w:cs="宋体"/>
                <w:color w:val="auto"/>
                <w:sz w:val="24"/>
                <w:highlight w:val="none"/>
              </w:rPr>
              <w:t>因落实政府采购政策需要进行价格调整的，以调整后的价格计算评标基准价和投标报价。</w:t>
            </w:r>
          </w:p>
        </w:tc>
        <w:tc>
          <w:tcPr>
            <w:tcW w:w="852" w:type="dxa"/>
            <w:shd w:val="clear" w:color="auto" w:fill="auto"/>
            <w:vAlign w:val="center"/>
          </w:tcPr>
          <w:p w14:paraId="545B7F74">
            <w:pPr>
              <w:spacing w:line="360" w:lineRule="auto"/>
              <w:ind w:firstLine="120" w:firstLineChars="50"/>
              <w:jc w:val="center"/>
              <w:outlineLvl w:val="0"/>
              <w:rPr>
                <w:rFonts w:hint="eastAsia" w:ascii="宋体" w:hAnsi="宋体" w:cs="宋体"/>
                <w:color w:val="auto"/>
                <w:sz w:val="24"/>
                <w:highlight w:val="none"/>
              </w:rPr>
            </w:pPr>
            <w:r>
              <w:rPr>
                <w:rFonts w:hint="eastAsia" w:ascii="宋体" w:hAnsi="宋体" w:cs="宋体"/>
                <w:color w:val="auto"/>
                <w:sz w:val="24"/>
                <w:highlight w:val="none"/>
              </w:rPr>
              <w:t>30</w:t>
            </w:r>
          </w:p>
        </w:tc>
        <w:tc>
          <w:tcPr>
            <w:tcW w:w="1178" w:type="dxa"/>
            <w:shd w:val="clear" w:color="auto" w:fill="auto"/>
            <w:vAlign w:val="center"/>
          </w:tcPr>
          <w:p w14:paraId="55355700">
            <w:pPr>
              <w:spacing w:line="360" w:lineRule="auto"/>
              <w:jc w:val="center"/>
              <w:outlineLvl w:val="0"/>
              <w:rPr>
                <w:rFonts w:hint="eastAsia" w:ascii="宋体" w:hAnsi="宋体" w:cs="宋体"/>
                <w:color w:val="auto"/>
                <w:sz w:val="24"/>
                <w:highlight w:val="none"/>
              </w:rPr>
            </w:pPr>
            <w:r>
              <w:rPr>
                <w:rFonts w:hint="eastAsia" w:ascii="宋体" w:hAnsi="宋体" w:cs="宋体"/>
                <w:color w:val="auto"/>
                <w:sz w:val="24"/>
                <w:highlight w:val="none"/>
              </w:rPr>
              <w:t>客观</w:t>
            </w:r>
          </w:p>
        </w:tc>
        <w:tc>
          <w:tcPr>
            <w:tcW w:w="1725" w:type="dxa"/>
          </w:tcPr>
          <w:p w14:paraId="7A5772AA">
            <w:pPr>
              <w:spacing w:line="360" w:lineRule="auto"/>
              <w:jc w:val="center"/>
              <w:outlineLvl w:val="0"/>
              <w:rPr>
                <w:rFonts w:hint="eastAsia" w:ascii="宋体" w:hAnsi="宋体" w:cs="宋体"/>
                <w:color w:val="auto"/>
                <w:sz w:val="24"/>
                <w:highlight w:val="none"/>
              </w:rPr>
            </w:pPr>
          </w:p>
          <w:p w14:paraId="07D6D188">
            <w:pPr>
              <w:spacing w:line="360" w:lineRule="auto"/>
              <w:jc w:val="center"/>
              <w:outlineLvl w:val="0"/>
              <w:rPr>
                <w:rFonts w:hint="eastAsia" w:ascii="宋体" w:hAnsi="宋体" w:cs="宋体"/>
                <w:color w:val="auto"/>
                <w:sz w:val="24"/>
                <w:highlight w:val="none"/>
              </w:rPr>
            </w:pPr>
          </w:p>
          <w:p w14:paraId="573105ED">
            <w:pPr>
              <w:spacing w:line="360" w:lineRule="auto"/>
              <w:jc w:val="center"/>
              <w:outlineLvl w:val="0"/>
              <w:rPr>
                <w:rFonts w:hint="eastAsia" w:ascii="宋体" w:hAnsi="宋体" w:cs="宋体"/>
                <w:color w:val="auto"/>
                <w:sz w:val="24"/>
                <w:highlight w:val="none"/>
              </w:rPr>
            </w:pPr>
            <w:r>
              <w:rPr>
                <w:rFonts w:hint="eastAsia" w:ascii="宋体" w:hAnsi="宋体" w:cs="宋体"/>
                <w:color w:val="auto"/>
                <w:sz w:val="24"/>
                <w:highlight w:val="none"/>
              </w:rPr>
              <w:t>/</w:t>
            </w:r>
          </w:p>
        </w:tc>
      </w:tr>
    </w:tbl>
    <w:p w14:paraId="78E29731">
      <w:pPr>
        <w:rPr>
          <w:rFonts w:hint="eastAsia" w:ascii="宋体" w:hAnsi="宋体" w:eastAsia="宋体" w:cs="宋体"/>
          <w:color w:val="auto"/>
          <w:highlight w:val="none"/>
        </w:rPr>
      </w:pPr>
    </w:p>
    <w:p w14:paraId="5499343F">
      <w:pPr>
        <w:snapToGrid w:val="0"/>
        <w:spacing w:line="360" w:lineRule="auto"/>
        <w:rPr>
          <w:rFonts w:hint="eastAsia" w:ascii="宋体" w:hAnsi="宋体" w:eastAsia="宋体" w:cs="宋体"/>
          <w:color w:val="auto"/>
          <w:sz w:val="20"/>
          <w:szCs w:val="20"/>
          <w:highlight w:val="none"/>
          <w:shd w:val="clear" w:color="auto" w:fill="FFFFFF"/>
        </w:rPr>
      </w:pPr>
      <w:r>
        <w:rPr>
          <w:rFonts w:hint="eastAsia" w:ascii="宋体" w:hAnsi="宋体" w:eastAsia="宋体" w:cs="宋体"/>
          <w:color w:val="auto"/>
          <w:sz w:val="20"/>
          <w:szCs w:val="20"/>
          <w:highlight w:val="none"/>
          <w:shd w:val="clear" w:color="auto" w:fill="FFFFFF"/>
        </w:rPr>
        <w:t> </w:t>
      </w:r>
    </w:p>
    <w:p w14:paraId="1CCE1118">
      <w:pPr>
        <w:snapToGrid w:val="0"/>
        <w:spacing w:line="360" w:lineRule="auto"/>
        <w:rPr>
          <w:rFonts w:hint="eastAsia" w:ascii="宋体" w:hAnsi="宋体" w:eastAsia="宋体" w:cs="宋体"/>
          <w:b/>
          <w:color w:val="auto"/>
          <w:sz w:val="24"/>
          <w:highlight w:val="none"/>
        </w:rPr>
      </w:pPr>
      <w:r>
        <w:rPr>
          <w:rFonts w:hint="eastAsia" w:ascii="宋体" w:hAnsi="宋体" w:eastAsia="宋体" w:cs="宋体"/>
          <w:color w:val="auto"/>
          <w:sz w:val="20"/>
          <w:szCs w:val="20"/>
          <w:highlight w:val="none"/>
          <w:shd w:val="clear" w:color="auto" w:fill="FFFFFF"/>
        </w:rPr>
        <w:t>*</w:t>
      </w: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 </w:t>
      </w:r>
    </w:p>
    <w:p w14:paraId="1C644FEB">
      <w:pPr>
        <w:snapToGrid w:val="0"/>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32"/>
          <w:highlight w:val="none"/>
        </w:rPr>
        <w:t>一、评标方法</w:t>
      </w:r>
    </w:p>
    <w:p w14:paraId="5753F219">
      <w:pPr>
        <w:adjustRightInd/>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1.本项目采用综合评分法。</w:t>
      </w:r>
      <w:r>
        <w:rPr>
          <w:rFonts w:hint="eastAsia" w:ascii="宋体" w:hAnsi="宋体" w:eastAsia="宋体" w:cs="宋体"/>
          <w:color w:val="auto"/>
          <w:kern w:val="0"/>
          <w:sz w:val="24"/>
          <w:highlight w:val="none"/>
        </w:rPr>
        <w:t>综合评分法，是指投标文件满足招标文件全部实质性要求，且按照评审因素的量化指标评审得分最高的投标人为中标候选人的评标方法。</w:t>
      </w:r>
    </w:p>
    <w:p w14:paraId="53B020BF">
      <w:pPr>
        <w:adjustRightInd/>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32"/>
          <w:highlight w:val="none"/>
        </w:rPr>
        <w:t>二、评标标准</w:t>
      </w:r>
    </w:p>
    <w:p w14:paraId="609375C8">
      <w:pPr>
        <w:spacing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评标标准：</w:t>
      </w:r>
      <w:r>
        <w:rPr>
          <w:rFonts w:hint="eastAsia" w:ascii="宋体" w:hAnsi="宋体" w:eastAsia="宋体" w:cs="宋体"/>
          <w:color w:val="auto"/>
          <w:kern w:val="0"/>
          <w:sz w:val="24"/>
          <w:highlight w:val="none"/>
        </w:rPr>
        <w:t>见评标办法前附表。</w:t>
      </w:r>
    </w:p>
    <w:p w14:paraId="71E778C5">
      <w:pPr>
        <w:spacing w:line="360" w:lineRule="auto"/>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三、评标程序</w:t>
      </w:r>
    </w:p>
    <w:p w14:paraId="3C84A722">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62773C12">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 比较与评价。</w:t>
      </w:r>
      <w:r>
        <w:rPr>
          <w:rFonts w:hint="eastAsia" w:ascii="宋体" w:hAnsi="宋体" w:eastAsia="宋体" w:cs="宋体"/>
          <w:color w:val="auto"/>
          <w:kern w:val="0"/>
          <w:sz w:val="24"/>
          <w:highlight w:val="none"/>
        </w:rPr>
        <w:t>评标委员会应当按照招标文件中规定的评标方法和标准，对符合性审查合格的投标文件进行商务和技术评估，综合比较与评价。</w:t>
      </w:r>
    </w:p>
    <w:p w14:paraId="5592D658">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评标委员会各成员应当独立对每个投标人的商务和技术文件进行评价，并汇总商务技术得分情况。</w:t>
      </w:r>
    </w:p>
    <w:p w14:paraId="2A6D274C">
      <w:pPr>
        <w:spacing w:line="360" w:lineRule="auto"/>
        <w:ind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14:paraId="42E0BC1C">
      <w:pPr>
        <w:pStyle w:val="129"/>
        <w:spacing w:before="0"/>
        <w:ind w:firstLine="508" w:firstLineChars="212"/>
        <w:rPr>
          <w:rFonts w:hint="eastAsia" w:ascii="宋体" w:hAnsi="宋体" w:eastAsia="宋体" w:cs="宋体"/>
          <w:color w:val="auto"/>
          <w:kern w:val="0"/>
          <w:highlight w:val="none"/>
        </w:rPr>
      </w:pPr>
      <w:r>
        <w:rPr>
          <w:rFonts w:hint="eastAsia" w:ascii="宋体" w:hAnsi="宋体" w:eastAsia="宋体" w:cs="宋体"/>
          <w:color w:val="auto"/>
          <w:kern w:val="0"/>
          <w:highlight w:val="none"/>
        </w:rPr>
        <w:t>3.4.1投标文件报价出现前后不一致的，按照下列规定修正：</w:t>
      </w:r>
    </w:p>
    <w:p w14:paraId="2BBB5DD7">
      <w:pPr>
        <w:pStyle w:val="129"/>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3.4.1.1投标文件中开标一览表(报价表)内容与投标文件中相应内容不一致的，以开标一览表(报价表)为准;</w:t>
      </w:r>
    </w:p>
    <w:p w14:paraId="2A97848C">
      <w:pPr>
        <w:pStyle w:val="129"/>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3.4.1.2大写金额和小写金额不一致的，以大写金额为准;</w:t>
      </w:r>
    </w:p>
    <w:p w14:paraId="0BB005B5">
      <w:pPr>
        <w:pStyle w:val="129"/>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3.4.1.3单价金额小数点或者百分比有明显错位的，以开标一览表的总价为准，并修改单价;</w:t>
      </w:r>
    </w:p>
    <w:p w14:paraId="476367A8">
      <w:pPr>
        <w:pStyle w:val="129"/>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14:paraId="7AC6DA52">
      <w:pPr>
        <w:pStyle w:val="129"/>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0C4B9CC2">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3.4.2投标文件出现不是唯一的、有选择性投标报价的，投标无效。</w:t>
      </w:r>
    </w:p>
    <w:p w14:paraId="1CBC1AE9">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3.4.3投标报价超过招标文件中规定的预算金额或者最高限价的，投标无效。</w:t>
      </w:r>
    </w:p>
    <w:p w14:paraId="5213B799">
      <w:pPr>
        <w:pStyle w:val="129"/>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CF9478E">
      <w:pPr>
        <w:pStyle w:val="129"/>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3.4.5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52E7D1D3">
      <w:pPr>
        <w:spacing w:line="360" w:lineRule="auto"/>
        <w:ind w:firstLine="482" w:firstLineChars="20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F7C5B4F">
      <w:pPr>
        <w:spacing w:line="360" w:lineRule="auto"/>
        <w:ind w:firstLine="480" w:firstLineChars="200"/>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E2ECFB7">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3.6编写评标报告。</w:t>
      </w:r>
      <w:r>
        <w:rPr>
          <w:rFonts w:hint="eastAsia" w:ascii="宋体" w:hAnsi="宋体" w:eastAsia="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0424EF9">
      <w:pPr>
        <w:widowControl/>
        <w:shd w:val="clear" w:color="auto" w:fill="FFFFFF"/>
        <w:adjustRightInd/>
        <w:spacing w:after="225" w:line="315" w:lineRule="atLeast"/>
        <w:jc w:val="left"/>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四、评标中的其他事项</w:t>
      </w:r>
    </w:p>
    <w:p w14:paraId="48A85866">
      <w:pPr>
        <w:pStyle w:val="129"/>
        <w:spacing w:before="0"/>
        <w:ind w:firstLine="472" w:firstLineChars="196"/>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4.1投标人澄清、说明或者补正。</w:t>
      </w:r>
      <w:r>
        <w:rPr>
          <w:rFonts w:hint="eastAsia" w:ascii="宋体" w:hAnsi="宋体" w:eastAsia="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9AFF7F7">
      <w:pPr>
        <w:pStyle w:val="25"/>
        <w:spacing w:line="360" w:lineRule="auto"/>
        <w:ind w:left="954" w:leftChars="226" w:hanging="479" w:firstLineChars="0"/>
        <w:rPr>
          <w:rFonts w:hint="eastAsia" w:ascii="宋体" w:hAnsi="宋体" w:eastAsia="宋体" w:cs="宋体"/>
          <w:color w:val="auto"/>
          <w:szCs w:val="21"/>
          <w:highlight w:val="none"/>
        </w:rPr>
      </w:pPr>
      <w:r>
        <w:rPr>
          <w:rFonts w:hint="eastAsia" w:ascii="宋体" w:hAnsi="宋体" w:eastAsia="宋体" w:cs="宋体"/>
          <w:b/>
          <w:color w:val="auto"/>
          <w:kern w:val="0"/>
          <w:highlight w:val="none"/>
        </w:rPr>
        <w:t>4.2投标无效。</w:t>
      </w:r>
      <w:r>
        <w:rPr>
          <w:rFonts w:hint="eastAsia" w:ascii="宋体" w:hAnsi="宋体" w:eastAsia="宋体" w:cs="宋体"/>
          <w:color w:val="auto"/>
          <w:szCs w:val="21"/>
          <w:highlight w:val="none"/>
        </w:rPr>
        <w:t>有下列情形之一的，投标无效：</w:t>
      </w:r>
    </w:p>
    <w:p w14:paraId="575210BC">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4.2.1投标人不具备招标文件中规定的资格要求的（投标人未提供有效的资格文件的，视为投标人不具备招标文件中规定的资格要求）；</w:t>
      </w:r>
    </w:p>
    <w:p w14:paraId="4D7C3434">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4.2.2投标文件未按照招标文件要求签署、盖章的；</w:t>
      </w:r>
    </w:p>
    <w:p w14:paraId="2A8FA607">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33D4505E">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4.2.4投标文件含有采购人不能接受的附加条件的；</w:t>
      </w:r>
    </w:p>
    <w:p w14:paraId="323CF6C2">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4.2.5投标文件中承诺的投标有效期少于招标文件中载明的投标有效期的；</w:t>
      </w:r>
    </w:p>
    <w:p w14:paraId="5A5F5BE5">
      <w:pPr>
        <w:snapToGrid w:val="0"/>
        <w:spacing w:line="360" w:lineRule="auto"/>
        <w:ind w:firstLine="120" w:firstLineChars="5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4.2.6投标文件出现不是唯一的、有选择性投标报价的;</w:t>
      </w:r>
    </w:p>
    <w:p w14:paraId="645780C1">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4.2.7投标报价超过招标文件中规定的预算金额或者最高限价的;</w:t>
      </w:r>
    </w:p>
    <w:p w14:paraId="2C2C21C4">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6B264804">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4.2.9投标人对根据修正原则修正后的报价不确认的；</w:t>
      </w:r>
    </w:p>
    <w:p w14:paraId="63D23A65">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4.2.10投标人提供虚假材料投标的；</w:t>
      </w:r>
    </w:p>
    <w:p w14:paraId="1CD5C4A5">
      <w:pPr>
        <w:spacing w:line="360" w:lineRule="auto"/>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4.2.11投标人有恶意串通、妨碍其他投标人的竞争行为、损害采购人或者其他投标人的合法权益情形的；</w:t>
      </w:r>
    </w:p>
    <w:p w14:paraId="464030D3">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4.2.12投标人仅提交备份投标文件，未在电子交易平台传输递交投标文件的，投标无效；</w:t>
      </w:r>
    </w:p>
    <w:p w14:paraId="69A04F9C">
      <w:pPr>
        <w:pStyle w:val="3"/>
        <w:ind w:left="862" w:leftChars="205"/>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14:paraId="06D0D374">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4.2.14</w:t>
      </w:r>
      <w:r>
        <w:rPr>
          <w:rFonts w:hint="eastAsia" w:asciiTheme="minorEastAsia" w:hAnsiTheme="minorEastAsia" w:eastAsiaTheme="minorEastAsia"/>
          <w:color w:val="auto"/>
          <w:sz w:val="24"/>
          <w:highlight w:val="none"/>
          <w:lang w:val="en-US" w:eastAsia="zh-CN"/>
        </w:rPr>
        <w:t>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0AD949FB">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w:t>
      </w:r>
      <w:r>
        <w:rPr>
          <w:rFonts w:hint="eastAsia" w:ascii="宋体" w:hAnsi="宋体" w:eastAsia="宋体" w:cs="宋体"/>
          <w:color w:val="auto"/>
          <w:kern w:val="0"/>
          <w:sz w:val="24"/>
          <w:highlight w:val="none"/>
          <w:lang w:val="en-US" w:eastAsia="zh-CN"/>
        </w:rPr>
        <w:t>5</w:t>
      </w:r>
      <w:r>
        <w:rPr>
          <w:rFonts w:hint="eastAsia" w:ascii="宋体" w:hAnsi="宋体" w:eastAsia="宋体" w:cs="宋体"/>
          <w:color w:val="auto"/>
          <w:kern w:val="0"/>
          <w:sz w:val="24"/>
          <w:highlight w:val="none"/>
        </w:rPr>
        <w:t>法律、法规、规章（适用本市的）及省级以上规范性文件（适用本市的）规定的其他无效情形。</w:t>
      </w:r>
    </w:p>
    <w:p w14:paraId="0741183A">
      <w:pPr>
        <w:pStyle w:val="25"/>
        <w:snapToGrid w:val="0"/>
        <w:spacing w:line="360" w:lineRule="auto"/>
        <w:ind w:firstLine="472" w:firstLineChars="196"/>
        <w:rPr>
          <w:rFonts w:hint="eastAsia" w:ascii="宋体" w:hAnsi="宋体" w:eastAsia="宋体" w:cs="宋体"/>
          <w:color w:val="auto"/>
          <w:highlight w:val="none"/>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根据《中华人民共和国政府采购法》第三十六条之规定，在采购中，出现下列情形之一的，应予废标：</w:t>
      </w:r>
    </w:p>
    <w:p w14:paraId="7AA04F86">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5.1符合专业条件的供应商或者对招标文件作实质响应的供应商不足3家的；</w:t>
      </w:r>
    </w:p>
    <w:p w14:paraId="7B920E65">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14:paraId="21C09EAB">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5.3投标人的报价均超过了采购预算，采购人不能支付的；</w:t>
      </w:r>
    </w:p>
    <w:p w14:paraId="58ADC3B5">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14:paraId="3512ED63">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废标后，采购代理机构应当将废标理由通知所有投标人。</w:t>
      </w:r>
    </w:p>
    <w:p w14:paraId="045F4069">
      <w:pPr>
        <w:pStyle w:val="25"/>
        <w:snapToGrid w:val="0"/>
        <w:spacing w:line="360" w:lineRule="auto"/>
        <w:ind w:firstLine="590" w:firstLineChars="245"/>
        <w:rPr>
          <w:rFonts w:hint="eastAsia" w:ascii="宋体" w:hAnsi="宋体" w:eastAsia="宋体" w:cs="宋体"/>
          <w:color w:val="auto"/>
          <w:highlight w:val="none"/>
        </w:rPr>
      </w:pPr>
      <w:r>
        <w:rPr>
          <w:rFonts w:hint="eastAsia" w:ascii="宋体" w:hAnsi="宋体" w:eastAsia="宋体" w:cs="宋体"/>
          <w:b/>
          <w:color w:val="auto"/>
          <w:highlight w:val="none"/>
        </w:rPr>
        <w:t>6.修改招标文件，重新组织采购活动。</w:t>
      </w:r>
      <w:r>
        <w:rPr>
          <w:rFonts w:hint="eastAsia" w:ascii="宋体" w:hAnsi="宋体" w:eastAsia="宋体"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E8846DE">
      <w:pPr>
        <w:pStyle w:val="25"/>
        <w:snapToGrid w:val="0"/>
        <w:spacing w:line="360" w:lineRule="auto"/>
        <w:ind w:firstLine="482"/>
        <w:rPr>
          <w:rFonts w:hint="eastAsia" w:ascii="宋体" w:hAnsi="宋体" w:eastAsia="宋体" w:cs="宋体"/>
          <w:color w:val="auto"/>
          <w:highlight w:val="none"/>
        </w:rPr>
      </w:pPr>
      <w:r>
        <w:rPr>
          <w:rFonts w:hint="eastAsia" w:ascii="宋体" w:hAnsi="宋体" w:eastAsia="宋体" w:cs="宋体"/>
          <w:b/>
          <w:color w:val="auto"/>
          <w:kern w:val="0"/>
          <w:highlight w:val="none"/>
        </w:rPr>
        <w:t>7.重新开展采购。</w:t>
      </w:r>
      <w:r>
        <w:rPr>
          <w:rFonts w:hint="eastAsia" w:ascii="宋体" w:hAnsi="宋体" w:eastAsia="宋体" w:cs="宋体"/>
          <w:color w:val="auto"/>
          <w:highlight w:val="none"/>
        </w:rPr>
        <w:t>有政府采购法第七十一条、第七十二条规定的违法行为之一，影响或者可能影响中标结果的，依照下列规定处理：</w:t>
      </w:r>
    </w:p>
    <w:p w14:paraId="13C5296A">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7.1未确定中标供应商的，终止本次政府采购活动，重新开展政府采购活动。</w:t>
      </w:r>
    </w:p>
    <w:p w14:paraId="280AC2B9">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7.2已确定中标供应商但尚未签订政府采购合同的，中标结果无效，从合格的中标候选人中另行确定中标供应商；没有合格的中标候选人的，重新开展政府采购活动。</w:t>
      </w:r>
    </w:p>
    <w:p w14:paraId="446405D5">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7.3政府采购合同已签订但尚未履行的，撤销合同，从合格的中标候选人中另行确定中标供应商；没有合格的中标候选人的，重新开展政府采购活动。</w:t>
      </w:r>
    </w:p>
    <w:p w14:paraId="7290258D">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7.4政府采购合同已经履行，给采购人、供应商造成损失的，由责任人承担赔偿责任。</w:t>
      </w:r>
    </w:p>
    <w:p w14:paraId="72E5857B">
      <w:pPr>
        <w:pStyle w:val="25"/>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15C78BF4">
      <w:pPr>
        <w:pStyle w:val="25"/>
        <w:snapToGrid w:val="0"/>
        <w:spacing w:line="360" w:lineRule="auto"/>
        <w:ind w:firstLine="0" w:firstLineChars="0"/>
        <w:rPr>
          <w:rFonts w:hint="eastAsia" w:ascii="宋体" w:hAnsi="宋体" w:eastAsia="宋体" w:cs="宋体"/>
          <w:color w:val="auto"/>
          <w:highlight w:val="none"/>
        </w:rPr>
      </w:pPr>
    </w:p>
    <w:bookmarkEnd w:id="31"/>
    <w:p w14:paraId="43A71883">
      <w:pPr>
        <w:rPr>
          <w:rFonts w:hint="eastAsia" w:ascii="宋体" w:hAnsi="宋体" w:eastAsia="宋体" w:cs="宋体"/>
          <w:b/>
          <w:color w:val="auto"/>
          <w:sz w:val="36"/>
          <w:szCs w:val="36"/>
          <w:highlight w:val="none"/>
        </w:rPr>
      </w:pPr>
      <w:bookmarkStart w:id="398" w:name="第五部分"/>
      <w:bookmarkStart w:id="399" w:name="_Toc86217003"/>
      <w:r>
        <w:rPr>
          <w:rFonts w:hint="eastAsia" w:ascii="宋体" w:hAnsi="宋体" w:eastAsia="宋体" w:cs="宋体"/>
          <w:b/>
          <w:color w:val="auto"/>
          <w:sz w:val="36"/>
          <w:szCs w:val="36"/>
          <w:highlight w:val="none"/>
        </w:rPr>
        <w:br w:type="page"/>
      </w:r>
    </w:p>
    <w:p w14:paraId="4C4EFDBB">
      <w:pPr>
        <w:spacing w:line="360" w:lineRule="auto"/>
        <w:ind w:left="720" w:leftChars="343" w:firstLine="1084" w:firstLineChars="300"/>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拟签订的合同文本</w:t>
      </w:r>
    </w:p>
    <w:p w14:paraId="173FBAE7">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合同编号：</w:t>
      </w:r>
    </w:p>
    <w:p w14:paraId="69F09381">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政府采购合同参考范本</w:t>
      </w:r>
    </w:p>
    <w:p w14:paraId="6E885FB6">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（货物类）</w:t>
      </w:r>
    </w:p>
    <w:p w14:paraId="67F310CB">
      <w:pPr>
        <w:pStyle w:val="700"/>
        <w:ind w:firstLine="2843" w:firstLineChars="118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第一部分 合同书</w:t>
      </w:r>
    </w:p>
    <w:p w14:paraId="154EAB72">
      <w:pPr>
        <w:pStyle w:val="700"/>
        <w:rPr>
          <w:rFonts w:hint="eastAsia" w:ascii="宋体" w:hAnsi="宋体" w:eastAsia="宋体" w:cs="宋体"/>
          <w:color w:val="auto"/>
          <w:szCs w:val="24"/>
          <w:highlight w:val="none"/>
        </w:rPr>
      </w:pPr>
    </w:p>
    <w:p w14:paraId="19A218F8">
      <w:pPr>
        <w:pStyle w:val="700"/>
        <w:rPr>
          <w:rFonts w:hint="eastAsia" w:ascii="宋体" w:hAnsi="宋体" w:eastAsia="宋体" w:cs="宋体"/>
          <w:color w:val="auto"/>
          <w:szCs w:val="24"/>
          <w:highlight w:val="none"/>
        </w:rPr>
      </w:pPr>
    </w:p>
    <w:p w14:paraId="64DC0DDB">
      <w:pPr>
        <w:spacing w:before="120" w:line="22" w:lineRule="atLeast"/>
        <w:rPr>
          <w:rFonts w:hint="eastAsia" w:ascii="宋体" w:hAnsi="宋体" w:eastAsia="宋体" w:cs="宋体"/>
          <w:color w:val="auto"/>
          <w:sz w:val="24"/>
          <w:highlight w:val="none"/>
        </w:rPr>
      </w:pPr>
    </w:p>
    <w:p w14:paraId="2229E1DC">
      <w:pPr>
        <w:spacing w:before="120" w:line="22" w:lineRule="atLeast"/>
        <w:ind w:left="96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p w14:paraId="27F3FAB7">
      <w:pPr>
        <w:pStyle w:val="597"/>
        <w:spacing w:before="120" w:line="22" w:lineRule="atLeast"/>
        <w:rPr>
          <w:rFonts w:hint="eastAsia" w:ascii="宋体" w:hAnsi="宋体" w:eastAsia="宋体" w:cs="宋体"/>
          <w:color w:val="auto"/>
          <w:szCs w:val="24"/>
          <w:highlight w:val="none"/>
        </w:rPr>
      </w:pPr>
    </w:p>
    <w:p w14:paraId="1F347366">
      <w:pPr>
        <w:pStyle w:val="597"/>
        <w:spacing w:before="120" w:line="22" w:lineRule="atLeast"/>
        <w:rPr>
          <w:rFonts w:hint="eastAsia" w:ascii="宋体" w:hAnsi="宋体" w:eastAsia="宋体" w:cs="宋体"/>
          <w:color w:val="auto"/>
          <w:szCs w:val="24"/>
          <w:highlight w:val="none"/>
        </w:rPr>
      </w:pPr>
    </w:p>
    <w:p w14:paraId="0622FED6">
      <w:pPr>
        <w:rPr>
          <w:rFonts w:hint="eastAsia" w:ascii="宋体" w:hAnsi="宋体" w:eastAsia="宋体" w:cs="宋体"/>
          <w:color w:val="auto"/>
          <w:sz w:val="24"/>
          <w:highlight w:val="none"/>
        </w:rPr>
      </w:pPr>
    </w:p>
    <w:p w14:paraId="58542A7E">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p>
    <w:p w14:paraId="5B151FFF">
      <w:pPr>
        <w:spacing w:before="120" w:line="22" w:lineRule="atLeast"/>
        <w:rPr>
          <w:rFonts w:hint="eastAsia" w:ascii="宋体" w:hAnsi="宋体" w:eastAsia="宋体" w:cs="宋体"/>
          <w:color w:val="auto"/>
          <w:sz w:val="24"/>
          <w:highlight w:val="none"/>
        </w:rPr>
      </w:pPr>
    </w:p>
    <w:p w14:paraId="784E2353">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p>
    <w:p w14:paraId="2F31FB7D">
      <w:pPr>
        <w:spacing w:before="120" w:line="22" w:lineRule="atLeast"/>
        <w:rPr>
          <w:rFonts w:hint="eastAsia" w:ascii="宋体" w:hAnsi="宋体" w:eastAsia="宋体" w:cs="宋体"/>
          <w:color w:val="auto"/>
          <w:sz w:val="24"/>
          <w:highlight w:val="none"/>
        </w:rPr>
      </w:pPr>
    </w:p>
    <w:p w14:paraId="0D2EAB8E">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p>
    <w:p w14:paraId="4AAB98EC">
      <w:pPr>
        <w:spacing w:before="120" w:line="22" w:lineRule="atLeast"/>
        <w:rPr>
          <w:rFonts w:hint="eastAsia" w:ascii="宋体" w:hAnsi="宋体" w:eastAsia="宋体" w:cs="宋体"/>
          <w:color w:val="auto"/>
          <w:sz w:val="24"/>
          <w:highlight w:val="none"/>
        </w:rPr>
      </w:pPr>
    </w:p>
    <w:p w14:paraId="597A9A5F">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w:t>
      </w:r>
    </w:p>
    <w:p w14:paraId="4C924C5B">
      <w:pPr>
        <w:widowControl/>
        <w:jc w:val="left"/>
        <w:rPr>
          <w:rFonts w:hint="eastAsia" w:ascii="宋体" w:hAnsi="宋体" w:eastAsia="宋体" w:cs="宋体"/>
          <w:color w:val="auto"/>
          <w:kern w:val="0"/>
          <w:sz w:val="24"/>
          <w:highlight w:val="none"/>
        </w:rPr>
        <w:sectPr>
          <w:pgSz w:w="11907" w:h="16840"/>
          <w:pgMar w:top="1474" w:right="1814" w:bottom="1474" w:left="1814" w:header="851" w:footer="851" w:gutter="0"/>
          <w:cols w:space="720" w:num="1"/>
        </w:sectPr>
      </w:pPr>
    </w:p>
    <w:p w14:paraId="64A444AA">
      <w:pPr>
        <w:spacing w:line="560" w:lineRule="exact"/>
        <w:ind w:firstLine="480" w:firstLineChars="200"/>
        <w:rPr>
          <w:rFonts w:hint="eastAsia" w:ascii="宋体" w:hAnsi="宋体" w:eastAsia="宋体" w:cs="宋体"/>
          <w:color w:val="auto"/>
          <w:sz w:val="24"/>
          <w:highlight w:val="none"/>
        </w:rPr>
      </w:pPr>
      <w:bookmarkStart w:id="400" w:name="_Toc24059"/>
      <w:bookmarkStart w:id="401" w:name="_Toc2232"/>
      <w:bookmarkStart w:id="402" w:name="_Toc3029"/>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（采购人）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（政府采购方式）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（项目名称、编号）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（相关评定主体名称）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（中标或者成交供应商名称）</w:t>
      </w:r>
      <w:r>
        <w:rPr>
          <w:rFonts w:hint="eastAsia" w:ascii="宋体" w:hAnsi="宋体" w:eastAsia="宋体" w:cs="宋体"/>
          <w:color w:val="auto"/>
          <w:sz w:val="24"/>
          <w:highlight w:val="none"/>
        </w:rPr>
        <w:t>为该项目中标或者成交供应商。现于中标或者成交通知书发出之日起10个工作日内，按照采购文件等确定的事项签订本合同。</w:t>
      </w:r>
    </w:p>
    <w:p w14:paraId="0F0204E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eastAsia="宋体" w:cs="宋体"/>
          <w:color w:val="auto"/>
          <w:sz w:val="24"/>
          <w:highlight w:val="none"/>
          <w:u w:val="single"/>
        </w:rPr>
        <w:t xml:space="preserve">   （采购人）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（中标或者成交供应商名称）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14:paraId="5968BCB8">
      <w:pPr>
        <w:spacing w:line="560" w:lineRule="exact"/>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1.1 合同组成部分</w:t>
      </w:r>
      <w:bookmarkEnd w:id="400"/>
      <w:bookmarkEnd w:id="401"/>
      <w:bookmarkEnd w:id="402"/>
    </w:p>
    <w:p w14:paraId="0B7266FA">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6E5646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14:paraId="52750E52">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中标或者成交通知书；</w:t>
      </w:r>
    </w:p>
    <w:p w14:paraId="6453C77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1.1.3 投标或者响应文件（含澄清或者说明文件）；</w:t>
      </w:r>
    </w:p>
    <w:p w14:paraId="056A19E5">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1.1.4 采购文件（含澄清或者修改文件）；</w:t>
      </w:r>
    </w:p>
    <w:p w14:paraId="5C28EEE0">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14:paraId="76A951BE">
      <w:pPr>
        <w:spacing w:line="560" w:lineRule="exact"/>
        <w:ind w:firstLine="482" w:firstLineChars="200"/>
        <w:outlineLvl w:val="0"/>
        <w:rPr>
          <w:rFonts w:hint="eastAsia" w:ascii="宋体" w:hAnsi="宋体" w:eastAsia="宋体" w:cs="宋体"/>
          <w:b/>
          <w:color w:val="auto"/>
          <w:sz w:val="24"/>
          <w:highlight w:val="none"/>
        </w:rPr>
      </w:pPr>
      <w:bookmarkStart w:id="403" w:name="_Toc27126"/>
      <w:bookmarkStart w:id="404" w:name="_Toc21295"/>
      <w:bookmarkStart w:id="405" w:name="_Toc24300"/>
      <w:r>
        <w:rPr>
          <w:rFonts w:hint="eastAsia" w:ascii="宋体" w:hAnsi="宋体" w:eastAsia="宋体" w:cs="宋体"/>
          <w:b/>
          <w:color w:val="auto"/>
          <w:sz w:val="24"/>
          <w:highlight w:val="none"/>
        </w:rPr>
        <w:t>1.2 货物</w:t>
      </w:r>
      <w:bookmarkEnd w:id="403"/>
      <w:bookmarkEnd w:id="404"/>
      <w:bookmarkEnd w:id="405"/>
    </w:p>
    <w:p w14:paraId="60DE676A">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 货物名称、品牌、规格型号、花色：</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36B96CB4">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1.2.2 货物数量：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65CB0CB">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1.2.3 货物质量：</w:t>
      </w:r>
      <w:r>
        <w:rPr>
          <w:rFonts w:hint="eastAsia" w:ascii="宋体" w:hAnsi="宋体" w:eastAsia="宋体" w:cs="宋体"/>
          <w:color w:val="auto"/>
          <w:sz w:val="24"/>
          <w:highlight w:val="none"/>
          <w:u w:val="single"/>
        </w:rPr>
        <w:t>　　　　　　　　　                      　      ；</w:t>
      </w:r>
    </w:p>
    <w:p w14:paraId="24188282">
      <w:pPr>
        <w:spacing w:line="560" w:lineRule="exact"/>
        <w:ind w:firstLine="482" w:firstLineChars="200"/>
        <w:outlineLvl w:val="0"/>
        <w:rPr>
          <w:rFonts w:hint="eastAsia" w:ascii="宋体" w:hAnsi="宋体" w:eastAsia="宋体" w:cs="宋体"/>
          <w:b/>
          <w:color w:val="auto"/>
          <w:sz w:val="24"/>
          <w:highlight w:val="none"/>
        </w:rPr>
      </w:pPr>
      <w:bookmarkStart w:id="406" w:name="_Toc21631"/>
      <w:bookmarkStart w:id="407" w:name="_Toc21551"/>
      <w:bookmarkStart w:id="408" w:name="_Toc23292"/>
      <w:r>
        <w:rPr>
          <w:rFonts w:hint="eastAsia" w:ascii="宋体" w:hAnsi="宋体" w:eastAsia="宋体" w:cs="宋体"/>
          <w:b/>
          <w:color w:val="auto"/>
          <w:sz w:val="24"/>
          <w:highlight w:val="none"/>
        </w:rPr>
        <w:t>1.3 价款</w:t>
      </w:r>
      <w:bookmarkEnd w:id="406"/>
      <w:bookmarkEnd w:id="407"/>
      <w:bookmarkEnd w:id="408"/>
    </w:p>
    <w:p w14:paraId="59FE62C2">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本合同总价（含税）为：￥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14:paraId="3A0EC571">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EFF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0B9163E">
            <w:pPr>
              <w:pStyle w:val="318"/>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E17034D">
            <w:pPr>
              <w:pStyle w:val="318"/>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1CA42097">
            <w:pPr>
              <w:pStyle w:val="318"/>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分项价格</w:t>
            </w:r>
          </w:p>
        </w:tc>
      </w:tr>
      <w:tr w14:paraId="45D4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86F4865">
            <w:pPr>
              <w:pStyle w:val="318"/>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A67A2D6">
            <w:pPr>
              <w:pStyle w:val="318"/>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B26F0B5">
            <w:pPr>
              <w:pStyle w:val="318"/>
              <w:spacing w:line="560" w:lineRule="exact"/>
              <w:ind w:firstLine="200"/>
              <w:jc w:val="center"/>
              <w:rPr>
                <w:rFonts w:hint="eastAsia" w:ascii="宋体" w:hAnsi="宋体" w:eastAsia="宋体" w:cs="宋体"/>
                <w:color w:val="auto"/>
                <w:sz w:val="24"/>
                <w:szCs w:val="24"/>
                <w:highlight w:val="none"/>
              </w:rPr>
            </w:pPr>
          </w:p>
        </w:tc>
      </w:tr>
      <w:tr w14:paraId="18A5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917DDD5">
            <w:pPr>
              <w:pStyle w:val="318"/>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61ABDEA">
            <w:pPr>
              <w:pStyle w:val="318"/>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7CD7E39">
            <w:pPr>
              <w:pStyle w:val="318"/>
              <w:spacing w:line="560" w:lineRule="exact"/>
              <w:ind w:firstLine="200"/>
              <w:jc w:val="center"/>
              <w:rPr>
                <w:rFonts w:hint="eastAsia" w:ascii="宋体" w:hAnsi="宋体" w:eastAsia="宋体" w:cs="宋体"/>
                <w:color w:val="auto"/>
                <w:sz w:val="24"/>
                <w:szCs w:val="24"/>
                <w:highlight w:val="none"/>
              </w:rPr>
            </w:pPr>
          </w:p>
        </w:tc>
      </w:tr>
      <w:tr w14:paraId="389B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357BBAB">
            <w:pPr>
              <w:pStyle w:val="318"/>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F5D0D91">
            <w:pPr>
              <w:pStyle w:val="318"/>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6500682">
            <w:pPr>
              <w:pStyle w:val="318"/>
              <w:spacing w:line="560" w:lineRule="exact"/>
              <w:ind w:firstLine="200"/>
              <w:jc w:val="center"/>
              <w:rPr>
                <w:rFonts w:hint="eastAsia" w:ascii="宋体" w:hAnsi="宋体" w:eastAsia="宋体" w:cs="宋体"/>
                <w:color w:val="auto"/>
                <w:sz w:val="24"/>
                <w:szCs w:val="24"/>
                <w:highlight w:val="none"/>
              </w:rPr>
            </w:pPr>
          </w:p>
        </w:tc>
      </w:tr>
      <w:tr w14:paraId="1F96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738D71C">
            <w:pPr>
              <w:pStyle w:val="318"/>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956F1A5">
            <w:pPr>
              <w:pStyle w:val="318"/>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B304D0A">
            <w:pPr>
              <w:pStyle w:val="318"/>
              <w:spacing w:line="560" w:lineRule="exact"/>
              <w:ind w:firstLine="200"/>
              <w:jc w:val="center"/>
              <w:rPr>
                <w:rFonts w:hint="eastAsia" w:ascii="宋体" w:hAnsi="宋体" w:eastAsia="宋体" w:cs="宋体"/>
                <w:color w:val="auto"/>
                <w:sz w:val="24"/>
                <w:szCs w:val="24"/>
                <w:highlight w:val="none"/>
              </w:rPr>
            </w:pPr>
          </w:p>
        </w:tc>
      </w:tr>
      <w:tr w14:paraId="3389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12698042">
            <w:pPr>
              <w:pStyle w:val="318"/>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36127867">
            <w:pPr>
              <w:pStyle w:val="318"/>
              <w:spacing w:line="560" w:lineRule="exact"/>
              <w:ind w:firstLine="200"/>
              <w:jc w:val="center"/>
              <w:rPr>
                <w:rFonts w:hint="eastAsia" w:ascii="宋体" w:hAnsi="宋体" w:eastAsia="宋体" w:cs="宋体"/>
                <w:color w:val="auto"/>
                <w:sz w:val="24"/>
                <w:szCs w:val="24"/>
                <w:highlight w:val="none"/>
              </w:rPr>
            </w:pPr>
          </w:p>
        </w:tc>
      </w:tr>
    </w:tbl>
    <w:p w14:paraId="166E0ED8">
      <w:pPr>
        <w:pStyle w:val="958"/>
        <w:spacing w:before="0" w:beforeAutospacing="0" w:after="0" w:afterAutospacing="0" w:line="360" w:lineRule="auto"/>
        <w:ind w:firstLine="480"/>
        <w:rPr>
          <w:rFonts w:hint="eastAsia" w:ascii="宋体" w:hAnsi="宋体" w:eastAsia="宋体" w:cs="宋体"/>
          <w:b/>
          <w:color w:val="auto"/>
          <w:highlight w:val="none"/>
        </w:rPr>
      </w:pPr>
      <w:bookmarkStart w:id="409" w:name="_Toc22618"/>
      <w:bookmarkStart w:id="410" w:name="_Toc10340"/>
      <w:bookmarkStart w:id="411" w:name="_Toc1814"/>
      <w:r>
        <w:rPr>
          <w:rFonts w:hint="eastAsia" w:ascii="宋体" w:hAnsi="宋体" w:eastAsia="宋体" w:cs="宋体"/>
          <w:b/>
          <w:color w:val="auto"/>
          <w:highlight w:val="none"/>
        </w:rPr>
        <w:t>1.4履约保证金</w:t>
      </w:r>
    </w:p>
    <w:p w14:paraId="5DED0245">
      <w:pPr>
        <w:pStyle w:val="958"/>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w:t>
      </w:r>
      <w:r>
        <w:rPr>
          <w:rFonts w:hint="eastAsia"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（是/否）需要支付履约保证金。若需要支付履约保证金的，则：</w:t>
      </w:r>
    </w:p>
    <w:p w14:paraId="52027F5E">
      <w:pPr>
        <w:spacing w:line="560" w:lineRule="exact"/>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1.4.1履约保证金的比例为合同金额的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535D6CAA">
      <w:pPr>
        <w:spacing w:line="560" w:lineRule="exact"/>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1.4.2履约保证金支付方式详见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2F4B347C">
      <w:pPr>
        <w:pStyle w:val="3"/>
        <w:tabs>
          <w:tab w:val="left" w:pos="0"/>
          <w:tab w:val="clear" w:pos="432"/>
        </w:tabs>
        <w:spacing w:line="560" w:lineRule="exact"/>
        <w:ind w:left="0" w:firstLine="480" w:firstLineChars="200"/>
        <w:rPr>
          <w:rFonts w:hint="eastAsia" w:ascii="宋体" w:hAnsi="宋体" w:eastAsia="宋体" w:cs="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D0980C2">
      <w:pPr>
        <w:spacing w:line="560" w:lineRule="exact"/>
        <w:ind w:firstLine="480" w:firstLineChars="200"/>
        <w:outlineLvl w:val="0"/>
        <w:rPr>
          <w:rFonts w:hint="eastAsia" w:ascii="宋体" w:hAnsi="宋体" w:eastAsia="宋体" w:cs="宋体"/>
          <w:color w:val="auto"/>
          <w:highlight w:val="none"/>
        </w:rPr>
      </w:pPr>
      <w:r>
        <w:rPr>
          <w:rFonts w:hint="eastAsia" w:ascii="宋体" w:hAnsi="宋体" w:eastAsia="宋体" w:cs="宋体"/>
          <w:color w:val="auto"/>
          <w:kern w:val="0"/>
          <w:sz w:val="24"/>
          <w:highlight w:val="none"/>
        </w:rPr>
        <w:t>1.4.4 甲方在项目验收结束后及时退还履约保证金。甲方在项目通过验收之日起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rPr>
        <w:t xml:space="preserve">  0.05（可根据情况修改）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%计算，最高限额为本合同履约保证金的</w:t>
      </w:r>
      <w:r>
        <w:rPr>
          <w:rFonts w:hint="eastAsia" w:ascii="宋体" w:hAnsi="宋体" w:eastAsia="宋体" w:cs="宋体"/>
          <w:color w:val="auto"/>
          <w:kern w:val="0"/>
          <w:sz w:val="24"/>
          <w:highlight w:val="none"/>
          <w:u w:val="single"/>
        </w:rPr>
        <w:t xml:space="preserve">  20  </w:t>
      </w:r>
      <w:r>
        <w:rPr>
          <w:rFonts w:hint="eastAsia" w:ascii="宋体" w:hAnsi="宋体" w:eastAsia="宋体" w:cs="宋体"/>
          <w:color w:val="auto"/>
          <w:kern w:val="0"/>
          <w:sz w:val="24"/>
          <w:highlight w:val="none"/>
        </w:rPr>
        <w:t xml:space="preserve"> %。</w:t>
      </w:r>
    </w:p>
    <w:p w14:paraId="0E6D7AE4">
      <w:pPr>
        <w:spacing w:line="560" w:lineRule="exact"/>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w:t>
      </w:r>
      <w:bookmarkEnd w:id="409"/>
      <w:bookmarkEnd w:id="410"/>
      <w:bookmarkEnd w:id="411"/>
      <w:r>
        <w:rPr>
          <w:rFonts w:hint="eastAsia" w:ascii="宋体" w:hAnsi="宋体" w:eastAsia="宋体" w:cs="宋体"/>
          <w:b/>
          <w:color w:val="auto"/>
          <w:sz w:val="24"/>
          <w:highlight w:val="none"/>
        </w:rPr>
        <w:t>预付款</w:t>
      </w:r>
    </w:p>
    <w:p w14:paraId="2B3A78DB">
      <w:pPr>
        <w:pStyle w:val="958"/>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（是/否）需要支付预付款。若需要支付预付款的，则：</w:t>
      </w:r>
    </w:p>
    <w:p w14:paraId="0F6FF86B">
      <w:pPr>
        <w:spacing w:line="56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1.5.1预付款比例、支付方式、时间详见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60B0776A">
      <w:pPr>
        <w:pStyle w:val="958"/>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1.5.2预付款的扣回方式详见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6C0A718">
      <w:pPr>
        <w:pStyle w:val="958"/>
        <w:spacing w:before="0" w:beforeAutospacing="0" w:after="0" w:afterAutospacing="0" w:line="360" w:lineRule="auto"/>
        <w:ind w:firstLine="480"/>
        <w:rPr>
          <w:rFonts w:hint="eastAsia" w:ascii="宋体" w:hAnsi="宋体" w:eastAsia="宋体" w:cs="宋体"/>
          <w:color w:val="auto"/>
          <w:highlight w:val="none"/>
          <w:u w:val="single"/>
        </w:rPr>
      </w:pPr>
      <w:r>
        <w:rPr>
          <w:rFonts w:hint="eastAsia" w:ascii="宋体" w:hAnsi="宋体" w:eastAsia="宋体" w:cs="宋体"/>
          <w:color w:val="auto"/>
          <w:highlight w:val="none"/>
        </w:rPr>
        <w:t>1.5.3预付款的担保措施详见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523C58D1">
      <w:pPr>
        <w:pStyle w:val="958"/>
        <w:spacing w:before="0" w:beforeAutospacing="0" w:after="0" w:afterAutospacing="0" w:line="360" w:lineRule="auto"/>
        <w:ind w:firstLine="480"/>
        <w:rPr>
          <w:rFonts w:hint="eastAsia" w:ascii="宋体" w:hAnsi="宋体" w:eastAsia="宋体" w:cs="宋体"/>
          <w:b/>
          <w:bCs/>
          <w:color w:val="auto"/>
          <w:highlight w:val="none"/>
        </w:rPr>
      </w:pPr>
      <w:r>
        <w:rPr>
          <w:rFonts w:hint="eastAsia" w:ascii="宋体" w:hAnsi="宋体" w:eastAsia="宋体" w:cs="宋体"/>
          <w:b/>
          <w:bCs/>
          <w:color w:val="auto"/>
          <w:highlight w:val="none"/>
        </w:rPr>
        <w:t>1.6资金支付</w:t>
      </w:r>
    </w:p>
    <w:p w14:paraId="1075D588">
      <w:pPr>
        <w:pStyle w:val="958"/>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1EF0BD5">
      <w:pPr>
        <w:spacing w:line="560" w:lineRule="exact"/>
        <w:ind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1.6.2资金支付的方式、时间和条件详见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33D94397">
      <w:pPr>
        <w:spacing w:line="560" w:lineRule="exact"/>
        <w:ind w:firstLine="482" w:firstLineChars="200"/>
        <w:outlineLvl w:val="0"/>
        <w:rPr>
          <w:rFonts w:hint="eastAsia" w:ascii="宋体" w:hAnsi="宋体" w:eastAsia="宋体" w:cs="宋体"/>
          <w:b/>
          <w:color w:val="auto"/>
          <w:sz w:val="24"/>
          <w:highlight w:val="none"/>
        </w:rPr>
      </w:pPr>
      <w:bookmarkStart w:id="412" w:name="_Toc19304"/>
      <w:bookmarkStart w:id="413" w:name="_Toc32071"/>
      <w:bookmarkStart w:id="414" w:name="_Toc2846"/>
      <w:r>
        <w:rPr>
          <w:rFonts w:hint="eastAsia" w:ascii="宋体" w:hAnsi="宋体" w:eastAsia="宋体" w:cs="宋体"/>
          <w:b/>
          <w:color w:val="auto"/>
          <w:sz w:val="24"/>
          <w:highlight w:val="none"/>
        </w:rPr>
        <w:t>1.7货物交付期限、地点和方式</w:t>
      </w:r>
      <w:bookmarkEnd w:id="412"/>
      <w:bookmarkEnd w:id="413"/>
      <w:bookmarkEnd w:id="414"/>
    </w:p>
    <w:p w14:paraId="7C4AF37F">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1.7.1 交付期限：详见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76D9374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1.7.2交付地点：</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71BBFEF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1.7.3 交付方式：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536146EA">
      <w:pPr>
        <w:spacing w:line="560" w:lineRule="exact"/>
        <w:ind w:firstLine="482" w:firstLineChars="200"/>
        <w:outlineLvl w:val="0"/>
        <w:rPr>
          <w:rFonts w:hint="eastAsia" w:ascii="宋体" w:hAnsi="宋体" w:eastAsia="宋体" w:cs="宋体"/>
          <w:b/>
          <w:color w:val="auto"/>
          <w:sz w:val="24"/>
          <w:highlight w:val="none"/>
        </w:rPr>
      </w:pPr>
      <w:bookmarkStart w:id="415" w:name="_Toc19554"/>
      <w:bookmarkStart w:id="416" w:name="_Toc21423"/>
      <w:bookmarkStart w:id="417" w:name="_Toc27250"/>
      <w:r>
        <w:rPr>
          <w:rFonts w:hint="eastAsia" w:ascii="宋体" w:hAnsi="宋体" w:eastAsia="宋体" w:cs="宋体"/>
          <w:b/>
          <w:color w:val="auto"/>
          <w:sz w:val="24"/>
          <w:highlight w:val="none"/>
        </w:rPr>
        <w:t>1.8违约责任</w:t>
      </w:r>
      <w:bookmarkEnd w:id="415"/>
      <w:bookmarkEnd w:id="416"/>
      <w:bookmarkEnd w:id="417"/>
    </w:p>
    <w:p w14:paraId="58AD77F3">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color w:val="auto"/>
          <w:sz w:val="24"/>
          <w:highlight w:val="none"/>
          <w:u w:val="single"/>
        </w:rPr>
        <w:t xml:space="preserve">  0.05</w:t>
      </w:r>
      <w:r>
        <w:rPr>
          <w:rFonts w:hint="eastAsia" w:ascii="宋体" w:hAnsi="宋体" w:eastAsia="宋体" w:cs="宋体"/>
          <w:color w:val="auto"/>
          <w:kern w:val="0"/>
          <w:sz w:val="24"/>
          <w:highlight w:val="none"/>
          <w:u w:val="single"/>
        </w:rPr>
        <w:t>（可根据情况修改）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%；迟延交付货物的违约金计算数额达到前述最高限额之日起，甲方有权在要求乙方支付违约金的同时，书面通知乙方解除本合同；</w:t>
      </w:r>
    </w:p>
    <w:p w14:paraId="3A082E8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1.8.2 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rPr>
        <w:t xml:space="preserve"> 0.05</w:t>
      </w:r>
      <w:r>
        <w:rPr>
          <w:rFonts w:hint="eastAsia" w:ascii="宋体" w:hAnsi="宋体" w:eastAsia="宋体" w:cs="宋体"/>
          <w:color w:val="auto"/>
          <w:kern w:val="0"/>
          <w:sz w:val="24"/>
          <w:highlight w:val="none"/>
          <w:u w:val="single"/>
        </w:rPr>
        <w:t>（可根据情况修改）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14:paraId="61E57CD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1624F56">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1CA121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641AB8E0">
      <w:pPr>
        <w:spacing w:line="560" w:lineRule="exact"/>
        <w:ind w:left="-420" w:leftChars="-200" w:right="-420" w:rightChars="-200" w:firstLine="960" w:firstLineChars="400"/>
        <w:rPr>
          <w:rFonts w:hint="eastAsia" w:ascii="宋体" w:hAnsi="宋体" w:eastAsia="宋体" w:cs="宋体"/>
          <w:color w:val="auto"/>
          <w:highlight w:val="none"/>
        </w:rPr>
      </w:pPr>
      <w:r>
        <w:rPr>
          <w:rFonts w:hint="eastAsia" w:ascii="宋体" w:hAnsi="宋体" w:eastAsia="宋体" w:cs="宋体"/>
          <w:color w:val="auto"/>
          <w:sz w:val="24"/>
          <w:highlight w:val="none"/>
        </w:rPr>
        <w:t>1.8.6违约责任</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另有约定的，从其约定。</w:t>
      </w:r>
    </w:p>
    <w:p w14:paraId="44344BD9">
      <w:pPr>
        <w:spacing w:line="560" w:lineRule="exact"/>
        <w:ind w:firstLine="482" w:firstLineChars="200"/>
        <w:outlineLvl w:val="0"/>
        <w:rPr>
          <w:rFonts w:hint="eastAsia" w:ascii="宋体" w:hAnsi="宋体" w:eastAsia="宋体" w:cs="宋体"/>
          <w:b/>
          <w:color w:val="auto"/>
          <w:sz w:val="24"/>
          <w:highlight w:val="none"/>
        </w:rPr>
      </w:pPr>
      <w:bookmarkStart w:id="418" w:name="_Toc16021"/>
      <w:bookmarkStart w:id="419" w:name="_Toc28375"/>
      <w:bookmarkStart w:id="420" w:name="_Toc15583"/>
      <w:r>
        <w:rPr>
          <w:rFonts w:hint="eastAsia" w:ascii="宋体" w:hAnsi="宋体" w:eastAsia="宋体" w:cs="宋体"/>
          <w:b/>
          <w:color w:val="auto"/>
          <w:sz w:val="24"/>
          <w:highlight w:val="none"/>
        </w:rPr>
        <w:t>1.9合同争议的解决</w:t>
      </w:r>
      <w:bookmarkEnd w:id="418"/>
      <w:bookmarkEnd w:id="419"/>
      <w:bookmarkEnd w:id="420"/>
    </w:p>
    <w:p w14:paraId="25C14D83">
      <w:pPr>
        <w:spacing w:line="560" w:lineRule="exact"/>
        <w:ind w:left="-61" w:leftChars="-29" w:right="-420" w:rightChars="-200"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color w:val="auto"/>
          <w:sz w:val="24"/>
          <w:highlight w:val="none"/>
          <w:u w:val="single"/>
        </w:rPr>
        <w:t xml:space="preserve">      </w:t>
      </w:r>
      <w:r>
        <w:rPr>
          <w:rFonts w:hint="eastAsia" w:ascii="宋体" w:hAnsi="宋体" w:eastAsia="宋体" w:cs="宋体"/>
          <w:color w:val="auto"/>
          <w:sz w:val="24"/>
          <w:highlight w:val="none"/>
        </w:rPr>
        <w:t>条款规定的方式解决：</w:t>
      </w:r>
    </w:p>
    <w:p w14:paraId="79CB7611">
      <w:pPr>
        <w:spacing w:line="560" w:lineRule="exact"/>
        <w:ind w:left="-420" w:leftChars="-200" w:right="-420" w:rightChars="-200"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1.9.1 将争议提交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仲裁委员会依申请仲裁时其现行有效的仲裁规则裁决；</w:t>
      </w:r>
    </w:p>
    <w:p w14:paraId="0310F7DE">
      <w:pPr>
        <w:spacing w:line="560" w:lineRule="exact"/>
        <w:ind w:left="-420" w:leftChars="-200" w:right="-420" w:rightChars="-200"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1.9.2 向</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人民法院起诉。</w:t>
      </w:r>
    </w:p>
    <w:p w14:paraId="3CF5F699">
      <w:pPr>
        <w:spacing w:line="560" w:lineRule="exact"/>
        <w:ind w:firstLine="482" w:firstLineChars="200"/>
        <w:outlineLvl w:val="0"/>
        <w:rPr>
          <w:rFonts w:hint="eastAsia" w:ascii="宋体" w:hAnsi="宋体" w:eastAsia="宋体" w:cs="宋体"/>
          <w:b/>
          <w:color w:val="auto"/>
          <w:sz w:val="24"/>
          <w:highlight w:val="none"/>
        </w:rPr>
      </w:pPr>
      <w:bookmarkStart w:id="421" w:name="_Toc15322"/>
      <w:bookmarkStart w:id="422" w:name="_Toc11173"/>
      <w:bookmarkStart w:id="423" w:name="_Toc7245"/>
      <w:r>
        <w:rPr>
          <w:rFonts w:hint="eastAsia" w:ascii="宋体" w:hAnsi="宋体" w:eastAsia="宋体" w:cs="宋体"/>
          <w:b/>
          <w:color w:val="auto"/>
          <w:sz w:val="24"/>
          <w:highlight w:val="none"/>
        </w:rPr>
        <w:t>2.0 合同生效</w:t>
      </w:r>
      <w:bookmarkEnd w:id="421"/>
      <w:bookmarkEnd w:id="422"/>
      <w:bookmarkEnd w:id="423"/>
    </w:p>
    <w:p w14:paraId="036A46A9">
      <w:pPr>
        <w:spacing w:line="56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本合同自双方当事人盖章签字时生效。</w:t>
      </w:r>
    </w:p>
    <w:p w14:paraId="4851E975">
      <w:pPr>
        <w:autoSpaceDE w:val="0"/>
        <w:autoSpaceDN w:val="0"/>
        <w:spacing w:line="560" w:lineRule="exact"/>
        <w:rPr>
          <w:rFonts w:hint="eastAsia" w:ascii="宋体" w:hAnsi="宋体" w:eastAsia="宋体" w:cs="宋体"/>
          <w:color w:val="auto"/>
          <w:sz w:val="24"/>
          <w:highlight w:val="none"/>
          <w:lang w:val="zh-CN"/>
        </w:rPr>
      </w:pPr>
    </w:p>
    <w:p w14:paraId="3323E0C1">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b/>
          <w:color w:val="auto"/>
          <w:sz w:val="24"/>
          <w:highlight w:val="none"/>
          <w:lang w:val="zh-CN"/>
        </w:rPr>
        <w:t>甲方</w:t>
      </w:r>
      <w:r>
        <w:rPr>
          <w:rFonts w:hint="eastAsia" w:ascii="宋体" w:hAnsi="宋体" w:eastAsia="宋体" w:cs="宋体"/>
          <w:color w:val="auto"/>
          <w:sz w:val="24"/>
          <w:highlight w:val="none"/>
          <w:lang w:val="zh-CN"/>
        </w:rPr>
        <w:t xml:space="preserve">：                             </w:t>
      </w:r>
      <w:r>
        <w:rPr>
          <w:rFonts w:hint="eastAsia" w:ascii="宋体" w:hAnsi="宋体" w:eastAsia="宋体" w:cs="宋体"/>
          <w:b/>
          <w:color w:val="auto"/>
          <w:sz w:val="24"/>
          <w:highlight w:val="none"/>
          <w:lang w:val="zh-CN"/>
        </w:rPr>
        <w:t xml:space="preserve">      乙方</w:t>
      </w:r>
      <w:r>
        <w:rPr>
          <w:rFonts w:hint="eastAsia" w:ascii="宋体" w:hAnsi="宋体" w:eastAsia="宋体" w:cs="宋体"/>
          <w:color w:val="auto"/>
          <w:sz w:val="24"/>
          <w:highlight w:val="none"/>
          <w:lang w:val="zh-CN"/>
        </w:rPr>
        <w:t>：</w:t>
      </w:r>
    </w:p>
    <w:p w14:paraId="1347D01F">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14:paraId="09EFE97D">
      <w:pPr>
        <w:autoSpaceDE w:val="0"/>
        <w:autoSpaceDN w:val="0"/>
        <w:spacing w:line="560" w:lineRule="exact"/>
        <w:rPr>
          <w:rFonts w:hint="eastAsia" w:ascii="宋体" w:hAnsi="宋体" w:eastAsia="宋体" w:cs="宋体"/>
          <w:color w:val="auto"/>
          <w:sz w:val="24"/>
          <w:highlight w:val="none"/>
          <w:lang w:val="zh-CN"/>
        </w:rPr>
      </w:pPr>
    </w:p>
    <w:p w14:paraId="7A7B4B96">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住所：                                   住所：</w:t>
      </w:r>
    </w:p>
    <w:p w14:paraId="4402F19F">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w:t>
      </w:r>
    </w:p>
    <w:p w14:paraId="18438480">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或授权代表（签字）: </w:t>
      </w:r>
    </w:p>
    <w:p w14:paraId="15F38881">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14:paraId="1225E271">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14:paraId="78C7AE1A">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14:paraId="43AAB2E8">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14:paraId="2CF338BB">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14:paraId="77D1122C">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14:paraId="325BBCD9">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14:paraId="259A9F41">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14:paraId="4244D731">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14:paraId="539F7CD4">
      <w:pPr>
        <w:pStyle w:val="3"/>
        <w:rPr>
          <w:rFonts w:hint="eastAsia" w:ascii="宋体" w:hAnsi="宋体" w:eastAsia="宋体" w:cs="宋体"/>
          <w:color w:val="auto"/>
          <w:sz w:val="24"/>
          <w:highlight w:val="none"/>
        </w:rPr>
      </w:pPr>
    </w:p>
    <w:p w14:paraId="17EA993F">
      <w:pPr>
        <w:rPr>
          <w:rFonts w:hint="eastAsia" w:ascii="宋体" w:hAnsi="宋体" w:eastAsia="宋体" w:cs="宋体"/>
          <w:color w:val="auto"/>
          <w:sz w:val="24"/>
          <w:highlight w:val="none"/>
        </w:rPr>
      </w:pPr>
    </w:p>
    <w:p w14:paraId="39D0B3CC">
      <w:pPr>
        <w:pStyle w:val="3"/>
        <w:rPr>
          <w:rFonts w:hint="eastAsia" w:ascii="宋体" w:hAnsi="宋体" w:eastAsia="宋体" w:cs="宋体"/>
          <w:color w:val="auto"/>
          <w:sz w:val="24"/>
          <w:highlight w:val="none"/>
        </w:rPr>
      </w:pPr>
    </w:p>
    <w:p w14:paraId="2F592A78">
      <w:pPr>
        <w:rPr>
          <w:rFonts w:hint="eastAsia" w:ascii="宋体" w:hAnsi="宋体" w:eastAsia="宋体" w:cs="宋体"/>
          <w:color w:val="auto"/>
          <w:sz w:val="24"/>
          <w:highlight w:val="none"/>
        </w:rPr>
      </w:pPr>
    </w:p>
    <w:p w14:paraId="2A50C63F">
      <w:pPr>
        <w:pStyle w:val="3"/>
        <w:rPr>
          <w:rFonts w:hint="eastAsia" w:ascii="宋体" w:hAnsi="宋体" w:eastAsia="宋体" w:cs="宋体"/>
          <w:color w:val="auto"/>
          <w:sz w:val="24"/>
          <w:highlight w:val="none"/>
        </w:rPr>
      </w:pPr>
    </w:p>
    <w:p w14:paraId="7D249489">
      <w:pPr>
        <w:rPr>
          <w:rFonts w:hint="eastAsia" w:ascii="宋体" w:hAnsi="宋体" w:eastAsia="宋体" w:cs="宋体"/>
          <w:color w:val="auto"/>
          <w:sz w:val="24"/>
          <w:highlight w:val="none"/>
        </w:rPr>
      </w:pPr>
    </w:p>
    <w:p w14:paraId="61BB8C84">
      <w:pPr>
        <w:pStyle w:val="700"/>
        <w:spacing w:line="560" w:lineRule="exact"/>
        <w:ind w:firstLine="482"/>
        <w:jc w:val="center"/>
        <w:rPr>
          <w:rFonts w:hint="eastAsia" w:ascii="宋体" w:hAnsi="宋体" w:eastAsia="宋体" w:cs="宋体"/>
          <w:b/>
          <w:color w:val="auto"/>
          <w:szCs w:val="24"/>
          <w:highlight w:val="none"/>
        </w:rPr>
      </w:pPr>
    </w:p>
    <w:p w14:paraId="3484037D">
      <w:pPr>
        <w:pStyle w:val="700"/>
        <w:spacing w:line="560" w:lineRule="exact"/>
        <w:ind w:firstLine="482"/>
        <w:jc w:val="center"/>
        <w:rPr>
          <w:rFonts w:hint="eastAsia" w:ascii="宋体" w:hAnsi="宋体" w:eastAsia="宋体" w:cs="宋体"/>
          <w:b/>
          <w:color w:val="auto"/>
          <w:szCs w:val="24"/>
          <w:highlight w:val="none"/>
        </w:rPr>
      </w:pPr>
    </w:p>
    <w:p w14:paraId="509B441B">
      <w:pPr>
        <w:pStyle w:val="700"/>
        <w:spacing w:line="560" w:lineRule="exact"/>
        <w:ind w:firstLine="482"/>
        <w:jc w:val="center"/>
        <w:rPr>
          <w:rFonts w:hint="eastAsia" w:ascii="宋体" w:hAnsi="宋体" w:eastAsia="宋体" w:cs="宋体"/>
          <w:b/>
          <w:color w:val="auto"/>
          <w:szCs w:val="24"/>
          <w:highlight w:val="none"/>
        </w:rPr>
      </w:pPr>
    </w:p>
    <w:p w14:paraId="0CE91729">
      <w:pPr>
        <w:pStyle w:val="700"/>
        <w:spacing w:line="560" w:lineRule="exact"/>
        <w:ind w:firstLine="482"/>
        <w:jc w:val="center"/>
        <w:rPr>
          <w:rFonts w:hint="eastAsia" w:ascii="宋体" w:hAnsi="宋体" w:eastAsia="宋体" w:cs="宋体"/>
          <w:b/>
          <w:color w:val="auto"/>
          <w:szCs w:val="24"/>
          <w:highlight w:val="none"/>
        </w:rPr>
      </w:pPr>
    </w:p>
    <w:p w14:paraId="39E74178">
      <w:pPr>
        <w:pStyle w:val="700"/>
        <w:spacing w:line="560" w:lineRule="exact"/>
        <w:ind w:firstLine="482"/>
        <w:jc w:val="center"/>
        <w:rPr>
          <w:rFonts w:hint="eastAsia" w:ascii="宋体" w:hAnsi="宋体" w:eastAsia="宋体" w:cs="宋体"/>
          <w:b/>
          <w:color w:val="auto"/>
          <w:szCs w:val="24"/>
          <w:highlight w:val="none"/>
        </w:rPr>
      </w:pPr>
    </w:p>
    <w:p w14:paraId="4353CAF3">
      <w:pPr>
        <w:pStyle w:val="700"/>
        <w:spacing w:line="560" w:lineRule="exact"/>
        <w:ind w:firstLine="482"/>
        <w:jc w:val="center"/>
        <w:rPr>
          <w:rFonts w:hint="eastAsia" w:ascii="宋体" w:hAnsi="宋体" w:eastAsia="宋体" w:cs="宋体"/>
          <w:b/>
          <w:color w:val="auto"/>
          <w:szCs w:val="24"/>
          <w:highlight w:val="none"/>
        </w:rPr>
      </w:pPr>
    </w:p>
    <w:p w14:paraId="0989736D">
      <w:pPr>
        <w:pStyle w:val="700"/>
        <w:spacing w:line="560" w:lineRule="exact"/>
        <w:ind w:firstLine="482"/>
        <w:jc w:val="center"/>
        <w:rPr>
          <w:rFonts w:hint="eastAsia" w:ascii="宋体" w:hAnsi="宋体" w:eastAsia="宋体" w:cs="宋体"/>
          <w:b/>
          <w:color w:val="auto"/>
          <w:szCs w:val="24"/>
          <w:highlight w:val="none"/>
        </w:rPr>
      </w:pPr>
    </w:p>
    <w:p w14:paraId="1292520B">
      <w:pPr>
        <w:pStyle w:val="700"/>
        <w:spacing w:line="560" w:lineRule="exact"/>
        <w:ind w:firstLine="482"/>
        <w:jc w:val="center"/>
        <w:rPr>
          <w:rFonts w:hint="eastAsia" w:ascii="宋体" w:hAnsi="宋体" w:eastAsia="宋体" w:cs="宋体"/>
          <w:b/>
          <w:color w:val="auto"/>
          <w:szCs w:val="24"/>
          <w:highlight w:val="none"/>
        </w:rPr>
      </w:pPr>
    </w:p>
    <w:p w14:paraId="254C664E">
      <w:pPr>
        <w:pStyle w:val="700"/>
        <w:spacing w:line="560" w:lineRule="exact"/>
        <w:ind w:firstLine="482"/>
        <w:jc w:val="center"/>
        <w:rPr>
          <w:rFonts w:hint="eastAsia" w:ascii="宋体" w:hAnsi="宋体" w:eastAsia="宋体" w:cs="宋体"/>
          <w:b/>
          <w:color w:val="auto"/>
          <w:szCs w:val="24"/>
          <w:highlight w:val="none"/>
        </w:rPr>
      </w:pPr>
    </w:p>
    <w:p w14:paraId="0E0C2F3B">
      <w:pPr>
        <w:pStyle w:val="700"/>
        <w:spacing w:line="560" w:lineRule="exact"/>
        <w:ind w:firstLine="482"/>
        <w:jc w:val="center"/>
        <w:rPr>
          <w:rFonts w:hint="eastAsia" w:ascii="宋体" w:hAnsi="宋体" w:eastAsia="宋体" w:cs="宋体"/>
          <w:b/>
          <w:color w:val="auto"/>
          <w:szCs w:val="24"/>
          <w:highlight w:val="none"/>
        </w:rPr>
      </w:pPr>
    </w:p>
    <w:p w14:paraId="670557BD">
      <w:pPr>
        <w:pStyle w:val="700"/>
        <w:spacing w:line="560" w:lineRule="exact"/>
        <w:ind w:firstLine="482"/>
        <w:jc w:val="center"/>
        <w:rPr>
          <w:rFonts w:hint="eastAsia" w:ascii="宋体" w:hAnsi="宋体" w:eastAsia="宋体" w:cs="宋体"/>
          <w:b/>
          <w:color w:val="auto"/>
          <w:szCs w:val="24"/>
          <w:highlight w:val="none"/>
        </w:rPr>
      </w:pPr>
    </w:p>
    <w:p w14:paraId="25918850">
      <w:pPr>
        <w:pStyle w:val="700"/>
        <w:spacing w:line="560" w:lineRule="exact"/>
        <w:ind w:firstLine="482"/>
        <w:jc w:val="center"/>
        <w:rPr>
          <w:rFonts w:hint="eastAsia" w:ascii="宋体" w:hAnsi="宋体" w:eastAsia="宋体" w:cs="宋体"/>
          <w:b/>
          <w:color w:val="auto"/>
          <w:szCs w:val="24"/>
          <w:highlight w:val="none"/>
        </w:rPr>
      </w:pPr>
    </w:p>
    <w:p w14:paraId="57B28AC5">
      <w:pPr>
        <w:pStyle w:val="700"/>
        <w:spacing w:line="560" w:lineRule="exact"/>
        <w:ind w:firstLine="482"/>
        <w:jc w:val="center"/>
        <w:rPr>
          <w:rFonts w:hint="eastAsia" w:ascii="宋体" w:hAnsi="宋体" w:eastAsia="宋体" w:cs="宋体"/>
          <w:b/>
          <w:color w:val="auto"/>
          <w:szCs w:val="24"/>
          <w:highlight w:val="none"/>
        </w:rPr>
      </w:pPr>
    </w:p>
    <w:p w14:paraId="219729B1">
      <w:pPr>
        <w:pStyle w:val="700"/>
        <w:spacing w:line="560" w:lineRule="exact"/>
        <w:ind w:firstLine="482"/>
        <w:jc w:val="center"/>
        <w:rPr>
          <w:rFonts w:hint="eastAsia" w:ascii="宋体" w:hAnsi="宋体" w:eastAsia="宋体" w:cs="宋体"/>
          <w:b/>
          <w:color w:val="auto"/>
          <w:szCs w:val="24"/>
          <w:highlight w:val="none"/>
        </w:rPr>
      </w:pPr>
    </w:p>
    <w:p w14:paraId="5335276B">
      <w:pPr>
        <w:pStyle w:val="700"/>
        <w:spacing w:line="560" w:lineRule="exact"/>
        <w:ind w:firstLine="482"/>
        <w:jc w:val="center"/>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第二部分 合同一般条款</w:t>
      </w:r>
    </w:p>
    <w:p w14:paraId="0AFDD5C5">
      <w:pPr>
        <w:spacing w:line="560" w:lineRule="exact"/>
        <w:ind w:firstLine="482" w:firstLineChars="200"/>
        <w:outlineLvl w:val="0"/>
        <w:rPr>
          <w:rFonts w:hint="eastAsia" w:ascii="宋体" w:hAnsi="宋体" w:eastAsia="宋体" w:cs="宋体"/>
          <w:b/>
          <w:color w:val="auto"/>
          <w:sz w:val="24"/>
          <w:highlight w:val="none"/>
        </w:rPr>
      </w:pPr>
      <w:bookmarkStart w:id="424" w:name="_Ref467378404"/>
      <w:bookmarkStart w:id="425" w:name="_Ref467379214"/>
      <w:bookmarkStart w:id="426" w:name="_Ref467378463"/>
      <w:bookmarkStart w:id="427" w:name="_Ref467379195"/>
      <w:bookmarkStart w:id="428" w:name="_Toc279701240"/>
      <w:bookmarkStart w:id="429" w:name="_Toc487900349"/>
      <w:bookmarkStart w:id="430" w:name="_Toc16917"/>
      <w:bookmarkStart w:id="431" w:name="_Ref467379205"/>
      <w:bookmarkStart w:id="432" w:name="_Ref467378499"/>
      <w:bookmarkStart w:id="433" w:name="_Ref467379094"/>
      <w:bookmarkStart w:id="434" w:name="_Toc28763"/>
      <w:bookmarkStart w:id="435" w:name="_Ref467379101"/>
      <w:bookmarkStart w:id="436" w:name="_Toc259093669"/>
      <w:bookmarkStart w:id="437" w:name="_Toc19614"/>
      <w:bookmarkStart w:id="438" w:name="_Ref467379225"/>
      <w:bookmarkStart w:id="439" w:name="_Ref467379109"/>
      <w:r>
        <w:rPr>
          <w:rFonts w:hint="eastAsia" w:ascii="宋体" w:hAnsi="宋体" w:eastAsia="宋体" w:cs="宋体"/>
          <w:b/>
          <w:color w:val="auto"/>
          <w:sz w:val="24"/>
          <w:highlight w:val="none"/>
        </w:rPr>
        <w:t>2.1 定义</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0A4EBF4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14:paraId="10DC8CA0">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“合同”系指采购人和中标或成交供应商签订的载明双方当事人所达成的协议，并包括所有的附件、附录和构成合同的其他文件。</w:t>
      </w:r>
    </w:p>
    <w:p w14:paraId="0B9EF6D1">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“合同价”系指根据合同约定，中标或成交供应商在完全履行合同义务后，采购人应支付给中标或成交供应商的价格。</w:t>
      </w:r>
    </w:p>
    <w:p w14:paraId="22CDE7F0">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60F725CD">
      <w:pPr>
        <w:spacing w:line="560" w:lineRule="exact"/>
        <w:ind w:firstLine="480" w:firstLineChars="200"/>
        <w:rPr>
          <w:rFonts w:hint="eastAsia" w:ascii="宋体" w:hAnsi="宋体" w:eastAsia="宋体" w:cs="宋体"/>
          <w:color w:val="auto"/>
          <w:sz w:val="24"/>
          <w:highlight w:val="none"/>
        </w:rPr>
      </w:pPr>
      <w:bookmarkStart w:id="440" w:name="_Ref467378840"/>
      <w:r>
        <w:rPr>
          <w:rFonts w:hint="eastAsia" w:ascii="宋体" w:hAnsi="宋体" w:eastAsia="宋体" w:cs="宋体"/>
          <w:color w:val="auto"/>
          <w:sz w:val="24"/>
          <w:highlight w:val="none"/>
        </w:rPr>
        <w:t>2.1.4 “甲方”系指与中标或成交供应商签署合同的采购人</w:t>
      </w:r>
      <w:bookmarkEnd w:id="440"/>
      <w:r>
        <w:rPr>
          <w:rFonts w:hint="eastAsia" w:ascii="宋体" w:hAnsi="宋体" w:eastAsia="宋体" w:cs="宋体"/>
          <w:color w:val="auto"/>
          <w:sz w:val="24"/>
          <w:highlight w:val="none"/>
        </w:rPr>
        <w:t>；采购人委托采购代理机构代表其与乙方签订合同的，采购人的授权委托书作为合同附件。</w:t>
      </w:r>
    </w:p>
    <w:p w14:paraId="4F1C475E">
      <w:pPr>
        <w:spacing w:line="560" w:lineRule="exact"/>
        <w:ind w:firstLine="480" w:firstLineChars="200"/>
        <w:rPr>
          <w:rFonts w:hint="eastAsia" w:ascii="宋体" w:hAnsi="宋体" w:eastAsia="宋体" w:cs="宋体"/>
          <w:color w:val="auto"/>
          <w:sz w:val="24"/>
          <w:highlight w:val="none"/>
        </w:rPr>
      </w:pPr>
      <w:bookmarkStart w:id="441" w:name="_Ref467379400"/>
      <w:r>
        <w:rPr>
          <w:rFonts w:hint="eastAsia" w:ascii="宋体" w:hAnsi="宋体" w:eastAsia="宋体" w:cs="宋体"/>
          <w:color w:val="auto"/>
          <w:sz w:val="24"/>
          <w:highlight w:val="none"/>
        </w:rPr>
        <w:t>2.1.5 “乙方”系指根据合同约定交付货物的中标或成交供应商</w:t>
      </w:r>
      <w:bookmarkEnd w:id="441"/>
      <w:r>
        <w:rPr>
          <w:rFonts w:hint="eastAsia" w:ascii="宋体" w:hAnsi="宋体" w:eastAsia="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67C45A8">
      <w:pPr>
        <w:spacing w:line="560" w:lineRule="exact"/>
        <w:ind w:firstLine="480" w:firstLineChars="200"/>
        <w:rPr>
          <w:rFonts w:hint="eastAsia" w:ascii="宋体" w:hAnsi="宋体" w:eastAsia="宋体" w:cs="宋体"/>
          <w:color w:val="auto"/>
          <w:sz w:val="24"/>
          <w:highlight w:val="none"/>
        </w:rPr>
      </w:pPr>
      <w:bookmarkStart w:id="442" w:name="_Ref467379436"/>
      <w:r>
        <w:rPr>
          <w:rFonts w:hint="eastAsia" w:ascii="宋体" w:hAnsi="宋体" w:eastAsia="宋体" w:cs="宋体"/>
          <w:color w:val="auto"/>
          <w:sz w:val="24"/>
          <w:highlight w:val="none"/>
        </w:rPr>
        <w:t>2.1.6 “现场”系指合同约定货物将要运至或者安装的地点。</w:t>
      </w:r>
      <w:bookmarkEnd w:id="442"/>
    </w:p>
    <w:p w14:paraId="3F6F062D">
      <w:pPr>
        <w:spacing w:line="560" w:lineRule="exact"/>
        <w:ind w:firstLine="482" w:firstLineChars="200"/>
        <w:outlineLvl w:val="0"/>
        <w:rPr>
          <w:rFonts w:hint="eastAsia" w:ascii="宋体" w:hAnsi="宋体" w:eastAsia="宋体" w:cs="宋体"/>
          <w:b/>
          <w:color w:val="auto"/>
          <w:sz w:val="24"/>
          <w:highlight w:val="none"/>
        </w:rPr>
      </w:pPr>
      <w:bookmarkStart w:id="443" w:name="_Toc13336"/>
      <w:bookmarkStart w:id="444" w:name="_Toc27635"/>
      <w:bookmarkStart w:id="445" w:name="_Toc487900350"/>
      <w:bookmarkStart w:id="446" w:name="_Toc32504"/>
      <w:bookmarkStart w:id="447" w:name="_Toc279701241"/>
      <w:bookmarkStart w:id="448" w:name="_Toc259093670"/>
      <w:r>
        <w:rPr>
          <w:rFonts w:hint="eastAsia" w:ascii="宋体" w:hAnsi="宋体" w:eastAsia="宋体" w:cs="宋体"/>
          <w:b/>
          <w:color w:val="auto"/>
          <w:sz w:val="24"/>
          <w:highlight w:val="none"/>
        </w:rPr>
        <w:t>2.2 技术规范</w:t>
      </w:r>
      <w:bookmarkEnd w:id="443"/>
      <w:bookmarkEnd w:id="444"/>
      <w:bookmarkEnd w:id="445"/>
      <w:bookmarkEnd w:id="446"/>
      <w:bookmarkEnd w:id="447"/>
      <w:bookmarkEnd w:id="448"/>
    </w:p>
    <w:p w14:paraId="6D7FA05B">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C8D34D6">
      <w:pPr>
        <w:spacing w:line="560" w:lineRule="exact"/>
        <w:ind w:firstLine="482" w:firstLineChars="200"/>
        <w:outlineLvl w:val="0"/>
        <w:rPr>
          <w:rFonts w:hint="eastAsia" w:ascii="宋体" w:hAnsi="宋体" w:eastAsia="宋体" w:cs="宋体"/>
          <w:b/>
          <w:color w:val="auto"/>
          <w:sz w:val="24"/>
          <w:highlight w:val="none"/>
        </w:rPr>
      </w:pPr>
      <w:bookmarkStart w:id="449" w:name="_Toc31634"/>
      <w:bookmarkStart w:id="450" w:name="_Toc487900351"/>
      <w:bookmarkStart w:id="451" w:name="_Toc27853"/>
      <w:bookmarkStart w:id="452" w:name="_Toc9829"/>
      <w:bookmarkStart w:id="453" w:name="_Toc279701242"/>
      <w:bookmarkStart w:id="454" w:name="_Toc259093671"/>
      <w:r>
        <w:rPr>
          <w:rFonts w:hint="eastAsia" w:ascii="宋体" w:hAnsi="宋体" w:eastAsia="宋体" w:cs="宋体"/>
          <w:b/>
          <w:color w:val="auto"/>
          <w:sz w:val="24"/>
          <w:highlight w:val="none"/>
        </w:rPr>
        <w:t>2.3 知识产权</w:t>
      </w:r>
      <w:bookmarkEnd w:id="449"/>
      <w:bookmarkEnd w:id="450"/>
      <w:bookmarkEnd w:id="451"/>
      <w:bookmarkEnd w:id="452"/>
      <w:bookmarkEnd w:id="453"/>
      <w:bookmarkEnd w:id="454"/>
    </w:p>
    <w:p w14:paraId="3923ECF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8101DE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2.3.2具有知识产权的计算机软件等货物的知识产权归属，详见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378748EE">
      <w:pPr>
        <w:spacing w:line="560" w:lineRule="exact"/>
        <w:ind w:firstLine="482" w:firstLineChars="200"/>
        <w:outlineLvl w:val="0"/>
        <w:rPr>
          <w:rFonts w:hint="eastAsia" w:ascii="宋体" w:hAnsi="宋体" w:eastAsia="宋体" w:cs="宋体"/>
          <w:b/>
          <w:color w:val="auto"/>
          <w:sz w:val="24"/>
          <w:highlight w:val="none"/>
        </w:rPr>
      </w:pPr>
      <w:bookmarkStart w:id="455" w:name="_Toc29149"/>
      <w:bookmarkStart w:id="456" w:name="_Toc4194"/>
      <w:bookmarkStart w:id="457" w:name="_Toc11932"/>
      <w:r>
        <w:rPr>
          <w:rFonts w:hint="eastAsia" w:ascii="宋体" w:hAnsi="宋体" w:eastAsia="宋体" w:cs="宋体"/>
          <w:b/>
          <w:color w:val="auto"/>
          <w:sz w:val="24"/>
          <w:highlight w:val="none"/>
        </w:rPr>
        <w:t>2.4 包装和装运</w:t>
      </w:r>
      <w:bookmarkEnd w:id="455"/>
      <w:bookmarkEnd w:id="456"/>
      <w:bookmarkEnd w:id="457"/>
    </w:p>
    <w:p w14:paraId="299D57D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2.4.1除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F7FFD5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BDC095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2.4.3 装运货物的要求和通知，详见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5595354">
      <w:pPr>
        <w:spacing w:line="560" w:lineRule="exact"/>
        <w:ind w:firstLine="482" w:firstLineChars="200"/>
        <w:outlineLvl w:val="0"/>
        <w:rPr>
          <w:rFonts w:hint="eastAsia" w:ascii="宋体" w:hAnsi="宋体" w:eastAsia="宋体" w:cs="宋体"/>
          <w:b/>
          <w:color w:val="auto"/>
          <w:sz w:val="24"/>
          <w:highlight w:val="none"/>
        </w:rPr>
      </w:pPr>
      <w:bookmarkStart w:id="458" w:name="_Ref467378591"/>
      <w:bookmarkStart w:id="459" w:name="_Ref467378541"/>
      <w:bookmarkStart w:id="460" w:name="_Ref467379536"/>
      <w:bookmarkStart w:id="461" w:name="_Ref467379542"/>
      <w:bookmarkStart w:id="462" w:name="_Toc279701245"/>
      <w:bookmarkStart w:id="463" w:name="_Toc259093674"/>
      <w:bookmarkStart w:id="464" w:name="_Ref467379527"/>
      <w:bookmarkStart w:id="465" w:name="_Toc487900354"/>
      <w:bookmarkStart w:id="466" w:name="_Toc19074"/>
      <w:bookmarkStart w:id="467" w:name="_Toc30272"/>
      <w:bookmarkStart w:id="468" w:name="_Toc26182"/>
      <w:r>
        <w:rPr>
          <w:rFonts w:hint="eastAsia" w:ascii="宋体" w:hAnsi="宋体" w:eastAsia="宋体" w:cs="宋体"/>
          <w:b/>
          <w:color w:val="auto"/>
          <w:sz w:val="24"/>
          <w:highlight w:val="none"/>
        </w:rPr>
        <w:t>2.</w:t>
      </w:r>
      <w:bookmarkEnd w:id="458"/>
      <w:bookmarkEnd w:id="459"/>
      <w:bookmarkEnd w:id="460"/>
      <w:bookmarkEnd w:id="461"/>
      <w:bookmarkEnd w:id="462"/>
      <w:bookmarkEnd w:id="463"/>
      <w:bookmarkEnd w:id="464"/>
      <w:bookmarkEnd w:id="465"/>
      <w:r>
        <w:rPr>
          <w:rFonts w:hint="eastAsia" w:ascii="宋体" w:hAnsi="宋体" w:eastAsia="宋体" w:cs="宋体"/>
          <w:b/>
          <w:color w:val="auto"/>
          <w:sz w:val="24"/>
          <w:highlight w:val="none"/>
        </w:rPr>
        <w:t>5 履约检查和问题反馈</w:t>
      </w:r>
      <w:bookmarkEnd w:id="466"/>
      <w:bookmarkEnd w:id="467"/>
      <w:bookmarkEnd w:id="468"/>
    </w:p>
    <w:p w14:paraId="2B316B77">
      <w:pPr>
        <w:spacing w:line="560" w:lineRule="exact"/>
        <w:ind w:firstLine="480" w:firstLineChars="200"/>
        <w:rPr>
          <w:rFonts w:hint="eastAsia" w:ascii="宋体" w:hAnsi="宋体" w:eastAsia="宋体" w:cs="宋体"/>
          <w:color w:val="auto"/>
          <w:sz w:val="24"/>
          <w:highlight w:val="none"/>
        </w:rPr>
      </w:pPr>
      <w:bookmarkStart w:id="469" w:name="_Ref467379657"/>
      <w:r>
        <w:rPr>
          <w:rFonts w:hint="eastAsia" w:ascii="宋体" w:hAnsi="宋体" w:eastAsia="宋体" w:cs="宋体"/>
          <w:color w:val="auto"/>
          <w:sz w:val="24"/>
          <w:highlight w:val="none"/>
        </w:rPr>
        <w:t>2.5.1</w:t>
      </w:r>
      <w:bookmarkEnd w:id="469"/>
      <w:bookmarkStart w:id="470" w:name="_Toc186431854"/>
      <w:bookmarkStart w:id="471" w:name="_Ref467379793"/>
      <w:bookmarkStart w:id="472" w:name="_Ref467379807"/>
      <w:bookmarkStart w:id="473" w:name="_Toc487900357"/>
      <w:bookmarkStart w:id="474" w:name="_Toc279701247"/>
      <w:bookmarkStart w:id="475" w:name="_Toc259093676"/>
      <w:r>
        <w:rPr>
          <w:rFonts w:hint="eastAsia" w:ascii="宋体" w:hAnsi="宋体" w:eastAsia="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3A1DEA55">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2.5.2 合同履行期间，甲方有权将履行过程中出现的问题反馈给乙方，双方当事人应以书面形式约定需要完善和改进的内容</w:t>
      </w:r>
      <w:bookmarkEnd w:id="470"/>
      <w:bookmarkStart w:id="476" w:name="_Toc186431855"/>
      <w:r>
        <w:rPr>
          <w:rFonts w:hint="eastAsia" w:ascii="宋体" w:hAnsi="宋体" w:eastAsia="宋体" w:cs="宋体"/>
          <w:color w:val="auto"/>
          <w:sz w:val="24"/>
          <w:highlight w:val="none"/>
        </w:rPr>
        <w:t>。</w:t>
      </w:r>
    </w:p>
    <w:bookmarkEnd w:id="471"/>
    <w:bookmarkEnd w:id="472"/>
    <w:bookmarkEnd w:id="473"/>
    <w:bookmarkEnd w:id="474"/>
    <w:bookmarkEnd w:id="475"/>
    <w:bookmarkEnd w:id="476"/>
    <w:p w14:paraId="4458AB2E">
      <w:pPr>
        <w:spacing w:line="560" w:lineRule="exact"/>
        <w:ind w:firstLine="482" w:firstLineChars="200"/>
        <w:outlineLvl w:val="0"/>
        <w:rPr>
          <w:rFonts w:hint="eastAsia" w:ascii="宋体" w:hAnsi="宋体" w:eastAsia="宋体" w:cs="宋体"/>
          <w:b/>
          <w:color w:val="auto"/>
          <w:sz w:val="24"/>
          <w:highlight w:val="none"/>
        </w:rPr>
      </w:pPr>
      <w:bookmarkStart w:id="477" w:name="_Ref467379923"/>
      <w:bookmarkStart w:id="478" w:name="_Toc279701248"/>
      <w:bookmarkStart w:id="479" w:name="_Toc259093677"/>
      <w:bookmarkStart w:id="480" w:name="_Ref467379863"/>
      <w:bookmarkStart w:id="481" w:name="_Ref467379852"/>
      <w:bookmarkStart w:id="482" w:name="_Toc487900358"/>
      <w:bookmarkStart w:id="483" w:name="_Toc16110"/>
      <w:bookmarkStart w:id="484" w:name="_Toc3225"/>
      <w:bookmarkStart w:id="485" w:name="_Toc774"/>
      <w:r>
        <w:rPr>
          <w:rFonts w:hint="eastAsia" w:ascii="宋体" w:hAnsi="宋体" w:eastAsia="宋体" w:cs="宋体"/>
          <w:b/>
          <w:color w:val="auto"/>
          <w:sz w:val="24"/>
          <w:highlight w:val="none"/>
        </w:rPr>
        <w:t>2.6 技术资料</w:t>
      </w:r>
      <w:bookmarkEnd w:id="477"/>
      <w:bookmarkEnd w:id="478"/>
      <w:bookmarkEnd w:id="479"/>
      <w:bookmarkEnd w:id="480"/>
      <w:bookmarkEnd w:id="481"/>
      <w:bookmarkEnd w:id="482"/>
      <w:r>
        <w:rPr>
          <w:rFonts w:hint="eastAsia" w:ascii="宋体" w:hAnsi="宋体" w:eastAsia="宋体" w:cs="宋体"/>
          <w:b/>
          <w:color w:val="auto"/>
          <w:sz w:val="24"/>
          <w:highlight w:val="none"/>
        </w:rPr>
        <w:t>和保密义务</w:t>
      </w:r>
      <w:bookmarkEnd w:id="483"/>
      <w:bookmarkEnd w:id="484"/>
      <w:bookmarkEnd w:id="485"/>
    </w:p>
    <w:p w14:paraId="637A63F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2.6.1 乙方有权依据合同约定和项目需要，向甲方了解有关情况，调阅有关资料等，甲方应予积极配合；</w:t>
      </w:r>
    </w:p>
    <w:p w14:paraId="19033EC2">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2.6.2 乙方有义务妥善保管和保护由甲方提供的前款信息和资料等；</w:t>
      </w:r>
    </w:p>
    <w:p w14:paraId="7F8D3D0A">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570EE53">
      <w:pPr>
        <w:spacing w:line="560" w:lineRule="exact"/>
        <w:ind w:firstLine="482" w:firstLineChars="200"/>
        <w:outlineLvl w:val="0"/>
        <w:rPr>
          <w:rFonts w:hint="eastAsia" w:ascii="宋体" w:hAnsi="宋体" w:eastAsia="宋体" w:cs="宋体"/>
          <w:b/>
          <w:color w:val="auto"/>
          <w:sz w:val="24"/>
          <w:highlight w:val="none"/>
        </w:rPr>
      </w:pPr>
      <w:bookmarkStart w:id="486" w:name="_Toc7860"/>
      <w:r>
        <w:rPr>
          <w:rFonts w:hint="eastAsia" w:ascii="宋体" w:hAnsi="宋体" w:eastAsia="宋体" w:cs="宋体"/>
          <w:b/>
          <w:color w:val="auto"/>
          <w:sz w:val="24"/>
          <w:highlight w:val="none"/>
        </w:rPr>
        <w:t>2.7 质量保证</w:t>
      </w:r>
      <w:bookmarkEnd w:id="486"/>
    </w:p>
    <w:p w14:paraId="5318FEE8">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乙方应建立和完善履行合同的内部质量保证体系，并提供相关内部规章制度给甲方，以便甲方进行监督检查；</w:t>
      </w:r>
    </w:p>
    <w:p w14:paraId="0E46210A">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乙方应保证履行合同的人员数量和素质、软件和硬件设备的配置、场地、环境和设施等满足全面履行合同的要求，并应接受甲方的监督检查。</w:t>
      </w:r>
    </w:p>
    <w:p w14:paraId="7569BE75">
      <w:pPr>
        <w:spacing w:line="560" w:lineRule="exact"/>
        <w:ind w:firstLine="482" w:firstLineChars="200"/>
        <w:outlineLvl w:val="0"/>
        <w:rPr>
          <w:rFonts w:hint="eastAsia" w:ascii="宋体" w:hAnsi="宋体" w:eastAsia="宋体" w:cs="宋体"/>
          <w:b/>
          <w:color w:val="auto"/>
          <w:sz w:val="24"/>
          <w:highlight w:val="none"/>
        </w:rPr>
      </w:pPr>
      <w:bookmarkStart w:id="487" w:name="_Toc17244"/>
      <w:bookmarkStart w:id="488" w:name="_Toc259093681"/>
      <w:bookmarkStart w:id="489" w:name="_Toc487900362"/>
      <w:bookmarkStart w:id="490" w:name="_Toc279701252"/>
      <w:r>
        <w:rPr>
          <w:rFonts w:hint="eastAsia" w:ascii="宋体" w:hAnsi="宋体" w:eastAsia="宋体" w:cs="宋体"/>
          <w:b/>
          <w:color w:val="auto"/>
          <w:sz w:val="24"/>
          <w:highlight w:val="none"/>
        </w:rPr>
        <w:t>2.8 货物的风险负担</w:t>
      </w:r>
      <w:bookmarkEnd w:id="487"/>
    </w:p>
    <w:p w14:paraId="6249EACC">
      <w:pPr>
        <w:spacing w:line="56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货物或者在途货物或者交付给第一承运人后的货物毁损、灭失的风险负担详见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0A1BECD3">
      <w:pPr>
        <w:spacing w:line="560" w:lineRule="exact"/>
        <w:ind w:firstLine="482" w:firstLineChars="200"/>
        <w:outlineLvl w:val="0"/>
        <w:rPr>
          <w:rFonts w:hint="eastAsia" w:ascii="宋体" w:hAnsi="宋体" w:eastAsia="宋体" w:cs="宋体"/>
          <w:b/>
          <w:color w:val="auto"/>
          <w:sz w:val="24"/>
          <w:highlight w:val="none"/>
        </w:rPr>
      </w:pPr>
      <w:bookmarkStart w:id="491" w:name="_Toc14055"/>
      <w:r>
        <w:rPr>
          <w:rFonts w:hint="eastAsia" w:ascii="宋体" w:hAnsi="宋体" w:eastAsia="宋体" w:cs="宋体"/>
          <w:b/>
          <w:color w:val="auto"/>
          <w:sz w:val="24"/>
          <w:highlight w:val="none"/>
        </w:rPr>
        <w:t>2.9 延迟交货</w:t>
      </w:r>
      <w:bookmarkEnd w:id="488"/>
      <w:bookmarkEnd w:id="489"/>
      <w:bookmarkEnd w:id="490"/>
      <w:bookmarkEnd w:id="491"/>
    </w:p>
    <w:p w14:paraId="26B8159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C78CB53">
      <w:pPr>
        <w:spacing w:line="560" w:lineRule="exact"/>
        <w:ind w:firstLine="482" w:firstLineChars="200"/>
        <w:outlineLvl w:val="0"/>
        <w:rPr>
          <w:rFonts w:hint="eastAsia" w:ascii="宋体" w:hAnsi="宋体" w:eastAsia="宋体" w:cs="宋体"/>
          <w:b/>
          <w:color w:val="auto"/>
          <w:sz w:val="24"/>
          <w:highlight w:val="none"/>
        </w:rPr>
      </w:pPr>
      <w:bookmarkStart w:id="492" w:name="_Toc7502"/>
      <w:bookmarkStart w:id="493" w:name="_Toc487900364"/>
      <w:bookmarkStart w:id="494" w:name="_Toc279701254"/>
      <w:bookmarkStart w:id="495" w:name="_Ref467378121"/>
      <w:bookmarkStart w:id="496" w:name="_Toc259093683"/>
      <w:r>
        <w:rPr>
          <w:rFonts w:hint="eastAsia" w:ascii="宋体" w:hAnsi="宋体" w:eastAsia="宋体" w:cs="宋体"/>
          <w:b/>
          <w:color w:val="auto"/>
          <w:sz w:val="24"/>
          <w:highlight w:val="none"/>
        </w:rPr>
        <w:t>2.10 合同变更</w:t>
      </w:r>
      <w:bookmarkEnd w:id="492"/>
    </w:p>
    <w:p w14:paraId="6738FB70">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7" w:name="_Toc279701259"/>
      <w:bookmarkStart w:id="498" w:name="_Toc487900369"/>
      <w:bookmarkStart w:id="499" w:name="_Toc259093688"/>
    </w:p>
    <w:p w14:paraId="572F4A74">
      <w:pPr>
        <w:spacing w:line="560" w:lineRule="exact"/>
        <w:ind w:firstLine="482" w:firstLineChars="200"/>
        <w:outlineLvl w:val="0"/>
        <w:rPr>
          <w:rFonts w:hint="eastAsia" w:ascii="宋体" w:hAnsi="宋体" w:eastAsia="宋体" w:cs="宋体"/>
          <w:b/>
          <w:color w:val="auto"/>
          <w:sz w:val="24"/>
          <w:highlight w:val="none"/>
        </w:rPr>
      </w:pPr>
      <w:bookmarkStart w:id="500" w:name="_Toc22955"/>
      <w:bookmarkStart w:id="501" w:name="_Toc15237"/>
      <w:bookmarkStart w:id="502" w:name="_Toc10366"/>
      <w:r>
        <w:rPr>
          <w:rFonts w:hint="eastAsia" w:ascii="宋体" w:hAnsi="宋体" w:eastAsia="宋体" w:cs="宋体"/>
          <w:b/>
          <w:color w:val="auto"/>
          <w:sz w:val="24"/>
          <w:highlight w:val="none"/>
        </w:rPr>
        <w:t>2.11 合同转让</w:t>
      </w:r>
      <w:bookmarkEnd w:id="497"/>
      <w:bookmarkEnd w:id="498"/>
      <w:bookmarkEnd w:id="499"/>
      <w:r>
        <w:rPr>
          <w:rFonts w:hint="eastAsia" w:ascii="宋体" w:hAnsi="宋体" w:eastAsia="宋体" w:cs="宋体"/>
          <w:b/>
          <w:color w:val="auto"/>
          <w:sz w:val="24"/>
          <w:highlight w:val="none"/>
        </w:rPr>
        <w:t>和分包</w:t>
      </w:r>
      <w:bookmarkEnd w:id="500"/>
      <w:bookmarkEnd w:id="501"/>
      <w:bookmarkEnd w:id="502"/>
    </w:p>
    <w:p w14:paraId="7402EDF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15E7643">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2.11.2乙方采取分包方式履行合同的，甲方可直接向分包供应商支付款项。</w:t>
      </w:r>
    </w:p>
    <w:p w14:paraId="348FDF7C">
      <w:pPr>
        <w:spacing w:line="560" w:lineRule="exact"/>
        <w:ind w:firstLine="482" w:firstLineChars="200"/>
        <w:outlineLvl w:val="0"/>
        <w:rPr>
          <w:rFonts w:hint="eastAsia" w:ascii="宋体" w:hAnsi="宋体" w:eastAsia="宋体" w:cs="宋体"/>
          <w:b/>
          <w:color w:val="auto"/>
          <w:sz w:val="24"/>
          <w:highlight w:val="none"/>
        </w:rPr>
      </w:pPr>
      <w:bookmarkStart w:id="503" w:name="_Toc16508"/>
      <w:bookmarkStart w:id="504" w:name="_Toc14066"/>
      <w:bookmarkStart w:id="505" w:name="_Toc13566"/>
      <w:r>
        <w:rPr>
          <w:rFonts w:hint="eastAsia" w:ascii="宋体" w:hAnsi="宋体" w:eastAsia="宋体" w:cs="宋体"/>
          <w:b/>
          <w:color w:val="auto"/>
          <w:sz w:val="24"/>
          <w:highlight w:val="none"/>
        </w:rPr>
        <w:t>2.12 不可抗力</w:t>
      </w:r>
      <w:bookmarkEnd w:id="503"/>
      <w:bookmarkEnd w:id="504"/>
      <w:bookmarkEnd w:id="505"/>
    </w:p>
    <w:p w14:paraId="0CBE341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2.12.1如果任何一方遭遇法律规定的不可抗力，致使合同履行受阻时，履行合同的期限应予延长，延长的期限应相当于不可抗力所影响的时间；</w:t>
      </w:r>
    </w:p>
    <w:p w14:paraId="792FF878">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2.12.2 因不可抗力致使不能实现合同目的的，当事人可以解除合同；</w:t>
      </w:r>
    </w:p>
    <w:p w14:paraId="1766C621">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2.12.3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14:paraId="7763D60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2.12.4受不可抗力影响的一方在不可抗力发生后，应在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14:paraId="60B1DF70">
      <w:pPr>
        <w:spacing w:line="560" w:lineRule="exact"/>
        <w:ind w:firstLine="482" w:firstLineChars="200"/>
        <w:outlineLvl w:val="0"/>
        <w:rPr>
          <w:rFonts w:hint="eastAsia" w:ascii="宋体" w:hAnsi="宋体" w:eastAsia="宋体" w:cs="宋体"/>
          <w:b/>
          <w:color w:val="auto"/>
          <w:sz w:val="24"/>
          <w:highlight w:val="none"/>
        </w:rPr>
      </w:pPr>
      <w:bookmarkStart w:id="506" w:name="_Toc30676"/>
      <w:bookmarkStart w:id="507" w:name="_Toc279701255"/>
      <w:bookmarkStart w:id="508" w:name="_Toc487900365"/>
      <w:bookmarkStart w:id="509" w:name="_Toc689"/>
      <w:bookmarkStart w:id="510" w:name="_Toc259093684"/>
      <w:bookmarkStart w:id="511" w:name="_Toc6969"/>
      <w:r>
        <w:rPr>
          <w:rFonts w:hint="eastAsia" w:ascii="宋体" w:hAnsi="宋体" w:eastAsia="宋体" w:cs="宋体"/>
          <w:b/>
          <w:color w:val="auto"/>
          <w:sz w:val="24"/>
          <w:highlight w:val="none"/>
        </w:rPr>
        <w:t>2.13 税费</w:t>
      </w:r>
      <w:bookmarkEnd w:id="506"/>
      <w:bookmarkEnd w:id="507"/>
      <w:bookmarkEnd w:id="508"/>
      <w:bookmarkEnd w:id="509"/>
      <w:bookmarkEnd w:id="510"/>
      <w:bookmarkEnd w:id="511"/>
    </w:p>
    <w:p w14:paraId="4EE1535B">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w:t>
      </w:r>
    </w:p>
    <w:p w14:paraId="73718C52">
      <w:pPr>
        <w:spacing w:line="560" w:lineRule="exact"/>
        <w:ind w:firstLine="482" w:firstLineChars="200"/>
        <w:outlineLvl w:val="0"/>
        <w:rPr>
          <w:rFonts w:hint="eastAsia" w:ascii="宋体" w:hAnsi="宋体" w:eastAsia="宋体" w:cs="宋体"/>
          <w:b/>
          <w:color w:val="auto"/>
          <w:sz w:val="24"/>
          <w:highlight w:val="none"/>
        </w:rPr>
      </w:pPr>
      <w:bookmarkStart w:id="512" w:name="_Toc259093687"/>
      <w:bookmarkStart w:id="513" w:name="_Toc16959"/>
      <w:bookmarkStart w:id="514" w:name="_Toc487900368"/>
      <w:bookmarkStart w:id="515" w:name="_Toc8298"/>
      <w:bookmarkStart w:id="516" w:name="_Toc279701258"/>
      <w:bookmarkStart w:id="517" w:name="_Toc7102"/>
      <w:r>
        <w:rPr>
          <w:rFonts w:hint="eastAsia" w:ascii="宋体" w:hAnsi="宋体" w:eastAsia="宋体" w:cs="宋体"/>
          <w:b/>
          <w:color w:val="auto"/>
          <w:sz w:val="24"/>
          <w:highlight w:val="none"/>
        </w:rPr>
        <w:t>2.14乙方破产</w:t>
      </w:r>
      <w:bookmarkEnd w:id="512"/>
      <w:bookmarkEnd w:id="513"/>
      <w:bookmarkEnd w:id="514"/>
      <w:bookmarkEnd w:id="515"/>
      <w:bookmarkEnd w:id="516"/>
      <w:bookmarkEnd w:id="517"/>
    </w:p>
    <w:p w14:paraId="07B23FB6">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40EE72E">
      <w:pPr>
        <w:spacing w:line="560" w:lineRule="exact"/>
        <w:ind w:firstLine="482" w:firstLineChars="200"/>
        <w:outlineLvl w:val="0"/>
        <w:rPr>
          <w:rFonts w:hint="eastAsia" w:ascii="宋体" w:hAnsi="宋体" w:eastAsia="宋体" w:cs="宋体"/>
          <w:b/>
          <w:color w:val="auto"/>
          <w:sz w:val="24"/>
          <w:highlight w:val="none"/>
        </w:rPr>
      </w:pPr>
      <w:bookmarkStart w:id="518" w:name="_Toc29333"/>
      <w:bookmarkStart w:id="519" w:name="_Toc15387"/>
      <w:bookmarkStart w:id="520" w:name="_Toc6134"/>
      <w:r>
        <w:rPr>
          <w:rFonts w:hint="eastAsia" w:ascii="宋体" w:hAnsi="宋体" w:eastAsia="宋体" w:cs="宋体"/>
          <w:b/>
          <w:color w:val="auto"/>
          <w:sz w:val="24"/>
          <w:highlight w:val="none"/>
        </w:rPr>
        <w:t>2.15 合同中止、终止</w:t>
      </w:r>
      <w:bookmarkEnd w:id="518"/>
      <w:bookmarkEnd w:id="519"/>
      <w:bookmarkEnd w:id="520"/>
    </w:p>
    <w:p w14:paraId="03EE745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2.15.1 双方当事人不得擅自中止或者终止合同；</w:t>
      </w:r>
    </w:p>
    <w:p w14:paraId="4F50A66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1EB76FDC">
      <w:pPr>
        <w:spacing w:line="560" w:lineRule="exact"/>
        <w:ind w:firstLine="482" w:firstLineChars="200"/>
        <w:outlineLvl w:val="0"/>
        <w:rPr>
          <w:rFonts w:hint="eastAsia" w:ascii="宋体" w:hAnsi="宋体" w:eastAsia="宋体" w:cs="宋体"/>
          <w:b/>
          <w:color w:val="auto"/>
          <w:sz w:val="24"/>
          <w:highlight w:val="none"/>
        </w:rPr>
      </w:pPr>
      <w:bookmarkStart w:id="521" w:name="_Toc6596"/>
      <w:bookmarkStart w:id="522" w:name="_Toc14563"/>
      <w:bookmarkStart w:id="523" w:name="_Toc1125"/>
      <w:r>
        <w:rPr>
          <w:rFonts w:hint="eastAsia" w:ascii="宋体" w:hAnsi="宋体" w:eastAsia="宋体" w:cs="宋体"/>
          <w:b/>
          <w:color w:val="auto"/>
          <w:sz w:val="24"/>
          <w:highlight w:val="none"/>
        </w:rPr>
        <w:t>2.16检验和验收</w:t>
      </w:r>
      <w:bookmarkEnd w:id="521"/>
      <w:bookmarkEnd w:id="522"/>
      <w:bookmarkEnd w:id="523"/>
    </w:p>
    <w:p w14:paraId="6A39B778">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约定时间内组织验收，并可依法邀请相关方参加，验收应出具验收书。</w:t>
      </w:r>
    </w:p>
    <w:p w14:paraId="0CFEFB1E">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1013C3C">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bookmarkEnd w:id="493"/>
    <w:bookmarkEnd w:id="494"/>
    <w:bookmarkEnd w:id="495"/>
    <w:bookmarkEnd w:id="496"/>
    <w:p w14:paraId="4C0BF9E7">
      <w:pPr>
        <w:spacing w:line="560" w:lineRule="exact"/>
        <w:ind w:firstLine="482" w:firstLineChars="200"/>
        <w:outlineLvl w:val="0"/>
        <w:rPr>
          <w:rFonts w:hint="eastAsia" w:ascii="宋体" w:hAnsi="宋体" w:eastAsia="宋体" w:cs="宋体"/>
          <w:b/>
          <w:color w:val="auto"/>
          <w:sz w:val="24"/>
          <w:highlight w:val="none"/>
        </w:rPr>
      </w:pPr>
      <w:bookmarkStart w:id="524" w:name="_Toc259093690"/>
      <w:bookmarkStart w:id="525" w:name="_Toc487900371"/>
      <w:bookmarkStart w:id="526" w:name="_Toc279701261"/>
      <w:bookmarkStart w:id="527" w:name="_Toc19604"/>
      <w:bookmarkStart w:id="528" w:name="_Toc25182"/>
      <w:bookmarkStart w:id="529" w:name="_Toc11284"/>
      <w:r>
        <w:rPr>
          <w:rFonts w:hint="eastAsia" w:ascii="宋体" w:hAnsi="宋体" w:eastAsia="宋体" w:cs="宋体"/>
          <w:b/>
          <w:color w:val="auto"/>
          <w:sz w:val="24"/>
          <w:highlight w:val="none"/>
        </w:rPr>
        <w:t>2.17 通知</w:t>
      </w:r>
      <w:bookmarkEnd w:id="524"/>
      <w:bookmarkEnd w:id="525"/>
      <w:bookmarkEnd w:id="526"/>
      <w:r>
        <w:rPr>
          <w:rFonts w:hint="eastAsia" w:ascii="宋体" w:hAnsi="宋体" w:eastAsia="宋体" w:cs="宋体"/>
          <w:b/>
          <w:color w:val="auto"/>
          <w:sz w:val="24"/>
          <w:highlight w:val="none"/>
        </w:rPr>
        <w:t>和送达</w:t>
      </w:r>
      <w:bookmarkEnd w:id="527"/>
      <w:bookmarkEnd w:id="528"/>
      <w:bookmarkEnd w:id="529"/>
    </w:p>
    <w:p w14:paraId="4E1C9020">
      <w:pPr>
        <w:spacing w:line="560" w:lineRule="exact"/>
        <w:ind w:firstLine="480" w:firstLineChars="200"/>
        <w:rPr>
          <w:rFonts w:hint="eastAsia" w:ascii="宋体" w:hAnsi="宋体" w:eastAsia="宋体" w:cs="宋体"/>
          <w:color w:val="auto"/>
          <w:sz w:val="24"/>
          <w:highlight w:val="none"/>
        </w:rPr>
      </w:pPr>
      <w:bookmarkStart w:id="530" w:name="_Toc3135"/>
      <w:bookmarkStart w:id="531" w:name="_Toc6698"/>
      <w:bookmarkStart w:id="532" w:name="_Toc259093691"/>
      <w:bookmarkStart w:id="533" w:name="_Toc487900372"/>
      <w:bookmarkStart w:id="534" w:name="_Toc279701262"/>
      <w:r>
        <w:rPr>
          <w:rFonts w:hint="eastAsia" w:ascii="宋体" w:hAnsi="宋体" w:eastAsia="宋体" w:cs="宋体"/>
          <w:color w:val="auto"/>
          <w:sz w:val="24"/>
          <w:highlight w:val="none"/>
        </w:rPr>
        <w:t xml:space="preserve">2.17.1任何一方因履行合同而以合同第一部分尾部所列明的传真或电子邮件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rPr>
        <w:t>3</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bookmarkEnd w:id="530"/>
      <w:bookmarkEnd w:id="531"/>
    </w:p>
    <w:p w14:paraId="148B51AE">
      <w:pPr>
        <w:spacing w:line="560" w:lineRule="exact"/>
        <w:ind w:firstLine="480" w:firstLineChars="200"/>
        <w:rPr>
          <w:rFonts w:hint="eastAsia" w:ascii="宋体" w:hAnsi="宋体" w:eastAsia="宋体" w:cs="宋体"/>
          <w:color w:val="auto"/>
          <w:sz w:val="24"/>
          <w:highlight w:val="none"/>
        </w:rPr>
      </w:pPr>
      <w:bookmarkStart w:id="535" w:name="_Toc23294"/>
      <w:bookmarkStart w:id="536" w:name="_Toc23128"/>
      <w:r>
        <w:rPr>
          <w:rFonts w:hint="eastAsia" w:ascii="宋体" w:hAnsi="宋体" w:eastAsia="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5"/>
      <w:bookmarkEnd w:id="536"/>
    </w:p>
    <w:p w14:paraId="29FDC649">
      <w:pPr>
        <w:spacing w:line="560" w:lineRule="exact"/>
        <w:ind w:firstLine="482" w:firstLineChars="200"/>
        <w:outlineLvl w:val="0"/>
        <w:rPr>
          <w:rFonts w:hint="eastAsia" w:ascii="宋体" w:hAnsi="宋体" w:eastAsia="宋体" w:cs="宋体"/>
          <w:b/>
          <w:color w:val="auto"/>
          <w:sz w:val="24"/>
          <w:highlight w:val="none"/>
        </w:rPr>
      </w:pPr>
      <w:bookmarkStart w:id="537" w:name="_Toc4355"/>
      <w:bookmarkStart w:id="538" w:name="_Toc30599"/>
      <w:bookmarkStart w:id="539" w:name="_Toc18540"/>
      <w:r>
        <w:rPr>
          <w:rFonts w:hint="eastAsia" w:ascii="宋体" w:hAnsi="宋体" w:eastAsia="宋体" w:cs="宋体"/>
          <w:b/>
          <w:color w:val="auto"/>
          <w:sz w:val="24"/>
          <w:highlight w:val="none"/>
        </w:rPr>
        <w:t>2.18 计量单位</w:t>
      </w:r>
      <w:bookmarkEnd w:id="532"/>
      <w:bookmarkEnd w:id="533"/>
      <w:bookmarkEnd w:id="534"/>
      <w:bookmarkEnd w:id="537"/>
      <w:bookmarkEnd w:id="538"/>
      <w:bookmarkEnd w:id="539"/>
    </w:p>
    <w:p w14:paraId="408DDF7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14:paraId="34AF4A45">
      <w:pPr>
        <w:spacing w:line="560" w:lineRule="exact"/>
        <w:ind w:firstLine="482" w:firstLineChars="200"/>
        <w:outlineLvl w:val="0"/>
        <w:rPr>
          <w:rFonts w:hint="eastAsia" w:ascii="宋体" w:hAnsi="宋体" w:eastAsia="宋体" w:cs="宋体"/>
          <w:b/>
          <w:color w:val="auto"/>
          <w:sz w:val="24"/>
          <w:highlight w:val="none"/>
        </w:rPr>
      </w:pPr>
      <w:bookmarkStart w:id="540" w:name="_Toc279701263"/>
      <w:bookmarkStart w:id="541" w:name="_Toc10330"/>
      <w:bookmarkStart w:id="542" w:name="_Toc18567"/>
      <w:bookmarkStart w:id="543" w:name="_Toc259093692"/>
      <w:bookmarkStart w:id="544" w:name="_Toc487900373"/>
      <w:bookmarkStart w:id="545" w:name="_Toc12773"/>
      <w:r>
        <w:rPr>
          <w:rFonts w:hint="eastAsia" w:ascii="宋体" w:hAnsi="宋体" w:eastAsia="宋体" w:cs="宋体"/>
          <w:b/>
          <w:color w:val="auto"/>
          <w:sz w:val="24"/>
          <w:highlight w:val="none"/>
        </w:rPr>
        <w:t>2.19 合同使用的文字和适用的法律</w:t>
      </w:r>
      <w:bookmarkEnd w:id="540"/>
      <w:bookmarkEnd w:id="541"/>
      <w:bookmarkEnd w:id="542"/>
      <w:bookmarkEnd w:id="543"/>
      <w:bookmarkEnd w:id="544"/>
      <w:bookmarkEnd w:id="545"/>
    </w:p>
    <w:p w14:paraId="144DF79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2.19.1 合同使用汉语书就、变更和解释；</w:t>
      </w:r>
    </w:p>
    <w:p w14:paraId="03EDAC67">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2.19.2 合同适用中华人民共和国法律。</w:t>
      </w:r>
    </w:p>
    <w:p w14:paraId="6AB3877C">
      <w:pPr>
        <w:spacing w:line="560" w:lineRule="exact"/>
        <w:ind w:firstLine="482" w:firstLineChars="200"/>
        <w:outlineLvl w:val="0"/>
        <w:rPr>
          <w:rFonts w:hint="eastAsia" w:ascii="宋体" w:hAnsi="宋体" w:eastAsia="宋体" w:cs="宋体"/>
          <w:b/>
          <w:color w:val="auto"/>
          <w:sz w:val="24"/>
          <w:highlight w:val="none"/>
        </w:rPr>
      </w:pPr>
      <w:bookmarkStart w:id="546" w:name="_Toc6885"/>
      <w:bookmarkStart w:id="547" w:name="_Toc19890"/>
      <w:bookmarkStart w:id="548" w:name="_Toc14001"/>
      <w:r>
        <w:rPr>
          <w:rFonts w:hint="eastAsia" w:ascii="宋体" w:hAnsi="宋体" w:eastAsia="宋体" w:cs="宋体"/>
          <w:b/>
          <w:color w:val="auto"/>
          <w:sz w:val="24"/>
          <w:highlight w:val="none"/>
        </w:rPr>
        <w:t>2.20 合同份数</w:t>
      </w:r>
      <w:bookmarkEnd w:id="546"/>
      <w:bookmarkEnd w:id="547"/>
      <w:bookmarkEnd w:id="548"/>
    </w:p>
    <w:p w14:paraId="4D83E82A">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合同份数按</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规定，每份均具有同等法律效力。</w:t>
      </w:r>
    </w:p>
    <w:p w14:paraId="656E2907">
      <w:pPr>
        <w:adjustRightInd/>
        <w:spacing w:line="360" w:lineRule="auto"/>
        <w:ind w:firstLine="2513" w:firstLineChars="1197"/>
        <w:outlineLvl w:val="0"/>
        <w:rPr>
          <w:rFonts w:hint="eastAsia" w:ascii="宋体" w:hAnsi="宋体" w:eastAsia="宋体" w:cs="宋体"/>
          <w:b/>
          <w:color w:val="auto"/>
          <w:highlight w:val="none"/>
        </w:rPr>
      </w:pPr>
      <w:r>
        <w:rPr>
          <w:rFonts w:hint="eastAsia" w:ascii="宋体" w:hAnsi="宋体" w:eastAsia="宋体" w:cs="宋体"/>
          <w:color w:val="auto"/>
          <w:kern w:val="0"/>
          <w:highlight w:val="none"/>
        </w:rPr>
        <w:br w:type="page"/>
      </w:r>
      <w:r>
        <w:rPr>
          <w:rFonts w:hint="eastAsia" w:ascii="宋体" w:hAnsi="宋体" w:eastAsia="宋体" w:cs="宋体"/>
          <w:b/>
          <w:color w:val="auto"/>
          <w:sz w:val="32"/>
          <w:szCs w:val="20"/>
          <w:highlight w:val="none"/>
        </w:rPr>
        <w:t xml:space="preserve"> 第三部分  合同专用条款</w:t>
      </w:r>
    </w:p>
    <w:p w14:paraId="634DAACF">
      <w:pPr>
        <w:spacing w:line="560" w:lineRule="exact"/>
        <w:ind w:left="-420" w:leftChars="-200" w:right="-420" w:rightChars="-200"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81"/>
        <w:gridCol w:w="8345"/>
      </w:tblGrid>
      <w:tr w14:paraId="43136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28" w:type="pct"/>
            <w:tcBorders>
              <w:left w:val="single" w:color="auto" w:sz="4" w:space="0"/>
            </w:tcBorders>
            <w:vAlign w:val="center"/>
          </w:tcPr>
          <w:p w14:paraId="5229084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4571" w:type="pct"/>
            <w:vAlign w:val="center"/>
          </w:tcPr>
          <w:p w14:paraId="453A9D41">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约定内容</w:t>
            </w:r>
          </w:p>
        </w:tc>
      </w:tr>
      <w:tr w14:paraId="6564F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36BBB65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1.4.2</w:t>
            </w:r>
          </w:p>
        </w:tc>
        <w:tc>
          <w:tcPr>
            <w:tcW w:w="4571" w:type="pct"/>
            <w:vAlign w:val="center"/>
          </w:tcPr>
          <w:p w14:paraId="7E0B2B7B">
            <w:pPr>
              <w:spacing w:line="360" w:lineRule="auto"/>
              <w:rPr>
                <w:rFonts w:hint="eastAsia" w:ascii="宋体" w:hAnsi="宋体" w:eastAsia="宋体" w:cs="宋体"/>
                <w:color w:val="auto"/>
                <w:sz w:val="24"/>
                <w:highlight w:val="none"/>
              </w:rPr>
            </w:pPr>
            <w:r>
              <w:rPr>
                <w:rStyle w:val="353"/>
                <w:rFonts w:hint="eastAsia" w:ascii="宋体" w:hAnsi="宋体" w:eastAsia="宋体" w:cs="宋体"/>
                <w:b w:val="0"/>
                <w:bCs/>
                <w:color w:val="auto"/>
                <w:highlight w:val="none"/>
              </w:rPr>
              <w:t>履约保证金：</w:t>
            </w:r>
            <w:r>
              <w:rPr>
                <w:rFonts w:hint="eastAsia" w:ascii="宋体" w:hAnsi="宋体" w:eastAsia="宋体" w:cs="宋体"/>
                <w:iCs/>
                <w:color w:val="auto"/>
                <w:sz w:val="24"/>
                <w:highlight w:val="none"/>
                <w:u w:val="single"/>
                <w:lang w:val="en-US" w:eastAsia="zh-CN"/>
              </w:rPr>
              <w:t>本项目收取履约保证金为合同金额1%。需要收取保证金的供应商在正式合同签订生效之日起7个工作日内，缴纳保证金至甲方指定账户（可采用银行、保险公司出具保函形式提交）。在验收合格后经回访正常后凭正式收款收据、履约保证金缴款凭证复印件办理结算手续。</w:t>
            </w:r>
          </w:p>
        </w:tc>
      </w:tr>
      <w:tr w14:paraId="69582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4BDF742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1.5.1</w:t>
            </w:r>
          </w:p>
        </w:tc>
        <w:tc>
          <w:tcPr>
            <w:tcW w:w="4571" w:type="pct"/>
            <w:vAlign w:val="center"/>
          </w:tcPr>
          <w:p w14:paraId="1A13F9D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合同签订并具备项目实施条件后</w:t>
            </w: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lang w:val="en-US" w:eastAsia="zh-CN"/>
              </w:rPr>
              <w:t>个工作日内</w:t>
            </w:r>
            <w:r>
              <w:rPr>
                <w:rFonts w:hint="eastAsia" w:ascii="宋体" w:hAnsi="宋体" w:cs="宋体"/>
                <w:color w:val="auto"/>
                <w:sz w:val="24"/>
                <w:highlight w:val="none"/>
              </w:rPr>
              <w:t>甲方向乙方支付</w:t>
            </w:r>
            <w:r>
              <w:rPr>
                <w:rFonts w:hint="eastAsia" w:ascii="宋体" w:hAnsi="宋体" w:eastAsia="宋体" w:cs="宋体"/>
                <w:color w:val="auto"/>
                <w:sz w:val="24"/>
                <w:highlight w:val="none"/>
                <w:lang w:val="en-US" w:eastAsia="zh-CN"/>
              </w:rPr>
              <w:t>合同价的50%预付款</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乙方</w:t>
            </w:r>
            <w:r>
              <w:rPr>
                <w:rFonts w:hint="eastAsia" w:ascii="宋体" w:hAnsi="宋体" w:eastAsia="宋体" w:cs="宋体"/>
                <w:color w:val="auto"/>
                <w:sz w:val="24"/>
                <w:highlight w:val="none"/>
              </w:rPr>
              <w:t>需提供相应金额的预付款保函至</w:t>
            </w:r>
            <w:r>
              <w:rPr>
                <w:rFonts w:hint="eastAsia" w:ascii="宋体" w:hAnsi="宋体" w:eastAsia="宋体" w:cs="宋体"/>
                <w:color w:val="auto"/>
                <w:sz w:val="24"/>
                <w:highlight w:val="none"/>
                <w:lang w:val="en-US" w:eastAsia="zh-CN"/>
              </w:rPr>
              <w:t>甲方</w:t>
            </w:r>
            <w:r>
              <w:rPr>
                <w:rFonts w:hint="eastAsia" w:ascii="宋体" w:hAnsi="宋体" w:eastAsia="宋体" w:cs="宋体"/>
                <w:color w:val="auto"/>
                <w:sz w:val="24"/>
                <w:highlight w:val="none"/>
              </w:rPr>
              <w:t>）</w:t>
            </w:r>
          </w:p>
        </w:tc>
      </w:tr>
      <w:tr w14:paraId="2F34C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16FD0A4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1.5.2 </w:t>
            </w:r>
          </w:p>
        </w:tc>
        <w:tc>
          <w:tcPr>
            <w:tcW w:w="4571" w:type="pct"/>
            <w:vAlign w:val="center"/>
          </w:tcPr>
          <w:p w14:paraId="379E2F7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38180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56AE38F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1.5.3</w:t>
            </w:r>
          </w:p>
        </w:tc>
        <w:tc>
          <w:tcPr>
            <w:tcW w:w="4571" w:type="pct"/>
            <w:vAlign w:val="center"/>
          </w:tcPr>
          <w:p w14:paraId="1E40FC7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11FDB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04F7027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1.6.2</w:t>
            </w:r>
          </w:p>
        </w:tc>
        <w:tc>
          <w:tcPr>
            <w:tcW w:w="4571" w:type="pct"/>
            <w:vAlign w:val="center"/>
          </w:tcPr>
          <w:p w14:paraId="3AB1241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甲方根据合同、投标文件等资料进行验收。</w:t>
            </w:r>
          </w:p>
          <w:p w14:paraId="317A4A89">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第一期：合同生效及具备实施条件后7个工作日内由</w:t>
            </w:r>
            <w:r>
              <w:rPr>
                <w:rFonts w:hint="eastAsia" w:ascii="宋体" w:hAnsi="宋体" w:cs="宋体"/>
                <w:color w:val="auto"/>
                <w:sz w:val="24"/>
                <w:highlight w:val="none"/>
                <w:lang w:eastAsia="zh-CN"/>
              </w:rPr>
              <w:t>甲方</w:t>
            </w:r>
            <w:r>
              <w:rPr>
                <w:rFonts w:hint="eastAsia" w:ascii="宋体" w:hAnsi="宋体" w:eastAsia="宋体" w:cs="宋体"/>
                <w:color w:val="auto"/>
                <w:sz w:val="24"/>
                <w:highlight w:val="none"/>
              </w:rPr>
              <w:t>向</w:t>
            </w:r>
            <w:r>
              <w:rPr>
                <w:rFonts w:hint="eastAsia" w:ascii="宋体" w:hAnsi="宋体" w:cs="宋体"/>
                <w:color w:val="auto"/>
                <w:sz w:val="24"/>
                <w:highlight w:val="none"/>
                <w:lang w:eastAsia="zh-CN"/>
              </w:rPr>
              <w:t>乙方</w:t>
            </w:r>
            <w:r>
              <w:rPr>
                <w:rFonts w:hint="eastAsia" w:ascii="宋体" w:hAnsi="宋体" w:eastAsia="宋体" w:cs="宋体"/>
                <w:color w:val="auto"/>
                <w:sz w:val="24"/>
                <w:highlight w:val="none"/>
              </w:rPr>
              <w:t>支付合同总价50%的预付款；</w:t>
            </w:r>
          </w:p>
          <w:p w14:paraId="3BC64B9D">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第二期：项目进度至80%时，由</w:t>
            </w:r>
            <w:r>
              <w:rPr>
                <w:rFonts w:hint="eastAsia" w:ascii="宋体" w:hAnsi="宋体" w:cs="宋体"/>
                <w:color w:val="auto"/>
                <w:sz w:val="24"/>
                <w:highlight w:val="none"/>
                <w:lang w:eastAsia="zh-CN"/>
              </w:rPr>
              <w:t>甲方</w:t>
            </w:r>
            <w:r>
              <w:rPr>
                <w:rFonts w:hint="eastAsia" w:ascii="宋体" w:hAnsi="宋体" w:eastAsia="宋体" w:cs="宋体"/>
                <w:color w:val="auto"/>
                <w:sz w:val="24"/>
                <w:highlight w:val="none"/>
              </w:rPr>
              <w:t>向</w:t>
            </w:r>
            <w:r>
              <w:rPr>
                <w:rFonts w:hint="eastAsia" w:ascii="宋体" w:hAnsi="宋体" w:cs="宋体"/>
                <w:color w:val="auto"/>
                <w:sz w:val="24"/>
                <w:highlight w:val="none"/>
                <w:lang w:eastAsia="zh-CN"/>
              </w:rPr>
              <w:t>乙方</w:t>
            </w:r>
            <w:r>
              <w:rPr>
                <w:rFonts w:hint="eastAsia" w:ascii="宋体" w:hAnsi="宋体" w:eastAsia="宋体" w:cs="宋体"/>
                <w:color w:val="auto"/>
                <w:sz w:val="24"/>
                <w:highlight w:val="none"/>
              </w:rPr>
              <w:t>支付至合同总价的60%；</w:t>
            </w:r>
          </w:p>
          <w:p w14:paraId="458DF4C8">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第三期：安装调试完毕并验收合格，由</w:t>
            </w:r>
            <w:r>
              <w:rPr>
                <w:rFonts w:hint="eastAsia" w:ascii="宋体" w:hAnsi="宋体" w:cs="宋体"/>
                <w:color w:val="auto"/>
                <w:sz w:val="24"/>
                <w:highlight w:val="none"/>
                <w:lang w:eastAsia="zh-CN"/>
              </w:rPr>
              <w:t>甲方</w:t>
            </w:r>
            <w:r>
              <w:rPr>
                <w:rFonts w:hint="eastAsia" w:ascii="宋体" w:hAnsi="宋体" w:eastAsia="宋体" w:cs="宋体"/>
                <w:color w:val="auto"/>
                <w:sz w:val="24"/>
                <w:highlight w:val="none"/>
              </w:rPr>
              <w:t>向</w:t>
            </w:r>
            <w:r>
              <w:rPr>
                <w:rFonts w:hint="eastAsia" w:ascii="宋体" w:hAnsi="宋体" w:cs="宋体"/>
                <w:color w:val="auto"/>
                <w:sz w:val="24"/>
                <w:highlight w:val="none"/>
                <w:lang w:eastAsia="zh-CN"/>
              </w:rPr>
              <w:t>乙方</w:t>
            </w:r>
            <w:r>
              <w:rPr>
                <w:rFonts w:hint="eastAsia" w:ascii="宋体" w:hAnsi="宋体" w:eastAsia="宋体" w:cs="宋体"/>
                <w:color w:val="auto"/>
                <w:sz w:val="24"/>
                <w:highlight w:val="none"/>
              </w:rPr>
              <w:t>支付至合同总价的100%；</w:t>
            </w:r>
          </w:p>
          <w:p w14:paraId="386B35B5">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结算时：出具结款申请、发票原件及复印件、合同复印件、货物清单、经采购单位验收确认的《建德市政府采购验收反馈表》等。</w:t>
            </w:r>
          </w:p>
        </w:tc>
      </w:tr>
      <w:tr w14:paraId="50384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2A9C7AA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1.7.1</w:t>
            </w:r>
          </w:p>
        </w:tc>
        <w:tc>
          <w:tcPr>
            <w:tcW w:w="4571" w:type="pct"/>
            <w:vAlign w:val="center"/>
          </w:tcPr>
          <w:p w14:paraId="28C021D4">
            <w:pPr>
              <w:spacing w:line="360" w:lineRule="auto"/>
              <w:rPr>
                <w:rFonts w:hint="eastAsia" w:ascii="宋体" w:hAnsi="宋体" w:eastAsia="宋体" w:cs="宋体"/>
                <w:color w:val="auto"/>
                <w:highlight w:val="none"/>
              </w:rPr>
            </w:pPr>
            <w:r>
              <w:rPr>
                <w:rFonts w:hint="eastAsia" w:ascii="宋体" w:hAnsi="宋体" w:eastAsia="宋体" w:cs="宋体"/>
                <w:color w:val="auto"/>
                <w:sz w:val="24"/>
                <w:highlight w:val="none"/>
              </w:rPr>
              <w:t>交货时间：</w:t>
            </w:r>
            <w:r>
              <w:rPr>
                <w:rFonts w:hint="eastAsia" w:asciiTheme="minorEastAsia" w:hAnsiTheme="minorEastAsia" w:eastAsiaTheme="minorEastAsia" w:cstheme="minorEastAsia"/>
                <w:color w:val="auto"/>
                <w:sz w:val="24"/>
                <w:highlight w:val="none"/>
              </w:rPr>
              <w:t>供应商中标签订合同后</w:t>
            </w:r>
            <w:r>
              <w:rPr>
                <w:rFonts w:hint="eastAsia" w:asciiTheme="minorEastAsia" w:hAnsiTheme="minorEastAsia" w:eastAsiaTheme="minorEastAsia" w:cstheme="minorEastAsia"/>
                <w:color w:val="auto"/>
                <w:sz w:val="24"/>
                <w:highlight w:val="none"/>
                <w:lang w:eastAsia="zh-CN"/>
              </w:rPr>
              <w:t>30日历天</w:t>
            </w:r>
            <w:r>
              <w:rPr>
                <w:rFonts w:hint="eastAsia" w:asciiTheme="minorEastAsia" w:hAnsiTheme="minorEastAsia" w:eastAsiaTheme="minorEastAsia" w:cstheme="minorEastAsia"/>
                <w:color w:val="auto"/>
                <w:sz w:val="24"/>
                <w:highlight w:val="none"/>
              </w:rPr>
              <w:t>内送达并安装完成，如在规定的时间内由于卖方的原因不能送达货物并安装完成通过验收的，中标方应承担由此给用户造成的损失。</w:t>
            </w:r>
          </w:p>
        </w:tc>
      </w:tr>
      <w:tr w14:paraId="040B7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278F211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w:t>
            </w:r>
          </w:p>
        </w:tc>
        <w:tc>
          <w:tcPr>
            <w:tcW w:w="4571" w:type="pct"/>
            <w:vAlign w:val="center"/>
          </w:tcPr>
          <w:p w14:paraId="650E7F0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交货地点：</w:t>
            </w:r>
            <w:r>
              <w:rPr>
                <w:rFonts w:hint="eastAsia" w:ascii="宋体" w:hAnsi="宋体" w:cs="宋体"/>
                <w:color w:val="auto"/>
                <w:sz w:val="24"/>
                <w:highlight w:val="none"/>
                <w:lang w:val="en-US" w:eastAsia="zh-CN"/>
              </w:rPr>
              <w:t>建德市寿昌镇人民政府</w:t>
            </w:r>
            <w:r>
              <w:rPr>
                <w:rFonts w:hint="eastAsia" w:ascii="宋体" w:hAnsi="宋体" w:eastAsia="宋体" w:cs="宋体"/>
                <w:color w:val="auto"/>
                <w:sz w:val="24"/>
                <w:highlight w:val="none"/>
                <w:lang w:val="en-US" w:eastAsia="zh-CN"/>
              </w:rPr>
              <w:t>(具体以使用单位要求的为准)。</w:t>
            </w:r>
          </w:p>
        </w:tc>
      </w:tr>
      <w:tr w14:paraId="6E319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38B3032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w:t>
            </w:r>
          </w:p>
        </w:tc>
        <w:tc>
          <w:tcPr>
            <w:tcW w:w="4571" w:type="pct"/>
            <w:vAlign w:val="center"/>
          </w:tcPr>
          <w:p w14:paraId="7432730C">
            <w:pPr>
              <w:pStyle w:val="23"/>
              <w:rPr>
                <w:rFonts w:hint="eastAsia" w:ascii="宋体" w:hAnsi="宋体" w:eastAsia="宋体" w:cs="宋体"/>
                <w:color w:val="auto"/>
                <w:sz w:val="24"/>
                <w:highlight w:val="none"/>
              </w:rPr>
            </w:pPr>
            <w:r>
              <w:rPr>
                <w:rFonts w:hint="eastAsia" w:asciiTheme="minorEastAsia" w:hAnsiTheme="minorEastAsia" w:eastAsiaTheme="minorEastAsia" w:cstheme="minorEastAsia"/>
                <w:snapToGrid/>
                <w:color w:val="auto"/>
                <w:kern w:val="2"/>
                <w:sz w:val="24"/>
                <w:szCs w:val="24"/>
                <w:highlight w:val="none"/>
                <w:lang w:val="en-US" w:eastAsia="zh-CN" w:bidi="ar-SA"/>
              </w:rPr>
              <w:t>乙方免费提供中标设备（软件和硬件）的安装调试服务</w:t>
            </w:r>
          </w:p>
        </w:tc>
      </w:tr>
      <w:tr w14:paraId="6995D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1E87565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1.8.6</w:t>
            </w:r>
          </w:p>
        </w:tc>
        <w:tc>
          <w:tcPr>
            <w:tcW w:w="4571" w:type="pct"/>
            <w:vAlign w:val="center"/>
          </w:tcPr>
          <w:p w14:paraId="03979F2C">
            <w:pPr>
              <w:spacing w:line="360" w:lineRule="auto"/>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由于</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原因(除不可抗力外)不能按期交付合同标的，对超出交付期的每一天，供应商应按合同总价款的万分之五承担违约金，在合同款支付时一次性扣除。若超出交付期十天(含十天)以上的，</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有权终止合同。</w:t>
            </w:r>
          </w:p>
          <w:p w14:paraId="67E614C8">
            <w:pPr>
              <w:spacing w:line="360" w:lineRule="auto"/>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按合同要求将成果送达</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后，经验收合格后，</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超出付款期支付项目款的，每逾一天，</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应向</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支付合同金额的万分之五的滞纳金。</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无正当理由拒收合同标的、拒付项目款的，应向</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偿付合同总价百分之五的违约金。</w:t>
            </w:r>
          </w:p>
          <w:p w14:paraId="7659E1E8">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rPr>
              <w:t>3、由于</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原因导致</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有重大损失的，责任由</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承担，并依法追究其经济责任和法律责任。</w:t>
            </w:r>
          </w:p>
        </w:tc>
      </w:tr>
      <w:tr w14:paraId="72493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58DECCE2">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1.9</w:t>
            </w:r>
          </w:p>
        </w:tc>
        <w:tc>
          <w:tcPr>
            <w:tcW w:w="4571" w:type="pct"/>
            <w:vAlign w:val="center"/>
          </w:tcPr>
          <w:p w14:paraId="72D30CBD">
            <w:pPr>
              <w:spacing w:line="360" w:lineRule="auto"/>
              <w:rPr>
                <w:rFonts w:hint="eastAsia" w:ascii="宋体" w:hAnsi="宋体" w:eastAsia="宋体" w:cs="宋体"/>
                <w:color w:val="auto"/>
                <w:sz w:val="24"/>
                <w:highlight w:val="none"/>
              </w:rPr>
            </w:pPr>
            <w:r>
              <w:rPr>
                <w:rFonts w:hint="eastAsia" w:asciiTheme="minorEastAsia" w:hAnsiTheme="minorEastAsia" w:eastAsiaTheme="minorEastAsia" w:cstheme="minorEastAsia"/>
                <w:color w:val="auto"/>
                <w:sz w:val="24"/>
                <w:szCs w:val="24"/>
                <w:highlight w:val="none"/>
              </w:rPr>
              <w:t>本合同履行过程中发生的任何争议，双方当事人均可通过和解或者调解解决；不愿和解、调解或者和解、调解不成的，可以选择以下第</w:t>
            </w:r>
            <w:r>
              <w:rPr>
                <w:rFonts w:hint="eastAsia" w:asciiTheme="minorEastAsia" w:hAnsiTheme="minorEastAsia" w:eastAsiaTheme="minorEastAsia" w:cstheme="minorEastAsia"/>
                <w:b/>
                <w:i/>
                <w:color w:val="auto"/>
                <w:sz w:val="24"/>
                <w:szCs w:val="24"/>
                <w:highlight w:val="none"/>
                <w:u w:val="single"/>
              </w:rPr>
              <w:t xml:space="preserve"> 1.</w:t>
            </w:r>
            <w:r>
              <w:rPr>
                <w:rFonts w:hint="eastAsia" w:asciiTheme="minorEastAsia" w:hAnsiTheme="minorEastAsia" w:eastAsiaTheme="minorEastAsia" w:cstheme="minorEastAsia"/>
                <w:b/>
                <w:i/>
                <w:color w:val="auto"/>
                <w:sz w:val="24"/>
                <w:szCs w:val="24"/>
                <w:highlight w:val="none"/>
                <w:u w:val="single"/>
                <w:lang w:val="en-US" w:eastAsia="zh-CN"/>
              </w:rPr>
              <w:t>9</w:t>
            </w:r>
            <w:r>
              <w:rPr>
                <w:rFonts w:hint="eastAsia" w:asciiTheme="minorEastAsia" w:hAnsiTheme="minorEastAsia" w:eastAsiaTheme="minorEastAsia" w:cstheme="minorEastAsia"/>
                <w:b/>
                <w:i/>
                <w:color w:val="auto"/>
                <w:sz w:val="24"/>
                <w:szCs w:val="24"/>
                <w:highlight w:val="none"/>
                <w:u w:val="single"/>
              </w:rPr>
              <w:t xml:space="preserve">.2  </w:t>
            </w:r>
            <w:r>
              <w:rPr>
                <w:rFonts w:hint="eastAsia" w:asciiTheme="minorEastAsia" w:hAnsiTheme="minorEastAsia" w:eastAsiaTheme="minorEastAsia" w:cstheme="minorEastAsia"/>
                <w:color w:val="auto"/>
                <w:sz w:val="24"/>
                <w:szCs w:val="24"/>
                <w:highlight w:val="none"/>
              </w:rPr>
              <w:t>条款规定的方式解决：</w:t>
            </w:r>
          </w:p>
        </w:tc>
      </w:tr>
      <w:tr w14:paraId="197BF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4F88D0CF">
            <w:pPr>
              <w:spacing w:line="240" w:lineRule="auto"/>
              <w:rPr>
                <w:rFonts w:hint="eastAsia" w:ascii="宋体" w:hAnsi="宋体" w:eastAsia="宋体" w:cs="宋体"/>
                <w:color w:val="auto"/>
                <w:sz w:val="24"/>
                <w:highlight w:val="none"/>
              </w:rPr>
            </w:pPr>
            <w:r>
              <w:rPr>
                <w:rFonts w:hint="eastAsia" w:ascii="宋体" w:hAnsi="宋体" w:cs="宋体"/>
                <w:color w:val="auto"/>
                <w:sz w:val="24"/>
                <w:highlight w:val="none"/>
              </w:rPr>
              <w:t>1.9.1</w:t>
            </w:r>
          </w:p>
        </w:tc>
        <w:tc>
          <w:tcPr>
            <w:tcW w:w="4571" w:type="pct"/>
            <w:vAlign w:val="center"/>
          </w:tcPr>
          <w:p w14:paraId="23CED84A">
            <w:pPr>
              <w:spacing w:line="240" w:lineRule="auto"/>
              <w:rPr>
                <w:rFonts w:hint="eastAsia" w:ascii="宋体" w:hAnsi="宋体" w:eastAsia="宋体" w:cs="宋体"/>
                <w:color w:val="auto"/>
                <w:sz w:val="24"/>
                <w:highlight w:val="none"/>
              </w:rPr>
            </w:pPr>
            <w:r>
              <w:rPr>
                <w:rFonts w:hint="eastAsia" w:ascii="宋体" w:hAnsi="宋体" w:cs="宋体"/>
                <w:color w:val="auto"/>
                <w:sz w:val="24"/>
                <w:highlight w:val="none"/>
              </w:rPr>
              <w:t>/</w:t>
            </w:r>
          </w:p>
        </w:tc>
      </w:tr>
      <w:tr w14:paraId="10E9E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7C5E2E57">
            <w:pPr>
              <w:spacing w:line="240" w:lineRule="auto"/>
              <w:rPr>
                <w:rFonts w:hint="eastAsia" w:ascii="宋体" w:hAnsi="宋体" w:eastAsia="宋体" w:cs="宋体"/>
                <w:color w:val="auto"/>
                <w:sz w:val="24"/>
                <w:highlight w:val="none"/>
              </w:rPr>
            </w:pPr>
            <w:r>
              <w:rPr>
                <w:rFonts w:hint="eastAsia" w:ascii="宋体" w:hAnsi="宋体" w:cs="宋体"/>
                <w:color w:val="auto"/>
                <w:sz w:val="24"/>
                <w:highlight w:val="none"/>
              </w:rPr>
              <w:t>1.9.2</w:t>
            </w:r>
          </w:p>
        </w:tc>
        <w:tc>
          <w:tcPr>
            <w:tcW w:w="4571" w:type="pct"/>
            <w:vAlign w:val="center"/>
          </w:tcPr>
          <w:p w14:paraId="27507EFE">
            <w:pPr>
              <w:spacing w:line="240" w:lineRule="auto"/>
              <w:rPr>
                <w:rFonts w:hint="eastAsia" w:ascii="宋体" w:hAnsi="宋体" w:eastAsia="宋体" w:cs="宋体"/>
                <w:color w:val="auto"/>
                <w:sz w:val="24"/>
                <w:highlight w:val="none"/>
              </w:rPr>
            </w:pPr>
            <w:r>
              <w:rPr>
                <w:rFonts w:hint="eastAsia" w:asciiTheme="minorEastAsia" w:hAnsiTheme="minorEastAsia" w:eastAsiaTheme="minorEastAsia" w:cstheme="minorEastAsia"/>
                <w:color w:val="auto"/>
                <w:sz w:val="24"/>
                <w:szCs w:val="24"/>
                <w:highlight w:val="none"/>
              </w:rPr>
              <w:t>向</w:t>
            </w:r>
            <w:r>
              <w:rPr>
                <w:rFonts w:hint="eastAsia" w:asciiTheme="minorEastAsia" w:hAnsiTheme="minorEastAsia" w:eastAsiaTheme="minorEastAsia" w:cstheme="minorEastAsia"/>
                <w:b/>
                <w:i/>
                <w:color w:val="auto"/>
                <w:sz w:val="24"/>
                <w:szCs w:val="24"/>
                <w:highlight w:val="none"/>
                <w:u w:val="single"/>
              </w:rPr>
              <w:t>建德市人民法院</w:t>
            </w:r>
            <w:r>
              <w:rPr>
                <w:rFonts w:hint="eastAsia" w:asciiTheme="minorEastAsia" w:hAnsiTheme="minorEastAsia" w:eastAsiaTheme="minorEastAsia" w:cstheme="minorEastAsia"/>
                <w:color w:val="auto"/>
                <w:sz w:val="24"/>
                <w:szCs w:val="24"/>
                <w:highlight w:val="none"/>
              </w:rPr>
              <w:t>起诉</w:t>
            </w:r>
          </w:p>
        </w:tc>
      </w:tr>
      <w:tr w14:paraId="66107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4682746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w:t>
            </w:r>
          </w:p>
        </w:tc>
        <w:tc>
          <w:tcPr>
            <w:tcW w:w="4571" w:type="pct"/>
            <w:vAlign w:val="center"/>
          </w:tcPr>
          <w:p w14:paraId="35E81F46">
            <w:pPr>
              <w:spacing w:line="360" w:lineRule="auto"/>
              <w:ind w:left="-420" w:leftChars="-200" w:right="-420" w:rightChars="-200"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w:t>
            </w:r>
          </w:p>
        </w:tc>
      </w:tr>
      <w:tr w14:paraId="0D3E1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4DBAA7C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2.4.1</w:t>
            </w:r>
          </w:p>
        </w:tc>
        <w:tc>
          <w:tcPr>
            <w:tcW w:w="4571" w:type="pct"/>
            <w:vAlign w:val="center"/>
          </w:tcPr>
          <w:p w14:paraId="498F9FD2">
            <w:pPr>
              <w:spacing w:line="360" w:lineRule="auto"/>
              <w:ind w:left="-420" w:leftChars="-200" w:right="-420" w:righ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423CA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24A3A98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2.4.3</w:t>
            </w:r>
          </w:p>
        </w:tc>
        <w:tc>
          <w:tcPr>
            <w:tcW w:w="4571" w:type="pct"/>
            <w:vAlign w:val="center"/>
          </w:tcPr>
          <w:p w14:paraId="6CE8151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按乙方投标方案中进度要求。</w:t>
            </w:r>
          </w:p>
        </w:tc>
      </w:tr>
      <w:tr w14:paraId="13B49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tcPr>
          <w:p w14:paraId="69A6EFF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2.8 </w:t>
            </w:r>
          </w:p>
        </w:tc>
        <w:tc>
          <w:tcPr>
            <w:tcW w:w="4571" w:type="pct"/>
          </w:tcPr>
          <w:p w14:paraId="27A8528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由乙方自行负责</w:t>
            </w:r>
          </w:p>
        </w:tc>
      </w:tr>
      <w:tr w14:paraId="05C4E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623F969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2.12.3</w:t>
            </w:r>
          </w:p>
        </w:tc>
        <w:tc>
          <w:tcPr>
            <w:tcW w:w="4571" w:type="pct"/>
            <w:vAlign w:val="center"/>
          </w:tcPr>
          <w:p w14:paraId="230F13F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因不可抗力致使合同有变更必要的，双方当事人应在</w:t>
            </w:r>
            <w:r>
              <w:rPr>
                <w:rFonts w:hint="eastAsia" w:ascii="宋体" w:hAnsi="宋体" w:eastAsia="宋体" w:cs="宋体"/>
                <w:b/>
                <w:bCs/>
                <w:i/>
                <w:iCs/>
                <w:color w:val="auto"/>
                <w:sz w:val="24"/>
                <w:highlight w:val="none"/>
                <w:u w:val="single"/>
              </w:rPr>
              <w:t>30日</w:t>
            </w:r>
            <w:r>
              <w:rPr>
                <w:rFonts w:hint="eastAsia" w:ascii="宋体" w:hAnsi="宋体" w:eastAsia="宋体" w:cs="宋体"/>
                <w:color w:val="auto"/>
                <w:sz w:val="24"/>
                <w:highlight w:val="none"/>
              </w:rPr>
              <w:t>内以书面形式变更合同</w:t>
            </w:r>
          </w:p>
        </w:tc>
      </w:tr>
      <w:tr w14:paraId="56F4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0D5FE2C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2.12.4</w:t>
            </w:r>
          </w:p>
        </w:tc>
        <w:tc>
          <w:tcPr>
            <w:tcW w:w="4571" w:type="pct"/>
            <w:vAlign w:val="center"/>
          </w:tcPr>
          <w:p w14:paraId="4B4FA71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受不可抗力影响的一方在不可抗力发生后，应在</w:t>
            </w:r>
            <w:r>
              <w:rPr>
                <w:rFonts w:hint="eastAsia" w:ascii="宋体" w:hAnsi="宋体" w:eastAsia="宋体" w:cs="宋体"/>
                <w:b/>
                <w:bCs/>
                <w:i/>
                <w:iCs/>
                <w:color w:val="auto"/>
                <w:sz w:val="24"/>
                <w:highlight w:val="none"/>
                <w:u w:val="single"/>
              </w:rPr>
              <w:t>7日</w:t>
            </w:r>
            <w:r>
              <w:rPr>
                <w:rFonts w:hint="eastAsia" w:ascii="宋体" w:hAnsi="宋体" w:eastAsia="宋体" w:cs="宋体"/>
                <w:b/>
                <w:bCs/>
                <w:i/>
                <w:iCs/>
                <w:color w:val="auto"/>
                <w:sz w:val="24"/>
                <w:highlight w:val="none"/>
                <w:u w:val="single"/>
                <w:lang w:val="en-US" w:eastAsia="zh-CN"/>
              </w:rPr>
              <w:t xml:space="preserve"> </w:t>
            </w:r>
            <w:r>
              <w:rPr>
                <w:rFonts w:hint="eastAsia" w:ascii="宋体" w:hAnsi="宋体" w:eastAsia="宋体" w:cs="宋体"/>
                <w:color w:val="auto"/>
                <w:sz w:val="24"/>
                <w:highlight w:val="none"/>
              </w:rPr>
              <w:t>内以书面形式通知对方当事人，并在</w:t>
            </w:r>
            <w:r>
              <w:rPr>
                <w:rFonts w:hint="eastAsia" w:ascii="宋体" w:hAnsi="宋体" w:eastAsia="宋体" w:cs="宋体"/>
                <w:b/>
                <w:bCs/>
                <w:i/>
                <w:iCs/>
                <w:color w:val="auto"/>
                <w:sz w:val="24"/>
                <w:highlight w:val="none"/>
                <w:u w:val="single"/>
              </w:rPr>
              <w:t>14日</w:t>
            </w:r>
            <w:r>
              <w:rPr>
                <w:rFonts w:hint="eastAsia" w:ascii="宋体" w:hAnsi="宋体" w:eastAsia="宋体" w:cs="宋体"/>
                <w:color w:val="auto"/>
                <w:sz w:val="24"/>
                <w:highlight w:val="none"/>
              </w:rPr>
              <w:t>内，将有关部门出具的证明文件送达对方当事人。</w:t>
            </w:r>
          </w:p>
        </w:tc>
      </w:tr>
      <w:tr w14:paraId="0763B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28" w:type="pct"/>
            <w:tcBorders>
              <w:left w:val="single" w:color="auto" w:sz="4" w:space="0"/>
            </w:tcBorders>
            <w:vAlign w:val="center"/>
          </w:tcPr>
          <w:p w14:paraId="0DD3050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2.16.1</w:t>
            </w:r>
          </w:p>
        </w:tc>
        <w:tc>
          <w:tcPr>
            <w:tcW w:w="4571" w:type="pct"/>
            <w:vAlign w:val="center"/>
          </w:tcPr>
          <w:p w14:paraId="4C82E025">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甲方按照</w:t>
            </w:r>
            <w:r>
              <w:rPr>
                <w:rFonts w:hint="eastAsia" w:ascii="宋体" w:hAnsi="宋体" w:eastAsia="宋体" w:cs="宋体"/>
                <w:b/>
                <w:bCs/>
                <w:i/>
                <w:iCs/>
                <w:color w:val="auto"/>
                <w:sz w:val="24"/>
                <w:highlight w:val="none"/>
                <w:u w:val="single"/>
                <w:lang w:eastAsia="zh-CN"/>
              </w:rPr>
              <w:t>符合招标需求、合同方案标准</w:t>
            </w:r>
            <w:r>
              <w:rPr>
                <w:rFonts w:hint="eastAsia" w:ascii="宋体" w:hAnsi="宋体" w:eastAsia="宋体" w:cs="宋体"/>
                <w:color w:val="auto"/>
                <w:sz w:val="24"/>
                <w:highlight w:val="none"/>
              </w:rPr>
              <w:t>的约定进行定期验收；</w:t>
            </w:r>
          </w:p>
        </w:tc>
      </w:tr>
      <w:tr w14:paraId="44BE2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28" w:type="pct"/>
            <w:tcBorders>
              <w:left w:val="single" w:color="auto" w:sz="4" w:space="0"/>
            </w:tcBorders>
            <w:vAlign w:val="center"/>
          </w:tcPr>
          <w:p w14:paraId="0F6A248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2.16.3</w:t>
            </w:r>
          </w:p>
        </w:tc>
        <w:tc>
          <w:tcPr>
            <w:tcW w:w="4571" w:type="pct"/>
            <w:vAlign w:val="center"/>
          </w:tcPr>
          <w:p w14:paraId="73F842E9">
            <w:pPr>
              <w:pStyle w:val="24"/>
              <w:numPr>
                <w:ilvl w:val="0"/>
                <w:numId w:val="0"/>
              </w:numPr>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货方应提供系统设备的有效检验材料，经采购人认可后，与合同的技术指标一起作为验收标准。采购人对系统设备验收合格后，出具验收报告并在《建德市政府采购物品验收反馈表》上签署意见并加盖单位公章。验收中发现系统设备达不到验收标准或合同规定的技术指标，卖方必须更换，并负担由此给用户造成的损失，直到验收合格为止。</w:t>
            </w:r>
          </w:p>
          <w:p w14:paraId="7EE7D533">
            <w:pPr>
              <w:pStyle w:val="24"/>
              <w:numPr>
                <w:ilvl w:val="0"/>
                <w:numId w:val="0"/>
              </w:numPr>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2、投标方应于投标书中提供系统设备的验收标准和检测办法，并在验收中提供买方认可的相应检测手段，验收标准应符合中国有关的国家、地方、行业的标准，如若中标，经买方确认后作为验收的依据。</w:t>
            </w:r>
          </w:p>
          <w:p w14:paraId="3ADA9F83">
            <w:pPr>
              <w:pStyle w:val="24"/>
              <w:numPr>
                <w:ilvl w:val="0"/>
                <w:numId w:val="0"/>
              </w:numPr>
              <w:jc w:val="left"/>
              <w:rPr>
                <w:rFonts w:hint="eastAsia"/>
                <w:color w:val="auto"/>
                <w:highlight w:val="none"/>
              </w:rPr>
            </w:pPr>
            <w:r>
              <w:rPr>
                <w:rFonts w:hint="eastAsia" w:ascii="宋体" w:hAnsi="宋体" w:eastAsia="宋体" w:cs="宋体"/>
                <w:color w:val="auto"/>
                <w:sz w:val="24"/>
                <w:highlight w:val="none"/>
                <w:lang w:val="en-US" w:eastAsia="zh-CN"/>
              </w:rPr>
              <w:t>3、验收费用由产品供应商承担。</w:t>
            </w:r>
          </w:p>
        </w:tc>
      </w:tr>
      <w:tr w14:paraId="4C3C0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28" w:type="pct"/>
            <w:tcBorders>
              <w:left w:val="single" w:color="auto" w:sz="4" w:space="0"/>
            </w:tcBorders>
            <w:vAlign w:val="center"/>
          </w:tcPr>
          <w:p w14:paraId="7D095DE7">
            <w:pPr>
              <w:spacing w:line="360" w:lineRule="auto"/>
              <w:ind w:left="-420" w:leftChars="-200" w:right="-420" w:rightChars="-200"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2.20 </w:t>
            </w:r>
          </w:p>
        </w:tc>
        <w:tc>
          <w:tcPr>
            <w:tcW w:w="4571" w:type="pct"/>
            <w:vAlign w:val="center"/>
          </w:tcPr>
          <w:p w14:paraId="39C53BBF">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kern w:val="0"/>
                <w:sz w:val="24"/>
                <w:highlight w:val="none"/>
              </w:rPr>
              <w:t>本合同壹式</w:t>
            </w:r>
            <w:r>
              <w:rPr>
                <w:rFonts w:hint="eastAsia" w:ascii="宋体" w:hAnsi="宋体" w:cs="宋体"/>
                <w:color w:val="auto"/>
                <w:kern w:val="0"/>
                <w:sz w:val="24"/>
                <w:highlight w:val="none"/>
                <w:lang w:val="en-US" w:eastAsia="zh-CN"/>
              </w:rPr>
              <w:t>伍</w:t>
            </w:r>
            <w:r>
              <w:rPr>
                <w:rFonts w:hint="eastAsia" w:ascii="宋体" w:hAnsi="宋体" w:eastAsia="宋体" w:cs="宋体"/>
                <w:color w:val="auto"/>
                <w:kern w:val="0"/>
                <w:sz w:val="24"/>
                <w:highlight w:val="none"/>
              </w:rPr>
              <w:t>份，甲、乙双方各执贰份，采购代理机构壹份</w:t>
            </w:r>
            <w:r>
              <w:rPr>
                <w:rFonts w:hint="eastAsia" w:ascii="宋体" w:hAnsi="宋体" w:cs="宋体"/>
                <w:color w:val="auto"/>
                <w:sz w:val="24"/>
                <w:highlight w:val="none"/>
              </w:rPr>
              <w:t>。</w:t>
            </w:r>
          </w:p>
        </w:tc>
      </w:tr>
    </w:tbl>
    <w:p w14:paraId="59461004">
      <w:pPr>
        <w:spacing w:line="360" w:lineRule="auto"/>
        <w:ind w:left="720" w:firstLine="723" w:firstLineChars="200"/>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398"/>
      <w:r>
        <w:rPr>
          <w:rFonts w:hint="eastAsia" w:ascii="宋体" w:hAnsi="宋体" w:eastAsia="宋体" w:cs="宋体"/>
          <w:b/>
          <w:color w:val="auto"/>
          <w:sz w:val="36"/>
          <w:szCs w:val="20"/>
          <w:highlight w:val="none"/>
        </w:rPr>
        <w:t xml:space="preserve"> </w:t>
      </w:r>
      <w:bookmarkEnd w:id="399"/>
      <w:r>
        <w:rPr>
          <w:rFonts w:hint="eastAsia" w:ascii="宋体" w:hAnsi="宋体" w:eastAsia="宋体" w:cs="宋体"/>
          <w:b/>
          <w:color w:val="auto"/>
          <w:sz w:val="36"/>
          <w:szCs w:val="20"/>
          <w:highlight w:val="none"/>
        </w:rPr>
        <w:t>应提交的有关格式范例</w:t>
      </w:r>
    </w:p>
    <w:p w14:paraId="5C8E828D">
      <w:pPr>
        <w:spacing w:line="360" w:lineRule="auto"/>
        <w:jc w:val="center"/>
        <w:outlineLvl w:val="0"/>
        <w:rPr>
          <w:rFonts w:hint="eastAsia" w:ascii="宋体" w:hAnsi="宋体" w:eastAsia="宋体" w:cs="宋体"/>
          <w:b/>
          <w:color w:val="auto"/>
          <w:kern w:val="0"/>
          <w:sz w:val="36"/>
          <w:szCs w:val="36"/>
          <w:highlight w:val="none"/>
        </w:rPr>
      </w:pPr>
    </w:p>
    <w:p w14:paraId="72261FC1">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49311B28">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1FD87F3B">
      <w:pPr>
        <w:spacing w:line="360" w:lineRule="auto"/>
        <w:jc w:val="center"/>
        <w:outlineLvl w:val="0"/>
        <w:rPr>
          <w:rFonts w:hint="eastAsia" w:ascii="宋体" w:hAnsi="宋体" w:eastAsia="宋体" w:cs="宋体"/>
          <w:b/>
          <w:color w:val="auto"/>
          <w:kern w:val="0"/>
          <w:sz w:val="36"/>
          <w:szCs w:val="36"/>
          <w:highlight w:val="none"/>
        </w:rPr>
      </w:pPr>
    </w:p>
    <w:p w14:paraId="7EA71C9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14:paraId="1163EFCB">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14:paraId="2AE515B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（3）落实政府采购政策需满足的资格要求………………………………（页码）</w:t>
      </w:r>
    </w:p>
    <w:p w14:paraId="6C8A8D7C">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（4）本项目的特定资格要求………………………………………………（页码）</w:t>
      </w:r>
    </w:p>
    <w:p w14:paraId="7381A510">
      <w:pPr>
        <w:snapToGrid w:val="0"/>
        <w:spacing w:line="360" w:lineRule="auto"/>
        <w:ind w:firstLine="480" w:firstLineChars="200"/>
        <w:rPr>
          <w:rFonts w:hint="eastAsia" w:ascii="宋体" w:hAnsi="宋体" w:eastAsia="宋体" w:cs="宋体"/>
          <w:color w:val="auto"/>
          <w:sz w:val="24"/>
          <w:highlight w:val="none"/>
        </w:rPr>
      </w:pPr>
    </w:p>
    <w:p w14:paraId="3D9AE8C6">
      <w:pPr>
        <w:spacing w:line="360" w:lineRule="auto"/>
        <w:ind w:firstLine="480" w:firstLineChars="200"/>
        <w:rPr>
          <w:rFonts w:hint="eastAsia" w:ascii="宋体" w:hAnsi="宋体" w:eastAsia="宋体" w:cs="宋体"/>
          <w:color w:val="auto"/>
          <w:sz w:val="24"/>
          <w:highlight w:val="none"/>
        </w:rPr>
      </w:pPr>
    </w:p>
    <w:p w14:paraId="35D925B8">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14:paraId="6A48D18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6C68C18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cs="宋体"/>
          <w:color w:val="auto"/>
          <w:sz w:val="24"/>
          <w:highlight w:val="none"/>
          <w:lang w:val="en-US" w:eastAsia="zh-CN"/>
        </w:rPr>
        <w:t>建德市寿昌镇人民政府2025年寿昌初级中学改扩建-艺体楼设备采购项目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val="en-US" w:eastAsia="zh-CN"/>
        </w:rPr>
        <w:t>JD2025BF-067</w:t>
      </w:r>
      <w:r>
        <w:rPr>
          <w:rFonts w:hint="eastAsia" w:ascii="宋体" w:hAnsi="宋体" w:eastAsia="宋体" w:cs="宋体"/>
          <w:color w:val="auto"/>
          <w:sz w:val="24"/>
          <w:highlight w:val="none"/>
        </w:rPr>
        <w:t>】政府采购活动，郑重承诺：</w:t>
      </w:r>
    </w:p>
    <w:p w14:paraId="10392149">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5E4D0D0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6BEF4E7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1A417C8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501A476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11D63D0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798BBE2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1D285C0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（二）未被信用中国（www.creditchina.gov.cn)、中国政府采购网（www.ccgp.gov.cn）列入失信被执行人、重大税收违法案件当事人名单、政府采购严重违法失信行为记录名单。</w:t>
      </w:r>
    </w:p>
    <w:p w14:paraId="48B7147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319AF8B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5FE58D8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5A8E1A32">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3BAF632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C50C194">
      <w:pPr>
        <w:snapToGrid w:val="0"/>
        <w:spacing w:line="360" w:lineRule="auto"/>
        <w:ind w:right="480"/>
        <w:jc w:val="center"/>
        <w:rPr>
          <w:rFonts w:hint="eastAsia" w:ascii="宋体" w:hAnsi="宋体" w:eastAsia="宋体" w:cs="宋体"/>
          <w:b/>
          <w:color w:val="auto"/>
          <w:kern w:val="0"/>
          <w:sz w:val="32"/>
          <w:szCs w:val="32"/>
          <w:highlight w:val="none"/>
        </w:rPr>
      </w:pPr>
    </w:p>
    <w:p w14:paraId="16902EF5">
      <w:pPr>
        <w:snapToGrid w:val="0"/>
        <w:spacing w:line="360" w:lineRule="auto"/>
        <w:ind w:right="480"/>
        <w:jc w:val="center"/>
        <w:rPr>
          <w:rFonts w:hint="eastAsia" w:ascii="宋体" w:hAnsi="宋体" w:eastAsia="宋体" w:cs="宋体"/>
          <w:b/>
          <w:color w:val="auto"/>
          <w:kern w:val="0"/>
          <w:sz w:val="32"/>
          <w:szCs w:val="32"/>
          <w:highlight w:val="none"/>
        </w:rPr>
      </w:pPr>
    </w:p>
    <w:p w14:paraId="524D75CB">
      <w:pPr>
        <w:snapToGrid w:val="0"/>
        <w:spacing w:line="360" w:lineRule="auto"/>
        <w:ind w:right="480"/>
        <w:jc w:val="center"/>
        <w:rPr>
          <w:rFonts w:hint="eastAsia" w:ascii="宋体" w:hAnsi="宋体" w:eastAsia="宋体" w:cs="宋体"/>
          <w:b/>
          <w:color w:val="auto"/>
          <w:kern w:val="0"/>
          <w:sz w:val="32"/>
          <w:szCs w:val="32"/>
          <w:highlight w:val="none"/>
        </w:rPr>
      </w:pPr>
    </w:p>
    <w:p w14:paraId="1D2AEE6C">
      <w:pPr>
        <w:rPr>
          <w:rFonts w:hint="eastAsia" w:ascii="宋体" w:hAnsi="宋体" w:eastAsia="宋体" w:cs="宋体"/>
          <w:color w:val="auto"/>
          <w:highlight w:val="none"/>
        </w:rPr>
      </w:pPr>
    </w:p>
    <w:p w14:paraId="2D789674">
      <w:pPr>
        <w:snapToGrid w:val="0"/>
        <w:spacing w:line="360" w:lineRule="auto"/>
        <w:ind w:right="480"/>
        <w:jc w:val="center"/>
        <w:rPr>
          <w:rFonts w:hint="eastAsia" w:ascii="宋体" w:hAnsi="宋体" w:eastAsia="宋体" w:cs="宋体"/>
          <w:b/>
          <w:color w:val="auto"/>
          <w:kern w:val="0"/>
          <w:sz w:val="32"/>
          <w:szCs w:val="32"/>
          <w:highlight w:val="none"/>
        </w:rPr>
      </w:pPr>
    </w:p>
    <w:p w14:paraId="6B6E5E6E">
      <w:pPr>
        <w:snapToGrid w:val="0"/>
        <w:spacing w:line="360" w:lineRule="auto"/>
        <w:ind w:right="480"/>
        <w:jc w:val="center"/>
        <w:rPr>
          <w:rFonts w:hint="eastAsia" w:ascii="宋体" w:hAnsi="宋体" w:eastAsia="宋体" w:cs="宋体"/>
          <w:b/>
          <w:color w:val="auto"/>
          <w:kern w:val="0"/>
          <w:sz w:val="32"/>
          <w:szCs w:val="32"/>
          <w:highlight w:val="none"/>
        </w:rPr>
      </w:pPr>
    </w:p>
    <w:p w14:paraId="04BD287D">
      <w:pPr>
        <w:widowControl/>
        <w:spacing w:line="360" w:lineRule="auto"/>
        <w:jc w:val="both"/>
        <w:rPr>
          <w:rFonts w:hint="eastAsia" w:ascii="宋体" w:hAnsi="宋体" w:eastAsia="宋体" w:cs="宋体"/>
          <w:b/>
          <w:color w:val="auto"/>
          <w:kern w:val="0"/>
          <w:sz w:val="32"/>
          <w:szCs w:val="32"/>
          <w:highlight w:val="none"/>
        </w:rPr>
      </w:pPr>
    </w:p>
    <w:p w14:paraId="1CAC249E">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二、联合协议（如果有）</w:t>
      </w:r>
    </w:p>
    <w:p w14:paraId="3A544B30">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54361AF7">
      <w:pPr>
        <w:snapToGrid w:val="0"/>
        <w:spacing w:line="360" w:lineRule="auto"/>
        <w:ind w:right="480"/>
        <w:jc w:val="center"/>
        <w:rPr>
          <w:rFonts w:hint="eastAsia" w:ascii="宋体" w:hAnsi="宋体" w:eastAsia="宋体" w:cs="宋体"/>
          <w:b/>
          <w:color w:val="auto"/>
          <w:kern w:val="0"/>
          <w:sz w:val="32"/>
          <w:szCs w:val="32"/>
          <w:highlight w:val="none"/>
        </w:rPr>
      </w:pPr>
    </w:p>
    <w:p w14:paraId="34106055">
      <w:pPr>
        <w:snapToGrid w:val="0"/>
        <w:spacing w:line="360" w:lineRule="auto"/>
        <w:ind w:right="480"/>
        <w:jc w:val="center"/>
        <w:rPr>
          <w:rFonts w:hint="eastAsia" w:ascii="宋体" w:hAnsi="宋体" w:eastAsia="宋体" w:cs="宋体"/>
          <w:b/>
          <w:color w:val="auto"/>
          <w:kern w:val="0"/>
          <w:sz w:val="32"/>
          <w:szCs w:val="32"/>
          <w:highlight w:val="none"/>
        </w:rPr>
      </w:pPr>
    </w:p>
    <w:p w14:paraId="30508253">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三、落实政府采购政策需满足的资格要求</w:t>
      </w:r>
    </w:p>
    <w:p w14:paraId="3F88E41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14:paraId="4BB1CA0B">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.专门面向中小企业，货物全部由符合政策要求的中小企业（或小微企业）制造的，提供相应的中小企业声明函（附件7）。 </w:t>
      </w:r>
    </w:p>
    <w:p w14:paraId="766A1CB8">
      <w:pPr>
        <w:widowControl/>
        <w:spacing w:line="360" w:lineRule="auto"/>
        <w:ind w:firstLine="480"/>
        <w:jc w:val="left"/>
        <w:rPr>
          <w:rFonts w:hint="eastAsia" w:ascii="宋体" w:hAnsi="宋体" w:eastAsia="宋体" w:cs="宋体"/>
          <w:color w:val="auto"/>
          <w:sz w:val="24"/>
          <w:highlight w:val="none"/>
        </w:rPr>
      </w:pPr>
    </w:p>
    <w:p w14:paraId="62BBB7AD">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14:paraId="27AE7738">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14:paraId="7482B886">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6DA27088">
      <w:pPr>
        <w:widowControl/>
        <w:spacing w:line="360" w:lineRule="auto"/>
        <w:ind w:left="150"/>
        <w:jc w:val="center"/>
        <w:rPr>
          <w:rFonts w:hint="eastAsia" w:ascii="宋体" w:hAnsi="宋体" w:eastAsia="宋体" w:cs="宋体"/>
          <w:b/>
          <w:color w:val="auto"/>
          <w:kern w:val="0"/>
          <w:sz w:val="32"/>
          <w:szCs w:val="32"/>
          <w:highlight w:val="none"/>
        </w:rPr>
      </w:pPr>
    </w:p>
    <w:p w14:paraId="326BF4A7">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w:t>
      </w:r>
    </w:p>
    <w:p w14:paraId="5B3550B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14:paraId="04A43E87">
      <w:pPr>
        <w:rPr>
          <w:rFonts w:hint="eastAsia" w:ascii="宋体" w:hAnsi="宋体" w:eastAsia="宋体" w:cs="宋体"/>
          <w:color w:val="auto"/>
          <w:highlight w:val="none"/>
        </w:rPr>
      </w:pPr>
    </w:p>
    <w:p w14:paraId="3E2FC97C">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0D661FA9">
      <w:pPr>
        <w:spacing w:line="360" w:lineRule="auto"/>
        <w:ind w:right="420"/>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1DF4BB4A">
      <w:pPr>
        <w:spacing w:line="360"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13A98236">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（1）投标函</w:t>
      </w:r>
      <w:r>
        <w:rPr>
          <w:rFonts w:hint="eastAsia" w:ascii="宋体" w:hAnsi="宋体" w:eastAsia="宋体" w:cs="宋体"/>
          <w:color w:val="auto"/>
          <w:highlight w:val="none"/>
        </w:rPr>
        <w:t>…………………………………………………………………………………（页码）</w:t>
      </w:r>
      <w:r>
        <w:rPr>
          <w:rFonts w:hint="eastAsia" w:ascii="宋体" w:hAnsi="宋体" w:eastAsia="宋体" w:cs="宋体"/>
          <w:color w:val="auto"/>
          <w:sz w:val="24"/>
          <w:highlight w:val="none"/>
        </w:rPr>
        <w:t>（2）授权委托书或法定代表人（单位负责人、自然人本人）身份证明</w:t>
      </w:r>
      <w:r>
        <w:rPr>
          <w:rFonts w:hint="eastAsia" w:ascii="宋体" w:hAnsi="宋体" w:eastAsia="宋体" w:cs="宋体"/>
          <w:color w:val="auto"/>
          <w:highlight w:val="none"/>
        </w:rPr>
        <w:t>………（页码）</w:t>
      </w:r>
    </w:p>
    <w:p w14:paraId="75B8555C">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（3）分包意向协议</w:t>
      </w:r>
      <w:r>
        <w:rPr>
          <w:rFonts w:hint="eastAsia" w:ascii="宋体" w:hAnsi="宋体" w:eastAsia="宋体" w:cs="宋体"/>
          <w:color w:val="auto"/>
          <w:highlight w:val="none"/>
        </w:rPr>
        <w:t>…………………………………………………………………………（页码）</w:t>
      </w:r>
    </w:p>
    <w:p w14:paraId="5C2F789E">
      <w:pPr>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（4）符合性审查资料</w:t>
      </w:r>
      <w:r>
        <w:rPr>
          <w:rFonts w:hint="eastAsia" w:ascii="宋体" w:hAnsi="宋体" w:eastAsia="宋体" w:cs="宋体"/>
          <w:color w:val="auto"/>
          <w:highlight w:val="none"/>
        </w:rPr>
        <w:t>………………………………………………………………………（页码）</w:t>
      </w:r>
    </w:p>
    <w:p w14:paraId="4E98F001">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（5）评标标准相应的商务技术资料</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（6）投标标的清单</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（7）商务技术偏离表</w:t>
      </w:r>
      <w:r>
        <w:rPr>
          <w:rFonts w:hint="eastAsia" w:ascii="宋体" w:hAnsi="宋体" w:eastAsia="宋体" w:cs="宋体"/>
          <w:color w:val="auto"/>
          <w:highlight w:val="none"/>
        </w:rPr>
        <w:t>………………………………………………………………………（页码）</w:t>
      </w:r>
    </w:p>
    <w:p w14:paraId="24485EB6">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r>
        <w:rPr>
          <w:rFonts w:hint="eastAsia" w:ascii="宋体" w:hAnsi="宋体" w:eastAsia="宋体" w:cs="宋体"/>
          <w:color w:val="auto"/>
          <w:highlight w:val="none"/>
        </w:rPr>
        <w:t>…………………………………………………（页码）</w:t>
      </w:r>
    </w:p>
    <w:p w14:paraId="62830CE3">
      <w:pPr>
        <w:snapToGrid w:val="0"/>
        <w:spacing w:line="360" w:lineRule="auto"/>
        <w:jc w:val="center"/>
        <w:rPr>
          <w:rFonts w:hint="eastAsia" w:ascii="宋体" w:hAnsi="宋体" w:eastAsia="宋体" w:cs="宋体"/>
          <w:b/>
          <w:color w:val="auto"/>
          <w:kern w:val="0"/>
          <w:sz w:val="32"/>
          <w:szCs w:val="32"/>
          <w:highlight w:val="none"/>
          <w:lang w:val="zh-CN"/>
        </w:rPr>
      </w:pPr>
    </w:p>
    <w:p w14:paraId="70163A90">
      <w:pPr>
        <w:snapToGrid w:val="0"/>
        <w:spacing w:line="360" w:lineRule="auto"/>
        <w:jc w:val="center"/>
        <w:rPr>
          <w:rFonts w:hint="eastAsia" w:ascii="宋体" w:hAnsi="宋体" w:eastAsia="宋体" w:cs="宋体"/>
          <w:b/>
          <w:color w:val="auto"/>
          <w:kern w:val="0"/>
          <w:sz w:val="32"/>
          <w:szCs w:val="32"/>
          <w:highlight w:val="none"/>
          <w:lang w:val="zh-CN"/>
        </w:rPr>
      </w:pPr>
    </w:p>
    <w:p w14:paraId="03F7F06C">
      <w:pPr>
        <w:snapToGrid w:val="0"/>
        <w:spacing w:line="360" w:lineRule="auto"/>
        <w:jc w:val="center"/>
        <w:rPr>
          <w:rFonts w:hint="eastAsia" w:ascii="宋体" w:hAnsi="宋体" w:eastAsia="宋体" w:cs="宋体"/>
          <w:b/>
          <w:color w:val="auto"/>
          <w:kern w:val="0"/>
          <w:sz w:val="32"/>
          <w:szCs w:val="32"/>
          <w:highlight w:val="none"/>
          <w:lang w:val="zh-CN"/>
        </w:rPr>
      </w:pPr>
    </w:p>
    <w:p w14:paraId="2D944039">
      <w:pPr>
        <w:snapToGrid w:val="0"/>
        <w:spacing w:line="360" w:lineRule="auto"/>
        <w:jc w:val="center"/>
        <w:rPr>
          <w:rFonts w:hint="eastAsia" w:ascii="宋体" w:hAnsi="宋体" w:eastAsia="宋体" w:cs="宋体"/>
          <w:b/>
          <w:color w:val="auto"/>
          <w:kern w:val="0"/>
          <w:sz w:val="32"/>
          <w:szCs w:val="32"/>
          <w:highlight w:val="none"/>
          <w:lang w:val="zh-CN"/>
        </w:rPr>
      </w:pPr>
    </w:p>
    <w:p w14:paraId="702419D8">
      <w:pPr>
        <w:snapToGrid w:val="0"/>
        <w:spacing w:line="360" w:lineRule="auto"/>
        <w:jc w:val="center"/>
        <w:rPr>
          <w:rFonts w:hint="eastAsia" w:ascii="宋体" w:hAnsi="宋体" w:eastAsia="宋体" w:cs="宋体"/>
          <w:b/>
          <w:color w:val="auto"/>
          <w:kern w:val="0"/>
          <w:sz w:val="32"/>
          <w:szCs w:val="32"/>
          <w:highlight w:val="none"/>
          <w:lang w:val="zh-CN"/>
        </w:rPr>
      </w:pPr>
    </w:p>
    <w:p w14:paraId="1883F706">
      <w:pPr>
        <w:snapToGrid w:val="0"/>
        <w:spacing w:line="360" w:lineRule="auto"/>
        <w:jc w:val="center"/>
        <w:outlineLvl w:val="0"/>
        <w:rPr>
          <w:rFonts w:hint="eastAsia" w:ascii="宋体" w:hAnsi="宋体" w:eastAsia="宋体" w:cs="宋体"/>
          <w:b/>
          <w:color w:val="auto"/>
          <w:kern w:val="0"/>
          <w:sz w:val="32"/>
          <w:szCs w:val="32"/>
          <w:highlight w:val="none"/>
        </w:rPr>
      </w:pPr>
    </w:p>
    <w:p w14:paraId="38D0DF8C">
      <w:pPr>
        <w:snapToGrid w:val="0"/>
        <w:spacing w:line="360" w:lineRule="auto"/>
        <w:jc w:val="center"/>
        <w:outlineLvl w:val="0"/>
        <w:rPr>
          <w:rFonts w:hint="eastAsia" w:ascii="宋体" w:hAnsi="宋体" w:eastAsia="宋体" w:cs="宋体"/>
          <w:b/>
          <w:color w:val="auto"/>
          <w:kern w:val="0"/>
          <w:sz w:val="32"/>
          <w:szCs w:val="32"/>
          <w:highlight w:val="none"/>
        </w:rPr>
      </w:pPr>
    </w:p>
    <w:p w14:paraId="752146DC">
      <w:pPr>
        <w:rPr>
          <w:rFonts w:hint="eastAsia" w:ascii="宋体" w:hAnsi="宋体" w:eastAsia="宋体" w:cs="宋体"/>
          <w:color w:val="auto"/>
          <w:highlight w:val="none"/>
        </w:rPr>
      </w:pPr>
    </w:p>
    <w:p w14:paraId="397797C3">
      <w:pPr>
        <w:snapToGrid w:val="0"/>
        <w:spacing w:line="360" w:lineRule="auto"/>
        <w:jc w:val="center"/>
        <w:outlineLvl w:val="0"/>
        <w:rPr>
          <w:rFonts w:hint="eastAsia" w:ascii="宋体" w:hAnsi="宋体" w:eastAsia="宋体" w:cs="宋体"/>
          <w:b/>
          <w:color w:val="auto"/>
          <w:kern w:val="0"/>
          <w:sz w:val="32"/>
          <w:szCs w:val="32"/>
          <w:highlight w:val="none"/>
        </w:rPr>
      </w:pPr>
    </w:p>
    <w:p w14:paraId="2E06CA95">
      <w:pPr>
        <w:snapToGrid w:val="0"/>
        <w:spacing w:line="360" w:lineRule="auto"/>
        <w:jc w:val="center"/>
        <w:outlineLvl w:val="0"/>
        <w:rPr>
          <w:rFonts w:hint="eastAsia" w:ascii="宋体" w:hAnsi="宋体" w:eastAsia="宋体" w:cs="宋体"/>
          <w:b/>
          <w:color w:val="auto"/>
          <w:kern w:val="0"/>
          <w:sz w:val="32"/>
          <w:szCs w:val="32"/>
          <w:highlight w:val="none"/>
        </w:rPr>
      </w:pPr>
    </w:p>
    <w:p w14:paraId="583C356E">
      <w:pPr>
        <w:pStyle w:val="3"/>
        <w:rPr>
          <w:rFonts w:hint="eastAsia" w:ascii="宋体" w:hAnsi="宋体" w:eastAsia="宋体" w:cs="宋体"/>
          <w:color w:val="auto"/>
          <w:highlight w:val="none"/>
          <w:lang w:val="en-US"/>
        </w:rPr>
      </w:pPr>
    </w:p>
    <w:p w14:paraId="713906FC">
      <w:pPr>
        <w:rPr>
          <w:rFonts w:hint="eastAsia" w:ascii="宋体" w:hAnsi="宋体" w:eastAsia="宋体" w:cs="宋体"/>
          <w:color w:val="auto"/>
          <w:highlight w:val="none"/>
        </w:rPr>
      </w:pPr>
    </w:p>
    <w:p w14:paraId="3F410DC9">
      <w:pPr>
        <w:snapToGrid w:val="0"/>
        <w:spacing w:line="360" w:lineRule="auto"/>
        <w:ind w:firstLine="3855" w:firstLineChars="1200"/>
        <w:outlineLvl w:val="0"/>
        <w:rPr>
          <w:rFonts w:hint="eastAsia" w:ascii="宋体" w:hAnsi="宋体" w:eastAsia="宋体" w:cs="宋体"/>
          <w:b/>
          <w:color w:val="auto"/>
          <w:kern w:val="0"/>
          <w:sz w:val="32"/>
          <w:szCs w:val="32"/>
          <w:highlight w:val="none"/>
        </w:rPr>
      </w:pPr>
    </w:p>
    <w:p w14:paraId="0D02E90D">
      <w:pPr>
        <w:snapToGrid w:val="0"/>
        <w:spacing w:line="360" w:lineRule="auto"/>
        <w:ind w:firstLine="3855" w:firstLineChars="1200"/>
        <w:outlineLvl w:val="0"/>
        <w:rPr>
          <w:rFonts w:hint="eastAsia" w:ascii="宋体" w:hAnsi="宋体" w:eastAsia="宋体" w:cs="宋体"/>
          <w:b/>
          <w:color w:val="auto"/>
          <w:kern w:val="0"/>
          <w:sz w:val="32"/>
          <w:szCs w:val="32"/>
          <w:highlight w:val="none"/>
        </w:rPr>
      </w:pPr>
    </w:p>
    <w:p w14:paraId="74E9F078">
      <w:pPr>
        <w:snapToGrid w:val="0"/>
        <w:spacing w:line="360" w:lineRule="auto"/>
        <w:ind w:firstLine="3855" w:firstLineChars="1200"/>
        <w:outlineLvl w:val="0"/>
        <w:rPr>
          <w:rFonts w:hint="eastAsia" w:ascii="宋体" w:hAnsi="宋体" w:eastAsia="宋体" w:cs="宋体"/>
          <w:b/>
          <w:color w:val="auto"/>
          <w:kern w:val="0"/>
          <w:sz w:val="32"/>
          <w:szCs w:val="32"/>
          <w:highlight w:val="none"/>
        </w:rPr>
      </w:pPr>
    </w:p>
    <w:p w14:paraId="22315240">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277945F5">
      <w:pPr>
        <w:snapToGrid w:val="0"/>
        <w:spacing w:line="360" w:lineRule="auto"/>
        <w:ind w:firstLine="3855" w:firstLineChars="1200"/>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14:paraId="70420C70">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5D9FDBF6">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cs="宋体"/>
          <w:color w:val="auto"/>
          <w:sz w:val="24"/>
          <w:highlight w:val="none"/>
          <w:lang w:val="en-US" w:eastAsia="zh-CN"/>
        </w:rPr>
        <w:t>建德市寿昌镇人民政府2025年寿昌初级中学改扩建-艺体楼设备采购项目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val="en-US" w:eastAsia="zh-CN"/>
        </w:rPr>
        <w:t>JD2025BF-067</w:t>
      </w:r>
      <w:r>
        <w:rPr>
          <w:rFonts w:hint="eastAsia" w:ascii="宋体" w:hAnsi="宋体" w:eastAsia="宋体" w:cs="宋体"/>
          <w:color w:val="auto"/>
          <w:sz w:val="24"/>
          <w:highlight w:val="none"/>
        </w:rPr>
        <w:t>】招标的有关活动，并对此项目进行投标。为此：</w:t>
      </w:r>
    </w:p>
    <w:p w14:paraId="50405C1C">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1、我方承诺投标有效期从提交投标文件的截止之日起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天（不少于90天）</w:t>
      </w:r>
      <w:r>
        <w:rPr>
          <w:rFonts w:hint="eastAsia" w:ascii="宋体" w:hAnsi="宋体" w:eastAsia="宋体" w:cs="宋体"/>
          <w:color w:val="auto"/>
          <w:highlight w:val="none"/>
        </w:rPr>
        <w:t>，</w:t>
      </w:r>
      <w:r>
        <w:rPr>
          <w:rFonts w:hint="eastAsia" w:ascii="宋体" w:hAnsi="宋体" w:eastAsia="宋体" w:cs="宋体"/>
          <w:color w:val="auto"/>
          <w:sz w:val="24"/>
          <w:highlight w:val="none"/>
        </w:rPr>
        <w:t>本投标文件在投标有效期满之前均具有约束力。</w:t>
      </w:r>
    </w:p>
    <w:p w14:paraId="3D3FF8F3">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2、我方的投标文件包括以下内容：</w:t>
      </w:r>
    </w:p>
    <w:p w14:paraId="3EDD90DE">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2.1资格文件：</w:t>
      </w:r>
    </w:p>
    <w:p w14:paraId="6856E233">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2.1.1承诺函；</w:t>
      </w:r>
    </w:p>
    <w:p w14:paraId="46527FEF">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w:t>
      </w:r>
      <w:r>
        <w:rPr>
          <w:rFonts w:hint="eastAsia" w:ascii="宋体" w:hAnsi="宋体" w:eastAsia="宋体" w:cs="宋体"/>
          <w:snapToGrid w:val="0"/>
          <w:color w:val="auto"/>
          <w:kern w:val="28"/>
          <w:sz w:val="24"/>
          <w:szCs w:val="20"/>
          <w:highlight w:val="none"/>
        </w:rPr>
        <w:t>联合协议（如果有)；</w:t>
      </w:r>
    </w:p>
    <w:p w14:paraId="6B839AD3">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2.1.3落实政府采购政策需满足的资格要求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49DB4B55">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4019B9F8">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1953A849">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2.2.1投标函；</w:t>
      </w:r>
      <w:r>
        <w:rPr>
          <w:rFonts w:hint="eastAsia" w:ascii="宋体" w:hAnsi="宋体" w:eastAsia="宋体" w:cs="宋体"/>
          <w:color w:val="auto"/>
          <w:sz w:val="24"/>
          <w:highlight w:val="none"/>
          <w:lang w:val="zh-CN"/>
        </w:rPr>
        <w:t xml:space="preserve"> </w:t>
      </w:r>
    </w:p>
    <w:p w14:paraId="45ACDA13">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2.2.2授权委托书或法定代表人（单位负责人）身份证明；</w:t>
      </w:r>
    </w:p>
    <w:p w14:paraId="3649D992">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2.2.3分包意向协议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12A25780">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2.2.4符合性审查资料；</w:t>
      </w:r>
    </w:p>
    <w:p w14:paraId="2B3BE152">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2.2.5评标标准相应的商务技术资料；</w:t>
      </w:r>
    </w:p>
    <w:p w14:paraId="2B836119">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2.2.6投标标的清单；</w:t>
      </w:r>
    </w:p>
    <w:p w14:paraId="4F9C3F71">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2.2.7商务技术偏离表；</w:t>
      </w:r>
    </w:p>
    <w:p w14:paraId="3A638890">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39860CCF">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3报价文件</w:t>
      </w:r>
    </w:p>
    <w:p w14:paraId="3F609B5F">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2.3.1开标一览表（报价表）；</w:t>
      </w:r>
    </w:p>
    <w:p w14:paraId="0AB68156">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2.3.2中小企业声明函（如果有）。</w:t>
      </w:r>
    </w:p>
    <w:p w14:paraId="44CF7A06">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3、我方承诺除商务技术偏离表列出的偏离外，我方响应招标文件的全部要求。</w:t>
      </w:r>
    </w:p>
    <w:p w14:paraId="17A7BA81">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4、如我方中标，我方承诺：</w:t>
      </w:r>
    </w:p>
    <w:p w14:paraId="45CD7656">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4.1在收到中标通知书后，在中标通知书规定的期限内与你方签订合同； </w:t>
      </w:r>
    </w:p>
    <w:p w14:paraId="1441CAAC">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4.2在签订合同时不向你方提出附加条件； </w:t>
      </w:r>
    </w:p>
    <w:p w14:paraId="68857EE6">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4.3按照招标文件要求提交履约保证金； </w:t>
      </w:r>
    </w:p>
    <w:p w14:paraId="65925C1C">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14:paraId="40575A72">
      <w:pPr>
        <w:keepNext w:val="0"/>
        <w:keepLines w:val="0"/>
        <w:pageBreakBefore w:val="0"/>
        <w:widowControl w:val="0"/>
        <w:kinsoku/>
        <w:wordWrap/>
        <w:overflowPunct/>
        <w:topLinePunct w:val="0"/>
        <w:autoSpaceDE/>
        <w:autoSpaceDN/>
        <w:bidi w:val="0"/>
        <w:adjustRightInd w:val="0"/>
        <w:snapToGrid w:val="0"/>
        <w:spacing w:line="380" w:lineRule="exact"/>
        <w:ind w:left="210" w:leftChars="10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5、其他补充说明: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544B11F">
      <w:pPr>
        <w:keepNext w:val="0"/>
        <w:keepLines w:val="0"/>
        <w:pageBreakBefore w:val="0"/>
        <w:widowControl w:val="0"/>
        <w:kinsoku/>
        <w:wordWrap/>
        <w:overflowPunct/>
        <w:topLinePunct w:val="0"/>
        <w:autoSpaceDE/>
        <w:autoSpaceDN/>
        <w:bidi w:val="0"/>
        <w:adjustRightInd w:val="0"/>
        <w:spacing w:line="380" w:lineRule="exact"/>
        <w:ind w:firstLine="3600" w:firstLineChars="15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投标人名称（电子签名）：                          </w:t>
      </w:r>
    </w:p>
    <w:p w14:paraId="0B5892CB">
      <w:pPr>
        <w:keepNext w:val="0"/>
        <w:keepLines w:val="0"/>
        <w:pageBreakBefore w:val="0"/>
        <w:widowControl w:val="0"/>
        <w:kinsoku/>
        <w:wordWrap/>
        <w:overflowPunct/>
        <w:topLinePunct w:val="0"/>
        <w:autoSpaceDE/>
        <w:autoSpaceDN/>
        <w:bidi w:val="0"/>
        <w:adjustRightInd w:val="0"/>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25768137">
      <w:pPr>
        <w:keepNext w:val="0"/>
        <w:keepLines w:val="0"/>
        <w:pageBreakBefore w:val="0"/>
        <w:widowControl w:val="0"/>
        <w:kinsoku/>
        <w:wordWrap/>
        <w:overflowPunct/>
        <w:topLinePunct w:val="0"/>
        <w:autoSpaceDE/>
        <w:autoSpaceDN/>
        <w:bidi w:val="0"/>
        <w:adjustRightInd w:val="0"/>
        <w:snapToGrid w:val="0"/>
        <w:spacing w:line="380" w:lineRule="exact"/>
        <w:ind w:left="420" w:leftChars="200" w:firstLine="4200" w:firstLineChars="1750"/>
        <w:textAlignment w:val="auto"/>
        <w:rPr>
          <w:rFonts w:hint="eastAsia" w:ascii="宋体" w:hAnsi="宋体" w:eastAsia="宋体" w:cs="宋体"/>
          <w:color w:val="auto"/>
          <w:kern w:val="0"/>
          <w:sz w:val="24"/>
          <w:highlight w:val="none"/>
          <w:u w:val="single"/>
        </w:rPr>
      </w:pPr>
    </w:p>
    <w:p w14:paraId="373AC342">
      <w:pPr>
        <w:keepNext w:val="0"/>
        <w:keepLines w:val="0"/>
        <w:pageBreakBefore w:val="0"/>
        <w:widowControl w:val="0"/>
        <w:kinsoku/>
        <w:wordWrap/>
        <w:overflowPunct/>
        <w:topLinePunct w:val="0"/>
        <w:autoSpaceDE/>
        <w:autoSpaceDN/>
        <w:bidi w:val="0"/>
        <w:adjustRightInd w:val="0"/>
        <w:spacing w:line="380" w:lineRule="exact"/>
        <w:ind w:right="42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1AD72F7E">
      <w:pPr>
        <w:snapToGrid w:val="0"/>
        <w:spacing w:line="360" w:lineRule="auto"/>
        <w:jc w:val="center"/>
        <w:rPr>
          <w:rFonts w:hint="eastAsia" w:ascii="宋体" w:hAnsi="宋体" w:eastAsia="宋体" w:cs="宋体"/>
          <w:b/>
          <w:color w:val="auto"/>
          <w:kern w:val="0"/>
          <w:sz w:val="32"/>
          <w:szCs w:val="32"/>
          <w:highlight w:val="none"/>
        </w:rPr>
      </w:pPr>
    </w:p>
    <w:p w14:paraId="6AA420B8">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14:paraId="677307D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071A0DA">
      <w:pPr>
        <w:snapToGrid w:val="0"/>
        <w:spacing w:line="360" w:lineRule="auto"/>
        <w:ind w:firstLine="2872" w:firstLineChars="894"/>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zh-CN"/>
        </w:rPr>
        <w:t>授权委托书（适用于非联合体投标）</w:t>
      </w:r>
      <w:r>
        <w:rPr>
          <w:rFonts w:hint="eastAsia" w:ascii="宋体" w:hAnsi="宋体" w:eastAsia="宋体" w:cs="宋体"/>
          <w:color w:val="auto"/>
          <w:highlight w:val="none"/>
        </w:rPr>
        <w:t xml:space="preserve">                               </w:t>
      </w:r>
    </w:p>
    <w:p w14:paraId="6036AFE2">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1FDDBDD2">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kern w:val="0"/>
          <w:sz w:val="24"/>
          <w:highlight w:val="none"/>
          <w:lang w:val="en-US" w:eastAsia="zh-CN"/>
        </w:rPr>
        <w:t xml:space="preserve"> </w:t>
      </w:r>
      <w:r>
        <w:rPr>
          <w:rFonts w:hint="eastAsia" w:ascii="宋体" w:hAnsi="宋体" w:cs="宋体"/>
          <w:color w:val="auto"/>
          <w:kern w:val="0"/>
          <w:sz w:val="24"/>
          <w:highlight w:val="none"/>
          <w:lang w:val="en-US" w:eastAsia="zh-CN"/>
        </w:rPr>
        <w:t>建德市寿昌镇人民政府2025年寿昌初级中学改扩建-艺体楼设备采购项目</w:t>
      </w:r>
      <w:r>
        <w:rPr>
          <w:rFonts w:hint="eastAsia" w:ascii="宋体" w:hAnsi="宋体" w:eastAsia="宋体" w:cs="宋体"/>
          <w:color w:val="auto"/>
          <w:kern w:val="0"/>
          <w:sz w:val="24"/>
          <w:highlight w:val="none"/>
          <w:lang w:val="zh-CN"/>
        </w:rPr>
        <w:t>【招标编号：</w:t>
      </w:r>
      <w:r>
        <w:rPr>
          <w:rFonts w:hint="eastAsia" w:ascii="宋体" w:hAnsi="宋体" w:cs="宋体"/>
          <w:color w:val="auto"/>
          <w:kern w:val="0"/>
          <w:sz w:val="24"/>
          <w:highlight w:val="none"/>
          <w:lang w:val="en-US" w:eastAsia="zh-CN"/>
        </w:rPr>
        <w:t>JD2025BF-067</w:t>
      </w:r>
      <w:r>
        <w:rPr>
          <w:rFonts w:hint="eastAsia" w:ascii="宋体" w:hAnsi="宋体" w:eastAsia="宋体" w:cs="宋体"/>
          <w:color w:val="auto"/>
          <w:kern w:val="0"/>
          <w:sz w:val="24"/>
          <w:highlight w:val="none"/>
          <w:lang w:val="zh-CN"/>
        </w:rPr>
        <w:t>】政府采购投标的一切事项，其法律后果由我方承担。</w:t>
      </w:r>
    </w:p>
    <w:p w14:paraId="656F7ED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4F220524">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792570D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投标人名称(电子签名)：</w:t>
      </w:r>
    </w:p>
    <w:p w14:paraId="421921E8">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14:paraId="46C4122A">
      <w:pPr>
        <w:snapToGrid w:val="0"/>
        <w:spacing w:line="360" w:lineRule="auto"/>
        <w:rPr>
          <w:rFonts w:hint="eastAsia" w:ascii="宋体" w:hAnsi="宋体" w:eastAsia="宋体" w:cs="宋体"/>
          <w:color w:val="auto"/>
          <w:sz w:val="24"/>
          <w:highlight w:val="none"/>
        </w:rPr>
      </w:pPr>
    </w:p>
    <w:p w14:paraId="48C5EB00">
      <w:pPr>
        <w:snapToGrid w:val="0"/>
        <w:spacing w:line="360" w:lineRule="auto"/>
        <w:rPr>
          <w:rFonts w:hint="eastAsia" w:ascii="宋体" w:hAnsi="宋体" w:eastAsia="宋体" w:cs="宋体"/>
          <w:color w:val="auto"/>
          <w:sz w:val="24"/>
          <w:highlight w:val="none"/>
        </w:rPr>
      </w:pPr>
    </w:p>
    <w:p w14:paraId="24AAA791">
      <w:pPr>
        <w:snapToGrid w:val="0"/>
        <w:spacing w:line="360" w:lineRule="auto"/>
        <w:rPr>
          <w:rFonts w:hint="eastAsia" w:ascii="宋体" w:hAnsi="宋体" w:eastAsia="宋体" w:cs="宋体"/>
          <w:color w:val="auto"/>
          <w:sz w:val="24"/>
          <w:highlight w:val="none"/>
        </w:rPr>
      </w:pPr>
    </w:p>
    <w:p w14:paraId="6B8D0618">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 xml:space="preserve">      </w:t>
      </w:r>
      <w:r>
        <w:rPr>
          <w:rFonts w:hint="eastAsia" w:ascii="宋体" w:hAnsi="宋体" w:eastAsia="宋体" w:cs="宋体"/>
          <w:b/>
          <w:color w:val="auto"/>
          <w:kern w:val="0"/>
          <w:sz w:val="32"/>
          <w:szCs w:val="32"/>
          <w:highlight w:val="none"/>
        </w:rPr>
        <w:t xml:space="preserve"> </w:t>
      </w:r>
      <w:r>
        <w:rPr>
          <w:rFonts w:hint="eastAsia" w:ascii="宋体" w:hAnsi="宋体" w:eastAsia="宋体" w:cs="宋体"/>
          <w:b/>
          <w:color w:val="auto"/>
          <w:kern w:val="0"/>
          <w:sz w:val="32"/>
          <w:szCs w:val="32"/>
          <w:highlight w:val="none"/>
          <w:lang w:val="zh-CN"/>
        </w:rPr>
        <w:t>授权委托书（适用于联合体投标）</w:t>
      </w:r>
    </w:p>
    <w:p w14:paraId="4D3A6877">
      <w:pPr>
        <w:pStyle w:val="3"/>
        <w:rPr>
          <w:rFonts w:hint="eastAsia" w:ascii="宋体" w:hAnsi="宋体" w:eastAsia="宋体" w:cs="宋体"/>
          <w:color w:val="auto"/>
          <w:highlight w:val="none"/>
        </w:rPr>
      </w:pPr>
    </w:p>
    <w:p w14:paraId="3C7F1D92">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09A3DC4D">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cs="宋体"/>
          <w:color w:val="auto"/>
          <w:kern w:val="0"/>
          <w:sz w:val="24"/>
          <w:highlight w:val="none"/>
          <w:lang w:val="en-US" w:eastAsia="zh-CN"/>
        </w:rPr>
        <w:t>建德市寿昌镇人民政府2025年寿昌初级中学改扩建-艺体楼设备采购项目</w:t>
      </w:r>
      <w:r>
        <w:rPr>
          <w:rFonts w:hint="eastAsia" w:ascii="宋体" w:hAnsi="宋体" w:eastAsia="宋体" w:cs="宋体"/>
          <w:color w:val="auto"/>
          <w:kern w:val="0"/>
          <w:sz w:val="24"/>
          <w:highlight w:val="none"/>
          <w:lang w:val="zh-CN"/>
        </w:rPr>
        <w:t>【招标编号：</w:t>
      </w:r>
      <w:r>
        <w:rPr>
          <w:rFonts w:hint="eastAsia" w:ascii="宋体" w:hAnsi="宋体" w:cs="宋体"/>
          <w:color w:val="auto"/>
          <w:kern w:val="0"/>
          <w:sz w:val="24"/>
          <w:highlight w:val="none"/>
          <w:lang w:val="en-US" w:eastAsia="zh-CN"/>
        </w:rPr>
        <w:t>JD2025BF-067</w:t>
      </w:r>
      <w:r>
        <w:rPr>
          <w:rFonts w:hint="eastAsia" w:ascii="宋体" w:hAnsi="宋体" w:eastAsia="宋体" w:cs="宋体"/>
          <w:color w:val="auto"/>
          <w:kern w:val="0"/>
          <w:sz w:val="24"/>
          <w:highlight w:val="none"/>
          <w:lang w:val="zh-CN"/>
        </w:rPr>
        <w:t>】政府采购投标的一切事项，其法律后果由我方承担。</w:t>
      </w:r>
    </w:p>
    <w:p w14:paraId="77E1111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51DD23E9">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4FB80809">
      <w:pPr>
        <w:jc w:val="both"/>
        <w:rPr>
          <w:rFonts w:hint="eastAsia" w:ascii="宋体" w:hAnsi="宋体" w:eastAsia="宋体" w:cs="宋体"/>
          <w:b/>
          <w:color w:val="auto"/>
          <w:kern w:val="0"/>
          <w:sz w:val="32"/>
          <w:szCs w:val="32"/>
          <w:highlight w:val="none"/>
        </w:rPr>
      </w:pPr>
    </w:p>
    <w:p w14:paraId="644BE3EF">
      <w:pPr>
        <w:rPr>
          <w:rFonts w:hint="eastAsia" w:ascii="宋体" w:hAnsi="宋体" w:eastAsia="宋体" w:cs="宋体"/>
          <w:color w:val="auto"/>
          <w:highlight w:val="none"/>
        </w:rPr>
      </w:pPr>
    </w:p>
    <w:p w14:paraId="7B1B2B23">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7005A780">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7961A05D">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51322A2D">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011DFBB3">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14:paraId="6DA73865">
      <w:pPr>
        <w:pStyle w:val="147"/>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B43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21D15059">
            <w:pPr>
              <w:pStyle w:val="147"/>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14:paraId="544A495E">
            <w:pPr>
              <w:pStyle w:val="147"/>
              <w:adjustRightInd w:val="0"/>
              <w:spacing w:line="360" w:lineRule="auto"/>
              <w:rPr>
                <w:rFonts w:hint="eastAsia" w:ascii="宋体" w:hAnsi="宋体" w:eastAsia="宋体" w:cs="宋体"/>
                <w:bCs/>
                <w:color w:val="auto"/>
                <w:sz w:val="24"/>
                <w:highlight w:val="none"/>
              </w:rPr>
            </w:pPr>
          </w:p>
        </w:tc>
      </w:tr>
    </w:tbl>
    <w:p w14:paraId="2E0D8B45">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1157CD08">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                              </w:t>
      </w:r>
    </w:p>
    <w:p w14:paraId="33394C5D">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409F03FC">
      <w:pPr>
        <w:jc w:val="center"/>
        <w:rPr>
          <w:rFonts w:hint="eastAsia" w:ascii="宋体" w:hAnsi="宋体" w:eastAsia="宋体" w:cs="宋体"/>
          <w:b/>
          <w:color w:val="auto"/>
          <w:kern w:val="0"/>
          <w:sz w:val="32"/>
          <w:szCs w:val="32"/>
          <w:highlight w:val="none"/>
        </w:rPr>
      </w:pPr>
    </w:p>
    <w:p w14:paraId="264E3756">
      <w:pPr>
        <w:jc w:val="center"/>
        <w:rPr>
          <w:rFonts w:hint="eastAsia" w:ascii="宋体" w:hAnsi="宋体" w:eastAsia="宋体" w:cs="宋体"/>
          <w:b/>
          <w:color w:val="auto"/>
          <w:kern w:val="0"/>
          <w:sz w:val="32"/>
          <w:szCs w:val="32"/>
          <w:highlight w:val="none"/>
        </w:rPr>
      </w:pPr>
    </w:p>
    <w:p w14:paraId="6F5F3ABD">
      <w:pPr>
        <w:jc w:val="center"/>
        <w:rPr>
          <w:rFonts w:hint="eastAsia" w:ascii="宋体" w:hAnsi="宋体" w:eastAsia="宋体" w:cs="宋体"/>
          <w:b/>
          <w:color w:val="auto"/>
          <w:kern w:val="0"/>
          <w:sz w:val="32"/>
          <w:szCs w:val="32"/>
          <w:highlight w:val="none"/>
        </w:rPr>
      </w:pPr>
    </w:p>
    <w:p w14:paraId="3E7D9185">
      <w:pPr>
        <w:jc w:val="center"/>
        <w:rPr>
          <w:rFonts w:hint="eastAsia" w:ascii="宋体" w:hAnsi="宋体" w:eastAsia="宋体" w:cs="宋体"/>
          <w:b/>
          <w:color w:val="auto"/>
          <w:kern w:val="0"/>
          <w:sz w:val="32"/>
          <w:szCs w:val="32"/>
          <w:highlight w:val="none"/>
        </w:rPr>
      </w:pPr>
    </w:p>
    <w:p w14:paraId="1A2E3CA9">
      <w:pPr>
        <w:jc w:val="center"/>
        <w:rPr>
          <w:rFonts w:hint="eastAsia" w:ascii="宋体" w:hAnsi="宋体" w:eastAsia="宋体" w:cs="宋体"/>
          <w:b/>
          <w:color w:val="auto"/>
          <w:kern w:val="0"/>
          <w:sz w:val="32"/>
          <w:szCs w:val="32"/>
          <w:highlight w:val="none"/>
        </w:rPr>
      </w:pPr>
    </w:p>
    <w:p w14:paraId="5CE8442D">
      <w:pPr>
        <w:jc w:val="center"/>
        <w:rPr>
          <w:rFonts w:hint="eastAsia" w:ascii="宋体" w:hAnsi="宋体" w:eastAsia="宋体" w:cs="宋体"/>
          <w:b/>
          <w:color w:val="auto"/>
          <w:kern w:val="0"/>
          <w:sz w:val="32"/>
          <w:szCs w:val="32"/>
          <w:highlight w:val="none"/>
        </w:rPr>
      </w:pPr>
    </w:p>
    <w:p w14:paraId="4C7C49A5">
      <w:pPr>
        <w:jc w:val="center"/>
        <w:rPr>
          <w:rFonts w:hint="eastAsia" w:ascii="宋体" w:hAnsi="宋体" w:eastAsia="宋体" w:cs="宋体"/>
          <w:b/>
          <w:color w:val="auto"/>
          <w:kern w:val="0"/>
          <w:sz w:val="32"/>
          <w:szCs w:val="32"/>
          <w:highlight w:val="none"/>
        </w:rPr>
      </w:pPr>
    </w:p>
    <w:p w14:paraId="375D0303">
      <w:pPr>
        <w:jc w:val="center"/>
        <w:rPr>
          <w:rFonts w:hint="eastAsia" w:ascii="宋体" w:hAnsi="宋体" w:eastAsia="宋体" w:cs="宋体"/>
          <w:b/>
          <w:color w:val="auto"/>
          <w:kern w:val="0"/>
          <w:sz w:val="32"/>
          <w:szCs w:val="32"/>
          <w:highlight w:val="none"/>
        </w:rPr>
      </w:pPr>
    </w:p>
    <w:p w14:paraId="55DA9DDB">
      <w:pPr>
        <w:jc w:val="center"/>
        <w:rPr>
          <w:rFonts w:hint="eastAsia" w:ascii="宋体" w:hAnsi="宋体" w:eastAsia="宋体" w:cs="宋体"/>
          <w:b/>
          <w:color w:val="auto"/>
          <w:kern w:val="0"/>
          <w:sz w:val="32"/>
          <w:szCs w:val="32"/>
          <w:highlight w:val="none"/>
        </w:rPr>
      </w:pPr>
    </w:p>
    <w:p w14:paraId="71771A39">
      <w:pPr>
        <w:jc w:val="center"/>
        <w:rPr>
          <w:rFonts w:hint="eastAsia" w:ascii="宋体" w:hAnsi="宋体" w:eastAsia="宋体" w:cs="宋体"/>
          <w:b/>
          <w:color w:val="auto"/>
          <w:kern w:val="0"/>
          <w:sz w:val="32"/>
          <w:szCs w:val="32"/>
          <w:highlight w:val="none"/>
        </w:rPr>
      </w:pPr>
    </w:p>
    <w:p w14:paraId="4B1D5FB2">
      <w:pPr>
        <w:snapToGrid w:val="0"/>
        <w:spacing w:line="360" w:lineRule="auto"/>
        <w:ind w:right="480"/>
        <w:rPr>
          <w:rFonts w:hint="eastAsia" w:ascii="宋体" w:hAnsi="宋体" w:eastAsia="宋体" w:cs="宋体"/>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534D311D">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三、分包意向协议（如果有）</w:t>
      </w:r>
    </w:p>
    <w:p w14:paraId="1ADA35D4">
      <w:pPr>
        <w:widowControl/>
        <w:spacing w:line="360" w:lineRule="auto"/>
        <w:ind w:firstLine="120" w:firstLineChars="50"/>
        <w:jc w:val="left"/>
        <w:rPr>
          <w:rFonts w:hint="eastAsia" w:ascii="宋体" w:hAnsi="宋体" w:eastAsia="宋体" w:cs="宋体"/>
          <w:color w:val="auto"/>
          <w:sz w:val="24"/>
          <w:highlight w:val="none"/>
        </w:rPr>
      </w:pPr>
      <w:bookmarkStart w:id="549" w:name="_Hlk101169080"/>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color w:val="auto"/>
          <w:sz w:val="24"/>
          <w:highlight w:val="none"/>
        </w:rPr>
        <w:t>]</w:t>
      </w:r>
    </w:p>
    <w:bookmarkEnd w:id="549"/>
    <w:p w14:paraId="414E27A2">
      <w:pPr>
        <w:snapToGrid w:val="0"/>
        <w:spacing w:line="360" w:lineRule="auto"/>
        <w:rPr>
          <w:rFonts w:hint="eastAsia" w:ascii="宋体" w:hAnsi="宋体" w:eastAsia="宋体" w:cs="宋体"/>
          <w:color w:val="auto"/>
          <w:kern w:val="0"/>
          <w:sz w:val="24"/>
          <w:highlight w:val="none"/>
        </w:rPr>
      </w:pPr>
    </w:p>
    <w:p w14:paraId="4F46532A">
      <w:pPr>
        <w:jc w:val="center"/>
        <w:rPr>
          <w:rFonts w:hint="eastAsia" w:ascii="宋体" w:hAnsi="宋体" w:eastAsia="宋体" w:cs="宋体"/>
          <w:b/>
          <w:color w:val="auto"/>
          <w:kern w:val="0"/>
          <w:sz w:val="32"/>
          <w:szCs w:val="32"/>
          <w:highlight w:val="none"/>
        </w:rPr>
      </w:pPr>
    </w:p>
    <w:p w14:paraId="0F16B0D4">
      <w:pPr>
        <w:pStyle w:val="3"/>
        <w:rPr>
          <w:rFonts w:hint="eastAsia" w:ascii="宋体" w:hAnsi="宋体" w:eastAsia="宋体" w:cs="宋体"/>
          <w:color w:val="auto"/>
          <w:highlight w:val="none"/>
          <w:lang w:val="en-US"/>
        </w:rPr>
      </w:pPr>
    </w:p>
    <w:p w14:paraId="4FF857F0">
      <w:pPr>
        <w:rPr>
          <w:rFonts w:hint="eastAsia" w:ascii="宋体" w:hAnsi="宋体" w:eastAsia="宋体" w:cs="宋体"/>
          <w:color w:val="auto"/>
          <w:highlight w:val="none"/>
        </w:rPr>
      </w:pPr>
    </w:p>
    <w:p w14:paraId="73AF5599">
      <w:pPr>
        <w:pStyle w:val="3"/>
        <w:rPr>
          <w:rFonts w:hint="eastAsia" w:ascii="宋体" w:hAnsi="宋体" w:eastAsia="宋体" w:cs="宋体"/>
          <w:color w:val="auto"/>
          <w:highlight w:val="none"/>
          <w:lang w:val="en-US"/>
        </w:rPr>
      </w:pPr>
    </w:p>
    <w:p w14:paraId="30DD7074">
      <w:pPr>
        <w:jc w:val="center"/>
        <w:rPr>
          <w:rFonts w:hint="eastAsia" w:ascii="宋体" w:hAnsi="宋体" w:eastAsia="宋体" w:cs="宋体"/>
          <w:b/>
          <w:color w:val="auto"/>
          <w:kern w:val="0"/>
          <w:sz w:val="32"/>
          <w:szCs w:val="32"/>
          <w:highlight w:val="none"/>
        </w:rPr>
      </w:pPr>
    </w:p>
    <w:p w14:paraId="70FFAEA0">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四、符合性审查资料</w:t>
      </w:r>
    </w:p>
    <w:p w14:paraId="566C1F29">
      <w:pPr>
        <w:jc w:val="center"/>
        <w:rPr>
          <w:rFonts w:hint="eastAsia" w:ascii="宋体" w:hAnsi="宋体" w:eastAsia="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6D34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C994E55">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4991" w:type="dxa"/>
            <w:vAlign w:val="center"/>
          </w:tcPr>
          <w:p w14:paraId="739B60DC">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2551" w:type="dxa"/>
            <w:vAlign w:val="center"/>
          </w:tcPr>
          <w:p w14:paraId="39122A4B">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418" w:type="dxa"/>
            <w:vAlign w:val="center"/>
          </w:tcPr>
          <w:p w14:paraId="00E2A608">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投标文件中的</w:t>
            </w:r>
          </w:p>
          <w:p w14:paraId="62E065AF">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页码位置</w:t>
            </w:r>
          </w:p>
        </w:tc>
      </w:tr>
      <w:tr w14:paraId="7BB3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2EC4064">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4991" w:type="dxa"/>
          </w:tcPr>
          <w:p w14:paraId="37F6BC0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投标文件按照招标文件要求签署、盖章。</w:t>
            </w:r>
          </w:p>
        </w:tc>
        <w:tc>
          <w:tcPr>
            <w:tcW w:w="2551" w:type="dxa"/>
            <w:vAlign w:val="center"/>
          </w:tcPr>
          <w:p w14:paraId="0A3F756E">
            <w:pPr>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需要使用电子签名或者签字盖章的投标文件的组成部分</w:t>
            </w:r>
          </w:p>
        </w:tc>
        <w:tc>
          <w:tcPr>
            <w:tcW w:w="1418" w:type="dxa"/>
          </w:tcPr>
          <w:p w14:paraId="4960DF95">
            <w:pPr>
              <w:rPr>
                <w:rFonts w:hint="eastAsia" w:ascii="宋体" w:hAnsi="宋体" w:eastAsia="宋体" w:cs="宋体"/>
                <w:color w:val="auto"/>
                <w:sz w:val="24"/>
                <w:highlight w:val="none"/>
              </w:rPr>
            </w:pPr>
          </w:p>
          <w:p w14:paraId="6D49FC24">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w:t>
            </w:r>
          </w:p>
          <w:p w14:paraId="5304E95A">
            <w:pPr>
              <w:rPr>
                <w:rFonts w:hint="eastAsia" w:ascii="宋体" w:hAnsi="宋体" w:eastAsia="宋体" w:cs="宋体"/>
                <w:color w:val="auto"/>
                <w:highlight w:val="none"/>
              </w:rPr>
            </w:pPr>
            <w:r>
              <w:rPr>
                <w:rFonts w:hint="eastAsia" w:ascii="宋体" w:hAnsi="宋体" w:eastAsia="宋体" w:cs="宋体"/>
                <w:color w:val="auto"/>
                <w:sz w:val="24"/>
                <w:highlight w:val="none"/>
              </w:rPr>
              <w:t>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13EE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712CDC5">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4991" w:type="dxa"/>
          </w:tcPr>
          <w:p w14:paraId="30814BE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投标文件中承诺的投标有效期不少于招标文件中载明的投标有效期。</w:t>
            </w:r>
          </w:p>
        </w:tc>
        <w:tc>
          <w:tcPr>
            <w:tcW w:w="2551" w:type="dxa"/>
            <w:vAlign w:val="center"/>
          </w:tcPr>
          <w:p w14:paraId="2D1A2FEE">
            <w:pP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tc>
        <w:tc>
          <w:tcPr>
            <w:tcW w:w="1418" w:type="dxa"/>
          </w:tcPr>
          <w:p w14:paraId="5BD2E4B9">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7194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68DFCF4">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4991" w:type="dxa"/>
          </w:tcPr>
          <w:p w14:paraId="14EE8D4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投标文件满足招标文件的其它实质性要求。</w:t>
            </w:r>
          </w:p>
        </w:tc>
        <w:tc>
          <w:tcPr>
            <w:tcW w:w="2551" w:type="dxa"/>
            <w:vAlign w:val="center"/>
          </w:tcPr>
          <w:p w14:paraId="3DA8422F">
            <w:pP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招标文件其它实质性要求相应的材料（“▲” 系指实质性要求条款，招标文件无其它实质性要求的，无需提供）</w:t>
            </w:r>
          </w:p>
        </w:tc>
        <w:tc>
          <w:tcPr>
            <w:tcW w:w="1418" w:type="dxa"/>
          </w:tcPr>
          <w:p w14:paraId="16A19833">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bl>
    <w:p w14:paraId="6252BAAE">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6CD17479">
      <w:pPr>
        <w:jc w:val="center"/>
        <w:rPr>
          <w:rFonts w:hint="eastAsia" w:ascii="宋体" w:hAnsi="宋体" w:eastAsia="宋体" w:cs="宋体"/>
          <w:b/>
          <w:color w:val="auto"/>
          <w:kern w:val="0"/>
          <w:sz w:val="32"/>
          <w:szCs w:val="32"/>
          <w:highlight w:val="none"/>
        </w:rPr>
      </w:pPr>
    </w:p>
    <w:p w14:paraId="18D085BC">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            </w:t>
      </w:r>
    </w:p>
    <w:p w14:paraId="3D01F523">
      <w:pPr>
        <w:jc w:val="center"/>
        <w:rPr>
          <w:rFonts w:hint="eastAsia" w:ascii="宋体" w:hAnsi="宋体" w:eastAsia="宋体" w:cs="宋体"/>
          <w:b/>
          <w:color w:val="auto"/>
          <w:kern w:val="0"/>
          <w:sz w:val="32"/>
          <w:szCs w:val="32"/>
          <w:highlight w:val="none"/>
        </w:rPr>
      </w:pPr>
    </w:p>
    <w:p w14:paraId="4913B6C1">
      <w:pPr>
        <w:jc w:val="center"/>
        <w:rPr>
          <w:rFonts w:hint="eastAsia" w:ascii="宋体" w:hAnsi="宋体" w:eastAsia="宋体" w:cs="宋体"/>
          <w:b/>
          <w:color w:val="auto"/>
          <w:kern w:val="0"/>
          <w:sz w:val="32"/>
          <w:szCs w:val="32"/>
          <w:highlight w:val="none"/>
        </w:rPr>
      </w:pPr>
    </w:p>
    <w:p w14:paraId="0B8AD539">
      <w:pPr>
        <w:jc w:val="center"/>
        <w:rPr>
          <w:rFonts w:hint="eastAsia" w:ascii="宋体" w:hAnsi="宋体" w:eastAsia="宋体" w:cs="宋体"/>
          <w:b/>
          <w:color w:val="auto"/>
          <w:kern w:val="0"/>
          <w:sz w:val="32"/>
          <w:szCs w:val="32"/>
          <w:highlight w:val="none"/>
        </w:rPr>
      </w:pPr>
    </w:p>
    <w:p w14:paraId="6372DF10">
      <w:pPr>
        <w:jc w:val="center"/>
        <w:rPr>
          <w:rFonts w:hint="eastAsia" w:ascii="宋体" w:hAnsi="宋体" w:eastAsia="宋体" w:cs="宋体"/>
          <w:b/>
          <w:color w:val="auto"/>
          <w:kern w:val="0"/>
          <w:sz w:val="32"/>
          <w:szCs w:val="32"/>
          <w:highlight w:val="none"/>
        </w:rPr>
      </w:pPr>
    </w:p>
    <w:p w14:paraId="7EC13715">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579481AE">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五、评标标准相应的商务技术资料</w:t>
      </w:r>
    </w:p>
    <w:p w14:paraId="4664CA0A">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（按招标文件第四部分评标办法前附表中“投标文件中评标标准相应的商务技术资料目录”提供资料。）</w:t>
      </w:r>
    </w:p>
    <w:p w14:paraId="7BD8415F">
      <w:pPr>
        <w:jc w:val="center"/>
        <w:rPr>
          <w:rFonts w:hint="eastAsia" w:ascii="宋体" w:hAnsi="宋体" w:eastAsia="宋体" w:cs="宋体"/>
          <w:b/>
          <w:color w:val="auto"/>
          <w:kern w:val="0"/>
          <w:sz w:val="32"/>
          <w:szCs w:val="32"/>
          <w:highlight w:val="none"/>
        </w:rPr>
      </w:pPr>
    </w:p>
    <w:p w14:paraId="72EBED97">
      <w:pPr>
        <w:jc w:val="center"/>
        <w:rPr>
          <w:rFonts w:hint="eastAsia" w:ascii="宋体" w:hAnsi="宋体" w:eastAsia="宋体" w:cs="宋体"/>
          <w:b/>
          <w:color w:val="auto"/>
          <w:kern w:val="0"/>
          <w:sz w:val="32"/>
          <w:szCs w:val="32"/>
          <w:highlight w:val="none"/>
        </w:rPr>
      </w:pPr>
    </w:p>
    <w:p w14:paraId="648512DC">
      <w:pPr>
        <w:jc w:val="center"/>
        <w:rPr>
          <w:rFonts w:hint="eastAsia" w:ascii="宋体" w:hAnsi="宋体" w:eastAsia="宋体" w:cs="宋体"/>
          <w:b/>
          <w:color w:val="auto"/>
          <w:kern w:val="0"/>
          <w:sz w:val="32"/>
          <w:szCs w:val="32"/>
          <w:highlight w:val="none"/>
        </w:rPr>
      </w:pPr>
    </w:p>
    <w:p w14:paraId="05CB6565">
      <w:pPr>
        <w:ind w:firstLine="2891" w:firstLineChars="9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956"/>
        <w:gridCol w:w="1850"/>
        <w:gridCol w:w="1343"/>
        <w:gridCol w:w="1673"/>
      </w:tblGrid>
      <w:tr w14:paraId="2321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849EFF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7205F551">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956" w:type="dxa"/>
            <w:tcBorders>
              <w:top w:val="single" w:color="auto" w:sz="4" w:space="0"/>
              <w:left w:val="single" w:color="auto" w:sz="4" w:space="0"/>
              <w:bottom w:val="single" w:color="auto" w:sz="4" w:space="0"/>
              <w:right w:val="single" w:color="auto" w:sz="4" w:space="0"/>
            </w:tcBorders>
            <w:vAlign w:val="center"/>
          </w:tcPr>
          <w:p w14:paraId="6E9B8CED">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1850" w:type="dxa"/>
            <w:tcBorders>
              <w:top w:val="single" w:color="auto" w:sz="4" w:space="0"/>
              <w:left w:val="single" w:color="auto" w:sz="4" w:space="0"/>
              <w:bottom w:val="single" w:color="auto" w:sz="4" w:space="0"/>
              <w:right w:val="single" w:color="auto" w:sz="4" w:space="0"/>
            </w:tcBorders>
            <w:vAlign w:val="center"/>
          </w:tcPr>
          <w:p w14:paraId="3896506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1343" w:type="dxa"/>
            <w:tcBorders>
              <w:top w:val="single" w:color="auto" w:sz="4" w:space="0"/>
              <w:left w:val="single" w:color="auto" w:sz="4" w:space="0"/>
              <w:bottom w:val="single" w:color="auto" w:sz="4" w:space="0"/>
              <w:right w:val="single" w:color="auto" w:sz="4" w:space="0"/>
            </w:tcBorders>
            <w:vAlign w:val="center"/>
          </w:tcPr>
          <w:p w14:paraId="37977E5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4FCF5F5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5665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B03742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49B9891C">
            <w:pPr>
              <w:snapToGrid w:val="0"/>
              <w:spacing w:line="360" w:lineRule="auto"/>
              <w:jc w:val="center"/>
              <w:rPr>
                <w:rFonts w:hint="eastAsia" w:ascii="宋体" w:hAnsi="宋体" w:eastAsia="宋体" w:cs="宋体"/>
                <w:color w:val="auto"/>
                <w:sz w:val="24"/>
                <w:highlight w:val="none"/>
              </w:rPr>
            </w:pPr>
          </w:p>
        </w:tc>
        <w:tc>
          <w:tcPr>
            <w:tcW w:w="1956" w:type="dxa"/>
            <w:tcBorders>
              <w:top w:val="single" w:color="auto" w:sz="4" w:space="0"/>
              <w:left w:val="single" w:color="auto" w:sz="4" w:space="0"/>
              <w:bottom w:val="single" w:color="auto" w:sz="4" w:space="0"/>
              <w:right w:val="single" w:color="auto" w:sz="4" w:space="0"/>
            </w:tcBorders>
            <w:vAlign w:val="center"/>
          </w:tcPr>
          <w:p w14:paraId="534B53FA">
            <w:pPr>
              <w:snapToGrid w:val="0"/>
              <w:spacing w:line="360" w:lineRule="auto"/>
              <w:jc w:val="center"/>
              <w:rPr>
                <w:rFonts w:hint="eastAsia" w:ascii="宋体" w:hAnsi="宋体" w:eastAsia="宋体" w:cs="宋体"/>
                <w:color w:val="auto"/>
                <w:sz w:val="24"/>
                <w:highlight w:val="none"/>
              </w:rPr>
            </w:pPr>
          </w:p>
        </w:tc>
        <w:tc>
          <w:tcPr>
            <w:tcW w:w="1850" w:type="dxa"/>
            <w:tcBorders>
              <w:top w:val="single" w:color="auto" w:sz="4" w:space="0"/>
              <w:left w:val="single" w:color="auto" w:sz="4" w:space="0"/>
              <w:bottom w:val="single" w:color="auto" w:sz="4" w:space="0"/>
              <w:right w:val="single" w:color="auto" w:sz="4" w:space="0"/>
            </w:tcBorders>
            <w:vAlign w:val="center"/>
          </w:tcPr>
          <w:p w14:paraId="6B9AE5D2">
            <w:pPr>
              <w:snapToGrid w:val="0"/>
              <w:spacing w:line="360" w:lineRule="auto"/>
              <w:jc w:val="center"/>
              <w:rPr>
                <w:rFonts w:hint="eastAsia" w:ascii="宋体" w:hAnsi="宋体" w:eastAsia="宋体" w:cs="宋体"/>
                <w:color w:val="auto"/>
                <w:sz w:val="24"/>
                <w:highlight w:val="none"/>
              </w:rPr>
            </w:pPr>
          </w:p>
        </w:tc>
        <w:tc>
          <w:tcPr>
            <w:tcW w:w="1343" w:type="dxa"/>
            <w:tcBorders>
              <w:top w:val="single" w:color="auto" w:sz="4" w:space="0"/>
              <w:left w:val="single" w:color="auto" w:sz="4" w:space="0"/>
              <w:bottom w:val="single" w:color="auto" w:sz="4" w:space="0"/>
              <w:right w:val="single" w:color="auto" w:sz="4" w:space="0"/>
            </w:tcBorders>
            <w:vAlign w:val="center"/>
          </w:tcPr>
          <w:p w14:paraId="327AA0B6">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BC7DF5F">
            <w:pPr>
              <w:spacing w:line="360" w:lineRule="auto"/>
              <w:jc w:val="center"/>
              <w:rPr>
                <w:rFonts w:hint="eastAsia" w:ascii="宋体" w:hAnsi="宋体" w:eastAsia="宋体" w:cs="宋体"/>
                <w:color w:val="auto"/>
                <w:sz w:val="24"/>
                <w:highlight w:val="none"/>
              </w:rPr>
            </w:pPr>
          </w:p>
        </w:tc>
      </w:tr>
      <w:tr w14:paraId="64D0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70F812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5F4A754A">
            <w:pPr>
              <w:snapToGrid w:val="0"/>
              <w:spacing w:line="360" w:lineRule="auto"/>
              <w:jc w:val="center"/>
              <w:rPr>
                <w:rFonts w:hint="eastAsia" w:ascii="宋体" w:hAnsi="宋体" w:eastAsia="宋体" w:cs="宋体"/>
                <w:color w:val="auto"/>
                <w:sz w:val="24"/>
                <w:highlight w:val="none"/>
              </w:rPr>
            </w:pPr>
          </w:p>
        </w:tc>
        <w:tc>
          <w:tcPr>
            <w:tcW w:w="1956" w:type="dxa"/>
            <w:tcBorders>
              <w:top w:val="single" w:color="auto" w:sz="4" w:space="0"/>
              <w:left w:val="single" w:color="auto" w:sz="4" w:space="0"/>
              <w:bottom w:val="single" w:color="auto" w:sz="4" w:space="0"/>
              <w:right w:val="single" w:color="auto" w:sz="4" w:space="0"/>
            </w:tcBorders>
            <w:vAlign w:val="center"/>
          </w:tcPr>
          <w:p w14:paraId="2E33DF70">
            <w:pPr>
              <w:snapToGrid w:val="0"/>
              <w:spacing w:line="360" w:lineRule="auto"/>
              <w:jc w:val="center"/>
              <w:rPr>
                <w:rFonts w:hint="eastAsia" w:ascii="宋体" w:hAnsi="宋体" w:eastAsia="宋体" w:cs="宋体"/>
                <w:color w:val="auto"/>
                <w:sz w:val="24"/>
                <w:highlight w:val="none"/>
              </w:rPr>
            </w:pPr>
          </w:p>
        </w:tc>
        <w:tc>
          <w:tcPr>
            <w:tcW w:w="1850" w:type="dxa"/>
            <w:tcBorders>
              <w:top w:val="single" w:color="auto" w:sz="4" w:space="0"/>
              <w:left w:val="single" w:color="auto" w:sz="4" w:space="0"/>
              <w:bottom w:val="single" w:color="auto" w:sz="4" w:space="0"/>
              <w:right w:val="single" w:color="auto" w:sz="4" w:space="0"/>
            </w:tcBorders>
            <w:vAlign w:val="center"/>
          </w:tcPr>
          <w:p w14:paraId="12EC23FD">
            <w:pPr>
              <w:snapToGrid w:val="0"/>
              <w:spacing w:line="360" w:lineRule="auto"/>
              <w:jc w:val="center"/>
              <w:rPr>
                <w:rFonts w:hint="eastAsia" w:ascii="宋体" w:hAnsi="宋体" w:eastAsia="宋体" w:cs="宋体"/>
                <w:color w:val="auto"/>
                <w:sz w:val="24"/>
                <w:highlight w:val="none"/>
              </w:rPr>
            </w:pPr>
          </w:p>
        </w:tc>
        <w:tc>
          <w:tcPr>
            <w:tcW w:w="1343" w:type="dxa"/>
            <w:tcBorders>
              <w:top w:val="single" w:color="auto" w:sz="4" w:space="0"/>
              <w:left w:val="single" w:color="auto" w:sz="4" w:space="0"/>
              <w:bottom w:val="single" w:color="auto" w:sz="4" w:space="0"/>
              <w:right w:val="single" w:color="auto" w:sz="4" w:space="0"/>
            </w:tcBorders>
            <w:vAlign w:val="center"/>
          </w:tcPr>
          <w:p w14:paraId="3BE4C9BC">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1BF1FD7">
            <w:pPr>
              <w:spacing w:line="360" w:lineRule="auto"/>
              <w:jc w:val="center"/>
              <w:rPr>
                <w:rFonts w:hint="eastAsia" w:ascii="宋体" w:hAnsi="宋体" w:eastAsia="宋体" w:cs="宋体"/>
                <w:color w:val="auto"/>
                <w:sz w:val="24"/>
                <w:highlight w:val="none"/>
              </w:rPr>
            </w:pPr>
          </w:p>
        </w:tc>
      </w:tr>
      <w:tr w14:paraId="631E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5A21D6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12856C6E">
            <w:pPr>
              <w:snapToGrid w:val="0"/>
              <w:spacing w:line="360" w:lineRule="auto"/>
              <w:jc w:val="center"/>
              <w:rPr>
                <w:rFonts w:hint="eastAsia" w:ascii="宋体" w:hAnsi="宋体" w:eastAsia="宋体" w:cs="宋体"/>
                <w:color w:val="auto"/>
                <w:sz w:val="24"/>
                <w:highlight w:val="none"/>
              </w:rPr>
            </w:pPr>
          </w:p>
        </w:tc>
        <w:tc>
          <w:tcPr>
            <w:tcW w:w="1956" w:type="dxa"/>
            <w:tcBorders>
              <w:top w:val="single" w:color="auto" w:sz="4" w:space="0"/>
              <w:left w:val="single" w:color="auto" w:sz="4" w:space="0"/>
              <w:bottom w:val="single" w:color="auto" w:sz="4" w:space="0"/>
              <w:right w:val="single" w:color="auto" w:sz="4" w:space="0"/>
            </w:tcBorders>
            <w:vAlign w:val="center"/>
          </w:tcPr>
          <w:p w14:paraId="1F2A386D">
            <w:pPr>
              <w:snapToGrid w:val="0"/>
              <w:spacing w:line="360" w:lineRule="auto"/>
              <w:jc w:val="center"/>
              <w:rPr>
                <w:rFonts w:hint="eastAsia" w:ascii="宋体" w:hAnsi="宋体" w:eastAsia="宋体" w:cs="宋体"/>
                <w:color w:val="auto"/>
                <w:sz w:val="24"/>
                <w:highlight w:val="none"/>
              </w:rPr>
            </w:pPr>
          </w:p>
        </w:tc>
        <w:tc>
          <w:tcPr>
            <w:tcW w:w="1850" w:type="dxa"/>
            <w:tcBorders>
              <w:top w:val="single" w:color="auto" w:sz="4" w:space="0"/>
              <w:left w:val="single" w:color="auto" w:sz="4" w:space="0"/>
              <w:bottom w:val="single" w:color="auto" w:sz="4" w:space="0"/>
              <w:right w:val="single" w:color="auto" w:sz="4" w:space="0"/>
            </w:tcBorders>
            <w:vAlign w:val="center"/>
          </w:tcPr>
          <w:p w14:paraId="2CA6439A">
            <w:pPr>
              <w:snapToGrid w:val="0"/>
              <w:spacing w:line="360" w:lineRule="auto"/>
              <w:jc w:val="center"/>
              <w:rPr>
                <w:rFonts w:hint="eastAsia" w:ascii="宋体" w:hAnsi="宋体" w:eastAsia="宋体" w:cs="宋体"/>
                <w:color w:val="auto"/>
                <w:sz w:val="24"/>
                <w:highlight w:val="none"/>
              </w:rPr>
            </w:pPr>
          </w:p>
        </w:tc>
        <w:tc>
          <w:tcPr>
            <w:tcW w:w="1343" w:type="dxa"/>
            <w:tcBorders>
              <w:top w:val="single" w:color="auto" w:sz="4" w:space="0"/>
              <w:left w:val="single" w:color="auto" w:sz="4" w:space="0"/>
              <w:bottom w:val="single" w:color="auto" w:sz="4" w:space="0"/>
              <w:right w:val="single" w:color="auto" w:sz="4" w:space="0"/>
            </w:tcBorders>
            <w:vAlign w:val="center"/>
          </w:tcPr>
          <w:p w14:paraId="2581C4E7">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2AF0B139">
            <w:pPr>
              <w:spacing w:line="360" w:lineRule="auto"/>
              <w:jc w:val="center"/>
              <w:rPr>
                <w:rFonts w:hint="eastAsia" w:ascii="宋体" w:hAnsi="宋体" w:eastAsia="宋体" w:cs="宋体"/>
                <w:color w:val="auto"/>
                <w:sz w:val="24"/>
                <w:highlight w:val="none"/>
              </w:rPr>
            </w:pPr>
          </w:p>
        </w:tc>
      </w:tr>
    </w:tbl>
    <w:p w14:paraId="5E5A9060">
      <w:pPr>
        <w:ind w:firstLine="2891" w:firstLineChars="900"/>
        <w:rPr>
          <w:rFonts w:hint="eastAsia" w:ascii="宋体" w:hAnsi="宋体" w:eastAsia="宋体" w:cs="宋体"/>
          <w:b/>
          <w:color w:val="auto"/>
          <w:kern w:val="0"/>
          <w:sz w:val="32"/>
          <w:szCs w:val="32"/>
          <w:highlight w:val="none"/>
        </w:rPr>
      </w:pPr>
    </w:p>
    <w:p w14:paraId="4E317555">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1FFFD3DC">
      <w:pPr>
        <w:jc w:val="center"/>
        <w:rPr>
          <w:rFonts w:hint="eastAsia" w:ascii="宋体" w:hAnsi="宋体" w:eastAsia="宋体" w:cs="宋体"/>
          <w:b/>
          <w:color w:val="auto"/>
          <w:kern w:val="0"/>
          <w:sz w:val="32"/>
          <w:szCs w:val="32"/>
          <w:highlight w:val="none"/>
        </w:rPr>
      </w:pPr>
    </w:p>
    <w:p w14:paraId="7A7561A7">
      <w:pPr>
        <w:jc w:val="center"/>
        <w:rPr>
          <w:rFonts w:hint="eastAsia" w:ascii="宋体" w:hAnsi="宋体" w:eastAsia="宋体" w:cs="宋体"/>
          <w:b/>
          <w:color w:val="auto"/>
          <w:kern w:val="0"/>
          <w:sz w:val="32"/>
          <w:szCs w:val="32"/>
          <w:highlight w:val="none"/>
        </w:rPr>
      </w:pPr>
    </w:p>
    <w:p w14:paraId="262E8A66">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0223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FF43230">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tcPr>
          <w:p w14:paraId="0459F6A5">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546" w:type="dxa"/>
          </w:tcPr>
          <w:p w14:paraId="0D2F45DB">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276" w:type="dxa"/>
          </w:tcPr>
          <w:p w14:paraId="27F6E457">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14:paraId="3EC9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FEB8A9">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tcPr>
          <w:p w14:paraId="17E375FA">
            <w:pPr>
              <w:jc w:val="center"/>
              <w:rPr>
                <w:rFonts w:hint="eastAsia" w:ascii="宋体" w:hAnsi="宋体" w:eastAsia="宋体" w:cs="宋体"/>
                <w:b/>
                <w:color w:val="auto"/>
                <w:kern w:val="0"/>
                <w:sz w:val="32"/>
                <w:szCs w:val="32"/>
                <w:highlight w:val="none"/>
              </w:rPr>
            </w:pPr>
          </w:p>
        </w:tc>
        <w:tc>
          <w:tcPr>
            <w:tcW w:w="3546" w:type="dxa"/>
          </w:tcPr>
          <w:p w14:paraId="55913847">
            <w:pPr>
              <w:jc w:val="center"/>
              <w:rPr>
                <w:rFonts w:hint="eastAsia" w:ascii="宋体" w:hAnsi="宋体" w:eastAsia="宋体" w:cs="宋体"/>
                <w:b/>
                <w:color w:val="auto"/>
                <w:kern w:val="0"/>
                <w:sz w:val="32"/>
                <w:szCs w:val="32"/>
                <w:highlight w:val="none"/>
              </w:rPr>
            </w:pPr>
          </w:p>
        </w:tc>
        <w:tc>
          <w:tcPr>
            <w:tcW w:w="1276" w:type="dxa"/>
          </w:tcPr>
          <w:p w14:paraId="5DC8C937">
            <w:pPr>
              <w:jc w:val="center"/>
              <w:rPr>
                <w:rFonts w:hint="eastAsia" w:ascii="宋体" w:hAnsi="宋体" w:eastAsia="宋体" w:cs="宋体"/>
                <w:b/>
                <w:color w:val="auto"/>
                <w:kern w:val="0"/>
                <w:sz w:val="32"/>
                <w:szCs w:val="32"/>
                <w:highlight w:val="none"/>
              </w:rPr>
            </w:pPr>
          </w:p>
        </w:tc>
      </w:tr>
      <w:tr w14:paraId="79C7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3DB4834">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tcPr>
          <w:p w14:paraId="212DD593">
            <w:pPr>
              <w:jc w:val="center"/>
              <w:rPr>
                <w:rFonts w:hint="eastAsia" w:ascii="宋体" w:hAnsi="宋体" w:eastAsia="宋体" w:cs="宋体"/>
                <w:b/>
                <w:color w:val="auto"/>
                <w:kern w:val="0"/>
                <w:sz w:val="32"/>
                <w:szCs w:val="32"/>
                <w:highlight w:val="none"/>
              </w:rPr>
            </w:pPr>
          </w:p>
        </w:tc>
        <w:tc>
          <w:tcPr>
            <w:tcW w:w="3546" w:type="dxa"/>
          </w:tcPr>
          <w:p w14:paraId="0910767E">
            <w:pPr>
              <w:jc w:val="center"/>
              <w:rPr>
                <w:rFonts w:hint="eastAsia" w:ascii="宋体" w:hAnsi="宋体" w:eastAsia="宋体" w:cs="宋体"/>
                <w:b/>
                <w:color w:val="auto"/>
                <w:kern w:val="0"/>
                <w:sz w:val="32"/>
                <w:szCs w:val="32"/>
                <w:highlight w:val="none"/>
              </w:rPr>
            </w:pPr>
          </w:p>
        </w:tc>
        <w:tc>
          <w:tcPr>
            <w:tcW w:w="1276" w:type="dxa"/>
          </w:tcPr>
          <w:p w14:paraId="565CACF2">
            <w:pPr>
              <w:jc w:val="center"/>
              <w:rPr>
                <w:rFonts w:hint="eastAsia" w:ascii="宋体" w:hAnsi="宋体" w:eastAsia="宋体" w:cs="宋体"/>
                <w:b/>
                <w:color w:val="auto"/>
                <w:kern w:val="0"/>
                <w:sz w:val="32"/>
                <w:szCs w:val="32"/>
                <w:highlight w:val="none"/>
              </w:rPr>
            </w:pPr>
          </w:p>
        </w:tc>
      </w:tr>
      <w:tr w14:paraId="436D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C3346E">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tcPr>
          <w:p w14:paraId="24E6763E">
            <w:pPr>
              <w:jc w:val="center"/>
              <w:rPr>
                <w:rFonts w:hint="eastAsia" w:ascii="宋体" w:hAnsi="宋体" w:eastAsia="宋体" w:cs="宋体"/>
                <w:b/>
                <w:color w:val="auto"/>
                <w:kern w:val="0"/>
                <w:sz w:val="32"/>
                <w:szCs w:val="32"/>
                <w:highlight w:val="none"/>
              </w:rPr>
            </w:pPr>
          </w:p>
        </w:tc>
        <w:tc>
          <w:tcPr>
            <w:tcW w:w="3546" w:type="dxa"/>
          </w:tcPr>
          <w:p w14:paraId="36C92920">
            <w:pPr>
              <w:jc w:val="center"/>
              <w:rPr>
                <w:rFonts w:hint="eastAsia" w:ascii="宋体" w:hAnsi="宋体" w:eastAsia="宋体" w:cs="宋体"/>
                <w:b/>
                <w:color w:val="auto"/>
                <w:kern w:val="0"/>
                <w:sz w:val="32"/>
                <w:szCs w:val="32"/>
                <w:highlight w:val="none"/>
              </w:rPr>
            </w:pPr>
          </w:p>
        </w:tc>
        <w:tc>
          <w:tcPr>
            <w:tcW w:w="1276" w:type="dxa"/>
          </w:tcPr>
          <w:p w14:paraId="3FFFB7B9">
            <w:pPr>
              <w:jc w:val="center"/>
              <w:rPr>
                <w:rFonts w:hint="eastAsia" w:ascii="宋体" w:hAnsi="宋体" w:eastAsia="宋体" w:cs="宋体"/>
                <w:b/>
                <w:color w:val="auto"/>
                <w:kern w:val="0"/>
                <w:sz w:val="32"/>
                <w:szCs w:val="32"/>
                <w:highlight w:val="none"/>
              </w:rPr>
            </w:pPr>
          </w:p>
        </w:tc>
      </w:tr>
    </w:tbl>
    <w:p w14:paraId="127EB09E">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14:paraId="552F0447">
      <w:pPr>
        <w:jc w:val="center"/>
        <w:rPr>
          <w:rFonts w:hint="eastAsia" w:ascii="宋体" w:hAnsi="宋体" w:eastAsia="宋体" w:cs="宋体"/>
          <w:b/>
          <w:color w:val="auto"/>
          <w:kern w:val="0"/>
          <w:sz w:val="32"/>
          <w:szCs w:val="32"/>
          <w:highlight w:val="none"/>
        </w:rPr>
      </w:pPr>
    </w:p>
    <w:p w14:paraId="314C58AE">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794F340F">
      <w:pPr>
        <w:ind w:firstLine="1911" w:firstLineChars="595"/>
        <w:rPr>
          <w:rFonts w:hint="eastAsia" w:ascii="宋体" w:hAnsi="宋体" w:eastAsia="宋体" w:cs="宋体"/>
          <w:b/>
          <w:bCs/>
          <w:color w:val="auto"/>
          <w:sz w:val="32"/>
          <w:szCs w:val="32"/>
          <w:highlight w:val="none"/>
        </w:rPr>
      </w:pPr>
    </w:p>
    <w:p w14:paraId="701BAF65">
      <w:pPr>
        <w:ind w:firstLine="1911" w:firstLineChars="595"/>
        <w:rPr>
          <w:rFonts w:hint="eastAsia" w:ascii="宋体" w:hAnsi="宋体" w:eastAsia="宋体" w:cs="宋体"/>
          <w:b/>
          <w:bCs/>
          <w:color w:val="auto"/>
          <w:sz w:val="32"/>
          <w:szCs w:val="32"/>
          <w:highlight w:val="none"/>
        </w:rPr>
      </w:pPr>
    </w:p>
    <w:p w14:paraId="76E3FFB8">
      <w:pPr>
        <w:ind w:firstLine="1911" w:firstLineChars="595"/>
        <w:rPr>
          <w:rFonts w:hint="eastAsia" w:ascii="宋体" w:hAnsi="宋体" w:eastAsia="宋体" w:cs="宋体"/>
          <w:b/>
          <w:bCs/>
          <w:color w:val="auto"/>
          <w:sz w:val="32"/>
          <w:szCs w:val="32"/>
          <w:highlight w:val="none"/>
        </w:rPr>
      </w:pPr>
    </w:p>
    <w:p w14:paraId="5B673365">
      <w:pPr>
        <w:ind w:firstLine="1911" w:firstLineChars="595"/>
        <w:rPr>
          <w:rFonts w:hint="eastAsia" w:ascii="宋体" w:hAnsi="宋体" w:eastAsia="宋体" w:cs="宋体"/>
          <w:b/>
          <w:bCs/>
          <w:color w:val="auto"/>
          <w:sz w:val="32"/>
          <w:szCs w:val="32"/>
          <w:highlight w:val="none"/>
        </w:rPr>
      </w:pPr>
    </w:p>
    <w:p w14:paraId="47B5E256">
      <w:pPr>
        <w:ind w:firstLine="1911" w:firstLineChars="595"/>
        <w:rPr>
          <w:rFonts w:hint="eastAsia" w:ascii="宋体" w:hAnsi="宋体" w:eastAsia="宋体" w:cs="宋体"/>
          <w:b/>
          <w:bCs/>
          <w:color w:val="auto"/>
          <w:sz w:val="32"/>
          <w:szCs w:val="32"/>
          <w:highlight w:val="none"/>
        </w:rPr>
      </w:pPr>
    </w:p>
    <w:p w14:paraId="1720802B">
      <w:pPr>
        <w:widowControl/>
        <w:adjustRightInd/>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1C70F01E">
      <w:pPr>
        <w:ind w:firstLine="1911" w:firstLineChars="595"/>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八</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77EF7A45">
      <w:pPr>
        <w:snapToGrid w:val="0"/>
        <w:spacing w:line="360" w:lineRule="auto"/>
        <w:rPr>
          <w:rFonts w:hint="eastAsia" w:ascii="宋体" w:hAnsi="宋体" w:eastAsia="宋体" w:cs="宋体"/>
          <w:color w:val="auto"/>
          <w:sz w:val="24"/>
          <w:highlight w:val="none"/>
        </w:rPr>
      </w:pPr>
    </w:p>
    <w:p w14:paraId="201A77A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2CC865B6">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5C3CF90E">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0B8078E0">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5C3A998C">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74B1192C">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0A9232FD">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59C0AFED">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37586589">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14:paraId="01BE0D0E">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14:paraId="60500209">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40778F24">
      <w:pPr>
        <w:autoSpaceDE w:val="0"/>
        <w:autoSpaceDN w:val="0"/>
        <w:spacing w:line="360" w:lineRule="auto"/>
        <w:ind w:left="2"/>
        <w:jc w:val="left"/>
        <w:rPr>
          <w:rFonts w:hint="eastAsia" w:ascii="宋体" w:hAnsi="宋体" w:eastAsia="宋体" w:cs="宋体"/>
          <w:color w:val="auto"/>
          <w:kern w:val="0"/>
          <w:sz w:val="24"/>
          <w:highlight w:val="none"/>
          <w:lang w:val="zh-CN"/>
        </w:rPr>
      </w:pPr>
    </w:p>
    <w:p w14:paraId="5EFA624D">
      <w:pPr>
        <w:autoSpaceDE w:val="0"/>
        <w:autoSpaceDN w:val="0"/>
        <w:spacing w:line="360" w:lineRule="auto"/>
        <w:ind w:left="2"/>
        <w:jc w:val="left"/>
        <w:rPr>
          <w:rFonts w:hint="eastAsia" w:ascii="宋体" w:hAnsi="宋体" w:eastAsia="宋体" w:cs="宋体"/>
          <w:color w:val="auto"/>
          <w:kern w:val="0"/>
          <w:sz w:val="24"/>
          <w:highlight w:val="none"/>
          <w:lang w:val="zh-CN"/>
        </w:rPr>
      </w:pPr>
    </w:p>
    <w:p w14:paraId="0192CD97">
      <w:pPr>
        <w:autoSpaceDE w:val="0"/>
        <w:autoSpaceDN w:val="0"/>
        <w:spacing w:line="360" w:lineRule="auto"/>
        <w:ind w:left="2"/>
        <w:jc w:val="left"/>
        <w:rPr>
          <w:rFonts w:hint="eastAsia" w:ascii="宋体" w:hAnsi="宋体" w:eastAsia="宋体" w:cs="宋体"/>
          <w:color w:val="auto"/>
          <w:kern w:val="0"/>
          <w:sz w:val="24"/>
          <w:highlight w:val="none"/>
          <w:lang w:val="zh-CN"/>
        </w:rPr>
      </w:pPr>
    </w:p>
    <w:p w14:paraId="37E1FD0C">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54304B76">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54C40F52">
      <w:pPr>
        <w:spacing w:line="360" w:lineRule="auto"/>
        <w:jc w:val="center"/>
        <w:rPr>
          <w:rFonts w:hint="eastAsia" w:ascii="宋体" w:hAnsi="宋体" w:eastAsia="宋体" w:cs="宋体"/>
          <w:b/>
          <w:bCs/>
          <w:color w:val="auto"/>
          <w:sz w:val="24"/>
          <w:highlight w:val="none"/>
        </w:rPr>
      </w:pPr>
    </w:p>
    <w:p w14:paraId="2D5848EB">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45B988B7">
      <w:pPr>
        <w:spacing w:line="360" w:lineRule="auto"/>
        <w:jc w:val="center"/>
        <w:rPr>
          <w:rFonts w:hint="eastAsia" w:ascii="宋体" w:hAnsi="宋体" w:eastAsia="宋体" w:cs="宋体"/>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37445E32">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6364C189">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3A7285E7">
      <w:pPr>
        <w:spacing w:line="360" w:lineRule="auto"/>
        <w:jc w:val="center"/>
        <w:outlineLvl w:val="0"/>
        <w:rPr>
          <w:rFonts w:hint="eastAsia" w:ascii="宋体" w:hAnsi="宋体" w:eastAsia="宋体" w:cs="宋体"/>
          <w:b/>
          <w:color w:val="auto"/>
          <w:kern w:val="0"/>
          <w:sz w:val="36"/>
          <w:szCs w:val="36"/>
          <w:highlight w:val="none"/>
        </w:rPr>
      </w:pPr>
    </w:p>
    <w:p w14:paraId="527AF144">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（1）开标一览表（报价表）………………………………………………………（页码）</w:t>
      </w:r>
    </w:p>
    <w:p w14:paraId="01DE10B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（2）中小企业声明函………………………………………………………………（页码）</w:t>
      </w:r>
    </w:p>
    <w:p w14:paraId="2DE3E5C0">
      <w:pPr>
        <w:snapToGrid w:val="0"/>
        <w:spacing w:line="360" w:lineRule="auto"/>
        <w:ind w:right="480"/>
        <w:jc w:val="center"/>
        <w:rPr>
          <w:rFonts w:hint="eastAsia" w:ascii="宋体" w:hAnsi="宋体" w:eastAsia="宋体" w:cs="宋体"/>
          <w:b/>
          <w:color w:val="auto"/>
          <w:kern w:val="0"/>
          <w:sz w:val="32"/>
          <w:szCs w:val="32"/>
          <w:highlight w:val="none"/>
        </w:rPr>
      </w:pPr>
    </w:p>
    <w:p w14:paraId="71E08F7E">
      <w:pPr>
        <w:snapToGrid w:val="0"/>
        <w:spacing w:line="360" w:lineRule="auto"/>
        <w:ind w:right="480"/>
        <w:jc w:val="center"/>
        <w:rPr>
          <w:rFonts w:hint="eastAsia" w:ascii="宋体" w:hAnsi="宋体" w:eastAsia="宋体" w:cs="宋体"/>
          <w:b/>
          <w:color w:val="auto"/>
          <w:kern w:val="0"/>
          <w:sz w:val="32"/>
          <w:szCs w:val="32"/>
          <w:highlight w:val="none"/>
        </w:rPr>
      </w:pPr>
    </w:p>
    <w:p w14:paraId="63100152">
      <w:pPr>
        <w:snapToGrid w:val="0"/>
        <w:spacing w:line="360" w:lineRule="auto"/>
        <w:ind w:right="480"/>
        <w:jc w:val="center"/>
        <w:rPr>
          <w:rFonts w:hint="eastAsia" w:ascii="宋体" w:hAnsi="宋体" w:eastAsia="宋体" w:cs="宋体"/>
          <w:b/>
          <w:color w:val="auto"/>
          <w:kern w:val="0"/>
          <w:sz w:val="32"/>
          <w:szCs w:val="32"/>
          <w:highlight w:val="none"/>
        </w:rPr>
      </w:pPr>
    </w:p>
    <w:p w14:paraId="501DB199">
      <w:pPr>
        <w:snapToGrid w:val="0"/>
        <w:spacing w:line="360" w:lineRule="auto"/>
        <w:ind w:right="480"/>
        <w:jc w:val="center"/>
        <w:rPr>
          <w:rFonts w:hint="eastAsia" w:ascii="宋体" w:hAnsi="宋体" w:eastAsia="宋体" w:cs="宋体"/>
          <w:b/>
          <w:color w:val="auto"/>
          <w:kern w:val="0"/>
          <w:sz w:val="32"/>
          <w:szCs w:val="32"/>
          <w:highlight w:val="none"/>
        </w:rPr>
      </w:pPr>
    </w:p>
    <w:p w14:paraId="61AA4305">
      <w:pPr>
        <w:snapToGrid w:val="0"/>
        <w:spacing w:line="360" w:lineRule="auto"/>
        <w:ind w:right="480"/>
        <w:jc w:val="center"/>
        <w:rPr>
          <w:rFonts w:hint="eastAsia" w:ascii="宋体" w:hAnsi="宋体" w:eastAsia="宋体" w:cs="宋体"/>
          <w:b/>
          <w:color w:val="auto"/>
          <w:kern w:val="0"/>
          <w:sz w:val="32"/>
          <w:szCs w:val="32"/>
          <w:highlight w:val="none"/>
        </w:rPr>
      </w:pPr>
    </w:p>
    <w:p w14:paraId="0B93BA7D">
      <w:pPr>
        <w:snapToGrid w:val="0"/>
        <w:spacing w:line="360" w:lineRule="auto"/>
        <w:ind w:right="480"/>
        <w:jc w:val="center"/>
        <w:rPr>
          <w:rFonts w:hint="eastAsia" w:ascii="宋体" w:hAnsi="宋体" w:eastAsia="宋体" w:cs="宋体"/>
          <w:b/>
          <w:color w:val="auto"/>
          <w:kern w:val="0"/>
          <w:sz w:val="32"/>
          <w:szCs w:val="32"/>
          <w:highlight w:val="none"/>
        </w:rPr>
      </w:pPr>
    </w:p>
    <w:p w14:paraId="7FA183EF">
      <w:pPr>
        <w:snapToGrid w:val="0"/>
        <w:spacing w:line="360" w:lineRule="auto"/>
        <w:ind w:right="480"/>
        <w:jc w:val="center"/>
        <w:rPr>
          <w:rFonts w:hint="eastAsia" w:ascii="宋体" w:hAnsi="宋体" w:eastAsia="宋体" w:cs="宋体"/>
          <w:b/>
          <w:color w:val="auto"/>
          <w:kern w:val="0"/>
          <w:sz w:val="32"/>
          <w:szCs w:val="32"/>
          <w:highlight w:val="none"/>
        </w:rPr>
      </w:pPr>
    </w:p>
    <w:p w14:paraId="22A5CB7A">
      <w:pPr>
        <w:snapToGrid w:val="0"/>
        <w:spacing w:line="360" w:lineRule="auto"/>
        <w:ind w:right="480"/>
        <w:jc w:val="center"/>
        <w:rPr>
          <w:rFonts w:hint="eastAsia" w:ascii="宋体" w:hAnsi="宋体" w:eastAsia="宋体" w:cs="宋体"/>
          <w:b/>
          <w:color w:val="auto"/>
          <w:kern w:val="0"/>
          <w:sz w:val="32"/>
          <w:szCs w:val="32"/>
          <w:highlight w:val="none"/>
        </w:rPr>
      </w:pPr>
    </w:p>
    <w:p w14:paraId="1B032316">
      <w:pPr>
        <w:snapToGrid w:val="0"/>
        <w:spacing w:line="360" w:lineRule="auto"/>
        <w:ind w:right="480"/>
        <w:jc w:val="center"/>
        <w:rPr>
          <w:rFonts w:hint="eastAsia" w:ascii="宋体" w:hAnsi="宋体" w:eastAsia="宋体" w:cs="宋体"/>
          <w:b/>
          <w:color w:val="auto"/>
          <w:kern w:val="0"/>
          <w:sz w:val="32"/>
          <w:szCs w:val="32"/>
          <w:highlight w:val="none"/>
        </w:rPr>
      </w:pPr>
    </w:p>
    <w:p w14:paraId="0ADEEAA2">
      <w:pPr>
        <w:snapToGrid w:val="0"/>
        <w:spacing w:line="360" w:lineRule="auto"/>
        <w:ind w:right="480"/>
        <w:jc w:val="center"/>
        <w:rPr>
          <w:rFonts w:hint="eastAsia" w:ascii="宋体" w:hAnsi="宋体" w:eastAsia="宋体" w:cs="宋体"/>
          <w:b/>
          <w:color w:val="auto"/>
          <w:kern w:val="0"/>
          <w:sz w:val="32"/>
          <w:szCs w:val="32"/>
          <w:highlight w:val="none"/>
        </w:rPr>
      </w:pPr>
    </w:p>
    <w:p w14:paraId="34B045FE">
      <w:pPr>
        <w:snapToGrid w:val="0"/>
        <w:spacing w:line="360" w:lineRule="auto"/>
        <w:ind w:right="480"/>
        <w:jc w:val="center"/>
        <w:rPr>
          <w:rFonts w:hint="eastAsia" w:ascii="宋体" w:hAnsi="宋体" w:eastAsia="宋体" w:cs="宋体"/>
          <w:b/>
          <w:color w:val="auto"/>
          <w:kern w:val="0"/>
          <w:sz w:val="32"/>
          <w:szCs w:val="32"/>
          <w:highlight w:val="none"/>
        </w:rPr>
      </w:pPr>
    </w:p>
    <w:p w14:paraId="3B100845">
      <w:pPr>
        <w:snapToGrid w:val="0"/>
        <w:spacing w:line="360" w:lineRule="auto"/>
        <w:ind w:right="480"/>
        <w:jc w:val="center"/>
        <w:rPr>
          <w:rFonts w:hint="eastAsia" w:ascii="宋体" w:hAnsi="宋体" w:eastAsia="宋体" w:cs="宋体"/>
          <w:b/>
          <w:color w:val="auto"/>
          <w:kern w:val="0"/>
          <w:sz w:val="32"/>
          <w:szCs w:val="32"/>
          <w:highlight w:val="none"/>
        </w:rPr>
      </w:pPr>
    </w:p>
    <w:p w14:paraId="3BB63066">
      <w:pPr>
        <w:snapToGrid w:val="0"/>
        <w:spacing w:line="360" w:lineRule="auto"/>
        <w:ind w:right="480"/>
        <w:jc w:val="center"/>
        <w:rPr>
          <w:rFonts w:hint="eastAsia" w:ascii="宋体" w:hAnsi="宋体" w:eastAsia="宋体" w:cs="宋体"/>
          <w:b/>
          <w:color w:val="auto"/>
          <w:kern w:val="0"/>
          <w:sz w:val="32"/>
          <w:szCs w:val="32"/>
          <w:highlight w:val="none"/>
        </w:rPr>
      </w:pPr>
    </w:p>
    <w:p w14:paraId="0DD33A46">
      <w:pPr>
        <w:snapToGrid w:val="0"/>
        <w:spacing w:line="360" w:lineRule="auto"/>
        <w:ind w:right="480"/>
        <w:jc w:val="center"/>
        <w:rPr>
          <w:rFonts w:hint="eastAsia" w:ascii="宋体" w:hAnsi="宋体" w:eastAsia="宋体" w:cs="宋体"/>
          <w:b/>
          <w:color w:val="auto"/>
          <w:kern w:val="0"/>
          <w:sz w:val="32"/>
          <w:szCs w:val="32"/>
          <w:highlight w:val="none"/>
        </w:rPr>
      </w:pPr>
    </w:p>
    <w:p w14:paraId="675C2FB2">
      <w:pPr>
        <w:snapToGrid w:val="0"/>
        <w:spacing w:line="360" w:lineRule="auto"/>
        <w:ind w:right="480"/>
        <w:jc w:val="center"/>
        <w:rPr>
          <w:rFonts w:hint="eastAsia" w:ascii="宋体" w:hAnsi="宋体" w:eastAsia="宋体" w:cs="宋体"/>
          <w:b/>
          <w:color w:val="auto"/>
          <w:kern w:val="0"/>
          <w:sz w:val="32"/>
          <w:szCs w:val="32"/>
          <w:highlight w:val="none"/>
        </w:rPr>
      </w:pPr>
    </w:p>
    <w:p w14:paraId="32DF91A6">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678D31B2">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4AEF8DE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377F054A">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kern w:val="0"/>
          <w:sz w:val="24"/>
          <w:highlight w:val="none"/>
          <w:lang w:val="en-US" w:eastAsia="zh-CN"/>
        </w:rPr>
        <w:t>建德市寿昌镇人民政府2025年寿昌初级中学改扩建-艺体楼设备采购项目</w:t>
      </w:r>
      <w:r>
        <w:rPr>
          <w:rFonts w:hint="eastAsia" w:ascii="宋体" w:hAnsi="宋体" w:eastAsia="宋体" w:cs="宋体"/>
          <w:color w:val="auto"/>
          <w:kern w:val="0"/>
          <w:sz w:val="24"/>
          <w:highlight w:val="none"/>
          <w:lang w:val="zh-CN"/>
        </w:rPr>
        <w:t>【招标编号：</w:t>
      </w:r>
      <w:r>
        <w:rPr>
          <w:rFonts w:hint="eastAsia" w:ascii="宋体" w:hAnsi="宋体" w:cs="宋体"/>
          <w:color w:val="auto"/>
          <w:kern w:val="0"/>
          <w:sz w:val="24"/>
          <w:highlight w:val="none"/>
          <w:lang w:val="en-US" w:eastAsia="zh-CN"/>
        </w:rPr>
        <w:t>JD2025BF-067</w:t>
      </w:r>
      <w:r>
        <w:rPr>
          <w:rFonts w:hint="eastAsia" w:ascii="宋体" w:hAnsi="宋体" w:eastAsia="宋体" w:cs="宋体"/>
          <w:color w:val="auto"/>
          <w:kern w:val="0"/>
          <w:sz w:val="24"/>
          <w:highlight w:val="none"/>
          <w:lang w:val="zh-CN"/>
        </w:rPr>
        <w:t>】的实施。</w:t>
      </w:r>
    </w:p>
    <w:p w14:paraId="71ECC9CE">
      <w:pPr>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50C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3502505">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417" w:type="dxa"/>
            <w:vAlign w:val="center"/>
          </w:tcPr>
          <w:p w14:paraId="42F3A75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843" w:type="dxa"/>
          </w:tcPr>
          <w:p w14:paraId="3BD755B4">
            <w:pPr>
              <w:spacing w:line="360" w:lineRule="auto"/>
              <w:jc w:val="center"/>
              <w:rPr>
                <w:rFonts w:hint="eastAsia" w:ascii="宋体" w:hAnsi="宋体" w:eastAsia="宋体" w:cs="宋体"/>
                <w:b/>
                <w:color w:val="auto"/>
                <w:sz w:val="24"/>
                <w:highlight w:val="none"/>
              </w:rPr>
            </w:pPr>
          </w:p>
          <w:p w14:paraId="5E0B9648">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3118" w:type="dxa"/>
            <w:vAlign w:val="center"/>
          </w:tcPr>
          <w:p w14:paraId="43F3FA7D">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993" w:type="dxa"/>
            <w:vAlign w:val="center"/>
          </w:tcPr>
          <w:p w14:paraId="797C388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559" w:type="dxa"/>
            <w:vAlign w:val="center"/>
          </w:tcPr>
          <w:p w14:paraId="5D2664D8">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单价</w:t>
            </w:r>
          </w:p>
        </w:tc>
        <w:tc>
          <w:tcPr>
            <w:tcW w:w="1984" w:type="dxa"/>
            <w:vAlign w:val="center"/>
          </w:tcPr>
          <w:p w14:paraId="18E3B729">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合计</w:t>
            </w:r>
          </w:p>
        </w:tc>
        <w:tc>
          <w:tcPr>
            <w:tcW w:w="3119" w:type="dxa"/>
            <w:vAlign w:val="center"/>
          </w:tcPr>
          <w:p w14:paraId="7D4F99D1">
            <w:pPr>
              <w:spacing w:line="360" w:lineRule="auto"/>
              <w:jc w:val="center"/>
              <w:rPr>
                <w:rFonts w:hint="eastAsia" w:ascii="宋体" w:hAnsi="宋体" w:eastAsia="宋体" w:cs="宋体"/>
                <w:b/>
                <w:color w:val="auto"/>
                <w:sz w:val="24"/>
                <w:highlight w:val="none"/>
              </w:rPr>
            </w:pPr>
          </w:p>
          <w:p w14:paraId="5759F246">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备注（如果有）</w:t>
            </w:r>
          </w:p>
          <w:p w14:paraId="47A62FD4">
            <w:pPr>
              <w:spacing w:line="360" w:lineRule="auto"/>
              <w:jc w:val="center"/>
              <w:rPr>
                <w:rFonts w:hint="eastAsia" w:ascii="宋体" w:hAnsi="宋体" w:eastAsia="宋体" w:cs="宋体"/>
                <w:b/>
                <w:color w:val="auto"/>
                <w:sz w:val="24"/>
                <w:highlight w:val="none"/>
              </w:rPr>
            </w:pPr>
          </w:p>
        </w:tc>
      </w:tr>
      <w:tr w14:paraId="410B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5272AD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417" w:type="dxa"/>
            <w:vAlign w:val="center"/>
          </w:tcPr>
          <w:p w14:paraId="6F7CEBA1">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0E19E200">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307FBDED">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233CC0E2">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6D2FD595">
            <w:pPr>
              <w:spacing w:line="360" w:lineRule="auto"/>
              <w:jc w:val="center"/>
              <w:rPr>
                <w:rFonts w:hint="eastAsia" w:ascii="宋体" w:hAnsi="宋体" w:eastAsia="宋体" w:cs="宋体"/>
                <w:color w:val="auto"/>
                <w:sz w:val="24"/>
                <w:highlight w:val="none"/>
              </w:rPr>
            </w:pPr>
          </w:p>
        </w:tc>
        <w:tc>
          <w:tcPr>
            <w:tcW w:w="1984" w:type="dxa"/>
            <w:vAlign w:val="center"/>
          </w:tcPr>
          <w:p w14:paraId="650BBE2A">
            <w:pPr>
              <w:spacing w:line="360" w:lineRule="auto"/>
              <w:jc w:val="center"/>
              <w:rPr>
                <w:rFonts w:hint="eastAsia" w:ascii="宋体" w:hAnsi="宋体" w:eastAsia="宋体" w:cs="宋体"/>
                <w:color w:val="auto"/>
                <w:sz w:val="24"/>
                <w:highlight w:val="none"/>
              </w:rPr>
            </w:pPr>
          </w:p>
        </w:tc>
        <w:tc>
          <w:tcPr>
            <w:tcW w:w="3119" w:type="dxa"/>
            <w:vAlign w:val="center"/>
          </w:tcPr>
          <w:p w14:paraId="1FA5A1CF">
            <w:pPr>
              <w:spacing w:line="360" w:lineRule="auto"/>
              <w:jc w:val="center"/>
              <w:rPr>
                <w:rFonts w:hint="eastAsia" w:ascii="宋体" w:hAnsi="宋体" w:eastAsia="宋体" w:cs="宋体"/>
                <w:color w:val="auto"/>
                <w:sz w:val="24"/>
                <w:highlight w:val="none"/>
              </w:rPr>
            </w:pPr>
          </w:p>
        </w:tc>
      </w:tr>
      <w:tr w14:paraId="55C2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34BB5C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417" w:type="dxa"/>
            <w:vAlign w:val="center"/>
          </w:tcPr>
          <w:p w14:paraId="70D2A7F7">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2BEA4AA4">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4B152EB0">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5C7BF9B9">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37C2E3B7">
            <w:pPr>
              <w:spacing w:line="360" w:lineRule="auto"/>
              <w:jc w:val="center"/>
              <w:rPr>
                <w:rFonts w:hint="eastAsia" w:ascii="宋体" w:hAnsi="宋体" w:eastAsia="宋体" w:cs="宋体"/>
                <w:color w:val="auto"/>
                <w:sz w:val="24"/>
                <w:highlight w:val="none"/>
              </w:rPr>
            </w:pPr>
          </w:p>
        </w:tc>
        <w:tc>
          <w:tcPr>
            <w:tcW w:w="1984" w:type="dxa"/>
            <w:vAlign w:val="center"/>
          </w:tcPr>
          <w:p w14:paraId="2E2B4CA9">
            <w:pPr>
              <w:spacing w:line="360" w:lineRule="auto"/>
              <w:jc w:val="center"/>
              <w:rPr>
                <w:rFonts w:hint="eastAsia" w:ascii="宋体" w:hAnsi="宋体" w:eastAsia="宋体" w:cs="宋体"/>
                <w:color w:val="auto"/>
                <w:sz w:val="24"/>
                <w:highlight w:val="none"/>
              </w:rPr>
            </w:pPr>
          </w:p>
        </w:tc>
        <w:tc>
          <w:tcPr>
            <w:tcW w:w="3119" w:type="dxa"/>
            <w:vAlign w:val="center"/>
          </w:tcPr>
          <w:p w14:paraId="71735491">
            <w:pPr>
              <w:spacing w:line="360" w:lineRule="auto"/>
              <w:jc w:val="center"/>
              <w:rPr>
                <w:rFonts w:hint="eastAsia" w:ascii="宋体" w:hAnsi="宋体" w:eastAsia="宋体" w:cs="宋体"/>
                <w:color w:val="auto"/>
                <w:sz w:val="24"/>
                <w:highlight w:val="none"/>
              </w:rPr>
            </w:pPr>
          </w:p>
        </w:tc>
      </w:tr>
      <w:tr w14:paraId="7B94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FA3B19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417" w:type="dxa"/>
            <w:vAlign w:val="center"/>
          </w:tcPr>
          <w:p w14:paraId="682018A9">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03E6864B">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3014A2B7">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296B8000">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7EDBC82E">
            <w:pPr>
              <w:spacing w:line="360" w:lineRule="auto"/>
              <w:jc w:val="center"/>
              <w:rPr>
                <w:rFonts w:hint="eastAsia" w:ascii="宋体" w:hAnsi="宋体" w:eastAsia="宋体" w:cs="宋体"/>
                <w:color w:val="auto"/>
                <w:sz w:val="24"/>
                <w:highlight w:val="none"/>
              </w:rPr>
            </w:pPr>
          </w:p>
        </w:tc>
        <w:tc>
          <w:tcPr>
            <w:tcW w:w="1984" w:type="dxa"/>
            <w:vAlign w:val="center"/>
          </w:tcPr>
          <w:p w14:paraId="43529839">
            <w:pPr>
              <w:spacing w:line="360" w:lineRule="auto"/>
              <w:jc w:val="center"/>
              <w:rPr>
                <w:rFonts w:hint="eastAsia" w:ascii="宋体" w:hAnsi="宋体" w:eastAsia="宋体" w:cs="宋体"/>
                <w:color w:val="auto"/>
                <w:sz w:val="24"/>
                <w:highlight w:val="none"/>
              </w:rPr>
            </w:pPr>
          </w:p>
        </w:tc>
        <w:tc>
          <w:tcPr>
            <w:tcW w:w="3119" w:type="dxa"/>
            <w:vAlign w:val="center"/>
          </w:tcPr>
          <w:p w14:paraId="3B7471AD">
            <w:pPr>
              <w:spacing w:line="360" w:lineRule="auto"/>
              <w:jc w:val="center"/>
              <w:rPr>
                <w:rFonts w:hint="eastAsia" w:ascii="宋体" w:hAnsi="宋体" w:eastAsia="宋体" w:cs="宋体"/>
                <w:color w:val="auto"/>
                <w:sz w:val="24"/>
                <w:highlight w:val="none"/>
              </w:rPr>
            </w:pPr>
          </w:p>
        </w:tc>
      </w:tr>
      <w:tr w14:paraId="06B6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4CA39F3">
            <w:pPr>
              <w:spacing w:line="360" w:lineRule="auto"/>
              <w:jc w:val="center"/>
              <w:rPr>
                <w:rFonts w:hint="eastAsia" w:ascii="宋体" w:hAnsi="宋体" w:eastAsia="宋体" w:cs="宋体"/>
                <w:color w:val="auto"/>
                <w:sz w:val="24"/>
                <w:highlight w:val="none"/>
              </w:rPr>
            </w:pPr>
          </w:p>
        </w:tc>
        <w:tc>
          <w:tcPr>
            <w:tcW w:w="1417" w:type="dxa"/>
            <w:vAlign w:val="center"/>
          </w:tcPr>
          <w:p w14:paraId="6A1CAABC">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203CF90C">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44DCA571">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21C6FA91">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1FE4B3C2">
            <w:pPr>
              <w:spacing w:line="360" w:lineRule="auto"/>
              <w:jc w:val="center"/>
              <w:rPr>
                <w:rFonts w:hint="eastAsia" w:ascii="宋体" w:hAnsi="宋体" w:eastAsia="宋体" w:cs="宋体"/>
                <w:color w:val="auto"/>
                <w:sz w:val="24"/>
                <w:highlight w:val="none"/>
              </w:rPr>
            </w:pPr>
          </w:p>
        </w:tc>
        <w:tc>
          <w:tcPr>
            <w:tcW w:w="1984" w:type="dxa"/>
            <w:vAlign w:val="center"/>
          </w:tcPr>
          <w:p w14:paraId="284B49B7">
            <w:pPr>
              <w:spacing w:line="360" w:lineRule="auto"/>
              <w:jc w:val="center"/>
              <w:rPr>
                <w:rFonts w:hint="eastAsia" w:ascii="宋体" w:hAnsi="宋体" w:eastAsia="宋体" w:cs="宋体"/>
                <w:color w:val="auto"/>
                <w:sz w:val="24"/>
                <w:highlight w:val="none"/>
              </w:rPr>
            </w:pPr>
          </w:p>
        </w:tc>
        <w:tc>
          <w:tcPr>
            <w:tcW w:w="3119" w:type="dxa"/>
            <w:vAlign w:val="center"/>
          </w:tcPr>
          <w:p w14:paraId="736678D1">
            <w:pPr>
              <w:spacing w:line="360" w:lineRule="auto"/>
              <w:jc w:val="center"/>
              <w:rPr>
                <w:rFonts w:hint="eastAsia" w:ascii="宋体" w:hAnsi="宋体" w:eastAsia="宋体" w:cs="宋体"/>
                <w:color w:val="auto"/>
                <w:sz w:val="24"/>
                <w:highlight w:val="none"/>
              </w:rPr>
            </w:pPr>
          </w:p>
        </w:tc>
      </w:tr>
      <w:tr w14:paraId="4088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8A8A2EF">
            <w:pPr>
              <w:spacing w:line="360" w:lineRule="auto"/>
              <w:jc w:val="center"/>
              <w:rPr>
                <w:rFonts w:hint="eastAsia" w:ascii="宋体" w:hAnsi="宋体" w:eastAsia="宋体" w:cs="宋体"/>
                <w:color w:val="auto"/>
                <w:sz w:val="24"/>
                <w:highlight w:val="none"/>
              </w:rPr>
            </w:pPr>
          </w:p>
        </w:tc>
        <w:tc>
          <w:tcPr>
            <w:tcW w:w="1417" w:type="dxa"/>
            <w:vAlign w:val="center"/>
          </w:tcPr>
          <w:p w14:paraId="162365D6">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5C8F019D">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48805C45">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132D53CE">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5EF1465B">
            <w:pPr>
              <w:spacing w:line="360" w:lineRule="auto"/>
              <w:jc w:val="center"/>
              <w:rPr>
                <w:rFonts w:hint="eastAsia" w:ascii="宋体" w:hAnsi="宋体" w:eastAsia="宋体" w:cs="宋体"/>
                <w:color w:val="auto"/>
                <w:sz w:val="24"/>
                <w:highlight w:val="none"/>
              </w:rPr>
            </w:pPr>
          </w:p>
        </w:tc>
        <w:tc>
          <w:tcPr>
            <w:tcW w:w="1984" w:type="dxa"/>
            <w:vAlign w:val="center"/>
          </w:tcPr>
          <w:p w14:paraId="1192A4A5">
            <w:pPr>
              <w:spacing w:line="360" w:lineRule="auto"/>
              <w:jc w:val="center"/>
              <w:rPr>
                <w:rFonts w:hint="eastAsia" w:ascii="宋体" w:hAnsi="宋体" w:eastAsia="宋体" w:cs="宋体"/>
                <w:color w:val="auto"/>
                <w:sz w:val="24"/>
                <w:highlight w:val="none"/>
              </w:rPr>
            </w:pPr>
          </w:p>
        </w:tc>
        <w:tc>
          <w:tcPr>
            <w:tcW w:w="3119" w:type="dxa"/>
            <w:vAlign w:val="center"/>
          </w:tcPr>
          <w:p w14:paraId="3E425B22">
            <w:pPr>
              <w:spacing w:line="360" w:lineRule="auto"/>
              <w:jc w:val="center"/>
              <w:rPr>
                <w:rFonts w:hint="eastAsia" w:ascii="宋体" w:hAnsi="宋体" w:eastAsia="宋体" w:cs="宋体"/>
                <w:color w:val="auto"/>
                <w:sz w:val="24"/>
                <w:highlight w:val="none"/>
              </w:rPr>
            </w:pPr>
          </w:p>
        </w:tc>
      </w:tr>
      <w:tr w14:paraId="779C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56927C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投标报价（小写）</w:t>
            </w:r>
          </w:p>
        </w:tc>
        <w:tc>
          <w:tcPr>
            <w:tcW w:w="7655" w:type="dxa"/>
            <w:gridSpan w:val="4"/>
            <w:vAlign w:val="center"/>
          </w:tcPr>
          <w:p w14:paraId="33562CDB">
            <w:pPr>
              <w:spacing w:line="360" w:lineRule="auto"/>
              <w:jc w:val="center"/>
              <w:rPr>
                <w:rFonts w:hint="eastAsia" w:ascii="宋体" w:hAnsi="宋体" w:eastAsia="宋体" w:cs="宋体"/>
                <w:color w:val="auto"/>
                <w:sz w:val="24"/>
                <w:highlight w:val="none"/>
              </w:rPr>
            </w:pPr>
          </w:p>
        </w:tc>
      </w:tr>
      <w:tr w14:paraId="6235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BAB0EA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投标报价（大写）</w:t>
            </w:r>
          </w:p>
        </w:tc>
        <w:tc>
          <w:tcPr>
            <w:tcW w:w="7655" w:type="dxa"/>
            <w:gridSpan w:val="4"/>
            <w:vAlign w:val="center"/>
          </w:tcPr>
          <w:p w14:paraId="060546D4">
            <w:pPr>
              <w:spacing w:line="360" w:lineRule="auto"/>
              <w:jc w:val="center"/>
              <w:rPr>
                <w:rFonts w:hint="eastAsia" w:ascii="宋体" w:hAnsi="宋体" w:eastAsia="宋体" w:cs="宋体"/>
                <w:color w:val="auto"/>
                <w:sz w:val="24"/>
                <w:highlight w:val="none"/>
              </w:rPr>
            </w:pPr>
          </w:p>
        </w:tc>
      </w:tr>
    </w:tbl>
    <w:p w14:paraId="7E31C29C">
      <w:pPr>
        <w:snapToGrid w:val="0"/>
        <w:spacing w:line="360" w:lineRule="auto"/>
        <w:ind w:left="480"/>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69956943">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1、投标人需按本表格式填写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color w:val="auto"/>
          <w:kern w:val="0"/>
          <w:sz w:val="24"/>
          <w:highlight w:val="none"/>
          <w:lang w:val="zh-CN"/>
        </w:rPr>
        <w:t>。</w:t>
      </w:r>
    </w:p>
    <w:p w14:paraId="0394A490">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b/>
          <w:color w:val="auto"/>
          <w:kern w:val="0"/>
          <w:sz w:val="24"/>
          <w:highlight w:val="none"/>
          <w:lang w:val="zh-CN"/>
        </w:rPr>
        <w:t>；采购内容未包含在《开标一览表（报价表）》名称栏中，投标人不能作出合理解释的，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投标文件含有采购人不能接受的附加条件的，投标无效。</w:t>
      </w:r>
    </w:p>
    <w:p w14:paraId="19B92F43">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31811DDD">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zh-CN"/>
        </w:rPr>
        <w:t>4、</w:t>
      </w:r>
      <w:r>
        <w:rPr>
          <w:rFonts w:hint="eastAsia" w:ascii="宋体" w:hAnsi="宋体" w:eastAsia="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FBBDE82">
      <w:pPr>
        <w:spacing w:line="360" w:lineRule="auto"/>
        <w:ind w:firstLine="482" w:firstLineChars="200"/>
        <w:rPr>
          <w:rFonts w:hint="eastAsia" w:ascii="宋体" w:hAnsi="宋体" w:eastAsia="宋体" w:cs="宋体"/>
          <w:b/>
          <w:color w:val="auto"/>
          <w:kern w:val="0"/>
          <w:sz w:val="24"/>
          <w:highlight w:val="none"/>
        </w:rPr>
      </w:pPr>
    </w:p>
    <w:p w14:paraId="40641DBE">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318096A6">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46D53046">
      <w:pPr>
        <w:pStyle w:val="691"/>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550" w:name="_Hlk101259491"/>
      <w:r>
        <w:rPr>
          <w:rFonts w:hint="eastAsia" w:ascii="宋体" w:hAnsi="宋体" w:eastAsia="宋体" w:cs="宋体"/>
          <w:color w:val="auto"/>
          <w:sz w:val="32"/>
          <w:szCs w:val="32"/>
          <w:highlight w:val="none"/>
        </w:rPr>
        <w:t>（如果有）</w:t>
      </w:r>
      <w:bookmarkEnd w:id="550"/>
    </w:p>
    <w:p w14:paraId="2D28ACB8">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30518D8">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highlight w:val="none"/>
        </w:rPr>
      </w:pPr>
    </w:p>
    <w:p w14:paraId="2217CA06">
      <w:pPr>
        <w:spacing w:line="360" w:lineRule="auto"/>
        <w:ind w:right="420" w:firstLine="3614" w:firstLineChars="1000"/>
        <w:rPr>
          <w:rFonts w:hint="eastAsia" w:ascii="宋体" w:hAnsi="宋体" w:eastAsia="宋体" w:cs="宋体"/>
          <w:b/>
          <w:color w:val="auto"/>
          <w:kern w:val="0"/>
          <w:sz w:val="36"/>
          <w:szCs w:val="36"/>
          <w:highlight w:val="none"/>
        </w:rPr>
      </w:pPr>
    </w:p>
    <w:p w14:paraId="116F274A">
      <w:pPr>
        <w:spacing w:line="360" w:lineRule="auto"/>
        <w:ind w:right="420" w:firstLine="3614" w:firstLineChars="1000"/>
        <w:rPr>
          <w:rFonts w:hint="eastAsia" w:ascii="宋体" w:hAnsi="宋体" w:eastAsia="宋体" w:cs="宋体"/>
          <w:b/>
          <w:color w:val="auto"/>
          <w:kern w:val="0"/>
          <w:sz w:val="36"/>
          <w:szCs w:val="36"/>
          <w:highlight w:val="none"/>
        </w:rPr>
      </w:pPr>
    </w:p>
    <w:p w14:paraId="092277BE">
      <w:pPr>
        <w:spacing w:line="360" w:lineRule="auto"/>
        <w:ind w:right="420" w:firstLine="3614" w:firstLineChars="1000"/>
        <w:rPr>
          <w:rFonts w:hint="eastAsia" w:ascii="宋体" w:hAnsi="宋体" w:eastAsia="宋体" w:cs="宋体"/>
          <w:b/>
          <w:color w:val="auto"/>
          <w:kern w:val="0"/>
          <w:sz w:val="36"/>
          <w:szCs w:val="36"/>
          <w:highlight w:val="none"/>
        </w:rPr>
      </w:pPr>
    </w:p>
    <w:p w14:paraId="5FB1BF47">
      <w:pPr>
        <w:spacing w:line="360" w:lineRule="auto"/>
        <w:ind w:right="420" w:firstLine="3614" w:firstLineChars="1000"/>
        <w:rPr>
          <w:rFonts w:hint="eastAsia" w:ascii="宋体" w:hAnsi="宋体" w:eastAsia="宋体" w:cs="宋体"/>
          <w:b/>
          <w:color w:val="auto"/>
          <w:kern w:val="0"/>
          <w:sz w:val="36"/>
          <w:szCs w:val="36"/>
          <w:highlight w:val="none"/>
        </w:rPr>
      </w:pPr>
    </w:p>
    <w:p w14:paraId="0F336721">
      <w:pPr>
        <w:spacing w:line="360" w:lineRule="auto"/>
        <w:ind w:right="420" w:firstLine="3614" w:firstLineChars="1000"/>
        <w:rPr>
          <w:rFonts w:hint="eastAsia" w:ascii="宋体" w:hAnsi="宋体" w:eastAsia="宋体" w:cs="宋体"/>
          <w:b/>
          <w:color w:val="auto"/>
          <w:kern w:val="0"/>
          <w:sz w:val="36"/>
          <w:szCs w:val="36"/>
          <w:highlight w:val="none"/>
        </w:rPr>
      </w:pPr>
    </w:p>
    <w:p w14:paraId="09D0234D">
      <w:pPr>
        <w:spacing w:line="360" w:lineRule="auto"/>
        <w:ind w:right="420" w:firstLine="3614" w:firstLineChars="1000"/>
        <w:rPr>
          <w:rFonts w:hint="eastAsia" w:ascii="宋体" w:hAnsi="宋体" w:eastAsia="宋体" w:cs="宋体"/>
          <w:b/>
          <w:color w:val="auto"/>
          <w:kern w:val="0"/>
          <w:sz w:val="36"/>
          <w:szCs w:val="36"/>
          <w:highlight w:val="none"/>
        </w:rPr>
      </w:pPr>
    </w:p>
    <w:p w14:paraId="35EEC8FC">
      <w:pPr>
        <w:spacing w:line="360" w:lineRule="auto"/>
        <w:ind w:right="420" w:firstLine="3614" w:firstLineChars="1000"/>
        <w:rPr>
          <w:rFonts w:hint="eastAsia" w:ascii="宋体" w:hAnsi="宋体" w:eastAsia="宋体" w:cs="宋体"/>
          <w:b/>
          <w:color w:val="auto"/>
          <w:kern w:val="0"/>
          <w:sz w:val="36"/>
          <w:szCs w:val="36"/>
          <w:highlight w:val="none"/>
        </w:rPr>
      </w:pPr>
    </w:p>
    <w:p w14:paraId="5F2356FA">
      <w:pPr>
        <w:spacing w:line="360" w:lineRule="auto"/>
        <w:ind w:right="420" w:firstLine="3614" w:firstLineChars="1000"/>
        <w:rPr>
          <w:rFonts w:hint="eastAsia" w:ascii="宋体" w:hAnsi="宋体" w:eastAsia="宋体" w:cs="宋体"/>
          <w:b/>
          <w:color w:val="auto"/>
          <w:kern w:val="0"/>
          <w:sz w:val="36"/>
          <w:szCs w:val="36"/>
          <w:highlight w:val="none"/>
        </w:rPr>
      </w:pPr>
    </w:p>
    <w:p w14:paraId="164CF8B7">
      <w:pPr>
        <w:spacing w:line="360" w:lineRule="auto"/>
        <w:ind w:right="420" w:firstLine="3614" w:firstLineChars="1000"/>
        <w:rPr>
          <w:rFonts w:hint="eastAsia" w:ascii="宋体" w:hAnsi="宋体" w:eastAsia="宋体" w:cs="宋体"/>
          <w:b/>
          <w:color w:val="auto"/>
          <w:kern w:val="0"/>
          <w:sz w:val="36"/>
          <w:szCs w:val="36"/>
          <w:highlight w:val="none"/>
        </w:rPr>
      </w:pPr>
    </w:p>
    <w:p w14:paraId="3B03E700">
      <w:pPr>
        <w:spacing w:line="360" w:lineRule="auto"/>
        <w:ind w:right="420" w:firstLine="3614" w:firstLineChars="1000"/>
        <w:rPr>
          <w:rFonts w:hint="eastAsia" w:ascii="宋体" w:hAnsi="宋体" w:eastAsia="宋体" w:cs="宋体"/>
          <w:b/>
          <w:color w:val="auto"/>
          <w:kern w:val="0"/>
          <w:sz w:val="36"/>
          <w:szCs w:val="36"/>
          <w:highlight w:val="none"/>
        </w:rPr>
      </w:pPr>
    </w:p>
    <w:p w14:paraId="4699A463">
      <w:pPr>
        <w:spacing w:line="360" w:lineRule="auto"/>
        <w:ind w:right="420" w:firstLine="3614" w:firstLineChars="1000"/>
        <w:rPr>
          <w:rFonts w:hint="eastAsia" w:ascii="宋体" w:hAnsi="宋体" w:eastAsia="宋体" w:cs="宋体"/>
          <w:b/>
          <w:color w:val="auto"/>
          <w:kern w:val="0"/>
          <w:sz w:val="36"/>
          <w:szCs w:val="36"/>
          <w:highlight w:val="none"/>
        </w:rPr>
      </w:pPr>
    </w:p>
    <w:p w14:paraId="31D628E1">
      <w:pPr>
        <w:spacing w:line="360" w:lineRule="auto"/>
        <w:ind w:right="420" w:firstLine="3614" w:firstLineChars="1000"/>
        <w:rPr>
          <w:rFonts w:hint="eastAsia" w:ascii="宋体" w:hAnsi="宋体" w:eastAsia="宋体" w:cs="宋体"/>
          <w:b/>
          <w:color w:val="auto"/>
          <w:kern w:val="0"/>
          <w:sz w:val="36"/>
          <w:szCs w:val="36"/>
          <w:highlight w:val="none"/>
        </w:rPr>
      </w:pPr>
    </w:p>
    <w:p w14:paraId="64AC8E48">
      <w:pPr>
        <w:spacing w:line="360" w:lineRule="auto"/>
        <w:ind w:right="420" w:firstLine="3614" w:firstLineChars="1000"/>
        <w:rPr>
          <w:rFonts w:hint="eastAsia" w:ascii="宋体" w:hAnsi="宋体" w:eastAsia="宋体" w:cs="宋体"/>
          <w:b/>
          <w:color w:val="auto"/>
          <w:kern w:val="0"/>
          <w:sz w:val="36"/>
          <w:szCs w:val="36"/>
          <w:highlight w:val="none"/>
        </w:rPr>
      </w:pPr>
    </w:p>
    <w:p w14:paraId="3F80E46F">
      <w:pPr>
        <w:spacing w:line="360" w:lineRule="auto"/>
        <w:ind w:right="420" w:firstLine="3614" w:firstLineChars="1000"/>
        <w:rPr>
          <w:rFonts w:hint="eastAsia" w:ascii="宋体" w:hAnsi="宋体" w:eastAsia="宋体" w:cs="宋体"/>
          <w:b/>
          <w:color w:val="auto"/>
          <w:kern w:val="0"/>
          <w:sz w:val="36"/>
          <w:szCs w:val="36"/>
          <w:highlight w:val="none"/>
        </w:rPr>
      </w:pPr>
    </w:p>
    <w:p w14:paraId="7DBCDBBE">
      <w:pPr>
        <w:spacing w:line="360" w:lineRule="auto"/>
        <w:ind w:right="420" w:firstLine="3614" w:firstLineChars="1000"/>
        <w:rPr>
          <w:rFonts w:hint="eastAsia" w:ascii="宋体" w:hAnsi="宋体" w:eastAsia="宋体" w:cs="宋体"/>
          <w:b/>
          <w:color w:val="auto"/>
          <w:kern w:val="0"/>
          <w:sz w:val="36"/>
          <w:szCs w:val="36"/>
          <w:highlight w:val="none"/>
        </w:rPr>
      </w:pPr>
    </w:p>
    <w:p w14:paraId="718A3400">
      <w:pPr>
        <w:spacing w:line="360" w:lineRule="auto"/>
        <w:ind w:right="420" w:firstLine="3614" w:firstLineChars="1000"/>
        <w:rPr>
          <w:rFonts w:hint="eastAsia" w:ascii="宋体" w:hAnsi="宋体" w:eastAsia="宋体" w:cs="宋体"/>
          <w:b/>
          <w:color w:val="auto"/>
          <w:kern w:val="0"/>
          <w:sz w:val="36"/>
          <w:szCs w:val="36"/>
          <w:highlight w:val="none"/>
        </w:rPr>
      </w:pPr>
    </w:p>
    <w:p w14:paraId="396EC393">
      <w:pPr>
        <w:pStyle w:val="2"/>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bookmarkStart w:id="551" w:name="_Toc465665161"/>
      <w:r>
        <w:rPr>
          <w:rFonts w:hint="eastAsia" w:ascii="宋体" w:hAnsi="宋体" w:eastAsia="宋体" w:cs="宋体"/>
          <w:color w:val="auto"/>
          <w:highlight w:val="none"/>
        </w:rPr>
        <w:t>附件</w:t>
      </w:r>
      <w:bookmarkEnd w:id="551"/>
    </w:p>
    <w:p w14:paraId="0628B08B">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p>
    <w:p w14:paraId="705ECEFC">
      <w:pPr>
        <w:spacing w:line="360" w:lineRule="auto"/>
        <w:jc w:val="center"/>
        <w:rPr>
          <w:rFonts w:hint="eastAsia" w:ascii="宋体" w:hAnsi="宋体" w:eastAsia="宋体" w:cs="宋体"/>
          <w:b/>
          <w:color w:val="auto"/>
          <w:spacing w:val="6"/>
          <w:sz w:val="32"/>
          <w:szCs w:val="32"/>
          <w:highlight w:val="none"/>
        </w:rPr>
      </w:pPr>
      <w:bookmarkStart w:id="552" w:name="OLE_LINK14"/>
      <w:bookmarkStart w:id="553" w:name="OLE_LINK13"/>
      <w:r>
        <w:rPr>
          <w:rFonts w:hint="eastAsia" w:ascii="宋体" w:hAnsi="宋体" w:eastAsia="宋体" w:cs="宋体"/>
          <w:b/>
          <w:color w:val="auto"/>
          <w:spacing w:val="6"/>
          <w:sz w:val="32"/>
          <w:szCs w:val="32"/>
          <w:highlight w:val="none"/>
        </w:rPr>
        <w:t>残疾人福利性单位声明函</w:t>
      </w:r>
    </w:p>
    <w:bookmarkEnd w:id="552"/>
    <w:bookmarkEnd w:id="553"/>
    <w:p w14:paraId="35B8B442">
      <w:pPr>
        <w:spacing w:line="360" w:lineRule="auto"/>
        <w:rPr>
          <w:rFonts w:hint="eastAsia" w:ascii="宋体" w:hAnsi="宋体" w:eastAsia="宋体" w:cs="宋体"/>
          <w:b/>
          <w:color w:val="auto"/>
          <w:spacing w:val="6"/>
          <w:sz w:val="30"/>
          <w:szCs w:val="30"/>
          <w:highlight w:val="none"/>
        </w:rPr>
      </w:pPr>
    </w:p>
    <w:p w14:paraId="527C91F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highlight w:val="none"/>
          <w:u w:val="single"/>
          <w:lang w:eastAsia="zh-CN"/>
        </w:rPr>
        <w:t>建德市寿昌镇人民政府</w:t>
      </w:r>
      <w:r>
        <w:rPr>
          <w:rFonts w:hint="eastAsia" w:ascii="宋体" w:hAnsi="宋体" w:eastAsia="宋体" w:cs="宋体"/>
          <w:color w:val="auto"/>
          <w:sz w:val="24"/>
          <w:highlight w:val="none"/>
        </w:rPr>
        <w:t>单位的</w:t>
      </w:r>
      <w:r>
        <w:rPr>
          <w:rFonts w:hint="eastAsia" w:ascii="宋体" w:hAnsi="宋体" w:cs="宋体"/>
          <w:color w:val="auto"/>
          <w:sz w:val="24"/>
          <w:highlight w:val="none"/>
          <w:u w:val="single"/>
          <w:lang w:val="en-US" w:eastAsia="zh-CN"/>
        </w:rPr>
        <w:t>建德市寿昌镇人民政府2025年寿昌初级中学改扩建-艺体楼设备采购项目</w:t>
      </w:r>
      <w:r>
        <w:rPr>
          <w:rFonts w:hint="eastAsia" w:ascii="宋体" w:hAnsi="宋体" w:eastAsia="宋体" w:cs="宋体"/>
          <w:color w:val="auto"/>
          <w:sz w:val="24"/>
          <w:highlight w:val="none"/>
        </w:rPr>
        <w:t>活动提供本单位制造的货物（由本单位承担工程/提供服务），或者提供其他残疾人福利性单位制造的货物（不包括使用非残疾人福利性单位注册商标的货物）。</w:t>
      </w:r>
    </w:p>
    <w:p w14:paraId="1C4CFE9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44C4B7A6">
      <w:pPr>
        <w:spacing w:line="360" w:lineRule="auto"/>
        <w:ind w:firstLine="480" w:firstLineChars="200"/>
        <w:rPr>
          <w:rFonts w:hint="eastAsia" w:ascii="宋体" w:hAnsi="宋体" w:eastAsia="宋体" w:cs="宋体"/>
          <w:color w:val="auto"/>
          <w:sz w:val="24"/>
          <w:highlight w:val="none"/>
        </w:rPr>
      </w:pPr>
    </w:p>
    <w:p w14:paraId="5D354CF6">
      <w:pPr>
        <w:spacing w:line="360" w:lineRule="auto"/>
        <w:ind w:firstLine="480" w:firstLineChars="200"/>
        <w:rPr>
          <w:rFonts w:hint="eastAsia" w:ascii="宋体" w:hAnsi="宋体" w:eastAsia="宋体" w:cs="宋体"/>
          <w:color w:val="auto"/>
          <w:sz w:val="24"/>
          <w:highlight w:val="none"/>
        </w:rPr>
      </w:pPr>
    </w:p>
    <w:p w14:paraId="547116FC">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14:paraId="118ECA57">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14:paraId="7E3F1D65">
      <w:pPr>
        <w:spacing w:line="360" w:lineRule="auto"/>
        <w:ind w:firstLine="480" w:firstLineChars="200"/>
        <w:rPr>
          <w:rFonts w:hint="eastAsia" w:ascii="宋体" w:hAnsi="宋体" w:eastAsia="宋体" w:cs="宋体"/>
          <w:color w:val="auto"/>
          <w:sz w:val="24"/>
          <w:highlight w:val="none"/>
        </w:rPr>
      </w:pPr>
    </w:p>
    <w:p w14:paraId="1B6946F6">
      <w:pPr>
        <w:spacing w:line="360" w:lineRule="auto"/>
        <w:ind w:firstLine="420" w:firstLineChars="200"/>
        <w:rPr>
          <w:rFonts w:hint="eastAsia" w:ascii="宋体" w:hAnsi="宋体" w:eastAsia="宋体" w:cs="宋体"/>
          <w:color w:val="auto"/>
          <w:highlight w:val="none"/>
        </w:rPr>
      </w:pPr>
    </w:p>
    <w:p w14:paraId="5170876F">
      <w:pPr>
        <w:spacing w:line="360" w:lineRule="auto"/>
        <w:ind w:firstLine="420" w:firstLineChars="200"/>
        <w:rPr>
          <w:rFonts w:hint="eastAsia" w:ascii="宋体" w:hAnsi="宋体" w:eastAsia="宋体" w:cs="宋体"/>
          <w:color w:val="auto"/>
          <w:highlight w:val="none"/>
        </w:rPr>
      </w:pPr>
    </w:p>
    <w:p w14:paraId="7395134D">
      <w:pPr>
        <w:spacing w:line="360" w:lineRule="auto"/>
        <w:ind w:firstLine="420" w:firstLineChars="200"/>
        <w:rPr>
          <w:rFonts w:hint="eastAsia" w:ascii="宋体" w:hAnsi="宋体" w:eastAsia="宋体" w:cs="宋体"/>
          <w:color w:val="auto"/>
          <w:highlight w:val="none"/>
        </w:rPr>
      </w:pPr>
    </w:p>
    <w:p w14:paraId="2B62DEAB">
      <w:pPr>
        <w:spacing w:line="360" w:lineRule="auto"/>
        <w:ind w:firstLine="420" w:firstLineChars="200"/>
        <w:rPr>
          <w:rFonts w:hint="eastAsia" w:ascii="宋体" w:hAnsi="宋体" w:eastAsia="宋体" w:cs="宋体"/>
          <w:color w:val="auto"/>
          <w:highlight w:val="none"/>
        </w:rPr>
      </w:pPr>
    </w:p>
    <w:p w14:paraId="31C3774C">
      <w:pPr>
        <w:spacing w:line="360" w:lineRule="auto"/>
        <w:rPr>
          <w:rFonts w:hint="eastAsia" w:ascii="宋体" w:hAnsi="宋体" w:eastAsia="宋体" w:cs="宋体"/>
          <w:b/>
          <w:color w:val="auto"/>
          <w:sz w:val="24"/>
          <w:highlight w:val="none"/>
        </w:rPr>
      </w:pPr>
    </w:p>
    <w:p w14:paraId="349E7B67">
      <w:pPr>
        <w:spacing w:line="360" w:lineRule="auto"/>
        <w:rPr>
          <w:rFonts w:hint="eastAsia" w:ascii="宋体" w:hAnsi="宋体" w:eastAsia="宋体" w:cs="宋体"/>
          <w:b/>
          <w:color w:val="auto"/>
          <w:sz w:val="24"/>
          <w:highlight w:val="none"/>
        </w:rPr>
      </w:pPr>
    </w:p>
    <w:p w14:paraId="0ABFE3DC">
      <w:pPr>
        <w:spacing w:line="360" w:lineRule="auto"/>
        <w:rPr>
          <w:rFonts w:hint="eastAsia" w:ascii="宋体" w:hAnsi="宋体" w:eastAsia="宋体" w:cs="宋体"/>
          <w:b/>
          <w:color w:val="auto"/>
          <w:sz w:val="24"/>
          <w:highlight w:val="none"/>
        </w:rPr>
      </w:pPr>
    </w:p>
    <w:p w14:paraId="76256DBB">
      <w:pPr>
        <w:spacing w:line="360" w:lineRule="auto"/>
        <w:rPr>
          <w:rFonts w:hint="eastAsia" w:ascii="宋体" w:hAnsi="宋体" w:eastAsia="宋体" w:cs="宋体"/>
          <w:b/>
          <w:color w:val="auto"/>
          <w:sz w:val="24"/>
          <w:highlight w:val="none"/>
        </w:rPr>
      </w:pPr>
    </w:p>
    <w:p w14:paraId="47B29978">
      <w:pPr>
        <w:spacing w:line="360" w:lineRule="auto"/>
        <w:rPr>
          <w:rFonts w:hint="eastAsia" w:ascii="宋体" w:hAnsi="宋体" w:eastAsia="宋体" w:cs="宋体"/>
          <w:b/>
          <w:color w:val="auto"/>
          <w:sz w:val="24"/>
          <w:highlight w:val="none"/>
        </w:rPr>
      </w:pPr>
    </w:p>
    <w:p w14:paraId="544ED2D4">
      <w:pPr>
        <w:spacing w:line="360" w:lineRule="auto"/>
        <w:rPr>
          <w:rFonts w:hint="eastAsia" w:ascii="宋体" w:hAnsi="宋体" w:eastAsia="宋体" w:cs="宋体"/>
          <w:b/>
          <w:color w:val="auto"/>
          <w:sz w:val="24"/>
          <w:highlight w:val="none"/>
        </w:rPr>
      </w:pPr>
    </w:p>
    <w:p w14:paraId="6FCD59EB">
      <w:pPr>
        <w:spacing w:line="360" w:lineRule="auto"/>
        <w:rPr>
          <w:rFonts w:hint="eastAsia" w:ascii="宋体" w:hAnsi="宋体" w:eastAsia="宋体" w:cs="宋体"/>
          <w:b/>
          <w:color w:val="auto"/>
          <w:sz w:val="24"/>
          <w:highlight w:val="none"/>
        </w:rPr>
      </w:pPr>
    </w:p>
    <w:p w14:paraId="488F3CE0">
      <w:pPr>
        <w:spacing w:line="360" w:lineRule="auto"/>
        <w:rPr>
          <w:rFonts w:hint="eastAsia" w:ascii="宋体" w:hAnsi="宋体" w:eastAsia="宋体" w:cs="宋体"/>
          <w:b/>
          <w:color w:val="auto"/>
          <w:sz w:val="24"/>
          <w:highlight w:val="none"/>
        </w:rPr>
      </w:pPr>
    </w:p>
    <w:p w14:paraId="1EBAF7B5">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附件2：质疑函范本及制作说明</w:t>
      </w:r>
    </w:p>
    <w:p w14:paraId="46920504">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70D8F39D">
      <w:pPr>
        <w:snapToGrid w:val="0"/>
        <w:spacing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31F6AC0B">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1D57FAE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238321DC">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2E935E4A">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23D4C17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52C6554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0A72420B">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601C71D2">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2313A47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4A64EC4E">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1CBDF4A2">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02E7D346">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00BE5265">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43CEC855">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292DE77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46251D57">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52D4E1E7">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75F31A71">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134BCCD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6C989245">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30BA9FC8">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4DCDB46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239C000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33D1BF13">
      <w:pPr>
        <w:spacing w:line="360" w:lineRule="auto"/>
        <w:jc w:val="center"/>
        <w:rPr>
          <w:rFonts w:hint="eastAsia" w:ascii="宋体" w:hAnsi="宋体" w:eastAsia="宋体" w:cs="宋体"/>
          <w:b/>
          <w:bCs/>
          <w:color w:val="auto"/>
          <w:sz w:val="24"/>
          <w:highlight w:val="none"/>
        </w:rPr>
      </w:pPr>
    </w:p>
    <w:p w14:paraId="06D3D2F6">
      <w:pPr>
        <w:spacing w:line="360" w:lineRule="auto"/>
        <w:rPr>
          <w:rFonts w:hint="eastAsia" w:ascii="宋体" w:hAnsi="宋体" w:eastAsia="宋体" w:cs="宋体"/>
          <w:b/>
          <w:color w:val="auto"/>
          <w:sz w:val="24"/>
          <w:highlight w:val="none"/>
        </w:rPr>
      </w:pPr>
    </w:p>
    <w:p w14:paraId="3019962F">
      <w:pPr>
        <w:spacing w:line="360" w:lineRule="auto"/>
        <w:rPr>
          <w:rFonts w:hint="eastAsia" w:ascii="宋体" w:hAnsi="宋体" w:eastAsia="宋体" w:cs="宋体"/>
          <w:b/>
          <w:color w:val="auto"/>
          <w:sz w:val="24"/>
          <w:highlight w:val="none"/>
        </w:rPr>
      </w:pPr>
    </w:p>
    <w:p w14:paraId="41A5D13C">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78F1E0E4">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31491D1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046C9B68">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2D433E7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4248147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3EF657A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42334270">
      <w:pPr>
        <w:widowControl/>
        <w:spacing w:line="360" w:lineRule="auto"/>
        <w:ind w:firstLine="600" w:firstLineChars="200"/>
        <w:jc w:val="left"/>
        <w:rPr>
          <w:rFonts w:hint="eastAsia" w:ascii="宋体" w:hAnsi="宋体" w:eastAsia="宋体" w:cs="宋体"/>
          <w:color w:val="auto"/>
          <w:sz w:val="30"/>
          <w:szCs w:val="30"/>
          <w:highlight w:val="none"/>
        </w:rPr>
      </w:pPr>
    </w:p>
    <w:p w14:paraId="6C37B56D">
      <w:pPr>
        <w:spacing w:line="360" w:lineRule="auto"/>
        <w:jc w:val="center"/>
        <w:rPr>
          <w:rFonts w:hint="eastAsia" w:ascii="宋体" w:hAnsi="宋体" w:eastAsia="宋体" w:cs="宋体"/>
          <w:b/>
          <w:color w:val="auto"/>
          <w:spacing w:val="6"/>
          <w:sz w:val="32"/>
          <w:szCs w:val="32"/>
          <w:highlight w:val="none"/>
        </w:rPr>
      </w:pPr>
    </w:p>
    <w:p w14:paraId="0DB8A956">
      <w:pPr>
        <w:spacing w:line="360" w:lineRule="auto"/>
        <w:jc w:val="center"/>
        <w:rPr>
          <w:rFonts w:hint="eastAsia" w:ascii="宋体" w:hAnsi="宋体" w:eastAsia="宋体" w:cs="宋体"/>
          <w:b/>
          <w:color w:val="auto"/>
          <w:spacing w:val="6"/>
          <w:sz w:val="32"/>
          <w:szCs w:val="32"/>
          <w:highlight w:val="none"/>
        </w:rPr>
      </w:pPr>
    </w:p>
    <w:p w14:paraId="2C32DACC">
      <w:pPr>
        <w:spacing w:line="360" w:lineRule="auto"/>
        <w:jc w:val="center"/>
        <w:rPr>
          <w:rFonts w:hint="eastAsia" w:ascii="宋体" w:hAnsi="宋体" w:eastAsia="宋体" w:cs="宋体"/>
          <w:b/>
          <w:color w:val="auto"/>
          <w:spacing w:val="6"/>
          <w:sz w:val="32"/>
          <w:szCs w:val="32"/>
          <w:highlight w:val="none"/>
        </w:rPr>
      </w:pPr>
    </w:p>
    <w:p w14:paraId="0E5F98A4">
      <w:pPr>
        <w:spacing w:line="360" w:lineRule="auto"/>
        <w:jc w:val="center"/>
        <w:rPr>
          <w:rFonts w:hint="eastAsia" w:ascii="宋体" w:hAnsi="宋体" w:eastAsia="宋体" w:cs="宋体"/>
          <w:b/>
          <w:color w:val="auto"/>
          <w:spacing w:val="6"/>
          <w:sz w:val="32"/>
          <w:szCs w:val="32"/>
          <w:highlight w:val="none"/>
        </w:rPr>
      </w:pPr>
    </w:p>
    <w:p w14:paraId="32755B16">
      <w:pPr>
        <w:spacing w:line="360" w:lineRule="auto"/>
        <w:jc w:val="center"/>
        <w:rPr>
          <w:rFonts w:hint="eastAsia" w:ascii="宋体" w:hAnsi="宋体" w:eastAsia="宋体" w:cs="宋体"/>
          <w:b/>
          <w:color w:val="auto"/>
          <w:spacing w:val="6"/>
          <w:sz w:val="32"/>
          <w:szCs w:val="32"/>
          <w:highlight w:val="none"/>
        </w:rPr>
      </w:pPr>
    </w:p>
    <w:p w14:paraId="2D67EE34">
      <w:pPr>
        <w:spacing w:line="360" w:lineRule="auto"/>
        <w:jc w:val="center"/>
        <w:rPr>
          <w:rFonts w:hint="eastAsia" w:ascii="宋体" w:hAnsi="宋体" w:eastAsia="宋体" w:cs="宋体"/>
          <w:b/>
          <w:color w:val="auto"/>
          <w:spacing w:val="6"/>
          <w:sz w:val="32"/>
          <w:szCs w:val="32"/>
          <w:highlight w:val="none"/>
        </w:rPr>
      </w:pPr>
    </w:p>
    <w:p w14:paraId="6519CA6F">
      <w:pPr>
        <w:spacing w:line="360" w:lineRule="auto"/>
        <w:jc w:val="center"/>
        <w:rPr>
          <w:rFonts w:hint="eastAsia" w:ascii="宋体" w:hAnsi="宋体" w:eastAsia="宋体" w:cs="宋体"/>
          <w:b/>
          <w:color w:val="auto"/>
          <w:spacing w:val="6"/>
          <w:sz w:val="32"/>
          <w:szCs w:val="32"/>
          <w:highlight w:val="none"/>
        </w:rPr>
      </w:pPr>
    </w:p>
    <w:p w14:paraId="03E41AC1">
      <w:pPr>
        <w:spacing w:line="360" w:lineRule="auto"/>
        <w:jc w:val="center"/>
        <w:rPr>
          <w:rFonts w:hint="eastAsia" w:ascii="宋体" w:hAnsi="宋体" w:eastAsia="宋体" w:cs="宋体"/>
          <w:b/>
          <w:color w:val="auto"/>
          <w:spacing w:val="6"/>
          <w:sz w:val="32"/>
          <w:szCs w:val="32"/>
          <w:highlight w:val="none"/>
        </w:rPr>
      </w:pPr>
    </w:p>
    <w:p w14:paraId="449F1CCE">
      <w:pPr>
        <w:spacing w:line="360" w:lineRule="auto"/>
        <w:jc w:val="center"/>
        <w:rPr>
          <w:rFonts w:hint="eastAsia" w:ascii="宋体" w:hAnsi="宋体" w:eastAsia="宋体" w:cs="宋体"/>
          <w:b/>
          <w:color w:val="auto"/>
          <w:spacing w:val="6"/>
          <w:sz w:val="32"/>
          <w:szCs w:val="32"/>
          <w:highlight w:val="none"/>
        </w:rPr>
      </w:pPr>
    </w:p>
    <w:p w14:paraId="13528AF9">
      <w:pPr>
        <w:spacing w:line="360" w:lineRule="auto"/>
        <w:jc w:val="center"/>
        <w:rPr>
          <w:rFonts w:hint="eastAsia" w:ascii="宋体" w:hAnsi="宋体" w:eastAsia="宋体" w:cs="宋体"/>
          <w:b/>
          <w:color w:val="auto"/>
          <w:spacing w:val="6"/>
          <w:sz w:val="32"/>
          <w:szCs w:val="32"/>
          <w:highlight w:val="none"/>
        </w:rPr>
      </w:pPr>
    </w:p>
    <w:p w14:paraId="1EB98211">
      <w:pPr>
        <w:spacing w:line="360" w:lineRule="auto"/>
        <w:jc w:val="center"/>
        <w:rPr>
          <w:rFonts w:hint="eastAsia" w:ascii="宋体" w:hAnsi="宋体" w:eastAsia="宋体" w:cs="宋体"/>
          <w:b/>
          <w:color w:val="auto"/>
          <w:spacing w:val="6"/>
          <w:sz w:val="32"/>
          <w:szCs w:val="32"/>
          <w:highlight w:val="none"/>
        </w:rPr>
      </w:pPr>
    </w:p>
    <w:p w14:paraId="66AED9D5">
      <w:pPr>
        <w:spacing w:line="360" w:lineRule="auto"/>
        <w:jc w:val="center"/>
        <w:rPr>
          <w:rFonts w:hint="eastAsia" w:ascii="宋体" w:hAnsi="宋体" w:eastAsia="宋体" w:cs="宋体"/>
          <w:b/>
          <w:color w:val="auto"/>
          <w:spacing w:val="6"/>
          <w:sz w:val="32"/>
          <w:szCs w:val="32"/>
          <w:highlight w:val="none"/>
        </w:rPr>
      </w:pPr>
    </w:p>
    <w:p w14:paraId="6F49E139">
      <w:pPr>
        <w:spacing w:line="360" w:lineRule="auto"/>
        <w:jc w:val="center"/>
        <w:rPr>
          <w:rFonts w:hint="eastAsia" w:ascii="宋体" w:hAnsi="宋体" w:eastAsia="宋体" w:cs="宋体"/>
          <w:b/>
          <w:color w:val="auto"/>
          <w:spacing w:val="6"/>
          <w:sz w:val="32"/>
          <w:szCs w:val="32"/>
          <w:highlight w:val="none"/>
        </w:rPr>
      </w:pPr>
    </w:p>
    <w:p w14:paraId="4318B341">
      <w:pPr>
        <w:spacing w:line="360" w:lineRule="auto"/>
        <w:jc w:val="left"/>
        <w:rPr>
          <w:rFonts w:hint="eastAsia" w:ascii="宋体" w:hAnsi="宋体" w:eastAsia="宋体" w:cs="宋体"/>
          <w:b/>
          <w:color w:val="auto"/>
          <w:spacing w:val="6"/>
          <w:sz w:val="32"/>
          <w:szCs w:val="32"/>
          <w:highlight w:val="none"/>
        </w:rPr>
      </w:pPr>
    </w:p>
    <w:p w14:paraId="3F048CD0">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附件3：投诉书范本及制作说明</w:t>
      </w:r>
    </w:p>
    <w:p w14:paraId="27F6883C">
      <w:pPr>
        <w:spacing w:line="360" w:lineRule="auto"/>
        <w:jc w:val="center"/>
        <w:rPr>
          <w:rFonts w:hint="eastAsia" w:ascii="宋体" w:hAnsi="宋体" w:eastAsia="宋体" w:cs="宋体"/>
          <w:b/>
          <w:color w:val="auto"/>
          <w:sz w:val="24"/>
          <w:highlight w:val="none"/>
        </w:rPr>
      </w:pPr>
    </w:p>
    <w:p w14:paraId="6CE220F3">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51AA438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5F3C828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62526953">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EEBE976">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0A9D0F70">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0AC07ADB">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10F838CD">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2EDD4605">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77B5B7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0FC1B5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85A29D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1666D7A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4BE81035">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B3404DC">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2A2CD9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261AA97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559C3893">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1F9935D5">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6751A0B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D9EBBE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2B410E2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21B46B3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2F43D60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711C587E">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57C2DEF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57B1A175">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26B1FDA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2D2EED7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30561F9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67009C67">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0C53E54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563B4F1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3D8BD28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087494B2">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41278AE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66DFD92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59B72F86">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3F3793D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3FE9985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37184553">
      <w:pPr>
        <w:spacing w:line="360" w:lineRule="auto"/>
        <w:rPr>
          <w:rFonts w:hint="eastAsia" w:ascii="宋体" w:hAnsi="宋体" w:eastAsia="宋体" w:cs="宋体"/>
          <w:b/>
          <w:color w:val="auto"/>
          <w:sz w:val="24"/>
          <w:highlight w:val="none"/>
        </w:rPr>
      </w:pPr>
    </w:p>
    <w:p w14:paraId="6B9E1FC3">
      <w:pPr>
        <w:spacing w:line="360" w:lineRule="auto"/>
        <w:rPr>
          <w:rFonts w:hint="eastAsia" w:ascii="宋体" w:hAnsi="宋体" w:eastAsia="宋体" w:cs="宋体"/>
          <w:b/>
          <w:color w:val="auto"/>
          <w:sz w:val="24"/>
          <w:highlight w:val="none"/>
        </w:rPr>
      </w:pPr>
    </w:p>
    <w:p w14:paraId="4FE54913">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28201D49">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27E977C4">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572449F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36A0DAD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21A2966B">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53EC0154">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45FD3B63">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6F61F105">
      <w:pPr>
        <w:spacing w:line="360" w:lineRule="auto"/>
        <w:rPr>
          <w:rFonts w:hint="eastAsia" w:ascii="宋体" w:hAnsi="宋体" w:eastAsia="宋体" w:cs="宋体"/>
          <w:b/>
          <w:color w:val="auto"/>
          <w:sz w:val="24"/>
          <w:highlight w:val="none"/>
        </w:rPr>
      </w:pPr>
    </w:p>
    <w:p w14:paraId="6F2103BE">
      <w:pPr>
        <w:autoSpaceDE w:val="0"/>
        <w:autoSpaceDN w:val="0"/>
        <w:jc w:val="center"/>
        <w:rPr>
          <w:rFonts w:hint="eastAsia" w:ascii="宋体" w:hAnsi="宋体" w:eastAsia="宋体" w:cs="宋体"/>
          <w:b/>
          <w:color w:val="auto"/>
          <w:spacing w:val="6"/>
          <w:sz w:val="32"/>
          <w:szCs w:val="32"/>
          <w:highlight w:val="none"/>
        </w:rPr>
      </w:pPr>
    </w:p>
    <w:p w14:paraId="73133F5D">
      <w:pPr>
        <w:autoSpaceDE w:val="0"/>
        <w:autoSpaceDN w:val="0"/>
        <w:jc w:val="center"/>
        <w:rPr>
          <w:rFonts w:hint="eastAsia" w:ascii="宋体" w:hAnsi="宋体" w:eastAsia="宋体" w:cs="宋体"/>
          <w:b/>
          <w:color w:val="auto"/>
          <w:spacing w:val="6"/>
          <w:sz w:val="32"/>
          <w:szCs w:val="32"/>
          <w:highlight w:val="none"/>
        </w:rPr>
      </w:pPr>
    </w:p>
    <w:p w14:paraId="0A9C672C">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附件4：</w:t>
      </w:r>
      <w:r>
        <w:rPr>
          <w:rFonts w:hint="eastAsia" w:ascii="宋体" w:hAnsi="宋体" w:eastAsia="宋体" w:cs="宋体"/>
          <w:b/>
          <w:bCs/>
          <w:color w:val="auto"/>
          <w:sz w:val="32"/>
          <w:szCs w:val="32"/>
          <w:highlight w:val="none"/>
        </w:rPr>
        <w:t>业务专用章使用说明函</w:t>
      </w:r>
    </w:p>
    <w:p w14:paraId="769714C6">
      <w:pPr>
        <w:spacing w:line="360" w:lineRule="auto"/>
        <w:rPr>
          <w:rFonts w:hint="eastAsia" w:ascii="宋体" w:hAnsi="宋体" w:eastAsia="宋体" w:cs="宋体"/>
          <w:color w:val="auto"/>
          <w:sz w:val="24"/>
          <w:highlight w:val="none"/>
          <w:u w:val="single"/>
        </w:rPr>
      </w:pPr>
    </w:p>
    <w:p w14:paraId="224E4A0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sz w:val="24"/>
          <w:highlight w:val="none"/>
          <w:u w:val="single"/>
        </w:rPr>
        <w:t>：</w:t>
      </w:r>
    </w:p>
    <w:p w14:paraId="59B748F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(投标人全称)是中华人民共和国依法登记注册的合法企业，在参加你方组织的</w:t>
      </w:r>
      <w:r>
        <w:rPr>
          <w:rFonts w:hint="eastAsia" w:ascii="宋体" w:hAnsi="宋体" w:cs="宋体"/>
          <w:color w:val="auto"/>
          <w:sz w:val="24"/>
          <w:highlight w:val="none"/>
          <w:lang w:val="en-US" w:eastAsia="zh-CN"/>
        </w:rPr>
        <w:t>建德市寿昌镇人民政府2025年寿昌初级中学改扩建-艺体楼设备采购项目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val="en-US" w:eastAsia="zh-CN"/>
        </w:rPr>
        <w:t>JD2025BF-067</w:t>
      </w:r>
      <w:r>
        <w:rPr>
          <w:rFonts w:hint="eastAsia" w:ascii="宋体" w:hAnsi="宋体" w:eastAsia="宋体" w:cs="宋体"/>
          <w:color w:val="auto"/>
          <w:sz w:val="24"/>
          <w:highlight w:val="none"/>
        </w:rPr>
        <w:t>】投标活</w:t>
      </w:r>
      <w:r>
        <w:rPr>
          <w:rFonts w:hint="eastAsia" w:ascii="宋体" w:hAnsi="宋体" w:eastAsia="宋体" w:cs="宋体"/>
          <w:bCs/>
          <w:color w:val="auto"/>
          <w:sz w:val="24"/>
          <w:highlight w:val="none"/>
        </w:rPr>
        <w:t>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2280B43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1C7B02E3">
      <w:pPr>
        <w:spacing w:line="360" w:lineRule="auto"/>
        <w:ind w:firstLine="494"/>
        <w:rPr>
          <w:rFonts w:hint="eastAsia" w:ascii="宋体" w:hAnsi="宋体" w:eastAsia="宋体" w:cs="宋体"/>
          <w:color w:val="auto"/>
          <w:sz w:val="24"/>
          <w:highlight w:val="none"/>
        </w:rPr>
      </w:pPr>
    </w:p>
    <w:p w14:paraId="1F8FC2C8">
      <w:pPr>
        <w:spacing w:line="360" w:lineRule="auto"/>
        <w:ind w:firstLine="494"/>
        <w:rPr>
          <w:rFonts w:hint="eastAsia" w:ascii="宋体" w:hAnsi="宋体" w:eastAsia="宋体" w:cs="宋体"/>
          <w:color w:val="auto"/>
          <w:sz w:val="24"/>
          <w:highlight w:val="none"/>
        </w:rPr>
      </w:pPr>
    </w:p>
    <w:p w14:paraId="79F65DC5">
      <w:pPr>
        <w:spacing w:line="360" w:lineRule="auto"/>
        <w:ind w:firstLine="494"/>
        <w:rPr>
          <w:rFonts w:hint="eastAsia" w:ascii="宋体" w:hAnsi="宋体" w:eastAsia="宋体" w:cs="宋体"/>
          <w:color w:val="auto"/>
          <w:sz w:val="24"/>
          <w:highlight w:val="none"/>
        </w:rPr>
      </w:pPr>
    </w:p>
    <w:p w14:paraId="2D9F0E24">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14:paraId="68000FC1">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2D3E0C4">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69452711">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14:paraId="6133DF95">
      <w:pPr>
        <w:autoSpaceDE w:val="0"/>
        <w:autoSpaceDN w:val="0"/>
        <w:jc w:val="center"/>
        <w:rPr>
          <w:rFonts w:hint="eastAsia" w:ascii="宋体" w:hAnsi="宋体" w:eastAsia="宋体" w:cs="宋体"/>
          <w:b/>
          <w:color w:val="auto"/>
          <w:spacing w:val="6"/>
          <w:sz w:val="32"/>
          <w:szCs w:val="32"/>
          <w:highlight w:val="none"/>
        </w:rPr>
      </w:pPr>
    </w:p>
    <w:p w14:paraId="4A4CE5FE">
      <w:pPr>
        <w:autoSpaceDE w:val="0"/>
        <w:autoSpaceDN w:val="0"/>
        <w:jc w:val="center"/>
        <w:rPr>
          <w:rFonts w:hint="eastAsia" w:ascii="宋体" w:hAnsi="宋体" w:eastAsia="宋体" w:cs="宋体"/>
          <w:b/>
          <w:color w:val="auto"/>
          <w:spacing w:val="6"/>
          <w:sz w:val="32"/>
          <w:szCs w:val="32"/>
          <w:highlight w:val="none"/>
        </w:rPr>
      </w:pPr>
    </w:p>
    <w:p w14:paraId="5CFE876A">
      <w:pPr>
        <w:autoSpaceDE w:val="0"/>
        <w:autoSpaceDN w:val="0"/>
        <w:jc w:val="center"/>
        <w:rPr>
          <w:rFonts w:hint="eastAsia" w:ascii="宋体" w:hAnsi="宋体" w:eastAsia="宋体" w:cs="宋体"/>
          <w:b/>
          <w:color w:val="auto"/>
          <w:spacing w:val="6"/>
          <w:sz w:val="32"/>
          <w:szCs w:val="32"/>
          <w:highlight w:val="none"/>
        </w:rPr>
      </w:pPr>
    </w:p>
    <w:p w14:paraId="2977E7A5">
      <w:pPr>
        <w:autoSpaceDE w:val="0"/>
        <w:autoSpaceDN w:val="0"/>
        <w:jc w:val="center"/>
        <w:rPr>
          <w:rFonts w:hint="eastAsia" w:ascii="宋体" w:hAnsi="宋体" w:eastAsia="宋体" w:cs="宋体"/>
          <w:b/>
          <w:color w:val="auto"/>
          <w:spacing w:val="6"/>
          <w:sz w:val="32"/>
          <w:szCs w:val="32"/>
          <w:highlight w:val="none"/>
        </w:rPr>
      </w:pPr>
    </w:p>
    <w:p w14:paraId="23810E8D">
      <w:pPr>
        <w:autoSpaceDE w:val="0"/>
        <w:autoSpaceDN w:val="0"/>
        <w:jc w:val="center"/>
        <w:rPr>
          <w:rFonts w:hint="eastAsia" w:ascii="宋体" w:hAnsi="宋体" w:eastAsia="宋体" w:cs="宋体"/>
          <w:b/>
          <w:color w:val="auto"/>
          <w:spacing w:val="6"/>
          <w:sz w:val="32"/>
          <w:szCs w:val="32"/>
          <w:highlight w:val="none"/>
        </w:rPr>
      </w:pPr>
    </w:p>
    <w:p w14:paraId="2060C45C">
      <w:pPr>
        <w:autoSpaceDE w:val="0"/>
        <w:autoSpaceDN w:val="0"/>
        <w:jc w:val="center"/>
        <w:rPr>
          <w:rFonts w:hint="eastAsia" w:ascii="宋体" w:hAnsi="宋体" w:eastAsia="宋体" w:cs="宋体"/>
          <w:b/>
          <w:color w:val="auto"/>
          <w:spacing w:val="6"/>
          <w:sz w:val="32"/>
          <w:szCs w:val="32"/>
          <w:highlight w:val="none"/>
        </w:rPr>
      </w:pPr>
    </w:p>
    <w:p w14:paraId="53D41D14">
      <w:pPr>
        <w:autoSpaceDE w:val="0"/>
        <w:autoSpaceDN w:val="0"/>
        <w:jc w:val="center"/>
        <w:rPr>
          <w:rFonts w:hint="eastAsia" w:ascii="宋体" w:hAnsi="宋体" w:eastAsia="宋体" w:cs="宋体"/>
          <w:b/>
          <w:color w:val="auto"/>
          <w:spacing w:val="6"/>
          <w:sz w:val="32"/>
          <w:szCs w:val="32"/>
          <w:highlight w:val="none"/>
        </w:rPr>
      </w:pPr>
    </w:p>
    <w:p w14:paraId="683371C3">
      <w:pPr>
        <w:autoSpaceDE w:val="0"/>
        <w:autoSpaceDN w:val="0"/>
        <w:jc w:val="center"/>
        <w:rPr>
          <w:rFonts w:hint="eastAsia" w:ascii="宋体" w:hAnsi="宋体" w:eastAsia="宋体" w:cs="宋体"/>
          <w:b/>
          <w:color w:val="auto"/>
          <w:spacing w:val="6"/>
          <w:sz w:val="32"/>
          <w:szCs w:val="32"/>
          <w:highlight w:val="none"/>
        </w:rPr>
      </w:pPr>
    </w:p>
    <w:p w14:paraId="0C39FE0D">
      <w:pPr>
        <w:autoSpaceDE w:val="0"/>
        <w:autoSpaceDN w:val="0"/>
        <w:jc w:val="center"/>
        <w:rPr>
          <w:rFonts w:hint="eastAsia" w:ascii="宋体" w:hAnsi="宋体" w:eastAsia="宋体" w:cs="宋体"/>
          <w:b/>
          <w:color w:val="auto"/>
          <w:spacing w:val="6"/>
          <w:sz w:val="32"/>
          <w:szCs w:val="32"/>
          <w:highlight w:val="none"/>
        </w:rPr>
      </w:pPr>
    </w:p>
    <w:p w14:paraId="7D113029">
      <w:pPr>
        <w:autoSpaceDE w:val="0"/>
        <w:autoSpaceDN w:val="0"/>
        <w:jc w:val="center"/>
        <w:rPr>
          <w:rFonts w:hint="eastAsia" w:ascii="宋体" w:hAnsi="宋体" w:eastAsia="宋体" w:cs="宋体"/>
          <w:b/>
          <w:color w:val="auto"/>
          <w:spacing w:val="6"/>
          <w:sz w:val="32"/>
          <w:szCs w:val="32"/>
          <w:highlight w:val="none"/>
        </w:rPr>
      </w:pPr>
    </w:p>
    <w:p w14:paraId="1B70036D">
      <w:pPr>
        <w:autoSpaceDE w:val="0"/>
        <w:autoSpaceDN w:val="0"/>
        <w:jc w:val="center"/>
        <w:rPr>
          <w:rFonts w:hint="eastAsia" w:ascii="宋体" w:hAnsi="宋体" w:eastAsia="宋体" w:cs="宋体"/>
          <w:b/>
          <w:color w:val="auto"/>
          <w:spacing w:val="6"/>
          <w:sz w:val="32"/>
          <w:szCs w:val="32"/>
          <w:highlight w:val="none"/>
        </w:rPr>
      </w:pPr>
    </w:p>
    <w:p w14:paraId="2BC6BFA0">
      <w:pPr>
        <w:autoSpaceDE w:val="0"/>
        <w:autoSpaceDN w:val="0"/>
        <w:jc w:val="center"/>
        <w:rPr>
          <w:rFonts w:hint="eastAsia" w:ascii="宋体" w:hAnsi="宋体" w:eastAsia="宋体" w:cs="宋体"/>
          <w:b/>
          <w:color w:val="auto"/>
          <w:spacing w:val="6"/>
          <w:sz w:val="32"/>
          <w:szCs w:val="32"/>
          <w:highlight w:val="none"/>
        </w:rPr>
      </w:pPr>
    </w:p>
    <w:p w14:paraId="2C61444F">
      <w:pPr>
        <w:autoSpaceDE w:val="0"/>
        <w:autoSpaceDN w:val="0"/>
        <w:jc w:val="center"/>
        <w:rPr>
          <w:rFonts w:hint="eastAsia" w:ascii="宋体" w:hAnsi="宋体" w:eastAsia="宋体" w:cs="宋体"/>
          <w:b/>
          <w:color w:val="auto"/>
          <w:spacing w:val="6"/>
          <w:sz w:val="32"/>
          <w:szCs w:val="32"/>
          <w:highlight w:val="none"/>
        </w:rPr>
      </w:pPr>
    </w:p>
    <w:p w14:paraId="38570F89">
      <w:pPr>
        <w:autoSpaceDE w:val="0"/>
        <w:autoSpaceDN w:val="0"/>
        <w:jc w:val="center"/>
        <w:rPr>
          <w:rFonts w:hint="eastAsia" w:ascii="宋体" w:hAnsi="宋体" w:eastAsia="宋体" w:cs="宋体"/>
          <w:b/>
          <w:color w:val="auto"/>
          <w:spacing w:val="6"/>
          <w:sz w:val="32"/>
          <w:szCs w:val="32"/>
          <w:highlight w:val="none"/>
        </w:rPr>
      </w:pPr>
    </w:p>
    <w:p w14:paraId="7BE8E899">
      <w:pPr>
        <w:autoSpaceDE w:val="0"/>
        <w:autoSpaceDN w:val="0"/>
        <w:jc w:val="center"/>
        <w:rPr>
          <w:rFonts w:hint="eastAsia" w:ascii="宋体" w:hAnsi="宋体" w:eastAsia="宋体" w:cs="宋体"/>
          <w:b/>
          <w:color w:val="auto"/>
          <w:spacing w:val="6"/>
          <w:sz w:val="32"/>
          <w:szCs w:val="32"/>
          <w:highlight w:val="none"/>
        </w:rPr>
      </w:pPr>
    </w:p>
    <w:p w14:paraId="093E052C">
      <w:pPr>
        <w:snapToGrid w:val="0"/>
        <w:spacing w:line="360" w:lineRule="auto"/>
        <w:jc w:val="center"/>
        <w:outlineLvl w:val="0"/>
        <w:rPr>
          <w:rFonts w:hint="eastAsia" w:ascii="宋体" w:hAnsi="宋体" w:eastAsia="宋体" w:cs="宋体"/>
          <w:b/>
          <w:color w:val="auto"/>
          <w:kern w:val="0"/>
          <w:sz w:val="32"/>
          <w:szCs w:val="32"/>
          <w:highlight w:val="none"/>
        </w:rPr>
      </w:pPr>
    </w:p>
    <w:p w14:paraId="492415FF">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附件5：联合协议</w:t>
      </w:r>
    </w:p>
    <w:p w14:paraId="08DD155A">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14:paraId="507161E6">
      <w:pPr>
        <w:snapToGrid w:val="0"/>
        <w:spacing w:line="360" w:lineRule="auto"/>
        <w:ind w:firstLine="576"/>
        <w:rPr>
          <w:rFonts w:hint="eastAsia" w:ascii="宋体" w:hAnsi="宋体" w:eastAsia="宋体" w:cs="宋体"/>
          <w:color w:val="auto"/>
          <w:sz w:val="24"/>
          <w:highlight w:val="none"/>
          <w:lang w:val="zh-CN"/>
        </w:rPr>
      </w:pPr>
      <w:r>
        <w:rPr>
          <w:rFonts w:hint="eastAsia" w:ascii="宋体" w:hAnsi="宋体" w:eastAsia="宋体" w:cs="宋体"/>
          <w:color w:val="auto"/>
          <w:kern w:val="0"/>
          <w:sz w:val="24"/>
          <w:highlight w:val="none"/>
          <w:u w:val="single"/>
        </w:rPr>
        <w:t>（联合体所有成</w:t>
      </w:r>
      <w:r>
        <w:rPr>
          <w:rFonts w:hint="eastAsia" w:ascii="宋体" w:hAnsi="宋体" w:eastAsia="宋体" w:cs="宋体"/>
          <w:color w:val="auto"/>
          <w:sz w:val="24"/>
          <w:highlight w:val="none"/>
        </w:rPr>
        <w:t>员名称）自愿</w:t>
      </w:r>
      <w:r>
        <w:rPr>
          <w:rFonts w:hint="eastAsia" w:ascii="宋体" w:hAnsi="宋体" w:eastAsia="宋体" w:cs="宋体"/>
          <w:color w:val="auto"/>
          <w:sz w:val="24"/>
          <w:highlight w:val="none"/>
          <w:lang w:val="zh-CN"/>
        </w:rPr>
        <w:t>组成一个联合体，以一个投标人的身份</w:t>
      </w:r>
      <w:r>
        <w:rPr>
          <w:rFonts w:hint="eastAsia" w:ascii="宋体" w:hAnsi="宋体" w:eastAsia="宋体" w:cs="宋体"/>
          <w:color w:val="auto"/>
          <w:sz w:val="24"/>
          <w:highlight w:val="none"/>
        </w:rPr>
        <w:t>参加</w:t>
      </w:r>
      <w:r>
        <w:rPr>
          <w:rFonts w:hint="eastAsia" w:ascii="宋体" w:hAnsi="宋体" w:cs="宋体"/>
          <w:color w:val="auto"/>
          <w:sz w:val="24"/>
          <w:highlight w:val="none"/>
          <w:lang w:val="en-US" w:eastAsia="zh-CN"/>
        </w:rPr>
        <w:t>建德市寿昌镇人民政府2025年寿昌初级中学改扩建-艺体楼设备采购项目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val="en-US" w:eastAsia="zh-CN"/>
        </w:rPr>
        <w:t>JD2025BF-067</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rPr>
        <w:t xml:space="preserve">投标。 </w:t>
      </w:r>
    </w:p>
    <w:p w14:paraId="661FB7C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75ED356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67CA90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14:paraId="636300CA">
      <w:pPr>
        <w:snapToGrid w:val="0"/>
        <w:spacing w:line="360" w:lineRule="auto"/>
        <w:ind w:firstLine="576"/>
        <w:rPr>
          <w:rFonts w:hint="eastAsia" w:ascii="宋体" w:hAnsi="宋体" w:eastAsia="宋体" w:cs="宋体"/>
          <w:color w:val="auto"/>
          <w:kern w:val="0"/>
          <w:sz w:val="24"/>
          <w:highlight w:val="none"/>
          <w:lang w:val="zh-CN"/>
        </w:rPr>
      </w:pPr>
      <w:bookmarkStart w:id="554" w:name="_Hlk101134295"/>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7EAE838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4894A4A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bookmarkEnd w:id="554"/>
    <w:p w14:paraId="19EDFBF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1D137051">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（联合体成员X,……）</w:t>
      </w:r>
      <w:r>
        <w:rPr>
          <w:rFonts w:hint="eastAsia" w:ascii="宋体" w:hAnsi="宋体" w:eastAsia="宋体" w:cs="宋体"/>
          <w:color w:val="auto"/>
          <w:kern w:val="0"/>
          <w:sz w:val="24"/>
          <w:highlight w:val="none"/>
        </w:rPr>
        <w:t>提供的全部货物由小微企业制造，其合同份额占到合同总金额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0F141FF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p>
    <w:p w14:paraId="1561432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14:paraId="3FDB11E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14:paraId="256DFC0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7000AE2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3BBFF6D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297C778F">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3C5302E4">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10D5CED7">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290CE19">
      <w:pPr>
        <w:snapToGrid w:val="0"/>
        <w:spacing w:line="360" w:lineRule="auto"/>
        <w:jc w:val="right"/>
        <w:rPr>
          <w:rFonts w:hint="eastAsia" w:ascii="宋体" w:hAnsi="宋体" w:eastAsia="宋体" w:cs="宋体"/>
          <w:color w:val="auto"/>
          <w:kern w:val="0"/>
          <w:sz w:val="24"/>
          <w:highlight w:val="none"/>
          <w:lang w:val="zh-CN"/>
        </w:rPr>
      </w:pPr>
    </w:p>
    <w:p w14:paraId="1E0088B2">
      <w:pPr>
        <w:snapToGrid w:val="0"/>
        <w:spacing w:line="360" w:lineRule="auto"/>
        <w:jc w:val="right"/>
        <w:rPr>
          <w:rFonts w:hint="eastAsia" w:ascii="宋体" w:hAnsi="宋体" w:eastAsia="宋体" w:cs="宋体"/>
          <w:color w:val="auto"/>
          <w:kern w:val="0"/>
          <w:sz w:val="24"/>
          <w:highlight w:val="none"/>
          <w:lang w:val="zh-CN"/>
        </w:rPr>
      </w:pPr>
    </w:p>
    <w:p w14:paraId="46FDE52D">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1A93F5F2">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786685A5">
      <w:pPr>
        <w:autoSpaceDE w:val="0"/>
        <w:autoSpaceDN w:val="0"/>
        <w:jc w:val="center"/>
        <w:rPr>
          <w:rFonts w:hint="eastAsia" w:ascii="宋体" w:hAnsi="宋体" w:eastAsia="宋体" w:cs="宋体"/>
          <w:b/>
          <w:color w:val="auto"/>
          <w:spacing w:val="6"/>
          <w:sz w:val="32"/>
          <w:szCs w:val="32"/>
          <w:highlight w:val="none"/>
        </w:rPr>
      </w:pPr>
    </w:p>
    <w:p w14:paraId="66C4DD27">
      <w:pPr>
        <w:autoSpaceDE w:val="0"/>
        <w:autoSpaceDN w:val="0"/>
        <w:jc w:val="center"/>
        <w:rPr>
          <w:rFonts w:hint="eastAsia" w:ascii="宋体" w:hAnsi="宋体" w:eastAsia="宋体" w:cs="宋体"/>
          <w:b/>
          <w:color w:val="auto"/>
          <w:spacing w:val="6"/>
          <w:sz w:val="32"/>
          <w:szCs w:val="32"/>
          <w:highlight w:val="none"/>
        </w:rPr>
      </w:pPr>
    </w:p>
    <w:p w14:paraId="63E1B72F">
      <w:pPr>
        <w:autoSpaceDE w:val="0"/>
        <w:autoSpaceDN w:val="0"/>
        <w:jc w:val="center"/>
        <w:rPr>
          <w:rFonts w:hint="eastAsia" w:ascii="宋体" w:hAnsi="宋体" w:eastAsia="宋体" w:cs="宋体"/>
          <w:b/>
          <w:color w:val="auto"/>
          <w:spacing w:val="6"/>
          <w:sz w:val="32"/>
          <w:szCs w:val="32"/>
          <w:highlight w:val="none"/>
        </w:rPr>
      </w:pPr>
    </w:p>
    <w:p w14:paraId="2B4C0BB7">
      <w:pPr>
        <w:autoSpaceDE w:val="0"/>
        <w:autoSpaceDN w:val="0"/>
        <w:jc w:val="center"/>
        <w:rPr>
          <w:rFonts w:hint="eastAsia" w:ascii="宋体" w:hAnsi="宋体" w:eastAsia="宋体" w:cs="宋体"/>
          <w:b/>
          <w:color w:val="auto"/>
          <w:spacing w:val="6"/>
          <w:sz w:val="32"/>
          <w:szCs w:val="32"/>
          <w:highlight w:val="none"/>
        </w:rPr>
      </w:pPr>
    </w:p>
    <w:p w14:paraId="7624AEE5">
      <w:pPr>
        <w:autoSpaceDE w:val="0"/>
        <w:autoSpaceDN w:val="0"/>
        <w:jc w:val="center"/>
        <w:rPr>
          <w:rFonts w:hint="eastAsia" w:ascii="宋体" w:hAnsi="宋体" w:eastAsia="宋体" w:cs="宋体"/>
          <w:b/>
          <w:color w:val="auto"/>
          <w:spacing w:val="6"/>
          <w:sz w:val="32"/>
          <w:szCs w:val="32"/>
          <w:highlight w:val="none"/>
        </w:rPr>
      </w:pPr>
    </w:p>
    <w:p w14:paraId="30380493">
      <w:pPr>
        <w:autoSpaceDE w:val="0"/>
        <w:autoSpaceDN w:val="0"/>
        <w:jc w:val="center"/>
        <w:rPr>
          <w:rFonts w:hint="eastAsia" w:ascii="宋体" w:hAnsi="宋体" w:eastAsia="宋体" w:cs="宋体"/>
          <w:b/>
          <w:color w:val="auto"/>
          <w:spacing w:val="6"/>
          <w:sz w:val="32"/>
          <w:szCs w:val="32"/>
          <w:highlight w:val="none"/>
        </w:rPr>
      </w:pPr>
    </w:p>
    <w:p w14:paraId="4F3F1F6F">
      <w:pPr>
        <w:autoSpaceDE w:val="0"/>
        <w:autoSpaceDN w:val="0"/>
        <w:jc w:val="center"/>
        <w:rPr>
          <w:rFonts w:hint="eastAsia" w:ascii="宋体" w:hAnsi="宋体" w:eastAsia="宋体" w:cs="宋体"/>
          <w:b/>
          <w:color w:val="auto"/>
          <w:spacing w:val="6"/>
          <w:sz w:val="32"/>
          <w:szCs w:val="32"/>
          <w:highlight w:val="none"/>
        </w:rPr>
      </w:pPr>
    </w:p>
    <w:p w14:paraId="13088700">
      <w:pPr>
        <w:autoSpaceDE w:val="0"/>
        <w:autoSpaceDN w:val="0"/>
        <w:jc w:val="center"/>
        <w:rPr>
          <w:rFonts w:hint="eastAsia" w:ascii="宋体" w:hAnsi="宋体" w:eastAsia="宋体" w:cs="宋体"/>
          <w:b/>
          <w:color w:val="auto"/>
          <w:spacing w:val="6"/>
          <w:sz w:val="32"/>
          <w:szCs w:val="32"/>
          <w:highlight w:val="none"/>
        </w:rPr>
      </w:pPr>
    </w:p>
    <w:p w14:paraId="79005C6C">
      <w:pPr>
        <w:autoSpaceDE w:val="0"/>
        <w:autoSpaceDN w:val="0"/>
        <w:jc w:val="center"/>
        <w:rPr>
          <w:rFonts w:hint="eastAsia" w:ascii="宋体" w:hAnsi="宋体" w:eastAsia="宋体" w:cs="宋体"/>
          <w:b/>
          <w:color w:val="auto"/>
          <w:spacing w:val="6"/>
          <w:sz w:val="32"/>
          <w:szCs w:val="32"/>
          <w:highlight w:val="none"/>
        </w:rPr>
      </w:pPr>
    </w:p>
    <w:p w14:paraId="31F82BB9">
      <w:pPr>
        <w:autoSpaceDE w:val="0"/>
        <w:autoSpaceDN w:val="0"/>
        <w:jc w:val="center"/>
        <w:rPr>
          <w:rFonts w:hint="eastAsia" w:ascii="宋体" w:hAnsi="宋体" w:eastAsia="宋体" w:cs="宋体"/>
          <w:b/>
          <w:color w:val="auto"/>
          <w:spacing w:val="6"/>
          <w:sz w:val="32"/>
          <w:szCs w:val="32"/>
          <w:highlight w:val="none"/>
        </w:rPr>
      </w:pPr>
    </w:p>
    <w:p w14:paraId="561B3124">
      <w:pPr>
        <w:autoSpaceDE w:val="0"/>
        <w:autoSpaceDN w:val="0"/>
        <w:jc w:val="center"/>
        <w:rPr>
          <w:rFonts w:hint="eastAsia" w:ascii="宋体" w:hAnsi="宋体" w:eastAsia="宋体" w:cs="宋体"/>
          <w:b/>
          <w:color w:val="auto"/>
          <w:spacing w:val="6"/>
          <w:sz w:val="32"/>
          <w:szCs w:val="32"/>
          <w:highlight w:val="none"/>
        </w:rPr>
      </w:pPr>
    </w:p>
    <w:p w14:paraId="01363D6C">
      <w:pPr>
        <w:autoSpaceDE w:val="0"/>
        <w:autoSpaceDN w:val="0"/>
        <w:jc w:val="center"/>
        <w:rPr>
          <w:rFonts w:hint="eastAsia" w:ascii="宋体" w:hAnsi="宋体" w:eastAsia="宋体" w:cs="宋体"/>
          <w:b/>
          <w:color w:val="auto"/>
          <w:spacing w:val="6"/>
          <w:sz w:val="32"/>
          <w:szCs w:val="32"/>
          <w:highlight w:val="none"/>
        </w:rPr>
      </w:pPr>
    </w:p>
    <w:p w14:paraId="1F9FEA0F">
      <w:pPr>
        <w:autoSpaceDE w:val="0"/>
        <w:autoSpaceDN w:val="0"/>
        <w:jc w:val="center"/>
        <w:rPr>
          <w:rFonts w:hint="eastAsia" w:ascii="宋体" w:hAnsi="宋体" w:eastAsia="宋体" w:cs="宋体"/>
          <w:b/>
          <w:color w:val="auto"/>
          <w:spacing w:val="6"/>
          <w:sz w:val="32"/>
          <w:szCs w:val="32"/>
          <w:highlight w:val="none"/>
        </w:rPr>
      </w:pPr>
    </w:p>
    <w:p w14:paraId="3A7B055B">
      <w:pPr>
        <w:autoSpaceDE w:val="0"/>
        <w:autoSpaceDN w:val="0"/>
        <w:jc w:val="center"/>
        <w:rPr>
          <w:rFonts w:hint="eastAsia" w:ascii="宋体" w:hAnsi="宋体" w:eastAsia="宋体" w:cs="宋体"/>
          <w:b/>
          <w:color w:val="auto"/>
          <w:spacing w:val="6"/>
          <w:sz w:val="32"/>
          <w:szCs w:val="32"/>
          <w:highlight w:val="none"/>
        </w:rPr>
      </w:pPr>
    </w:p>
    <w:p w14:paraId="411C8689">
      <w:pPr>
        <w:autoSpaceDE w:val="0"/>
        <w:autoSpaceDN w:val="0"/>
        <w:jc w:val="center"/>
        <w:rPr>
          <w:rFonts w:hint="eastAsia" w:ascii="宋体" w:hAnsi="宋体" w:eastAsia="宋体" w:cs="宋体"/>
          <w:b/>
          <w:color w:val="auto"/>
          <w:spacing w:val="6"/>
          <w:sz w:val="32"/>
          <w:szCs w:val="32"/>
          <w:highlight w:val="none"/>
        </w:rPr>
      </w:pPr>
    </w:p>
    <w:p w14:paraId="619D1442">
      <w:pPr>
        <w:autoSpaceDE w:val="0"/>
        <w:autoSpaceDN w:val="0"/>
        <w:jc w:val="center"/>
        <w:rPr>
          <w:rFonts w:hint="eastAsia" w:ascii="宋体" w:hAnsi="宋体" w:eastAsia="宋体" w:cs="宋体"/>
          <w:b/>
          <w:color w:val="auto"/>
          <w:spacing w:val="6"/>
          <w:sz w:val="32"/>
          <w:szCs w:val="32"/>
          <w:highlight w:val="none"/>
        </w:rPr>
      </w:pPr>
    </w:p>
    <w:p w14:paraId="275428F1">
      <w:pPr>
        <w:autoSpaceDE w:val="0"/>
        <w:autoSpaceDN w:val="0"/>
        <w:jc w:val="center"/>
        <w:rPr>
          <w:rFonts w:hint="eastAsia" w:ascii="宋体" w:hAnsi="宋体" w:eastAsia="宋体" w:cs="宋体"/>
          <w:b/>
          <w:color w:val="auto"/>
          <w:spacing w:val="6"/>
          <w:sz w:val="32"/>
          <w:szCs w:val="32"/>
          <w:highlight w:val="none"/>
        </w:rPr>
      </w:pPr>
    </w:p>
    <w:p w14:paraId="07002FD5">
      <w:pPr>
        <w:autoSpaceDE w:val="0"/>
        <w:autoSpaceDN w:val="0"/>
        <w:jc w:val="center"/>
        <w:rPr>
          <w:rFonts w:hint="eastAsia" w:ascii="宋体" w:hAnsi="宋体" w:eastAsia="宋体" w:cs="宋体"/>
          <w:b/>
          <w:color w:val="auto"/>
          <w:spacing w:val="6"/>
          <w:sz w:val="32"/>
          <w:szCs w:val="32"/>
          <w:highlight w:val="none"/>
        </w:rPr>
      </w:pPr>
    </w:p>
    <w:p w14:paraId="6BC1CA7C">
      <w:pPr>
        <w:autoSpaceDE w:val="0"/>
        <w:autoSpaceDN w:val="0"/>
        <w:jc w:val="center"/>
        <w:rPr>
          <w:rFonts w:hint="eastAsia" w:ascii="宋体" w:hAnsi="宋体" w:eastAsia="宋体" w:cs="宋体"/>
          <w:b/>
          <w:color w:val="auto"/>
          <w:spacing w:val="6"/>
          <w:sz w:val="32"/>
          <w:szCs w:val="32"/>
          <w:highlight w:val="none"/>
        </w:rPr>
      </w:pPr>
    </w:p>
    <w:p w14:paraId="7F2B8EDE">
      <w:pPr>
        <w:autoSpaceDE w:val="0"/>
        <w:autoSpaceDN w:val="0"/>
        <w:jc w:val="center"/>
        <w:rPr>
          <w:rFonts w:hint="eastAsia" w:ascii="宋体" w:hAnsi="宋体" w:eastAsia="宋体" w:cs="宋体"/>
          <w:b/>
          <w:color w:val="auto"/>
          <w:spacing w:val="6"/>
          <w:sz w:val="32"/>
          <w:szCs w:val="32"/>
          <w:highlight w:val="none"/>
        </w:rPr>
      </w:pPr>
    </w:p>
    <w:p w14:paraId="5B7321B8">
      <w:pPr>
        <w:autoSpaceDE w:val="0"/>
        <w:autoSpaceDN w:val="0"/>
        <w:jc w:val="center"/>
        <w:rPr>
          <w:rFonts w:hint="eastAsia" w:ascii="宋体" w:hAnsi="宋体" w:eastAsia="宋体" w:cs="宋体"/>
          <w:b/>
          <w:color w:val="auto"/>
          <w:spacing w:val="6"/>
          <w:sz w:val="32"/>
          <w:szCs w:val="32"/>
          <w:highlight w:val="none"/>
        </w:rPr>
      </w:pPr>
    </w:p>
    <w:p w14:paraId="5890451C">
      <w:pPr>
        <w:autoSpaceDE w:val="0"/>
        <w:autoSpaceDN w:val="0"/>
        <w:jc w:val="both"/>
        <w:rPr>
          <w:rFonts w:hint="eastAsia" w:ascii="宋体" w:hAnsi="宋体" w:eastAsia="宋体" w:cs="宋体"/>
          <w:b/>
          <w:color w:val="auto"/>
          <w:spacing w:val="6"/>
          <w:sz w:val="32"/>
          <w:szCs w:val="32"/>
          <w:highlight w:val="none"/>
        </w:rPr>
      </w:pPr>
    </w:p>
    <w:p w14:paraId="5FAB7E68">
      <w:pPr>
        <w:autoSpaceDE w:val="0"/>
        <w:autoSpaceDN w:val="0"/>
        <w:jc w:val="both"/>
        <w:rPr>
          <w:rFonts w:hint="eastAsia" w:ascii="宋体" w:hAnsi="宋体" w:eastAsia="宋体" w:cs="宋体"/>
          <w:b/>
          <w:color w:val="auto"/>
          <w:spacing w:val="6"/>
          <w:sz w:val="32"/>
          <w:szCs w:val="32"/>
          <w:highlight w:val="none"/>
        </w:rPr>
      </w:pPr>
    </w:p>
    <w:p w14:paraId="25A34BE4">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附件6：分包意向协议</w:t>
      </w:r>
    </w:p>
    <w:p w14:paraId="73A1DBEB">
      <w:pPr>
        <w:pageBreakBefore w:val="0"/>
        <w:widowControl/>
        <w:kinsoku/>
        <w:wordWrap/>
        <w:overflowPunct/>
        <w:topLinePunct w:val="0"/>
        <w:bidi w:val="0"/>
        <w:spacing w:line="400" w:lineRule="exact"/>
        <w:ind w:firstLine="120" w:firstLineChars="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14:paraId="4147A5F5">
      <w:pPr>
        <w:pageBreakBefore w:val="0"/>
        <w:kinsoku/>
        <w:wordWrap/>
        <w:overflowPunct/>
        <w:topLinePunct w:val="0"/>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cs="宋体"/>
          <w:color w:val="auto"/>
          <w:sz w:val="24"/>
          <w:highlight w:val="none"/>
          <w:u w:val="single"/>
          <w:lang w:val="en-US" w:eastAsia="zh-CN"/>
        </w:rPr>
        <w:t>建德市寿昌镇人民政府2025年寿昌初级中学改扩建-艺体楼设备采购项目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val="en-US" w:eastAsia="zh-CN"/>
        </w:rPr>
        <w:t>JD2025BF-067</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301A8C49">
      <w:pPr>
        <w:pageBreakBefore w:val="0"/>
        <w:kinsoku/>
        <w:wordWrap/>
        <w:overflowPunct/>
        <w:topLinePunct w:val="0"/>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3FC1B894">
      <w:pPr>
        <w:pageBreakBefore w:val="0"/>
        <w:kinsoku/>
        <w:wordWrap/>
        <w:overflowPunct/>
        <w:topLinePunct w:val="0"/>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4C181A03">
      <w:pPr>
        <w:pStyle w:val="3"/>
        <w:pageBreakBefore w:val="0"/>
        <w:kinsoku/>
        <w:wordWrap/>
        <w:overflowPunct/>
        <w:topLinePunct w:val="0"/>
        <w:bidi w:val="0"/>
        <w:spacing w:line="400" w:lineRule="exact"/>
        <w:ind w:left="664" w:leftChars="316" w:firstLine="229" w:firstLineChars="95"/>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63B7846F">
      <w:pPr>
        <w:pageBreakBefore w:val="0"/>
        <w:kinsoku/>
        <w:wordWrap/>
        <w:overflowPunct/>
        <w:topLinePunct w:val="0"/>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14:paraId="2B1AEE47">
      <w:pPr>
        <w:pageBreakBefore w:val="0"/>
        <w:kinsoku/>
        <w:wordWrap/>
        <w:overflowPunct/>
        <w:topLinePunct w:val="0"/>
        <w:bidi w:val="0"/>
        <w:snapToGrid w:val="0"/>
        <w:spacing w:line="400" w:lineRule="exact"/>
        <w:ind w:firstLine="576"/>
        <w:textAlignment w:val="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（分包供应商X,……）提供的货物全部由小微企业制造，</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w:t>
      </w:r>
      <w:r>
        <w:rPr>
          <w:rFonts w:hint="eastAsia" w:ascii="宋体" w:hAnsi="宋体" w:cs="宋体"/>
          <w:b/>
          <w:color w:val="auto"/>
          <w:kern w:val="0"/>
          <w:sz w:val="24"/>
          <w:highlight w:val="none"/>
          <w:lang w:val="zh-CN"/>
        </w:rPr>
        <w:t>的</w:t>
      </w:r>
      <w:r>
        <w:rPr>
          <w:rFonts w:hint="eastAsia" w:ascii="宋体" w:hAnsi="宋体" w:eastAsia="宋体" w:cs="宋体"/>
          <w:b/>
          <w:color w:val="auto"/>
          <w:kern w:val="0"/>
          <w:sz w:val="24"/>
          <w:highlight w:val="none"/>
          <w:lang w:val="zh-CN"/>
        </w:rPr>
        <w:t>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28D3CC7B">
      <w:pPr>
        <w:pageBreakBefore w:val="0"/>
        <w:kinsoku/>
        <w:wordWrap/>
        <w:overflowPunct/>
        <w:topLinePunct w:val="0"/>
        <w:bidi w:val="0"/>
        <w:spacing w:line="400" w:lineRule="exact"/>
        <w:ind w:firstLine="480" w:firstLineChars="200"/>
        <w:textAlignment w:val="auto"/>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555"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bookmarkEnd w:id="555"/>
    </w:p>
    <w:p w14:paraId="4FC169E8">
      <w:pPr>
        <w:pageBreakBefore w:val="0"/>
        <w:kinsoku/>
        <w:wordWrap/>
        <w:overflowPunct/>
        <w:topLinePunct w:val="0"/>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2442B66D">
      <w:pPr>
        <w:pageBreakBefore w:val="0"/>
        <w:kinsoku/>
        <w:wordWrap/>
        <w:overflowPunct/>
        <w:topLinePunct w:val="0"/>
        <w:bidi w:val="0"/>
        <w:snapToGrid w:val="0"/>
        <w:spacing w:line="400" w:lineRule="exact"/>
        <w:ind w:firstLine="576"/>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48514481">
      <w:pPr>
        <w:pageBreakBefore w:val="0"/>
        <w:kinsoku/>
        <w:wordWrap/>
        <w:overflowPunct/>
        <w:topLinePunct w:val="0"/>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6C54A19C">
      <w:pPr>
        <w:pageBreakBefore w:val="0"/>
        <w:kinsoku/>
        <w:wordWrap/>
        <w:overflowPunct/>
        <w:topLinePunct w:val="0"/>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7A0E42F3">
      <w:pPr>
        <w:pageBreakBefore w:val="0"/>
        <w:kinsoku/>
        <w:wordWrap/>
        <w:overflowPunct/>
        <w:topLinePunct w:val="0"/>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3E2B7176">
      <w:pPr>
        <w:pageBreakBefore w:val="0"/>
        <w:kinsoku/>
        <w:wordWrap/>
        <w:overflowPunct/>
        <w:topLinePunct w:val="0"/>
        <w:bidi w:val="0"/>
        <w:snapToGrid w:val="0"/>
        <w:spacing w:line="400" w:lineRule="exact"/>
        <w:ind w:left="573" w:leftChars="273"/>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480EB3DF">
      <w:pPr>
        <w:pageBreakBefore w:val="0"/>
        <w:kinsoku/>
        <w:wordWrap/>
        <w:overflowPunct/>
        <w:topLinePunct w:val="0"/>
        <w:bidi w:val="0"/>
        <w:snapToGrid w:val="0"/>
        <w:spacing w:line="400" w:lineRule="exact"/>
        <w:ind w:left="573" w:leftChars="273"/>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340CCC45">
      <w:pPr>
        <w:pageBreakBefore w:val="0"/>
        <w:kinsoku/>
        <w:wordWrap/>
        <w:overflowPunct/>
        <w:topLinePunct w:val="0"/>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70380F72">
      <w:pPr>
        <w:pageBreakBefore w:val="0"/>
        <w:kinsoku/>
        <w:wordWrap/>
        <w:overflowPunct/>
        <w:topLinePunct w:val="0"/>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336065A5">
      <w:pPr>
        <w:pageBreakBefore w:val="0"/>
        <w:kinsoku/>
        <w:wordWrap/>
        <w:overflowPunct/>
        <w:topLinePunct w:val="0"/>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5863E492">
      <w:pPr>
        <w:pageBreakBefore w:val="0"/>
        <w:kinsoku/>
        <w:wordWrap/>
        <w:overflowPunct/>
        <w:topLinePunct w:val="0"/>
        <w:bidi w:val="0"/>
        <w:snapToGrid w:val="0"/>
        <w:spacing w:line="400" w:lineRule="exact"/>
        <w:ind w:left="5758" w:leftChars="342" w:hanging="5040" w:hangingChars="21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w:t>
      </w:r>
    </w:p>
    <w:p w14:paraId="55C62012">
      <w:pPr>
        <w:pageBreakBefore w:val="0"/>
        <w:kinsoku/>
        <w:wordWrap/>
        <w:overflowPunct/>
        <w:topLinePunct w:val="0"/>
        <w:bidi w:val="0"/>
        <w:snapToGrid w:val="0"/>
        <w:spacing w:line="400" w:lineRule="exact"/>
        <w:jc w:val="righ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42BD098F">
      <w:pPr>
        <w:pageBreakBefore w:val="0"/>
        <w:kinsoku/>
        <w:wordWrap/>
        <w:overflowPunct/>
        <w:topLinePunct w:val="0"/>
        <w:bidi w:val="0"/>
        <w:snapToGrid w:val="0"/>
        <w:spacing w:line="400" w:lineRule="exact"/>
        <w:ind w:firstLine="5760" w:firstLineChars="2400"/>
        <w:textAlignment w:val="auto"/>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01F6365A">
      <w:pPr>
        <w:pageBreakBefore w:val="0"/>
        <w:kinsoku/>
        <w:wordWrap/>
        <w:overflowPunct/>
        <w:topLinePunct w:val="0"/>
        <w:bidi w:val="0"/>
        <w:spacing w:line="400" w:lineRule="exact"/>
        <w:jc w:val="center"/>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7EAB7922">
      <w:pPr>
        <w:pageBreakBefore w:val="0"/>
        <w:kinsoku/>
        <w:wordWrap/>
        <w:overflowPunct/>
        <w:topLinePunct w:val="0"/>
        <w:bidi w:val="0"/>
        <w:spacing w:line="400" w:lineRule="exact"/>
        <w:ind w:right="42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7C87B185">
      <w:pPr>
        <w:pageBreakBefore w:val="0"/>
        <w:kinsoku/>
        <w:wordWrap/>
        <w:overflowPunct/>
        <w:topLinePunct w:val="0"/>
        <w:autoSpaceDE w:val="0"/>
        <w:autoSpaceDN w:val="0"/>
        <w:bidi w:val="0"/>
        <w:spacing w:line="400" w:lineRule="exact"/>
        <w:jc w:val="center"/>
        <w:textAlignment w:val="auto"/>
        <w:rPr>
          <w:rFonts w:hint="eastAsia" w:ascii="宋体" w:hAnsi="宋体" w:eastAsia="宋体" w:cs="宋体"/>
          <w:b/>
          <w:color w:val="auto"/>
          <w:spacing w:val="6"/>
          <w:sz w:val="32"/>
          <w:szCs w:val="32"/>
          <w:highlight w:val="none"/>
        </w:rPr>
      </w:pPr>
    </w:p>
    <w:p w14:paraId="6C83AEF7">
      <w:pPr>
        <w:snapToGrid w:val="0"/>
        <w:spacing w:line="360" w:lineRule="auto"/>
        <w:jc w:val="center"/>
        <w:outlineLvl w:val="0"/>
        <w:rPr>
          <w:rFonts w:hint="eastAsia" w:ascii="宋体" w:hAnsi="宋体" w:eastAsia="宋体" w:cs="宋体"/>
          <w:b/>
          <w:color w:val="auto"/>
          <w:kern w:val="0"/>
          <w:sz w:val="44"/>
          <w:szCs w:val="44"/>
          <w:highlight w:val="none"/>
        </w:rPr>
      </w:pPr>
      <w:r>
        <w:rPr>
          <w:rFonts w:hint="eastAsia" w:ascii="宋体" w:hAnsi="宋体" w:eastAsia="宋体" w:cs="宋体"/>
          <w:b/>
          <w:color w:val="auto"/>
          <w:kern w:val="0"/>
          <w:sz w:val="44"/>
          <w:szCs w:val="44"/>
          <w:highlight w:val="none"/>
        </w:rPr>
        <w:t>附件7：中小企业声明函</w:t>
      </w:r>
    </w:p>
    <w:p w14:paraId="5D5B7910">
      <w:pPr>
        <w:spacing w:line="360" w:lineRule="auto"/>
        <w:jc w:val="center"/>
        <w:rPr>
          <w:rFonts w:hint="eastAsia" w:ascii="宋体" w:hAnsi="宋体" w:eastAsia="宋体" w:cs="宋体"/>
          <w:color w:val="auto"/>
          <w:sz w:val="24"/>
          <w:highlight w:val="none"/>
          <w:u w:val="single"/>
        </w:rPr>
      </w:pPr>
    </w:p>
    <w:p w14:paraId="23250E32">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中小企业声明函（货物）</w:t>
      </w:r>
    </w:p>
    <w:p w14:paraId="46EC5B9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本公司（联合体）郑重声明，根据《政府采购促进中小企业发展管理办法》（财库﹝2020﹞46 号）的规定，本公司（联合体）</w:t>
      </w:r>
      <w:r>
        <w:rPr>
          <w:rFonts w:hint="eastAsia" w:ascii="宋体" w:hAnsi="宋体" w:eastAsia="宋体" w:cs="宋体"/>
          <w:color w:val="auto"/>
          <w:sz w:val="24"/>
          <w:highlight w:val="none"/>
          <w:lang w:eastAsia="zh-CN"/>
        </w:rPr>
        <w:t>参加</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建德市寿昌镇人民政府</w:t>
      </w:r>
      <w:r>
        <w:rPr>
          <w:rFonts w:hint="eastAsia" w:ascii="宋体" w:hAnsi="宋体" w:eastAsia="宋体" w:cs="宋体"/>
          <w:color w:val="auto"/>
          <w:sz w:val="24"/>
          <w:highlight w:val="none"/>
          <w:u w:val="single"/>
        </w:rPr>
        <w:t>的</w:t>
      </w:r>
      <w:r>
        <w:rPr>
          <w:rFonts w:hint="eastAsia" w:ascii="宋体" w:hAnsi="宋体" w:cs="宋体"/>
          <w:color w:val="auto"/>
          <w:sz w:val="24"/>
          <w:highlight w:val="none"/>
          <w:u w:val="single"/>
          <w:lang w:val="en-US" w:eastAsia="zh-CN"/>
        </w:rPr>
        <w:t>建德市寿昌镇人民政府2025年寿昌初级中学改扩建-艺体楼设备采购项目</w:t>
      </w:r>
      <w:r>
        <w:rPr>
          <w:rFonts w:hint="eastAsia" w:ascii="宋体" w:hAnsi="宋体" w:eastAsia="宋体" w:cs="宋体"/>
          <w:color w:val="auto"/>
          <w:sz w:val="24"/>
          <w:highlight w:val="none"/>
          <w:u w:val="single"/>
        </w:rPr>
        <w:t>活动</w:t>
      </w:r>
      <w:r>
        <w:rPr>
          <w:rFonts w:hint="eastAsia" w:ascii="宋体" w:hAnsi="宋体" w:eastAsia="宋体" w:cs="宋体"/>
          <w:color w:val="auto"/>
          <w:sz w:val="24"/>
          <w:highlight w:val="none"/>
        </w:rPr>
        <w:t>，提供的货物全部由符合政策要求的中小企业制造。相关企业（含联合体中的中小企业、签订分包意向协议的中小企业）的具体情况如下：</w:t>
      </w:r>
    </w:p>
    <w:p w14:paraId="1989CF8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cs="宋体"/>
          <w:color w:val="auto"/>
          <w:sz w:val="24"/>
          <w:highlight w:val="none"/>
          <w:lang w:val="en-US" w:eastAsia="zh-CN"/>
        </w:rPr>
        <w:t>投标标的</w:t>
      </w:r>
      <w:r>
        <w:rPr>
          <w:rFonts w:hint="eastAsia" w:ascii="宋体" w:hAnsi="宋体" w:eastAsia="宋体" w:cs="宋体"/>
          <w:color w:val="auto"/>
          <w:sz w:val="24"/>
          <w:highlight w:val="none"/>
          <w:lang w:val="zh-CN" w:eastAsia="zh-CN"/>
        </w:rPr>
        <w:t xml:space="preserve"> </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lang w:eastAsia="zh-CN"/>
        </w:rPr>
        <w:t>工业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258091D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cs="宋体"/>
          <w:color w:val="auto"/>
          <w:sz w:val="24"/>
          <w:highlight w:val="none"/>
          <w:lang w:val="en-US" w:eastAsia="zh-CN"/>
        </w:rPr>
        <w:t>投标标的</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lang w:eastAsia="zh-CN"/>
        </w:rPr>
        <w:t>工业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7F1D6F7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eastAsia="zh-CN"/>
        </w:rPr>
        <w:t xml:space="preserve"> </w:t>
      </w:r>
      <w:r>
        <w:rPr>
          <w:rFonts w:hint="eastAsia" w:ascii="宋体" w:hAnsi="宋体" w:cs="宋体"/>
          <w:color w:val="auto"/>
          <w:sz w:val="24"/>
          <w:highlight w:val="none"/>
          <w:lang w:val="en-US" w:eastAsia="zh-CN"/>
        </w:rPr>
        <w:t>投标标的</w:t>
      </w:r>
      <w:r>
        <w:rPr>
          <w:rFonts w:hint="eastAsia" w:ascii="宋体" w:hAnsi="宋体" w:eastAsia="宋体" w:cs="宋体"/>
          <w:color w:val="auto"/>
          <w:sz w:val="24"/>
          <w:highlight w:val="none"/>
          <w:lang w:val="zh-CN" w:eastAsia="zh-CN"/>
        </w:rPr>
        <w:t xml:space="preserve"> </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lang w:eastAsia="zh-CN"/>
        </w:rPr>
        <w:t>工业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07A57837">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p w14:paraId="2F44B1D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060ACFE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19C3AA2E">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1F3772C1">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1A3A5DE0">
      <w:pPr>
        <w:spacing w:line="36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从业人员、营业收入、资产总额填报上一年度数据，无上一年度数据的新成立企业可不填报。</w:t>
      </w:r>
    </w:p>
    <w:p w14:paraId="64DA5B2E">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4BD0774E">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26571D8">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539E5A2">
      <w:pPr>
        <w:rPr>
          <w:rFonts w:hint="default" w:ascii="宋体" w:hAnsi="宋体" w:eastAsia="宋体" w:cs="宋体"/>
          <w:b/>
          <w:color w:val="auto"/>
          <w:kern w:val="0"/>
          <w:sz w:val="44"/>
          <w:szCs w:val="44"/>
          <w:highlight w:val="none"/>
          <w:lang w:val="en-US" w:eastAsia="zh-CN"/>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8B00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57DD1">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ECE25">
    <w:pPr>
      <w:pStyle w:val="40"/>
      <w:framePr w:wrap="around" w:vAnchor="text" w:hAnchor="margin" w:xAlign="right" w:y="1"/>
      <w:rPr>
        <w:rStyle w:val="72"/>
      </w:rPr>
    </w:pPr>
    <w:r>
      <w:fldChar w:fldCharType="begin"/>
    </w:r>
    <w:r>
      <w:rPr>
        <w:rStyle w:val="72"/>
      </w:rPr>
      <w:instrText xml:space="preserve">PAGE  </w:instrText>
    </w:r>
    <w:r>
      <w:fldChar w:fldCharType="end"/>
    </w:r>
  </w:p>
  <w:p w14:paraId="180F4739">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E8DC8">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bookmarkStart w:id="556" w:name="_Toc36110187"/>
    <w:bookmarkStart w:id="557" w:name="_Toc164085800"/>
    <w:bookmarkStart w:id="558" w:name="_Toc131845147"/>
    <w:bookmarkStart w:id="559" w:name="_Toc91899912"/>
    <w:r>
      <w:rPr>
        <w:rFonts w:hint="eastAsia" w:ascii="仿宋_GB2312" w:eastAsia="仿宋_GB2312"/>
        <w:kern w:val="0"/>
        <w:szCs w:val="21"/>
      </w:rPr>
      <w:t xml:space="preserve"> 页</w:t>
    </w:r>
    <w:bookmarkEnd w:id="556"/>
    <w:bookmarkEnd w:id="557"/>
    <w:bookmarkEnd w:id="558"/>
    <w:bookmarkEnd w:id="55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89889">
    <w:pPr>
      <w:pStyle w:val="40"/>
      <w:framePr w:wrap="around" w:vAnchor="text" w:hAnchor="margin" w:xAlign="right" w:y="1"/>
      <w:rPr>
        <w:rStyle w:val="72"/>
      </w:rPr>
    </w:pPr>
    <w:r>
      <w:fldChar w:fldCharType="begin"/>
    </w:r>
    <w:r>
      <w:rPr>
        <w:rStyle w:val="72"/>
      </w:rPr>
      <w:instrText xml:space="preserve">PAGE  </w:instrText>
    </w:r>
    <w:r>
      <w:fldChar w:fldCharType="end"/>
    </w:r>
  </w:p>
  <w:p w14:paraId="0EFC9FD3">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22BB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832A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w:t>
    </w:r>
  </w:p>
  <w:p w14:paraId="5BCF679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608D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w:t>
    </w:r>
  </w:p>
  <w:p w14:paraId="6AFEB8E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FC72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w:t>
    </w:r>
  </w:p>
  <w:p w14:paraId="10E47F4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6E52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w:t>
    </w:r>
  </w:p>
  <w:p w14:paraId="0548E03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1D7E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w:t>
    </w:r>
  </w:p>
  <w:p w14:paraId="37DAE65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2242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w:t>
    </w:r>
  </w:p>
  <w:p w14:paraId="083A0CA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B1E7E">
    <w:pPr>
      <w:pStyle w:val="41"/>
      <w:pBdr>
        <w:bottom w:val="single" w:color="auto" w:sz="6" w:space="4"/>
      </w:pBdr>
      <w:jc w:val="right"/>
    </w:pPr>
    <w:r>
      <w:t></w:t>
    </w:r>
    <w:r>
      <w:rPr>
        <w:rFonts w:hint="eastAsia"/>
      </w:rPr>
      <w:t xml:space="preserve">             </w:t>
    </w:r>
    <w:r>
      <w:t>杭州市政府采购公开招标文件</w:t>
    </w:r>
  </w:p>
  <w:p w14:paraId="0C748DAB">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59B37">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7958B">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C8D36">
    <w:pPr>
      <w:pStyle w:val="41"/>
      <w:jc w:val="right"/>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E9E6A">
    <w:pPr>
      <w:pStyle w:val="41"/>
    </w:pPr>
    <w:r>
      <w:t></w:t>
    </w:r>
    <w:r>
      <w:rPr>
        <w:rFonts w:hint="eastAsia"/>
      </w:rPr>
      <w:t xml:space="preserve">         </w:t>
    </w:r>
  </w:p>
  <w:p w14:paraId="63DFAEA8">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33672">
    <w:pPr>
      <w:pStyle w:val="41"/>
      <w:rPr>
        <w:rFonts w:ascii="仿宋_GB2312" w:eastAsia="仿宋_GB2312"/>
        <w:b/>
        <w:i/>
        <w:u w:val="single"/>
      </w:rPr>
    </w:pPr>
    <w:r>
      <w:t></w:t>
    </w:r>
    <w:r>
      <w:rPr>
        <w:rFonts w:hint="eastAsia"/>
      </w:rPr>
      <w:t xml:space="preserve">                                                </w:t>
    </w:r>
    <w:r>
      <w:t xml:space="preserve"> 杭州市政府采购公开招标文件</w:t>
    </w:r>
  </w:p>
  <w:p w14:paraId="538CF14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21C32">
    <w:pPr>
      <w:pStyle w:val="41"/>
      <w:jc w:val="right"/>
    </w:pPr>
    <w:r>
      <w:t></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18973">
    <w:pPr>
      <w:pStyle w:val="41"/>
      <w:jc w:val="right"/>
      <w:rPr>
        <w:rFonts w:ascii="仿宋_GB2312" w:eastAsia="仿宋_GB2312"/>
        <w:b/>
        <w:i/>
        <w:u w:val="single"/>
      </w:rPr>
    </w:pPr>
    <w:r>
      <w:rPr>
        <w:rFonts w:hint="eastAsia"/>
      </w:rPr>
      <w:t xml:space="preserve">                                  </w:t>
    </w:r>
    <w:r>
      <w:t>杭州市政府采购公开招标文件</w:t>
    </w:r>
  </w:p>
  <w:p w14:paraId="302723E2">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88C12">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92DA">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90D9B7"/>
    <w:multiLevelType w:val="singleLevel"/>
    <w:tmpl w:val="D890D9B7"/>
    <w:lvl w:ilvl="0" w:tentative="0">
      <w:start w:val="1"/>
      <w:numFmt w:val="decimal"/>
      <w:suff w:val="nothing"/>
      <w:lvlText w:val="（%1）"/>
      <w:lvlJc w:val="left"/>
    </w:lvl>
  </w:abstractNum>
  <w:abstractNum w:abstractNumId="1">
    <w:nsid w:val="13B553CE"/>
    <w:multiLevelType w:val="singleLevel"/>
    <w:tmpl w:val="13B553CE"/>
    <w:lvl w:ilvl="0" w:tentative="0">
      <w:start w:val="2"/>
      <w:numFmt w:val="chineseCounting"/>
      <w:suff w:val="nothing"/>
      <w:lvlText w:val="%1、"/>
      <w:lvlJc w:val="left"/>
      <w:rPr>
        <w:rFonts w:hint="eastAsia"/>
      </w:rPr>
    </w:lvl>
  </w:abstractNum>
  <w:abstractNum w:abstractNumId="2">
    <w:nsid w:val="51B786DB"/>
    <w:multiLevelType w:val="singleLevel"/>
    <w:tmpl w:val="51B786DB"/>
    <w:lvl w:ilvl="0" w:tentative="0">
      <w:start w:val="3"/>
      <w:numFmt w:val="chineseCounting"/>
      <w:suff w:val="space"/>
      <w:lvlText w:val="第%1部分"/>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BkZTg4YTA3NjVlYmIxMDc5NjJkNzkxM2RhOTU4OT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64E"/>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37C28"/>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5A16"/>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9D9"/>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0F1DA1"/>
    <w:rsid w:val="011F6449"/>
    <w:rsid w:val="01236AFB"/>
    <w:rsid w:val="01626374"/>
    <w:rsid w:val="019F7441"/>
    <w:rsid w:val="01A36C1E"/>
    <w:rsid w:val="01B37585"/>
    <w:rsid w:val="01D55165"/>
    <w:rsid w:val="01DF6BF8"/>
    <w:rsid w:val="01EC2C57"/>
    <w:rsid w:val="02177E2C"/>
    <w:rsid w:val="022729A5"/>
    <w:rsid w:val="02372857"/>
    <w:rsid w:val="025F0711"/>
    <w:rsid w:val="026B2E25"/>
    <w:rsid w:val="02824D4D"/>
    <w:rsid w:val="02832A46"/>
    <w:rsid w:val="02DC4B10"/>
    <w:rsid w:val="02DD76CE"/>
    <w:rsid w:val="02F36323"/>
    <w:rsid w:val="02F5619C"/>
    <w:rsid w:val="0305345B"/>
    <w:rsid w:val="0326446A"/>
    <w:rsid w:val="0328539C"/>
    <w:rsid w:val="032D5555"/>
    <w:rsid w:val="03304250"/>
    <w:rsid w:val="036634D2"/>
    <w:rsid w:val="03DD35E4"/>
    <w:rsid w:val="03E05C76"/>
    <w:rsid w:val="04076900"/>
    <w:rsid w:val="041A5A3B"/>
    <w:rsid w:val="042311BA"/>
    <w:rsid w:val="042B157A"/>
    <w:rsid w:val="0432645F"/>
    <w:rsid w:val="04406715"/>
    <w:rsid w:val="04770389"/>
    <w:rsid w:val="047F0FEB"/>
    <w:rsid w:val="0486237A"/>
    <w:rsid w:val="048F763B"/>
    <w:rsid w:val="049F330E"/>
    <w:rsid w:val="04AA775C"/>
    <w:rsid w:val="04AB3B8E"/>
    <w:rsid w:val="04AE367F"/>
    <w:rsid w:val="04AF1889"/>
    <w:rsid w:val="04BA64C7"/>
    <w:rsid w:val="04E15802"/>
    <w:rsid w:val="04E92909"/>
    <w:rsid w:val="04F66F48"/>
    <w:rsid w:val="050B6D23"/>
    <w:rsid w:val="051D41FB"/>
    <w:rsid w:val="05251E14"/>
    <w:rsid w:val="053718C6"/>
    <w:rsid w:val="05946D18"/>
    <w:rsid w:val="059B3BDB"/>
    <w:rsid w:val="05A16594"/>
    <w:rsid w:val="05A7762D"/>
    <w:rsid w:val="060E5941"/>
    <w:rsid w:val="060E6ACB"/>
    <w:rsid w:val="06110FAF"/>
    <w:rsid w:val="06314567"/>
    <w:rsid w:val="06331B3C"/>
    <w:rsid w:val="06493CA7"/>
    <w:rsid w:val="065A6178"/>
    <w:rsid w:val="066F1CF3"/>
    <w:rsid w:val="06846D8D"/>
    <w:rsid w:val="06930BB8"/>
    <w:rsid w:val="069A3EBB"/>
    <w:rsid w:val="06B34F7C"/>
    <w:rsid w:val="06C74ECC"/>
    <w:rsid w:val="070D6D82"/>
    <w:rsid w:val="07245D42"/>
    <w:rsid w:val="07264C62"/>
    <w:rsid w:val="07386428"/>
    <w:rsid w:val="0779354C"/>
    <w:rsid w:val="07DF3B97"/>
    <w:rsid w:val="08061376"/>
    <w:rsid w:val="080C1E75"/>
    <w:rsid w:val="08452D77"/>
    <w:rsid w:val="086401F8"/>
    <w:rsid w:val="0869623A"/>
    <w:rsid w:val="08751CAA"/>
    <w:rsid w:val="087E4C40"/>
    <w:rsid w:val="08A871D0"/>
    <w:rsid w:val="08CE0793"/>
    <w:rsid w:val="08D66AD6"/>
    <w:rsid w:val="08DA33A3"/>
    <w:rsid w:val="08E80F13"/>
    <w:rsid w:val="08F024B8"/>
    <w:rsid w:val="08FC0E5C"/>
    <w:rsid w:val="09335624"/>
    <w:rsid w:val="0944690F"/>
    <w:rsid w:val="09535675"/>
    <w:rsid w:val="09554A11"/>
    <w:rsid w:val="095F057D"/>
    <w:rsid w:val="09616F12"/>
    <w:rsid w:val="09642282"/>
    <w:rsid w:val="09733572"/>
    <w:rsid w:val="09772C16"/>
    <w:rsid w:val="098353B5"/>
    <w:rsid w:val="09A92330"/>
    <w:rsid w:val="09B06B87"/>
    <w:rsid w:val="09C13146"/>
    <w:rsid w:val="09D26061"/>
    <w:rsid w:val="09E04166"/>
    <w:rsid w:val="0A1C0718"/>
    <w:rsid w:val="0A2D14EA"/>
    <w:rsid w:val="0A3E7710"/>
    <w:rsid w:val="0A5B7E63"/>
    <w:rsid w:val="0A800499"/>
    <w:rsid w:val="0AA374A5"/>
    <w:rsid w:val="0AAB7649"/>
    <w:rsid w:val="0AB319EF"/>
    <w:rsid w:val="0ABC5606"/>
    <w:rsid w:val="0B30404E"/>
    <w:rsid w:val="0B304DED"/>
    <w:rsid w:val="0B4C6C14"/>
    <w:rsid w:val="0B5331D2"/>
    <w:rsid w:val="0B547599"/>
    <w:rsid w:val="0B631A88"/>
    <w:rsid w:val="0B683D45"/>
    <w:rsid w:val="0B7C44D7"/>
    <w:rsid w:val="0B7F3F11"/>
    <w:rsid w:val="0B884417"/>
    <w:rsid w:val="0B9F6417"/>
    <w:rsid w:val="0BAE0408"/>
    <w:rsid w:val="0BBA6DAD"/>
    <w:rsid w:val="0BF6188C"/>
    <w:rsid w:val="0BF70001"/>
    <w:rsid w:val="0BF73C91"/>
    <w:rsid w:val="0BFD7FF1"/>
    <w:rsid w:val="0C0D15D3"/>
    <w:rsid w:val="0C170175"/>
    <w:rsid w:val="0C571A41"/>
    <w:rsid w:val="0C5C1171"/>
    <w:rsid w:val="0C5E1CBC"/>
    <w:rsid w:val="0C615B50"/>
    <w:rsid w:val="0C6C62F9"/>
    <w:rsid w:val="0C8353F1"/>
    <w:rsid w:val="0C8445DA"/>
    <w:rsid w:val="0C87121B"/>
    <w:rsid w:val="0CC007F7"/>
    <w:rsid w:val="0CC617AC"/>
    <w:rsid w:val="0CD520F0"/>
    <w:rsid w:val="0CE618DF"/>
    <w:rsid w:val="0CFE707A"/>
    <w:rsid w:val="0D063BDA"/>
    <w:rsid w:val="0D08375F"/>
    <w:rsid w:val="0D097FEC"/>
    <w:rsid w:val="0D184CFB"/>
    <w:rsid w:val="0D4A7419"/>
    <w:rsid w:val="0D4E59FF"/>
    <w:rsid w:val="0D696CDD"/>
    <w:rsid w:val="0D6C2329"/>
    <w:rsid w:val="0D827401"/>
    <w:rsid w:val="0D84094E"/>
    <w:rsid w:val="0D8A00E9"/>
    <w:rsid w:val="0D8D589E"/>
    <w:rsid w:val="0DA01C73"/>
    <w:rsid w:val="0DD63300"/>
    <w:rsid w:val="0DE46363"/>
    <w:rsid w:val="0DF50604"/>
    <w:rsid w:val="0DF702FE"/>
    <w:rsid w:val="0E060E51"/>
    <w:rsid w:val="0E06277D"/>
    <w:rsid w:val="0E1A1D85"/>
    <w:rsid w:val="0E4868F2"/>
    <w:rsid w:val="0E5604B2"/>
    <w:rsid w:val="0E6179B4"/>
    <w:rsid w:val="0E6D5D79"/>
    <w:rsid w:val="0E87068D"/>
    <w:rsid w:val="0E9D0089"/>
    <w:rsid w:val="0EA93C39"/>
    <w:rsid w:val="0EB803EE"/>
    <w:rsid w:val="0EE26D46"/>
    <w:rsid w:val="0EF94D4B"/>
    <w:rsid w:val="0F47603E"/>
    <w:rsid w:val="0F4958DC"/>
    <w:rsid w:val="0F515DF7"/>
    <w:rsid w:val="0F596BA8"/>
    <w:rsid w:val="0F5F3EF3"/>
    <w:rsid w:val="0F6248D2"/>
    <w:rsid w:val="0F693536"/>
    <w:rsid w:val="0F7B0511"/>
    <w:rsid w:val="0F7B76D9"/>
    <w:rsid w:val="0F7F4595"/>
    <w:rsid w:val="0F816ACD"/>
    <w:rsid w:val="0F8E2A2A"/>
    <w:rsid w:val="0F9832DB"/>
    <w:rsid w:val="0FA1275E"/>
    <w:rsid w:val="0FBF3FD2"/>
    <w:rsid w:val="0FBF7FF3"/>
    <w:rsid w:val="0FCE2E27"/>
    <w:rsid w:val="0FE12B5A"/>
    <w:rsid w:val="101271B8"/>
    <w:rsid w:val="10374E70"/>
    <w:rsid w:val="10646583"/>
    <w:rsid w:val="107D4B15"/>
    <w:rsid w:val="108A3C80"/>
    <w:rsid w:val="10C26171"/>
    <w:rsid w:val="10F33360"/>
    <w:rsid w:val="10FC16EA"/>
    <w:rsid w:val="110F1D40"/>
    <w:rsid w:val="11266F33"/>
    <w:rsid w:val="118963A1"/>
    <w:rsid w:val="11A81EE9"/>
    <w:rsid w:val="11C6522A"/>
    <w:rsid w:val="11D16BFE"/>
    <w:rsid w:val="11DF756D"/>
    <w:rsid w:val="11E104CC"/>
    <w:rsid w:val="11E20309"/>
    <w:rsid w:val="11E20E0C"/>
    <w:rsid w:val="11E626AA"/>
    <w:rsid w:val="11FC1ECD"/>
    <w:rsid w:val="120538FB"/>
    <w:rsid w:val="12137217"/>
    <w:rsid w:val="12255233"/>
    <w:rsid w:val="12530213"/>
    <w:rsid w:val="127723A9"/>
    <w:rsid w:val="12862074"/>
    <w:rsid w:val="12883966"/>
    <w:rsid w:val="129739A4"/>
    <w:rsid w:val="129E45B4"/>
    <w:rsid w:val="12D81596"/>
    <w:rsid w:val="12E60488"/>
    <w:rsid w:val="13072A44"/>
    <w:rsid w:val="130F79DE"/>
    <w:rsid w:val="13117BFA"/>
    <w:rsid w:val="131B2827"/>
    <w:rsid w:val="1331204B"/>
    <w:rsid w:val="133D454B"/>
    <w:rsid w:val="13405DEA"/>
    <w:rsid w:val="135F4BE2"/>
    <w:rsid w:val="138E4DA7"/>
    <w:rsid w:val="139B1A0A"/>
    <w:rsid w:val="139D25C7"/>
    <w:rsid w:val="13BF3CE4"/>
    <w:rsid w:val="141008D8"/>
    <w:rsid w:val="14125FE6"/>
    <w:rsid w:val="14270FEC"/>
    <w:rsid w:val="144E1D45"/>
    <w:rsid w:val="14504752"/>
    <w:rsid w:val="146D271E"/>
    <w:rsid w:val="14982588"/>
    <w:rsid w:val="149A5AD9"/>
    <w:rsid w:val="14A7619D"/>
    <w:rsid w:val="14F11A91"/>
    <w:rsid w:val="150536C3"/>
    <w:rsid w:val="150C1963"/>
    <w:rsid w:val="151447A0"/>
    <w:rsid w:val="152A4FA3"/>
    <w:rsid w:val="15410AF4"/>
    <w:rsid w:val="154A6454"/>
    <w:rsid w:val="15762120"/>
    <w:rsid w:val="15826B8D"/>
    <w:rsid w:val="15A0619E"/>
    <w:rsid w:val="16A8729C"/>
    <w:rsid w:val="16B33777"/>
    <w:rsid w:val="16B70AB9"/>
    <w:rsid w:val="16BC70A7"/>
    <w:rsid w:val="16C6339E"/>
    <w:rsid w:val="16D704AF"/>
    <w:rsid w:val="172F2D79"/>
    <w:rsid w:val="17475C37"/>
    <w:rsid w:val="17557BEF"/>
    <w:rsid w:val="177C13BA"/>
    <w:rsid w:val="17800EAB"/>
    <w:rsid w:val="1783099B"/>
    <w:rsid w:val="17884203"/>
    <w:rsid w:val="17AF17CA"/>
    <w:rsid w:val="17B40B54"/>
    <w:rsid w:val="17D349C1"/>
    <w:rsid w:val="17D42FA4"/>
    <w:rsid w:val="18244F26"/>
    <w:rsid w:val="1830729E"/>
    <w:rsid w:val="183103F7"/>
    <w:rsid w:val="1870062C"/>
    <w:rsid w:val="18817102"/>
    <w:rsid w:val="18830A15"/>
    <w:rsid w:val="18852B28"/>
    <w:rsid w:val="188B5321"/>
    <w:rsid w:val="18910E95"/>
    <w:rsid w:val="18C13529"/>
    <w:rsid w:val="18CA21C7"/>
    <w:rsid w:val="18F97167"/>
    <w:rsid w:val="19006747"/>
    <w:rsid w:val="19017DC9"/>
    <w:rsid w:val="198033E4"/>
    <w:rsid w:val="19932372"/>
    <w:rsid w:val="19A20DD5"/>
    <w:rsid w:val="19AE03F1"/>
    <w:rsid w:val="1A07140F"/>
    <w:rsid w:val="1A071A03"/>
    <w:rsid w:val="1A1F16AE"/>
    <w:rsid w:val="1A3B5C77"/>
    <w:rsid w:val="1A503A3F"/>
    <w:rsid w:val="1A930EF5"/>
    <w:rsid w:val="1A984BAD"/>
    <w:rsid w:val="1AB8220E"/>
    <w:rsid w:val="1ABF7F3C"/>
    <w:rsid w:val="1AE4166C"/>
    <w:rsid w:val="1AED4AA9"/>
    <w:rsid w:val="1AF06CFB"/>
    <w:rsid w:val="1AF11B8D"/>
    <w:rsid w:val="1B11359C"/>
    <w:rsid w:val="1B2A271F"/>
    <w:rsid w:val="1B530544"/>
    <w:rsid w:val="1B713184"/>
    <w:rsid w:val="1B762CF0"/>
    <w:rsid w:val="1B76785A"/>
    <w:rsid w:val="1B7C7BDB"/>
    <w:rsid w:val="1B965141"/>
    <w:rsid w:val="1BA209CF"/>
    <w:rsid w:val="1BB4777D"/>
    <w:rsid w:val="1BD75AB8"/>
    <w:rsid w:val="1C0459C2"/>
    <w:rsid w:val="1C146A98"/>
    <w:rsid w:val="1C1B3B4A"/>
    <w:rsid w:val="1C273FEB"/>
    <w:rsid w:val="1C6074FD"/>
    <w:rsid w:val="1C88086E"/>
    <w:rsid w:val="1D266CE1"/>
    <w:rsid w:val="1D3963AF"/>
    <w:rsid w:val="1D6A673C"/>
    <w:rsid w:val="1D8B67FB"/>
    <w:rsid w:val="1D9247AE"/>
    <w:rsid w:val="1DB567EC"/>
    <w:rsid w:val="1DF51A98"/>
    <w:rsid w:val="1E0068A1"/>
    <w:rsid w:val="1E051CD9"/>
    <w:rsid w:val="1E3D060F"/>
    <w:rsid w:val="1E3F7D2E"/>
    <w:rsid w:val="1E4134E4"/>
    <w:rsid w:val="1E426EBA"/>
    <w:rsid w:val="1E4D4965"/>
    <w:rsid w:val="1E4F7829"/>
    <w:rsid w:val="1E5062B3"/>
    <w:rsid w:val="1E523514"/>
    <w:rsid w:val="1E714A66"/>
    <w:rsid w:val="1E7B23CC"/>
    <w:rsid w:val="1E802593"/>
    <w:rsid w:val="1E8B6156"/>
    <w:rsid w:val="1EA703CC"/>
    <w:rsid w:val="1EB7330C"/>
    <w:rsid w:val="1EEA573C"/>
    <w:rsid w:val="1F0A0FF3"/>
    <w:rsid w:val="1F130856"/>
    <w:rsid w:val="1F2C36C6"/>
    <w:rsid w:val="1F356A1F"/>
    <w:rsid w:val="1F4B1846"/>
    <w:rsid w:val="1F5771FF"/>
    <w:rsid w:val="1F6B41EE"/>
    <w:rsid w:val="1FB54683"/>
    <w:rsid w:val="1FC35DD8"/>
    <w:rsid w:val="1FD52574"/>
    <w:rsid w:val="1FE868A9"/>
    <w:rsid w:val="20034907"/>
    <w:rsid w:val="20173E4B"/>
    <w:rsid w:val="20230F6D"/>
    <w:rsid w:val="204E48BC"/>
    <w:rsid w:val="208921B3"/>
    <w:rsid w:val="20973DEB"/>
    <w:rsid w:val="20B26522"/>
    <w:rsid w:val="20B44310"/>
    <w:rsid w:val="20B87907"/>
    <w:rsid w:val="210668C5"/>
    <w:rsid w:val="211116EB"/>
    <w:rsid w:val="21156B08"/>
    <w:rsid w:val="216133FC"/>
    <w:rsid w:val="21621621"/>
    <w:rsid w:val="21D56769"/>
    <w:rsid w:val="21D95D87"/>
    <w:rsid w:val="21E52EF3"/>
    <w:rsid w:val="21FB5D7B"/>
    <w:rsid w:val="22015E94"/>
    <w:rsid w:val="220B1C3D"/>
    <w:rsid w:val="221A5542"/>
    <w:rsid w:val="221D1D20"/>
    <w:rsid w:val="221F7512"/>
    <w:rsid w:val="222F3BF9"/>
    <w:rsid w:val="22334A87"/>
    <w:rsid w:val="22AA7723"/>
    <w:rsid w:val="22BE6801"/>
    <w:rsid w:val="22CF718A"/>
    <w:rsid w:val="22F8166B"/>
    <w:rsid w:val="2305495A"/>
    <w:rsid w:val="23060237"/>
    <w:rsid w:val="231079F4"/>
    <w:rsid w:val="23164DB9"/>
    <w:rsid w:val="233500BF"/>
    <w:rsid w:val="23377FF7"/>
    <w:rsid w:val="234A05BF"/>
    <w:rsid w:val="23694EE9"/>
    <w:rsid w:val="236B425F"/>
    <w:rsid w:val="23836192"/>
    <w:rsid w:val="23901F29"/>
    <w:rsid w:val="2392443F"/>
    <w:rsid w:val="239C0061"/>
    <w:rsid w:val="23AB3753"/>
    <w:rsid w:val="23B908A4"/>
    <w:rsid w:val="23BF2D5B"/>
    <w:rsid w:val="23C12F77"/>
    <w:rsid w:val="23E673B5"/>
    <w:rsid w:val="23E95BEF"/>
    <w:rsid w:val="23FD0064"/>
    <w:rsid w:val="240115C5"/>
    <w:rsid w:val="245375B0"/>
    <w:rsid w:val="24642C0A"/>
    <w:rsid w:val="246A0F18"/>
    <w:rsid w:val="24A02B8C"/>
    <w:rsid w:val="24B22173"/>
    <w:rsid w:val="24B95AD9"/>
    <w:rsid w:val="24BE24DA"/>
    <w:rsid w:val="24CF5825"/>
    <w:rsid w:val="24D663E6"/>
    <w:rsid w:val="24D77F2B"/>
    <w:rsid w:val="24E94533"/>
    <w:rsid w:val="24FB6014"/>
    <w:rsid w:val="252B71AA"/>
    <w:rsid w:val="253A4D8F"/>
    <w:rsid w:val="258B00E2"/>
    <w:rsid w:val="259E5BC4"/>
    <w:rsid w:val="259F2E44"/>
    <w:rsid w:val="25A917A6"/>
    <w:rsid w:val="25B12B77"/>
    <w:rsid w:val="25BE27CC"/>
    <w:rsid w:val="25E62821"/>
    <w:rsid w:val="25F74A5C"/>
    <w:rsid w:val="2628662C"/>
    <w:rsid w:val="262D45DE"/>
    <w:rsid w:val="2668592C"/>
    <w:rsid w:val="26871DC8"/>
    <w:rsid w:val="26A53EF9"/>
    <w:rsid w:val="26A94201"/>
    <w:rsid w:val="26AC274F"/>
    <w:rsid w:val="26B648E9"/>
    <w:rsid w:val="27044A29"/>
    <w:rsid w:val="27075144"/>
    <w:rsid w:val="2713257A"/>
    <w:rsid w:val="271D34C8"/>
    <w:rsid w:val="276142BF"/>
    <w:rsid w:val="27783712"/>
    <w:rsid w:val="27907362"/>
    <w:rsid w:val="27A91D58"/>
    <w:rsid w:val="27D90FA3"/>
    <w:rsid w:val="28333E1D"/>
    <w:rsid w:val="28454BD6"/>
    <w:rsid w:val="28455253"/>
    <w:rsid w:val="28461C9C"/>
    <w:rsid w:val="28551971"/>
    <w:rsid w:val="285B1C53"/>
    <w:rsid w:val="288325A9"/>
    <w:rsid w:val="288F53F1"/>
    <w:rsid w:val="289F7086"/>
    <w:rsid w:val="28C32028"/>
    <w:rsid w:val="28CC490F"/>
    <w:rsid w:val="28D63CC7"/>
    <w:rsid w:val="28D9041B"/>
    <w:rsid w:val="28DE40AA"/>
    <w:rsid w:val="29211DC2"/>
    <w:rsid w:val="2927562A"/>
    <w:rsid w:val="29345E77"/>
    <w:rsid w:val="29437F8A"/>
    <w:rsid w:val="294C65AD"/>
    <w:rsid w:val="29806583"/>
    <w:rsid w:val="29813F3B"/>
    <w:rsid w:val="29826D04"/>
    <w:rsid w:val="29855F9C"/>
    <w:rsid w:val="298B3C4C"/>
    <w:rsid w:val="29B3554D"/>
    <w:rsid w:val="29B669AE"/>
    <w:rsid w:val="29F26D24"/>
    <w:rsid w:val="2A15033F"/>
    <w:rsid w:val="2A1662C1"/>
    <w:rsid w:val="2A185A7C"/>
    <w:rsid w:val="2A1C7367"/>
    <w:rsid w:val="2A2815FA"/>
    <w:rsid w:val="2A5F7045"/>
    <w:rsid w:val="2A6D6092"/>
    <w:rsid w:val="2A7D76B4"/>
    <w:rsid w:val="2AFD5064"/>
    <w:rsid w:val="2B065514"/>
    <w:rsid w:val="2B400C25"/>
    <w:rsid w:val="2B437463"/>
    <w:rsid w:val="2B541A93"/>
    <w:rsid w:val="2B7807EE"/>
    <w:rsid w:val="2BA50BF7"/>
    <w:rsid w:val="2BBF00EC"/>
    <w:rsid w:val="2BC1757A"/>
    <w:rsid w:val="2BC37CFD"/>
    <w:rsid w:val="2BD5237F"/>
    <w:rsid w:val="2BE536CE"/>
    <w:rsid w:val="2BE758D9"/>
    <w:rsid w:val="2BF346BB"/>
    <w:rsid w:val="2C09049E"/>
    <w:rsid w:val="2C0A653C"/>
    <w:rsid w:val="2C191F85"/>
    <w:rsid w:val="2C1A76C8"/>
    <w:rsid w:val="2C300C99"/>
    <w:rsid w:val="2C5B3BAB"/>
    <w:rsid w:val="2C9F3729"/>
    <w:rsid w:val="2CE82D6F"/>
    <w:rsid w:val="2D343236"/>
    <w:rsid w:val="2D3C71CA"/>
    <w:rsid w:val="2D575011"/>
    <w:rsid w:val="2D60735C"/>
    <w:rsid w:val="2D9E1C33"/>
    <w:rsid w:val="2DD15014"/>
    <w:rsid w:val="2DE57862"/>
    <w:rsid w:val="2DF72DE4"/>
    <w:rsid w:val="2E0220AF"/>
    <w:rsid w:val="2E400F3C"/>
    <w:rsid w:val="2E4B082A"/>
    <w:rsid w:val="2E586286"/>
    <w:rsid w:val="2E5C5D76"/>
    <w:rsid w:val="2E5D4E86"/>
    <w:rsid w:val="2E5D790B"/>
    <w:rsid w:val="2E9A3C18"/>
    <w:rsid w:val="2EAC6187"/>
    <w:rsid w:val="2EBB0FEE"/>
    <w:rsid w:val="2EC63002"/>
    <w:rsid w:val="2ED306DD"/>
    <w:rsid w:val="2EDF2503"/>
    <w:rsid w:val="2EE042AF"/>
    <w:rsid w:val="2EF064BE"/>
    <w:rsid w:val="2F05640D"/>
    <w:rsid w:val="2F067A90"/>
    <w:rsid w:val="2F0A6B38"/>
    <w:rsid w:val="2F275F3D"/>
    <w:rsid w:val="2F546A4D"/>
    <w:rsid w:val="2F6F653E"/>
    <w:rsid w:val="2F835584"/>
    <w:rsid w:val="2F946CCB"/>
    <w:rsid w:val="2FD25781"/>
    <w:rsid w:val="2FDC745C"/>
    <w:rsid w:val="2FE56061"/>
    <w:rsid w:val="2FFD7934"/>
    <w:rsid w:val="300761B5"/>
    <w:rsid w:val="300F506A"/>
    <w:rsid w:val="303C0334"/>
    <w:rsid w:val="303E08D4"/>
    <w:rsid w:val="306A7304"/>
    <w:rsid w:val="306C7DC6"/>
    <w:rsid w:val="30733ACD"/>
    <w:rsid w:val="308C3862"/>
    <w:rsid w:val="309379D8"/>
    <w:rsid w:val="30986E0D"/>
    <w:rsid w:val="30A270F7"/>
    <w:rsid w:val="30B61EA9"/>
    <w:rsid w:val="30DF1478"/>
    <w:rsid w:val="30E107B4"/>
    <w:rsid w:val="30EC586F"/>
    <w:rsid w:val="3140197F"/>
    <w:rsid w:val="319C6071"/>
    <w:rsid w:val="31A232FA"/>
    <w:rsid w:val="31AC537E"/>
    <w:rsid w:val="31AF08B2"/>
    <w:rsid w:val="31D60C88"/>
    <w:rsid w:val="31E3679B"/>
    <w:rsid w:val="31E732FD"/>
    <w:rsid w:val="32517576"/>
    <w:rsid w:val="326C77D6"/>
    <w:rsid w:val="327B69E7"/>
    <w:rsid w:val="32943604"/>
    <w:rsid w:val="329B0E37"/>
    <w:rsid w:val="32BE5C2C"/>
    <w:rsid w:val="32FB6478"/>
    <w:rsid w:val="33022C64"/>
    <w:rsid w:val="33263B3F"/>
    <w:rsid w:val="33380434"/>
    <w:rsid w:val="336963EB"/>
    <w:rsid w:val="33816EEB"/>
    <w:rsid w:val="33EB55CD"/>
    <w:rsid w:val="33EC4C02"/>
    <w:rsid w:val="33EE588C"/>
    <w:rsid w:val="33EF31E8"/>
    <w:rsid w:val="3402116D"/>
    <w:rsid w:val="340D2360"/>
    <w:rsid w:val="3410665D"/>
    <w:rsid w:val="34211214"/>
    <w:rsid w:val="3428494C"/>
    <w:rsid w:val="342E63AB"/>
    <w:rsid w:val="34727975"/>
    <w:rsid w:val="34767465"/>
    <w:rsid w:val="347B2CCE"/>
    <w:rsid w:val="34950E68"/>
    <w:rsid w:val="34986E94"/>
    <w:rsid w:val="34AF62C9"/>
    <w:rsid w:val="34BF0E0C"/>
    <w:rsid w:val="34CB4388"/>
    <w:rsid w:val="34F211E2"/>
    <w:rsid w:val="34FA6E12"/>
    <w:rsid w:val="352769B2"/>
    <w:rsid w:val="354237EC"/>
    <w:rsid w:val="354D7158"/>
    <w:rsid w:val="35812566"/>
    <w:rsid w:val="358D5588"/>
    <w:rsid w:val="35F76384"/>
    <w:rsid w:val="36280C33"/>
    <w:rsid w:val="363A3B40"/>
    <w:rsid w:val="36415851"/>
    <w:rsid w:val="365302AE"/>
    <w:rsid w:val="36607A0A"/>
    <w:rsid w:val="366E227C"/>
    <w:rsid w:val="366F2E0D"/>
    <w:rsid w:val="367B6A5C"/>
    <w:rsid w:val="368D6CE8"/>
    <w:rsid w:val="36A74ADA"/>
    <w:rsid w:val="36AD60D5"/>
    <w:rsid w:val="36B224F9"/>
    <w:rsid w:val="36E27034"/>
    <w:rsid w:val="36EC0CC9"/>
    <w:rsid w:val="37046FAB"/>
    <w:rsid w:val="371D006C"/>
    <w:rsid w:val="37253B76"/>
    <w:rsid w:val="373F410B"/>
    <w:rsid w:val="37704640"/>
    <w:rsid w:val="37ED5C91"/>
    <w:rsid w:val="37EE7094"/>
    <w:rsid w:val="380C2141"/>
    <w:rsid w:val="38296C89"/>
    <w:rsid w:val="383002EB"/>
    <w:rsid w:val="38451629"/>
    <w:rsid w:val="38586797"/>
    <w:rsid w:val="385D15DF"/>
    <w:rsid w:val="38BC0149"/>
    <w:rsid w:val="38D87D1C"/>
    <w:rsid w:val="38E946AA"/>
    <w:rsid w:val="38FD1DA3"/>
    <w:rsid w:val="39047736"/>
    <w:rsid w:val="39636459"/>
    <w:rsid w:val="396B7F6C"/>
    <w:rsid w:val="39926A02"/>
    <w:rsid w:val="39B417A9"/>
    <w:rsid w:val="39FC5695"/>
    <w:rsid w:val="3A006D8E"/>
    <w:rsid w:val="3A0D261A"/>
    <w:rsid w:val="3A184B1B"/>
    <w:rsid w:val="3A3651E5"/>
    <w:rsid w:val="3A541FF7"/>
    <w:rsid w:val="3A687850"/>
    <w:rsid w:val="3A744481"/>
    <w:rsid w:val="3A836438"/>
    <w:rsid w:val="3A8C7BEF"/>
    <w:rsid w:val="3A906246"/>
    <w:rsid w:val="3AC52EF5"/>
    <w:rsid w:val="3AFA0139"/>
    <w:rsid w:val="3B2349B7"/>
    <w:rsid w:val="3B616CFF"/>
    <w:rsid w:val="3B6259F6"/>
    <w:rsid w:val="3B842468"/>
    <w:rsid w:val="3B96663F"/>
    <w:rsid w:val="3B976654"/>
    <w:rsid w:val="3BC01EFC"/>
    <w:rsid w:val="3BCA786A"/>
    <w:rsid w:val="3BD31E2F"/>
    <w:rsid w:val="3BEE1FD7"/>
    <w:rsid w:val="3BF15831"/>
    <w:rsid w:val="3C105946"/>
    <w:rsid w:val="3C471448"/>
    <w:rsid w:val="3C5F759A"/>
    <w:rsid w:val="3C6C525A"/>
    <w:rsid w:val="3C705C4D"/>
    <w:rsid w:val="3C7209C0"/>
    <w:rsid w:val="3C720E5A"/>
    <w:rsid w:val="3C922F12"/>
    <w:rsid w:val="3CCE23CB"/>
    <w:rsid w:val="3CD17D17"/>
    <w:rsid w:val="3CEA09F1"/>
    <w:rsid w:val="3D3C7F39"/>
    <w:rsid w:val="3D440F09"/>
    <w:rsid w:val="3D4504A0"/>
    <w:rsid w:val="3D6C7658"/>
    <w:rsid w:val="3D8734BB"/>
    <w:rsid w:val="3D9A11D4"/>
    <w:rsid w:val="3DA16D89"/>
    <w:rsid w:val="3DA364BE"/>
    <w:rsid w:val="3DE041CB"/>
    <w:rsid w:val="3DF53AF1"/>
    <w:rsid w:val="3E036906"/>
    <w:rsid w:val="3E09759C"/>
    <w:rsid w:val="3E0D48F6"/>
    <w:rsid w:val="3E1868B4"/>
    <w:rsid w:val="3E3113EC"/>
    <w:rsid w:val="3E377251"/>
    <w:rsid w:val="3E3A0288"/>
    <w:rsid w:val="3E42664B"/>
    <w:rsid w:val="3E5A7334"/>
    <w:rsid w:val="3E7B5D6B"/>
    <w:rsid w:val="3E843E66"/>
    <w:rsid w:val="3E8F51FE"/>
    <w:rsid w:val="3E926F87"/>
    <w:rsid w:val="3E9A59DE"/>
    <w:rsid w:val="3EAF4836"/>
    <w:rsid w:val="3EC33DFA"/>
    <w:rsid w:val="3F060E16"/>
    <w:rsid w:val="3F1D1096"/>
    <w:rsid w:val="3F2F0234"/>
    <w:rsid w:val="3F6363FE"/>
    <w:rsid w:val="3F6A5E19"/>
    <w:rsid w:val="3F756B8F"/>
    <w:rsid w:val="3F95482B"/>
    <w:rsid w:val="40034C0C"/>
    <w:rsid w:val="4019356B"/>
    <w:rsid w:val="40592157"/>
    <w:rsid w:val="406E1CAE"/>
    <w:rsid w:val="40A0133A"/>
    <w:rsid w:val="40B03CFF"/>
    <w:rsid w:val="40C31A53"/>
    <w:rsid w:val="40E67721"/>
    <w:rsid w:val="40FF545D"/>
    <w:rsid w:val="410067C8"/>
    <w:rsid w:val="4114603C"/>
    <w:rsid w:val="414C3A28"/>
    <w:rsid w:val="41523008"/>
    <w:rsid w:val="416C40CA"/>
    <w:rsid w:val="418F0D2A"/>
    <w:rsid w:val="41923405"/>
    <w:rsid w:val="41A575DC"/>
    <w:rsid w:val="41A75102"/>
    <w:rsid w:val="41A90E7A"/>
    <w:rsid w:val="41D01505"/>
    <w:rsid w:val="41FB544E"/>
    <w:rsid w:val="42277FF1"/>
    <w:rsid w:val="4229211C"/>
    <w:rsid w:val="423F358D"/>
    <w:rsid w:val="42474939"/>
    <w:rsid w:val="424C3C57"/>
    <w:rsid w:val="42613FF3"/>
    <w:rsid w:val="42660D96"/>
    <w:rsid w:val="428667D2"/>
    <w:rsid w:val="42CD1CE0"/>
    <w:rsid w:val="42E1381E"/>
    <w:rsid w:val="42ED6459"/>
    <w:rsid w:val="42FE58DD"/>
    <w:rsid w:val="43174B3D"/>
    <w:rsid w:val="434B790E"/>
    <w:rsid w:val="435E3EE6"/>
    <w:rsid w:val="4360274F"/>
    <w:rsid w:val="43977AB6"/>
    <w:rsid w:val="439F5B10"/>
    <w:rsid w:val="43A3342B"/>
    <w:rsid w:val="43C57AC2"/>
    <w:rsid w:val="43C77C27"/>
    <w:rsid w:val="43DE09EE"/>
    <w:rsid w:val="44002FAD"/>
    <w:rsid w:val="4436276D"/>
    <w:rsid w:val="4469669F"/>
    <w:rsid w:val="447339C1"/>
    <w:rsid w:val="449101DD"/>
    <w:rsid w:val="44C304A5"/>
    <w:rsid w:val="44DE1391"/>
    <w:rsid w:val="44F3240C"/>
    <w:rsid w:val="44F92119"/>
    <w:rsid w:val="451B225C"/>
    <w:rsid w:val="452410C9"/>
    <w:rsid w:val="45317DFB"/>
    <w:rsid w:val="45682DFA"/>
    <w:rsid w:val="456D3CE4"/>
    <w:rsid w:val="456F4189"/>
    <w:rsid w:val="4579042C"/>
    <w:rsid w:val="457F0571"/>
    <w:rsid w:val="45851176"/>
    <w:rsid w:val="45B85B30"/>
    <w:rsid w:val="45C63B94"/>
    <w:rsid w:val="460E7DA5"/>
    <w:rsid w:val="46244F73"/>
    <w:rsid w:val="46250CEB"/>
    <w:rsid w:val="46422483"/>
    <w:rsid w:val="4654512D"/>
    <w:rsid w:val="4659254A"/>
    <w:rsid w:val="465B0637"/>
    <w:rsid w:val="465E3F0D"/>
    <w:rsid w:val="466A16E6"/>
    <w:rsid w:val="46804174"/>
    <w:rsid w:val="46853538"/>
    <w:rsid w:val="46893F2B"/>
    <w:rsid w:val="46C4686E"/>
    <w:rsid w:val="472114B3"/>
    <w:rsid w:val="474B29D4"/>
    <w:rsid w:val="47637D1D"/>
    <w:rsid w:val="477261B2"/>
    <w:rsid w:val="477B778F"/>
    <w:rsid w:val="478203EC"/>
    <w:rsid w:val="47B025FA"/>
    <w:rsid w:val="47CA1B4A"/>
    <w:rsid w:val="4809698F"/>
    <w:rsid w:val="480F5E95"/>
    <w:rsid w:val="4811697D"/>
    <w:rsid w:val="482A4397"/>
    <w:rsid w:val="487321E2"/>
    <w:rsid w:val="487A3E25"/>
    <w:rsid w:val="488B5503"/>
    <w:rsid w:val="488C6E00"/>
    <w:rsid w:val="48937E21"/>
    <w:rsid w:val="489A0361"/>
    <w:rsid w:val="48B94FF3"/>
    <w:rsid w:val="48BA1BBF"/>
    <w:rsid w:val="48E37AAB"/>
    <w:rsid w:val="48FD4B4C"/>
    <w:rsid w:val="4900334A"/>
    <w:rsid w:val="490A68E0"/>
    <w:rsid w:val="491055FE"/>
    <w:rsid w:val="495F5B3E"/>
    <w:rsid w:val="496F29A9"/>
    <w:rsid w:val="496F77D7"/>
    <w:rsid w:val="497654FD"/>
    <w:rsid w:val="49B64211"/>
    <w:rsid w:val="49E52C6C"/>
    <w:rsid w:val="49F6167F"/>
    <w:rsid w:val="4A064FA0"/>
    <w:rsid w:val="4A16615C"/>
    <w:rsid w:val="4A1E7F2C"/>
    <w:rsid w:val="4A2E64D0"/>
    <w:rsid w:val="4A4424D7"/>
    <w:rsid w:val="4A527BD5"/>
    <w:rsid w:val="4A857FAB"/>
    <w:rsid w:val="4A8E6E5F"/>
    <w:rsid w:val="4A987CDE"/>
    <w:rsid w:val="4AB82D0F"/>
    <w:rsid w:val="4ADD3943"/>
    <w:rsid w:val="4AEB7664"/>
    <w:rsid w:val="4AFD7C19"/>
    <w:rsid w:val="4B047EFB"/>
    <w:rsid w:val="4B0567D1"/>
    <w:rsid w:val="4B236AAE"/>
    <w:rsid w:val="4B307F16"/>
    <w:rsid w:val="4B4054CF"/>
    <w:rsid w:val="4B553E21"/>
    <w:rsid w:val="4B5D7D95"/>
    <w:rsid w:val="4B707271"/>
    <w:rsid w:val="4B9739F7"/>
    <w:rsid w:val="4BEE2503"/>
    <w:rsid w:val="4C245A30"/>
    <w:rsid w:val="4C2757BD"/>
    <w:rsid w:val="4C841BE8"/>
    <w:rsid w:val="4CB6685F"/>
    <w:rsid w:val="4CC367FE"/>
    <w:rsid w:val="4D063625"/>
    <w:rsid w:val="4D077F3C"/>
    <w:rsid w:val="4D123355"/>
    <w:rsid w:val="4D2A3B31"/>
    <w:rsid w:val="4D2A6BE7"/>
    <w:rsid w:val="4D312C52"/>
    <w:rsid w:val="4D6E4D26"/>
    <w:rsid w:val="4D896004"/>
    <w:rsid w:val="4D905305"/>
    <w:rsid w:val="4D964A72"/>
    <w:rsid w:val="4D9C1254"/>
    <w:rsid w:val="4DDC250B"/>
    <w:rsid w:val="4E793892"/>
    <w:rsid w:val="4E800872"/>
    <w:rsid w:val="4EC569ED"/>
    <w:rsid w:val="4ED50EA1"/>
    <w:rsid w:val="4EEC050C"/>
    <w:rsid w:val="4F104EC3"/>
    <w:rsid w:val="4F3D70A6"/>
    <w:rsid w:val="4F47354A"/>
    <w:rsid w:val="4F7A5C04"/>
    <w:rsid w:val="4F911C54"/>
    <w:rsid w:val="4FCC1874"/>
    <w:rsid w:val="4FE625E0"/>
    <w:rsid w:val="5021480F"/>
    <w:rsid w:val="5028373D"/>
    <w:rsid w:val="504A1A7A"/>
    <w:rsid w:val="50962ECB"/>
    <w:rsid w:val="50A42E38"/>
    <w:rsid w:val="50A4577F"/>
    <w:rsid w:val="50B73D1F"/>
    <w:rsid w:val="50BD5BC9"/>
    <w:rsid w:val="50C11EEE"/>
    <w:rsid w:val="50DB6B76"/>
    <w:rsid w:val="50E97CFC"/>
    <w:rsid w:val="50FA4028"/>
    <w:rsid w:val="510D65B7"/>
    <w:rsid w:val="511157AB"/>
    <w:rsid w:val="51142088"/>
    <w:rsid w:val="5119769F"/>
    <w:rsid w:val="512978E2"/>
    <w:rsid w:val="512A18AC"/>
    <w:rsid w:val="5142540C"/>
    <w:rsid w:val="518634B0"/>
    <w:rsid w:val="518832C8"/>
    <w:rsid w:val="519D3C50"/>
    <w:rsid w:val="51A0432A"/>
    <w:rsid w:val="51A86090"/>
    <w:rsid w:val="51B7396D"/>
    <w:rsid w:val="51F24178"/>
    <w:rsid w:val="522E4CC3"/>
    <w:rsid w:val="52346DDE"/>
    <w:rsid w:val="5244713B"/>
    <w:rsid w:val="52615633"/>
    <w:rsid w:val="526F4DE4"/>
    <w:rsid w:val="52977FD4"/>
    <w:rsid w:val="52A25790"/>
    <w:rsid w:val="52A96B6F"/>
    <w:rsid w:val="52B45975"/>
    <w:rsid w:val="52D94AA4"/>
    <w:rsid w:val="52EA3A62"/>
    <w:rsid w:val="52F50BB8"/>
    <w:rsid w:val="53097272"/>
    <w:rsid w:val="53536E98"/>
    <w:rsid w:val="53544462"/>
    <w:rsid w:val="5397158E"/>
    <w:rsid w:val="54013861"/>
    <w:rsid w:val="54487265"/>
    <w:rsid w:val="544D6070"/>
    <w:rsid w:val="54605E1E"/>
    <w:rsid w:val="54A0435F"/>
    <w:rsid w:val="54AB4AB2"/>
    <w:rsid w:val="54B3506A"/>
    <w:rsid w:val="54CA0D16"/>
    <w:rsid w:val="54CD5F87"/>
    <w:rsid w:val="54DD4057"/>
    <w:rsid w:val="54E7490F"/>
    <w:rsid w:val="550764A4"/>
    <w:rsid w:val="550B2BF6"/>
    <w:rsid w:val="55102B67"/>
    <w:rsid w:val="55180399"/>
    <w:rsid w:val="55214EB5"/>
    <w:rsid w:val="552A1E7A"/>
    <w:rsid w:val="55364EFD"/>
    <w:rsid w:val="555962BC"/>
    <w:rsid w:val="555D4828"/>
    <w:rsid w:val="557A4C8B"/>
    <w:rsid w:val="5583158B"/>
    <w:rsid w:val="558931E1"/>
    <w:rsid w:val="55923347"/>
    <w:rsid w:val="55925180"/>
    <w:rsid w:val="55945546"/>
    <w:rsid w:val="55983B1B"/>
    <w:rsid w:val="55A8376B"/>
    <w:rsid w:val="55DC29B6"/>
    <w:rsid w:val="55DD4241"/>
    <w:rsid w:val="561F7505"/>
    <w:rsid w:val="562943C2"/>
    <w:rsid w:val="564B654C"/>
    <w:rsid w:val="565151E5"/>
    <w:rsid w:val="566B6D1E"/>
    <w:rsid w:val="569972B8"/>
    <w:rsid w:val="56CE6835"/>
    <w:rsid w:val="57032A2C"/>
    <w:rsid w:val="570D3DB3"/>
    <w:rsid w:val="570F5219"/>
    <w:rsid w:val="57574A7D"/>
    <w:rsid w:val="575D12B5"/>
    <w:rsid w:val="57610A87"/>
    <w:rsid w:val="57686C8A"/>
    <w:rsid w:val="57790E97"/>
    <w:rsid w:val="577B1140"/>
    <w:rsid w:val="577B7F21"/>
    <w:rsid w:val="577F181B"/>
    <w:rsid w:val="57921984"/>
    <w:rsid w:val="579737F0"/>
    <w:rsid w:val="57AB7B30"/>
    <w:rsid w:val="57AF5251"/>
    <w:rsid w:val="57B26373"/>
    <w:rsid w:val="57B63F04"/>
    <w:rsid w:val="57CD20C2"/>
    <w:rsid w:val="57D675AB"/>
    <w:rsid w:val="57D73717"/>
    <w:rsid w:val="57D95FDD"/>
    <w:rsid w:val="57F54985"/>
    <w:rsid w:val="58070251"/>
    <w:rsid w:val="5870229A"/>
    <w:rsid w:val="58917D2F"/>
    <w:rsid w:val="5894085C"/>
    <w:rsid w:val="58AE4F0C"/>
    <w:rsid w:val="58B85899"/>
    <w:rsid w:val="58E363A9"/>
    <w:rsid w:val="59166304"/>
    <w:rsid w:val="595E1678"/>
    <w:rsid w:val="596D5BD4"/>
    <w:rsid w:val="597E3DD8"/>
    <w:rsid w:val="598C4EB2"/>
    <w:rsid w:val="59B368E2"/>
    <w:rsid w:val="59B63CDD"/>
    <w:rsid w:val="59F80043"/>
    <w:rsid w:val="5A0507C0"/>
    <w:rsid w:val="5A074538"/>
    <w:rsid w:val="5A09252F"/>
    <w:rsid w:val="5A0B2778"/>
    <w:rsid w:val="5A2A7C7B"/>
    <w:rsid w:val="5A3E2560"/>
    <w:rsid w:val="5A5B7493"/>
    <w:rsid w:val="5A5D3B6E"/>
    <w:rsid w:val="5A637A76"/>
    <w:rsid w:val="5A6D33BA"/>
    <w:rsid w:val="5A792B1F"/>
    <w:rsid w:val="5A874767"/>
    <w:rsid w:val="5A9658BC"/>
    <w:rsid w:val="5AA85BE2"/>
    <w:rsid w:val="5AAD6F28"/>
    <w:rsid w:val="5AB521E6"/>
    <w:rsid w:val="5AD63A24"/>
    <w:rsid w:val="5AEF2ADD"/>
    <w:rsid w:val="5B184523"/>
    <w:rsid w:val="5B2E1A1D"/>
    <w:rsid w:val="5B3255E5"/>
    <w:rsid w:val="5B7756EE"/>
    <w:rsid w:val="5B843A1C"/>
    <w:rsid w:val="5B873E3F"/>
    <w:rsid w:val="5B895DF6"/>
    <w:rsid w:val="5BE56AFB"/>
    <w:rsid w:val="5C02690E"/>
    <w:rsid w:val="5C196DA7"/>
    <w:rsid w:val="5C1D0043"/>
    <w:rsid w:val="5C1F025F"/>
    <w:rsid w:val="5C2A048C"/>
    <w:rsid w:val="5C6043D4"/>
    <w:rsid w:val="5C7834CB"/>
    <w:rsid w:val="5C80234E"/>
    <w:rsid w:val="5C8A680C"/>
    <w:rsid w:val="5CC52489"/>
    <w:rsid w:val="5CC611C0"/>
    <w:rsid w:val="5D0C4701"/>
    <w:rsid w:val="5D0D455B"/>
    <w:rsid w:val="5D0F0395"/>
    <w:rsid w:val="5D221076"/>
    <w:rsid w:val="5D397964"/>
    <w:rsid w:val="5D5A391C"/>
    <w:rsid w:val="5D5C103F"/>
    <w:rsid w:val="5D5F10C0"/>
    <w:rsid w:val="5D891B7B"/>
    <w:rsid w:val="5DAD38EE"/>
    <w:rsid w:val="5E006862"/>
    <w:rsid w:val="5E0207B9"/>
    <w:rsid w:val="5E162F9C"/>
    <w:rsid w:val="5E1834A1"/>
    <w:rsid w:val="5E261785"/>
    <w:rsid w:val="5E4A7017"/>
    <w:rsid w:val="5E552BBA"/>
    <w:rsid w:val="5E611C10"/>
    <w:rsid w:val="5E7A0F3F"/>
    <w:rsid w:val="5E7F3237"/>
    <w:rsid w:val="5EB97DCB"/>
    <w:rsid w:val="5ED7549D"/>
    <w:rsid w:val="5EFC7377"/>
    <w:rsid w:val="5F06174D"/>
    <w:rsid w:val="5F2C7226"/>
    <w:rsid w:val="5F2E2567"/>
    <w:rsid w:val="5F337B7D"/>
    <w:rsid w:val="5F3A3602"/>
    <w:rsid w:val="5F45733B"/>
    <w:rsid w:val="5F6277C6"/>
    <w:rsid w:val="5F6917F1"/>
    <w:rsid w:val="5F6D0B1D"/>
    <w:rsid w:val="5F6E5059"/>
    <w:rsid w:val="5F85487D"/>
    <w:rsid w:val="5F8D0B82"/>
    <w:rsid w:val="5FCC5339"/>
    <w:rsid w:val="5FE34A5B"/>
    <w:rsid w:val="5FF217E7"/>
    <w:rsid w:val="5FF66902"/>
    <w:rsid w:val="5FFE1E36"/>
    <w:rsid w:val="600532C8"/>
    <w:rsid w:val="601C6864"/>
    <w:rsid w:val="60232584"/>
    <w:rsid w:val="603E67DA"/>
    <w:rsid w:val="604B51C5"/>
    <w:rsid w:val="607330CE"/>
    <w:rsid w:val="60825176"/>
    <w:rsid w:val="609F2AC4"/>
    <w:rsid w:val="60CC028A"/>
    <w:rsid w:val="60FA2EE8"/>
    <w:rsid w:val="61054A27"/>
    <w:rsid w:val="610A52BC"/>
    <w:rsid w:val="610C4B2A"/>
    <w:rsid w:val="611D2366"/>
    <w:rsid w:val="611F485D"/>
    <w:rsid w:val="61421856"/>
    <w:rsid w:val="615227C4"/>
    <w:rsid w:val="61654E3F"/>
    <w:rsid w:val="61671D60"/>
    <w:rsid w:val="61686204"/>
    <w:rsid w:val="6182292A"/>
    <w:rsid w:val="619F59A1"/>
    <w:rsid w:val="619F7F92"/>
    <w:rsid w:val="61F555BE"/>
    <w:rsid w:val="61F94C26"/>
    <w:rsid w:val="62000E56"/>
    <w:rsid w:val="62255EA3"/>
    <w:rsid w:val="624F3E49"/>
    <w:rsid w:val="62632286"/>
    <w:rsid w:val="62742987"/>
    <w:rsid w:val="62885958"/>
    <w:rsid w:val="62A019CE"/>
    <w:rsid w:val="62E573E1"/>
    <w:rsid w:val="62F40B65"/>
    <w:rsid w:val="62FC2CFE"/>
    <w:rsid w:val="630079B6"/>
    <w:rsid w:val="63024505"/>
    <w:rsid w:val="635600A5"/>
    <w:rsid w:val="635B1DB5"/>
    <w:rsid w:val="63711FED"/>
    <w:rsid w:val="63880DDC"/>
    <w:rsid w:val="638D750D"/>
    <w:rsid w:val="63A92B04"/>
    <w:rsid w:val="63AC6CC0"/>
    <w:rsid w:val="63BC039F"/>
    <w:rsid w:val="63BC2837"/>
    <w:rsid w:val="63EE6769"/>
    <w:rsid w:val="64055776"/>
    <w:rsid w:val="64240056"/>
    <w:rsid w:val="643E143A"/>
    <w:rsid w:val="64491666"/>
    <w:rsid w:val="648B6EEF"/>
    <w:rsid w:val="64C158BF"/>
    <w:rsid w:val="64CE2EAA"/>
    <w:rsid w:val="64CF6125"/>
    <w:rsid w:val="650049A6"/>
    <w:rsid w:val="650F20F7"/>
    <w:rsid w:val="651E4E2C"/>
    <w:rsid w:val="65366619"/>
    <w:rsid w:val="653C3090"/>
    <w:rsid w:val="65854376"/>
    <w:rsid w:val="658767BE"/>
    <w:rsid w:val="65892531"/>
    <w:rsid w:val="65AD68DC"/>
    <w:rsid w:val="65E06A24"/>
    <w:rsid w:val="65EC1E2F"/>
    <w:rsid w:val="66195831"/>
    <w:rsid w:val="662E75B1"/>
    <w:rsid w:val="663366B5"/>
    <w:rsid w:val="66342C2E"/>
    <w:rsid w:val="663E784C"/>
    <w:rsid w:val="66524D8D"/>
    <w:rsid w:val="668B6A45"/>
    <w:rsid w:val="66C84E5A"/>
    <w:rsid w:val="66E75E1D"/>
    <w:rsid w:val="66E81A87"/>
    <w:rsid w:val="672F3F24"/>
    <w:rsid w:val="673E055F"/>
    <w:rsid w:val="67551CE3"/>
    <w:rsid w:val="679D472E"/>
    <w:rsid w:val="67A22552"/>
    <w:rsid w:val="67B22DCC"/>
    <w:rsid w:val="67B35CFF"/>
    <w:rsid w:val="67BE71AA"/>
    <w:rsid w:val="67D90273"/>
    <w:rsid w:val="67DE5875"/>
    <w:rsid w:val="67E55852"/>
    <w:rsid w:val="67EB1AB4"/>
    <w:rsid w:val="67FA1285"/>
    <w:rsid w:val="680C5410"/>
    <w:rsid w:val="68551F4F"/>
    <w:rsid w:val="68582403"/>
    <w:rsid w:val="687C10C9"/>
    <w:rsid w:val="68840C16"/>
    <w:rsid w:val="68876EFB"/>
    <w:rsid w:val="68884654"/>
    <w:rsid w:val="68907DEF"/>
    <w:rsid w:val="689F444F"/>
    <w:rsid w:val="68B96DBB"/>
    <w:rsid w:val="68CA2805"/>
    <w:rsid w:val="68E1689C"/>
    <w:rsid w:val="68E937A3"/>
    <w:rsid w:val="693E15D3"/>
    <w:rsid w:val="69627681"/>
    <w:rsid w:val="69690D6B"/>
    <w:rsid w:val="6977531D"/>
    <w:rsid w:val="69A578CA"/>
    <w:rsid w:val="69C6448A"/>
    <w:rsid w:val="69CC2BFF"/>
    <w:rsid w:val="69FD55B8"/>
    <w:rsid w:val="6A0B1C62"/>
    <w:rsid w:val="6A2406C8"/>
    <w:rsid w:val="6ABB46D1"/>
    <w:rsid w:val="6ABD1E23"/>
    <w:rsid w:val="6ADE0BD1"/>
    <w:rsid w:val="6AE96859"/>
    <w:rsid w:val="6B035E66"/>
    <w:rsid w:val="6B147746"/>
    <w:rsid w:val="6B24787C"/>
    <w:rsid w:val="6B4355EC"/>
    <w:rsid w:val="6B51645A"/>
    <w:rsid w:val="6B573233"/>
    <w:rsid w:val="6B5B6274"/>
    <w:rsid w:val="6B680BAF"/>
    <w:rsid w:val="6B80414A"/>
    <w:rsid w:val="6B935D53"/>
    <w:rsid w:val="6B9B2D32"/>
    <w:rsid w:val="6BBB33D4"/>
    <w:rsid w:val="6C196F71"/>
    <w:rsid w:val="6C226FCB"/>
    <w:rsid w:val="6C31226F"/>
    <w:rsid w:val="6C312EFE"/>
    <w:rsid w:val="6C552F0B"/>
    <w:rsid w:val="6C8C67B7"/>
    <w:rsid w:val="6C9D744C"/>
    <w:rsid w:val="6CA30E92"/>
    <w:rsid w:val="6CF37905"/>
    <w:rsid w:val="6D167928"/>
    <w:rsid w:val="6D26299B"/>
    <w:rsid w:val="6D4772EC"/>
    <w:rsid w:val="6D521B17"/>
    <w:rsid w:val="6D9078AF"/>
    <w:rsid w:val="6D9637D5"/>
    <w:rsid w:val="6DAA3FEF"/>
    <w:rsid w:val="6DC0172B"/>
    <w:rsid w:val="6DCB690C"/>
    <w:rsid w:val="6DD41A5B"/>
    <w:rsid w:val="6DF43C2E"/>
    <w:rsid w:val="6DF51CA3"/>
    <w:rsid w:val="6E8335BD"/>
    <w:rsid w:val="6E8E12EF"/>
    <w:rsid w:val="6E972936"/>
    <w:rsid w:val="6EA76D68"/>
    <w:rsid w:val="6EAF1C62"/>
    <w:rsid w:val="6ED446C5"/>
    <w:rsid w:val="6F2A7D94"/>
    <w:rsid w:val="6F3F4CF0"/>
    <w:rsid w:val="6F8331F1"/>
    <w:rsid w:val="6F991C7F"/>
    <w:rsid w:val="6FAE1A09"/>
    <w:rsid w:val="6FB24AEE"/>
    <w:rsid w:val="6FD75BF8"/>
    <w:rsid w:val="6FE205B2"/>
    <w:rsid w:val="6FEA6B87"/>
    <w:rsid w:val="70096821"/>
    <w:rsid w:val="70422316"/>
    <w:rsid w:val="70443553"/>
    <w:rsid w:val="707723D0"/>
    <w:rsid w:val="70A00DEB"/>
    <w:rsid w:val="70E21403"/>
    <w:rsid w:val="70F5661B"/>
    <w:rsid w:val="71360107"/>
    <w:rsid w:val="713B688E"/>
    <w:rsid w:val="7187674B"/>
    <w:rsid w:val="71D43752"/>
    <w:rsid w:val="71D7253D"/>
    <w:rsid w:val="71F1796A"/>
    <w:rsid w:val="72111FA0"/>
    <w:rsid w:val="72154626"/>
    <w:rsid w:val="72262B5D"/>
    <w:rsid w:val="72283FF7"/>
    <w:rsid w:val="722E7212"/>
    <w:rsid w:val="723A0474"/>
    <w:rsid w:val="725923E4"/>
    <w:rsid w:val="72646574"/>
    <w:rsid w:val="72824C4C"/>
    <w:rsid w:val="72864BF7"/>
    <w:rsid w:val="729023FC"/>
    <w:rsid w:val="73010267"/>
    <w:rsid w:val="7327134F"/>
    <w:rsid w:val="73357F10"/>
    <w:rsid w:val="734C0DB6"/>
    <w:rsid w:val="736B1B84"/>
    <w:rsid w:val="73C0646E"/>
    <w:rsid w:val="73E7745D"/>
    <w:rsid w:val="742222F5"/>
    <w:rsid w:val="742C1313"/>
    <w:rsid w:val="74476126"/>
    <w:rsid w:val="746A069F"/>
    <w:rsid w:val="74706664"/>
    <w:rsid w:val="747F3682"/>
    <w:rsid w:val="7496678D"/>
    <w:rsid w:val="749C4185"/>
    <w:rsid w:val="74B35591"/>
    <w:rsid w:val="74CC21AE"/>
    <w:rsid w:val="75067759"/>
    <w:rsid w:val="751C0E0B"/>
    <w:rsid w:val="752E6DCD"/>
    <w:rsid w:val="75387844"/>
    <w:rsid w:val="7551380D"/>
    <w:rsid w:val="75600BE5"/>
    <w:rsid w:val="7564475C"/>
    <w:rsid w:val="7583797F"/>
    <w:rsid w:val="75D20F1D"/>
    <w:rsid w:val="75DA2C18"/>
    <w:rsid w:val="75E83018"/>
    <w:rsid w:val="75F54412"/>
    <w:rsid w:val="761D08E0"/>
    <w:rsid w:val="765D347C"/>
    <w:rsid w:val="76826699"/>
    <w:rsid w:val="76C05D43"/>
    <w:rsid w:val="76C07AF1"/>
    <w:rsid w:val="76C87133"/>
    <w:rsid w:val="76CD08D5"/>
    <w:rsid w:val="76D417EE"/>
    <w:rsid w:val="76DB4B92"/>
    <w:rsid w:val="77052AA4"/>
    <w:rsid w:val="77065E4C"/>
    <w:rsid w:val="77136511"/>
    <w:rsid w:val="77340A39"/>
    <w:rsid w:val="77351FD0"/>
    <w:rsid w:val="773B361B"/>
    <w:rsid w:val="77472422"/>
    <w:rsid w:val="777F31F2"/>
    <w:rsid w:val="77A23145"/>
    <w:rsid w:val="77D1700D"/>
    <w:rsid w:val="77EC04CC"/>
    <w:rsid w:val="78775729"/>
    <w:rsid w:val="78964221"/>
    <w:rsid w:val="78A42DB0"/>
    <w:rsid w:val="78A656AB"/>
    <w:rsid w:val="78B2245C"/>
    <w:rsid w:val="78B83176"/>
    <w:rsid w:val="78E172CC"/>
    <w:rsid w:val="78EA1D1F"/>
    <w:rsid w:val="7904172F"/>
    <w:rsid w:val="790F7E27"/>
    <w:rsid w:val="792A231A"/>
    <w:rsid w:val="79316829"/>
    <w:rsid w:val="794A5D98"/>
    <w:rsid w:val="795A5FDB"/>
    <w:rsid w:val="797E66A9"/>
    <w:rsid w:val="798518A4"/>
    <w:rsid w:val="79A11E5C"/>
    <w:rsid w:val="79A77E7C"/>
    <w:rsid w:val="79A97383"/>
    <w:rsid w:val="79E27E8B"/>
    <w:rsid w:val="79E955B1"/>
    <w:rsid w:val="79F850CE"/>
    <w:rsid w:val="79FD443C"/>
    <w:rsid w:val="7A1D1975"/>
    <w:rsid w:val="7A356A48"/>
    <w:rsid w:val="7A3E5150"/>
    <w:rsid w:val="7A431165"/>
    <w:rsid w:val="7A4670D6"/>
    <w:rsid w:val="7A49604F"/>
    <w:rsid w:val="7A534B63"/>
    <w:rsid w:val="7A615382"/>
    <w:rsid w:val="7A67303B"/>
    <w:rsid w:val="7AAB1D04"/>
    <w:rsid w:val="7ABA4368"/>
    <w:rsid w:val="7AD05746"/>
    <w:rsid w:val="7B257FFD"/>
    <w:rsid w:val="7B343476"/>
    <w:rsid w:val="7B5A2978"/>
    <w:rsid w:val="7B5A7E4C"/>
    <w:rsid w:val="7B667AF9"/>
    <w:rsid w:val="7B7468F8"/>
    <w:rsid w:val="7BEE0103"/>
    <w:rsid w:val="7C0A0FE4"/>
    <w:rsid w:val="7C18217D"/>
    <w:rsid w:val="7C254906"/>
    <w:rsid w:val="7C2E374F"/>
    <w:rsid w:val="7C590818"/>
    <w:rsid w:val="7C765821"/>
    <w:rsid w:val="7C7C10F6"/>
    <w:rsid w:val="7C853BEA"/>
    <w:rsid w:val="7C8715FE"/>
    <w:rsid w:val="7C881368"/>
    <w:rsid w:val="7C8B6DF3"/>
    <w:rsid w:val="7C8E41ED"/>
    <w:rsid w:val="7C921BB5"/>
    <w:rsid w:val="7CE27788"/>
    <w:rsid w:val="7D0C32F1"/>
    <w:rsid w:val="7D0F408D"/>
    <w:rsid w:val="7D11554A"/>
    <w:rsid w:val="7D39684F"/>
    <w:rsid w:val="7D425704"/>
    <w:rsid w:val="7D491C6C"/>
    <w:rsid w:val="7D5429C0"/>
    <w:rsid w:val="7D6E6D43"/>
    <w:rsid w:val="7DB57A34"/>
    <w:rsid w:val="7DD6409E"/>
    <w:rsid w:val="7DE60973"/>
    <w:rsid w:val="7DE71E07"/>
    <w:rsid w:val="7DEF0916"/>
    <w:rsid w:val="7E0416DC"/>
    <w:rsid w:val="7E1E5218"/>
    <w:rsid w:val="7E462FD2"/>
    <w:rsid w:val="7E5106CC"/>
    <w:rsid w:val="7E6416AA"/>
    <w:rsid w:val="7E861620"/>
    <w:rsid w:val="7E9A4E1F"/>
    <w:rsid w:val="7E9B5353"/>
    <w:rsid w:val="7EA7723A"/>
    <w:rsid w:val="7EF56FBB"/>
    <w:rsid w:val="7F0768EB"/>
    <w:rsid w:val="7F143BEC"/>
    <w:rsid w:val="7F1F6AB5"/>
    <w:rsid w:val="7F715AF2"/>
    <w:rsid w:val="7F886E69"/>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7"/>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0"/>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next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3"/>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9"/>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6"/>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4"/>
    <w:qFormat/>
    <w:uiPriority w:val="0"/>
    <w:rPr>
      <w:b/>
      <w:bCs/>
    </w:rPr>
  </w:style>
  <w:style w:type="paragraph" w:styleId="61">
    <w:name w:val="Body Text First Indent 2"/>
    <w:basedOn w:val="25"/>
    <w:next w:val="24"/>
    <w:link w:val="11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正文首行缩进2字符"/>
    <w:basedOn w:val="1"/>
    <w:autoRedefine/>
    <w:qFormat/>
    <w:uiPriority w:val="0"/>
    <w:pPr>
      <w:widowControl/>
      <w:adjustRightInd w:val="0"/>
    </w:p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61"/>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7"/>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7"/>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3"/>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6"/>
    <w:qFormat/>
    <w:uiPriority w:val="0"/>
    <w:rPr>
      <w:rFonts w:ascii="宋体"/>
      <w:kern w:val="2"/>
      <w:sz w:val="24"/>
      <w:szCs w:val="21"/>
      <w:lang w:val="zh-CN"/>
    </w:rPr>
  </w:style>
  <w:style w:type="character" w:customStyle="1" w:styleId="180">
    <w:name w:val="标题 9 Char"/>
    <w:link w:val="10"/>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0"/>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39"/>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15"/>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18"/>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69"/>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30"/>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5"/>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6"/>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8"/>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0"/>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basedOn w:val="69"/>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33"/>
    <w:next w:val="1"/>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Lines="0" w:afterLines="0"/>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3">
    <w:name w:val="样式 标题 1 + 四号 加粗"/>
    <w:basedOn w:val="2"/>
    <w:qFormat/>
    <w:uiPriority w:val="0"/>
  </w:style>
  <w:style w:type="character" w:customStyle="1" w:styleId="964">
    <w:name w:val="font131"/>
    <w:basedOn w:val="69"/>
    <w:qFormat/>
    <w:uiPriority w:val="0"/>
    <w:rPr>
      <w:rFonts w:hint="eastAsia" w:ascii="宋体" w:hAnsi="宋体" w:eastAsia="宋体" w:cs="宋体"/>
      <w:b/>
      <w:bCs/>
      <w:color w:val="FF0000"/>
      <w:sz w:val="20"/>
      <w:szCs w:val="20"/>
      <w:u w:val="single"/>
    </w:rPr>
  </w:style>
  <w:style w:type="character" w:customStyle="1" w:styleId="965">
    <w:name w:val="font141"/>
    <w:basedOn w:val="69"/>
    <w:qFormat/>
    <w:uiPriority w:val="0"/>
    <w:rPr>
      <w:rFonts w:hint="eastAsia" w:ascii="宋体" w:hAnsi="宋体" w:eastAsia="宋体" w:cs="宋体"/>
      <w:b/>
      <w:bCs/>
      <w:color w:val="FF0000"/>
      <w:sz w:val="20"/>
      <w:szCs w:val="20"/>
      <w:u w:val="none"/>
    </w:rPr>
  </w:style>
  <w:style w:type="character" w:customStyle="1" w:styleId="966">
    <w:name w:val="font151"/>
    <w:basedOn w:val="69"/>
    <w:qFormat/>
    <w:uiPriority w:val="0"/>
    <w:rPr>
      <w:rFonts w:hint="eastAsia" w:ascii="宋体" w:hAnsi="宋体" w:eastAsia="宋体" w:cs="宋体"/>
      <w:color w:val="000000"/>
      <w:sz w:val="20"/>
      <w:szCs w:val="20"/>
      <w:u w:val="single"/>
    </w:rPr>
  </w:style>
  <w:style w:type="character" w:customStyle="1" w:styleId="967">
    <w:name w:val="font161"/>
    <w:basedOn w:val="69"/>
    <w:qFormat/>
    <w:uiPriority w:val="0"/>
    <w:rPr>
      <w:rFonts w:hint="eastAsia" w:ascii="宋体" w:hAnsi="宋体" w:eastAsia="宋体" w:cs="宋体"/>
      <w:color w:val="FF0000"/>
      <w:sz w:val="20"/>
      <w:szCs w:val="20"/>
      <w:u w:val="single"/>
    </w:rPr>
  </w:style>
  <w:style w:type="character" w:customStyle="1" w:styleId="968">
    <w:name w:val="font171"/>
    <w:basedOn w:val="69"/>
    <w:qFormat/>
    <w:uiPriority w:val="0"/>
    <w:rPr>
      <w:rFonts w:hint="eastAsia" w:ascii="宋体" w:hAnsi="宋体" w:eastAsia="宋体" w:cs="宋体"/>
      <w:color w:val="FF0000"/>
      <w:sz w:val="20"/>
      <w:szCs w:val="20"/>
      <w:u w:val="none"/>
    </w:rPr>
  </w:style>
  <w:style w:type="paragraph" w:customStyle="1" w:styleId="969">
    <w:name w:val="表"/>
    <w:basedOn w:val="1"/>
    <w:qFormat/>
    <w:uiPriority w:val="0"/>
    <w:pPr>
      <w:adjustRightInd w:val="0"/>
      <w:snapToGrid w:val="0"/>
      <w:spacing w:line="312" w:lineRule="auto"/>
    </w:pPr>
    <w:rPr>
      <w:rFonts w:ascii="Calibri" w:hAnsi="Calibri" w:cs="宋体"/>
      <w:kern w:val="0"/>
      <w:sz w:val="21"/>
      <w:szCs w:val="20"/>
    </w:rPr>
  </w:style>
  <w:style w:type="paragraph" w:customStyle="1" w:styleId="970">
    <w:name w:val="msonospacing"/>
    <w:basedOn w:val="1"/>
    <w:qFormat/>
    <w:uiPriority w:val="0"/>
    <w:rPr>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4132</Words>
  <Characters>4550</Characters>
  <Lines>279</Lines>
  <Paragraphs>78</Paragraphs>
  <TotalTime>8</TotalTime>
  <ScaleCrop>false</ScaleCrop>
  <LinksUpToDate>false</LinksUpToDate>
  <CharactersWithSpaces>4861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安静不安分</cp:lastModifiedBy>
  <cp:lastPrinted>2025-06-20T08:33:00Z</cp:lastPrinted>
  <dcterms:modified xsi:type="dcterms:W3CDTF">2025-06-20T13:17:46Z</dcterms:modified>
  <dc:title>杭州市市民卡扩大发卡工程</dc:title>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78F5A1E5F15F42D9938A08D5A241E5FA_13</vt:lpwstr>
  </property>
  <property fmtid="{D5CDD505-2E9C-101B-9397-08002B2CF9AE}" pid="5" name="KSOTemplateDocerSaveRecord">
    <vt:lpwstr>eyJoZGlkIjoiYjkxODNiNmZjOGY2MzI5YWNiYTc1YTQ2NzZhNjMwODMiLCJ1c2VySWQiOiIxMzUxNDM3NDcwIn0=</vt:lpwstr>
  </property>
</Properties>
</file>