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6256">
      <w:pPr>
        <w:pStyle w:val="4"/>
        <w:shd w:val="clear"/>
        <w:jc w:val="center"/>
        <w:rPr>
          <w:rFonts w:hint="eastAsia" w:ascii="宋体" w:hAnsi="宋体" w:eastAsia="宋体" w:cs="宋体"/>
          <w:color w:val="auto"/>
          <w:highlight w:val="none"/>
        </w:rPr>
      </w:pPr>
    </w:p>
    <w:p w14:paraId="56F6ED75">
      <w:pPr>
        <w:pStyle w:val="24"/>
        <w:shd w:val="clear"/>
        <w:rPr>
          <w:rFonts w:hint="eastAsia" w:ascii="宋体" w:hAnsi="宋体" w:eastAsia="宋体" w:cs="宋体"/>
          <w:color w:val="auto"/>
          <w:highlight w:val="none"/>
        </w:rPr>
      </w:pPr>
    </w:p>
    <w:p w14:paraId="6495D823">
      <w:pPr>
        <w:shd w:val="clear"/>
        <w:adjustRightInd/>
        <w:spacing w:line="360" w:lineRule="auto"/>
        <w:jc w:val="center"/>
        <w:rPr>
          <w:rFonts w:hint="eastAsia" w:ascii="宋体" w:hAnsi="宋体" w:eastAsia="宋体" w:cs="宋体"/>
          <w:b/>
          <w:color w:val="auto"/>
          <w:sz w:val="48"/>
          <w:szCs w:val="48"/>
          <w:highlight w:val="none"/>
        </w:rPr>
      </w:pPr>
    </w:p>
    <w:p w14:paraId="57E9568F">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2025年杭州交警业务系统租赁使用服务-2025年杭州交警网络及数据安全运维服务</w:t>
      </w:r>
    </w:p>
    <w:p w14:paraId="05130B28">
      <w:pPr>
        <w:shd w:val="clear"/>
        <w:adjustRightInd/>
        <w:spacing w:line="360" w:lineRule="auto"/>
        <w:jc w:val="center"/>
        <w:rPr>
          <w:rFonts w:hint="eastAsia" w:ascii="宋体" w:hAnsi="宋体" w:eastAsia="宋体" w:cs="宋体"/>
          <w:color w:val="auto"/>
          <w:sz w:val="48"/>
          <w:szCs w:val="48"/>
          <w:highlight w:val="none"/>
        </w:rPr>
      </w:pPr>
    </w:p>
    <w:p w14:paraId="7D6394E8">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875181C">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6A00A59">
      <w:pPr>
        <w:shd w:val="clear"/>
        <w:adjustRightInd w:val="0"/>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编号:（ZHZB-2025HZGA-12）</w:t>
      </w:r>
    </w:p>
    <w:p w14:paraId="5CDB2EC9">
      <w:pPr>
        <w:shd w:val="clear"/>
        <w:adjustRightInd/>
        <w:spacing w:line="360" w:lineRule="auto"/>
        <w:rPr>
          <w:rFonts w:hint="eastAsia" w:ascii="宋体" w:hAnsi="宋体" w:eastAsia="宋体" w:cs="宋体"/>
          <w:color w:val="auto"/>
          <w:sz w:val="28"/>
          <w:szCs w:val="20"/>
          <w:highlight w:val="none"/>
        </w:rPr>
      </w:pPr>
    </w:p>
    <w:p w14:paraId="29D2ECAB">
      <w:pPr>
        <w:shd w:val="clear"/>
        <w:spacing w:line="360" w:lineRule="auto"/>
        <w:jc w:val="center"/>
        <w:rPr>
          <w:rFonts w:hint="eastAsia" w:ascii="宋体" w:hAnsi="宋体" w:eastAsia="宋体" w:cs="宋体"/>
          <w:color w:val="auto"/>
          <w:sz w:val="24"/>
          <w:highlight w:val="none"/>
        </w:rPr>
      </w:pPr>
    </w:p>
    <w:p w14:paraId="3B49491B">
      <w:pPr>
        <w:shd w:val="clear"/>
        <w:spacing w:line="360" w:lineRule="auto"/>
        <w:jc w:val="center"/>
        <w:rPr>
          <w:rFonts w:hint="eastAsia" w:ascii="宋体" w:hAnsi="宋体" w:eastAsia="宋体" w:cs="宋体"/>
          <w:color w:val="auto"/>
          <w:sz w:val="24"/>
          <w:highlight w:val="none"/>
        </w:rPr>
      </w:pPr>
    </w:p>
    <w:p w14:paraId="4B98F49F">
      <w:pPr>
        <w:shd w:val="clear"/>
        <w:spacing w:line="360" w:lineRule="auto"/>
        <w:jc w:val="center"/>
        <w:rPr>
          <w:rFonts w:hint="eastAsia" w:ascii="宋体" w:hAnsi="宋体" w:eastAsia="宋体" w:cs="宋体"/>
          <w:color w:val="auto"/>
          <w:sz w:val="24"/>
          <w:highlight w:val="none"/>
        </w:rPr>
      </w:pPr>
    </w:p>
    <w:p w14:paraId="2ED121C2">
      <w:pPr>
        <w:shd w:val="clea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采购人：杭州市公安局交通警察支队</w:t>
      </w:r>
    </w:p>
    <w:p w14:paraId="40589512">
      <w:pPr>
        <w:shd w:val="clear"/>
        <w:spacing w:line="360" w:lineRule="auto"/>
        <w:jc w:val="center"/>
        <w:rPr>
          <w:rFonts w:hint="eastAsia" w:ascii="宋体" w:hAnsi="宋体" w:eastAsia="宋体" w:cs="宋体"/>
          <w:bCs/>
          <w:color w:val="auto"/>
          <w:sz w:val="32"/>
          <w:szCs w:val="32"/>
          <w:highlight w:val="none"/>
        </w:rPr>
      </w:pPr>
      <w:bookmarkStart w:id="0" w:name="_Hlk125824963"/>
      <w:r>
        <w:rPr>
          <w:rFonts w:hint="eastAsia" w:ascii="宋体" w:hAnsi="宋体" w:eastAsia="宋体" w:cs="宋体"/>
          <w:bCs/>
          <w:color w:val="auto"/>
          <w:sz w:val="32"/>
          <w:szCs w:val="32"/>
          <w:highlight w:val="none"/>
        </w:rPr>
        <w:t>采购代理机构：</w:t>
      </w:r>
      <w:bookmarkEnd w:id="0"/>
      <w:r>
        <w:rPr>
          <w:rFonts w:hint="eastAsia" w:ascii="宋体" w:hAnsi="宋体" w:eastAsia="宋体" w:cs="宋体"/>
          <w:bCs/>
          <w:color w:val="auto"/>
          <w:sz w:val="32"/>
          <w:szCs w:val="32"/>
          <w:highlight w:val="none"/>
        </w:rPr>
        <w:t>浙江正浩招标代理有限公司</w:t>
      </w:r>
    </w:p>
    <w:p w14:paraId="4B0D2285">
      <w:pPr>
        <w:shd w:val="clear"/>
        <w:adjustRightInd w:val="0"/>
        <w:snapToGrid w:val="0"/>
        <w:spacing w:line="360" w:lineRule="auto"/>
        <w:jc w:val="center"/>
        <w:rPr>
          <w:rFonts w:hint="eastAsia" w:ascii="宋体" w:hAnsi="宋体" w:eastAsia="宋体" w:cs="宋体"/>
          <w:bCs/>
          <w:color w:val="auto"/>
          <w:sz w:val="32"/>
          <w:szCs w:val="32"/>
          <w:highlight w:val="none"/>
        </w:rPr>
      </w:pPr>
    </w:p>
    <w:p w14:paraId="5B5DB136">
      <w:pPr>
        <w:shd w:val="clear"/>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434C17BC">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48"/>
          <w:szCs w:val="48"/>
          <w:highlight w:val="none"/>
        </w:rPr>
        <w:t>目  录</w:t>
      </w:r>
    </w:p>
    <w:p w14:paraId="47101857">
      <w:pPr>
        <w:shd w:val="clear"/>
        <w:spacing w:line="360" w:lineRule="auto"/>
        <w:rPr>
          <w:rFonts w:hint="eastAsia" w:ascii="宋体" w:hAnsi="宋体" w:eastAsia="宋体" w:cs="宋体"/>
          <w:color w:val="auto"/>
          <w:sz w:val="32"/>
          <w:szCs w:val="32"/>
          <w:highlight w:val="none"/>
        </w:rPr>
      </w:pPr>
    </w:p>
    <w:p w14:paraId="70C20602">
      <w:pPr>
        <w:shd w:val="clear"/>
        <w:spacing w:line="360" w:lineRule="auto"/>
        <w:rPr>
          <w:rFonts w:hint="eastAsia" w:ascii="宋体" w:hAnsi="宋体" w:eastAsia="宋体" w:cs="宋体"/>
          <w:color w:val="auto"/>
          <w:sz w:val="32"/>
          <w:szCs w:val="32"/>
          <w:highlight w:val="none"/>
        </w:rPr>
      </w:pPr>
    </w:p>
    <w:p w14:paraId="660B1DBB">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A59EAB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318FDF7">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43D21B2">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4278AC1">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85D2FC0">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017A015">
      <w:pPr>
        <w:shd w:val="clear"/>
        <w:adjustRightInd/>
        <w:spacing w:line="360" w:lineRule="auto"/>
        <w:jc w:val="center"/>
        <w:outlineLvl w:val="0"/>
        <w:rPr>
          <w:rFonts w:hint="eastAsia" w:ascii="宋体" w:hAnsi="宋体" w:eastAsia="宋体" w:cs="宋体"/>
          <w:b/>
          <w:color w:val="auto"/>
          <w:sz w:val="36"/>
          <w:szCs w:val="20"/>
          <w:highlight w:val="none"/>
        </w:rPr>
        <w:sectPr>
          <w:pgSz w:w="11907" w:h="16840"/>
          <w:pgMar w:top="1474" w:right="1814" w:bottom="1474" w:left="1814" w:header="851" w:footer="851" w:gutter="0"/>
          <w:cols w:space="720" w:num="1"/>
          <w:docGrid w:linePitch="312" w:charSpace="0"/>
        </w:sectPr>
      </w:pPr>
    </w:p>
    <w:p w14:paraId="6678979C">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0C861D4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76F21A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（2025年杭州交警业务系统租赁使用服务-2025年杭州交警网络及数据安全运维服务）</w:t>
      </w:r>
      <w:r>
        <w:rPr>
          <w:rFonts w:hint="eastAsia" w:ascii="宋体" w:hAnsi="宋体" w:eastAsia="宋体" w:cs="宋体"/>
          <w:color w:val="auto"/>
          <w:sz w:val="24"/>
          <w:highlight w:val="none"/>
        </w:rPr>
        <w:t>招标项目的潜在投标人应在政采云平台（</w:t>
      </w:r>
      <w:r>
        <w:rPr>
          <w:rStyle w:val="19"/>
          <w:rFonts w:hint="eastAsia" w:ascii="宋体" w:hAnsi="宋体" w:eastAsia="宋体" w:cs="宋体"/>
          <w:snapToGrid/>
          <w:color w:val="auto"/>
          <w:kern w:val="2"/>
          <w:sz w:val="24"/>
          <w:szCs w:val="24"/>
          <w:highlight w:val="none"/>
        </w:rPr>
        <w:fldChar w:fldCharType="begin"/>
      </w:r>
      <w:r>
        <w:rPr>
          <w:rFonts w:hint="eastAsia" w:ascii="宋体" w:hAnsi="宋体" w:eastAsia="宋体" w:cs="宋体"/>
          <w:color w:val="auto"/>
          <w:highlight w:val="none"/>
        </w:rPr>
        <w:instrText xml:space="preserve">HYPERLINK "https://www.zcygov.cn/）获取（下载）招标文件，并于202%20年 月 日 点 分00秒"</w:instrText>
      </w:r>
      <w:r>
        <w:rPr>
          <w:rStyle w:val="19"/>
          <w:rFonts w:hint="eastAsia" w:ascii="宋体" w:hAnsi="宋体" w:eastAsia="宋体" w:cs="宋体"/>
          <w:snapToGrid/>
          <w:color w:val="auto"/>
          <w:kern w:val="2"/>
          <w:sz w:val="24"/>
          <w:szCs w:val="24"/>
          <w:highlight w:val="none"/>
        </w:rPr>
        <w:fldChar w:fldCharType="separate"/>
      </w:r>
      <w:r>
        <w:rPr>
          <w:rStyle w:val="19"/>
          <w:rFonts w:hint="eastAsia" w:ascii="宋体" w:hAnsi="宋体" w:eastAsia="宋体" w:cs="宋体"/>
          <w:snapToGrid/>
          <w:color w:val="auto"/>
          <w:kern w:val="2"/>
          <w:sz w:val="24"/>
          <w:szCs w:val="24"/>
          <w:highlight w:val="none"/>
        </w:rPr>
        <w:t>https://www.zcygov.cn/）获取（下载）招标文件，并于2025年</w:t>
      </w:r>
      <w:r>
        <w:rPr>
          <w:rStyle w:val="19"/>
          <w:rFonts w:hint="eastAsia" w:ascii="宋体" w:hAnsi="宋体" w:cs="宋体"/>
          <w:snapToGrid/>
          <w:color w:val="auto"/>
          <w:kern w:val="2"/>
          <w:sz w:val="24"/>
          <w:szCs w:val="24"/>
          <w:highlight w:val="none"/>
          <w:lang w:val="en-US" w:eastAsia="zh-CN"/>
        </w:rPr>
        <w:t>8</w:t>
      </w:r>
      <w:r>
        <w:rPr>
          <w:rStyle w:val="19"/>
          <w:rFonts w:hint="eastAsia" w:ascii="宋体" w:hAnsi="宋体" w:eastAsia="宋体" w:cs="宋体"/>
          <w:snapToGrid/>
          <w:color w:val="auto"/>
          <w:kern w:val="2"/>
          <w:sz w:val="24"/>
          <w:szCs w:val="24"/>
          <w:highlight w:val="none"/>
        </w:rPr>
        <w:t>月</w:t>
      </w:r>
      <w:r>
        <w:rPr>
          <w:rStyle w:val="19"/>
          <w:rFonts w:hint="eastAsia" w:ascii="宋体" w:hAnsi="宋体" w:cs="宋体"/>
          <w:snapToGrid/>
          <w:color w:val="auto"/>
          <w:kern w:val="2"/>
          <w:sz w:val="24"/>
          <w:szCs w:val="24"/>
          <w:highlight w:val="none"/>
          <w:lang w:val="en-US" w:eastAsia="zh-CN"/>
        </w:rPr>
        <w:t>1</w:t>
      </w:r>
      <w:r>
        <w:rPr>
          <w:rStyle w:val="19"/>
          <w:rFonts w:hint="eastAsia" w:ascii="宋体" w:hAnsi="宋体" w:eastAsia="宋体" w:cs="宋体"/>
          <w:snapToGrid/>
          <w:color w:val="auto"/>
          <w:kern w:val="2"/>
          <w:sz w:val="24"/>
          <w:szCs w:val="24"/>
          <w:highlight w:val="none"/>
        </w:rPr>
        <w:t>日</w:t>
      </w:r>
      <w:r>
        <w:rPr>
          <w:rStyle w:val="19"/>
          <w:rFonts w:hint="eastAsia" w:ascii="宋体" w:hAnsi="宋体" w:cs="宋体"/>
          <w:snapToGrid/>
          <w:color w:val="auto"/>
          <w:kern w:val="2"/>
          <w:sz w:val="24"/>
          <w:szCs w:val="24"/>
          <w:highlight w:val="none"/>
          <w:lang w:val="en-US" w:eastAsia="zh-CN"/>
        </w:rPr>
        <w:t>9</w:t>
      </w:r>
      <w:r>
        <w:rPr>
          <w:rStyle w:val="19"/>
          <w:rFonts w:hint="eastAsia" w:ascii="宋体" w:hAnsi="宋体" w:eastAsia="宋体" w:cs="宋体"/>
          <w:snapToGrid/>
          <w:color w:val="auto"/>
          <w:kern w:val="2"/>
          <w:sz w:val="24"/>
          <w:szCs w:val="24"/>
          <w:highlight w:val="none"/>
        </w:rPr>
        <w:t>点</w:t>
      </w:r>
      <w:r>
        <w:rPr>
          <w:rStyle w:val="19"/>
          <w:rFonts w:hint="eastAsia" w:ascii="宋体" w:hAnsi="宋体" w:cs="宋体"/>
          <w:snapToGrid/>
          <w:color w:val="auto"/>
          <w:kern w:val="2"/>
          <w:sz w:val="24"/>
          <w:szCs w:val="24"/>
          <w:highlight w:val="none"/>
          <w:lang w:val="en-US" w:eastAsia="zh-CN"/>
        </w:rPr>
        <w:t>30</w:t>
      </w:r>
      <w:r>
        <w:rPr>
          <w:rStyle w:val="19"/>
          <w:rFonts w:hint="eastAsia" w:ascii="宋体" w:hAnsi="宋体" w:eastAsia="宋体" w:cs="宋体"/>
          <w:snapToGrid/>
          <w:color w:val="auto"/>
          <w:kern w:val="2"/>
          <w:sz w:val="24"/>
          <w:szCs w:val="24"/>
          <w:highlight w:val="none"/>
        </w:rPr>
        <w:t>分</w:t>
      </w:r>
      <w:r>
        <w:rPr>
          <w:rStyle w:val="19"/>
          <w:rFonts w:hint="eastAsia" w:ascii="宋体" w:hAnsi="宋体" w:eastAsia="宋体" w:cs="宋体"/>
          <w:bCs/>
          <w:snapToGrid/>
          <w:color w:val="auto"/>
          <w:kern w:val="2"/>
          <w:sz w:val="24"/>
          <w:szCs w:val="24"/>
          <w:highlight w:val="none"/>
        </w:rPr>
        <w:t>00秒</w:t>
      </w:r>
      <w:r>
        <w:rPr>
          <w:rStyle w:val="19"/>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B8E2704">
      <w:pPr>
        <w:numPr>
          <w:ilvl w:val="0"/>
          <w:numId w:val="1"/>
        </w:num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项目基本情况</w:t>
      </w:r>
    </w:p>
    <w:p w14:paraId="272F734B">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ZHZB-2025HZGA-12</w:t>
      </w:r>
    </w:p>
    <w:p w14:paraId="307B388E">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2025年杭州交警业务系统租赁使用服务-2025年杭州交警网络及数据安全运维服务</w:t>
      </w:r>
    </w:p>
    <w:p w14:paraId="6FE935E2">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rPr>
        <w:t>889.29万元（其中2025年安排444.645万元）</w:t>
      </w:r>
    </w:p>
    <w:p w14:paraId="3B6B43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color w:val="auto"/>
          <w:sz w:val="24"/>
          <w:highlight w:val="none"/>
        </w:rPr>
        <w:t>最高限价为8860100元</w:t>
      </w:r>
    </w:p>
    <w:p w14:paraId="152F8EA0">
      <w:pPr>
        <w:shd w:val="clea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rPr>
        <w:t>2025年杭州交警业务系统租赁使用服务-2025年杭州交警网络及数据安全运维服务</w:t>
      </w:r>
      <w:r>
        <w:rPr>
          <w:rFonts w:hint="eastAsia" w:ascii="宋体" w:hAnsi="宋体" w:eastAsia="宋体" w:cs="宋体"/>
          <w:bCs/>
          <w:color w:val="auto"/>
          <w:sz w:val="24"/>
          <w:highlight w:val="none"/>
        </w:rPr>
        <w:t>主要内容：</w:t>
      </w:r>
      <w:r>
        <w:rPr>
          <w:rFonts w:hint="eastAsia" w:ascii="宋体" w:hAnsi="宋体" w:eastAsia="宋体" w:cs="宋体"/>
          <w:color w:val="auto"/>
          <w:sz w:val="24"/>
          <w:highlight w:val="none"/>
        </w:rPr>
        <w:t>以购买服务方式，提供交通管理数据全生命周期运营服务、安全加固及应用迁移改造服务、货运导航数据及运营保障服务、安全防控治理服务。具体以招标文件第三部分采购需求为准，供应商可点击本公告下方“浏览采购文件”查看采购需求。</w:t>
      </w:r>
    </w:p>
    <w:p w14:paraId="3A2429D3">
      <w:pPr>
        <w:pStyle w:val="25"/>
        <w:shd w:val="clear"/>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highlight w:val="none"/>
        </w:rPr>
        <w:t xml:space="preserve"> 12个月（2025年8月1日-2026年7月31日）。</w:t>
      </w:r>
    </w:p>
    <w:p w14:paraId="23062A7A">
      <w:pPr>
        <w:pStyle w:val="7"/>
        <w:shd w:val="clear"/>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7489740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8417800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2822D9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8D89D11">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A81BFA">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6279D55">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D79FA3D">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600441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FECB652">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3097098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7FF5B08">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67712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14:paraId="0E4388CB">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620859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388135F3">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775452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061216E">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778230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F9AF3A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1A6AE73C">
      <w:pPr>
        <w:shd w:val="clear"/>
        <w:adjustRightInd w:val="0"/>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4452489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无。</w:t>
      </w:r>
    </w:p>
    <w:p w14:paraId="670064B9">
      <w:pPr>
        <w:shd w:val="clear"/>
        <w:adjustRightInd w:val="0"/>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6404498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E4D634A">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80F1D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214B73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5E91542">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E51AE3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883983D">
      <w:pPr>
        <w:shd w:val="clea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r>
        <w:rPr>
          <w:rFonts w:hint="eastAsia" w:ascii="宋体" w:hAnsi="宋体" w:cs="宋体"/>
          <w:color w:val="auto"/>
          <w:sz w:val="24"/>
          <w:highlight w:val="none"/>
          <w:lang w:eastAsia="zh-CN"/>
        </w:rPr>
        <w:t>。</w:t>
      </w:r>
    </w:p>
    <w:p w14:paraId="5EF5B3C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8DDA2ED">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411E171">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957CD12">
      <w:pPr>
        <w:shd w:val="clea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3D8A2B8D">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FD8FE64">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B7CD7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C2E0FD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78888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CCD8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D8AD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722A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9CFC72">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22A501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1BF5EF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称：杭州市公安局交通警察支队</w:t>
      </w:r>
    </w:p>
    <w:p w14:paraId="52B886D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址：杭州市拱墅区文晖路336号</w:t>
      </w:r>
    </w:p>
    <w:p w14:paraId="6EDFC51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05949F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项目联系人（询问）：蒋警官</w:t>
      </w:r>
    </w:p>
    <w:p w14:paraId="74FA018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项目联系方式（询问）：0571-89593113</w:t>
      </w:r>
    </w:p>
    <w:p w14:paraId="67430D1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质疑联系人：郑警官 </w:t>
      </w:r>
    </w:p>
    <w:p w14:paraId="44CB49A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质疑联系方式：0571-87282209</w:t>
      </w:r>
    </w:p>
    <w:p w14:paraId="41A064F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5662C04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称：浙江正浩招标代理有限公司</w:t>
      </w:r>
    </w:p>
    <w:p w14:paraId="2C3B2C7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址：杭州市拱墅区祥园路45号盘石全球数字经济产业园D座409室</w:t>
      </w:r>
    </w:p>
    <w:p w14:paraId="21598DD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4839619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项目联系人（询问）：汪敏捷、杨倩、魏银燕</w:t>
      </w:r>
    </w:p>
    <w:p w14:paraId="35234E5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项目联系方式（询问）：15651797275</w:t>
      </w:r>
    </w:p>
    <w:p w14:paraId="6985BAF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质疑联系人：方晨</w:t>
      </w:r>
    </w:p>
    <w:p w14:paraId="39EF67F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质疑联系方式：18057185267</w:t>
      </w:r>
    </w:p>
    <w:p w14:paraId="0F64BA4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2E19F9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 /浙江省政府采购行政裁决服务中心（杭州）</w:t>
      </w:r>
    </w:p>
    <w:p w14:paraId="23FB09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F37AB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E091B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09C64F1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监督投诉电话：0571-87227671,0571-87800218政策咨询电话：X先生，0571-8958XXXX 政府采购监管部门工作人员</w:t>
      </w:r>
    </w:p>
    <w:p w14:paraId="02A7578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21B11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6615A1A">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FA42637">
      <w:pPr>
        <w:shd w:val="clea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投标人须知</w:t>
      </w:r>
    </w:p>
    <w:p w14:paraId="67AAEF3A">
      <w:pPr>
        <w:shd w:val="clear"/>
        <w:adjustRightInd w:val="0"/>
        <w:snapToGrid w:val="0"/>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6"/>
        <w:tblW w:w="531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0"/>
        <w:gridCol w:w="1795"/>
        <w:gridCol w:w="6460"/>
      </w:tblGrid>
      <w:tr w14:paraId="093E5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jc w:val="center"/>
        </w:trPr>
        <w:tc>
          <w:tcPr>
            <w:tcW w:w="344" w:type="pct"/>
            <w:tcBorders>
              <w:top w:val="single" w:color="auto" w:sz="4" w:space="0"/>
              <w:left w:val="single" w:color="auto" w:sz="4" w:space="0"/>
              <w:bottom w:val="single" w:color="auto" w:sz="4" w:space="0"/>
              <w:right w:val="single" w:color="auto" w:sz="4" w:space="0"/>
            </w:tcBorders>
            <w:vAlign w:val="center"/>
          </w:tcPr>
          <w:p w14:paraId="1B55B874">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12" w:type="pct"/>
            <w:tcBorders>
              <w:top w:val="single" w:color="000000" w:sz="8" w:space="0"/>
              <w:left w:val="single" w:color="auto" w:sz="4" w:space="0"/>
              <w:bottom w:val="single" w:color="000000" w:sz="8" w:space="0"/>
              <w:right w:val="single" w:color="000000" w:sz="8" w:space="0"/>
            </w:tcBorders>
            <w:vAlign w:val="center"/>
          </w:tcPr>
          <w:p w14:paraId="0A3F4CDE">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3643" w:type="pct"/>
            <w:tcBorders>
              <w:top w:val="single" w:color="000000" w:sz="8" w:space="0"/>
              <w:left w:val="single" w:color="000000" w:sz="2" w:space="0"/>
              <w:bottom w:val="single" w:color="000000" w:sz="8" w:space="0"/>
              <w:right w:val="single" w:color="000000" w:sz="8" w:space="0"/>
            </w:tcBorders>
            <w:vAlign w:val="center"/>
          </w:tcPr>
          <w:p w14:paraId="491DBD36">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D5D5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220E04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12" w:type="pct"/>
            <w:tcBorders>
              <w:top w:val="single" w:color="000000" w:sz="8" w:space="0"/>
              <w:left w:val="single" w:color="auto" w:sz="4" w:space="0"/>
              <w:bottom w:val="single" w:color="000000" w:sz="8" w:space="0"/>
              <w:right w:val="single" w:color="000000" w:sz="8" w:space="0"/>
            </w:tcBorders>
            <w:vAlign w:val="center"/>
          </w:tcPr>
          <w:p w14:paraId="231EA8C0">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1D2F731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0312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5"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1F8DD054">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12" w:type="pct"/>
            <w:tcBorders>
              <w:top w:val="single" w:color="000000" w:sz="8" w:space="0"/>
              <w:left w:val="single" w:color="auto" w:sz="4" w:space="0"/>
              <w:bottom w:val="single" w:color="000000" w:sz="8" w:space="0"/>
              <w:right w:val="single" w:color="000000" w:sz="8" w:space="0"/>
            </w:tcBorders>
            <w:vAlign w:val="center"/>
          </w:tcPr>
          <w:p w14:paraId="5221CC01">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3643" w:type="pct"/>
            <w:tcBorders>
              <w:top w:val="single" w:color="000000" w:sz="8" w:space="0"/>
              <w:left w:val="single" w:color="000000" w:sz="2" w:space="0"/>
              <w:bottom w:val="single" w:color="000000" w:sz="8" w:space="0"/>
              <w:right w:val="single" w:color="000000" w:sz="8" w:space="0"/>
            </w:tcBorders>
            <w:vAlign w:val="center"/>
          </w:tcPr>
          <w:p w14:paraId="4CDB645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2025年杭州交警业务系统租赁使用服务-2025年杭州交警网络及数据安全运维服务</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shd w:val="clear" w:color="auto" w:fill="FFFFFF"/>
              </w:rPr>
              <w:t>软件和信息技术服务业</w:t>
            </w:r>
            <w:r>
              <w:rPr>
                <w:rFonts w:hint="eastAsia" w:ascii="宋体" w:hAnsi="宋体" w:eastAsia="宋体" w:cs="宋体"/>
                <w:color w:val="auto"/>
                <w:kern w:val="0"/>
                <w:sz w:val="24"/>
                <w:highlight w:val="none"/>
              </w:rPr>
              <w:t>；</w:t>
            </w:r>
          </w:p>
          <w:p w14:paraId="0854AB5A">
            <w:pPr>
              <w:pStyle w:val="15"/>
              <w:shd w:val="clea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根据《关于印发中小企业划型标准规定的通知》（工信部联企业〔2011〕300号）第四条规定：</w:t>
            </w:r>
            <w:r>
              <w:rPr>
                <w:rFonts w:hint="eastAsia" w:ascii="宋体" w:hAnsi="宋体" w:eastAsia="宋体" w:cs="宋体"/>
                <w:color w:val="auto"/>
                <w:sz w:val="24"/>
                <w:szCs w:val="24"/>
                <w:highlight w:val="none"/>
                <w:shd w:val="clear" w:color="auto" w:fill="FFFFFF"/>
              </w:rPr>
              <w:t>（十二）软件和信息技术服务业</w:t>
            </w:r>
            <w:r>
              <w:rPr>
                <w:rFonts w:hint="eastAsia" w:ascii="宋体" w:hAnsi="宋体" w:eastAsia="宋体" w:cs="宋体"/>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0188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2DA64F23">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12" w:type="pct"/>
            <w:tcBorders>
              <w:top w:val="single" w:color="000000" w:sz="8" w:space="0"/>
              <w:left w:val="single" w:color="auto" w:sz="4" w:space="0"/>
              <w:bottom w:val="single" w:color="000000" w:sz="8" w:space="0"/>
              <w:right w:val="single" w:color="000000" w:sz="8" w:space="0"/>
            </w:tcBorders>
            <w:vAlign w:val="center"/>
          </w:tcPr>
          <w:p w14:paraId="7B717DFF">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4007F975">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5CCA451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5EEA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D580C1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12" w:type="pct"/>
            <w:tcBorders>
              <w:top w:val="single" w:color="000000" w:sz="8" w:space="0"/>
              <w:left w:val="single" w:color="auto" w:sz="4" w:space="0"/>
              <w:bottom w:val="single" w:color="000000" w:sz="8" w:space="0"/>
              <w:right w:val="single" w:color="000000" w:sz="8" w:space="0"/>
            </w:tcBorders>
            <w:vAlign w:val="center"/>
          </w:tcPr>
          <w:p w14:paraId="1B02273A">
            <w:pPr>
              <w:shd w:val="clea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3643" w:type="pct"/>
            <w:tcBorders>
              <w:top w:val="single" w:color="000000" w:sz="8" w:space="0"/>
              <w:left w:val="single" w:color="000000" w:sz="2" w:space="0"/>
              <w:bottom w:val="single" w:color="000000" w:sz="8" w:space="0"/>
              <w:right w:val="single" w:color="000000" w:sz="8" w:space="0"/>
            </w:tcBorders>
            <w:vAlign w:val="center"/>
          </w:tcPr>
          <w:p w14:paraId="0ECBE11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b/>
                <w:color w:val="auto"/>
                <w:sz w:val="24"/>
                <w:highlight w:val="none"/>
                <w:u w:val="single"/>
              </w:rPr>
              <w:t>城市货运导航数据运营服务</w:t>
            </w:r>
            <w:r>
              <w:rPr>
                <w:rFonts w:hint="eastAsia" w:ascii="宋体" w:hAnsi="宋体" w:eastAsia="宋体" w:cs="宋体"/>
                <w:color w:val="auto"/>
                <w:sz w:val="24"/>
                <w:highlight w:val="none"/>
              </w:rPr>
              <w:t>工作分包。</w:t>
            </w:r>
          </w:p>
          <w:p w14:paraId="1ABE10A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5DE8C57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4F86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22779AB5">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12" w:type="pct"/>
            <w:tcBorders>
              <w:top w:val="single" w:color="000000" w:sz="8" w:space="0"/>
              <w:left w:val="single" w:color="auto" w:sz="4" w:space="0"/>
              <w:bottom w:val="single" w:color="000000" w:sz="8" w:space="0"/>
              <w:right w:val="single" w:color="000000" w:sz="8" w:space="0"/>
            </w:tcBorders>
            <w:vAlign w:val="center"/>
          </w:tcPr>
          <w:p w14:paraId="3315BEC9">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3643" w:type="pct"/>
            <w:tcBorders>
              <w:top w:val="single" w:color="000000" w:sz="8" w:space="0"/>
              <w:left w:val="single" w:color="000000" w:sz="2" w:space="0"/>
              <w:bottom w:val="single" w:color="000000" w:sz="8" w:space="0"/>
              <w:right w:val="single" w:color="000000" w:sz="8" w:space="0"/>
            </w:tcBorders>
            <w:vAlign w:val="center"/>
          </w:tcPr>
          <w:p w14:paraId="1AA507D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31E529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9686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6F4DB272">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012" w:type="pct"/>
            <w:tcBorders>
              <w:top w:val="single" w:color="000000" w:sz="8" w:space="0"/>
              <w:left w:val="single" w:color="auto" w:sz="4" w:space="0"/>
              <w:bottom w:val="single" w:color="000000" w:sz="8" w:space="0"/>
              <w:right w:val="single" w:color="000000" w:sz="8" w:space="0"/>
            </w:tcBorders>
            <w:vAlign w:val="center"/>
          </w:tcPr>
          <w:p w14:paraId="0DC07075">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3643" w:type="pct"/>
            <w:tcBorders>
              <w:top w:val="single" w:color="000000" w:sz="8" w:space="0"/>
              <w:left w:val="single" w:color="000000" w:sz="2" w:space="0"/>
              <w:bottom w:val="single" w:color="000000" w:sz="8" w:space="0"/>
              <w:right w:val="single" w:color="000000" w:sz="8" w:space="0"/>
            </w:tcBorders>
            <w:vAlign w:val="center"/>
          </w:tcPr>
          <w:p w14:paraId="15D5833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EF702C9">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584FE381">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8117FBC">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4740C0C">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F136DC8">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4716110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24260442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581197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6543FB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D9FCA4">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347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79CA4EC">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012" w:type="pct"/>
            <w:tcBorders>
              <w:top w:val="single" w:color="000000" w:sz="8" w:space="0"/>
              <w:left w:val="single" w:color="auto" w:sz="4" w:space="0"/>
              <w:bottom w:val="single" w:color="000000" w:sz="8" w:space="0"/>
              <w:right w:val="single" w:color="000000" w:sz="8" w:space="0"/>
            </w:tcBorders>
            <w:vAlign w:val="center"/>
          </w:tcPr>
          <w:p w14:paraId="3B2C530F">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3643" w:type="pct"/>
            <w:tcBorders>
              <w:top w:val="single" w:color="000000" w:sz="8" w:space="0"/>
              <w:left w:val="single" w:color="000000" w:sz="2" w:space="0"/>
              <w:bottom w:val="single" w:color="000000" w:sz="8" w:space="0"/>
              <w:right w:val="single" w:color="000000" w:sz="8" w:space="0"/>
            </w:tcBorders>
            <w:vAlign w:val="center"/>
          </w:tcPr>
          <w:p w14:paraId="3D6E669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8EDDD42">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122283E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57693E19">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484C70A1">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14F01E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0FE9895">
            <w:pPr>
              <w:shd w:val="clear"/>
              <w:adjustRightInd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7B8E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344" w:type="pct"/>
            <w:vMerge w:val="restart"/>
            <w:tcBorders>
              <w:top w:val="single" w:color="auto" w:sz="4" w:space="0"/>
              <w:left w:val="single" w:color="auto" w:sz="4" w:space="0"/>
              <w:right w:val="single" w:color="auto" w:sz="4" w:space="0"/>
            </w:tcBorders>
            <w:vAlign w:val="center"/>
          </w:tcPr>
          <w:p w14:paraId="2A800168">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012" w:type="pct"/>
            <w:vMerge w:val="restart"/>
            <w:tcBorders>
              <w:top w:val="single" w:color="000000" w:sz="8" w:space="0"/>
              <w:left w:val="single" w:color="auto" w:sz="4" w:space="0"/>
              <w:right w:val="single" w:color="000000" w:sz="8" w:space="0"/>
            </w:tcBorders>
            <w:vAlign w:val="center"/>
          </w:tcPr>
          <w:p w14:paraId="0A272E01">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3643" w:type="pct"/>
            <w:tcBorders>
              <w:top w:val="single" w:color="000000" w:sz="8" w:space="0"/>
              <w:left w:val="single" w:color="000000" w:sz="2" w:space="0"/>
              <w:bottom w:val="single" w:color="auto" w:sz="4" w:space="0"/>
              <w:right w:val="single" w:color="000000" w:sz="8" w:space="0"/>
            </w:tcBorders>
            <w:vAlign w:val="center"/>
          </w:tcPr>
          <w:p w14:paraId="3F0C11C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76F0B8F">
            <w:pPr>
              <w:shd w:val="clear"/>
              <w:spacing w:line="360" w:lineRule="auto"/>
              <w:rPr>
                <w:rFonts w:hint="eastAsia" w:ascii="宋体" w:hAnsi="宋体" w:eastAsia="宋体" w:cs="宋体"/>
                <w:b/>
                <w:bCs/>
                <w:snapToGrid w:val="0"/>
                <w:color w:val="auto"/>
                <w:kern w:val="0"/>
                <w:sz w:val="24"/>
                <w:highlight w:val="none"/>
              </w:rPr>
            </w:pPr>
            <w:r>
              <w:rPr>
                <w:rFonts w:hint="eastAsia" w:ascii="宋体" w:hAnsi="宋体" w:eastAsia="宋体" w:cs="宋体"/>
                <w:b/>
                <w:bCs/>
                <w:color w:val="auto"/>
                <w:kern w:val="0"/>
                <w:sz w:val="24"/>
                <w:highlight w:val="none"/>
                <w:lang w:val="zh-CN"/>
              </w:rPr>
              <w:t>投标人未提供有效的资格证明文件的，视为投标人不具备招标文件中规定的资格要求，投标无效。</w:t>
            </w:r>
          </w:p>
        </w:tc>
      </w:tr>
      <w:tr w14:paraId="6988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jc w:val="center"/>
        </w:trPr>
        <w:tc>
          <w:tcPr>
            <w:tcW w:w="344" w:type="pct"/>
            <w:vMerge w:val="continue"/>
            <w:tcBorders>
              <w:left w:val="single" w:color="auto" w:sz="4" w:space="0"/>
              <w:bottom w:val="single" w:color="auto" w:sz="4" w:space="0"/>
              <w:right w:val="single" w:color="auto" w:sz="4" w:space="0"/>
            </w:tcBorders>
            <w:vAlign w:val="center"/>
          </w:tcPr>
          <w:p w14:paraId="57E3D45C">
            <w:pPr>
              <w:shd w:val="clear"/>
              <w:rPr>
                <w:rFonts w:hint="eastAsia" w:ascii="宋体" w:hAnsi="宋体" w:eastAsia="宋体" w:cs="宋体"/>
                <w:color w:val="auto"/>
                <w:highlight w:val="none"/>
              </w:rPr>
            </w:pPr>
          </w:p>
        </w:tc>
        <w:tc>
          <w:tcPr>
            <w:tcW w:w="1012" w:type="pct"/>
            <w:vMerge w:val="continue"/>
            <w:tcBorders>
              <w:left w:val="single" w:color="auto" w:sz="4" w:space="0"/>
              <w:bottom w:val="single" w:color="000000" w:sz="8" w:space="0"/>
              <w:right w:val="single" w:color="000000" w:sz="8" w:space="0"/>
            </w:tcBorders>
            <w:vAlign w:val="center"/>
          </w:tcPr>
          <w:p w14:paraId="1E774A68">
            <w:pPr>
              <w:shd w:val="clear"/>
              <w:rPr>
                <w:rFonts w:hint="eastAsia" w:ascii="宋体" w:hAnsi="宋体" w:eastAsia="宋体" w:cs="宋体"/>
                <w:color w:val="auto"/>
                <w:highlight w:val="none"/>
              </w:rPr>
            </w:pPr>
          </w:p>
        </w:tc>
        <w:tc>
          <w:tcPr>
            <w:tcW w:w="3643" w:type="pct"/>
            <w:tcBorders>
              <w:top w:val="single" w:color="auto" w:sz="4" w:space="0"/>
              <w:left w:val="single" w:color="000000" w:sz="2" w:space="0"/>
              <w:bottom w:val="single" w:color="000000" w:sz="8" w:space="0"/>
              <w:right w:val="single" w:color="000000" w:sz="8" w:space="0"/>
            </w:tcBorders>
            <w:vAlign w:val="center"/>
          </w:tcPr>
          <w:p w14:paraId="4207064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FB93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14DF411C">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012" w:type="pct"/>
            <w:tcBorders>
              <w:top w:val="single" w:color="000000" w:sz="8" w:space="0"/>
              <w:left w:val="single" w:color="000000" w:sz="2" w:space="0"/>
              <w:bottom w:val="single" w:color="000000" w:sz="8" w:space="0"/>
              <w:right w:val="single" w:color="000000" w:sz="8" w:space="0"/>
            </w:tcBorders>
            <w:vAlign w:val="center"/>
          </w:tcPr>
          <w:p w14:paraId="37997AFD">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0DBD0F43">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8D2F0A">
            <w:pPr>
              <w:pStyle w:val="24"/>
              <w:shd w:val="clear"/>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335948349"/>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p>
          <w:p w14:paraId="4476D712">
            <w:pPr>
              <w:pStyle w:val="24"/>
              <w:widowControl w:val="0"/>
              <w:shd w:val="clear"/>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□优先采购节能产品。产品：</w:t>
            </w:r>
          </w:p>
          <w:p w14:paraId="3D59DD30">
            <w:pPr>
              <w:pStyle w:val="24"/>
              <w:shd w:val="clear"/>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□优先采购环保产品。产品：</w:t>
            </w:r>
          </w:p>
          <w:p w14:paraId="719C0019">
            <w:pPr>
              <w:pStyle w:val="24"/>
              <w:shd w:val="clear"/>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☑无</w:t>
            </w:r>
          </w:p>
        </w:tc>
      </w:tr>
      <w:tr w14:paraId="64C62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5A86125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012" w:type="pct"/>
            <w:tcBorders>
              <w:top w:val="single" w:color="000000" w:sz="8" w:space="0"/>
              <w:left w:val="single" w:color="000000" w:sz="2" w:space="0"/>
              <w:bottom w:val="single" w:color="000000" w:sz="8" w:space="0"/>
              <w:right w:val="single" w:color="000000" w:sz="8" w:space="0"/>
            </w:tcBorders>
            <w:vAlign w:val="center"/>
          </w:tcPr>
          <w:p w14:paraId="34FD2365">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3643" w:type="pct"/>
            <w:tcBorders>
              <w:top w:val="single" w:color="000000" w:sz="8" w:space="0"/>
              <w:left w:val="single" w:color="000000" w:sz="2" w:space="0"/>
              <w:bottom w:val="single" w:color="000000" w:sz="8" w:space="0"/>
              <w:right w:val="single" w:color="000000" w:sz="8" w:space="0"/>
            </w:tcBorders>
            <w:vAlign w:val="center"/>
          </w:tcPr>
          <w:p w14:paraId="2B6A17B4">
            <w:pPr>
              <w:shd w:val="clear"/>
              <w:adjustRightInd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3FAAA88">
            <w:pPr>
              <w:shd w:val="clear"/>
              <w:adjustRightInd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6E100D1D">
            <w:pPr>
              <w:shd w:val="clear"/>
              <w:adjustRightInd w:val="0"/>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48214EB">
            <w:pPr>
              <w:shd w:val="clear"/>
              <w:adjustRightInd w:val="0"/>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507F8E1D">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87FAA63">
            <w:pPr>
              <w:shd w:val="clea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20B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jc w:val="center"/>
        </w:trPr>
        <w:tc>
          <w:tcPr>
            <w:tcW w:w="344" w:type="pct"/>
            <w:tcBorders>
              <w:top w:val="single" w:color="auto" w:sz="4" w:space="0"/>
              <w:left w:val="single" w:color="000000" w:sz="8" w:space="0"/>
              <w:right w:val="single" w:color="000000" w:sz="2" w:space="0"/>
            </w:tcBorders>
            <w:vAlign w:val="center"/>
          </w:tcPr>
          <w:p w14:paraId="7F1227BC">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012" w:type="pct"/>
            <w:tcBorders>
              <w:top w:val="single" w:color="000000" w:sz="8" w:space="0"/>
              <w:left w:val="single" w:color="000000" w:sz="2" w:space="0"/>
              <w:right w:val="single" w:color="000000" w:sz="8" w:space="0"/>
            </w:tcBorders>
            <w:vAlign w:val="center"/>
          </w:tcPr>
          <w:p w14:paraId="408AED65">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3643" w:type="pct"/>
            <w:tcBorders>
              <w:top w:val="single" w:color="000000" w:sz="8" w:space="0"/>
              <w:left w:val="single" w:color="000000" w:sz="2" w:space="0"/>
              <w:right w:val="single" w:color="000000" w:sz="8" w:space="0"/>
            </w:tcBorders>
            <w:vAlign w:val="center"/>
          </w:tcPr>
          <w:p w14:paraId="63F1F98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040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36F3EAB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012" w:type="pct"/>
            <w:tcBorders>
              <w:top w:val="single" w:color="000000" w:sz="8" w:space="0"/>
              <w:left w:val="single" w:color="000000" w:sz="2" w:space="0"/>
              <w:bottom w:val="single" w:color="000000" w:sz="8" w:space="0"/>
              <w:right w:val="single" w:color="000000" w:sz="8" w:space="0"/>
            </w:tcBorders>
            <w:vAlign w:val="center"/>
          </w:tcPr>
          <w:p w14:paraId="4FB8017D">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3643" w:type="pct"/>
            <w:tcBorders>
              <w:top w:val="single" w:color="000000" w:sz="8" w:space="0"/>
              <w:left w:val="single" w:color="000000" w:sz="2" w:space="0"/>
              <w:bottom w:val="single" w:color="000000" w:sz="8" w:space="0"/>
              <w:right w:val="single" w:color="000000" w:sz="8" w:space="0"/>
            </w:tcBorders>
            <w:vAlign w:val="center"/>
          </w:tcPr>
          <w:p w14:paraId="43EDC128">
            <w:pPr>
              <w:pStyle w:val="10"/>
              <w:shd w:val="clear"/>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杭州市拱墅区祥园路45号盘石全球数字经济产业园D座409室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 xml:space="preserve"> 汪敏捷、15651797275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65EBD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jc w:val="center"/>
        </w:trPr>
        <w:tc>
          <w:tcPr>
            <w:tcW w:w="344" w:type="pct"/>
            <w:vMerge w:val="restart"/>
            <w:tcBorders>
              <w:top w:val="single" w:color="auto" w:sz="4" w:space="0"/>
              <w:left w:val="single" w:color="000000" w:sz="8" w:space="0"/>
              <w:right w:val="single" w:color="000000" w:sz="2" w:space="0"/>
            </w:tcBorders>
            <w:vAlign w:val="center"/>
          </w:tcPr>
          <w:p w14:paraId="173CCB2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012" w:type="pct"/>
            <w:vMerge w:val="restart"/>
            <w:tcBorders>
              <w:top w:val="single" w:color="000000" w:sz="8" w:space="0"/>
              <w:left w:val="single" w:color="000000" w:sz="2" w:space="0"/>
              <w:right w:val="single" w:color="000000" w:sz="8" w:space="0"/>
            </w:tcBorders>
            <w:vAlign w:val="center"/>
          </w:tcPr>
          <w:p w14:paraId="00185FE5">
            <w:pPr>
              <w:shd w:val="clear"/>
              <w:adjustRightInd w:val="0"/>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特别说明</w:t>
            </w:r>
          </w:p>
        </w:tc>
        <w:tc>
          <w:tcPr>
            <w:tcW w:w="3643" w:type="pct"/>
            <w:tcBorders>
              <w:top w:val="single" w:color="000000" w:sz="8" w:space="0"/>
              <w:left w:val="single" w:color="000000" w:sz="2" w:space="0"/>
              <w:bottom w:val="single" w:color="000000" w:sz="8" w:space="0"/>
              <w:right w:val="single" w:color="000000" w:sz="8" w:space="0"/>
            </w:tcBorders>
            <w:vAlign w:val="center"/>
          </w:tcPr>
          <w:p w14:paraId="49C146D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473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jc w:val="center"/>
        </w:trPr>
        <w:tc>
          <w:tcPr>
            <w:tcW w:w="344" w:type="pct"/>
            <w:vMerge w:val="continue"/>
            <w:tcBorders>
              <w:left w:val="single" w:color="000000" w:sz="8" w:space="0"/>
              <w:bottom w:val="single" w:color="auto" w:sz="4" w:space="0"/>
              <w:right w:val="single" w:color="000000" w:sz="2" w:space="0"/>
            </w:tcBorders>
            <w:vAlign w:val="center"/>
          </w:tcPr>
          <w:p w14:paraId="0DB39FD8">
            <w:pPr>
              <w:shd w:val="clear"/>
              <w:rPr>
                <w:rFonts w:hint="eastAsia" w:ascii="宋体" w:hAnsi="宋体" w:eastAsia="宋体" w:cs="宋体"/>
                <w:color w:val="auto"/>
                <w:highlight w:val="none"/>
              </w:rPr>
            </w:pPr>
          </w:p>
        </w:tc>
        <w:tc>
          <w:tcPr>
            <w:tcW w:w="1012" w:type="pct"/>
            <w:vMerge w:val="continue"/>
            <w:tcBorders>
              <w:left w:val="single" w:color="000000" w:sz="2" w:space="0"/>
              <w:bottom w:val="single" w:color="000000" w:sz="8" w:space="0"/>
              <w:right w:val="single" w:color="000000" w:sz="8" w:space="0"/>
            </w:tcBorders>
            <w:vAlign w:val="center"/>
          </w:tcPr>
          <w:p w14:paraId="108C2084">
            <w:pPr>
              <w:shd w:val="clear"/>
              <w:rPr>
                <w:rFonts w:hint="eastAsia" w:ascii="宋体" w:hAnsi="宋体" w:eastAsia="宋体" w:cs="宋体"/>
                <w:color w:val="auto"/>
                <w:highlight w:val="none"/>
              </w:rPr>
            </w:pPr>
          </w:p>
        </w:tc>
        <w:tc>
          <w:tcPr>
            <w:tcW w:w="3643" w:type="pct"/>
            <w:tcBorders>
              <w:top w:val="single" w:color="000000" w:sz="8" w:space="0"/>
              <w:left w:val="single" w:color="000000" w:sz="2" w:space="0"/>
              <w:bottom w:val="single" w:color="000000" w:sz="8" w:space="0"/>
              <w:right w:val="single" w:color="000000" w:sz="8" w:space="0"/>
            </w:tcBorders>
            <w:vAlign w:val="center"/>
          </w:tcPr>
          <w:p w14:paraId="362618C0">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9CDE57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6B6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78807816">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012" w:type="pct"/>
            <w:tcBorders>
              <w:top w:val="single" w:color="000000" w:sz="8" w:space="0"/>
              <w:left w:val="single" w:color="000000" w:sz="2" w:space="0"/>
              <w:bottom w:val="single" w:color="000000" w:sz="8" w:space="0"/>
              <w:right w:val="single" w:color="000000" w:sz="8" w:space="0"/>
            </w:tcBorders>
            <w:vAlign w:val="center"/>
          </w:tcPr>
          <w:p w14:paraId="39CE3512">
            <w:pPr>
              <w:shd w:val="clear"/>
              <w:adjustRightInd w:val="0"/>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中标候选人数量</w:t>
            </w:r>
          </w:p>
        </w:tc>
        <w:tc>
          <w:tcPr>
            <w:tcW w:w="3643" w:type="pct"/>
            <w:tcBorders>
              <w:top w:val="single" w:color="000000" w:sz="8" w:space="0"/>
              <w:left w:val="single" w:color="000000" w:sz="2" w:space="0"/>
              <w:bottom w:val="single" w:color="000000" w:sz="8" w:space="0"/>
              <w:right w:val="single" w:color="000000" w:sz="8" w:space="0"/>
            </w:tcBorders>
            <w:vAlign w:val="center"/>
          </w:tcPr>
          <w:p w14:paraId="330946EF">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本项目推荐的中标候选人数量：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rPr>
              <w:t>。</w:t>
            </w:r>
          </w:p>
        </w:tc>
      </w:tr>
      <w:tr w14:paraId="07776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0" w:hRule="atLeast"/>
          <w:jc w:val="center"/>
        </w:trPr>
        <w:tc>
          <w:tcPr>
            <w:tcW w:w="344" w:type="pct"/>
            <w:tcBorders>
              <w:top w:val="single" w:color="auto" w:sz="4" w:space="0"/>
              <w:left w:val="single" w:color="000000" w:sz="8" w:space="0"/>
              <w:right w:val="single" w:color="000000" w:sz="2" w:space="0"/>
            </w:tcBorders>
            <w:vAlign w:val="center"/>
          </w:tcPr>
          <w:p w14:paraId="10C38B04">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Borders>
              <w:top w:val="single" w:color="000000" w:sz="8" w:space="0"/>
              <w:left w:val="single" w:color="000000" w:sz="2" w:space="0"/>
              <w:right w:val="single" w:color="000000" w:sz="8" w:space="0"/>
            </w:tcBorders>
            <w:vAlign w:val="center"/>
          </w:tcPr>
          <w:p w14:paraId="7D3F346C">
            <w:pPr>
              <w:shd w:val="clea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Borders>
              <w:top w:val="single" w:color="000000" w:sz="8" w:space="0"/>
              <w:left w:val="single" w:color="000000" w:sz="2" w:space="0"/>
              <w:bottom w:val="single" w:color="000000" w:sz="8" w:space="0"/>
              <w:right w:val="single" w:color="000000" w:sz="8" w:space="0"/>
            </w:tcBorders>
            <w:vAlign w:val="center"/>
          </w:tcPr>
          <w:p w14:paraId="416DBD2C">
            <w:pPr>
              <w:shd w:val="clear"/>
              <w:adjustRightInd w:val="0"/>
              <w:snapToGrid w:val="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标人需向浙江正浩招标代理有限公司支付招标代理服务费，收费标准为：以中标通知书中确定的中标总金额作为收费的计算基数，根据《关于杭州市招标代理服务收费管理有关问题的通知》（杭价费[2003]148号）文件规定的相应项目收费标准下浮65%取费。以上费用由中标人在领取中标通知书时一次性向采购代理机构付清。</w:t>
            </w:r>
          </w:p>
          <w:p w14:paraId="45186984">
            <w:pPr>
              <w:shd w:val="clear"/>
              <w:adjustRightInd w:val="0"/>
              <w:snapToGrid w:val="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收款单位（户名）：浙江正浩招标代理有限公司；</w:t>
            </w:r>
          </w:p>
          <w:p w14:paraId="14C1A94B">
            <w:pPr>
              <w:shd w:val="clear"/>
              <w:adjustRightInd w:val="0"/>
              <w:snapToGrid w:val="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开户银行：浙商银行杭州分行营业部；</w:t>
            </w:r>
          </w:p>
          <w:p w14:paraId="20F61C75">
            <w:pPr>
              <w:shd w:val="clear"/>
              <w:adjustRightInd w:val="0"/>
              <w:snapToGrid w:val="0"/>
              <w:contextualSpacing/>
              <w:jc w:val="left"/>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zh-CN"/>
              </w:rPr>
              <w:t>账号：3310010010120101045391；</w:t>
            </w:r>
          </w:p>
        </w:tc>
      </w:tr>
    </w:tbl>
    <w:p w14:paraId="47890FA8">
      <w:pPr>
        <w:shd w:val="clear"/>
        <w:rPr>
          <w:rFonts w:hint="eastAsia" w:ascii="宋体" w:hAnsi="宋体" w:eastAsia="宋体" w:cs="宋体"/>
          <w:color w:val="auto"/>
          <w:highlight w:val="none"/>
        </w:rPr>
      </w:pPr>
    </w:p>
    <w:p w14:paraId="62DB6DB2">
      <w:pPr>
        <w:shd w:val="clea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0C2E1CA9">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32F8CBD">
      <w:pPr>
        <w:shd w:val="clear"/>
        <w:adjustRightInd w:val="0"/>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9D144D7">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01F943B">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35E27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153EA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87001C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E7E06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34582C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A105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15ECE0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20013215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33279206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A800C42">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D923849">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1AD484C">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0C9C2A4">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8D2E1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98B7D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B29A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E7A865E">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C49C9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ECFA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2AB0260">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B8DA08">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DD26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以上的，对联合体或者大中型企业的报价给予</w:t>
      </w:r>
      <w:r>
        <w:rPr>
          <w:rFonts w:hint="eastAsia" w:ascii="宋体" w:hAnsi="宋体" w:eastAsia="宋体" w:cs="宋体"/>
          <w:color w:val="auto"/>
          <w:sz w:val="24"/>
          <w:highlight w:val="none"/>
          <w:u w:val="single"/>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9CA31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DB32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61232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21776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062C07A">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6027E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599FF4C0">
      <w:pPr>
        <w:pStyle w:val="5"/>
        <w:shd w:val="clear"/>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633816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620A53B">
      <w:pPr>
        <w:shd w:val="clea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746DF43">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0598BD">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6E81D24">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1800F3">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0872219">
      <w:pPr>
        <w:pStyle w:val="10"/>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8BFBD8C">
      <w:pPr>
        <w:pStyle w:val="10"/>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654D67">
      <w:pPr>
        <w:pStyle w:val="7"/>
        <w:shd w:val="clear"/>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268CBC2">
      <w:pPr>
        <w:pStyle w:val="10"/>
        <w:shd w:val="clea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24F05EB">
      <w:pPr>
        <w:pStyle w:val="10"/>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F8CCE05">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08BA309D">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0E5D7BA6">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412FDB47">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BF87209">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6E548B63">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CCD9E3D">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E8381F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质疑函范本及制作说明详见附件2。</w:t>
      </w:r>
    </w:p>
    <w:p w14:paraId="7B4575F0">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4.3.4对同一采购程序环节的质疑，供应商须在法定质疑期内一次性提出。</w:t>
      </w:r>
    </w:p>
    <w:p w14:paraId="454C3A3D">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E234B36">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70931C68">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36961A70">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3010B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00235B8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4.4.3供应商投诉应当有明确的请求和必要的证明材料。</w:t>
      </w:r>
    </w:p>
    <w:p w14:paraId="0D57B77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4.4.4以联合体形式参加政府采购活动的，其投诉应当由组成联合体的所有供应商共同提出。</w:t>
      </w:r>
    </w:p>
    <w:p w14:paraId="469BA65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9C82F1E">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A59C53D">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49E19153">
      <w:pPr>
        <w:shd w:val="clear"/>
        <w:adjustRightInd w:val="0"/>
        <w:snapToGrid w:val="0"/>
        <w:spacing w:line="360" w:lineRule="auto"/>
        <w:ind w:firstLine="480" w:firstLineChars="200"/>
        <w:rPr>
          <w:rFonts w:hint="eastAsia" w:ascii="宋体" w:hAnsi="宋体" w:eastAsia="宋体" w:cs="宋体"/>
          <w:color w:val="auto"/>
          <w:sz w:val="24"/>
          <w:highlight w:val="none"/>
        </w:rPr>
      </w:pPr>
    </w:p>
    <w:p w14:paraId="3DC92F87">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投诉书范本及制作说明详见附件3。</w:t>
      </w:r>
    </w:p>
    <w:p w14:paraId="2D01DBDC">
      <w:pPr>
        <w:pStyle w:val="25"/>
        <w:shd w:val="clear"/>
        <w:adjustRightInd w:val="0"/>
        <w:snapToGrid w:val="0"/>
        <w:spacing w:before="0"/>
        <w:rPr>
          <w:rFonts w:hint="eastAsia" w:ascii="宋体" w:hAnsi="宋体" w:eastAsia="宋体" w:cs="宋体"/>
          <w:color w:val="auto"/>
          <w:sz w:val="18"/>
          <w:szCs w:val="18"/>
          <w:highlight w:val="none"/>
        </w:rPr>
      </w:pPr>
    </w:p>
    <w:p w14:paraId="7719C03D">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15966D70">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21F2F3B6">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414AD89">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984627A">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36A6EBD">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34B40F3">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960507F">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DC00EBD">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8266F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C13C979">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2915F58">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67FD5D4">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BFA4F0">
      <w:pPr>
        <w:pStyle w:val="25"/>
        <w:shd w:val="clear"/>
        <w:adjustRightInd w:val="0"/>
        <w:snapToGrid w:val="0"/>
        <w:spacing w:before="0"/>
        <w:rPr>
          <w:rFonts w:hint="eastAsia" w:ascii="宋体" w:hAnsi="宋体" w:eastAsia="宋体" w:cs="宋体"/>
          <w:color w:val="auto"/>
          <w:highlight w:val="none"/>
        </w:rPr>
      </w:pPr>
    </w:p>
    <w:p w14:paraId="7A59DBC2">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A8F2193">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C91BF46">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B15E38">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66C3BA7">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BD7AFF4">
      <w:pPr>
        <w:pStyle w:val="10"/>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3D04DDD">
      <w:pPr>
        <w:pStyle w:val="7"/>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BE969F6">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01B8B3D">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5042C7E">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8F6E5A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16E9366">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9E87E81">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0FC63146">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11.1.3落实政府采购政策需满足的资格要求（如果有)；</w:t>
      </w:r>
    </w:p>
    <w:p w14:paraId="1E28A2BD">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2624366">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00E6E5E">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6FAF080">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370A5A89">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3D8F36">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4657194">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AEDE635">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2869265">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9F230E1">
      <w:pPr>
        <w:shd w:val="clear"/>
        <w:adjustRightInd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1523C8F">
      <w:pPr>
        <w:shd w:val="clear"/>
        <w:adjustRightInd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C98A598">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8B42E1D">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 报价情况说明（如果有）（如供应商报价低于项目预算50%的，应当提交本文档，详细阐述不影响产品质量或者诚信履约的具体原因）。</w:t>
      </w:r>
    </w:p>
    <w:p w14:paraId="72811EA8">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11.3.3中小企业声明函（如果有）；</w:t>
      </w:r>
    </w:p>
    <w:p w14:paraId="105F31EF">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1A16E22">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9AA0697">
      <w:pPr>
        <w:shd w:val="clea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2506056E">
      <w:pPr>
        <w:pStyle w:val="25"/>
        <w:shd w:val="clear"/>
        <w:adjustRightInd w:val="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B795838">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E0671A">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C9C324">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FA6AFD6">
      <w:pPr>
        <w:shd w:val="clea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D38EF66">
      <w:pPr>
        <w:pStyle w:val="25"/>
        <w:shd w:val="clear"/>
        <w:adjustRightInd w:val="0"/>
        <w:snapToGrid w:val="0"/>
        <w:spacing w:before="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5B70A0C">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F49E2E7">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34B19FB">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6CE6415">
      <w:pPr>
        <w:pStyle w:val="25"/>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EF2AE1">
      <w:pPr>
        <w:pStyle w:val="25"/>
        <w:shd w:val="clear"/>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A26F33">
      <w:pPr>
        <w:pStyle w:val="25"/>
        <w:shd w:val="clear"/>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DFB0DD5">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3F94004">
      <w:pPr>
        <w:pStyle w:val="10"/>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611BF15">
      <w:pPr>
        <w:pStyle w:val="10"/>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173AE2E">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BC192E0">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9B4AF92">
      <w:pPr>
        <w:pStyle w:val="10"/>
        <w:shd w:val="clear"/>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D3093E5">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5424650">
      <w:pPr>
        <w:pStyle w:val="2"/>
        <w:shd w:val="clear"/>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0414CD1">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4AD5C39">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AEBC3D9">
      <w:pPr>
        <w:pStyle w:val="25"/>
        <w:shd w:val="clear"/>
        <w:spacing w:before="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2FECF17">
      <w:pPr>
        <w:pStyle w:val="25"/>
        <w:shd w:val="clear"/>
        <w:spacing w:before="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9753878">
      <w:pPr>
        <w:pStyle w:val="25"/>
        <w:shd w:val="clear"/>
        <w:spacing w:before="0"/>
        <w:rPr>
          <w:rFonts w:hint="eastAsia" w:ascii="宋体" w:hAnsi="宋体" w:eastAsia="宋体" w:cs="宋体"/>
          <w:b/>
          <w:color w:val="auto"/>
          <w:sz w:val="32"/>
          <w:highlight w:val="none"/>
        </w:rPr>
      </w:pPr>
    </w:p>
    <w:p w14:paraId="2ED919EF">
      <w:pPr>
        <w:pStyle w:val="25"/>
        <w:shd w:val="clear"/>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B1F02DF">
      <w:pPr>
        <w:pStyle w:val="26"/>
        <w:shd w:val="clear"/>
        <w:adjustRightInd w:val="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1BFC70C">
      <w:pPr>
        <w:pStyle w:val="26"/>
        <w:shd w:val="clear"/>
        <w:adjustRightIn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16E7513">
      <w:pPr>
        <w:pStyle w:val="26"/>
        <w:shd w:val="clear"/>
        <w:adjustRightIn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9589A32">
      <w:pPr>
        <w:pStyle w:val="26"/>
        <w:shd w:val="clear"/>
        <w:adjustRightInd w:val="0"/>
        <w:spacing w:before="0" w:line="360" w:lineRule="auto"/>
        <w:ind w:left="0" w:firstLine="480" w:firstLineChars="200"/>
        <w:contextualSpacing/>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投标文件未按时解密，投标人提供了备份投标文件的，以备份投标文件作为依据，否则视为投标文件撤回。投标文件已按时解密的，备份投标文件自动失效。</w:t>
      </w:r>
    </w:p>
    <w:p w14:paraId="09E66C09">
      <w:pPr>
        <w:pStyle w:val="26"/>
        <w:shd w:val="clear"/>
        <w:adjustRightInd w:val="0"/>
        <w:spacing w:before="0" w:line="360" w:lineRule="auto"/>
        <w:ind w:left="0" w:firstLine="241" w:firstLineChars="1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4F50A8D6">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2795FE7">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289510D">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6219644">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4E95955">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25EA5E2">
      <w:pPr>
        <w:pStyle w:val="25"/>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0827084">
      <w:pPr>
        <w:pStyle w:val="25"/>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A80A25E">
      <w:pPr>
        <w:pStyle w:val="25"/>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CD8C32">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9842863">
      <w:pPr>
        <w:pStyle w:val="25"/>
        <w:shd w:val="clear"/>
        <w:spacing w:before="0"/>
        <w:ind w:firstLine="0" w:firstLineChars="0"/>
        <w:rPr>
          <w:rFonts w:hint="eastAsia" w:ascii="宋体" w:hAnsi="宋体" w:eastAsia="宋体" w:cs="宋体"/>
          <w:color w:val="auto"/>
          <w:kern w:val="0"/>
          <w:szCs w:val="24"/>
          <w:highlight w:val="none"/>
        </w:rPr>
      </w:pPr>
    </w:p>
    <w:p w14:paraId="2A29B4F0">
      <w:pPr>
        <w:shd w:val="clea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224B48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w:t>
      </w:r>
      <w:bookmarkStart w:id="1" w:name="_Hlk161318120"/>
      <w:r>
        <w:rPr>
          <w:rFonts w:hint="eastAsia" w:ascii="宋体" w:hAnsi="宋体" w:eastAsia="宋体" w:cs="宋体"/>
          <w:color w:val="auto"/>
          <w:sz w:val="24"/>
          <w:highlight w:val="none"/>
        </w:rPr>
        <w:t>评标委员会由采购人代表和评审专家组成，成员人数为5人（采购人代表1人，评标专家4人由采购代理机构在政采云平台相关专业随机抽取产生）</w:t>
      </w:r>
      <w:bookmarkEnd w:id="1"/>
      <w:r>
        <w:rPr>
          <w:rFonts w:hint="eastAsia" w:ascii="宋体" w:hAnsi="宋体" w:eastAsia="宋体"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F490414">
      <w:pPr>
        <w:shd w:val="clear"/>
        <w:spacing w:line="360" w:lineRule="auto"/>
        <w:rPr>
          <w:rFonts w:hint="eastAsia" w:ascii="宋体" w:hAnsi="宋体" w:eastAsia="宋体" w:cs="宋体"/>
          <w:b/>
          <w:color w:val="auto"/>
          <w:sz w:val="24"/>
          <w:highlight w:val="none"/>
        </w:rPr>
      </w:pPr>
    </w:p>
    <w:p w14:paraId="0F8A8B1B">
      <w:pPr>
        <w:shd w:val="clea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23FDE9D">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952382C">
      <w:pPr>
        <w:pStyle w:val="25"/>
        <w:shd w:val="clear"/>
        <w:adjustRightInd w:val="0"/>
        <w:snapToGrid w:val="0"/>
        <w:spacing w:before="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27B3DAD">
      <w:pPr>
        <w:pStyle w:val="25"/>
        <w:shd w:val="clear"/>
        <w:adjustRightInd w:val="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F44DFDD">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3820B740">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 w:name="_Hlk101184471"/>
      <w:r>
        <w:rPr>
          <w:rFonts w:hint="eastAsia" w:ascii="宋体" w:hAnsi="宋体" w:eastAsia="宋体" w:cs="宋体"/>
          <w:color w:val="auto"/>
          <w:szCs w:val="24"/>
          <w:highlight w:val="none"/>
        </w:rPr>
        <w:t>资格审查情况、评审专家抽取规则、符合性审查情况、</w:t>
      </w:r>
      <w:bookmarkEnd w:id="2"/>
      <w:r>
        <w:rPr>
          <w:rFonts w:hint="eastAsia" w:ascii="宋体" w:hAnsi="宋体" w:eastAsia="宋体" w:cs="宋体"/>
          <w:color w:val="auto"/>
          <w:szCs w:val="24"/>
          <w:highlight w:val="none"/>
        </w:rPr>
        <w:t>未中标情况说明、中标公告期限以及评审专家名单、评分汇总及明细、中小企业声明函（如有）。</w:t>
      </w:r>
    </w:p>
    <w:p w14:paraId="1596BA72">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747C878D">
      <w:pPr>
        <w:pStyle w:val="25"/>
        <w:shd w:val="clear"/>
        <w:adjustRightInd w:val="0"/>
        <w:snapToGrid w:val="0"/>
        <w:spacing w:before="0"/>
        <w:rPr>
          <w:rStyle w:val="20"/>
          <w:rFonts w:hint="eastAsia" w:ascii="宋体" w:hAnsi="宋体" w:eastAsia="宋体" w:cs="宋体"/>
          <w:color w:val="auto"/>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275230AE">
      <w:pPr>
        <w:pStyle w:val="28"/>
        <w:shd w:val="clear"/>
        <w:rPr>
          <w:rFonts w:hint="eastAsia" w:ascii="宋体" w:hAnsi="宋体" w:eastAsia="宋体" w:cs="宋体"/>
          <w:color w:val="auto"/>
          <w:highlight w:val="none"/>
        </w:rPr>
      </w:pPr>
    </w:p>
    <w:p w14:paraId="47391E47">
      <w:pPr>
        <w:shd w:val="clea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EE28D19">
      <w:pPr>
        <w:shd w:val="clea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9B72664">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5918857">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75785EB">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980B1C">
      <w:pPr>
        <w:pStyle w:val="25"/>
        <w:shd w:val="clear"/>
        <w:adjustRightInd w:val="0"/>
        <w:snapToGrid w:val="0"/>
        <w:spacing w:before="0"/>
        <w:rPr>
          <w:rFonts w:hint="eastAsia" w:ascii="宋体" w:hAnsi="宋体" w:eastAsia="宋体" w:cs="宋体"/>
          <w:color w:val="auto"/>
          <w:kern w:val="0"/>
          <w:highlight w:val="none"/>
        </w:rPr>
      </w:pPr>
      <w:r>
        <w:rPr>
          <w:rFonts w:hint="eastAsia" w:ascii="宋体" w:hAnsi="宋体" w:eastAsia="宋体" w:cs="宋体"/>
          <w:color w:val="auto"/>
          <w:szCs w:val="24"/>
          <w:highlight w:val="none"/>
          <w:lang w:val="zh-CN"/>
        </w:rPr>
        <w:t>25.2中标人按规定的日期、时间、地点，由法定代表人或</w:t>
      </w:r>
      <w:r>
        <w:rPr>
          <w:rFonts w:hint="eastAsia" w:ascii="宋体" w:hAnsi="宋体" w:eastAsia="宋体" w:cs="宋体"/>
          <w:color w:val="auto"/>
          <w:kern w:val="0"/>
          <w:highlight w:val="none"/>
          <w:lang w:val="zh-CN"/>
        </w:rPr>
        <w:t>其授权代表与采购人代表签订合同。如中标人为联合体的，由联合体成员各方法定代表人或其授权代表与采购人代表签订合同。</w:t>
      </w:r>
    </w:p>
    <w:p w14:paraId="67592A85">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D6FB03B">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FA6953D">
      <w:pPr>
        <w:pStyle w:val="25"/>
        <w:shd w:val="clear"/>
        <w:adjustRightInd w:val="0"/>
        <w:snapToGrid w:val="0"/>
        <w:spacing w:before="0" w:after="12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17E3366B">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4663CE0">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FA85402">
      <w:pPr>
        <w:shd w:val="clea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71CB531">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612CD444">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5DBD2E9">
      <w:pPr>
        <w:shd w:val="clear"/>
        <w:rPr>
          <w:rFonts w:hint="eastAsia" w:ascii="宋体" w:hAnsi="宋体" w:eastAsia="宋体" w:cs="宋体"/>
          <w:color w:val="auto"/>
          <w:highlight w:val="none"/>
        </w:rPr>
      </w:pPr>
    </w:p>
    <w:p w14:paraId="5C4AA5CF">
      <w:pPr>
        <w:shd w:val="clear"/>
        <w:adjustRightInd w:val="0"/>
        <w:snapToGrid w:val="0"/>
        <w:spacing w:line="360" w:lineRule="auto"/>
        <w:ind w:firstLine="3357" w:firstLineChars="1045"/>
        <w:rPr>
          <w:rFonts w:hint="eastAsia" w:ascii="宋体" w:hAnsi="宋体" w:eastAsia="宋体" w:cs="宋体"/>
          <w:b/>
          <w:color w:val="auto"/>
          <w:sz w:val="32"/>
          <w:highlight w:val="none"/>
        </w:rPr>
      </w:pPr>
    </w:p>
    <w:p w14:paraId="5B903147">
      <w:pPr>
        <w:shd w:val="clear"/>
        <w:adjustRightInd w:val="0"/>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0231E2D">
      <w:pPr>
        <w:pStyle w:val="25"/>
        <w:shd w:val="clear"/>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5E1097D8">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A0A286A">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6E0B689">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D159134">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9EA48A3">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55DA078">
      <w:pPr>
        <w:pStyle w:val="25"/>
        <w:shd w:val="clear"/>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8E77FC">
      <w:pPr>
        <w:shd w:val="clear"/>
        <w:tabs>
          <w:tab w:val="left" w:pos="0"/>
        </w:tabs>
        <w:spacing w:line="360" w:lineRule="auto"/>
        <w:ind w:firstLine="480"/>
        <w:rPr>
          <w:rFonts w:hint="eastAsia" w:ascii="宋体" w:hAnsi="宋体" w:eastAsia="宋体" w:cs="宋体"/>
          <w:color w:val="auto"/>
          <w:sz w:val="24"/>
          <w:highlight w:val="none"/>
        </w:rPr>
      </w:pPr>
    </w:p>
    <w:p w14:paraId="21447285">
      <w:pPr>
        <w:shd w:val="clea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872F7A7">
      <w:pPr>
        <w:pStyle w:val="2"/>
        <w:shd w:val="clear"/>
        <w:spacing w:line="360" w:lineRule="auto"/>
        <w:ind w:firstLine="0" w:firstLineChars="0"/>
        <w:outlineLvl w:val="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5104CA6">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7A7A0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6C60E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委托第三方代理机构成立验收小组（验收小组由5人组成，其中采购人1名，其余4名由第三方机构从乐采云专家库服务平台随机抽取相关专业），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C6FF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51971F">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0E13EA7">
      <w:pPr>
        <w:shd w:val="clear"/>
        <w:tabs>
          <w:tab w:val="left" w:pos="0"/>
        </w:tabs>
        <w:spacing w:line="360" w:lineRule="auto"/>
        <w:ind w:firstLine="480"/>
        <w:rPr>
          <w:rFonts w:hint="eastAsia" w:ascii="宋体" w:hAnsi="宋体" w:eastAsia="宋体" w:cs="宋体"/>
          <w:color w:val="auto"/>
          <w:kern w:val="0"/>
          <w:sz w:val="24"/>
          <w:highlight w:val="none"/>
        </w:rPr>
      </w:pPr>
    </w:p>
    <w:p w14:paraId="70710776">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FE5453">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4604F784">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5808A94C">
      <w:pPr>
        <w:shd w:val="clea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2025年杭州交警业务系统使用服务-2025年杭州交警网络及数据安全运维服务</w:t>
      </w:r>
      <w:r>
        <w:rPr>
          <w:rFonts w:hint="eastAsia" w:ascii="宋体" w:hAnsi="宋体" w:eastAsia="宋体" w:cs="宋体"/>
          <w:bCs/>
          <w:color w:val="auto"/>
          <w:sz w:val="24"/>
          <w:highlight w:val="none"/>
        </w:rPr>
        <w:t>主要内容：</w:t>
      </w:r>
      <w:r>
        <w:rPr>
          <w:rFonts w:hint="eastAsia" w:ascii="宋体" w:hAnsi="宋体" w:eastAsia="宋体" w:cs="宋体"/>
          <w:color w:val="auto"/>
          <w:sz w:val="24"/>
          <w:highlight w:val="none"/>
        </w:rPr>
        <w:t>以购买服务方式，提供交通管理数据全生命周期运营服务、安全加固及应用迁移改造服务、货运导航数据及运营保障服务、安全防控治理服务。</w:t>
      </w:r>
    </w:p>
    <w:p w14:paraId="14828886">
      <w:pPr>
        <w:shd w:val="clea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租赁期：12个月（2025年8月1日-2026年7月31日）。</w:t>
      </w:r>
    </w:p>
    <w:p w14:paraId="67D3A945">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b/>
          <w:bCs/>
          <w:color w:val="auto"/>
          <w:sz w:val="24"/>
          <w:highlight w:val="none"/>
        </w:rPr>
        <w:t>预算金额：</w:t>
      </w:r>
      <w:r>
        <w:rPr>
          <w:rFonts w:hint="eastAsia" w:ascii="宋体" w:hAnsi="宋体" w:eastAsia="宋体" w:cs="宋体"/>
          <w:color w:val="auto"/>
          <w:sz w:val="24"/>
          <w:highlight w:val="none"/>
        </w:rPr>
        <w:t>889.29万元（其中2025年安排444.645万元）；</w:t>
      </w:r>
    </w:p>
    <w:p w14:paraId="358935B4">
      <w:pPr>
        <w:shd w:val="clea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r>
        <w:rPr>
          <w:rFonts w:hint="eastAsia" w:ascii="宋体" w:hAnsi="宋体" w:eastAsia="宋体" w:cs="宋体"/>
          <w:b w:val="0"/>
          <w:color w:val="auto"/>
          <w:sz w:val="24"/>
          <w:highlight w:val="none"/>
        </w:rPr>
        <w:t>最高限价为8860100元</w:t>
      </w:r>
    </w:p>
    <w:p w14:paraId="0C07F7A9">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（三）需满足的政府采购政策目标和具体支持对象：</w:t>
      </w:r>
    </w:p>
    <w:p w14:paraId="74FA3741">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扶持中小企业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节能环保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其他（本项目不专门面向中小企业）</w:t>
      </w:r>
    </w:p>
    <w:p w14:paraId="249BA307">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（四）采购标的是否进口产品：</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进口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国产，本项目为</w:t>
      </w:r>
      <w:r>
        <w:rPr>
          <w:rFonts w:hint="eastAsia" w:ascii="宋体" w:hAnsi="宋体" w:eastAsia="宋体" w:cs="宋体"/>
          <w:color w:val="auto"/>
          <w:sz w:val="24"/>
          <w:highlight w:val="none"/>
          <w:u w:val="single"/>
        </w:rPr>
        <w:t>服务采购</w:t>
      </w:r>
      <w:r>
        <w:rPr>
          <w:rFonts w:hint="eastAsia" w:ascii="宋体" w:hAnsi="宋体" w:eastAsia="宋体" w:cs="宋体"/>
          <w:color w:val="auto"/>
          <w:sz w:val="24"/>
          <w:highlight w:val="none"/>
        </w:rPr>
        <w:t>。</w:t>
      </w:r>
    </w:p>
    <w:p w14:paraId="522595E5">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（五）拟采购标的的技术要求</w:t>
      </w:r>
    </w:p>
    <w:p w14:paraId="557562C7">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一）项目服务内容（标★项参数投标时提供具有CMA资质第三方检测机构或国家认可的检测机构出具检测报告）</w:t>
      </w:r>
    </w:p>
    <w:p w14:paraId="335960BB">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（一）交通管理数据全生命周期运营服务</w:t>
      </w:r>
    </w:p>
    <w:p w14:paraId="736A983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服务期内完成交通管理数据全生命周期运营服务，包括专网云平台系统运行及数据治理、公安网数据治理等内容。</w:t>
      </w:r>
    </w:p>
    <w:p w14:paraId="5CC6937E">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1、专网云平台系统运行及数据治理</w:t>
      </w:r>
    </w:p>
    <w:p w14:paraId="7FFBD2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（1）数据接入</w:t>
      </w:r>
    </w:p>
    <w:p w14:paraId="45F2E55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将各类信息化系统的结构化、半结构化、非结构化多种类型数据统一接入和预处理，预计接入30多张相关数据库表，每日接入数据量在5亿条左右，每日约70GB。具体如下：</w:t>
      </w:r>
    </w:p>
    <w:p w14:paraId="543C930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1）接入杭州市机动车卡口过车数据；</w:t>
      </w:r>
    </w:p>
    <w:p w14:paraId="4BDE5CA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2）接入互联网实时交通数据，包含交通事件、网约车司机；</w:t>
      </w:r>
    </w:p>
    <w:p w14:paraId="0E31D83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3）数据接入清单提供，根据要完成表单的接入工作，每月底提供机动车卡口数据接入清单、互联网实时交通数据接入清单和其它数据接入清单；</w:t>
      </w:r>
    </w:p>
    <w:p w14:paraId="5ED45D9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4）接入聚力etc数据、可变车道数据；</w:t>
      </w:r>
    </w:p>
    <w:p w14:paraId="1732C3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5）接入高德速度数据、延误指数数据、高德异常速度预警数据、临时停车预警数据；</w:t>
      </w:r>
    </w:p>
    <w:p w14:paraId="2FE645D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（2）数据治理</w:t>
      </w:r>
    </w:p>
    <w:p w14:paraId="5FBAE73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探查服务：对杭州市机动车卡口过车、交通工程、互联网实时交通源等30张库表数据进行打标。通过对来源数据存储位置、提供方式、总量和更新情况、业务含义、字段格式和取值分布、数据结构、数据质量等属性进行多维度探查，完成数据识别工作，为数据定义提供依据。</w:t>
      </w:r>
    </w:p>
    <w:p w14:paraId="134DE38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读取服务：在完成数据探查工作后，将杭州市机动车卡口过车、交通工程、互联网实时交通等30张库表数据与数据定义进行对比核验，确保数据质量和准确性。同时，对各种异构数据进行解密、解压、适配等多个环节操作，并对数据进行字符集转换、半结构化数据转换等其他转换，使数据符合数据处理要求的格式，供下一步处理。</w:t>
      </w:r>
    </w:p>
    <w:p w14:paraId="1EF0551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清洗服务：按照数据清洗标准进行杭州市机动车卡口过车、交通工程、互联网实时交通等30张库表数据过滤、去重、格转、校验等数据清洗操作，从而实现数据标准化，包括数据对标、数据去重、数据转换以及数据完整性校验、规范性校验、一致性校验等。</w:t>
      </w:r>
    </w:p>
    <w:p w14:paraId="5D7D53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共享服务：以专网云平台数据资源池为数据底座，通过数据共享打通公安部、交管局和交警支队各业务系统数据壁垒，加速数据资源由业务需求驱动和聚集，在业务协同上起到数据融合和共用的作用。为交通局日常业务、市局浙警智治驾驶舱、路网运行等场景提供杭州市机动车卡口过车、交通工程、互联网实时交通数据支撑。</w:t>
      </w:r>
    </w:p>
    <w:p w14:paraId="43DC724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5）数据传输服务：在数据共享和分发过程中，将涉及到一条或多条链路，数据传输将维护数据传输链路安全畅通，保障数据在传输过程中不错、不重、不丢。</w:t>
      </w:r>
    </w:p>
    <w:p w14:paraId="25662D1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模型标准化：使用标准化标签设计模型，包括杭州市机动车卡口过车、交通工程、互联网实时交通等众多的数据统计模型、分析模型、监控模型均具备管理和维护标识，便于模型运行维护过程中的统一化和规范化。</w:t>
      </w:r>
    </w:p>
    <w:p w14:paraId="2A7CC20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7）任务管理：对数据接入过程进行可视化管理，浏览数据接入任务，修改接入任务配置、实时调配任务的资源，设定任务通知等相关内容，保障接入任务顺畅进行。</w:t>
      </w:r>
    </w:p>
    <w:p w14:paraId="05B7FF4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断点传续保障：通过断点记录、断点标识、断点恢复，保障数据在下载或上传时,将下载或上传任务进行切分,每一个部分采用一个线程进行上传或下载,如果碰到网络故障,保障从已经上传或下载的部分开始继续上传下载未完成的部分，确保数据不重复、不缺失，从而提升数据传输效率、提高数据传输稳定性、减少网络带宽占用。</w:t>
      </w:r>
    </w:p>
    <w:p w14:paraId="69F8A0C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（3）数据透出</w:t>
      </w:r>
    </w:p>
    <w:p w14:paraId="6F6A50E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透出开发：按照业务场景的数据需求，提供对应的数据开发，实现数据的共享。完成接口透出的开发，包括路网运行数据、勤务管理数据、视频巡查数据、交通绿波数据、延误指数、交通量数据、非杭牌照急事通数据、交通态势数据、货运导航非现场违法数据、交通事件数据这些类型数据透出开发。</w:t>
      </w:r>
    </w:p>
    <w:p w14:paraId="333259B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（4）数据统计</w:t>
      </w:r>
    </w:p>
    <w:p w14:paraId="1AAAE5D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统计类数据开发：满足支队日常统计类业务保障，包括拥堵统计、事故统计、警情统计，并实现数字、excel、word等多样式统计结果呈现。</w:t>
      </w:r>
    </w:p>
    <w:p w14:paraId="409C42A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（5）数据迁移</w:t>
      </w:r>
    </w:p>
    <w:p w14:paraId="789B2A3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在专网云平台信创改造后，进行数据迁移、数据治理、模型迁移等相关工作。</w:t>
      </w:r>
    </w:p>
    <w:p w14:paraId="3EE90B5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（6）专网云平台运行保障</w:t>
      </w:r>
    </w:p>
    <w:p w14:paraId="3627A10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城市大脑云平台运维服务支撑、平台软件服务支撑、平台云资源管理、云平台升级、云平台的日常监测等日常运维服务，保障平日系统云资源的规划、开通、监测和运营保障。为提高响应效率，通过钉钉针对各应用资源高水位情况触发告警通知，保障视频专网各系统的稳定性。</w:t>
      </w:r>
    </w:p>
    <w:p w14:paraId="39A54D6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2）提供应急响应、应急保障、每日巡检等服务，有效保障云平台的稳定、安全运行。</w:t>
      </w:r>
    </w:p>
    <w:p w14:paraId="07DB1DBB">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2、公安网数据治理</w:t>
      </w:r>
    </w:p>
    <w:p w14:paraId="0CB9888A">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（1）数据接入</w:t>
      </w:r>
    </w:p>
    <w:p w14:paraId="6C8A6E2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实现多源数据接入，接入的数据源如下：</w:t>
      </w:r>
    </w:p>
    <w:p w14:paraId="5F238E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1）网约车车辆数据、司机数据、事件数据接入</w:t>
      </w:r>
    </w:p>
    <w:p w14:paraId="651A98D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2）重点车GPS数据接入</w:t>
      </w:r>
    </w:p>
    <w:p w14:paraId="70E7772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3）浙里快处数据22张表接入</w:t>
      </w:r>
    </w:p>
    <w:p w14:paraId="1D65C6B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4）云申领数据接入</w:t>
      </w:r>
    </w:p>
    <w:p w14:paraId="2256733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5）清障车数据云上重新接入</w:t>
      </w:r>
    </w:p>
    <w:p w14:paraId="65216DC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6）六合一违法事故及车辆数据接入</w:t>
      </w:r>
    </w:p>
    <w:p w14:paraId="023C393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7）智安通宣教及纳管数据接入</w:t>
      </w:r>
    </w:p>
    <w:p w14:paraId="613C69A0">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（2）数据上云</w:t>
      </w:r>
    </w:p>
    <w:p w14:paraId="774AC2B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多源数据上云：将各类信息化系统的结构化、半结构化、非结构化多种类型数据统一接入和预处理，预计接入60多张相关数据库表。包括网约车车辆数据、司机数据、事件数据，浙里快处数据，云申领数据，电动车智控数据上云。</w:t>
      </w:r>
    </w:p>
    <w:p w14:paraId="298F9C6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2）数据源管理：对数据接入的源端和目的端进行基本信息维护，提供对接入组件内数据源统一操作管理的能力，支持根据数据源名称搜索数据源，支持各种异构数据源的新增、编辑、删除操作。</w:t>
      </w:r>
    </w:p>
    <w:p w14:paraId="784B605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探查：包括专网经过初步治理后的数据探查和大数据平台中和交警业务强相关的部分数据探查，包括数据接入方式探查、业务探查、字段探查、数据项集探查、问题数据探查等，可用于对来源数据存储位置、提供方式、总量和更新情况、取值分布、数据质量等进行多维度探查，以达到认识数据的目的，共计需完成200张表的数据探查工作。</w:t>
      </w:r>
    </w:p>
    <w:p w14:paraId="4DC6909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4）数据定义：包括数据分级分类定义、数据提取策略定义等步骤。按照部标GA/DSJ 230-2019和GA/DSJ 231-2019规范，定义数据项的字段性质分类和字段敏感度分类；对结构化/半结构化数据提取策略进行定义，实现来源数据资源/数据项到目的数据资源/数据项的提取映射关系，为数据治理提供依据。</w:t>
      </w:r>
    </w:p>
    <w:p w14:paraId="2CD502E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读取：建立跨网络、跨平台的数据安全接入通道，为交警内部及存在信息共享的部门间数据抽取汇聚提供通道，支持多源异构数据的源系统读取数据，包括文件读取、数据库读取等，共计需完成200张表的数据读取工作。</w:t>
      </w:r>
    </w:p>
    <w:p w14:paraId="00813432">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（3）数据治理</w:t>
      </w:r>
    </w:p>
    <w:p w14:paraId="6ED9A6F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1）数据清洗：按照数据清洗标准进行数据过滤、去重、格转、校验等数据清洗操作，从而实现数据标准化，包括数据对标、数据去重、数据格转、数据校验等，完成200张表的数据清洗工作。</w:t>
      </w:r>
    </w:p>
    <w:p w14:paraId="57FE719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2）数据关联：根据数据定义中的关联规则或算法，将数据和其它知识数据、业务数据等进行关联，并输出关联信息，包括关联回填、关联提取。完成200张表的数据关联工作。</w:t>
      </w:r>
    </w:p>
    <w:p w14:paraId="6FCDB0A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提取：按照数据标准进行字段映射提取和处理函数配置，实现对源数据中各类数据的关键信息提取，包括确定数据源、确定提取字段、编写提取脚本、执行提取脚本、数据清洗和整理、数据存储，共计需完成200张表的数据提取工作。</w:t>
      </w:r>
    </w:p>
    <w:p w14:paraId="4AB258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4）数据分发：通过数据分发，实现对提取、清洗、关联、比对和标识后的数据进行分发处理（如：将结果数据对应分发到原始库、资源库等），预计完成约200张表的数据分发工作。</w:t>
      </w:r>
    </w:p>
    <w:p w14:paraId="788D2308">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（4）数据开发</w:t>
      </w:r>
    </w:p>
    <w:p w14:paraId="67A8273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1）数据指标服务：包括指标计算、指标推送、指标采集；</w:t>
      </w:r>
    </w:p>
    <w:p w14:paraId="2582884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2）指标计算：基于采购人需求完成指标内容的开发，整体流程包括：指标数据对接、指标详细设计、指标代码实现等，共计需完成60类的指标计算工作。</w:t>
      </w:r>
    </w:p>
    <w:p w14:paraId="3D4B41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3）指标推送：基于指标注册的更新频率要求将指标结果推送到指标中心，以可视化配置的形式对指标推送任务进行管理，同时支持以查看日志的形式对历史推送情况进行验证，共计需完成60类的指标推送工作。</w:t>
      </w:r>
    </w:p>
    <w:p w14:paraId="357C3A0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指标采集：指标推送是从指标中心推送指标结果，而指标采集是从指标中心将指标结果进行采集，采集的范围可以根据交警的实际使用需求进行申请；将指标结果从指标中心进行采集之后可以用于交警相关业务系统的应用，共计需完成30类的指标采集工作。</w:t>
      </w:r>
    </w:p>
    <w:p w14:paraId="3022F59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融合服务：支撑采购人特殊的数据使用需求，包括：数据关联、数据融合等，生成特定的结果表数据可以用于后续数据建模、数据查询、数据透出等数据使用需求，方便业务使用的同时也可以在数据安全层面进行把控，共计需完成30项的数据融合工作。</w:t>
      </w:r>
    </w:p>
    <w:p w14:paraId="002EFD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6）计算分析服务：基于特定需求完成计算逻辑设计，针对云上已交付的数据治理成果开展统计分析并产出计算结果，满足采购人数据分析需求，完成30项的计算分析工作</w:t>
      </w:r>
    </w:p>
    <w:p w14:paraId="3DA6650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7）新增多类数据开发：包括政务网IRS资源编目&amp;数据开发、PDT警力数据开发、警力排班数据开发、开发智安通依赖相关数据、网约车三宣数据新增企业宣教数据开发。</w:t>
      </w:r>
    </w:p>
    <w:p w14:paraId="1B12A38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进行现有120类数据魔方业务模型的梳理工作；在数据域进行120类数据魔方模型的重新设计、重新构建等工作（由于视频专网上的数据魔方模型不能直接迁移到数据域，故需要在数据域中将视频专网的里面的魔方重新在进行搭建并维护；因视频专网和数据中的数据存在一定的差距，且为了提升模型的多用途、计算等能力，故进行重构），涉及到的模型包括每日交通量、道路速度统计查询、高峰延误指数、道路早晚高峰速度模型；实现重构120类数据魔方模型的测试、运行、优化等工作</w:t>
      </w:r>
    </w:p>
    <w:p w14:paraId="36BA477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9）新增数据魔方开发，包括数据注册至数据资源平台并且注册到数据魔方30个和数据魔方算子更新升级30个</w:t>
      </w:r>
    </w:p>
    <w:p w14:paraId="799CC72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10）根据业务发展以及云上数据治理需要，新增60个以上业务类、服务类等相关模型的设计、开发、测试、运营、优化等工作。涵盖业务类模型、服务类模型</w:t>
      </w:r>
    </w:p>
    <w:p w14:paraId="0FFB2CC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11）新增接口开发，包括PDT警力数据推送接口开发、警力排班数据推送省局接口开发、老年人宣教数据推送省局接口开发、推送市局指标中心数据接口开发</w:t>
      </w:r>
    </w:p>
    <w:p w14:paraId="1594AE98">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（5）数据能力支撑</w:t>
      </w:r>
    </w:p>
    <w:p w14:paraId="38F4E52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1）数据资源管理：包括资源市场、资源档案、资源审批；</w:t>
      </w:r>
    </w:p>
    <w:p w14:paraId="646002B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2）资源市场：按照统一的标准规范对数据资源进行管理，实现数据资源科学、有序、安全使用。</w:t>
      </w:r>
    </w:p>
    <w:p w14:paraId="359FB41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3）资源档案：对数据资源进行档案式管理，使的用户更方便地了解和使用数据资源，简化用户认知数据表的难度，提高数据易用性。</w:t>
      </w:r>
    </w:p>
    <w:p w14:paraId="68FF3A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4）资源审批：提供资源审批功能供民警进行合理性验证，同时，以线上资源审批工单的形式进行管理，方便后续进行溯源管理。</w:t>
      </w:r>
    </w:p>
    <w:p w14:paraId="548EFA9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共计需完成200张表的资源的注册与管理工作。</w:t>
      </w:r>
    </w:p>
    <w:p w14:paraId="3914837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5）服务资源管理：包括服务市场、服务安全。</w:t>
      </w:r>
    </w:p>
    <w:p w14:paraId="41AD83E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6）服务市场：以界面化的形式进行表转服务的注册，已发布的数据服务将展示在服务市场中供业务方申请使用。</w:t>
      </w:r>
    </w:p>
    <w:p w14:paraId="3BF2942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7）服务安全：以数据应用的身份对服务接口进行白名单权限认证，支持对服务接口进行调用限额，避免单应用的异常调用影响整体系统。</w:t>
      </w:r>
    </w:p>
    <w:p w14:paraId="0E9B416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共计需完成30个服务的注册与管理工作。</w:t>
      </w:r>
    </w:p>
    <w:p w14:paraId="49EC71F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8）数据推送服务：数据推送服务主要用于支撑交警内部系统在云上的数据使用需求，包括离线数据推送、实时数据推送；</w:t>
      </w:r>
    </w:p>
    <w:p w14:paraId="1EF4B79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9）离线数据推送：离线数据推送指的是将上云或治理完成的结果表推送到应用方特定的关系型数据库，共计需完成50张表的离线数据推送。</w:t>
      </w:r>
    </w:p>
    <w:p w14:paraId="291F102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10）实时数据推送：实时数据指的是将实时数据推送到应用方的datahub，用于满足应用方的实时数据使用需求，预计完成30张表的实时数据推送。</w:t>
      </w:r>
    </w:p>
    <w:p w14:paraId="023E482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11）数据透出：数据透出用于支撑交警对外的数据共享需求，主要针对历史共享数据清单的数据链路进行梳理与切换，共计需完成50张表的数据透出工作。</w:t>
      </w:r>
    </w:p>
    <w:p w14:paraId="75A0E8F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12）数据问题排查，包括多次排查数据</w:t>
      </w:r>
      <w:bookmarkStart w:id="3" w:name="OLE_LINK27"/>
      <w:bookmarkStart w:id="4" w:name="OLE_LINK28"/>
      <w:r>
        <w:rPr>
          <w:rFonts w:hint="eastAsia" w:ascii="宋体" w:hAnsi="宋体" w:eastAsia="宋体" w:cs="宋体"/>
          <w:color w:val="auto"/>
          <w:sz w:val="24"/>
          <w:highlight w:val="none"/>
        </w:rPr>
        <w:t>魔方算子</w:t>
      </w:r>
      <w:bookmarkEnd w:id="3"/>
      <w:bookmarkEnd w:id="4"/>
      <w:r>
        <w:rPr>
          <w:rFonts w:hint="eastAsia" w:ascii="宋体" w:hAnsi="宋体" w:eastAsia="宋体" w:cs="宋体"/>
          <w:color w:val="auto"/>
          <w:sz w:val="24"/>
          <w:highlight w:val="none"/>
        </w:rPr>
        <w:t>无数据产出并解决、多次排查各应用开发公司反馈云上数据缺失情况并解决、多次排查交通舱指标不一致情况并解决、排查网约车企业宣教情况、排查外卖骑手数据情况</w:t>
      </w:r>
    </w:p>
    <w:p w14:paraId="65913AA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13）能力中心对接，包括指标中心对接、IT服务平台对接。</w:t>
      </w:r>
    </w:p>
    <w:p w14:paraId="3EB9897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指标中心对接：包括指标推送与指标采集：指标推送是将交警的相关系统、模型的成果转化为指标服务，发布到指标中心；指标采集是将指标中心各个业务系统和大屏已经开发好的指标成果进行采集共享，避免重复开发。</w:t>
      </w:r>
    </w:p>
    <w:p w14:paraId="03BD5E1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15）IT服务平台对接：对接IT服务平台注册的相关服务接口，通过服务接口可以查询其它部门共享的业务系统数据，满足交警特定的数据使用需求。</w:t>
      </w:r>
    </w:p>
    <w:p w14:paraId="3BD19A3D">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（6）数据预警运营</w:t>
      </w:r>
    </w:p>
    <w:p w14:paraId="3D33E8C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监测类数据工作：满足支队日常监测类业务保障，如在途量监测、拥堵指数监测、平均速度监测及某重点路段、重点路口拥堵监测等。同时，结合监测类数据接口开发，为交警支队大脑2.0各应用平台提供监测运营保障，每天巡检，每周出具运行监测报告一份。并构建运营服务规范体系，从而有效保障数据运营服务的高效、高质。</w:t>
      </w:r>
    </w:p>
    <w:p w14:paraId="6D412A3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上云任务监控运营：对接入组件的运行状况做一个整体的监控、包括任务监控、事件通知以及节点监控，通过监控中心发现任务或者执行节点的异常信息，及时预警通知运营人员，及时解决，共计需要完成300+个接入任务的运营管理。</w:t>
      </w:r>
    </w:p>
    <w:p w14:paraId="6F59992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治理任务监控运营：对当前数据治理中的周期任务和周期实例进行展示，周期任务包含查看上下游节点、查看节点详情、查看代码、编辑节点、查看实例、补数据等功能，周期实例包含查看上下游节点、查看运行日志、查看代码、编辑节点、查看血缘、重跑等功能。方便运营人员快速定位并修复数据治理问题，保障数据稳定性。</w:t>
      </w:r>
    </w:p>
    <w:p w14:paraId="20FDF26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4）针对已经完成的200+数据模型和魔方算子进行维护、升级、运营等工作。</w:t>
      </w:r>
    </w:p>
    <w:p w14:paraId="711BA00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5）指标中心指标保障：提供指标中心的多维保障工作，包括指标的上架、下架、修改、删除以及指标的查询</w:t>
      </w:r>
    </w:p>
    <w:p w14:paraId="6DD2FA29">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6）网约车数据保障：实现网约车数据的多维保障工作，包括数据的上传、修改、删除、接口开发维护等。</w:t>
      </w:r>
      <w:r>
        <w:rPr>
          <w:rFonts w:hint="eastAsia" w:ascii="宋体" w:hAnsi="宋体" w:eastAsia="宋体" w:cs="宋体"/>
          <w:color w:val="auto"/>
          <w:sz w:val="24"/>
          <w:highlight w:val="none"/>
        </w:rPr>
        <w:tab/>
      </w:r>
    </w:p>
    <w:p w14:paraId="31AB621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（二）安全加固及应用迁移改造服务</w:t>
      </w:r>
    </w:p>
    <w:p w14:paraId="749F3845">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服务期内完成安全加固及应用迁移改造服务，包括网络安全服务、非现场执法平台迁移改造服务等内容。</w:t>
      </w:r>
    </w:p>
    <w:p w14:paraId="3E008144">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1、网络安全服务</w:t>
      </w:r>
    </w:p>
    <w:p w14:paraId="48DD093C">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针对公安网、车管专网与视频专网的现状，公安网的网络安全性能尚能满足现有业务的安全保障工作。视频专网内仅建设有网络安全网关与大量的边界防护设备，网络内部安全隐患较大，着重针对视频专网进行安全保障服务。</w:t>
      </w:r>
    </w:p>
    <w:p w14:paraId="07919DE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（1）漏洞扫描服务</w:t>
      </w:r>
    </w:p>
    <w:p w14:paraId="218D4FE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安全漏洞检测是脆弱性识别的重要手段，能够帮助采购人发现设备和系统中存在的风险点，帮助采购人分析技术措施的有效执行，了解漏洞的危害，通过及时修补完善，避免对信息系统造成严重影响。</w:t>
      </w:r>
    </w:p>
    <w:p w14:paraId="3DC64F9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采购人进行解决。</w:t>
      </w:r>
    </w:p>
    <w:p w14:paraId="341D4E7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（2）数据库审计服务</w:t>
      </w:r>
    </w:p>
    <w:p w14:paraId="437EF137">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以安全为核心的审计服务，以全面审计和精确审计为基础，通过全面管理手段贯穿安全事件处理生命周期，致力于全面降低安全风险。通过全面审计，深入了解安全事件的多层次方面，包括对潜在威胁的深入分析和对系统漏洞的详尽检查，确保系统在安全方面的高度韧性。强调精确审计，通过高度精细的审计过程，发现并识别任何异常活动，包括微小的安全漏洞和未经授权的访问，有效地防范潜在风险。全面管理贯穿整个安全事件处理生命周期，建立起强大而可持续的安全框架，包括对安全策略的不断优化和更新，以适应不断演变的威胁环境。通过构建的审计服务，实现了全面降低安全风险的目标，为采购人提供持久而可靠的安全保障。</w:t>
      </w:r>
    </w:p>
    <w:p w14:paraId="0D709DEC">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（3）日志审计服务</w:t>
      </w:r>
    </w:p>
    <w:p w14:paraId="2150281A">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网络设备、安全设备、主机和应用系统日志进行全面标准化处理，实现一个高效的安全监控体系。通过及时发现各类安全威胁和异常行为事件，以保障采购人业务的持续、安全运营。通过标准化处理各种日志信息，建立一个有机的关联体系，使得采购人能够从全局的视角深入了解系统运行状态，确保任何潜在威胁都不会对业务造成中断。</w:t>
      </w:r>
    </w:p>
    <w:p w14:paraId="11B8C9C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基于国家标准的关联分析引擎服务工具，提供全维度、跨设备、细粒度的关联分析，通过透过事件表象还原事件背后的信息，提供真正可信赖的事件追责依据，为业务运行的深度安全提供坚实支持。实现信息资产的统一管理和监控资产的运行状况，提供集中化的统一管理平台工具。完成所有的日志信息集中收集与处理。</w:t>
      </w:r>
    </w:p>
    <w:p w14:paraId="68F4BFD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整体安全状况的全面审计，在第一时间发现潜在的问题并采取相应的措施。服务通过标准化处理日志信息，确保系统中的各类信息得到规范、统一的管理。通过关联分析引擎服务工具，深入挖掘事件背后的信息，为采购人提供更为全面的安全视角。</w:t>
      </w:r>
    </w:p>
    <w:p w14:paraId="542BB1B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（4）安全运营服务</w:t>
      </w:r>
    </w:p>
    <w:p w14:paraId="22F130F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配合采购人开展安全运营管理工作，提供5*8小时服务，负责公安信息网、视频专网、电子政务外网等相关网络的安全运营管理工作。</w:t>
      </w:r>
    </w:p>
    <w:p w14:paraId="50A155F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技术防护策略持续改进主要针对日常安全监测和安全风险检查的结果进行综合分析研判，识别网络安全威胁和脆弱性，从整体网络安全技术防护策略的角度提出准确、有效的改进措施，协助开展策略配置调优，并定期开展策略配置备份、系统软件、特征库升级等操作。</w:t>
      </w:r>
    </w:p>
    <w:p w14:paraId="6848815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针对日常安全监测和安全风险检查的结果进行综合分析研判，识别网络安全威胁、脆弱性和不合规配置项，从整体网络安全技术防护策略的角度提出准确、有效的改进措施，协助开展策略配置调优，以持续提升安全运行和防护能力。</w:t>
      </w:r>
    </w:p>
    <w:p w14:paraId="2F8EDED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（5）应急响应服务</w:t>
      </w:r>
    </w:p>
    <w:p w14:paraId="0B2111A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应急响应服务通常包括采取远程、现场等紧急措施和行动，恢复业务到正常服务状态；调查安全事件发生的原因，避免同类安全事件再次发生；在司法机关介入时，提供法律认可的数字证据等。</w:t>
      </w:r>
    </w:p>
    <w:p w14:paraId="1067672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取远程、现场等方式应对采购人突发的安全事件和安全问题。专家通过事件分析、原因查找、事件处置、证据保留、及事件溯源等方式，快速解决采购人信息安全事件及问题，恢复业务及系统的安全运行，并确保所有事件应急处置过程得到有效控制和记录。</w:t>
      </w:r>
    </w:p>
    <w:p w14:paraId="774899E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当需要应急响应协助交警针对应用系统发生安全事件，并产生重大影响时，提供应急资源支持和应急人员支持，评估影响范围、事件抑制、溯源分析和复盘安全事件，协助开展业务恢复工作，并针对安全事件提供有效的整改意见。每年提供不少于4次应急响应服务。</w:t>
      </w:r>
    </w:p>
    <w:p w14:paraId="6541F3A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（6）高级渗透测试服务</w:t>
      </w:r>
    </w:p>
    <w:p w14:paraId="7C8FA35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渗透测试服务是利用目标应用系统的安全弱点，模拟黑客可能使用的攻击方法和漏洞发现技术，以人工渗透为主，漏洞扫描工具为辅，在保证整个渗透测试过程都在可以控制和调整的范围之内，尽可能的获取目标信息系统的管理权限以及敏感信息的过程。</w:t>
      </w:r>
    </w:p>
    <w:p w14:paraId="13593B7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真实模拟黑客使用的工具和分析方法对交警指定的信息系统进行模拟攻击，结合智能工具扫描结果，进行深入的手工测试和分析，旨在识别工具弱点扫描无法发现的问题。这一过程包括先进的渗透测试工具的运用，模拟各类攻击场景，全面评估系统对于潜在威胁的抵抗能力。手工测试和分析与智能工具扫描相结合，通过深入的测试，发现那些仅依靠工具难以察觉的问题，提高对系统安全性的全面把控。服务注重发现系统中存在的潜在问题，如未经授权的访问、敏感数据的泄漏等，并为每个问题提供详尽的反馈和加固建议，确保信息系统能够在未来面对各类安全挑战时更为坚固和可靠。通过全面的、深度的渗透测试将为采购人信息系统提供实用而有效的安全加固方向，确保其在不断演进的网络威胁环境中保持最佳的安全状态。</w:t>
      </w:r>
    </w:p>
    <w:p w14:paraId="14B46C1C">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（7）应急预案服务</w:t>
      </w:r>
    </w:p>
    <w:p w14:paraId="43AB794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保障应急响应的服务质量，提供修订、完善应急预案服务。协助建立健全应急响应组织以及预防、预警机制，针对信息系统特点和可能的突发性安全事件拟制规范的应急处理流程，落实物质条件、人力和技术支撑等保障措施，制定出规范、全面、体系化的应急预案。</w:t>
      </w:r>
    </w:p>
    <w:p w14:paraId="565E27F7">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应急预案的制定和完善将规范应急处理行为，避免应急处理过程中出现混乱、无序状况，减少处理过程中错误的发生，从而避免不必要的损失。</w:t>
      </w:r>
    </w:p>
    <w:p w14:paraId="0560917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（8）应急演练服务</w:t>
      </w:r>
    </w:p>
    <w:p w14:paraId="220DD71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演练服务根据国家、行业等相关规章和标准，结合近年发生的安全事件和面临的安全风险，对采购人的网络安全应急预案进行全面评估与修订。基于符合采购人自身组织架构的网络安全应急预案服务，明确各个部门的责任，准备措施以及应对突发事件的配合机制，提供特定场景的安全演练。</w:t>
      </w:r>
    </w:p>
    <w:p w14:paraId="4CE25BA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人需求提供特定场景的演练，可选形式：桌面演练、现场演练。桌面推演服务包括：演练场景分析、演练剧本编写、现场调研、人员组织等。现场演练服务内容包括：现状调研、演练方案编制、演练流程编制、现场演练组织、演练总结等。通过应急演练有效检验并完善应急预案、应急流程，提升采购人人员整体应急能力。</w:t>
      </w:r>
    </w:p>
    <w:p w14:paraId="4466B07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（9）重要时期保障服务</w:t>
      </w:r>
    </w:p>
    <w:p w14:paraId="68DAD64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在重要时期，网络安全保障服务在重大活动的前、中、后阶段发挥着至关重要的作用。服务涵盖活动前的安全自查和运维，活动中的日志分析、安全值守、应急响应等，以及活动后的复盘总结。通过真实模拟黑客攻击手段，结合智能工具扫描和深入的手工测试与分析，专业团队识别工具弱点扫描难以发现的问题。这一全方位的服务体系致力于全面提升活动相关网络的安全性，增强网络的防御能力，以为采购人提供安全、快速、有效的安全服务。早期的安全自查和运维消除潜在隐患，实时的分析和值守保障网络安全，而活动后的复盘总结提供宝贵经验教训，不断优化服务流程。这一综合性的服务策略为重要时期的活动提供了强有力的网络支持，确保其在安全、稳定的网络环境中顺利展开，最大程度地降低潜在风险。</w:t>
      </w:r>
    </w:p>
    <w:p w14:paraId="7914BA4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（10）跨网数据安全交换服务 </w:t>
      </w:r>
    </w:p>
    <w:p w14:paraId="3173569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跨网数据安全交换服务，实现数据在视频专网与公安网之间的跨网数据安全交换，在交换过程中提供实时审计与监控能力，确保数据交换过程的安全合规。灵活的安全交换策略管理能力可以根据业务需求调整交换规则，满足公安网业务系统的各类交换需求。跨网数据安全交换服务集成了多种安全技术能力，诸如:身份认证、数字水印、敏感数据过滤、内容过滤、流量控制、格式检查、签名验签等能力，保护数据在跨网交换过程中的安全，通过实现路由访问控制ACL，将来自不同接入对象或不同外部链路的数据流按照接入平台的安全策略加以区分，从而实现安全、可靠、稳定的数据交换。</w:t>
      </w:r>
    </w:p>
    <w:p w14:paraId="2F13FB2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（11）违规外联监测服务</w:t>
      </w:r>
    </w:p>
    <w:p w14:paraId="20C6CD6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引入先进的监测技术和安全审计工具，实时监测网络流量、检测异常访问和识别不寻常的数据传输模式，以主动发现违规外联行为，提高对潜在威胁的感知。建立快速响应机制，一旦检测到异常行为，立即向采购人报告，以便迅速采取应对措施，增强采购人对整个网络系统的掌控。完成监测系统的定期检查和更新，修复系统漏洞，升级防护机制，保持系统的健康状态。采用智能化的边界安全防护系统，通过深度学习和行为分析，系统能够学习并识别正常的网络活动模式，实现对异常行为的自动识别和响应。</w:t>
      </w:r>
    </w:p>
    <w:p w14:paraId="78FA1EE9">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2、非现场执法平台迁移改造服务</w:t>
      </w:r>
    </w:p>
    <w:p w14:paraId="75997B7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（1）软硬件部分</w:t>
      </w:r>
    </w:p>
    <w:p w14:paraId="574EEF6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提供</w:t>
      </w:r>
      <w:r>
        <w:rPr>
          <w:rFonts w:hint="eastAsia" w:ascii="宋体" w:hAnsi="宋体" w:eastAsia="宋体" w:cs="宋体"/>
          <w:color w:val="auto"/>
          <w:sz w:val="24"/>
          <w:highlight w:val="none"/>
        </w:rPr>
        <w:t>支队非现场执法平台</w:t>
      </w:r>
      <w:r>
        <w:rPr>
          <w:rFonts w:hint="eastAsia" w:ascii="宋体" w:hAnsi="宋体" w:eastAsia="宋体" w:cs="宋体"/>
          <w:color w:val="auto"/>
          <w:sz w:val="24"/>
          <w:szCs w:val="22"/>
          <w:highlight w:val="none"/>
        </w:rPr>
        <w:t>国产化信创基础软硬件运行环境</w:t>
      </w:r>
      <w:r>
        <w:rPr>
          <w:rFonts w:hint="eastAsia" w:ascii="宋体" w:hAnsi="宋体" w:eastAsia="宋体" w:cs="宋体"/>
          <w:color w:val="auto"/>
          <w:sz w:val="24"/>
          <w:highlight w:val="none"/>
        </w:rPr>
        <w:t>，项目服务期结束后设备处置权归采购人所有。</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52"/>
        <w:gridCol w:w="5247"/>
      </w:tblGrid>
      <w:tr w14:paraId="77CC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02FC23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2B4876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49070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1300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5C3D61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5BB599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支队非现场执法平台硬件支撑环境搭建服务，包括非现场视频专网一体机4台</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64E70D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处理器：≥16核 2.5G*1</w:t>
            </w:r>
          </w:p>
          <w:p w14:paraId="739B9B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内存：≥DDR4 32G*2</w:t>
            </w:r>
          </w:p>
          <w:p w14:paraId="53CE87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硬盘：≥960G  SSD硬盘*2 +4×600G SAS硬盘</w:t>
            </w:r>
          </w:p>
          <w:p w14:paraId="7D64E8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网络：≥双口万兆网卡（含模块）</w:t>
            </w:r>
          </w:p>
          <w:p w14:paraId="3FEF6F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电源：≥550W电源模块*2</w:t>
            </w:r>
          </w:p>
          <w:p w14:paraId="547DB1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详细参数见“非现场视频专网一体机单台服务器详细参数要求”</w:t>
            </w:r>
          </w:p>
        </w:tc>
      </w:tr>
    </w:tbl>
    <w:p w14:paraId="07ACAB5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非现场视频专网一体机单台服务器详细参数如下：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96"/>
        <w:gridCol w:w="1330"/>
        <w:gridCol w:w="5293"/>
      </w:tblGrid>
      <w:tr w14:paraId="11A5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54B044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1A8A57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418" w:type="dxa"/>
            <w:tcBorders>
              <w:tl2br w:val="nil"/>
              <w:tr2bl w:val="nil"/>
            </w:tcBorders>
            <w:shd w:val="clear" w:color="000000" w:fill="auto"/>
            <w:vAlign w:val="center"/>
          </w:tcPr>
          <w:p w14:paraId="2D0230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645" w:type="dxa"/>
            <w:tcBorders>
              <w:tl2br w:val="nil"/>
              <w:tr2bl w:val="nil"/>
            </w:tcBorders>
            <w:shd w:val="clear" w:color="000000" w:fill="auto"/>
            <w:vAlign w:val="center"/>
          </w:tcPr>
          <w:p w14:paraId="523472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3F9C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476DCB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4074AB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418" w:type="dxa"/>
            <w:vMerge w:val="restart"/>
            <w:tcBorders>
              <w:tl2br w:val="nil"/>
              <w:tr2bl w:val="nil"/>
            </w:tcBorders>
            <w:vAlign w:val="center"/>
          </w:tcPr>
          <w:p w14:paraId="432C33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645" w:type="dxa"/>
            <w:tcBorders>
              <w:tl2br w:val="nil"/>
              <w:tr2bl w:val="nil"/>
            </w:tcBorders>
            <w:vAlign w:val="center"/>
          </w:tcPr>
          <w:p w14:paraId="396C8C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（1）配置国产架构处理器，支持超线程技术和睿频技术；</w:t>
            </w:r>
          </w:p>
        </w:tc>
      </w:tr>
      <w:tr w14:paraId="5704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vMerge w:val="continue"/>
            <w:tcBorders>
              <w:tl2br w:val="nil"/>
              <w:tr2bl w:val="nil"/>
            </w:tcBorders>
            <w:vAlign w:val="center"/>
          </w:tcPr>
          <w:p w14:paraId="0D1A1410">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926ED1B">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86FFA6C">
            <w:pPr>
              <w:shd w:val="clear"/>
              <w:rPr>
                <w:rFonts w:hint="eastAsia" w:ascii="宋体" w:hAnsi="宋体" w:eastAsia="宋体" w:cs="宋体"/>
                <w:color w:val="auto"/>
                <w:highlight w:val="none"/>
              </w:rPr>
            </w:pPr>
          </w:p>
        </w:tc>
        <w:tc>
          <w:tcPr>
            <w:tcW w:w="5645" w:type="dxa"/>
            <w:tcBorders>
              <w:tl2br w:val="nil"/>
              <w:tr2bl w:val="nil"/>
            </w:tcBorders>
            <w:vAlign w:val="center"/>
          </w:tcPr>
          <w:p w14:paraId="77A7EC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单颗CPU物理核心数≥16核、主频≥2.5GHz、末级缓存容量≥32MB、线程数≥32、热设计功耗≥135W、支持内存的最高速率≥3200MHz、通道数≥4、位宽≥64位；</w:t>
            </w:r>
          </w:p>
          <w:p w14:paraId="01A07D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投标人应在投标时给出CPU型号；</w:t>
            </w:r>
          </w:p>
        </w:tc>
      </w:tr>
      <w:tr w14:paraId="4D50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0B8B3D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540D94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418" w:type="dxa"/>
            <w:tcBorders>
              <w:tl2br w:val="nil"/>
              <w:tr2bl w:val="nil"/>
            </w:tcBorders>
            <w:vAlign w:val="center"/>
          </w:tcPr>
          <w:p w14:paraId="76D9B1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▲主板支持的CPU和内存情况</w:t>
            </w:r>
          </w:p>
        </w:tc>
        <w:tc>
          <w:tcPr>
            <w:tcW w:w="5645" w:type="dxa"/>
            <w:tcBorders>
              <w:tl2br w:val="nil"/>
              <w:tr2bl w:val="nil"/>
            </w:tcBorders>
            <w:vAlign w:val="center"/>
          </w:tcPr>
          <w:p w14:paraId="23C001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 16个；</w:t>
            </w:r>
          </w:p>
          <w:p w14:paraId="504AE3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投标人应在投标时给出主板支持的CPU型号；</w:t>
            </w:r>
          </w:p>
        </w:tc>
      </w:tr>
      <w:tr w14:paraId="38B8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0DA95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2657DBB9">
            <w:pPr>
              <w:shd w:val="clear"/>
              <w:rPr>
                <w:rFonts w:hint="eastAsia" w:ascii="宋体" w:hAnsi="宋体" w:eastAsia="宋体" w:cs="宋体"/>
                <w:color w:val="auto"/>
                <w:highlight w:val="none"/>
              </w:rPr>
            </w:pPr>
          </w:p>
        </w:tc>
        <w:tc>
          <w:tcPr>
            <w:tcW w:w="1418" w:type="dxa"/>
            <w:tcBorders>
              <w:tl2br w:val="nil"/>
              <w:tr2bl w:val="nil"/>
            </w:tcBorders>
            <w:vAlign w:val="center"/>
          </w:tcPr>
          <w:p w14:paraId="1225D1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645" w:type="dxa"/>
            <w:tcBorders>
              <w:tl2br w:val="nil"/>
              <w:tr2bl w:val="nil"/>
            </w:tcBorders>
            <w:vAlign w:val="center"/>
          </w:tcPr>
          <w:p w14:paraId="4F6DD4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主板内存槽数量≥16个</w:t>
            </w:r>
          </w:p>
        </w:tc>
      </w:tr>
      <w:tr w14:paraId="7AEE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5CD334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23A03AD0">
            <w:pPr>
              <w:shd w:val="clear"/>
              <w:rPr>
                <w:rFonts w:hint="eastAsia" w:ascii="宋体" w:hAnsi="宋体" w:eastAsia="宋体" w:cs="宋体"/>
                <w:color w:val="auto"/>
                <w:highlight w:val="none"/>
              </w:rPr>
            </w:pPr>
          </w:p>
        </w:tc>
        <w:tc>
          <w:tcPr>
            <w:tcW w:w="1418" w:type="dxa"/>
            <w:vMerge w:val="restart"/>
            <w:tcBorders>
              <w:tl2br w:val="nil"/>
              <w:tr2bl w:val="nil"/>
            </w:tcBorders>
            <w:vAlign w:val="center"/>
          </w:tcPr>
          <w:p w14:paraId="32F027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645" w:type="dxa"/>
            <w:tcBorders>
              <w:tl2br w:val="nil"/>
              <w:tr2bl w:val="nil"/>
            </w:tcBorders>
            <w:vAlign w:val="center"/>
          </w:tcPr>
          <w:p w14:paraId="44E3A4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（1）前置可支持≥12个SATA/SAS/NVME盘；后置可支持 2 SATA/SAS</w:t>
            </w:r>
          </w:p>
        </w:tc>
      </w:tr>
      <w:tr w14:paraId="575C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120BA54C">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78BD951">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0C97D80">
            <w:pPr>
              <w:shd w:val="clear"/>
              <w:rPr>
                <w:rFonts w:hint="eastAsia" w:ascii="宋体" w:hAnsi="宋体" w:eastAsia="宋体" w:cs="宋体"/>
                <w:color w:val="auto"/>
                <w:highlight w:val="none"/>
              </w:rPr>
            </w:pPr>
          </w:p>
        </w:tc>
        <w:tc>
          <w:tcPr>
            <w:tcW w:w="5645" w:type="dxa"/>
            <w:tcBorders>
              <w:tl2br w:val="nil"/>
              <w:tr2bl w:val="nil"/>
            </w:tcBorders>
            <w:vAlign w:val="center"/>
          </w:tcPr>
          <w:p w14:paraId="4F5DB3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（2）板载内置≥1个M.2 SATA插槽；</w:t>
            </w:r>
          </w:p>
        </w:tc>
      </w:tr>
      <w:tr w14:paraId="58F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543648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18782329">
            <w:pPr>
              <w:shd w:val="clear"/>
              <w:rPr>
                <w:rFonts w:hint="eastAsia" w:ascii="宋体" w:hAnsi="宋体" w:eastAsia="宋体" w:cs="宋体"/>
                <w:color w:val="auto"/>
                <w:highlight w:val="none"/>
              </w:rPr>
            </w:pPr>
          </w:p>
        </w:tc>
        <w:tc>
          <w:tcPr>
            <w:tcW w:w="1418" w:type="dxa"/>
            <w:tcBorders>
              <w:tl2br w:val="nil"/>
              <w:tr2bl w:val="nil"/>
            </w:tcBorders>
            <w:vAlign w:val="center"/>
          </w:tcPr>
          <w:p w14:paraId="698539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▲PCIe插槽接口</w:t>
            </w:r>
          </w:p>
        </w:tc>
        <w:tc>
          <w:tcPr>
            <w:tcW w:w="5645" w:type="dxa"/>
            <w:tcBorders>
              <w:tl2br w:val="nil"/>
              <w:tr2bl w:val="nil"/>
            </w:tcBorders>
            <w:vAlign w:val="center"/>
          </w:tcPr>
          <w:p w14:paraId="533CE2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3B61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7DB6FA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5A3119CE">
            <w:pPr>
              <w:shd w:val="clear"/>
              <w:rPr>
                <w:rFonts w:hint="eastAsia" w:ascii="宋体" w:hAnsi="宋体" w:eastAsia="宋体" w:cs="宋体"/>
                <w:color w:val="auto"/>
                <w:highlight w:val="none"/>
              </w:rPr>
            </w:pPr>
          </w:p>
        </w:tc>
        <w:tc>
          <w:tcPr>
            <w:tcW w:w="1418" w:type="dxa"/>
            <w:tcBorders>
              <w:tl2br w:val="nil"/>
              <w:tr2bl w:val="nil"/>
            </w:tcBorders>
            <w:vAlign w:val="center"/>
          </w:tcPr>
          <w:p w14:paraId="749DC8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645" w:type="dxa"/>
            <w:tcBorders>
              <w:tl2br w:val="nil"/>
              <w:tr2bl w:val="nil"/>
            </w:tcBorders>
            <w:vAlign w:val="center"/>
          </w:tcPr>
          <w:p w14:paraId="46990A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插槽数量≥5个,</w:t>
            </w:r>
          </w:p>
          <w:p w14:paraId="4948B2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x16插槽 (x16 Lane)</w:t>
            </w:r>
          </w:p>
          <w:p w14:paraId="3BF8C6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3个PCle4.0 x8插槽 (x8 Lane)</w:t>
            </w:r>
          </w:p>
          <w:p w14:paraId="10D12B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x4插槽 (x4 Lane)</w:t>
            </w:r>
          </w:p>
          <w:p w14:paraId="7B82CE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可通过扩展卡进行插槽扩展</w:t>
            </w:r>
          </w:p>
        </w:tc>
      </w:tr>
      <w:tr w14:paraId="5C04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C3510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shd w:val="clear" w:color="000000" w:fill="auto"/>
            <w:vAlign w:val="center"/>
          </w:tcPr>
          <w:p w14:paraId="463E42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418" w:type="dxa"/>
            <w:tcBorders>
              <w:tl2br w:val="nil"/>
              <w:tr2bl w:val="nil"/>
            </w:tcBorders>
            <w:shd w:val="clear" w:color="000000" w:fill="auto"/>
            <w:vAlign w:val="center"/>
          </w:tcPr>
          <w:p w14:paraId="7E269E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645" w:type="dxa"/>
            <w:tcBorders>
              <w:tl2br w:val="nil"/>
              <w:tr2bl w:val="nil"/>
            </w:tcBorders>
            <w:shd w:val="clear" w:color="000000" w:fill="auto"/>
            <w:vAlign w:val="center"/>
          </w:tcPr>
          <w:p w14:paraId="4042A7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内存数量≥4</w:t>
            </w:r>
          </w:p>
        </w:tc>
      </w:tr>
      <w:tr w14:paraId="2A09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08AECC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shd w:val="clear" w:color="000000" w:fill="auto"/>
            <w:vAlign w:val="center"/>
          </w:tcPr>
          <w:p w14:paraId="281783CA">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226968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645" w:type="dxa"/>
            <w:tcBorders>
              <w:tl2br w:val="nil"/>
              <w:tr2bl w:val="nil"/>
            </w:tcBorders>
            <w:shd w:val="clear" w:color="000000" w:fill="auto"/>
            <w:vAlign w:val="center"/>
          </w:tcPr>
          <w:p w14:paraId="53324C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实配≥64GB DDR4</w:t>
            </w:r>
          </w:p>
        </w:tc>
      </w:tr>
      <w:tr w14:paraId="6C82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419B6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shd w:val="clear" w:color="000000" w:fill="auto"/>
            <w:vAlign w:val="center"/>
          </w:tcPr>
          <w:p w14:paraId="3E4D3B1C">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570F83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645" w:type="dxa"/>
            <w:tcBorders>
              <w:tl2br w:val="nil"/>
              <w:tr2bl w:val="nil"/>
            </w:tcBorders>
            <w:shd w:val="clear" w:color="000000" w:fill="auto"/>
            <w:vAlign w:val="center"/>
          </w:tcPr>
          <w:p w14:paraId="3961AA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支持≥4个内存接口通道</w:t>
            </w:r>
          </w:p>
        </w:tc>
      </w:tr>
      <w:tr w14:paraId="7943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E5F79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vAlign w:val="center"/>
          </w:tcPr>
          <w:p w14:paraId="6D0488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418" w:type="dxa"/>
            <w:tcBorders>
              <w:tl2br w:val="nil"/>
              <w:tr2bl w:val="nil"/>
            </w:tcBorders>
            <w:vAlign w:val="center"/>
          </w:tcPr>
          <w:p w14:paraId="57F1C3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645" w:type="dxa"/>
            <w:tcBorders>
              <w:tl2br w:val="nil"/>
              <w:tr2bl w:val="nil"/>
            </w:tcBorders>
            <w:vAlign w:val="center"/>
          </w:tcPr>
          <w:p w14:paraId="05A0EC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实配硬磁盘≥2.4T，实配固态盘≥1.92T；</w:t>
            </w:r>
          </w:p>
        </w:tc>
      </w:tr>
      <w:tr w14:paraId="79E1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D8F2A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592267AD">
            <w:pPr>
              <w:shd w:val="clear"/>
              <w:rPr>
                <w:rFonts w:hint="eastAsia" w:ascii="宋体" w:hAnsi="宋体" w:eastAsia="宋体" w:cs="宋体"/>
                <w:color w:val="auto"/>
                <w:highlight w:val="none"/>
              </w:rPr>
            </w:pPr>
          </w:p>
        </w:tc>
        <w:tc>
          <w:tcPr>
            <w:tcW w:w="1418" w:type="dxa"/>
            <w:tcBorders>
              <w:tl2br w:val="nil"/>
              <w:tr2bl w:val="nil"/>
            </w:tcBorders>
            <w:vAlign w:val="center"/>
          </w:tcPr>
          <w:p w14:paraId="43E165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645" w:type="dxa"/>
            <w:tcBorders>
              <w:tl2br w:val="nil"/>
              <w:tr2bl w:val="nil"/>
            </w:tcBorders>
            <w:vAlign w:val="center"/>
          </w:tcPr>
          <w:p w14:paraId="21C787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实配硬磁盘≥4块600G 2.5寸 10K 12Gb SAS硬盘，实配固态盘≥2块960G 2.5寸 SATA 6Gb R SSD；</w:t>
            </w:r>
          </w:p>
        </w:tc>
      </w:tr>
      <w:tr w14:paraId="2BD0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41A876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3DDB9F05">
            <w:pPr>
              <w:shd w:val="clear"/>
              <w:rPr>
                <w:rFonts w:hint="eastAsia" w:ascii="宋体" w:hAnsi="宋体" w:eastAsia="宋体" w:cs="宋体"/>
                <w:color w:val="auto"/>
                <w:highlight w:val="none"/>
              </w:rPr>
            </w:pPr>
          </w:p>
        </w:tc>
        <w:tc>
          <w:tcPr>
            <w:tcW w:w="1418" w:type="dxa"/>
            <w:vMerge w:val="restart"/>
            <w:tcBorders>
              <w:tl2br w:val="nil"/>
              <w:tr2bl w:val="nil"/>
            </w:tcBorders>
            <w:vAlign w:val="center"/>
          </w:tcPr>
          <w:p w14:paraId="21892E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645" w:type="dxa"/>
            <w:tcBorders>
              <w:tl2br w:val="nil"/>
              <w:tr2bl w:val="nil"/>
            </w:tcBorders>
            <w:vAlign w:val="center"/>
          </w:tcPr>
          <w:p w14:paraId="6E6B58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（1）最高支持≥12个SATA/SAS/NVME 3.5寸/2.5寸硬盘</w:t>
            </w:r>
          </w:p>
        </w:tc>
      </w:tr>
      <w:tr w14:paraId="5DC0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460AECCC">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5E3F435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1700DC1D">
            <w:pPr>
              <w:shd w:val="clear"/>
              <w:rPr>
                <w:rFonts w:hint="eastAsia" w:ascii="宋体" w:hAnsi="宋体" w:eastAsia="宋体" w:cs="宋体"/>
                <w:color w:val="auto"/>
                <w:highlight w:val="none"/>
              </w:rPr>
            </w:pPr>
          </w:p>
        </w:tc>
        <w:tc>
          <w:tcPr>
            <w:tcW w:w="5645" w:type="dxa"/>
            <w:tcBorders>
              <w:tl2br w:val="nil"/>
              <w:tr2bl w:val="nil"/>
            </w:tcBorders>
            <w:vAlign w:val="center"/>
          </w:tcPr>
          <w:p w14:paraId="137803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（2）后置可支持≥2个SATA/SAS 2.5寸硬盘/3.5寸硬盘；</w:t>
            </w:r>
          </w:p>
        </w:tc>
      </w:tr>
      <w:tr w14:paraId="490E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757DD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6E439B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418" w:type="dxa"/>
            <w:tcBorders>
              <w:tl2br w:val="nil"/>
              <w:tr2bl w:val="nil"/>
            </w:tcBorders>
            <w:vAlign w:val="center"/>
          </w:tcPr>
          <w:p w14:paraId="6BF1D2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645" w:type="dxa"/>
            <w:tcBorders>
              <w:tl2br w:val="nil"/>
              <w:tr2bl w:val="nil"/>
            </w:tcBorders>
            <w:vAlign w:val="center"/>
          </w:tcPr>
          <w:p w14:paraId="42E927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≥1个双口万兆网卡（含模块）</w:t>
            </w:r>
          </w:p>
        </w:tc>
      </w:tr>
      <w:tr w14:paraId="54E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953CC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6CE7C7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418" w:type="dxa"/>
            <w:tcBorders>
              <w:tl2br w:val="nil"/>
              <w:tr2bl w:val="nil"/>
            </w:tcBorders>
            <w:vAlign w:val="center"/>
          </w:tcPr>
          <w:p w14:paraId="3343C3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645" w:type="dxa"/>
            <w:tcBorders>
              <w:tl2br w:val="nil"/>
              <w:tr2bl w:val="nil"/>
            </w:tcBorders>
            <w:vAlign w:val="center"/>
          </w:tcPr>
          <w:p w14:paraId="3DE98F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16C9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AA515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271E66EA">
            <w:pPr>
              <w:shd w:val="clear"/>
              <w:rPr>
                <w:rFonts w:hint="eastAsia" w:ascii="宋体" w:hAnsi="宋体" w:eastAsia="宋体" w:cs="宋体"/>
                <w:color w:val="auto"/>
                <w:highlight w:val="none"/>
              </w:rPr>
            </w:pPr>
          </w:p>
        </w:tc>
        <w:tc>
          <w:tcPr>
            <w:tcW w:w="1418" w:type="dxa"/>
            <w:tcBorders>
              <w:tl2br w:val="nil"/>
              <w:tr2bl w:val="nil"/>
            </w:tcBorders>
            <w:vAlign w:val="center"/>
          </w:tcPr>
          <w:p w14:paraId="4CF707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645" w:type="dxa"/>
            <w:tcBorders>
              <w:tl2br w:val="nil"/>
              <w:tr2bl w:val="nil"/>
            </w:tcBorders>
            <w:vAlign w:val="center"/>
          </w:tcPr>
          <w:p w14:paraId="47E00C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w:t>
            </w:r>
            <w:r>
              <w:rPr>
                <w:rFonts w:hint="eastAsia" w:ascii="宋体" w:hAnsi="宋体" w:eastAsia="宋体" w:cs="宋体"/>
                <w:b w:val="0"/>
                <w:bCs w:val="0"/>
                <w:color w:val="auto"/>
                <w:szCs w:val="21"/>
                <w:highlight w:val="none"/>
              </w:rPr>
              <w:t>2个位</w:t>
            </w:r>
            <w:r>
              <w:rPr>
                <w:rFonts w:hint="eastAsia" w:ascii="宋体" w:hAnsi="宋体" w:eastAsia="宋体" w:cs="宋体"/>
                <w:color w:val="auto"/>
                <w:szCs w:val="21"/>
                <w:highlight w:val="none"/>
              </w:rPr>
              <w:t>于机箱前部。</w:t>
            </w:r>
          </w:p>
        </w:tc>
      </w:tr>
      <w:tr w14:paraId="298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EE26F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25165B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418" w:type="dxa"/>
            <w:tcBorders>
              <w:tl2br w:val="nil"/>
              <w:tr2bl w:val="nil"/>
            </w:tcBorders>
            <w:vAlign w:val="center"/>
          </w:tcPr>
          <w:p w14:paraId="12376F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645" w:type="dxa"/>
            <w:tcBorders>
              <w:tl2br w:val="nil"/>
              <w:tr2bl w:val="nil"/>
            </w:tcBorders>
            <w:vAlign w:val="center"/>
          </w:tcPr>
          <w:p w14:paraId="3D222B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21BF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724BB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369078F6">
            <w:pPr>
              <w:shd w:val="clear"/>
              <w:rPr>
                <w:rFonts w:hint="eastAsia" w:ascii="宋体" w:hAnsi="宋体" w:eastAsia="宋体" w:cs="宋体"/>
                <w:color w:val="auto"/>
                <w:highlight w:val="none"/>
              </w:rPr>
            </w:pPr>
          </w:p>
        </w:tc>
        <w:tc>
          <w:tcPr>
            <w:tcW w:w="1418" w:type="dxa"/>
            <w:tcBorders>
              <w:tl2br w:val="nil"/>
              <w:tr2bl w:val="nil"/>
            </w:tcBorders>
            <w:vAlign w:val="center"/>
          </w:tcPr>
          <w:p w14:paraId="763758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645" w:type="dxa"/>
            <w:tcBorders>
              <w:tl2br w:val="nil"/>
              <w:tr2bl w:val="nil"/>
            </w:tcBorders>
            <w:vAlign w:val="center"/>
          </w:tcPr>
          <w:p w14:paraId="3B84A8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≥550W，电源模块功率应有一定冗余，满足处理器满载时的需求</w:t>
            </w:r>
          </w:p>
        </w:tc>
      </w:tr>
      <w:tr w14:paraId="401E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23D2BE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27F474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418" w:type="dxa"/>
            <w:vMerge w:val="restart"/>
            <w:tcBorders>
              <w:tl2br w:val="nil"/>
              <w:tr2bl w:val="nil"/>
            </w:tcBorders>
            <w:vAlign w:val="center"/>
          </w:tcPr>
          <w:p w14:paraId="09C34A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645" w:type="dxa"/>
            <w:tcBorders>
              <w:tl2br w:val="nil"/>
              <w:tr2bl w:val="nil"/>
            </w:tcBorders>
            <w:vAlign w:val="center"/>
          </w:tcPr>
          <w:p w14:paraId="209D8E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29F4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6247E339">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0CF4E9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82E7EFD">
            <w:pPr>
              <w:shd w:val="clear"/>
              <w:rPr>
                <w:rFonts w:hint="eastAsia" w:ascii="宋体" w:hAnsi="宋体" w:eastAsia="宋体" w:cs="宋体"/>
                <w:color w:val="auto"/>
                <w:highlight w:val="none"/>
              </w:rPr>
            </w:pPr>
          </w:p>
        </w:tc>
        <w:tc>
          <w:tcPr>
            <w:tcW w:w="5645" w:type="dxa"/>
            <w:tcBorders>
              <w:tl2br w:val="nil"/>
              <w:tr2bl w:val="nil"/>
            </w:tcBorders>
            <w:vAlign w:val="center"/>
          </w:tcPr>
          <w:p w14:paraId="31F141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725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FBB265C">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17340C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41D2F783">
            <w:pPr>
              <w:shd w:val="clear"/>
              <w:rPr>
                <w:rFonts w:hint="eastAsia" w:ascii="宋体" w:hAnsi="宋体" w:eastAsia="宋体" w:cs="宋体"/>
                <w:color w:val="auto"/>
                <w:highlight w:val="none"/>
              </w:rPr>
            </w:pPr>
          </w:p>
        </w:tc>
        <w:tc>
          <w:tcPr>
            <w:tcW w:w="5645" w:type="dxa"/>
            <w:tcBorders>
              <w:tl2br w:val="nil"/>
              <w:tr2bl w:val="nil"/>
            </w:tcBorders>
            <w:vAlign w:val="center"/>
          </w:tcPr>
          <w:p w14:paraId="214EB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2442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132B2955">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B6725F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65983958">
            <w:pPr>
              <w:shd w:val="clear"/>
              <w:rPr>
                <w:rFonts w:hint="eastAsia" w:ascii="宋体" w:hAnsi="宋体" w:eastAsia="宋体" w:cs="宋体"/>
                <w:color w:val="auto"/>
                <w:highlight w:val="none"/>
              </w:rPr>
            </w:pPr>
          </w:p>
        </w:tc>
        <w:tc>
          <w:tcPr>
            <w:tcW w:w="5645" w:type="dxa"/>
            <w:tcBorders>
              <w:tl2br w:val="nil"/>
              <w:tr2bl w:val="nil"/>
            </w:tcBorders>
            <w:vAlign w:val="center"/>
          </w:tcPr>
          <w:p w14:paraId="0636C9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50E3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5931C37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98266D1">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8A0AE66">
            <w:pPr>
              <w:shd w:val="clear"/>
              <w:rPr>
                <w:rFonts w:hint="eastAsia" w:ascii="宋体" w:hAnsi="宋体" w:eastAsia="宋体" w:cs="宋体"/>
                <w:color w:val="auto"/>
                <w:highlight w:val="none"/>
              </w:rPr>
            </w:pPr>
          </w:p>
        </w:tc>
        <w:tc>
          <w:tcPr>
            <w:tcW w:w="5645" w:type="dxa"/>
            <w:tcBorders>
              <w:tl2br w:val="nil"/>
              <w:tr2bl w:val="nil"/>
            </w:tcBorders>
            <w:vAlign w:val="center"/>
          </w:tcPr>
          <w:p w14:paraId="55F2B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3D73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3FA79F2">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1D77F09">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748A8D9">
            <w:pPr>
              <w:shd w:val="clear"/>
              <w:rPr>
                <w:rFonts w:hint="eastAsia" w:ascii="宋体" w:hAnsi="宋体" w:eastAsia="宋体" w:cs="宋体"/>
                <w:color w:val="auto"/>
                <w:highlight w:val="none"/>
              </w:rPr>
            </w:pPr>
          </w:p>
        </w:tc>
        <w:tc>
          <w:tcPr>
            <w:tcW w:w="5645" w:type="dxa"/>
            <w:tcBorders>
              <w:tl2br w:val="nil"/>
              <w:tr2bl w:val="nil"/>
            </w:tcBorders>
            <w:vAlign w:val="center"/>
          </w:tcPr>
          <w:p w14:paraId="4E8C9A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7670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10C78D2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29F306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D6C7ED7">
            <w:pPr>
              <w:shd w:val="clear"/>
              <w:rPr>
                <w:rFonts w:hint="eastAsia" w:ascii="宋体" w:hAnsi="宋体" w:eastAsia="宋体" w:cs="宋体"/>
                <w:color w:val="auto"/>
                <w:highlight w:val="none"/>
              </w:rPr>
            </w:pPr>
          </w:p>
        </w:tc>
        <w:tc>
          <w:tcPr>
            <w:tcW w:w="5645" w:type="dxa"/>
            <w:tcBorders>
              <w:tl2br w:val="nil"/>
              <w:tr2bl w:val="nil"/>
            </w:tcBorders>
            <w:vAlign w:val="center"/>
          </w:tcPr>
          <w:p w14:paraId="46F3FA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783F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7E04F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233D3C05">
            <w:pPr>
              <w:shd w:val="clear"/>
              <w:rPr>
                <w:rFonts w:hint="eastAsia" w:ascii="宋体" w:hAnsi="宋体" w:eastAsia="宋体" w:cs="宋体"/>
                <w:color w:val="auto"/>
                <w:highlight w:val="none"/>
              </w:rPr>
            </w:pPr>
          </w:p>
        </w:tc>
        <w:tc>
          <w:tcPr>
            <w:tcW w:w="1418" w:type="dxa"/>
            <w:tcBorders>
              <w:tl2br w:val="nil"/>
              <w:tr2bl w:val="nil"/>
            </w:tcBorders>
            <w:vAlign w:val="center"/>
          </w:tcPr>
          <w:p w14:paraId="5FB136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645" w:type="dxa"/>
            <w:tcBorders>
              <w:tl2br w:val="nil"/>
              <w:tr2bl w:val="nil"/>
            </w:tcBorders>
            <w:vAlign w:val="center"/>
          </w:tcPr>
          <w:p w14:paraId="590C05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投标人应在投标时给出产品尺寸；</w:t>
            </w:r>
            <w:bookmarkStart w:id="5" w:name="OLE_LINK9"/>
            <w:bookmarkStart w:id="6" w:name="OLE_LINK8"/>
            <w:r>
              <w:rPr>
                <w:rFonts w:hint="eastAsia" w:ascii="宋体" w:hAnsi="宋体" w:eastAsia="宋体" w:cs="宋体"/>
                <w:color w:val="auto"/>
                <w:szCs w:val="21"/>
                <w:highlight w:val="none"/>
              </w:rPr>
              <w:t>设计应遵循标准化、系列化的要求，机箱的内部结构符合通用部件的安装需要。</w:t>
            </w:r>
            <w:bookmarkEnd w:id="5"/>
            <w:bookmarkEnd w:id="6"/>
          </w:p>
        </w:tc>
      </w:tr>
      <w:tr w14:paraId="38FC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AE70D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13E399D1">
            <w:pPr>
              <w:shd w:val="clear"/>
              <w:rPr>
                <w:rFonts w:hint="eastAsia" w:ascii="宋体" w:hAnsi="宋体" w:eastAsia="宋体" w:cs="宋体"/>
                <w:color w:val="auto"/>
                <w:highlight w:val="none"/>
              </w:rPr>
            </w:pPr>
          </w:p>
        </w:tc>
        <w:tc>
          <w:tcPr>
            <w:tcW w:w="1418" w:type="dxa"/>
            <w:tcBorders>
              <w:tl2br w:val="nil"/>
              <w:tr2bl w:val="nil"/>
            </w:tcBorders>
            <w:vAlign w:val="center"/>
          </w:tcPr>
          <w:p w14:paraId="5D842F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645" w:type="dxa"/>
            <w:tcBorders>
              <w:tl2br w:val="nil"/>
              <w:tr2bl w:val="nil"/>
            </w:tcBorders>
            <w:vAlign w:val="center"/>
          </w:tcPr>
          <w:p w14:paraId="0EEAB9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0054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C907E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1EF4F821">
            <w:pPr>
              <w:shd w:val="clear"/>
              <w:rPr>
                <w:rFonts w:hint="eastAsia" w:ascii="宋体" w:hAnsi="宋体" w:eastAsia="宋体" w:cs="宋体"/>
                <w:color w:val="auto"/>
                <w:highlight w:val="none"/>
              </w:rPr>
            </w:pPr>
          </w:p>
        </w:tc>
        <w:tc>
          <w:tcPr>
            <w:tcW w:w="1418" w:type="dxa"/>
            <w:tcBorders>
              <w:tl2br w:val="nil"/>
              <w:tr2bl w:val="nil"/>
            </w:tcBorders>
            <w:vAlign w:val="center"/>
          </w:tcPr>
          <w:p w14:paraId="2BA536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645" w:type="dxa"/>
            <w:tcBorders>
              <w:tl2br w:val="nil"/>
              <w:tr2bl w:val="nil"/>
            </w:tcBorders>
            <w:vAlign w:val="center"/>
          </w:tcPr>
          <w:p w14:paraId="3ABDC3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机械环境适应性应符合GB/T9813.3 的有关规定</w:t>
            </w:r>
          </w:p>
        </w:tc>
      </w:tr>
      <w:tr w14:paraId="6BF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tcBorders>
              <w:tl2br w:val="nil"/>
              <w:tr2bl w:val="nil"/>
            </w:tcBorders>
            <w:vAlign w:val="center"/>
          </w:tcPr>
          <w:p w14:paraId="5F00C7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525C81B7">
            <w:pPr>
              <w:shd w:val="clear"/>
              <w:rPr>
                <w:rFonts w:hint="eastAsia" w:ascii="宋体" w:hAnsi="宋体" w:eastAsia="宋体" w:cs="宋体"/>
                <w:color w:val="auto"/>
                <w:highlight w:val="none"/>
              </w:rPr>
            </w:pPr>
          </w:p>
        </w:tc>
        <w:tc>
          <w:tcPr>
            <w:tcW w:w="1418" w:type="dxa"/>
            <w:tcBorders>
              <w:tl2br w:val="nil"/>
              <w:tr2bl w:val="nil"/>
            </w:tcBorders>
            <w:vAlign w:val="center"/>
          </w:tcPr>
          <w:p w14:paraId="0A8271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645" w:type="dxa"/>
            <w:tcBorders>
              <w:tl2br w:val="nil"/>
              <w:tr2bl w:val="nil"/>
            </w:tcBorders>
            <w:vAlign w:val="center"/>
          </w:tcPr>
          <w:p w14:paraId="1320DE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的有关规定，在产品说明中给出具体测试值塔式服务器噪声在空闲状态下不大于50dB</w:t>
            </w:r>
          </w:p>
        </w:tc>
      </w:tr>
      <w:tr w14:paraId="512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50CD5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7B821F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418" w:type="dxa"/>
            <w:tcBorders>
              <w:tl2br w:val="nil"/>
              <w:tr2bl w:val="nil"/>
            </w:tcBorders>
            <w:vAlign w:val="center"/>
          </w:tcPr>
          <w:p w14:paraId="0CD8D8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645" w:type="dxa"/>
            <w:tcBorders>
              <w:tl2br w:val="nil"/>
              <w:tr2bl w:val="nil"/>
            </w:tcBorders>
            <w:vAlign w:val="center"/>
          </w:tcPr>
          <w:p w14:paraId="229335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投标人在投标时给出长度、高度和深度；</w:t>
            </w:r>
          </w:p>
        </w:tc>
      </w:tr>
      <w:tr w14:paraId="3AB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BD89F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42AF81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418" w:type="dxa"/>
            <w:tcBorders>
              <w:tl2br w:val="nil"/>
              <w:tr2bl w:val="nil"/>
            </w:tcBorders>
            <w:vAlign w:val="center"/>
          </w:tcPr>
          <w:p w14:paraId="687C41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645" w:type="dxa"/>
            <w:tcBorders>
              <w:tl2br w:val="nil"/>
              <w:tr2bl w:val="nil"/>
            </w:tcBorders>
            <w:vAlign w:val="center"/>
          </w:tcPr>
          <w:p w14:paraId="2B7555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799A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BF9C7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25F644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418" w:type="dxa"/>
            <w:tcBorders>
              <w:tl2br w:val="nil"/>
              <w:tr2bl w:val="nil"/>
            </w:tcBorders>
            <w:vAlign w:val="center"/>
          </w:tcPr>
          <w:p w14:paraId="2C3C74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645" w:type="dxa"/>
            <w:tcBorders>
              <w:tl2br w:val="nil"/>
              <w:tr2bl w:val="nil"/>
            </w:tcBorders>
            <w:vAlign w:val="center"/>
          </w:tcPr>
          <w:p w14:paraId="393925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1664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0C5F3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343D3C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418" w:type="dxa"/>
            <w:tcBorders>
              <w:tl2br w:val="nil"/>
              <w:tr2bl w:val="nil"/>
            </w:tcBorders>
            <w:vAlign w:val="center"/>
          </w:tcPr>
          <w:p w14:paraId="0B982F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645" w:type="dxa"/>
            <w:tcBorders>
              <w:tl2br w:val="nil"/>
              <w:tr2bl w:val="nil"/>
            </w:tcBorders>
            <w:vAlign w:val="center"/>
          </w:tcPr>
          <w:p w14:paraId="28002F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338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35072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2A647DEE">
            <w:pPr>
              <w:shd w:val="clear"/>
              <w:rPr>
                <w:rFonts w:hint="eastAsia" w:ascii="宋体" w:hAnsi="宋体" w:eastAsia="宋体" w:cs="宋体"/>
                <w:color w:val="auto"/>
                <w:highlight w:val="none"/>
              </w:rPr>
            </w:pPr>
          </w:p>
        </w:tc>
        <w:tc>
          <w:tcPr>
            <w:tcW w:w="1418" w:type="dxa"/>
            <w:tcBorders>
              <w:tl2br w:val="nil"/>
              <w:tr2bl w:val="nil"/>
            </w:tcBorders>
            <w:vAlign w:val="center"/>
          </w:tcPr>
          <w:p w14:paraId="4CEC49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645" w:type="dxa"/>
            <w:tcBorders>
              <w:tl2br w:val="nil"/>
              <w:tr2bl w:val="nil"/>
            </w:tcBorders>
            <w:vAlign w:val="center"/>
          </w:tcPr>
          <w:p w14:paraId="504A7D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4DEA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4C998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5AFC06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418" w:type="dxa"/>
            <w:tcBorders>
              <w:tl2br w:val="nil"/>
              <w:tr2bl w:val="nil"/>
            </w:tcBorders>
            <w:vAlign w:val="center"/>
          </w:tcPr>
          <w:p w14:paraId="07BBBF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645" w:type="dxa"/>
            <w:tcBorders>
              <w:tl2br w:val="nil"/>
              <w:tr2bl w:val="nil"/>
            </w:tcBorders>
            <w:vAlign w:val="center"/>
          </w:tcPr>
          <w:p w14:paraId="140128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435E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A295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3064E6F6">
            <w:pPr>
              <w:shd w:val="clear"/>
              <w:rPr>
                <w:rFonts w:hint="eastAsia" w:ascii="宋体" w:hAnsi="宋体" w:eastAsia="宋体" w:cs="宋体"/>
                <w:color w:val="auto"/>
                <w:highlight w:val="none"/>
              </w:rPr>
            </w:pPr>
          </w:p>
        </w:tc>
        <w:tc>
          <w:tcPr>
            <w:tcW w:w="1418" w:type="dxa"/>
            <w:tcBorders>
              <w:tl2br w:val="nil"/>
              <w:tr2bl w:val="nil"/>
            </w:tcBorders>
            <w:vAlign w:val="center"/>
          </w:tcPr>
          <w:p w14:paraId="499911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645" w:type="dxa"/>
            <w:tcBorders>
              <w:tl2br w:val="nil"/>
              <w:tr2bl w:val="nil"/>
            </w:tcBorders>
            <w:vAlign w:val="center"/>
          </w:tcPr>
          <w:p w14:paraId="194BF5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32D9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6ABE3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787A81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418" w:type="dxa"/>
            <w:tcBorders>
              <w:tl2br w:val="nil"/>
              <w:tr2bl w:val="nil"/>
            </w:tcBorders>
            <w:vAlign w:val="center"/>
          </w:tcPr>
          <w:p w14:paraId="7E61A8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645" w:type="dxa"/>
            <w:tcBorders>
              <w:tl2br w:val="nil"/>
              <w:tr2bl w:val="nil"/>
            </w:tcBorders>
            <w:vAlign w:val="center"/>
          </w:tcPr>
          <w:p w14:paraId="53E85F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支持风冷散热或液冷等散热方式</w:t>
            </w:r>
          </w:p>
        </w:tc>
      </w:tr>
      <w:tr w14:paraId="6A17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30" w:type="dxa"/>
            <w:tcBorders>
              <w:tl2br w:val="nil"/>
              <w:tr2bl w:val="nil"/>
            </w:tcBorders>
            <w:vAlign w:val="center"/>
          </w:tcPr>
          <w:p w14:paraId="468ED3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653163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418" w:type="dxa"/>
            <w:tcBorders>
              <w:tl2br w:val="nil"/>
              <w:tr2bl w:val="nil"/>
            </w:tcBorders>
            <w:vAlign w:val="center"/>
          </w:tcPr>
          <w:p w14:paraId="103332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▲BMC固件基础功能</w:t>
            </w:r>
          </w:p>
        </w:tc>
        <w:tc>
          <w:tcPr>
            <w:tcW w:w="5645" w:type="dxa"/>
            <w:tcBorders>
              <w:tl2br w:val="nil"/>
              <w:tr2bl w:val="nil"/>
            </w:tcBorders>
            <w:vAlign w:val="center"/>
          </w:tcPr>
          <w:p w14:paraId="3C2CF7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3FC798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45D1C0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6985B6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2E2F7F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06BC2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54378D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Redfish等接口功能；</w:t>
            </w:r>
          </w:p>
          <w:p w14:paraId="6E695D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7722EE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354CCE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0BE04F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5577E8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722482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42FE1A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75B056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4661B6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7B5B5E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7F2092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50EE7B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5C584E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393A94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642FD2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7EAE47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6EC97B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2E4F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630" w:type="dxa"/>
            <w:tcBorders>
              <w:tl2br w:val="nil"/>
              <w:tr2bl w:val="nil"/>
            </w:tcBorders>
            <w:vAlign w:val="center"/>
          </w:tcPr>
          <w:p w14:paraId="534EA8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08BD8F80">
            <w:pPr>
              <w:shd w:val="clear"/>
              <w:rPr>
                <w:rFonts w:hint="eastAsia" w:ascii="宋体" w:hAnsi="宋体" w:eastAsia="宋体" w:cs="宋体"/>
                <w:color w:val="auto"/>
                <w:highlight w:val="none"/>
              </w:rPr>
            </w:pPr>
          </w:p>
        </w:tc>
        <w:tc>
          <w:tcPr>
            <w:tcW w:w="1418" w:type="dxa"/>
            <w:tcBorders>
              <w:tl2br w:val="nil"/>
              <w:tr2bl w:val="nil"/>
            </w:tcBorders>
            <w:vAlign w:val="center"/>
          </w:tcPr>
          <w:p w14:paraId="55496D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645" w:type="dxa"/>
            <w:tcBorders>
              <w:tl2br w:val="nil"/>
              <w:tr2bl w:val="nil"/>
            </w:tcBorders>
            <w:vAlign w:val="center"/>
          </w:tcPr>
          <w:p w14:paraId="18696E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02FA63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77BDD9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548C74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1626D5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43A0DA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686236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4E4CCD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6080E0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178C81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识别和启动功能；k）支持串口重定向功能；</w:t>
            </w:r>
          </w:p>
          <w:p w14:paraId="2D7AF9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446074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28A449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6836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8FB8B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5BA4F93F">
            <w:pPr>
              <w:shd w:val="clear"/>
              <w:rPr>
                <w:rFonts w:hint="eastAsia" w:ascii="宋体" w:hAnsi="宋体" w:eastAsia="宋体" w:cs="宋体"/>
                <w:color w:val="auto"/>
                <w:highlight w:val="none"/>
              </w:rPr>
            </w:pPr>
          </w:p>
        </w:tc>
        <w:tc>
          <w:tcPr>
            <w:tcW w:w="1418" w:type="dxa"/>
            <w:tcBorders>
              <w:tl2br w:val="nil"/>
              <w:tr2bl w:val="nil"/>
            </w:tcBorders>
            <w:vAlign w:val="center"/>
          </w:tcPr>
          <w:p w14:paraId="1CE63F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645" w:type="dxa"/>
            <w:tcBorders>
              <w:tl2br w:val="nil"/>
              <w:tr2bl w:val="nil"/>
            </w:tcBorders>
            <w:vAlign w:val="center"/>
          </w:tcPr>
          <w:p w14:paraId="6591BD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4654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3C688E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2647E7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418" w:type="dxa"/>
            <w:tcBorders>
              <w:tl2br w:val="nil"/>
              <w:tr2bl w:val="nil"/>
            </w:tcBorders>
            <w:vAlign w:val="center"/>
          </w:tcPr>
          <w:p w14:paraId="19952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645" w:type="dxa"/>
            <w:tcBorders>
              <w:tl2br w:val="nil"/>
              <w:tr2bl w:val="nil"/>
            </w:tcBorders>
            <w:vAlign w:val="center"/>
          </w:tcPr>
          <w:p w14:paraId="2A2D0D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17CA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2A28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14CA621E">
            <w:pPr>
              <w:shd w:val="clear"/>
              <w:rPr>
                <w:rFonts w:hint="eastAsia" w:ascii="宋体" w:hAnsi="宋体" w:eastAsia="宋体" w:cs="宋体"/>
                <w:color w:val="auto"/>
                <w:highlight w:val="none"/>
              </w:rPr>
            </w:pPr>
          </w:p>
        </w:tc>
        <w:tc>
          <w:tcPr>
            <w:tcW w:w="1418" w:type="dxa"/>
            <w:tcBorders>
              <w:tl2br w:val="nil"/>
              <w:tr2bl w:val="nil"/>
            </w:tcBorders>
            <w:vAlign w:val="center"/>
          </w:tcPr>
          <w:p w14:paraId="7CDF0B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645" w:type="dxa"/>
            <w:tcBorders>
              <w:tl2br w:val="nil"/>
              <w:tr2bl w:val="nil"/>
            </w:tcBorders>
            <w:vAlign w:val="center"/>
          </w:tcPr>
          <w:p w14:paraId="747346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59305D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操作系统其他功能满足操作系统政府采购需求标准中加*的指标要求</w:t>
            </w:r>
          </w:p>
        </w:tc>
      </w:tr>
      <w:tr w14:paraId="0014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569CE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620F9A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418" w:type="dxa"/>
            <w:tcBorders>
              <w:tl2br w:val="nil"/>
              <w:tr2bl w:val="nil"/>
            </w:tcBorders>
            <w:vAlign w:val="center"/>
          </w:tcPr>
          <w:p w14:paraId="3FE8BF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645" w:type="dxa"/>
            <w:tcBorders>
              <w:tl2br w:val="nil"/>
              <w:tr2bl w:val="nil"/>
            </w:tcBorders>
            <w:vAlign w:val="center"/>
          </w:tcPr>
          <w:p w14:paraId="65498E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34A4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82861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3F0440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418" w:type="dxa"/>
            <w:tcBorders>
              <w:tl2br w:val="nil"/>
              <w:tr2bl w:val="nil"/>
            </w:tcBorders>
            <w:vAlign w:val="center"/>
          </w:tcPr>
          <w:p w14:paraId="7EEE20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645" w:type="dxa"/>
            <w:tcBorders>
              <w:tl2br w:val="nil"/>
              <w:tr2bl w:val="nil"/>
            </w:tcBorders>
            <w:vAlign w:val="center"/>
          </w:tcPr>
          <w:p w14:paraId="240127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33FB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7DDEB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3EC333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418" w:type="dxa"/>
            <w:tcBorders>
              <w:tl2br w:val="nil"/>
              <w:tr2bl w:val="nil"/>
            </w:tcBorders>
            <w:vAlign w:val="center"/>
          </w:tcPr>
          <w:p w14:paraId="19E891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645" w:type="dxa"/>
            <w:tcBorders>
              <w:tl2br w:val="nil"/>
              <w:tr2bl w:val="nil"/>
            </w:tcBorders>
            <w:vAlign w:val="center"/>
          </w:tcPr>
          <w:p w14:paraId="193713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0A1E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3AB5B4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602942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418" w:type="dxa"/>
            <w:tcBorders>
              <w:tl2br w:val="nil"/>
              <w:tr2bl w:val="nil"/>
            </w:tcBorders>
            <w:vAlign w:val="center"/>
          </w:tcPr>
          <w:p w14:paraId="02B46B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645" w:type="dxa"/>
            <w:tcBorders>
              <w:tl2br w:val="nil"/>
              <w:tr2bl w:val="nil"/>
            </w:tcBorders>
            <w:vAlign w:val="center"/>
          </w:tcPr>
          <w:p w14:paraId="4D8A17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1386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2A0D8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17174E7C">
            <w:pPr>
              <w:shd w:val="clear"/>
              <w:rPr>
                <w:rFonts w:hint="eastAsia" w:ascii="宋体" w:hAnsi="宋体" w:eastAsia="宋体" w:cs="宋体"/>
                <w:color w:val="auto"/>
                <w:highlight w:val="none"/>
              </w:rPr>
            </w:pPr>
          </w:p>
        </w:tc>
        <w:tc>
          <w:tcPr>
            <w:tcW w:w="1418" w:type="dxa"/>
            <w:tcBorders>
              <w:tl2br w:val="nil"/>
              <w:tr2bl w:val="nil"/>
            </w:tcBorders>
            <w:vAlign w:val="center"/>
          </w:tcPr>
          <w:p w14:paraId="42A21B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645" w:type="dxa"/>
            <w:tcBorders>
              <w:tl2br w:val="nil"/>
              <w:tr2bl w:val="nil"/>
            </w:tcBorders>
            <w:vAlign w:val="center"/>
          </w:tcPr>
          <w:p w14:paraId="0E2929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3C4B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5859B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299BC33A">
            <w:pPr>
              <w:shd w:val="clear"/>
              <w:rPr>
                <w:rFonts w:hint="eastAsia" w:ascii="宋体" w:hAnsi="宋体" w:eastAsia="宋体" w:cs="宋体"/>
                <w:color w:val="auto"/>
                <w:highlight w:val="none"/>
              </w:rPr>
            </w:pPr>
          </w:p>
        </w:tc>
        <w:tc>
          <w:tcPr>
            <w:tcW w:w="1418" w:type="dxa"/>
            <w:tcBorders>
              <w:tl2br w:val="nil"/>
              <w:tr2bl w:val="nil"/>
            </w:tcBorders>
            <w:vAlign w:val="center"/>
          </w:tcPr>
          <w:p w14:paraId="18924F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645" w:type="dxa"/>
            <w:tcBorders>
              <w:tl2br w:val="nil"/>
              <w:tr2bl w:val="nil"/>
            </w:tcBorders>
            <w:vAlign w:val="center"/>
          </w:tcPr>
          <w:p w14:paraId="793E2D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1E41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1626BA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026D37EA">
            <w:pPr>
              <w:shd w:val="clear"/>
              <w:rPr>
                <w:rFonts w:hint="eastAsia" w:ascii="宋体" w:hAnsi="宋体" w:eastAsia="宋体" w:cs="宋体"/>
                <w:color w:val="auto"/>
                <w:highlight w:val="none"/>
              </w:rPr>
            </w:pPr>
          </w:p>
        </w:tc>
        <w:tc>
          <w:tcPr>
            <w:tcW w:w="1418" w:type="dxa"/>
            <w:tcBorders>
              <w:tl2br w:val="nil"/>
              <w:tr2bl w:val="nil"/>
            </w:tcBorders>
            <w:vAlign w:val="center"/>
          </w:tcPr>
          <w:p w14:paraId="1E71E5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645" w:type="dxa"/>
            <w:tcBorders>
              <w:tl2br w:val="nil"/>
              <w:tr2bl w:val="nil"/>
            </w:tcBorders>
            <w:vAlign w:val="center"/>
          </w:tcPr>
          <w:p w14:paraId="02D3A7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35A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11167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335E533C">
            <w:pPr>
              <w:shd w:val="clear"/>
              <w:rPr>
                <w:rFonts w:hint="eastAsia" w:ascii="宋体" w:hAnsi="宋体" w:eastAsia="宋体" w:cs="宋体"/>
                <w:color w:val="auto"/>
                <w:highlight w:val="none"/>
              </w:rPr>
            </w:pPr>
          </w:p>
        </w:tc>
        <w:tc>
          <w:tcPr>
            <w:tcW w:w="1418" w:type="dxa"/>
            <w:tcBorders>
              <w:tl2br w:val="nil"/>
              <w:tr2bl w:val="nil"/>
            </w:tcBorders>
            <w:vAlign w:val="center"/>
          </w:tcPr>
          <w:p w14:paraId="7ECF30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645" w:type="dxa"/>
            <w:tcBorders>
              <w:tl2br w:val="nil"/>
              <w:tr2bl w:val="nil"/>
            </w:tcBorders>
            <w:vAlign w:val="center"/>
          </w:tcPr>
          <w:p w14:paraId="23FC2D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6B96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30" w:type="dxa"/>
            <w:tcBorders>
              <w:tl2br w:val="nil"/>
              <w:tr2bl w:val="nil"/>
            </w:tcBorders>
            <w:vAlign w:val="center"/>
          </w:tcPr>
          <w:p w14:paraId="04DE47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79DDEF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418" w:type="dxa"/>
            <w:tcBorders>
              <w:tl2br w:val="nil"/>
              <w:tr2bl w:val="nil"/>
            </w:tcBorders>
            <w:vAlign w:val="center"/>
          </w:tcPr>
          <w:p w14:paraId="1403D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645" w:type="dxa"/>
            <w:tcBorders>
              <w:tl2br w:val="nil"/>
              <w:tr2bl w:val="nil"/>
            </w:tcBorders>
            <w:vAlign w:val="center"/>
          </w:tcPr>
          <w:p w14:paraId="4CBC67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投标人承诺，生产商已建立从需求、设计、开发、测试、维护端到端的开发流程管理机制，输出和保存开发流程中每个阶段的产品需求清单、设计文档、开发文档、测试记录等材料，保证各个流程可追溯；</w:t>
            </w:r>
          </w:p>
        </w:tc>
      </w:tr>
      <w:tr w14:paraId="133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825EA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17B5AC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418" w:type="dxa"/>
            <w:tcBorders>
              <w:tl2br w:val="nil"/>
              <w:tr2bl w:val="nil"/>
            </w:tcBorders>
            <w:vAlign w:val="center"/>
          </w:tcPr>
          <w:p w14:paraId="41A3AB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645" w:type="dxa"/>
            <w:tcBorders>
              <w:tl2br w:val="nil"/>
              <w:tr2bl w:val="nil"/>
            </w:tcBorders>
            <w:vAlign w:val="center"/>
          </w:tcPr>
          <w:p w14:paraId="48BA37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50C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352C05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060212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418" w:type="dxa"/>
            <w:tcBorders>
              <w:tl2br w:val="nil"/>
              <w:tr2bl w:val="nil"/>
            </w:tcBorders>
            <w:vAlign w:val="center"/>
          </w:tcPr>
          <w:p w14:paraId="293CA7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645" w:type="dxa"/>
            <w:tcBorders>
              <w:tl2br w:val="nil"/>
              <w:tr2bl w:val="nil"/>
            </w:tcBorders>
            <w:vAlign w:val="center"/>
          </w:tcPr>
          <w:p w14:paraId="63E957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3638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5B5F8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0D6087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418" w:type="dxa"/>
            <w:tcBorders>
              <w:tl2br w:val="nil"/>
              <w:tr2bl w:val="nil"/>
            </w:tcBorders>
            <w:vAlign w:val="center"/>
          </w:tcPr>
          <w:p w14:paraId="63766A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645" w:type="dxa"/>
            <w:tcBorders>
              <w:tl2br w:val="nil"/>
              <w:tr2bl w:val="nil"/>
            </w:tcBorders>
            <w:vAlign w:val="center"/>
          </w:tcPr>
          <w:p w14:paraId="6F9DD9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≥2.5GHz</w:t>
            </w:r>
          </w:p>
        </w:tc>
      </w:tr>
      <w:tr w14:paraId="7BAE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D0CD5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315AE3F6">
            <w:pPr>
              <w:shd w:val="clear"/>
              <w:rPr>
                <w:rFonts w:hint="eastAsia" w:ascii="宋体" w:hAnsi="宋体" w:eastAsia="宋体" w:cs="宋体"/>
                <w:color w:val="auto"/>
                <w:highlight w:val="none"/>
              </w:rPr>
            </w:pPr>
          </w:p>
        </w:tc>
        <w:tc>
          <w:tcPr>
            <w:tcW w:w="1418" w:type="dxa"/>
            <w:tcBorders>
              <w:tl2br w:val="nil"/>
              <w:tr2bl w:val="nil"/>
            </w:tcBorders>
            <w:vAlign w:val="center"/>
          </w:tcPr>
          <w:p w14:paraId="6AAB2D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645" w:type="dxa"/>
            <w:tcBorders>
              <w:tl2br w:val="nil"/>
              <w:tr2bl w:val="nil"/>
            </w:tcBorders>
            <w:vAlign w:val="center"/>
          </w:tcPr>
          <w:p w14:paraId="704A53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r>
      <w:tr w14:paraId="15C8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933AE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29DD1E40">
            <w:pPr>
              <w:shd w:val="clear"/>
              <w:rPr>
                <w:rFonts w:hint="eastAsia" w:ascii="宋体" w:hAnsi="宋体" w:eastAsia="宋体" w:cs="宋体"/>
                <w:color w:val="auto"/>
                <w:highlight w:val="none"/>
              </w:rPr>
            </w:pPr>
          </w:p>
        </w:tc>
        <w:tc>
          <w:tcPr>
            <w:tcW w:w="1418" w:type="dxa"/>
            <w:tcBorders>
              <w:tl2br w:val="nil"/>
              <w:tr2bl w:val="nil"/>
            </w:tcBorders>
            <w:vAlign w:val="center"/>
          </w:tcPr>
          <w:p w14:paraId="4DB2BA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645" w:type="dxa"/>
            <w:tcBorders>
              <w:tl2br w:val="nil"/>
              <w:tr2bl w:val="nil"/>
            </w:tcBorders>
            <w:vAlign w:val="center"/>
          </w:tcPr>
          <w:p w14:paraId="5D8D93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≥32MB</w:t>
            </w:r>
          </w:p>
        </w:tc>
      </w:tr>
      <w:tr w14:paraId="77E3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4E366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2F02DD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418" w:type="dxa"/>
            <w:tcBorders>
              <w:tl2br w:val="nil"/>
              <w:tr2bl w:val="nil"/>
            </w:tcBorders>
            <w:vAlign w:val="center"/>
          </w:tcPr>
          <w:p w14:paraId="6CC60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645" w:type="dxa"/>
            <w:tcBorders>
              <w:tl2br w:val="nil"/>
              <w:tr2bl w:val="nil"/>
            </w:tcBorders>
            <w:vAlign w:val="center"/>
          </w:tcPr>
          <w:p w14:paraId="772DB3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4670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AF2BE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228FF5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418" w:type="dxa"/>
            <w:tcBorders>
              <w:tl2br w:val="nil"/>
              <w:tr2bl w:val="nil"/>
            </w:tcBorders>
            <w:vAlign w:val="center"/>
          </w:tcPr>
          <w:p w14:paraId="510276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645" w:type="dxa"/>
            <w:tcBorders>
              <w:tl2br w:val="nil"/>
              <w:tr2bl w:val="nil"/>
            </w:tcBorders>
            <w:vAlign w:val="center"/>
          </w:tcPr>
          <w:p w14:paraId="6E9D6F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5779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F090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0AFAA2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418" w:type="dxa"/>
            <w:tcBorders>
              <w:tl2br w:val="nil"/>
              <w:tr2bl w:val="nil"/>
            </w:tcBorders>
            <w:vAlign w:val="center"/>
          </w:tcPr>
          <w:p w14:paraId="52B000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▲内存兼容性</w:t>
            </w:r>
          </w:p>
        </w:tc>
        <w:tc>
          <w:tcPr>
            <w:tcW w:w="5645" w:type="dxa"/>
            <w:tcBorders>
              <w:tl2br w:val="nil"/>
              <w:tr2bl w:val="nil"/>
            </w:tcBorders>
            <w:vAlign w:val="center"/>
          </w:tcPr>
          <w:p w14:paraId="0A309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种及以上厂商的内存产品，且均不低于产品支持的内存规格</w:t>
            </w:r>
          </w:p>
        </w:tc>
      </w:tr>
      <w:tr w14:paraId="2CC9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079EA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26C691AE">
            <w:pPr>
              <w:shd w:val="clear"/>
              <w:rPr>
                <w:rFonts w:hint="eastAsia" w:ascii="宋体" w:hAnsi="宋体" w:eastAsia="宋体" w:cs="宋体"/>
                <w:color w:val="auto"/>
                <w:highlight w:val="none"/>
              </w:rPr>
            </w:pPr>
          </w:p>
        </w:tc>
        <w:tc>
          <w:tcPr>
            <w:tcW w:w="1418" w:type="dxa"/>
            <w:tcBorders>
              <w:tl2br w:val="nil"/>
              <w:tr2bl w:val="nil"/>
            </w:tcBorders>
            <w:vAlign w:val="center"/>
          </w:tcPr>
          <w:p w14:paraId="73C5BB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645" w:type="dxa"/>
            <w:tcBorders>
              <w:tl2br w:val="nil"/>
              <w:tr2bl w:val="nil"/>
            </w:tcBorders>
            <w:vAlign w:val="center"/>
          </w:tcPr>
          <w:p w14:paraId="5724E8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种或以上厂商的固态存储产品，且均不低于产品支持的固态存储设备规格</w:t>
            </w:r>
          </w:p>
        </w:tc>
      </w:tr>
      <w:tr w14:paraId="4278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064BA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154836FD">
            <w:pPr>
              <w:shd w:val="clear"/>
              <w:rPr>
                <w:rFonts w:hint="eastAsia" w:ascii="宋体" w:hAnsi="宋体" w:eastAsia="宋体" w:cs="宋体"/>
                <w:color w:val="auto"/>
                <w:highlight w:val="none"/>
              </w:rPr>
            </w:pPr>
          </w:p>
        </w:tc>
        <w:tc>
          <w:tcPr>
            <w:tcW w:w="1418" w:type="dxa"/>
            <w:tcBorders>
              <w:tl2br w:val="nil"/>
              <w:tr2bl w:val="nil"/>
            </w:tcBorders>
            <w:vAlign w:val="center"/>
          </w:tcPr>
          <w:p w14:paraId="6C1966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645" w:type="dxa"/>
            <w:tcBorders>
              <w:tl2br w:val="nil"/>
              <w:tr2bl w:val="nil"/>
            </w:tcBorders>
            <w:vAlign w:val="center"/>
          </w:tcPr>
          <w:p w14:paraId="5B09FB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1CB9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64620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27476FCF">
            <w:pPr>
              <w:shd w:val="clear"/>
              <w:rPr>
                <w:rFonts w:hint="eastAsia" w:ascii="宋体" w:hAnsi="宋体" w:eastAsia="宋体" w:cs="宋体"/>
                <w:color w:val="auto"/>
                <w:highlight w:val="none"/>
              </w:rPr>
            </w:pPr>
          </w:p>
        </w:tc>
        <w:tc>
          <w:tcPr>
            <w:tcW w:w="1418" w:type="dxa"/>
            <w:tcBorders>
              <w:tl2br w:val="nil"/>
              <w:tr2bl w:val="nil"/>
            </w:tcBorders>
            <w:vAlign w:val="center"/>
          </w:tcPr>
          <w:p w14:paraId="6B471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645" w:type="dxa"/>
            <w:tcBorders>
              <w:tl2br w:val="nil"/>
              <w:tr2bl w:val="nil"/>
            </w:tcBorders>
            <w:vAlign w:val="center"/>
          </w:tcPr>
          <w:p w14:paraId="3DF520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 PCIe 的功能卡，如：网络功能卡、存储功能卡及图形显示功能卡</w:t>
            </w:r>
          </w:p>
        </w:tc>
      </w:tr>
      <w:tr w14:paraId="7A7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3FD5F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235BBE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418" w:type="dxa"/>
            <w:tcBorders>
              <w:tl2br w:val="nil"/>
              <w:tr2bl w:val="nil"/>
            </w:tcBorders>
            <w:vAlign w:val="center"/>
          </w:tcPr>
          <w:p w14:paraId="76E45B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645" w:type="dxa"/>
            <w:tcBorders>
              <w:tl2br w:val="nil"/>
              <w:tr2bl w:val="nil"/>
            </w:tcBorders>
            <w:vAlign w:val="center"/>
          </w:tcPr>
          <w:p w14:paraId="75D4AD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3EB6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84E28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4EB622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418" w:type="dxa"/>
            <w:tcBorders>
              <w:tl2br w:val="nil"/>
              <w:tr2bl w:val="nil"/>
            </w:tcBorders>
            <w:vAlign w:val="center"/>
          </w:tcPr>
          <w:p w14:paraId="292FE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645" w:type="dxa"/>
            <w:tcBorders>
              <w:tl2br w:val="nil"/>
              <w:tr2bl w:val="nil"/>
            </w:tcBorders>
            <w:vAlign w:val="center"/>
          </w:tcPr>
          <w:p w14:paraId="69B1BC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767F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0112D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51C931D0">
            <w:pPr>
              <w:shd w:val="clear"/>
              <w:rPr>
                <w:rFonts w:hint="eastAsia" w:ascii="宋体" w:hAnsi="宋体" w:eastAsia="宋体" w:cs="宋体"/>
                <w:color w:val="auto"/>
                <w:highlight w:val="none"/>
              </w:rPr>
            </w:pPr>
          </w:p>
        </w:tc>
        <w:tc>
          <w:tcPr>
            <w:tcW w:w="1418" w:type="dxa"/>
            <w:tcBorders>
              <w:tl2br w:val="nil"/>
              <w:tr2bl w:val="nil"/>
            </w:tcBorders>
            <w:vAlign w:val="center"/>
          </w:tcPr>
          <w:p w14:paraId="7B0AB6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645" w:type="dxa"/>
            <w:tcBorders>
              <w:tl2br w:val="nil"/>
              <w:tr2bl w:val="nil"/>
            </w:tcBorders>
            <w:vAlign w:val="center"/>
          </w:tcPr>
          <w:p w14:paraId="3BB2B6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147C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311393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0F0E494A">
            <w:pPr>
              <w:shd w:val="clear"/>
              <w:rPr>
                <w:rFonts w:hint="eastAsia" w:ascii="宋体" w:hAnsi="宋体" w:eastAsia="宋体" w:cs="宋体"/>
                <w:color w:val="auto"/>
                <w:highlight w:val="none"/>
              </w:rPr>
            </w:pPr>
          </w:p>
        </w:tc>
        <w:tc>
          <w:tcPr>
            <w:tcW w:w="1418" w:type="dxa"/>
            <w:tcBorders>
              <w:tl2br w:val="nil"/>
              <w:tr2bl w:val="nil"/>
            </w:tcBorders>
            <w:vAlign w:val="center"/>
          </w:tcPr>
          <w:p w14:paraId="424E2C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645" w:type="dxa"/>
            <w:tcBorders>
              <w:tl2br w:val="nil"/>
              <w:tr2bl w:val="nil"/>
            </w:tcBorders>
            <w:vAlign w:val="center"/>
          </w:tcPr>
          <w:p w14:paraId="3C6BBF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46DA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4D587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40B2F8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▲整机可靠性要求</w:t>
            </w:r>
          </w:p>
        </w:tc>
        <w:tc>
          <w:tcPr>
            <w:tcW w:w="1418" w:type="dxa"/>
            <w:tcBorders>
              <w:tl2br w:val="nil"/>
              <w:tr2bl w:val="nil"/>
            </w:tcBorders>
            <w:vAlign w:val="center"/>
          </w:tcPr>
          <w:p w14:paraId="10DEC3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645" w:type="dxa"/>
            <w:tcBorders>
              <w:tl2br w:val="nil"/>
              <w:tr2bl w:val="nil"/>
            </w:tcBorders>
            <w:vAlign w:val="center"/>
          </w:tcPr>
          <w:p w14:paraId="297A4A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712F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642CD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3D1F73DF">
            <w:pPr>
              <w:shd w:val="clear"/>
              <w:rPr>
                <w:rFonts w:hint="eastAsia" w:ascii="宋体" w:hAnsi="宋体" w:eastAsia="宋体" w:cs="宋体"/>
                <w:color w:val="auto"/>
                <w:highlight w:val="none"/>
              </w:rPr>
            </w:pPr>
          </w:p>
        </w:tc>
        <w:tc>
          <w:tcPr>
            <w:tcW w:w="1418" w:type="dxa"/>
            <w:tcBorders>
              <w:tl2br w:val="nil"/>
              <w:tr2bl w:val="nil"/>
            </w:tcBorders>
            <w:vAlign w:val="center"/>
          </w:tcPr>
          <w:p w14:paraId="0FD15E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645" w:type="dxa"/>
            <w:tcBorders>
              <w:tl2br w:val="nil"/>
              <w:tr2bl w:val="nil"/>
            </w:tcBorders>
            <w:vAlign w:val="center"/>
          </w:tcPr>
          <w:p w14:paraId="110A50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6EFB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B6673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60DB03A4">
            <w:pPr>
              <w:shd w:val="clear"/>
              <w:rPr>
                <w:rFonts w:hint="eastAsia" w:ascii="宋体" w:hAnsi="宋体" w:eastAsia="宋体" w:cs="宋体"/>
                <w:color w:val="auto"/>
                <w:highlight w:val="none"/>
              </w:rPr>
            </w:pPr>
          </w:p>
        </w:tc>
        <w:tc>
          <w:tcPr>
            <w:tcW w:w="1418" w:type="dxa"/>
            <w:tcBorders>
              <w:tl2br w:val="nil"/>
              <w:tr2bl w:val="nil"/>
            </w:tcBorders>
            <w:vAlign w:val="center"/>
          </w:tcPr>
          <w:p w14:paraId="0F13BB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▲部件可靠性</w:t>
            </w:r>
          </w:p>
        </w:tc>
        <w:tc>
          <w:tcPr>
            <w:tcW w:w="5645" w:type="dxa"/>
            <w:tcBorders>
              <w:tl2br w:val="nil"/>
              <w:tr2bl w:val="nil"/>
            </w:tcBorders>
            <w:vAlign w:val="center"/>
          </w:tcPr>
          <w:p w14:paraId="4C9012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69CF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08EB7D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4EEAE9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418" w:type="dxa"/>
            <w:tcBorders>
              <w:tl2br w:val="nil"/>
              <w:tr2bl w:val="nil"/>
            </w:tcBorders>
            <w:vAlign w:val="center"/>
          </w:tcPr>
          <w:p w14:paraId="519DCF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645" w:type="dxa"/>
            <w:tcBorders>
              <w:tl2br w:val="nil"/>
              <w:tr2bl w:val="nil"/>
            </w:tcBorders>
            <w:vAlign w:val="center"/>
          </w:tcPr>
          <w:p w14:paraId="10A9B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68C9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E7BF1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76E283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418" w:type="dxa"/>
            <w:tcBorders>
              <w:tl2br w:val="nil"/>
              <w:tr2bl w:val="nil"/>
            </w:tcBorders>
            <w:vAlign w:val="center"/>
          </w:tcPr>
          <w:p w14:paraId="05982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645" w:type="dxa"/>
            <w:tcBorders>
              <w:tl2br w:val="nil"/>
              <w:tr2bl w:val="nil"/>
            </w:tcBorders>
            <w:vAlign w:val="center"/>
          </w:tcPr>
          <w:p w14:paraId="15EE98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3F13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82EC1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0558359A">
            <w:pPr>
              <w:shd w:val="clear"/>
              <w:rPr>
                <w:rFonts w:hint="eastAsia" w:ascii="宋体" w:hAnsi="宋体" w:eastAsia="宋体" w:cs="宋体"/>
                <w:color w:val="auto"/>
                <w:highlight w:val="none"/>
              </w:rPr>
            </w:pPr>
          </w:p>
        </w:tc>
        <w:tc>
          <w:tcPr>
            <w:tcW w:w="1418" w:type="dxa"/>
            <w:tcBorders>
              <w:tl2br w:val="nil"/>
              <w:tr2bl w:val="nil"/>
            </w:tcBorders>
            <w:vAlign w:val="center"/>
          </w:tcPr>
          <w:p w14:paraId="6A41DB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645" w:type="dxa"/>
            <w:tcBorders>
              <w:tl2br w:val="nil"/>
              <w:tr2bl w:val="nil"/>
            </w:tcBorders>
            <w:vAlign w:val="center"/>
          </w:tcPr>
          <w:p w14:paraId="4F4250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投标人提供培训材料、产品手册、培训视频等培训相关内容</w:t>
            </w:r>
          </w:p>
        </w:tc>
      </w:tr>
      <w:tr w14:paraId="0C7D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164B74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35EF6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418" w:type="dxa"/>
            <w:vMerge w:val="restart"/>
            <w:tcBorders>
              <w:tl2br w:val="nil"/>
              <w:tr2bl w:val="nil"/>
            </w:tcBorders>
            <w:vAlign w:val="center"/>
          </w:tcPr>
          <w:p w14:paraId="609321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645" w:type="dxa"/>
            <w:tcBorders>
              <w:tl2br w:val="nil"/>
              <w:tr2bl w:val="nil"/>
            </w:tcBorders>
            <w:vAlign w:val="center"/>
          </w:tcPr>
          <w:p w14:paraId="24F348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41F2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66FF14D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128A3AE">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306CF927">
            <w:pPr>
              <w:shd w:val="clear"/>
              <w:rPr>
                <w:rFonts w:hint="eastAsia" w:ascii="宋体" w:hAnsi="宋体" w:eastAsia="宋体" w:cs="宋体"/>
                <w:color w:val="auto"/>
                <w:highlight w:val="none"/>
              </w:rPr>
            </w:pPr>
          </w:p>
        </w:tc>
        <w:tc>
          <w:tcPr>
            <w:tcW w:w="5645" w:type="dxa"/>
            <w:tcBorders>
              <w:tl2br w:val="nil"/>
              <w:tr2bl w:val="nil"/>
            </w:tcBorders>
            <w:vAlign w:val="center"/>
          </w:tcPr>
          <w:p w14:paraId="3E7447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设备停产后继续提供质量保障服务（含备品备件），服务终止时间与最后一批设备交付时间间隔不低于6 年；</w:t>
            </w:r>
          </w:p>
        </w:tc>
      </w:tr>
      <w:tr w14:paraId="487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73DF4F9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0F899E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2E689EB6">
            <w:pPr>
              <w:shd w:val="clear"/>
              <w:rPr>
                <w:rFonts w:hint="eastAsia" w:ascii="宋体" w:hAnsi="宋体" w:eastAsia="宋体" w:cs="宋体"/>
                <w:color w:val="auto"/>
                <w:highlight w:val="none"/>
              </w:rPr>
            </w:pPr>
          </w:p>
        </w:tc>
        <w:tc>
          <w:tcPr>
            <w:tcW w:w="5645" w:type="dxa"/>
            <w:tcBorders>
              <w:tl2br w:val="nil"/>
              <w:tr2bl w:val="nil"/>
            </w:tcBorders>
            <w:vAlign w:val="center"/>
          </w:tcPr>
          <w:p w14:paraId="3CF4C9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年告知采购人；</w:t>
            </w:r>
          </w:p>
        </w:tc>
      </w:tr>
      <w:tr w14:paraId="72B1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739E7B0F">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7380369">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D7963F7">
            <w:pPr>
              <w:shd w:val="clear"/>
              <w:rPr>
                <w:rFonts w:hint="eastAsia" w:ascii="宋体" w:hAnsi="宋体" w:eastAsia="宋体" w:cs="宋体"/>
                <w:color w:val="auto"/>
                <w:highlight w:val="none"/>
              </w:rPr>
            </w:pPr>
          </w:p>
        </w:tc>
        <w:tc>
          <w:tcPr>
            <w:tcW w:w="5645" w:type="dxa"/>
            <w:tcBorders>
              <w:tl2br w:val="nil"/>
              <w:tr2bl w:val="nil"/>
            </w:tcBorders>
            <w:vAlign w:val="center"/>
          </w:tcPr>
          <w:p w14:paraId="51B305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48C3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03346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74933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418" w:type="dxa"/>
            <w:tcBorders>
              <w:tl2br w:val="nil"/>
              <w:tr2bl w:val="nil"/>
            </w:tcBorders>
            <w:vAlign w:val="center"/>
          </w:tcPr>
          <w:p w14:paraId="7DB817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645" w:type="dxa"/>
            <w:tcBorders>
              <w:tl2br w:val="nil"/>
              <w:tr2bl w:val="nil"/>
            </w:tcBorders>
            <w:vAlign w:val="center"/>
          </w:tcPr>
          <w:p w14:paraId="1B9F8D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5BBB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55729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1FBD67A1">
            <w:pPr>
              <w:shd w:val="clear"/>
              <w:rPr>
                <w:rFonts w:hint="eastAsia" w:ascii="宋体" w:hAnsi="宋体" w:eastAsia="宋体" w:cs="宋体"/>
                <w:color w:val="auto"/>
                <w:highlight w:val="none"/>
              </w:rPr>
            </w:pPr>
          </w:p>
        </w:tc>
        <w:tc>
          <w:tcPr>
            <w:tcW w:w="1418" w:type="dxa"/>
            <w:tcBorders>
              <w:tl2br w:val="nil"/>
              <w:tr2bl w:val="nil"/>
            </w:tcBorders>
            <w:vAlign w:val="center"/>
          </w:tcPr>
          <w:p w14:paraId="6732F1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645" w:type="dxa"/>
            <w:tcBorders>
              <w:tl2br w:val="nil"/>
              <w:tr2bl w:val="nil"/>
            </w:tcBorders>
            <w:vAlign w:val="center"/>
          </w:tcPr>
          <w:p w14:paraId="6F5A64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1F8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78795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6955FE84">
            <w:pPr>
              <w:shd w:val="clear"/>
              <w:rPr>
                <w:rFonts w:hint="eastAsia" w:ascii="宋体" w:hAnsi="宋体" w:eastAsia="宋体" w:cs="宋体"/>
                <w:color w:val="auto"/>
                <w:highlight w:val="none"/>
              </w:rPr>
            </w:pPr>
          </w:p>
        </w:tc>
        <w:tc>
          <w:tcPr>
            <w:tcW w:w="1418" w:type="dxa"/>
            <w:tcBorders>
              <w:tl2br w:val="nil"/>
              <w:tr2bl w:val="nil"/>
            </w:tcBorders>
            <w:vAlign w:val="center"/>
          </w:tcPr>
          <w:p w14:paraId="4B282E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645" w:type="dxa"/>
            <w:tcBorders>
              <w:tl2br w:val="nil"/>
              <w:tr2bl w:val="nil"/>
            </w:tcBorders>
            <w:vAlign w:val="center"/>
          </w:tcPr>
          <w:p w14:paraId="5F53E9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556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3A79B7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14125B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418" w:type="dxa"/>
            <w:tcBorders>
              <w:tl2br w:val="nil"/>
              <w:tr2bl w:val="nil"/>
            </w:tcBorders>
            <w:vAlign w:val="center"/>
          </w:tcPr>
          <w:p w14:paraId="207809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645" w:type="dxa"/>
            <w:tcBorders>
              <w:tl2br w:val="nil"/>
              <w:tr2bl w:val="nil"/>
            </w:tcBorders>
            <w:vAlign w:val="center"/>
          </w:tcPr>
          <w:p w14:paraId="32783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7E90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12772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79E9E0AC">
            <w:pPr>
              <w:shd w:val="clear"/>
              <w:rPr>
                <w:rFonts w:hint="eastAsia" w:ascii="宋体" w:hAnsi="宋体" w:eastAsia="宋体" w:cs="宋体"/>
                <w:color w:val="auto"/>
                <w:highlight w:val="none"/>
              </w:rPr>
            </w:pPr>
          </w:p>
        </w:tc>
        <w:tc>
          <w:tcPr>
            <w:tcW w:w="1418" w:type="dxa"/>
            <w:tcBorders>
              <w:tl2br w:val="nil"/>
              <w:tr2bl w:val="nil"/>
            </w:tcBorders>
            <w:vAlign w:val="center"/>
          </w:tcPr>
          <w:p w14:paraId="780BB4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645" w:type="dxa"/>
            <w:tcBorders>
              <w:tl2br w:val="nil"/>
              <w:tr2bl w:val="nil"/>
            </w:tcBorders>
            <w:vAlign w:val="center"/>
          </w:tcPr>
          <w:p w14:paraId="7DA16B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2D9C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1E518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4CF25E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418" w:type="dxa"/>
            <w:tcBorders>
              <w:tl2br w:val="nil"/>
              <w:tr2bl w:val="nil"/>
            </w:tcBorders>
            <w:vAlign w:val="center"/>
          </w:tcPr>
          <w:p w14:paraId="5179BC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645" w:type="dxa"/>
            <w:tcBorders>
              <w:tl2br w:val="nil"/>
              <w:tr2bl w:val="nil"/>
            </w:tcBorders>
            <w:vAlign w:val="center"/>
          </w:tcPr>
          <w:p w14:paraId="200BB0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当产品部件出现供应风险时，应通知采购人并提供风险应对方案确保产品的服务保障，必要时应停止相关受影响产品的销售</w:t>
            </w:r>
          </w:p>
        </w:tc>
      </w:tr>
      <w:tr w14:paraId="1B87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20602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71D21418">
            <w:pPr>
              <w:shd w:val="clear"/>
              <w:rPr>
                <w:rFonts w:hint="eastAsia" w:ascii="宋体" w:hAnsi="宋体" w:eastAsia="宋体" w:cs="宋体"/>
                <w:color w:val="auto"/>
                <w:highlight w:val="none"/>
              </w:rPr>
            </w:pPr>
          </w:p>
        </w:tc>
        <w:tc>
          <w:tcPr>
            <w:tcW w:w="1418" w:type="dxa"/>
            <w:tcBorders>
              <w:tl2br w:val="nil"/>
              <w:tr2bl w:val="nil"/>
            </w:tcBorders>
            <w:vAlign w:val="center"/>
          </w:tcPr>
          <w:p w14:paraId="5BED8C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645" w:type="dxa"/>
            <w:tcBorders>
              <w:tl2br w:val="nil"/>
              <w:tr2bl w:val="nil"/>
            </w:tcBorders>
            <w:vAlign w:val="center"/>
          </w:tcPr>
          <w:p w14:paraId="6EA280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投标人需提供供应链稳定承诺书，确保产品的部件在产品服务周期内稳定供货</w:t>
            </w:r>
          </w:p>
        </w:tc>
      </w:tr>
    </w:tbl>
    <w:p w14:paraId="3A38995E">
      <w:pPr>
        <w:shd w:val="clear"/>
        <w:spacing w:line="360" w:lineRule="auto"/>
        <w:rPr>
          <w:rFonts w:hint="eastAsia" w:ascii="宋体" w:hAnsi="宋体" w:eastAsia="宋体" w:cs="宋体"/>
          <w:color w:val="auto"/>
          <w:sz w:val="24"/>
          <w:highlight w:val="none"/>
        </w:rPr>
      </w:pP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4"/>
        <w:gridCol w:w="5635"/>
      </w:tblGrid>
      <w:tr w14:paraId="1B44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374C6F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61A8C2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6A16AE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61AE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3B7FDB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39BFC3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非现场公安网高性能一体机4台</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6F29D8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处理器：≥2.2G 32C *2；</w:t>
            </w:r>
          </w:p>
          <w:p w14:paraId="6F451A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内存：≥32GB DDR4 3200 RDIMM *12；</w:t>
            </w:r>
          </w:p>
          <w:p w14:paraId="78D3AD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硬盘：≥4TB 7.2k 6Gb *4 + 960GB  6Gb R SSD *3 + 960GB  6Gb M SSD *1 + 480GB 6Gb R SSD *2；</w:t>
            </w:r>
          </w:p>
          <w:p w14:paraId="179EC0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业务网口≥双口万兆网卡*2（含模块）；</w:t>
            </w:r>
          </w:p>
          <w:p w14:paraId="3A5BD2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电源：≥800W电源模块*2</w:t>
            </w:r>
          </w:p>
          <w:p w14:paraId="48288A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详细参数见“非现场公安网高性能一体机详细参数要求”</w:t>
            </w:r>
          </w:p>
        </w:tc>
      </w:tr>
    </w:tbl>
    <w:p w14:paraId="590F058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非现场公安网高性能一体机单台详细参数如下：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96"/>
        <w:gridCol w:w="1728"/>
        <w:gridCol w:w="4895"/>
      </w:tblGrid>
      <w:tr w14:paraId="38BC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shd w:val="clear" w:color="000000" w:fill="auto"/>
            <w:vAlign w:val="center"/>
          </w:tcPr>
          <w:p w14:paraId="241F9B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486A01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843" w:type="dxa"/>
            <w:tcBorders>
              <w:tl2br w:val="nil"/>
              <w:tr2bl w:val="nil"/>
            </w:tcBorders>
            <w:shd w:val="clear" w:color="000000" w:fill="auto"/>
            <w:vAlign w:val="center"/>
          </w:tcPr>
          <w:p w14:paraId="1AA4B3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220" w:type="dxa"/>
            <w:tcBorders>
              <w:tl2br w:val="nil"/>
              <w:tr2bl w:val="nil"/>
            </w:tcBorders>
            <w:shd w:val="clear" w:color="000000" w:fill="auto"/>
            <w:vAlign w:val="center"/>
          </w:tcPr>
          <w:p w14:paraId="4A2769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1960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restart"/>
            <w:tcBorders>
              <w:tl2br w:val="nil"/>
              <w:tr2bl w:val="nil"/>
            </w:tcBorders>
            <w:vAlign w:val="center"/>
          </w:tcPr>
          <w:p w14:paraId="1E7613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6CF28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843" w:type="dxa"/>
            <w:vMerge w:val="restart"/>
            <w:tcBorders>
              <w:tl2br w:val="nil"/>
              <w:tr2bl w:val="nil"/>
            </w:tcBorders>
            <w:vAlign w:val="center"/>
          </w:tcPr>
          <w:p w14:paraId="4DE63C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220" w:type="dxa"/>
            <w:tcBorders>
              <w:tl2br w:val="nil"/>
              <w:tr2bl w:val="nil"/>
            </w:tcBorders>
            <w:vAlign w:val="center"/>
          </w:tcPr>
          <w:p w14:paraId="259DD4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（1）配置2颗国产架构处理器，支持超线程技术和睿频技术；</w:t>
            </w:r>
          </w:p>
        </w:tc>
      </w:tr>
      <w:tr w14:paraId="5B1D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26BD196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2F330D5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7AE0E07C">
            <w:pPr>
              <w:shd w:val="clear"/>
              <w:rPr>
                <w:rFonts w:hint="eastAsia" w:ascii="宋体" w:hAnsi="宋体" w:eastAsia="宋体" w:cs="宋体"/>
                <w:color w:val="auto"/>
                <w:highlight w:val="none"/>
              </w:rPr>
            </w:pPr>
          </w:p>
        </w:tc>
        <w:tc>
          <w:tcPr>
            <w:tcW w:w="5220" w:type="dxa"/>
            <w:tcBorders>
              <w:tl2br w:val="nil"/>
              <w:tr2bl w:val="nil"/>
            </w:tcBorders>
            <w:vAlign w:val="center"/>
          </w:tcPr>
          <w:p w14:paraId="371D94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7" w:name="OLE_LINK5"/>
            <w:bookmarkStart w:id="8" w:name="OLE_LINK4"/>
            <w:r>
              <w:rPr>
                <w:rFonts w:hint="eastAsia" w:ascii="宋体" w:hAnsi="宋体" w:eastAsia="宋体" w:cs="宋体"/>
                <w:color w:val="auto"/>
                <w:szCs w:val="21"/>
                <w:highlight w:val="none"/>
              </w:rPr>
              <w:t>单颗CPU物理核心数≥32核、主频≥2.2GHz、末级缓存容量≥64MB、线程数≥64、热设计功耗≥220W、支持内存的最高速率≥3200MHz、通道数≥8、位宽≥64位；</w:t>
            </w:r>
          </w:p>
          <w:p w14:paraId="54503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投标人应在投标时给出CPU型号；</w:t>
            </w:r>
            <w:bookmarkEnd w:id="7"/>
            <w:bookmarkEnd w:id="8"/>
          </w:p>
        </w:tc>
      </w:tr>
      <w:tr w14:paraId="3148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530FE6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3BE5CB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843" w:type="dxa"/>
            <w:tcBorders>
              <w:tl2br w:val="nil"/>
              <w:tr2bl w:val="nil"/>
            </w:tcBorders>
            <w:vAlign w:val="center"/>
          </w:tcPr>
          <w:p w14:paraId="1FBE90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 和内存情况</w:t>
            </w:r>
          </w:p>
        </w:tc>
        <w:tc>
          <w:tcPr>
            <w:tcW w:w="5220" w:type="dxa"/>
            <w:tcBorders>
              <w:tl2br w:val="nil"/>
              <w:tr2bl w:val="nil"/>
            </w:tcBorders>
            <w:vAlign w:val="center"/>
          </w:tcPr>
          <w:p w14:paraId="44589B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≥2颗，内存数量支持≥32个；</w:t>
            </w:r>
          </w:p>
          <w:p w14:paraId="5FCC07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投标人应在投标时给出主板支持的CPU型号；</w:t>
            </w:r>
          </w:p>
        </w:tc>
      </w:tr>
      <w:tr w14:paraId="72D8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E6DEA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3C06706F">
            <w:pPr>
              <w:shd w:val="clear"/>
              <w:rPr>
                <w:rFonts w:hint="eastAsia" w:ascii="宋体" w:hAnsi="宋体" w:eastAsia="宋体" w:cs="宋体"/>
                <w:color w:val="auto"/>
                <w:highlight w:val="none"/>
              </w:rPr>
            </w:pPr>
          </w:p>
        </w:tc>
        <w:tc>
          <w:tcPr>
            <w:tcW w:w="1843" w:type="dxa"/>
            <w:tcBorders>
              <w:tl2br w:val="nil"/>
              <w:tr2bl w:val="nil"/>
            </w:tcBorders>
            <w:vAlign w:val="center"/>
          </w:tcPr>
          <w:p w14:paraId="7F1991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220" w:type="dxa"/>
            <w:tcBorders>
              <w:tl2br w:val="nil"/>
              <w:tr2bl w:val="nil"/>
            </w:tcBorders>
            <w:vAlign w:val="center"/>
          </w:tcPr>
          <w:p w14:paraId="213D95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主板内存槽数量≥32个</w:t>
            </w:r>
          </w:p>
        </w:tc>
      </w:tr>
      <w:tr w14:paraId="78BE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630" w:type="dxa"/>
            <w:tcBorders>
              <w:tl2br w:val="nil"/>
              <w:tr2bl w:val="nil"/>
            </w:tcBorders>
            <w:vAlign w:val="center"/>
          </w:tcPr>
          <w:p w14:paraId="7FF9F5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3DF326BE">
            <w:pPr>
              <w:shd w:val="clear"/>
              <w:rPr>
                <w:rFonts w:hint="eastAsia" w:ascii="宋体" w:hAnsi="宋体" w:eastAsia="宋体" w:cs="宋体"/>
                <w:color w:val="auto"/>
                <w:highlight w:val="none"/>
              </w:rPr>
            </w:pPr>
          </w:p>
        </w:tc>
        <w:tc>
          <w:tcPr>
            <w:tcW w:w="1843" w:type="dxa"/>
            <w:tcBorders>
              <w:tl2br w:val="nil"/>
              <w:tr2bl w:val="nil"/>
            </w:tcBorders>
            <w:vAlign w:val="center"/>
          </w:tcPr>
          <w:p w14:paraId="3C78F3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220" w:type="dxa"/>
            <w:tcBorders>
              <w:tl2br w:val="nil"/>
              <w:tr2bl w:val="nil"/>
            </w:tcBorders>
            <w:vAlign w:val="center"/>
          </w:tcPr>
          <w:p w14:paraId="23B8CE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（1）前置可支持≥12个前置热插拔3.5硬盘或24个2.5硬盘，支持SAS/SATA/NVMe SSD</w:t>
            </w:r>
          </w:p>
          <w:p w14:paraId="38CCC7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（2）板载可支持≥8个U.2 NVMe SSD</w:t>
            </w:r>
          </w:p>
          <w:p w14:paraId="3DE70B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（3）板载可支持2个内置M.2 SSD，兼容PCIe 和SATA规格，支持2个SATA M.2组RAID</w:t>
            </w:r>
          </w:p>
          <w:p w14:paraId="00CC47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（4）后置可支持≥4个2.5寸硬盘，支持anybay</w:t>
            </w:r>
          </w:p>
          <w:p w14:paraId="4277C1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（5）后置可支持≥4个3.5寸硬盘，支持SAS/SATA/SSD</w:t>
            </w:r>
          </w:p>
        </w:tc>
      </w:tr>
      <w:tr w14:paraId="58BC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0" w:type="dxa"/>
            <w:tcBorders>
              <w:tl2br w:val="nil"/>
              <w:tr2bl w:val="nil"/>
            </w:tcBorders>
            <w:vAlign w:val="center"/>
          </w:tcPr>
          <w:p w14:paraId="1D4584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3C4DF772">
            <w:pPr>
              <w:shd w:val="clear"/>
              <w:rPr>
                <w:rFonts w:hint="eastAsia" w:ascii="宋体" w:hAnsi="宋体" w:eastAsia="宋体" w:cs="宋体"/>
                <w:color w:val="auto"/>
                <w:highlight w:val="none"/>
              </w:rPr>
            </w:pPr>
          </w:p>
        </w:tc>
        <w:tc>
          <w:tcPr>
            <w:tcW w:w="1843" w:type="dxa"/>
            <w:tcBorders>
              <w:tl2br w:val="nil"/>
              <w:tr2bl w:val="nil"/>
            </w:tcBorders>
            <w:vAlign w:val="center"/>
          </w:tcPr>
          <w:p w14:paraId="37CB92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插槽接口</w:t>
            </w:r>
          </w:p>
        </w:tc>
        <w:tc>
          <w:tcPr>
            <w:tcW w:w="5220" w:type="dxa"/>
            <w:tcBorders>
              <w:tl2br w:val="nil"/>
              <w:tr2bl w:val="nil"/>
            </w:tcBorders>
            <w:vAlign w:val="center"/>
          </w:tcPr>
          <w:p w14:paraId="59613C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73B1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3DB326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056CA359">
            <w:pPr>
              <w:shd w:val="clear"/>
              <w:rPr>
                <w:rFonts w:hint="eastAsia" w:ascii="宋体" w:hAnsi="宋体" w:eastAsia="宋体" w:cs="宋体"/>
                <w:color w:val="auto"/>
                <w:highlight w:val="none"/>
              </w:rPr>
            </w:pPr>
          </w:p>
        </w:tc>
        <w:tc>
          <w:tcPr>
            <w:tcW w:w="1843" w:type="dxa"/>
            <w:tcBorders>
              <w:tl2br w:val="nil"/>
              <w:tr2bl w:val="nil"/>
            </w:tcBorders>
            <w:vAlign w:val="center"/>
          </w:tcPr>
          <w:p w14:paraId="097E73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220" w:type="dxa"/>
            <w:tcBorders>
              <w:tl2br w:val="nil"/>
              <w:tr2bl w:val="nil"/>
            </w:tcBorders>
            <w:vAlign w:val="center"/>
          </w:tcPr>
          <w:p w14:paraId="362875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支持直插主板的riser方式扩展≥8个全高PCIe 4.0标准卡支持1个直插主板的内置RAID卡PCIe标准插槽，不使用线缆连接，不占用后置PCIe标准卡槽位，可通过扩展卡进行插槽扩展</w:t>
            </w:r>
          </w:p>
        </w:tc>
      </w:tr>
      <w:tr w14:paraId="1F5C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0296E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vAlign w:val="center"/>
          </w:tcPr>
          <w:p w14:paraId="771610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843" w:type="dxa"/>
            <w:tcBorders>
              <w:tl2br w:val="nil"/>
              <w:tr2bl w:val="nil"/>
            </w:tcBorders>
            <w:vAlign w:val="center"/>
          </w:tcPr>
          <w:p w14:paraId="7E1307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220" w:type="dxa"/>
            <w:tcBorders>
              <w:tl2br w:val="nil"/>
              <w:tr2bl w:val="nil"/>
            </w:tcBorders>
            <w:vAlign w:val="center"/>
          </w:tcPr>
          <w:p w14:paraId="0146C2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内存数量≥12</w:t>
            </w:r>
          </w:p>
        </w:tc>
      </w:tr>
      <w:tr w14:paraId="649F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85C86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3B8DF4B9">
            <w:pPr>
              <w:shd w:val="clear"/>
              <w:rPr>
                <w:rFonts w:hint="eastAsia" w:ascii="宋体" w:hAnsi="宋体" w:eastAsia="宋体" w:cs="宋体"/>
                <w:color w:val="auto"/>
                <w:highlight w:val="none"/>
              </w:rPr>
            </w:pPr>
          </w:p>
        </w:tc>
        <w:tc>
          <w:tcPr>
            <w:tcW w:w="1843" w:type="dxa"/>
            <w:tcBorders>
              <w:tl2br w:val="nil"/>
              <w:tr2bl w:val="nil"/>
            </w:tcBorders>
            <w:vAlign w:val="center"/>
          </w:tcPr>
          <w:p w14:paraId="2CF87E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220" w:type="dxa"/>
            <w:tcBorders>
              <w:tl2br w:val="nil"/>
              <w:tr2bl w:val="nil"/>
            </w:tcBorders>
            <w:vAlign w:val="center"/>
          </w:tcPr>
          <w:p w14:paraId="41B10D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实配≥384GB DDR4</w:t>
            </w:r>
          </w:p>
        </w:tc>
      </w:tr>
      <w:tr w14:paraId="797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2E971C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618096E5">
            <w:pPr>
              <w:shd w:val="clear"/>
              <w:rPr>
                <w:rFonts w:hint="eastAsia" w:ascii="宋体" w:hAnsi="宋体" w:eastAsia="宋体" w:cs="宋体"/>
                <w:color w:val="auto"/>
                <w:highlight w:val="none"/>
              </w:rPr>
            </w:pPr>
          </w:p>
        </w:tc>
        <w:tc>
          <w:tcPr>
            <w:tcW w:w="1843" w:type="dxa"/>
            <w:tcBorders>
              <w:tl2br w:val="nil"/>
              <w:tr2bl w:val="nil"/>
            </w:tcBorders>
            <w:vAlign w:val="center"/>
          </w:tcPr>
          <w:p w14:paraId="3E82A7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220" w:type="dxa"/>
            <w:tcBorders>
              <w:tl2br w:val="nil"/>
              <w:tr2bl w:val="nil"/>
            </w:tcBorders>
            <w:vAlign w:val="center"/>
          </w:tcPr>
          <w:p w14:paraId="7FFF90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支持≥8个内存接口通道</w:t>
            </w:r>
          </w:p>
        </w:tc>
      </w:tr>
      <w:tr w14:paraId="7D2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63543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vAlign w:val="center"/>
          </w:tcPr>
          <w:p w14:paraId="42D82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843" w:type="dxa"/>
            <w:tcBorders>
              <w:tl2br w:val="nil"/>
              <w:tr2bl w:val="nil"/>
            </w:tcBorders>
            <w:vAlign w:val="center"/>
          </w:tcPr>
          <w:p w14:paraId="5973C9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220" w:type="dxa"/>
            <w:tcBorders>
              <w:tl2br w:val="nil"/>
              <w:tr2bl w:val="nil"/>
            </w:tcBorders>
            <w:vAlign w:val="center"/>
          </w:tcPr>
          <w:p w14:paraId="29016D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实配硬磁盘≥16T，实配固态盘≥4.8T；</w:t>
            </w:r>
          </w:p>
        </w:tc>
      </w:tr>
      <w:tr w14:paraId="1B6D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3392F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25FFA7EC">
            <w:pPr>
              <w:shd w:val="clear"/>
              <w:rPr>
                <w:rFonts w:hint="eastAsia" w:ascii="宋体" w:hAnsi="宋体" w:eastAsia="宋体" w:cs="宋体"/>
                <w:color w:val="auto"/>
                <w:highlight w:val="none"/>
              </w:rPr>
            </w:pPr>
          </w:p>
        </w:tc>
        <w:tc>
          <w:tcPr>
            <w:tcW w:w="1843" w:type="dxa"/>
            <w:tcBorders>
              <w:tl2br w:val="nil"/>
              <w:tr2bl w:val="nil"/>
            </w:tcBorders>
            <w:vAlign w:val="center"/>
          </w:tcPr>
          <w:p w14:paraId="50EE5C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220" w:type="dxa"/>
            <w:tcBorders>
              <w:tl2br w:val="nil"/>
              <w:tr2bl w:val="nil"/>
            </w:tcBorders>
            <w:vAlign w:val="center"/>
          </w:tcPr>
          <w:p w14:paraId="5EDC64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实配硬磁盘≥4块4TB 3.5寸 7.2K 12Gb SAS硬盘，实配固态盘≥3块960G 2.5寸 SATA 6Gb R SSD，≥2块480G 2.5寸 SATA 6Gb R SSD,≥1块960G 2.5寸 SATA 6Gb M SSD；</w:t>
            </w:r>
          </w:p>
        </w:tc>
      </w:tr>
      <w:tr w14:paraId="401D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13EEC0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1EB819AE">
            <w:pPr>
              <w:shd w:val="clear"/>
              <w:rPr>
                <w:rFonts w:hint="eastAsia" w:ascii="宋体" w:hAnsi="宋体" w:eastAsia="宋体" w:cs="宋体"/>
                <w:color w:val="auto"/>
                <w:highlight w:val="none"/>
              </w:rPr>
            </w:pPr>
          </w:p>
        </w:tc>
        <w:tc>
          <w:tcPr>
            <w:tcW w:w="1843" w:type="dxa"/>
            <w:vMerge w:val="restart"/>
            <w:tcBorders>
              <w:tl2br w:val="nil"/>
              <w:tr2bl w:val="nil"/>
            </w:tcBorders>
            <w:vAlign w:val="center"/>
          </w:tcPr>
          <w:p w14:paraId="78C1DC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220" w:type="dxa"/>
            <w:tcBorders>
              <w:tl2br w:val="nil"/>
              <w:tr2bl w:val="nil"/>
            </w:tcBorders>
            <w:vAlign w:val="center"/>
          </w:tcPr>
          <w:p w14:paraId="324249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（1）最高支持≥12个前置热插拔3.5硬盘或24个2.5硬盘，支持SAS/SATA/NVMe SSD</w:t>
            </w:r>
          </w:p>
        </w:tc>
      </w:tr>
      <w:tr w14:paraId="1463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continue"/>
            <w:tcBorders>
              <w:tl2br w:val="nil"/>
              <w:tr2bl w:val="nil"/>
            </w:tcBorders>
            <w:vAlign w:val="center"/>
          </w:tcPr>
          <w:p w14:paraId="50D9ADD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B0C910D">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8EFFBD5">
            <w:pPr>
              <w:shd w:val="clear"/>
              <w:rPr>
                <w:rFonts w:hint="eastAsia" w:ascii="宋体" w:hAnsi="宋体" w:eastAsia="宋体" w:cs="宋体"/>
                <w:color w:val="auto"/>
                <w:highlight w:val="none"/>
              </w:rPr>
            </w:pPr>
          </w:p>
        </w:tc>
        <w:tc>
          <w:tcPr>
            <w:tcW w:w="5220" w:type="dxa"/>
            <w:tcBorders>
              <w:tl2br w:val="nil"/>
              <w:tr2bl w:val="nil"/>
            </w:tcBorders>
            <w:vAlign w:val="center"/>
          </w:tcPr>
          <w:p w14:paraId="4F2C1D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（2）后置支持≥4个2.5寸硬盘，支持anybay或后置支持≥4个3.5寸硬盘，支持SAS/SATA/SSD</w:t>
            </w:r>
          </w:p>
        </w:tc>
      </w:tr>
      <w:tr w14:paraId="6041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8810E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12EE2A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843" w:type="dxa"/>
            <w:tcBorders>
              <w:tl2br w:val="nil"/>
              <w:tr2bl w:val="nil"/>
            </w:tcBorders>
            <w:vAlign w:val="center"/>
          </w:tcPr>
          <w:p w14:paraId="12CEA0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220" w:type="dxa"/>
            <w:tcBorders>
              <w:tl2br w:val="nil"/>
              <w:tr2bl w:val="nil"/>
            </w:tcBorders>
            <w:vAlign w:val="center"/>
          </w:tcPr>
          <w:p w14:paraId="1AE1D5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≥2个万兆双口光纤网卡（含模块）</w:t>
            </w:r>
          </w:p>
        </w:tc>
      </w:tr>
      <w:tr w14:paraId="4CA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12243F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1902D3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843" w:type="dxa"/>
            <w:tcBorders>
              <w:tl2br w:val="nil"/>
              <w:tr2bl w:val="nil"/>
            </w:tcBorders>
            <w:vAlign w:val="center"/>
          </w:tcPr>
          <w:p w14:paraId="1678A3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220" w:type="dxa"/>
            <w:tcBorders>
              <w:tl2br w:val="nil"/>
              <w:tr2bl w:val="nil"/>
            </w:tcBorders>
            <w:vAlign w:val="center"/>
          </w:tcPr>
          <w:p w14:paraId="05CD6B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4834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B3070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59EB1485">
            <w:pPr>
              <w:shd w:val="clear"/>
              <w:rPr>
                <w:rFonts w:hint="eastAsia" w:ascii="宋体" w:hAnsi="宋体" w:eastAsia="宋体" w:cs="宋体"/>
                <w:color w:val="auto"/>
                <w:highlight w:val="none"/>
              </w:rPr>
            </w:pPr>
          </w:p>
        </w:tc>
        <w:tc>
          <w:tcPr>
            <w:tcW w:w="1843" w:type="dxa"/>
            <w:tcBorders>
              <w:tl2br w:val="nil"/>
              <w:tr2bl w:val="nil"/>
            </w:tcBorders>
            <w:vAlign w:val="center"/>
          </w:tcPr>
          <w:p w14:paraId="488AB3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220" w:type="dxa"/>
            <w:tcBorders>
              <w:tl2br w:val="nil"/>
              <w:tr2bl w:val="nil"/>
            </w:tcBorders>
            <w:vAlign w:val="center"/>
          </w:tcPr>
          <w:p w14:paraId="3B3F31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配置≥4个USB3.0接口，2个位于机箱后部，2个位于机箱前部。</w:t>
            </w:r>
          </w:p>
        </w:tc>
      </w:tr>
      <w:tr w14:paraId="5AED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A3923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6EA1E7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843" w:type="dxa"/>
            <w:tcBorders>
              <w:tl2br w:val="nil"/>
              <w:tr2bl w:val="nil"/>
            </w:tcBorders>
            <w:vAlign w:val="center"/>
          </w:tcPr>
          <w:p w14:paraId="751CA0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220" w:type="dxa"/>
            <w:tcBorders>
              <w:tl2br w:val="nil"/>
              <w:tr2bl w:val="nil"/>
            </w:tcBorders>
            <w:vAlign w:val="center"/>
          </w:tcPr>
          <w:p w14:paraId="0355FB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51DC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0" w:type="dxa"/>
            <w:tcBorders>
              <w:tl2br w:val="nil"/>
              <w:tr2bl w:val="nil"/>
            </w:tcBorders>
            <w:vAlign w:val="center"/>
          </w:tcPr>
          <w:p w14:paraId="6E82D4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7430A7E7">
            <w:pPr>
              <w:shd w:val="clear"/>
              <w:rPr>
                <w:rFonts w:hint="eastAsia" w:ascii="宋体" w:hAnsi="宋体" w:eastAsia="宋体" w:cs="宋体"/>
                <w:color w:val="auto"/>
                <w:highlight w:val="none"/>
              </w:rPr>
            </w:pPr>
          </w:p>
        </w:tc>
        <w:tc>
          <w:tcPr>
            <w:tcW w:w="1843" w:type="dxa"/>
            <w:tcBorders>
              <w:tl2br w:val="nil"/>
              <w:tr2bl w:val="nil"/>
            </w:tcBorders>
            <w:vAlign w:val="center"/>
          </w:tcPr>
          <w:p w14:paraId="186960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220" w:type="dxa"/>
            <w:tcBorders>
              <w:tl2br w:val="nil"/>
              <w:tr2bl w:val="nil"/>
            </w:tcBorders>
            <w:vAlign w:val="center"/>
          </w:tcPr>
          <w:p w14:paraId="1B4DDA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≥800W，电源模块功率应有一定冗余， 满足处理器满载时的需求</w:t>
            </w:r>
          </w:p>
        </w:tc>
      </w:tr>
      <w:tr w14:paraId="76F9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restart"/>
            <w:tcBorders>
              <w:tl2br w:val="nil"/>
              <w:tr2bl w:val="nil"/>
            </w:tcBorders>
            <w:vAlign w:val="center"/>
          </w:tcPr>
          <w:p w14:paraId="08A3BA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5846D8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843" w:type="dxa"/>
            <w:vMerge w:val="restart"/>
            <w:tcBorders>
              <w:tl2br w:val="nil"/>
              <w:tr2bl w:val="nil"/>
            </w:tcBorders>
            <w:vAlign w:val="center"/>
          </w:tcPr>
          <w:p w14:paraId="6D7EFC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220" w:type="dxa"/>
            <w:tcBorders>
              <w:tl2br w:val="nil"/>
              <w:tr2bl w:val="nil"/>
            </w:tcBorders>
            <w:vAlign w:val="center"/>
          </w:tcPr>
          <w:p w14:paraId="56471A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1124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vMerge w:val="continue"/>
            <w:tcBorders>
              <w:tl2br w:val="nil"/>
              <w:tr2bl w:val="nil"/>
            </w:tcBorders>
            <w:vAlign w:val="center"/>
          </w:tcPr>
          <w:p w14:paraId="58643D50">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367A2F2">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17FFD89C">
            <w:pPr>
              <w:shd w:val="clear"/>
              <w:rPr>
                <w:rFonts w:hint="eastAsia" w:ascii="宋体" w:hAnsi="宋体" w:eastAsia="宋体" w:cs="宋体"/>
                <w:color w:val="auto"/>
                <w:highlight w:val="none"/>
              </w:rPr>
            </w:pPr>
          </w:p>
        </w:tc>
        <w:tc>
          <w:tcPr>
            <w:tcW w:w="5220" w:type="dxa"/>
            <w:tcBorders>
              <w:tl2br w:val="nil"/>
              <w:tr2bl w:val="nil"/>
            </w:tcBorders>
            <w:vAlign w:val="center"/>
          </w:tcPr>
          <w:p w14:paraId="714E50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6D8B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1A405D7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3676546">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35B4A181">
            <w:pPr>
              <w:shd w:val="clear"/>
              <w:rPr>
                <w:rFonts w:hint="eastAsia" w:ascii="宋体" w:hAnsi="宋体" w:eastAsia="宋体" w:cs="宋体"/>
                <w:color w:val="auto"/>
                <w:highlight w:val="none"/>
              </w:rPr>
            </w:pPr>
          </w:p>
        </w:tc>
        <w:tc>
          <w:tcPr>
            <w:tcW w:w="5220" w:type="dxa"/>
            <w:tcBorders>
              <w:tl2br w:val="nil"/>
              <w:tr2bl w:val="nil"/>
            </w:tcBorders>
            <w:vAlign w:val="center"/>
          </w:tcPr>
          <w:p w14:paraId="32E213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7491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D4B095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2D0601D">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7B4CD55">
            <w:pPr>
              <w:shd w:val="clear"/>
              <w:rPr>
                <w:rFonts w:hint="eastAsia" w:ascii="宋体" w:hAnsi="宋体" w:eastAsia="宋体" w:cs="宋体"/>
                <w:color w:val="auto"/>
                <w:highlight w:val="none"/>
              </w:rPr>
            </w:pPr>
          </w:p>
        </w:tc>
        <w:tc>
          <w:tcPr>
            <w:tcW w:w="5220" w:type="dxa"/>
            <w:tcBorders>
              <w:tl2br w:val="nil"/>
              <w:tr2bl w:val="nil"/>
            </w:tcBorders>
            <w:vAlign w:val="center"/>
          </w:tcPr>
          <w:p w14:paraId="049EA0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2F13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59B01A9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B2D9B8F">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757F926E">
            <w:pPr>
              <w:shd w:val="clear"/>
              <w:rPr>
                <w:rFonts w:hint="eastAsia" w:ascii="宋体" w:hAnsi="宋体" w:eastAsia="宋体" w:cs="宋体"/>
                <w:color w:val="auto"/>
                <w:highlight w:val="none"/>
              </w:rPr>
            </w:pPr>
          </w:p>
        </w:tc>
        <w:tc>
          <w:tcPr>
            <w:tcW w:w="5220" w:type="dxa"/>
            <w:tcBorders>
              <w:tl2br w:val="nil"/>
              <w:tr2bl w:val="nil"/>
            </w:tcBorders>
            <w:vAlign w:val="center"/>
          </w:tcPr>
          <w:p w14:paraId="413C25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1B0A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DC99A7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4BDBADE">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5121E46F">
            <w:pPr>
              <w:shd w:val="clear"/>
              <w:rPr>
                <w:rFonts w:hint="eastAsia" w:ascii="宋体" w:hAnsi="宋体" w:eastAsia="宋体" w:cs="宋体"/>
                <w:color w:val="auto"/>
                <w:highlight w:val="none"/>
              </w:rPr>
            </w:pPr>
          </w:p>
        </w:tc>
        <w:tc>
          <w:tcPr>
            <w:tcW w:w="5220" w:type="dxa"/>
            <w:tcBorders>
              <w:tl2br w:val="nil"/>
              <w:tr2bl w:val="nil"/>
            </w:tcBorders>
            <w:vAlign w:val="center"/>
          </w:tcPr>
          <w:p w14:paraId="6AE2DF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65F5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5808EFE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75AAC2F">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28288921">
            <w:pPr>
              <w:shd w:val="clear"/>
              <w:rPr>
                <w:rFonts w:hint="eastAsia" w:ascii="宋体" w:hAnsi="宋体" w:eastAsia="宋体" w:cs="宋体"/>
                <w:color w:val="auto"/>
                <w:highlight w:val="none"/>
              </w:rPr>
            </w:pPr>
          </w:p>
        </w:tc>
        <w:tc>
          <w:tcPr>
            <w:tcW w:w="5220" w:type="dxa"/>
            <w:tcBorders>
              <w:tl2br w:val="nil"/>
              <w:tr2bl w:val="nil"/>
            </w:tcBorders>
            <w:vAlign w:val="center"/>
          </w:tcPr>
          <w:p w14:paraId="7462DD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7BE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ED487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18D565B7">
            <w:pPr>
              <w:shd w:val="clear"/>
              <w:rPr>
                <w:rFonts w:hint="eastAsia" w:ascii="宋体" w:hAnsi="宋体" w:eastAsia="宋体" w:cs="宋体"/>
                <w:color w:val="auto"/>
                <w:highlight w:val="none"/>
              </w:rPr>
            </w:pPr>
          </w:p>
        </w:tc>
        <w:tc>
          <w:tcPr>
            <w:tcW w:w="1843" w:type="dxa"/>
            <w:tcBorders>
              <w:tl2br w:val="nil"/>
              <w:tr2bl w:val="nil"/>
            </w:tcBorders>
            <w:vAlign w:val="center"/>
          </w:tcPr>
          <w:p w14:paraId="7AB538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220" w:type="dxa"/>
            <w:tcBorders>
              <w:tl2br w:val="nil"/>
              <w:tr2bl w:val="nil"/>
            </w:tcBorders>
            <w:vAlign w:val="center"/>
          </w:tcPr>
          <w:p w14:paraId="2FE9D941">
            <w:pPr>
              <w:shd w:val="clear"/>
              <w:spacing w:line="360" w:lineRule="auto"/>
              <w:rPr>
                <w:rFonts w:hint="eastAsia" w:ascii="宋体" w:hAnsi="宋体" w:eastAsia="宋体" w:cs="宋体"/>
                <w:color w:val="auto"/>
                <w:szCs w:val="21"/>
                <w:highlight w:val="none"/>
              </w:rPr>
            </w:pPr>
            <w:bookmarkStart w:id="9" w:name="OLE_LINK6"/>
            <w:bookmarkStart w:id="10" w:name="OLE_LINK7"/>
            <w:r>
              <w:rPr>
                <w:rFonts w:hint="eastAsia" w:ascii="宋体" w:hAnsi="宋体" w:eastAsia="宋体" w:cs="宋体"/>
                <w:color w:val="auto"/>
                <w:szCs w:val="21"/>
                <w:highlight w:val="none"/>
              </w:rPr>
              <w:t>投标人应在投标时给出产品尺</w:t>
            </w:r>
            <w:bookmarkEnd w:id="9"/>
            <w:bookmarkEnd w:id="10"/>
            <w:r>
              <w:rPr>
                <w:rFonts w:hint="eastAsia" w:ascii="宋体" w:hAnsi="宋体" w:eastAsia="宋体" w:cs="宋体"/>
                <w:color w:val="auto"/>
                <w:szCs w:val="21"/>
                <w:highlight w:val="none"/>
              </w:rPr>
              <w:t>寸；设计应遵循标准化、系列化的要求，机箱的内部结构符合通用部件的安装需要。</w:t>
            </w:r>
          </w:p>
        </w:tc>
      </w:tr>
      <w:tr w14:paraId="4209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4BC028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37BB607B">
            <w:pPr>
              <w:shd w:val="clear"/>
              <w:rPr>
                <w:rFonts w:hint="eastAsia" w:ascii="宋体" w:hAnsi="宋体" w:eastAsia="宋体" w:cs="宋体"/>
                <w:color w:val="auto"/>
                <w:highlight w:val="none"/>
              </w:rPr>
            </w:pPr>
          </w:p>
        </w:tc>
        <w:tc>
          <w:tcPr>
            <w:tcW w:w="1843" w:type="dxa"/>
            <w:tcBorders>
              <w:tl2br w:val="nil"/>
              <w:tr2bl w:val="nil"/>
            </w:tcBorders>
            <w:vAlign w:val="center"/>
          </w:tcPr>
          <w:p w14:paraId="5DF033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220" w:type="dxa"/>
            <w:tcBorders>
              <w:tl2br w:val="nil"/>
              <w:tr2bl w:val="nil"/>
            </w:tcBorders>
            <w:vAlign w:val="center"/>
          </w:tcPr>
          <w:p w14:paraId="35DC7F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737F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3CA01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3EA83DC5">
            <w:pPr>
              <w:shd w:val="clear"/>
              <w:rPr>
                <w:rFonts w:hint="eastAsia" w:ascii="宋体" w:hAnsi="宋体" w:eastAsia="宋体" w:cs="宋体"/>
                <w:color w:val="auto"/>
                <w:highlight w:val="none"/>
              </w:rPr>
            </w:pPr>
          </w:p>
        </w:tc>
        <w:tc>
          <w:tcPr>
            <w:tcW w:w="1843" w:type="dxa"/>
            <w:tcBorders>
              <w:tl2br w:val="nil"/>
              <w:tr2bl w:val="nil"/>
            </w:tcBorders>
            <w:vAlign w:val="center"/>
          </w:tcPr>
          <w:p w14:paraId="5D183C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220" w:type="dxa"/>
            <w:tcBorders>
              <w:tl2br w:val="nil"/>
              <w:tr2bl w:val="nil"/>
            </w:tcBorders>
            <w:vAlign w:val="center"/>
          </w:tcPr>
          <w:p w14:paraId="3558A9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 GB/T9813.3 的有关规定</w:t>
            </w:r>
          </w:p>
        </w:tc>
      </w:tr>
      <w:tr w14:paraId="73B7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A5955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633628B4">
            <w:pPr>
              <w:shd w:val="clear"/>
              <w:rPr>
                <w:rFonts w:hint="eastAsia" w:ascii="宋体" w:hAnsi="宋体" w:eastAsia="宋体" w:cs="宋体"/>
                <w:color w:val="auto"/>
                <w:highlight w:val="none"/>
              </w:rPr>
            </w:pPr>
          </w:p>
        </w:tc>
        <w:tc>
          <w:tcPr>
            <w:tcW w:w="1843" w:type="dxa"/>
            <w:tcBorders>
              <w:tl2br w:val="nil"/>
              <w:tr2bl w:val="nil"/>
            </w:tcBorders>
            <w:vAlign w:val="center"/>
          </w:tcPr>
          <w:p w14:paraId="114E9A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220" w:type="dxa"/>
            <w:tcBorders>
              <w:tl2br w:val="nil"/>
              <w:tr2bl w:val="nil"/>
            </w:tcBorders>
            <w:vAlign w:val="center"/>
          </w:tcPr>
          <w:p w14:paraId="718A20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 50dB</w:t>
            </w:r>
          </w:p>
        </w:tc>
      </w:tr>
      <w:tr w14:paraId="1000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0" w:type="dxa"/>
            <w:tcBorders>
              <w:tl2br w:val="nil"/>
              <w:tr2bl w:val="nil"/>
            </w:tcBorders>
            <w:vAlign w:val="center"/>
          </w:tcPr>
          <w:p w14:paraId="62E610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705304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843" w:type="dxa"/>
            <w:tcBorders>
              <w:tl2br w:val="nil"/>
              <w:tr2bl w:val="nil"/>
            </w:tcBorders>
            <w:vAlign w:val="center"/>
          </w:tcPr>
          <w:p w14:paraId="594811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220" w:type="dxa"/>
            <w:tcBorders>
              <w:tl2br w:val="nil"/>
              <w:tr2bl w:val="nil"/>
            </w:tcBorders>
            <w:vAlign w:val="center"/>
          </w:tcPr>
          <w:p w14:paraId="089B32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投标人在投标时给出长度、高度和深度；</w:t>
            </w:r>
          </w:p>
        </w:tc>
      </w:tr>
      <w:tr w14:paraId="2749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1D54C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64DD4B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843" w:type="dxa"/>
            <w:tcBorders>
              <w:tl2br w:val="nil"/>
              <w:tr2bl w:val="nil"/>
            </w:tcBorders>
            <w:vAlign w:val="center"/>
          </w:tcPr>
          <w:p w14:paraId="2F57C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220" w:type="dxa"/>
            <w:tcBorders>
              <w:tl2br w:val="nil"/>
              <w:tr2bl w:val="nil"/>
            </w:tcBorders>
            <w:vAlign w:val="center"/>
          </w:tcPr>
          <w:p w14:paraId="25BC71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542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ABAFD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38D07C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843" w:type="dxa"/>
            <w:tcBorders>
              <w:tl2br w:val="nil"/>
              <w:tr2bl w:val="nil"/>
            </w:tcBorders>
            <w:vAlign w:val="center"/>
          </w:tcPr>
          <w:p w14:paraId="4F0968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220" w:type="dxa"/>
            <w:tcBorders>
              <w:tl2br w:val="nil"/>
              <w:tr2bl w:val="nil"/>
            </w:tcBorders>
            <w:vAlign w:val="center"/>
          </w:tcPr>
          <w:p w14:paraId="0EB9DD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5993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5D51A9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5CDED1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843" w:type="dxa"/>
            <w:tcBorders>
              <w:tl2br w:val="nil"/>
              <w:tr2bl w:val="nil"/>
            </w:tcBorders>
            <w:vAlign w:val="center"/>
          </w:tcPr>
          <w:p w14:paraId="672D60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220" w:type="dxa"/>
            <w:tcBorders>
              <w:tl2br w:val="nil"/>
              <w:tr2bl w:val="nil"/>
            </w:tcBorders>
            <w:vAlign w:val="center"/>
          </w:tcPr>
          <w:p w14:paraId="5717D8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2DF3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3A6E90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29F2F6C6">
            <w:pPr>
              <w:shd w:val="clear"/>
              <w:rPr>
                <w:rFonts w:hint="eastAsia" w:ascii="宋体" w:hAnsi="宋体" w:eastAsia="宋体" w:cs="宋体"/>
                <w:color w:val="auto"/>
                <w:highlight w:val="none"/>
              </w:rPr>
            </w:pPr>
          </w:p>
        </w:tc>
        <w:tc>
          <w:tcPr>
            <w:tcW w:w="1843" w:type="dxa"/>
            <w:tcBorders>
              <w:tl2br w:val="nil"/>
              <w:tr2bl w:val="nil"/>
            </w:tcBorders>
            <w:vAlign w:val="center"/>
          </w:tcPr>
          <w:p w14:paraId="3920BF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220" w:type="dxa"/>
            <w:tcBorders>
              <w:tl2br w:val="nil"/>
              <w:tr2bl w:val="nil"/>
            </w:tcBorders>
            <w:vAlign w:val="center"/>
          </w:tcPr>
          <w:p w14:paraId="4CB465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3E14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41D167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4017E2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843" w:type="dxa"/>
            <w:tcBorders>
              <w:tl2br w:val="nil"/>
              <w:tr2bl w:val="nil"/>
            </w:tcBorders>
            <w:vAlign w:val="center"/>
          </w:tcPr>
          <w:p w14:paraId="420F0F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220" w:type="dxa"/>
            <w:tcBorders>
              <w:tl2br w:val="nil"/>
              <w:tr2bl w:val="nil"/>
            </w:tcBorders>
            <w:vAlign w:val="center"/>
          </w:tcPr>
          <w:p w14:paraId="62C105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288A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B9A8B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79FBED30">
            <w:pPr>
              <w:shd w:val="clear"/>
              <w:rPr>
                <w:rFonts w:hint="eastAsia" w:ascii="宋体" w:hAnsi="宋体" w:eastAsia="宋体" w:cs="宋体"/>
                <w:color w:val="auto"/>
                <w:highlight w:val="none"/>
              </w:rPr>
            </w:pPr>
          </w:p>
        </w:tc>
        <w:tc>
          <w:tcPr>
            <w:tcW w:w="1843" w:type="dxa"/>
            <w:tcBorders>
              <w:tl2br w:val="nil"/>
              <w:tr2bl w:val="nil"/>
            </w:tcBorders>
            <w:vAlign w:val="center"/>
          </w:tcPr>
          <w:p w14:paraId="6E925B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220" w:type="dxa"/>
            <w:tcBorders>
              <w:tl2br w:val="nil"/>
              <w:tr2bl w:val="nil"/>
            </w:tcBorders>
            <w:vAlign w:val="center"/>
          </w:tcPr>
          <w:p w14:paraId="6BFEAD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7E59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D6B6F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770BEF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843" w:type="dxa"/>
            <w:tcBorders>
              <w:tl2br w:val="nil"/>
              <w:tr2bl w:val="nil"/>
            </w:tcBorders>
            <w:vAlign w:val="center"/>
          </w:tcPr>
          <w:p w14:paraId="726FAD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220" w:type="dxa"/>
            <w:tcBorders>
              <w:tl2br w:val="nil"/>
              <w:tr2bl w:val="nil"/>
            </w:tcBorders>
            <w:vAlign w:val="center"/>
          </w:tcPr>
          <w:p w14:paraId="016178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支持风冷或液冷等散热方式</w:t>
            </w:r>
          </w:p>
        </w:tc>
      </w:tr>
      <w:tr w14:paraId="7C60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0" w:type="dxa"/>
            <w:tcBorders>
              <w:tl2br w:val="nil"/>
              <w:tr2bl w:val="nil"/>
            </w:tcBorders>
            <w:vAlign w:val="center"/>
          </w:tcPr>
          <w:p w14:paraId="0BB612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7CB106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843" w:type="dxa"/>
            <w:tcBorders>
              <w:tl2br w:val="nil"/>
              <w:tr2bl w:val="nil"/>
            </w:tcBorders>
            <w:vAlign w:val="center"/>
          </w:tcPr>
          <w:p w14:paraId="44205D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 固件基础功能</w:t>
            </w:r>
          </w:p>
        </w:tc>
        <w:tc>
          <w:tcPr>
            <w:tcW w:w="5220" w:type="dxa"/>
            <w:tcBorders>
              <w:tl2br w:val="nil"/>
              <w:tr2bl w:val="nil"/>
            </w:tcBorders>
            <w:vAlign w:val="center"/>
          </w:tcPr>
          <w:p w14:paraId="0E27F0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526A69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49C2E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5CC9A0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2E002D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67637B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286DC4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w:t>
            </w:r>
          </w:p>
          <w:p w14:paraId="05F6D4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等接口功能；</w:t>
            </w:r>
          </w:p>
          <w:p w14:paraId="23A1B2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170929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5FFA96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1A5B9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19E20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51BBDE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48B442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4B84AC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7FF214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64E687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5F8121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30068F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631112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16CA14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2F640A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3EBDD2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5BE337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3E79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jc w:val="center"/>
        </w:trPr>
        <w:tc>
          <w:tcPr>
            <w:tcW w:w="630" w:type="dxa"/>
            <w:tcBorders>
              <w:tl2br w:val="nil"/>
              <w:tr2bl w:val="nil"/>
            </w:tcBorders>
            <w:vAlign w:val="center"/>
          </w:tcPr>
          <w:p w14:paraId="351FC5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1E3D984F">
            <w:pPr>
              <w:shd w:val="clear"/>
              <w:rPr>
                <w:rFonts w:hint="eastAsia" w:ascii="宋体" w:hAnsi="宋体" w:eastAsia="宋体" w:cs="宋体"/>
                <w:color w:val="auto"/>
                <w:highlight w:val="none"/>
              </w:rPr>
            </w:pPr>
          </w:p>
        </w:tc>
        <w:tc>
          <w:tcPr>
            <w:tcW w:w="1843" w:type="dxa"/>
            <w:tcBorders>
              <w:tl2br w:val="nil"/>
              <w:tr2bl w:val="nil"/>
            </w:tcBorders>
            <w:vAlign w:val="center"/>
          </w:tcPr>
          <w:p w14:paraId="7DE4E2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220" w:type="dxa"/>
            <w:tcBorders>
              <w:tl2br w:val="nil"/>
              <w:tr2bl w:val="nil"/>
            </w:tcBorders>
            <w:vAlign w:val="center"/>
          </w:tcPr>
          <w:p w14:paraId="75F095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61F0C9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580355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701C72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11DE85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0DE97E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164876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7C9375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7AFE76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6FE445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w:t>
            </w:r>
          </w:p>
          <w:p w14:paraId="4C136A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k）支持串口重定向功能；</w:t>
            </w:r>
          </w:p>
          <w:p w14:paraId="5F4CFA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1D65D1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71BE0D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4C94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238530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134E09A7">
            <w:pPr>
              <w:shd w:val="clear"/>
              <w:rPr>
                <w:rFonts w:hint="eastAsia" w:ascii="宋体" w:hAnsi="宋体" w:eastAsia="宋体" w:cs="宋体"/>
                <w:color w:val="auto"/>
                <w:highlight w:val="none"/>
              </w:rPr>
            </w:pPr>
          </w:p>
        </w:tc>
        <w:tc>
          <w:tcPr>
            <w:tcW w:w="1843" w:type="dxa"/>
            <w:tcBorders>
              <w:tl2br w:val="nil"/>
              <w:tr2bl w:val="nil"/>
            </w:tcBorders>
            <w:vAlign w:val="center"/>
          </w:tcPr>
          <w:p w14:paraId="79A4EB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220" w:type="dxa"/>
            <w:tcBorders>
              <w:tl2br w:val="nil"/>
              <w:tr2bl w:val="nil"/>
            </w:tcBorders>
            <w:vAlign w:val="center"/>
          </w:tcPr>
          <w:p w14:paraId="3884A8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5478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F2F1D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6F773F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843" w:type="dxa"/>
            <w:tcBorders>
              <w:tl2br w:val="nil"/>
              <w:tr2bl w:val="nil"/>
            </w:tcBorders>
            <w:vAlign w:val="center"/>
          </w:tcPr>
          <w:p w14:paraId="7AF824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220" w:type="dxa"/>
            <w:tcBorders>
              <w:tl2br w:val="nil"/>
              <w:tr2bl w:val="nil"/>
            </w:tcBorders>
            <w:vAlign w:val="center"/>
          </w:tcPr>
          <w:p w14:paraId="37B4B7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167F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6E150A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400CE03E">
            <w:pPr>
              <w:shd w:val="clear"/>
              <w:rPr>
                <w:rFonts w:hint="eastAsia" w:ascii="宋体" w:hAnsi="宋体" w:eastAsia="宋体" w:cs="宋体"/>
                <w:color w:val="auto"/>
                <w:highlight w:val="none"/>
              </w:rPr>
            </w:pPr>
          </w:p>
        </w:tc>
        <w:tc>
          <w:tcPr>
            <w:tcW w:w="1843" w:type="dxa"/>
            <w:tcBorders>
              <w:tl2br w:val="nil"/>
              <w:tr2bl w:val="nil"/>
            </w:tcBorders>
            <w:vAlign w:val="center"/>
          </w:tcPr>
          <w:p w14:paraId="15B2A1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220" w:type="dxa"/>
            <w:tcBorders>
              <w:tl2br w:val="nil"/>
              <w:tr2bl w:val="nil"/>
            </w:tcBorders>
            <w:vAlign w:val="center"/>
          </w:tcPr>
          <w:p w14:paraId="4D825D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331CAE52">
            <w:pPr>
              <w:shd w:val="clear"/>
              <w:spacing w:line="360" w:lineRule="auto"/>
              <w:rPr>
                <w:rFonts w:hint="eastAsia" w:ascii="宋体" w:hAnsi="宋体" w:eastAsia="宋体" w:cs="宋体"/>
                <w:color w:val="auto"/>
                <w:szCs w:val="21"/>
                <w:highlight w:val="none"/>
              </w:rPr>
            </w:pPr>
            <w:bookmarkStart w:id="11" w:name="OLE_LINK11"/>
            <w:bookmarkStart w:id="12" w:name="OLE_LINK10"/>
            <w:r>
              <w:rPr>
                <w:rFonts w:hint="eastAsia" w:ascii="宋体" w:hAnsi="宋体" w:eastAsia="宋体" w:cs="宋体"/>
                <w:color w:val="auto"/>
                <w:szCs w:val="21"/>
                <w:highlight w:val="none"/>
              </w:rPr>
              <w:t>操作系统其他功</w:t>
            </w:r>
            <w:bookmarkEnd w:id="11"/>
            <w:bookmarkEnd w:id="12"/>
            <w:r>
              <w:rPr>
                <w:rFonts w:hint="eastAsia" w:ascii="宋体" w:hAnsi="宋体" w:eastAsia="宋体" w:cs="宋体"/>
                <w:color w:val="auto"/>
                <w:szCs w:val="21"/>
                <w:highlight w:val="none"/>
              </w:rPr>
              <w:t>能满足操作系统政府采购需求标准中加*的指标要求</w:t>
            </w:r>
          </w:p>
        </w:tc>
      </w:tr>
      <w:tr w14:paraId="0773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9858B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6491CF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843" w:type="dxa"/>
            <w:tcBorders>
              <w:tl2br w:val="nil"/>
              <w:tr2bl w:val="nil"/>
            </w:tcBorders>
            <w:vAlign w:val="center"/>
          </w:tcPr>
          <w:p w14:paraId="050905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220" w:type="dxa"/>
            <w:tcBorders>
              <w:tl2br w:val="nil"/>
              <w:tr2bl w:val="nil"/>
            </w:tcBorders>
            <w:vAlign w:val="center"/>
          </w:tcPr>
          <w:p w14:paraId="651AF5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5B8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4AE415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522161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843" w:type="dxa"/>
            <w:tcBorders>
              <w:tl2br w:val="nil"/>
              <w:tr2bl w:val="nil"/>
            </w:tcBorders>
            <w:vAlign w:val="center"/>
          </w:tcPr>
          <w:p w14:paraId="72B961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220" w:type="dxa"/>
            <w:tcBorders>
              <w:tl2br w:val="nil"/>
              <w:tr2bl w:val="nil"/>
            </w:tcBorders>
            <w:vAlign w:val="center"/>
          </w:tcPr>
          <w:p w14:paraId="64A338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3788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00BDA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0D767A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843" w:type="dxa"/>
            <w:tcBorders>
              <w:tl2br w:val="nil"/>
              <w:tr2bl w:val="nil"/>
            </w:tcBorders>
            <w:vAlign w:val="center"/>
          </w:tcPr>
          <w:p w14:paraId="73DB4A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220" w:type="dxa"/>
            <w:tcBorders>
              <w:tl2br w:val="nil"/>
              <w:tr2bl w:val="nil"/>
            </w:tcBorders>
            <w:vAlign w:val="center"/>
          </w:tcPr>
          <w:p w14:paraId="417348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3446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54500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031A8F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843" w:type="dxa"/>
            <w:tcBorders>
              <w:tl2br w:val="nil"/>
              <w:tr2bl w:val="nil"/>
            </w:tcBorders>
            <w:vAlign w:val="center"/>
          </w:tcPr>
          <w:p w14:paraId="41FDE5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220" w:type="dxa"/>
            <w:tcBorders>
              <w:tl2br w:val="nil"/>
              <w:tr2bl w:val="nil"/>
            </w:tcBorders>
            <w:vAlign w:val="center"/>
          </w:tcPr>
          <w:p w14:paraId="5A5327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561B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E213D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0A7F3FD0">
            <w:pPr>
              <w:shd w:val="clear"/>
              <w:rPr>
                <w:rFonts w:hint="eastAsia" w:ascii="宋体" w:hAnsi="宋体" w:eastAsia="宋体" w:cs="宋体"/>
                <w:color w:val="auto"/>
                <w:highlight w:val="none"/>
              </w:rPr>
            </w:pPr>
          </w:p>
        </w:tc>
        <w:tc>
          <w:tcPr>
            <w:tcW w:w="1843" w:type="dxa"/>
            <w:tcBorders>
              <w:tl2br w:val="nil"/>
              <w:tr2bl w:val="nil"/>
            </w:tcBorders>
            <w:vAlign w:val="center"/>
          </w:tcPr>
          <w:p w14:paraId="532F47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220" w:type="dxa"/>
            <w:tcBorders>
              <w:tl2br w:val="nil"/>
              <w:tr2bl w:val="nil"/>
            </w:tcBorders>
            <w:vAlign w:val="center"/>
          </w:tcPr>
          <w:p w14:paraId="6FE438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15BA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382BA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6F0F87A6">
            <w:pPr>
              <w:shd w:val="clear"/>
              <w:rPr>
                <w:rFonts w:hint="eastAsia" w:ascii="宋体" w:hAnsi="宋体" w:eastAsia="宋体" w:cs="宋体"/>
                <w:color w:val="auto"/>
                <w:highlight w:val="none"/>
              </w:rPr>
            </w:pPr>
          </w:p>
        </w:tc>
        <w:tc>
          <w:tcPr>
            <w:tcW w:w="1843" w:type="dxa"/>
            <w:tcBorders>
              <w:tl2br w:val="nil"/>
              <w:tr2bl w:val="nil"/>
            </w:tcBorders>
            <w:vAlign w:val="center"/>
          </w:tcPr>
          <w:p w14:paraId="2685FC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220" w:type="dxa"/>
            <w:tcBorders>
              <w:tl2br w:val="nil"/>
              <w:tr2bl w:val="nil"/>
            </w:tcBorders>
            <w:vAlign w:val="center"/>
          </w:tcPr>
          <w:p w14:paraId="00F689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2190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66DC46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7F140F2C">
            <w:pPr>
              <w:shd w:val="clear"/>
              <w:rPr>
                <w:rFonts w:hint="eastAsia" w:ascii="宋体" w:hAnsi="宋体" w:eastAsia="宋体" w:cs="宋体"/>
                <w:color w:val="auto"/>
                <w:highlight w:val="none"/>
              </w:rPr>
            </w:pPr>
          </w:p>
        </w:tc>
        <w:tc>
          <w:tcPr>
            <w:tcW w:w="1843" w:type="dxa"/>
            <w:tcBorders>
              <w:tl2br w:val="nil"/>
              <w:tr2bl w:val="nil"/>
            </w:tcBorders>
            <w:vAlign w:val="center"/>
          </w:tcPr>
          <w:p w14:paraId="7312A1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220" w:type="dxa"/>
            <w:tcBorders>
              <w:tl2br w:val="nil"/>
              <w:tr2bl w:val="nil"/>
            </w:tcBorders>
            <w:vAlign w:val="center"/>
          </w:tcPr>
          <w:p w14:paraId="232602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066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D4DE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055C2013">
            <w:pPr>
              <w:shd w:val="clear"/>
              <w:rPr>
                <w:rFonts w:hint="eastAsia" w:ascii="宋体" w:hAnsi="宋体" w:eastAsia="宋体" w:cs="宋体"/>
                <w:color w:val="auto"/>
                <w:highlight w:val="none"/>
              </w:rPr>
            </w:pPr>
          </w:p>
        </w:tc>
        <w:tc>
          <w:tcPr>
            <w:tcW w:w="1843" w:type="dxa"/>
            <w:tcBorders>
              <w:tl2br w:val="nil"/>
              <w:tr2bl w:val="nil"/>
            </w:tcBorders>
            <w:vAlign w:val="center"/>
          </w:tcPr>
          <w:p w14:paraId="6615C9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220" w:type="dxa"/>
            <w:tcBorders>
              <w:tl2br w:val="nil"/>
              <w:tr2bl w:val="nil"/>
            </w:tcBorders>
            <w:vAlign w:val="center"/>
          </w:tcPr>
          <w:p w14:paraId="651D50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1A03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30" w:type="dxa"/>
            <w:tcBorders>
              <w:tl2br w:val="nil"/>
              <w:tr2bl w:val="nil"/>
            </w:tcBorders>
            <w:vAlign w:val="center"/>
          </w:tcPr>
          <w:p w14:paraId="40054A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47778A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843" w:type="dxa"/>
            <w:tcBorders>
              <w:tl2br w:val="nil"/>
              <w:tr2bl w:val="nil"/>
            </w:tcBorders>
            <w:vAlign w:val="center"/>
          </w:tcPr>
          <w:p w14:paraId="4F114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220" w:type="dxa"/>
            <w:tcBorders>
              <w:tl2br w:val="nil"/>
              <w:tr2bl w:val="nil"/>
            </w:tcBorders>
            <w:vAlign w:val="center"/>
          </w:tcPr>
          <w:p w14:paraId="685233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投标人承诺，生产商已建立从需求、设计、开发、测试、维护端到端的开发流程管理机制，输出和保存开发流程中每个阶段的产品需求清单、设计文档、开发文档、测试记录等材料，保证各个流程可追溯；</w:t>
            </w:r>
          </w:p>
        </w:tc>
      </w:tr>
      <w:tr w14:paraId="041F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30" w:type="dxa"/>
            <w:tcBorders>
              <w:tl2br w:val="nil"/>
              <w:tr2bl w:val="nil"/>
            </w:tcBorders>
            <w:vAlign w:val="center"/>
          </w:tcPr>
          <w:p w14:paraId="0477E6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7381C0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843" w:type="dxa"/>
            <w:tcBorders>
              <w:tl2br w:val="nil"/>
              <w:tr2bl w:val="nil"/>
            </w:tcBorders>
            <w:vAlign w:val="center"/>
          </w:tcPr>
          <w:p w14:paraId="219A69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220" w:type="dxa"/>
            <w:tcBorders>
              <w:tl2br w:val="nil"/>
              <w:tr2bl w:val="nil"/>
            </w:tcBorders>
            <w:vAlign w:val="center"/>
          </w:tcPr>
          <w:p w14:paraId="73D461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3684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30" w:type="dxa"/>
            <w:tcBorders>
              <w:tl2br w:val="nil"/>
              <w:tr2bl w:val="nil"/>
            </w:tcBorders>
            <w:vAlign w:val="center"/>
          </w:tcPr>
          <w:p w14:paraId="4E07A3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4231B9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843" w:type="dxa"/>
            <w:tcBorders>
              <w:tl2br w:val="nil"/>
              <w:tr2bl w:val="nil"/>
            </w:tcBorders>
            <w:vAlign w:val="center"/>
          </w:tcPr>
          <w:p w14:paraId="3917DB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220" w:type="dxa"/>
            <w:tcBorders>
              <w:tl2br w:val="nil"/>
              <w:tr2bl w:val="nil"/>
            </w:tcBorders>
            <w:vAlign w:val="center"/>
          </w:tcPr>
          <w:p w14:paraId="72E1DA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1411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4F8371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31C266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843" w:type="dxa"/>
            <w:tcBorders>
              <w:tl2br w:val="nil"/>
              <w:tr2bl w:val="nil"/>
            </w:tcBorders>
            <w:vAlign w:val="center"/>
          </w:tcPr>
          <w:p w14:paraId="368B91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220" w:type="dxa"/>
            <w:tcBorders>
              <w:tl2br w:val="nil"/>
              <w:tr2bl w:val="nil"/>
            </w:tcBorders>
            <w:vAlign w:val="center"/>
          </w:tcPr>
          <w:p w14:paraId="11C233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≥2.2GHz</w:t>
            </w:r>
          </w:p>
        </w:tc>
      </w:tr>
      <w:tr w14:paraId="2D3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09424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68B81548">
            <w:pPr>
              <w:shd w:val="clear"/>
              <w:rPr>
                <w:rFonts w:hint="eastAsia" w:ascii="宋体" w:hAnsi="宋体" w:eastAsia="宋体" w:cs="宋体"/>
                <w:color w:val="auto"/>
                <w:highlight w:val="none"/>
              </w:rPr>
            </w:pPr>
          </w:p>
        </w:tc>
        <w:tc>
          <w:tcPr>
            <w:tcW w:w="1843" w:type="dxa"/>
            <w:tcBorders>
              <w:tl2br w:val="nil"/>
              <w:tr2bl w:val="nil"/>
            </w:tcBorders>
            <w:vAlign w:val="center"/>
          </w:tcPr>
          <w:p w14:paraId="67275F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220" w:type="dxa"/>
            <w:tcBorders>
              <w:tl2br w:val="nil"/>
              <w:tr2bl w:val="nil"/>
            </w:tcBorders>
            <w:vAlign w:val="center"/>
          </w:tcPr>
          <w:p w14:paraId="270E28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r>
      <w:tr w14:paraId="4A1D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30" w:type="dxa"/>
            <w:tcBorders>
              <w:tl2br w:val="nil"/>
              <w:tr2bl w:val="nil"/>
            </w:tcBorders>
            <w:vAlign w:val="center"/>
          </w:tcPr>
          <w:p w14:paraId="7FE0E1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03B3E9D0">
            <w:pPr>
              <w:shd w:val="clear"/>
              <w:rPr>
                <w:rFonts w:hint="eastAsia" w:ascii="宋体" w:hAnsi="宋体" w:eastAsia="宋体" w:cs="宋体"/>
                <w:color w:val="auto"/>
                <w:highlight w:val="none"/>
              </w:rPr>
            </w:pPr>
          </w:p>
        </w:tc>
        <w:tc>
          <w:tcPr>
            <w:tcW w:w="1843" w:type="dxa"/>
            <w:tcBorders>
              <w:tl2br w:val="nil"/>
              <w:tr2bl w:val="nil"/>
            </w:tcBorders>
            <w:vAlign w:val="center"/>
          </w:tcPr>
          <w:p w14:paraId="2BEB87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220" w:type="dxa"/>
            <w:tcBorders>
              <w:tl2br w:val="nil"/>
              <w:tr2bl w:val="nil"/>
            </w:tcBorders>
            <w:vAlign w:val="center"/>
          </w:tcPr>
          <w:p w14:paraId="739ED2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≥64MB</w:t>
            </w:r>
          </w:p>
        </w:tc>
      </w:tr>
      <w:tr w14:paraId="7629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BDB3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1FDFBB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843" w:type="dxa"/>
            <w:tcBorders>
              <w:tl2br w:val="nil"/>
              <w:tr2bl w:val="nil"/>
            </w:tcBorders>
            <w:vAlign w:val="center"/>
          </w:tcPr>
          <w:p w14:paraId="01E2EC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220" w:type="dxa"/>
            <w:tcBorders>
              <w:tl2br w:val="nil"/>
              <w:tr2bl w:val="nil"/>
            </w:tcBorders>
            <w:vAlign w:val="center"/>
          </w:tcPr>
          <w:p w14:paraId="146693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54BF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F5062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19614D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843" w:type="dxa"/>
            <w:tcBorders>
              <w:tl2br w:val="nil"/>
              <w:tr2bl w:val="nil"/>
            </w:tcBorders>
            <w:vAlign w:val="center"/>
          </w:tcPr>
          <w:p w14:paraId="54060F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220" w:type="dxa"/>
            <w:tcBorders>
              <w:tl2br w:val="nil"/>
              <w:tr2bl w:val="nil"/>
            </w:tcBorders>
            <w:vAlign w:val="center"/>
          </w:tcPr>
          <w:p w14:paraId="18EEBD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6DEE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AAF59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1DF80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843" w:type="dxa"/>
            <w:tcBorders>
              <w:tl2br w:val="nil"/>
              <w:tr2bl w:val="nil"/>
            </w:tcBorders>
            <w:vAlign w:val="center"/>
          </w:tcPr>
          <w:p w14:paraId="69ABA5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13" w:name="OLE_LINK18"/>
            <w:bookmarkStart w:id="14" w:name="OLE_LINK17"/>
            <w:r>
              <w:rPr>
                <w:rFonts w:hint="eastAsia" w:ascii="宋体" w:hAnsi="宋体" w:eastAsia="宋体" w:cs="宋体"/>
                <w:color w:val="auto"/>
                <w:szCs w:val="21"/>
                <w:highlight w:val="none"/>
              </w:rPr>
              <w:t>内存兼容性</w:t>
            </w:r>
            <w:bookmarkEnd w:id="13"/>
            <w:bookmarkEnd w:id="14"/>
          </w:p>
        </w:tc>
        <w:tc>
          <w:tcPr>
            <w:tcW w:w="5220" w:type="dxa"/>
            <w:tcBorders>
              <w:tl2br w:val="nil"/>
              <w:tr2bl w:val="nil"/>
            </w:tcBorders>
            <w:vAlign w:val="center"/>
          </w:tcPr>
          <w:p w14:paraId="2B7A81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适配3种及以上厂商的内存产品，且均不低于产品支持的内存规格</w:t>
            </w:r>
          </w:p>
        </w:tc>
      </w:tr>
      <w:tr w14:paraId="22E1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7377F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13139B45">
            <w:pPr>
              <w:shd w:val="clear"/>
              <w:rPr>
                <w:rFonts w:hint="eastAsia" w:ascii="宋体" w:hAnsi="宋体" w:eastAsia="宋体" w:cs="宋体"/>
                <w:color w:val="auto"/>
                <w:highlight w:val="none"/>
              </w:rPr>
            </w:pPr>
          </w:p>
        </w:tc>
        <w:tc>
          <w:tcPr>
            <w:tcW w:w="1843" w:type="dxa"/>
            <w:tcBorders>
              <w:tl2br w:val="nil"/>
              <w:tr2bl w:val="nil"/>
            </w:tcBorders>
            <w:vAlign w:val="center"/>
          </w:tcPr>
          <w:p w14:paraId="01FE78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220" w:type="dxa"/>
            <w:tcBorders>
              <w:tl2br w:val="nil"/>
              <w:tr2bl w:val="nil"/>
            </w:tcBorders>
            <w:vAlign w:val="center"/>
          </w:tcPr>
          <w:p w14:paraId="55A3A8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适配3种或以上厂商的固态存储产品，且均不低于产品支持的固态存储设备规格</w:t>
            </w:r>
          </w:p>
        </w:tc>
      </w:tr>
      <w:tr w14:paraId="1019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38C5A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E97E0F2">
            <w:pPr>
              <w:shd w:val="clear"/>
              <w:rPr>
                <w:rFonts w:hint="eastAsia" w:ascii="宋体" w:hAnsi="宋体" w:eastAsia="宋体" w:cs="宋体"/>
                <w:color w:val="auto"/>
                <w:highlight w:val="none"/>
              </w:rPr>
            </w:pPr>
          </w:p>
        </w:tc>
        <w:tc>
          <w:tcPr>
            <w:tcW w:w="1843" w:type="dxa"/>
            <w:tcBorders>
              <w:tl2br w:val="nil"/>
              <w:tr2bl w:val="nil"/>
            </w:tcBorders>
            <w:vAlign w:val="center"/>
          </w:tcPr>
          <w:p w14:paraId="78D0C8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220" w:type="dxa"/>
            <w:tcBorders>
              <w:tl2br w:val="nil"/>
              <w:tr2bl w:val="nil"/>
            </w:tcBorders>
            <w:vAlign w:val="center"/>
          </w:tcPr>
          <w:p w14:paraId="430E61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629E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8E981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6DF2EB4F">
            <w:pPr>
              <w:shd w:val="clear"/>
              <w:rPr>
                <w:rFonts w:hint="eastAsia" w:ascii="宋体" w:hAnsi="宋体" w:eastAsia="宋体" w:cs="宋体"/>
                <w:color w:val="auto"/>
                <w:highlight w:val="none"/>
              </w:rPr>
            </w:pPr>
          </w:p>
        </w:tc>
        <w:tc>
          <w:tcPr>
            <w:tcW w:w="1843" w:type="dxa"/>
            <w:tcBorders>
              <w:tl2br w:val="nil"/>
              <w:tr2bl w:val="nil"/>
            </w:tcBorders>
            <w:vAlign w:val="center"/>
          </w:tcPr>
          <w:p w14:paraId="1F3D09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220" w:type="dxa"/>
            <w:tcBorders>
              <w:tl2br w:val="nil"/>
              <w:tr2bl w:val="nil"/>
            </w:tcBorders>
            <w:vAlign w:val="center"/>
          </w:tcPr>
          <w:p w14:paraId="400FF1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内置或适配符合PCIe的功能卡，如：网络功能卡、存储功能卡及图形显示功能卡</w:t>
            </w:r>
          </w:p>
        </w:tc>
      </w:tr>
      <w:tr w14:paraId="34B9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6220A1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1DADAD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843" w:type="dxa"/>
            <w:tcBorders>
              <w:tl2br w:val="nil"/>
              <w:tr2bl w:val="nil"/>
            </w:tcBorders>
            <w:vAlign w:val="center"/>
          </w:tcPr>
          <w:p w14:paraId="462B5A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220" w:type="dxa"/>
            <w:tcBorders>
              <w:tl2br w:val="nil"/>
              <w:tr2bl w:val="nil"/>
            </w:tcBorders>
            <w:vAlign w:val="center"/>
          </w:tcPr>
          <w:p w14:paraId="4E4988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3F99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05E97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151A73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843" w:type="dxa"/>
            <w:tcBorders>
              <w:tl2br w:val="nil"/>
              <w:tr2bl w:val="nil"/>
            </w:tcBorders>
            <w:vAlign w:val="center"/>
          </w:tcPr>
          <w:p w14:paraId="04C32F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220" w:type="dxa"/>
            <w:tcBorders>
              <w:tl2br w:val="nil"/>
              <w:tr2bl w:val="nil"/>
            </w:tcBorders>
            <w:vAlign w:val="center"/>
          </w:tcPr>
          <w:p w14:paraId="7AC561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02AA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0BAB9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2E08A96C">
            <w:pPr>
              <w:shd w:val="clear"/>
              <w:rPr>
                <w:rFonts w:hint="eastAsia" w:ascii="宋体" w:hAnsi="宋体" w:eastAsia="宋体" w:cs="宋体"/>
                <w:color w:val="auto"/>
                <w:highlight w:val="none"/>
              </w:rPr>
            </w:pPr>
          </w:p>
        </w:tc>
        <w:tc>
          <w:tcPr>
            <w:tcW w:w="1843" w:type="dxa"/>
            <w:tcBorders>
              <w:tl2br w:val="nil"/>
              <w:tr2bl w:val="nil"/>
            </w:tcBorders>
            <w:vAlign w:val="center"/>
          </w:tcPr>
          <w:p w14:paraId="3C42E4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220" w:type="dxa"/>
            <w:tcBorders>
              <w:tl2br w:val="nil"/>
              <w:tr2bl w:val="nil"/>
            </w:tcBorders>
            <w:vAlign w:val="center"/>
          </w:tcPr>
          <w:p w14:paraId="04F4DB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7DD1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33BEB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7D3057A6">
            <w:pPr>
              <w:shd w:val="clear"/>
              <w:rPr>
                <w:rFonts w:hint="eastAsia" w:ascii="宋体" w:hAnsi="宋体" w:eastAsia="宋体" w:cs="宋体"/>
                <w:color w:val="auto"/>
                <w:highlight w:val="none"/>
              </w:rPr>
            </w:pPr>
          </w:p>
        </w:tc>
        <w:tc>
          <w:tcPr>
            <w:tcW w:w="1843" w:type="dxa"/>
            <w:tcBorders>
              <w:tl2br w:val="nil"/>
              <w:tr2bl w:val="nil"/>
            </w:tcBorders>
            <w:vAlign w:val="center"/>
          </w:tcPr>
          <w:p w14:paraId="55548B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220" w:type="dxa"/>
            <w:tcBorders>
              <w:tl2br w:val="nil"/>
              <w:tr2bl w:val="nil"/>
            </w:tcBorders>
            <w:vAlign w:val="center"/>
          </w:tcPr>
          <w:p w14:paraId="6B65DC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0984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E55F6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784421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15" w:name="OLE_LINK21"/>
            <w:r>
              <w:rPr>
                <w:rFonts w:hint="eastAsia" w:ascii="宋体" w:hAnsi="宋体" w:eastAsia="宋体" w:cs="宋体"/>
                <w:color w:val="auto"/>
                <w:szCs w:val="21"/>
                <w:highlight w:val="none"/>
              </w:rPr>
              <w:t>整机可靠</w:t>
            </w:r>
            <w:bookmarkEnd w:id="15"/>
            <w:r>
              <w:rPr>
                <w:rFonts w:hint="eastAsia" w:ascii="宋体" w:hAnsi="宋体" w:eastAsia="宋体" w:cs="宋体"/>
                <w:color w:val="auto"/>
                <w:szCs w:val="21"/>
                <w:highlight w:val="none"/>
              </w:rPr>
              <w:t>性要求</w:t>
            </w:r>
          </w:p>
        </w:tc>
        <w:tc>
          <w:tcPr>
            <w:tcW w:w="1843" w:type="dxa"/>
            <w:tcBorders>
              <w:tl2br w:val="nil"/>
              <w:tr2bl w:val="nil"/>
            </w:tcBorders>
            <w:vAlign w:val="center"/>
          </w:tcPr>
          <w:p w14:paraId="065B3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220" w:type="dxa"/>
            <w:tcBorders>
              <w:tl2br w:val="nil"/>
              <w:tr2bl w:val="nil"/>
            </w:tcBorders>
            <w:vAlign w:val="center"/>
          </w:tcPr>
          <w:p w14:paraId="74A9BE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22A6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6E19E7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4956232C">
            <w:pPr>
              <w:shd w:val="clear"/>
              <w:rPr>
                <w:rFonts w:hint="eastAsia" w:ascii="宋体" w:hAnsi="宋体" w:eastAsia="宋体" w:cs="宋体"/>
                <w:color w:val="auto"/>
                <w:highlight w:val="none"/>
              </w:rPr>
            </w:pPr>
          </w:p>
        </w:tc>
        <w:tc>
          <w:tcPr>
            <w:tcW w:w="1843" w:type="dxa"/>
            <w:tcBorders>
              <w:tl2br w:val="nil"/>
              <w:tr2bl w:val="nil"/>
            </w:tcBorders>
            <w:vAlign w:val="center"/>
          </w:tcPr>
          <w:p w14:paraId="0FA0C3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220" w:type="dxa"/>
            <w:tcBorders>
              <w:tl2br w:val="nil"/>
              <w:tr2bl w:val="nil"/>
            </w:tcBorders>
            <w:vAlign w:val="center"/>
          </w:tcPr>
          <w:p w14:paraId="36C22A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2A51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208E4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6694B9D8">
            <w:pPr>
              <w:shd w:val="clear"/>
              <w:rPr>
                <w:rFonts w:hint="eastAsia" w:ascii="宋体" w:hAnsi="宋体" w:eastAsia="宋体" w:cs="宋体"/>
                <w:color w:val="auto"/>
                <w:highlight w:val="none"/>
              </w:rPr>
            </w:pPr>
          </w:p>
        </w:tc>
        <w:tc>
          <w:tcPr>
            <w:tcW w:w="1843" w:type="dxa"/>
            <w:tcBorders>
              <w:tl2br w:val="nil"/>
              <w:tr2bl w:val="nil"/>
            </w:tcBorders>
            <w:vAlign w:val="center"/>
          </w:tcPr>
          <w:p w14:paraId="38AAC4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16" w:name="OLE_LINK19"/>
            <w:bookmarkStart w:id="17" w:name="OLE_LINK20"/>
            <w:r>
              <w:rPr>
                <w:rFonts w:hint="eastAsia" w:ascii="宋体" w:hAnsi="宋体" w:eastAsia="宋体" w:cs="宋体"/>
                <w:color w:val="auto"/>
                <w:szCs w:val="21"/>
                <w:highlight w:val="none"/>
              </w:rPr>
              <w:t>部件可靠性</w:t>
            </w:r>
            <w:bookmarkEnd w:id="16"/>
            <w:bookmarkEnd w:id="17"/>
          </w:p>
        </w:tc>
        <w:tc>
          <w:tcPr>
            <w:tcW w:w="5220" w:type="dxa"/>
            <w:tcBorders>
              <w:tl2br w:val="nil"/>
              <w:tr2bl w:val="nil"/>
            </w:tcBorders>
            <w:vAlign w:val="center"/>
          </w:tcPr>
          <w:p w14:paraId="34B31A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4806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611AC0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625515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843" w:type="dxa"/>
            <w:tcBorders>
              <w:tl2br w:val="nil"/>
              <w:tr2bl w:val="nil"/>
            </w:tcBorders>
            <w:vAlign w:val="center"/>
          </w:tcPr>
          <w:p w14:paraId="508385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220" w:type="dxa"/>
            <w:tcBorders>
              <w:tl2br w:val="nil"/>
              <w:tr2bl w:val="nil"/>
            </w:tcBorders>
            <w:vAlign w:val="center"/>
          </w:tcPr>
          <w:p w14:paraId="17344F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5E02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630" w:type="dxa"/>
            <w:tcBorders>
              <w:tl2br w:val="nil"/>
              <w:tr2bl w:val="nil"/>
            </w:tcBorders>
            <w:vAlign w:val="center"/>
          </w:tcPr>
          <w:p w14:paraId="67E7F9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7E37AC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843" w:type="dxa"/>
            <w:tcBorders>
              <w:tl2br w:val="nil"/>
              <w:tr2bl w:val="nil"/>
            </w:tcBorders>
            <w:vAlign w:val="center"/>
          </w:tcPr>
          <w:p w14:paraId="3B05C8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220" w:type="dxa"/>
            <w:tcBorders>
              <w:tl2br w:val="nil"/>
              <w:tr2bl w:val="nil"/>
            </w:tcBorders>
            <w:vAlign w:val="center"/>
          </w:tcPr>
          <w:p w14:paraId="445560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w:t>
            </w:r>
            <w:bookmarkStart w:id="18" w:name="OLE_LINK24"/>
            <w:r>
              <w:rPr>
                <w:rFonts w:hint="eastAsia" w:ascii="宋体" w:hAnsi="宋体" w:eastAsia="宋体" w:cs="宋体"/>
                <w:color w:val="auto"/>
                <w:szCs w:val="21"/>
                <w:highlight w:val="none"/>
              </w:rPr>
              <w:t>同城</w:t>
            </w:r>
            <w:bookmarkEnd w:id="18"/>
            <w:r>
              <w:rPr>
                <w:rFonts w:hint="eastAsia" w:ascii="宋体" w:hAnsi="宋体" w:eastAsia="宋体" w:cs="宋体"/>
                <w:color w:val="auto"/>
                <w:szCs w:val="21"/>
                <w:highlight w:val="none"/>
              </w:rPr>
              <w:t>4h、异地12h技术响应服务，2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0C0C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71C03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2C30B2D9">
            <w:pPr>
              <w:shd w:val="clear"/>
              <w:rPr>
                <w:rFonts w:hint="eastAsia" w:ascii="宋体" w:hAnsi="宋体" w:eastAsia="宋体" w:cs="宋体"/>
                <w:color w:val="auto"/>
                <w:highlight w:val="none"/>
              </w:rPr>
            </w:pPr>
          </w:p>
        </w:tc>
        <w:tc>
          <w:tcPr>
            <w:tcW w:w="1843" w:type="dxa"/>
            <w:tcBorders>
              <w:tl2br w:val="nil"/>
              <w:tr2bl w:val="nil"/>
            </w:tcBorders>
            <w:vAlign w:val="center"/>
          </w:tcPr>
          <w:p w14:paraId="23C732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220" w:type="dxa"/>
            <w:tcBorders>
              <w:tl2br w:val="nil"/>
              <w:tr2bl w:val="nil"/>
            </w:tcBorders>
            <w:vAlign w:val="center"/>
          </w:tcPr>
          <w:p w14:paraId="77C405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投标人提供培训材料、产品手册、培训视频等培训相关内容</w:t>
            </w:r>
          </w:p>
        </w:tc>
      </w:tr>
      <w:tr w14:paraId="6D5A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25EB5D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15420A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843" w:type="dxa"/>
            <w:vMerge w:val="restart"/>
            <w:tcBorders>
              <w:tl2br w:val="nil"/>
              <w:tr2bl w:val="nil"/>
            </w:tcBorders>
            <w:vAlign w:val="center"/>
          </w:tcPr>
          <w:p w14:paraId="6E912E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220" w:type="dxa"/>
            <w:tcBorders>
              <w:tl2br w:val="nil"/>
              <w:tr2bl w:val="nil"/>
            </w:tcBorders>
            <w:vAlign w:val="center"/>
          </w:tcPr>
          <w:p w14:paraId="77C88E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2BCB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30" w:type="dxa"/>
            <w:vMerge w:val="continue"/>
            <w:tcBorders>
              <w:tl2br w:val="nil"/>
              <w:tr2bl w:val="nil"/>
            </w:tcBorders>
            <w:vAlign w:val="center"/>
          </w:tcPr>
          <w:p w14:paraId="65AC661F">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690BD5A">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2C8E434F">
            <w:pPr>
              <w:shd w:val="clear"/>
              <w:rPr>
                <w:rFonts w:hint="eastAsia" w:ascii="宋体" w:hAnsi="宋体" w:eastAsia="宋体" w:cs="宋体"/>
                <w:color w:val="auto"/>
                <w:highlight w:val="none"/>
              </w:rPr>
            </w:pPr>
          </w:p>
        </w:tc>
        <w:tc>
          <w:tcPr>
            <w:tcW w:w="5220" w:type="dxa"/>
            <w:tcBorders>
              <w:tl2br w:val="nil"/>
              <w:tr2bl w:val="nil"/>
            </w:tcBorders>
            <w:vAlign w:val="center"/>
          </w:tcPr>
          <w:p w14:paraId="5D07A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 6 年；</w:t>
            </w:r>
          </w:p>
        </w:tc>
      </w:tr>
      <w:tr w14:paraId="5BD6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08530C61">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00061FC">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5F488743">
            <w:pPr>
              <w:shd w:val="clear"/>
              <w:rPr>
                <w:rFonts w:hint="eastAsia" w:ascii="宋体" w:hAnsi="宋体" w:eastAsia="宋体" w:cs="宋体"/>
                <w:color w:val="auto"/>
                <w:highlight w:val="none"/>
              </w:rPr>
            </w:pPr>
          </w:p>
        </w:tc>
        <w:tc>
          <w:tcPr>
            <w:tcW w:w="5220" w:type="dxa"/>
            <w:tcBorders>
              <w:tl2br w:val="nil"/>
              <w:tr2bl w:val="nil"/>
            </w:tcBorders>
            <w:vAlign w:val="center"/>
          </w:tcPr>
          <w:p w14:paraId="08A12B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年告知采购人；</w:t>
            </w:r>
          </w:p>
        </w:tc>
      </w:tr>
      <w:tr w14:paraId="13D3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5146F09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295E73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ECE6FCD">
            <w:pPr>
              <w:shd w:val="clear"/>
              <w:rPr>
                <w:rFonts w:hint="eastAsia" w:ascii="宋体" w:hAnsi="宋体" w:eastAsia="宋体" w:cs="宋体"/>
                <w:color w:val="auto"/>
                <w:highlight w:val="none"/>
              </w:rPr>
            </w:pPr>
          </w:p>
        </w:tc>
        <w:tc>
          <w:tcPr>
            <w:tcW w:w="5220" w:type="dxa"/>
            <w:tcBorders>
              <w:tl2br w:val="nil"/>
              <w:tr2bl w:val="nil"/>
            </w:tcBorders>
            <w:vAlign w:val="center"/>
          </w:tcPr>
          <w:p w14:paraId="6767CF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3D52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22D6D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053758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843" w:type="dxa"/>
            <w:tcBorders>
              <w:tl2br w:val="nil"/>
              <w:tr2bl w:val="nil"/>
            </w:tcBorders>
            <w:vAlign w:val="center"/>
          </w:tcPr>
          <w:p w14:paraId="6C02F9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220" w:type="dxa"/>
            <w:tcBorders>
              <w:tl2br w:val="nil"/>
              <w:tr2bl w:val="nil"/>
            </w:tcBorders>
            <w:vAlign w:val="center"/>
          </w:tcPr>
          <w:p w14:paraId="36A0BC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3B28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300CEC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3511342D">
            <w:pPr>
              <w:shd w:val="clear"/>
              <w:rPr>
                <w:rFonts w:hint="eastAsia" w:ascii="宋体" w:hAnsi="宋体" w:eastAsia="宋体" w:cs="宋体"/>
                <w:color w:val="auto"/>
                <w:highlight w:val="none"/>
              </w:rPr>
            </w:pPr>
          </w:p>
        </w:tc>
        <w:tc>
          <w:tcPr>
            <w:tcW w:w="1843" w:type="dxa"/>
            <w:tcBorders>
              <w:tl2br w:val="nil"/>
              <w:tr2bl w:val="nil"/>
            </w:tcBorders>
            <w:vAlign w:val="center"/>
          </w:tcPr>
          <w:p w14:paraId="11DE3F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220" w:type="dxa"/>
            <w:tcBorders>
              <w:tl2br w:val="nil"/>
              <w:tr2bl w:val="nil"/>
            </w:tcBorders>
            <w:vAlign w:val="center"/>
          </w:tcPr>
          <w:p w14:paraId="4CD385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03E4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39B9A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518D1337">
            <w:pPr>
              <w:shd w:val="clear"/>
              <w:rPr>
                <w:rFonts w:hint="eastAsia" w:ascii="宋体" w:hAnsi="宋体" w:eastAsia="宋体" w:cs="宋体"/>
                <w:color w:val="auto"/>
                <w:highlight w:val="none"/>
              </w:rPr>
            </w:pPr>
          </w:p>
        </w:tc>
        <w:tc>
          <w:tcPr>
            <w:tcW w:w="1843" w:type="dxa"/>
            <w:tcBorders>
              <w:tl2br w:val="nil"/>
              <w:tr2bl w:val="nil"/>
            </w:tcBorders>
            <w:vAlign w:val="center"/>
          </w:tcPr>
          <w:p w14:paraId="2913A0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220" w:type="dxa"/>
            <w:tcBorders>
              <w:tl2br w:val="nil"/>
              <w:tr2bl w:val="nil"/>
            </w:tcBorders>
            <w:vAlign w:val="center"/>
          </w:tcPr>
          <w:p w14:paraId="4DB6CB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6B4F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14494B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7E87F9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843" w:type="dxa"/>
            <w:tcBorders>
              <w:tl2br w:val="nil"/>
              <w:tr2bl w:val="nil"/>
            </w:tcBorders>
            <w:vAlign w:val="center"/>
          </w:tcPr>
          <w:p w14:paraId="775291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220" w:type="dxa"/>
            <w:tcBorders>
              <w:tl2br w:val="nil"/>
              <w:tr2bl w:val="nil"/>
            </w:tcBorders>
            <w:vAlign w:val="center"/>
          </w:tcPr>
          <w:p w14:paraId="707DD0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0065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4CD23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69282126">
            <w:pPr>
              <w:shd w:val="clear"/>
              <w:rPr>
                <w:rFonts w:hint="eastAsia" w:ascii="宋体" w:hAnsi="宋体" w:eastAsia="宋体" w:cs="宋体"/>
                <w:color w:val="auto"/>
                <w:highlight w:val="none"/>
              </w:rPr>
            </w:pPr>
          </w:p>
        </w:tc>
        <w:tc>
          <w:tcPr>
            <w:tcW w:w="1843" w:type="dxa"/>
            <w:tcBorders>
              <w:tl2br w:val="nil"/>
              <w:tr2bl w:val="nil"/>
            </w:tcBorders>
            <w:vAlign w:val="center"/>
          </w:tcPr>
          <w:p w14:paraId="128B05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220" w:type="dxa"/>
            <w:tcBorders>
              <w:tl2br w:val="nil"/>
              <w:tr2bl w:val="nil"/>
            </w:tcBorders>
            <w:vAlign w:val="center"/>
          </w:tcPr>
          <w:p w14:paraId="71B516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482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254382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5A4863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843" w:type="dxa"/>
            <w:tcBorders>
              <w:tl2br w:val="nil"/>
              <w:tr2bl w:val="nil"/>
            </w:tcBorders>
            <w:vAlign w:val="center"/>
          </w:tcPr>
          <w:p w14:paraId="4B94DA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220" w:type="dxa"/>
            <w:tcBorders>
              <w:tl2br w:val="nil"/>
              <w:tr2bl w:val="nil"/>
            </w:tcBorders>
            <w:vAlign w:val="center"/>
          </w:tcPr>
          <w:p w14:paraId="7CE61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当产品部件出现供应风险时，应通知采购人并提供风险应对方案确保产品的服务保障，必要时应停止相关受影响产品的销售</w:t>
            </w:r>
          </w:p>
        </w:tc>
      </w:tr>
      <w:tr w14:paraId="3EA0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64941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68BDE92B">
            <w:pPr>
              <w:shd w:val="clear"/>
              <w:rPr>
                <w:rFonts w:hint="eastAsia" w:ascii="宋体" w:hAnsi="宋体" w:eastAsia="宋体" w:cs="宋体"/>
                <w:color w:val="auto"/>
                <w:highlight w:val="none"/>
              </w:rPr>
            </w:pPr>
          </w:p>
        </w:tc>
        <w:tc>
          <w:tcPr>
            <w:tcW w:w="1843" w:type="dxa"/>
            <w:tcBorders>
              <w:tl2br w:val="nil"/>
              <w:tr2bl w:val="nil"/>
            </w:tcBorders>
            <w:vAlign w:val="center"/>
          </w:tcPr>
          <w:p w14:paraId="7EDE71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220" w:type="dxa"/>
            <w:tcBorders>
              <w:tl2br w:val="nil"/>
              <w:tr2bl w:val="nil"/>
            </w:tcBorders>
            <w:vAlign w:val="center"/>
          </w:tcPr>
          <w:p w14:paraId="6F8432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投标人需提供供应链稳定承诺书，确保产品的部件在产品服务周期内稳定供货</w:t>
            </w:r>
          </w:p>
        </w:tc>
      </w:tr>
    </w:tbl>
    <w:p w14:paraId="5F245FF2">
      <w:pPr>
        <w:shd w:val="clear"/>
        <w:spacing w:line="360" w:lineRule="auto"/>
        <w:rPr>
          <w:rFonts w:hint="eastAsia" w:ascii="宋体" w:hAnsi="宋体" w:eastAsia="宋体" w:cs="宋体"/>
          <w:color w:val="auto"/>
          <w:sz w:val="24"/>
          <w:highlight w:val="none"/>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862"/>
        <w:gridCol w:w="5998"/>
      </w:tblGrid>
      <w:tr w14:paraId="2A34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5522AD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45935C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3AF02C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6771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1CCE56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6E7699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部署4节点非现场公安网云存储一体机4台（含16T存储硬盘120块）；</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22B8FF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1）分布式存储参数：</w:t>
            </w:r>
          </w:p>
          <w:p w14:paraId="669965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（数据控制器）内嵌高性能数据存取引擎，用于并行处理所有客户端的数据访问请求，内嵌高性能数据恢复引擎，支持节点间replication（多副本）/N+M（纠删码）数据冗余方式；</w:t>
            </w:r>
          </w:p>
          <w:p w14:paraId="5CF172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存储支持SMB/CIFS、NFS、FTP/FTPS、HTTP/HTTPS、POSIX （MPI-IO）S3、.CSI、HDFS、ISCSI、FC、LocalSCSI、Lidrbd、XBD多种访问协议。支持文件、对象及HDFS协议互通，避免因访问协议不同造成的数据拷贝POSIX协议访问延时在10ms以内，支持多套集群挂载和数据一致性。；</w:t>
            </w:r>
          </w:p>
          <w:p w14:paraId="730D7E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单目录支持存放大于1000亿文件；单桶支持存放大于1000亿对象；文件系统数量大于4096个，单个文件大小大于256TB；</w:t>
            </w:r>
          </w:p>
          <w:p w14:paraId="0415F319">
            <w:pPr>
              <w:shd w:val="clear"/>
              <w:spacing w:line="360" w:lineRule="auto"/>
              <w:rPr>
                <w:rFonts w:hint="eastAsia" w:ascii="宋体" w:hAnsi="宋体" w:eastAsia="宋体" w:cs="宋体"/>
                <w:color w:val="auto"/>
                <w:szCs w:val="21"/>
                <w:highlight w:val="none"/>
              </w:rPr>
            </w:pPr>
            <w:bookmarkStart w:id="19" w:name="OLE_LINK3"/>
            <w:bookmarkStart w:id="20" w:name="OLE_LINK2"/>
            <w:r>
              <w:rPr>
                <w:rFonts w:hint="eastAsia" w:ascii="宋体" w:hAnsi="宋体" w:eastAsia="宋体" w:cs="宋体"/>
                <w:color w:val="auto"/>
                <w:highlight w:val="none"/>
              </w:rPr>
              <w:t>★</w:t>
            </w:r>
            <w:bookmarkEnd w:id="19"/>
            <w:bookmarkEnd w:id="20"/>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存储支持多租户特性，单个集群内可以划分为多个节点池，不同节点池可设置不同的数据保护策略（动态EC，支持双副本、三副本、4+2、8+2、10+2、12+2、22+2数据保护策略），实现节点池之间数据隔离；对节点池设置不同访问分区，为不同用户或应用提供不同的存储服务，实现数据访问的相互隔离；</w:t>
            </w:r>
          </w:p>
          <w:p w14:paraId="4B9BFE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szCs w:val="21"/>
                <w:highlight w:val="none"/>
              </w:rPr>
              <w:t>分布式存储支持分级存储和数据生命周期管理功能。文件接口分级存储和生命周期管理支持文件名过滤规则、文件大小、元数据的创建时间/修改时间；块接口分级存储支持IO监控策略（周期性/定时监控）；桶的生命周期作用于桶内特定对象、桶内所有对象和应用到整个桶，可设置分级存储策略、过期删除策略和过期删除未合并的多段任务策略。分级存储支持四级存储介质，各层级容量均可作为实际容量使用；</w:t>
            </w:r>
          </w:p>
          <w:p w14:paraId="6C78FA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rPr>
              <w:t>分布式存储支持目录级的远程复制功能，过滤条件包括文件名、文件大小、文件的访问时间/修改时间/元数据修改时间，支持主从切换、分裂和取消分裂操作以及最大带宽限制；分布式存储支持块接口的远程复制功能，支持可选一致性组复制和LUN复制，支持异步和同步远程复制。分布式存储支持对象接口的远程复制功能，支持桶内所有对象和按照条件筛选（对象名称前缀、对象标签、对象名称前缀及对象标签），支持同步QoS策略（设置传输带宽及TPS上限）以及主从切换；</w:t>
            </w:r>
          </w:p>
          <w:p w14:paraId="2C319F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rPr>
              <w:t>分布式存储系统支持多版本、WORM、对象锁定、追加写、对象加密、重删及压缩、文件迁移至对象特性；</w:t>
            </w:r>
          </w:p>
          <w:p w14:paraId="7F41DA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szCs w:val="21"/>
                <w:highlight w:val="none"/>
              </w:rPr>
              <w:t>分布式存储磁盘或节点故障后，自动触发数据重建修复，1TB数据修复时间小于10分钟；支持调整数据重建QoS策略；</w:t>
            </w:r>
          </w:p>
          <w:p w14:paraId="148700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szCs w:val="21"/>
                <w:highlight w:val="none"/>
              </w:rPr>
              <w:t>分布式存储系统支持文件回收站、块回收站、对象回收站功能，支持文件/对象/存储卷删除后自动保存一段时间，可以从回收站恢复，支持文件过期后自动删除。</w:t>
            </w:r>
          </w:p>
          <w:p w14:paraId="0305158E">
            <w:pPr>
              <w:pStyle w:val="14"/>
              <w:shd w:val="clear"/>
              <w:rPr>
                <w:rFonts w:hint="eastAsia" w:ascii="宋体" w:hAnsi="宋体" w:eastAsia="宋体" w:cs="宋体"/>
                <w:color w:val="auto"/>
                <w:szCs w:val="21"/>
                <w:highlight w:val="none"/>
              </w:rPr>
            </w:pPr>
            <w:bookmarkStart w:id="21" w:name="OLE_LINK1"/>
            <w:r>
              <w:rPr>
                <w:rFonts w:hint="eastAsia" w:ascii="宋体" w:hAnsi="宋体" w:eastAsia="宋体" w:cs="宋体"/>
                <w:color w:val="auto"/>
                <w:highlight w:val="none"/>
              </w:rPr>
              <w:t>★</w:t>
            </w:r>
            <w:bookmarkEnd w:id="21"/>
            <w:r>
              <w:rPr>
                <w:rFonts w:hint="eastAsia" w:ascii="宋体" w:hAnsi="宋体" w:eastAsia="宋体" w:cs="宋体"/>
                <w:color w:val="auto"/>
                <w:highlight w:val="none"/>
                <w:lang w:val="en-US" w:eastAsia="zh-CN"/>
              </w:rPr>
              <w:t>9、</w:t>
            </w:r>
            <w:r>
              <w:rPr>
                <w:rFonts w:hint="eastAsia" w:ascii="宋体" w:hAnsi="宋体" w:eastAsia="宋体" w:cs="宋体"/>
                <w:color w:val="auto"/>
                <w:sz w:val="21"/>
                <w:szCs w:val="21"/>
                <w:highlight w:val="none"/>
              </w:rPr>
              <w:t>分布式存储支持原生HDFS接口语义，可对接Hadoop大数据平台并提供存储空间，支持接管Hadoop已有HDFS存储资源。</w:t>
            </w:r>
          </w:p>
          <w:p w14:paraId="4FA072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10、硬件要求：不低于板载双口千兆RJ45网卡/128G缓存/600G 2.5吋10K 12Gb SAS硬盘*2 /3.84T 2.5 SATA 6G R SSD*2 /双口万兆网卡（含模块）*2 /冗余电源</w:t>
            </w:r>
          </w:p>
          <w:p w14:paraId="55BA35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11、存储硬盘：不低于16TB 3.5吋7.2k 6Gb SATA硬盘*30</w:t>
            </w:r>
          </w:p>
          <w:p w14:paraId="22B323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总容量16T*120。</w:t>
            </w:r>
          </w:p>
        </w:tc>
      </w:tr>
      <w:tr w14:paraId="5C8A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10E98D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D516A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光交换机2台</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150BF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2）光交换机参数：</w:t>
            </w:r>
          </w:p>
          <w:p w14:paraId="16A97D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不低于48个万兆光口（含光模块）+8个100G端口交换机</w:t>
            </w:r>
          </w:p>
        </w:tc>
      </w:tr>
    </w:tbl>
    <w:p w14:paraId="3036BAAE">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862"/>
        <w:gridCol w:w="5999"/>
      </w:tblGrid>
      <w:tr w14:paraId="7B5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6585A1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5A357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71E68A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0D1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6112DE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B7712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国产化数据库1套</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7C53BD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信创国产关系型数据库软件，产品需兼容主流信创CPU芯片和主流信创操作系统。</w:t>
            </w:r>
          </w:p>
          <w:p w14:paraId="68ACF2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提供联机交易处理能力，能够通过TPC-C基准测试，测试中3000仓数据量性能达到200万tpmC以上。</w:t>
            </w:r>
          </w:p>
          <w:p w14:paraId="3296E9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数据库在两亿条数据场景下，执行三次前后模糊查询操作，平均查询时间小于0.2毫秒。支持按照全库、用户(模式)和数据表多级的备份和恢复方式。</w:t>
            </w:r>
          </w:p>
          <w:p w14:paraId="2D9558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支持位图索引，索引中存储了表中各列值的位图信息。当列取值少时，位图索引的占用空间要比B树索引更小。</w:t>
            </w:r>
          </w:p>
          <w:p w14:paraId="5C54BC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支持RANGE数据类型、表继承、Listen、Notify、混合分区等功能。</w:t>
            </w:r>
          </w:p>
          <w:p w14:paraId="2515BB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护业务的连续性，数据库支持高可用集群部署架构，高可用组件，支持双机热备、读写分离、级联复制等数据可靠性的多重保障，对运行态实时保护，健康检查运行监控，一致性校验，控制文件多副本等多重保障；</w:t>
            </w:r>
          </w:p>
          <w:p w14:paraId="787C54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详细参数见“国产化数据库详细参数要求”</w:t>
            </w:r>
          </w:p>
        </w:tc>
      </w:tr>
    </w:tbl>
    <w:p w14:paraId="27749D4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国产化数据库详细参数如下：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6"/>
        <w:gridCol w:w="1595"/>
        <w:gridCol w:w="4895"/>
      </w:tblGrid>
      <w:tr w14:paraId="0DC5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358F3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vAlign w:val="center"/>
          </w:tcPr>
          <w:p w14:paraId="7AEC34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一级指标</w:t>
            </w:r>
          </w:p>
        </w:tc>
        <w:tc>
          <w:tcPr>
            <w:tcW w:w="1701" w:type="dxa"/>
            <w:tcBorders>
              <w:tl2br w:val="nil"/>
              <w:tr2bl w:val="nil"/>
            </w:tcBorders>
            <w:vAlign w:val="center"/>
          </w:tcPr>
          <w:p w14:paraId="7579B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二级指标</w:t>
            </w:r>
          </w:p>
        </w:tc>
        <w:tc>
          <w:tcPr>
            <w:tcW w:w="5220" w:type="dxa"/>
            <w:tcBorders>
              <w:tl2br w:val="nil"/>
              <w:tr2bl w:val="nil"/>
            </w:tcBorders>
            <w:vAlign w:val="center"/>
          </w:tcPr>
          <w:p w14:paraId="31569B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37E0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1817DF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370AFB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▲安装与升级</w:t>
            </w:r>
          </w:p>
        </w:tc>
        <w:tc>
          <w:tcPr>
            <w:tcW w:w="1701" w:type="dxa"/>
            <w:tcBorders>
              <w:tl2br w:val="nil"/>
              <w:tr2bl w:val="nil"/>
            </w:tcBorders>
            <w:vAlign w:val="center"/>
          </w:tcPr>
          <w:p w14:paraId="0C340E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▲数据库安装</w:t>
            </w:r>
          </w:p>
        </w:tc>
        <w:tc>
          <w:tcPr>
            <w:tcW w:w="5220" w:type="dxa"/>
            <w:tcBorders>
              <w:tl2br w:val="nil"/>
              <w:tr2bl w:val="nil"/>
            </w:tcBorders>
            <w:vAlign w:val="center"/>
          </w:tcPr>
          <w:p w14:paraId="09A152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支持命令行或图形化的安装；</w:t>
            </w:r>
          </w:p>
          <w:p w14:paraId="65691F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支持命令行或图形化的可配置安装能力；</w:t>
            </w:r>
          </w:p>
          <w:p w14:paraId="6E0632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依据安装环境提供相应的初始化参数配置值；</w:t>
            </w:r>
          </w:p>
          <w:p w14:paraId="45CF15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提供图形化软件组件管理向导工具；</w:t>
            </w:r>
          </w:p>
        </w:tc>
      </w:tr>
      <w:tr w14:paraId="0973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2B37F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continue"/>
            <w:tcBorders>
              <w:tl2br w:val="nil"/>
              <w:tr2bl w:val="nil"/>
            </w:tcBorders>
            <w:vAlign w:val="center"/>
          </w:tcPr>
          <w:p w14:paraId="63D0E3A1">
            <w:pPr>
              <w:shd w:val="clear"/>
              <w:rPr>
                <w:rFonts w:hint="eastAsia" w:ascii="宋体" w:hAnsi="宋体" w:eastAsia="宋体" w:cs="宋体"/>
                <w:color w:val="auto"/>
                <w:highlight w:val="none"/>
              </w:rPr>
            </w:pPr>
          </w:p>
        </w:tc>
        <w:tc>
          <w:tcPr>
            <w:tcW w:w="1701" w:type="dxa"/>
            <w:tcBorders>
              <w:tl2br w:val="nil"/>
              <w:tr2bl w:val="nil"/>
            </w:tcBorders>
            <w:vAlign w:val="center"/>
          </w:tcPr>
          <w:p w14:paraId="08FB4C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▲数据库重启</w:t>
            </w:r>
          </w:p>
        </w:tc>
        <w:tc>
          <w:tcPr>
            <w:tcW w:w="5220" w:type="dxa"/>
            <w:tcBorders>
              <w:tl2br w:val="nil"/>
              <w:tr2bl w:val="nil"/>
            </w:tcBorders>
            <w:vAlign w:val="center"/>
          </w:tcPr>
          <w:p w14:paraId="56AE76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支持命令行或图形化的方式关闭和启动服务；</w:t>
            </w:r>
          </w:p>
          <w:p w14:paraId="4BFD46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关闭服务后，再启动服务，服务正常；</w:t>
            </w:r>
          </w:p>
        </w:tc>
      </w:tr>
      <w:tr w14:paraId="415E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7C834C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2B543935">
            <w:pPr>
              <w:shd w:val="clear"/>
              <w:rPr>
                <w:rFonts w:hint="eastAsia" w:ascii="宋体" w:hAnsi="宋体" w:eastAsia="宋体" w:cs="宋体"/>
                <w:color w:val="auto"/>
                <w:highlight w:val="none"/>
              </w:rPr>
            </w:pPr>
          </w:p>
        </w:tc>
        <w:tc>
          <w:tcPr>
            <w:tcW w:w="1701" w:type="dxa"/>
            <w:tcBorders>
              <w:tl2br w:val="nil"/>
              <w:tr2bl w:val="nil"/>
            </w:tcBorders>
            <w:vAlign w:val="center"/>
          </w:tcPr>
          <w:p w14:paraId="6F0EFA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▲安装配置日志</w:t>
            </w:r>
          </w:p>
        </w:tc>
        <w:tc>
          <w:tcPr>
            <w:tcW w:w="5220" w:type="dxa"/>
            <w:tcBorders>
              <w:tl2br w:val="nil"/>
              <w:tr2bl w:val="nil"/>
            </w:tcBorders>
            <w:vAlign w:val="center"/>
          </w:tcPr>
          <w:p w14:paraId="0C09EF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提供软件安装的日志记录功能； </w:t>
            </w:r>
          </w:p>
          <w:p w14:paraId="23209F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记录的软件安装信息完整正确；</w:t>
            </w:r>
          </w:p>
          <w:p w14:paraId="44BAA3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提供安装配置操作的日志记录功能；</w:t>
            </w:r>
          </w:p>
          <w:p w14:paraId="17AB6E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记录的配置操作信息完整正确；</w:t>
            </w:r>
          </w:p>
        </w:tc>
      </w:tr>
      <w:tr w14:paraId="5C37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23D9B0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26B7E951">
            <w:pPr>
              <w:shd w:val="clear"/>
              <w:rPr>
                <w:rFonts w:hint="eastAsia" w:ascii="宋体" w:hAnsi="宋体" w:eastAsia="宋体" w:cs="宋体"/>
                <w:color w:val="auto"/>
                <w:highlight w:val="none"/>
              </w:rPr>
            </w:pPr>
          </w:p>
        </w:tc>
        <w:tc>
          <w:tcPr>
            <w:tcW w:w="1701" w:type="dxa"/>
            <w:tcBorders>
              <w:tl2br w:val="nil"/>
              <w:tr2bl w:val="nil"/>
            </w:tcBorders>
            <w:vAlign w:val="center"/>
          </w:tcPr>
          <w:p w14:paraId="6E9266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▲升级维护</w:t>
            </w:r>
          </w:p>
        </w:tc>
        <w:tc>
          <w:tcPr>
            <w:tcW w:w="5220" w:type="dxa"/>
            <w:tcBorders>
              <w:tl2br w:val="nil"/>
              <w:tr2bl w:val="nil"/>
            </w:tcBorders>
            <w:vAlign w:val="center"/>
          </w:tcPr>
          <w:p w14:paraId="27EBDA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支持版本升级，保证版本间功能和数据的兼容性；</w:t>
            </w:r>
          </w:p>
          <w:p w14:paraId="49AAC9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厂商提供当前版本与历史版本的差异说明文档，包含新版本对软件和硬件的支持情况</w:t>
            </w:r>
          </w:p>
        </w:tc>
      </w:tr>
      <w:tr w14:paraId="00C4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79F43B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l2br w:val="nil"/>
              <w:tr2bl w:val="nil"/>
            </w:tcBorders>
            <w:vAlign w:val="center"/>
          </w:tcPr>
          <w:p w14:paraId="7E607D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▲数据配置</w:t>
            </w:r>
          </w:p>
        </w:tc>
        <w:tc>
          <w:tcPr>
            <w:tcW w:w="1701" w:type="dxa"/>
            <w:tcBorders>
              <w:tl2br w:val="nil"/>
              <w:tr2bl w:val="nil"/>
            </w:tcBorders>
            <w:vAlign w:val="center"/>
          </w:tcPr>
          <w:p w14:paraId="39A5D8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▲参数配置</w:t>
            </w:r>
          </w:p>
        </w:tc>
        <w:tc>
          <w:tcPr>
            <w:tcW w:w="5220" w:type="dxa"/>
            <w:tcBorders>
              <w:tl2br w:val="nil"/>
              <w:tr2bl w:val="nil"/>
            </w:tcBorders>
            <w:vAlign w:val="center"/>
          </w:tcPr>
          <w:p w14:paraId="232E92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依据工作负载和运行环境，提供配置参数修改的能力</w:t>
            </w:r>
          </w:p>
          <w:p w14:paraId="69EAEF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修改数据库配置参数后，配置参数立即生效或数据库重新启动生效，立即生效的配置参数和需要数据库重新启动方可生效的配置参数在相关文档中明确；</w:t>
            </w:r>
          </w:p>
        </w:tc>
      </w:tr>
      <w:tr w14:paraId="5E58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439918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restart"/>
            <w:tcBorders>
              <w:tl2br w:val="nil"/>
              <w:tr2bl w:val="nil"/>
            </w:tcBorders>
            <w:vAlign w:val="center"/>
          </w:tcPr>
          <w:p w14:paraId="5623F3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 功能</w:t>
            </w:r>
          </w:p>
        </w:tc>
        <w:tc>
          <w:tcPr>
            <w:tcW w:w="1701" w:type="dxa"/>
            <w:tcBorders>
              <w:tl2br w:val="nil"/>
              <w:tr2bl w:val="nil"/>
            </w:tcBorders>
            <w:vAlign w:val="center"/>
          </w:tcPr>
          <w:p w14:paraId="429497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▲基础数据类型</w:t>
            </w:r>
          </w:p>
        </w:tc>
        <w:tc>
          <w:tcPr>
            <w:tcW w:w="5220" w:type="dxa"/>
            <w:tcBorders>
              <w:tl2br w:val="nil"/>
              <w:tr2bl w:val="nil"/>
            </w:tcBorders>
            <w:vAlign w:val="center"/>
          </w:tcPr>
          <w:p w14:paraId="401AF3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支持数值类型； </w:t>
            </w:r>
          </w:p>
          <w:p w14:paraId="35EEC7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支持字符类型；</w:t>
            </w:r>
          </w:p>
          <w:p w14:paraId="2C9D2E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支持二进制类型；</w:t>
            </w:r>
          </w:p>
          <w:p w14:paraId="2F5083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支持日期和时间类型；</w:t>
            </w:r>
          </w:p>
          <w:p w14:paraId="32F691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支持布尔类型；</w:t>
            </w:r>
          </w:p>
          <w:p w14:paraId="3FE5C3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支持（大）文本类型；</w:t>
            </w:r>
          </w:p>
          <w:p w14:paraId="306A2A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支持大对象类型</w:t>
            </w:r>
          </w:p>
        </w:tc>
      </w:tr>
      <w:tr w14:paraId="4EB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96051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continue"/>
            <w:tcBorders>
              <w:tl2br w:val="nil"/>
              <w:tr2bl w:val="nil"/>
            </w:tcBorders>
            <w:vAlign w:val="center"/>
          </w:tcPr>
          <w:p w14:paraId="09A0CE6F">
            <w:pPr>
              <w:shd w:val="clear"/>
              <w:rPr>
                <w:rFonts w:hint="eastAsia" w:ascii="宋体" w:hAnsi="宋体" w:eastAsia="宋体" w:cs="宋体"/>
                <w:color w:val="auto"/>
                <w:highlight w:val="none"/>
              </w:rPr>
            </w:pPr>
          </w:p>
        </w:tc>
        <w:tc>
          <w:tcPr>
            <w:tcW w:w="1701" w:type="dxa"/>
            <w:tcBorders>
              <w:tl2br w:val="nil"/>
              <w:tr2bl w:val="nil"/>
            </w:tcBorders>
            <w:vAlign w:val="center"/>
          </w:tcPr>
          <w:p w14:paraId="3E13D9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▲数据存储基础功能</w:t>
            </w:r>
          </w:p>
        </w:tc>
        <w:tc>
          <w:tcPr>
            <w:tcW w:w="5220" w:type="dxa"/>
            <w:tcBorders>
              <w:tl2br w:val="nil"/>
              <w:tr2bl w:val="nil"/>
            </w:tcBorders>
            <w:vAlign w:val="center"/>
          </w:tcPr>
          <w:p w14:paraId="313A60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15E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E02E5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6B9A8B8A">
            <w:pPr>
              <w:shd w:val="clear"/>
              <w:rPr>
                <w:rFonts w:hint="eastAsia" w:ascii="宋体" w:hAnsi="宋体" w:eastAsia="宋体" w:cs="宋体"/>
                <w:color w:val="auto"/>
                <w:highlight w:val="none"/>
              </w:rPr>
            </w:pPr>
          </w:p>
        </w:tc>
        <w:tc>
          <w:tcPr>
            <w:tcW w:w="1701" w:type="dxa"/>
            <w:tcBorders>
              <w:tl2br w:val="nil"/>
              <w:tr2bl w:val="nil"/>
            </w:tcBorders>
            <w:vAlign w:val="center"/>
          </w:tcPr>
          <w:p w14:paraId="4C97C8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▲数据检索基础功能</w:t>
            </w:r>
          </w:p>
        </w:tc>
        <w:tc>
          <w:tcPr>
            <w:tcW w:w="5220" w:type="dxa"/>
            <w:tcBorders>
              <w:tl2br w:val="nil"/>
              <w:tr2bl w:val="nil"/>
            </w:tcBorders>
            <w:vAlign w:val="center"/>
          </w:tcPr>
          <w:p w14:paraId="565A14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734D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2" w:type="dxa"/>
            <w:tcBorders>
              <w:tl2br w:val="nil"/>
              <w:tr2bl w:val="nil"/>
            </w:tcBorders>
            <w:vAlign w:val="center"/>
          </w:tcPr>
          <w:p w14:paraId="27A8FF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3009F791">
            <w:pPr>
              <w:shd w:val="clear"/>
              <w:rPr>
                <w:rFonts w:hint="eastAsia" w:ascii="宋体" w:hAnsi="宋体" w:eastAsia="宋体" w:cs="宋体"/>
                <w:color w:val="auto"/>
                <w:highlight w:val="none"/>
              </w:rPr>
            </w:pPr>
          </w:p>
        </w:tc>
        <w:tc>
          <w:tcPr>
            <w:tcW w:w="1701" w:type="dxa"/>
            <w:tcBorders>
              <w:tl2br w:val="nil"/>
              <w:tr2bl w:val="nil"/>
            </w:tcBorders>
            <w:vAlign w:val="center"/>
          </w:tcPr>
          <w:p w14:paraId="4EE90C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▲核心SQL能力</w:t>
            </w:r>
          </w:p>
        </w:tc>
        <w:tc>
          <w:tcPr>
            <w:tcW w:w="5220" w:type="dxa"/>
            <w:tcBorders>
              <w:tl2br w:val="nil"/>
              <w:tr2bl w:val="nil"/>
            </w:tcBorders>
            <w:vAlign w:val="center"/>
          </w:tcPr>
          <w:p w14:paraId="2658B8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支持左外连接；</w:t>
            </w:r>
          </w:p>
          <w:p w14:paraId="7F446C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支持右外连接；</w:t>
            </w:r>
          </w:p>
          <w:p w14:paraId="495C27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支持内连接；</w:t>
            </w:r>
          </w:p>
          <w:p w14:paraId="0FFEE1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支持全连接</w:t>
            </w:r>
          </w:p>
        </w:tc>
      </w:tr>
      <w:tr w14:paraId="4EE8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9033A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continue"/>
            <w:tcBorders>
              <w:tl2br w:val="nil"/>
              <w:tr2bl w:val="nil"/>
            </w:tcBorders>
            <w:vAlign w:val="center"/>
          </w:tcPr>
          <w:p w14:paraId="66F526D8">
            <w:pPr>
              <w:shd w:val="clear"/>
              <w:rPr>
                <w:rFonts w:hint="eastAsia" w:ascii="宋体" w:hAnsi="宋体" w:eastAsia="宋体" w:cs="宋体"/>
                <w:color w:val="auto"/>
                <w:highlight w:val="none"/>
              </w:rPr>
            </w:pPr>
          </w:p>
        </w:tc>
        <w:tc>
          <w:tcPr>
            <w:tcW w:w="1701" w:type="dxa"/>
            <w:tcBorders>
              <w:tl2br w:val="nil"/>
              <w:tr2bl w:val="nil"/>
            </w:tcBorders>
            <w:vAlign w:val="center"/>
          </w:tcPr>
          <w:p w14:paraId="77CA0D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▲字符集</w:t>
            </w:r>
          </w:p>
        </w:tc>
        <w:tc>
          <w:tcPr>
            <w:tcW w:w="5220" w:type="dxa"/>
            <w:tcBorders>
              <w:tl2br w:val="nil"/>
              <w:tr2bl w:val="nil"/>
            </w:tcBorders>
            <w:vAlign w:val="center"/>
          </w:tcPr>
          <w:p w14:paraId="7F6B2B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中文字符集符合 GB 18030 的要求</w:t>
            </w:r>
          </w:p>
        </w:tc>
      </w:tr>
      <w:tr w14:paraId="2248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9B7B3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08765AA8">
            <w:pPr>
              <w:shd w:val="clear"/>
              <w:rPr>
                <w:rFonts w:hint="eastAsia" w:ascii="宋体" w:hAnsi="宋体" w:eastAsia="宋体" w:cs="宋体"/>
                <w:color w:val="auto"/>
                <w:highlight w:val="none"/>
              </w:rPr>
            </w:pPr>
          </w:p>
        </w:tc>
        <w:tc>
          <w:tcPr>
            <w:tcW w:w="1701" w:type="dxa"/>
            <w:tcBorders>
              <w:tl2br w:val="nil"/>
              <w:tr2bl w:val="nil"/>
            </w:tcBorders>
            <w:vAlign w:val="center"/>
          </w:tcPr>
          <w:p w14:paraId="05D1F1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▲常用操作符</w:t>
            </w:r>
          </w:p>
        </w:tc>
        <w:tc>
          <w:tcPr>
            <w:tcW w:w="5220" w:type="dxa"/>
            <w:tcBorders>
              <w:tl2br w:val="nil"/>
              <w:tr2bl w:val="nil"/>
            </w:tcBorders>
            <w:vAlign w:val="center"/>
          </w:tcPr>
          <w:p w14:paraId="56D8D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支持逻辑操作符及相关运算； </w:t>
            </w:r>
          </w:p>
          <w:p w14:paraId="149846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支持比较操作符及相关运算；</w:t>
            </w:r>
          </w:p>
          <w:p w14:paraId="266ED0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支持算术运算符及相关运算；</w:t>
            </w:r>
          </w:p>
        </w:tc>
      </w:tr>
      <w:tr w14:paraId="713A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6E4193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4009F75D">
            <w:pPr>
              <w:shd w:val="clear"/>
              <w:rPr>
                <w:rFonts w:hint="eastAsia" w:ascii="宋体" w:hAnsi="宋体" w:eastAsia="宋体" w:cs="宋体"/>
                <w:color w:val="auto"/>
                <w:highlight w:val="none"/>
              </w:rPr>
            </w:pPr>
          </w:p>
        </w:tc>
        <w:tc>
          <w:tcPr>
            <w:tcW w:w="1701" w:type="dxa"/>
            <w:tcBorders>
              <w:tl2br w:val="nil"/>
              <w:tr2bl w:val="nil"/>
            </w:tcBorders>
            <w:vAlign w:val="center"/>
          </w:tcPr>
          <w:p w14:paraId="04A2AF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▲条件表达式</w:t>
            </w:r>
          </w:p>
        </w:tc>
        <w:tc>
          <w:tcPr>
            <w:tcW w:w="5220" w:type="dxa"/>
            <w:tcBorders>
              <w:tl2br w:val="nil"/>
              <w:tr2bl w:val="nil"/>
            </w:tcBorders>
            <w:vAlign w:val="center"/>
          </w:tcPr>
          <w:p w14:paraId="7BE246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支持对比条件表达式； </w:t>
            </w:r>
          </w:p>
          <w:p w14:paraId="7B8F70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支持逻辑条件表达式；</w:t>
            </w:r>
          </w:p>
          <w:p w14:paraId="5A5812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 支持空值条件表达式； </w:t>
            </w:r>
          </w:p>
          <w:p w14:paraId="244750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支持等于条件表达式；</w:t>
            </w:r>
          </w:p>
          <w:p w14:paraId="694C01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支持模式匹配条件表达式；</w:t>
            </w:r>
          </w:p>
          <w:p w14:paraId="5437A8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支持区间条件表达式；</w:t>
            </w:r>
          </w:p>
          <w:p w14:paraId="4BC0E9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支持IN条件表达式；</w:t>
            </w:r>
          </w:p>
          <w:p w14:paraId="03545D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支持存在条件表达式；</w:t>
            </w:r>
          </w:p>
          <w:p w14:paraId="0B44BC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支持以上条件表达式的复合表达式；</w:t>
            </w:r>
          </w:p>
        </w:tc>
      </w:tr>
      <w:tr w14:paraId="6291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92FE8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vMerge w:val="continue"/>
            <w:tcBorders>
              <w:tl2br w:val="nil"/>
              <w:tr2bl w:val="nil"/>
            </w:tcBorders>
            <w:vAlign w:val="center"/>
          </w:tcPr>
          <w:p w14:paraId="543CA703">
            <w:pPr>
              <w:shd w:val="clear"/>
              <w:rPr>
                <w:rFonts w:hint="eastAsia" w:ascii="宋体" w:hAnsi="宋体" w:eastAsia="宋体" w:cs="宋体"/>
                <w:color w:val="auto"/>
                <w:highlight w:val="none"/>
              </w:rPr>
            </w:pPr>
          </w:p>
        </w:tc>
        <w:tc>
          <w:tcPr>
            <w:tcW w:w="1701" w:type="dxa"/>
            <w:tcBorders>
              <w:tl2br w:val="nil"/>
              <w:tr2bl w:val="nil"/>
            </w:tcBorders>
            <w:vAlign w:val="center"/>
          </w:tcPr>
          <w:p w14:paraId="0A97E1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w:t>
            </w:r>
          </w:p>
        </w:tc>
        <w:tc>
          <w:tcPr>
            <w:tcW w:w="5220" w:type="dxa"/>
            <w:tcBorders>
              <w:tl2br w:val="nil"/>
              <w:tr2bl w:val="nil"/>
            </w:tcBorders>
            <w:vAlign w:val="center"/>
          </w:tcPr>
          <w:p w14:paraId="3BFBAA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支持SQL计划，使SQL按照指定的语句执行，并实现预期结果</w:t>
            </w:r>
          </w:p>
        </w:tc>
      </w:tr>
      <w:tr w14:paraId="760D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027238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30108F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w:t>
            </w:r>
          </w:p>
        </w:tc>
        <w:tc>
          <w:tcPr>
            <w:tcW w:w="1701" w:type="dxa"/>
            <w:tcBorders>
              <w:tl2br w:val="nil"/>
              <w:tr2bl w:val="nil"/>
            </w:tcBorders>
            <w:vAlign w:val="center"/>
          </w:tcPr>
          <w:p w14:paraId="7B80C5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▲基础对象类型</w:t>
            </w:r>
          </w:p>
        </w:tc>
        <w:tc>
          <w:tcPr>
            <w:tcW w:w="5220" w:type="dxa"/>
            <w:tcBorders>
              <w:tl2br w:val="nil"/>
              <w:tr2bl w:val="nil"/>
            </w:tcBorders>
            <w:vAlign w:val="center"/>
          </w:tcPr>
          <w:p w14:paraId="53A462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支持用户的创建、删除、修改；</w:t>
            </w:r>
          </w:p>
          <w:p w14:paraId="0399DB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支持角色的创建、删除、修改；</w:t>
            </w:r>
          </w:p>
          <w:p w14:paraId="32E9C7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支持存储过程的创建、删除、修改；</w:t>
            </w:r>
          </w:p>
          <w:p w14:paraId="3B060C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支持表操作功能；</w:t>
            </w:r>
          </w:p>
          <w:p w14:paraId="17437D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支持自增序列；</w:t>
            </w:r>
          </w:p>
          <w:p w14:paraId="05C7BE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支持主键约束、外键约束、唯一性约束、检查约束和联合主键约束；</w:t>
            </w:r>
          </w:p>
          <w:p w14:paraId="764A0B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支持游标功能；</w:t>
            </w:r>
          </w:p>
          <w:p w14:paraId="7D2BAF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支持视图的创建、删除、修改；</w:t>
            </w:r>
          </w:p>
          <w:p w14:paraId="52C325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支持数值计算函数、字符处理函数、日期时间值函数、间隔函数、类型转换 函数、位运算函数、聚合函数、格式化、系统信息等常用函数</w:t>
            </w:r>
          </w:p>
        </w:tc>
      </w:tr>
      <w:tr w14:paraId="1ECB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6FC94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0F6698F6">
            <w:pPr>
              <w:shd w:val="clear"/>
              <w:rPr>
                <w:rFonts w:hint="eastAsia" w:ascii="宋体" w:hAnsi="宋体" w:eastAsia="宋体" w:cs="宋体"/>
                <w:color w:val="auto"/>
                <w:highlight w:val="none"/>
              </w:rPr>
            </w:pPr>
          </w:p>
        </w:tc>
        <w:tc>
          <w:tcPr>
            <w:tcW w:w="1701" w:type="dxa"/>
            <w:tcBorders>
              <w:tl2br w:val="nil"/>
              <w:tr2bl w:val="nil"/>
            </w:tcBorders>
            <w:vAlign w:val="center"/>
          </w:tcPr>
          <w:p w14:paraId="1BC8FD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▲基础表分区管理</w:t>
            </w:r>
          </w:p>
        </w:tc>
        <w:tc>
          <w:tcPr>
            <w:tcW w:w="5220" w:type="dxa"/>
            <w:tcBorders>
              <w:tl2br w:val="nil"/>
              <w:tr2bl w:val="nil"/>
            </w:tcBorders>
            <w:vAlign w:val="center"/>
          </w:tcPr>
          <w:p w14:paraId="54FEC0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bookmarkStart w:id="22" w:name="OLE_LINK12"/>
            <w:r>
              <w:rPr>
                <w:rFonts w:hint="eastAsia" w:ascii="宋体" w:hAnsi="宋体" w:eastAsia="宋体" w:cs="宋体"/>
                <w:color w:val="auto"/>
                <w:szCs w:val="21"/>
                <w:highlight w:val="none"/>
              </w:rPr>
              <w:t>哈希分区</w:t>
            </w:r>
            <w:bookmarkEnd w:id="22"/>
            <w:r>
              <w:rPr>
                <w:rFonts w:hint="eastAsia" w:ascii="宋体" w:hAnsi="宋体" w:eastAsia="宋体" w:cs="宋体"/>
                <w:color w:val="auto"/>
                <w:szCs w:val="21"/>
                <w:highlight w:val="none"/>
              </w:rPr>
              <w:t>方式；b)范围分区方式； c)列表分区方式</w:t>
            </w:r>
          </w:p>
        </w:tc>
      </w:tr>
      <w:tr w14:paraId="3262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3A159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continue"/>
            <w:tcBorders>
              <w:tl2br w:val="nil"/>
              <w:tr2bl w:val="nil"/>
            </w:tcBorders>
            <w:vAlign w:val="center"/>
          </w:tcPr>
          <w:p w14:paraId="1BCFB40D">
            <w:pPr>
              <w:shd w:val="clear"/>
              <w:rPr>
                <w:rFonts w:hint="eastAsia" w:ascii="宋体" w:hAnsi="宋体" w:eastAsia="宋体" w:cs="宋体"/>
                <w:color w:val="auto"/>
                <w:highlight w:val="none"/>
              </w:rPr>
            </w:pPr>
          </w:p>
        </w:tc>
        <w:tc>
          <w:tcPr>
            <w:tcW w:w="1701" w:type="dxa"/>
            <w:tcBorders>
              <w:tl2br w:val="nil"/>
              <w:tr2bl w:val="nil"/>
            </w:tcBorders>
            <w:vAlign w:val="center"/>
          </w:tcPr>
          <w:p w14:paraId="3EAEB7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▲对象变更</w:t>
            </w:r>
          </w:p>
        </w:tc>
        <w:tc>
          <w:tcPr>
            <w:tcW w:w="5220" w:type="dxa"/>
            <w:tcBorders>
              <w:tl2br w:val="nil"/>
              <w:tr2bl w:val="nil"/>
            </w:tcBorders>
            <w:vAlign w:val="center"/>
          </w:tcPr>
          <w:p w14:paraId="68AF93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a)支持数据库的创建、删除、更新以及数据库属性的查询；b)支持在线变更表结构、索引；c)支持数据的增加、删除、修改和查询</w:t>
            </w:r>
          </w:p>
        </w:tc>
      </w:tr>
      <w:tr w14:paraId="4C1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7C486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restart"/>
            <w:tcBorders>
              <w:tl2br w:val="nil"/>
              <w:tr2bl w:val="nil"/>
            </w:tcBorders>
            <w:vAlign w:val="center"/>
          </w:tcPr>
          <w:p w14:paraId="2E883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▲事务能力</w:t>
            </w:r>
          </w:p>
        </w:tc>
        <w:tc>
          <w:tcPr>
            <w:tcW w:w="1701" w:type="dxa"/>
            <w:tcBorders>
              <w:tl2br w:val="nil"/>
              <w:tr2bl w:val="nil"/>
            </w:tcBorders>
            <w:vAlign w:val="center"/>
          </w:tcPr>
          <w:p w14:paraId="3B4B99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▲事务基础特性</w:t>
            </w:r>
          </w:p>
        </w:tc>
        <w:tc>
          <w:tcPr>
            <w:tcW w:w="5220" w:type="dxa"/>
            <w:tcBorders>
              <w:tl2br w:val="nil"/>
              <w:tr2bl w:val="nil"/>
            </w:tcBorders>
            <w:vAlign w:val="center"/>
          </w:tcPr>
          <w:p w14:paraId="34FC6D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支持事务的ACID</w:t>
            </w:r>
          </w:p>
        </w:tc>
      </w:tr>
      <w:tr w14:paraId="66D9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7E912C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continue"/>
            <w:tcBorders>
              <w:tl2br w:val="nil"/>
              <w:tr2bl w:val="nil"/>
            </w:tcBorders>
            <w:vAlign w:val="center"/>
          </w:tcPr>
          <w:p w14:paraId="6EE68458">
            <w:pPr>
              <w:shd w:val="clear"/>
              <w:rPr>
                <w:rFonts w:hint="eastAsia" w:ascii="宋体" w:hAnsi="宋体" w:eastAsia="宋体" w:cs="宋体"/>
                <w:color w:val="auto"/>
                <w:highlight w:val="none"/>
              </w:rPr>
            </w:pPr>
          </w:p>
        </w:tc>
        <w:tc>
          <w:tcPr>
            <w:tcW w:w="1701" w:type="dxa"/>
            <w:tcBorders>
              <w:tl2br w:val="nil"/>
              <w:tr2bl w:val="nil"/>
            </w:tcBorders>
            <w:vAlign w:val="center"/>
          </w:tcPr>
          <w:p w14:paraId="409F6B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▲死锁检测与处理</w:t>
            </w:r>
          </w:p>
        </w:tc>
        <w:tc>
          <w:tcPr>
            <w:tcW w:w="5220" w:type="dxa"/>
            <w:tcBorders>
              <w:tl2br w:val="nil"/>
              <w:tr2bl w:val="nil"/>
            </w:tcBorders>
            <w:vAlign w:val="center"/>
          </w:tcPr>
          <w:p w14:paraId="1451C3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在并发执行过程中，能检测到死锁；</w:t>
            </w:r>
          </w:p>
          <w:p w14:paraId="4B9A51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提供解决全局死锁的机制；</w:t>
            </w:r>
          </w:p>
          <w:p w14:paraId="18F0D6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具备死锁处理能力；</w:t>
            </w:r>
          </w:p>
          <w:p w14:paraId="464DCC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具备死锁超时回滚的能力；</w:t>
            </w:r>
          </w:p>
          <w:p w14:paraId="3D8B72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具备死锁检测与处理记录功能</w:t>
            </w:r>
          </w:p>
        </w:tc>
      </w:tr>
      <w:tr w14:paraId="3A0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4934F0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restart"/>
            <w:tcBorders>
              <w:tl2br w:val="nil"/>
              <w:tr2bl w:val="nil"/>
            </w:tcBorders>
            <w:vAlign w:val="center"/>
          </w:tcPr>
          <w:p w14:paraId="49A6D4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w:t>
            </w:r>
          </w:p>
        </w:tc>
        <w:tc>
          <w:tcPr>
            <w:tcW w:w="1701" w:type="dxa"/>
            <w:tcBorders>
              <w:tl2br w:val="nil"/>
              <w:tr2bl w:val="nil"/>
            </w:tcBorders>
            <w:vAlign w:val="center"/>
          </w:tcPr>
          <w:p w14:paraId="72CB02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▲运行时统计信息基础 功能</w:t>
            </w:r>
          </w:p>
        </w:tc>
        <w:tc>
          <w:tcPr>
            <w:tcW w:w="5220" w:type="dxa"/>
            <w:tcBorders>
              <w:tl2br w:val="nil"/>
              <w:tr2bl w:val="nil"/>
            </w:tcBorders>
            <w:vAlign w:val="center"/>
          </w:tcPr>
          <w:p w14:paraId="5237F7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a）数据库慢SQL统计：</w:t>
            </w:r>
          </w:p>
          <w:p w14:paraId="44686D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 SQL 语句；</w:t>
            </w:r>
          </w:p>
          <w:p w14:paraId="54DA90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2）支持统计用户名；</w:t>
            </w:r>
          </w:p>
          <w:p w14:paraId="2A9D00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3）支持统计数据库名；</w:t>
            </w:r>
          </w:p>
          <w:p w14:paraId="53C7E7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4）支持统计执行时长；</w:t>
            </w:r>
          </w:p>
          <w:p w14:paraId="0AB5BD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b）数据库性能状态统计：</w:t>
            </w:r>
          </w:p>
          <w:p w14:paraId="1A4550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1）支持统计每秒事务数和查询数；</w:t>
            </w:r>
          </w:p>
          <w:p w14:paraId="5AC26E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 SQL 平均响应时间；</w:t>
            </w:r>
          </w:p>
          <w:p w14:paraId="6CB679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3）支持统计高频 SQL</w:t>
            </w:r>
          </w:p>
        </w:tc>
      </w:tr>
      <w:tr w14:paraId="5537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28735D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6E9853A6">
            <w:pPr>
              <w:shd w:val="clear"/>
              <w:rPr>
                <w:rFonts w:hint="eastAsia" w:ascii="宋体" w:hAnsi="宋体" w:eastAsia="宋体" w:cs="宋体"/>
                <w:color w:val="auto"/>
                <w:highlight w:val="none"/>
              </w:rPr>
            </w:pPr>
          </w:p>
        </w:tc>
        <w:tc>
          <w:tcPr>
            <w:tcW w:w="1701" w:type="dxa"/>
            <w:tcBorders>
              <w:tl2br w:val="nil"/>
              <w:tr2bl w:val="nil"/>
            </w:tcBorders>
            <w:vAlign w:val="center"/>
          </w:tcPr>
          <w:p w14:paraId="3521AD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w:t>
            </w:r>
          </w:p>
        </w:tc>
        <w:tc>
          <w:tcPr>
            <w:tcW w:w="5220" w:type="dxa"/>
            <w:tcBorders>
              <w:tl2br w:val="nil"/>
              <w:tr2bl w:val="nil"/>
            </w:tcBorders>
            <w:vAlign w:val="center"/>
          </w:tcPr>
          <w:p w14:paraId="6698EF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具备对各类事件进行日志记录的功能，可通过日志查看操作内容、执行过程和结果；</w:t>
            </w:r>
          </w:p>
          <w:p w14:paraId="76D20D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具备提示和警告功能，提示或警告数据库结构修改、数据库运行配置修改等重要操作；</w:t>
            </w:r>
          </w:p>
          <w:p w14:paraId="64F5EA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日志完整正确，并且提供可读文本的形式；</w:t>
            </w:r>
          </w:p>
          <w:p w14:paraId="53CE7E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支持中文日志</w:t>
            </w:r>
          </w:p>
        </w:tc>
      </w:tr>
      <w:tr w14:paraId="0DBE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01240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2E470E18">
            <w:pPr>
              <w:shd w:val="clear"/>
              <w:rPr>
                <w:rFonts w:hint="eastAsia" w:ascii="宋体" w:hAnsi="宋体" w:eastAsia="宋体" w:cs="宋体"/>
                <w:color w:val="auto"/>
                <w:highlight w:val="none"/>
              </w:rPr>
            </w:pPr>
          </w:p>
        </w:tc>
        <w:tc>
          <w:tcPr>
            <w:tcW w:w="1701" w:type="dxa"/>
            <w:tcBorders>
              <w:tl2br w:val="nil"/>
              <w:tr2bl w:val="nil"/>
            </w:tcBorders>
            <w:vAlign w:val="center"/>
          </w:tcPr>
          <w:p w14:paraId="14931D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▲远程运维</w:t>
            </w:r>
          </w:p>
        </w:tc>
        <w:tc>
          <w:tcPr>
            <w:tcW w:w="5220" w:type="dxa"/>
            <w:tcBorders>
              <w:tl2br w:val="nil"/>
              <w:tr2bl w:val="nil"/>
            </w:tcBorders>
            <w:vAlign w:val="center"/>
          </w:tcPr>
          <w:p w14:paraId="517D9E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具备远程维护功能</w:t>
            </w:r>
          </w:p>
        </w:tc>
      </w:tr>
      <w:tr w14:paraId="168A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14CD94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73BA9A3C">
            <w:pPr>
              <w:shd w:val="clear"/>
              <w:rPr>
                <w:rFonts w:hint="eastAsia" w:ascii="宋体" w:hAnsi="宋体" w:eastAsia="宋体" w:cs="宋体"/>
                <w:color w:val="auto"/>
                <w:highlight w:val="none"/>
              </w:rPr>
            </w:pPr>
          </w:p>
        </w:tc>
        <w:tc>
          <w:tcPr>
            <w:tcW w:w="1701" w:type="dxa"/>
            <w:tcBorders>
              <w:tl2br w:val="nil"/>
              <w:tr2bl w:val="nil"/>
            </w:tcBorders>
            <w:vAlign w:val="center"/>
          </w:tcPr>
          <w:p w14:paraId="7FF965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▲报警</w:t>
            </w:r>
          </w:p>
        </w:tc>
        <w:tc>
          <w:tcPr>
            <w:tcW w:w="5220" w:type="dxa"/>
            <w:tcBorders>
              <w:tl2br w:val="nil"/>
              <w:tr2bl w:val="nil"/>
            </w:tcBorders>
            <w:vAlign w:val="center"/>
          </w:tcPr>
          <w:p w14:paraId="7BCBF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厂商提供通知管理员的方法或工具；</w:t>
            </w:r>
          </w:p>
          <w:p w14:paraId="09F26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支持设置报警基线，数据库运行中遇到重要事件、异常事件和状态、超过报警阈值等情况时，通知管理员；</w:t>
            </w:r>
          </w:p>
          <w:p w14:paraId="23EAEB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提供报警API；</w:t>
            </w:r>
          </w:p>
          <w:p w14:paraId="572DB5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报警发生时，支持报警信息的实时展示</w:t>
            </w:r>
          </w:p>
        </w:tc>
      </w:tr>
      <w:tr w14:paraId="305F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772" w:type="dxa"/>
            <w:tcBorders>
              <w:tl2br w:val="nil"/>
              <w:tr2bl w:val="nil"/>
            </w:tcBorders>
            <w:vAlign w:val="center"/>
          </w:tcPr>
          <w:p w14:paraId="10F500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vMerge w:val="restart"/>
            <w:tcBorders>
              <w:tl2br w:val="nil"/>
              <w:tr2bl w:val="nil"/>
            </w:tcBorders>
            <w:vAlign w:val="center"/>
          </w:tcPr>
          <w:p w14:paraId="28D92E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▲迁移</w:t>
            </w:r>
          </w:p>
        </w:tc>
        <w:tc>
          <w:tcPr>
            <w:tcW w:w="1701" w:type="dxa"/>
            <w:tcBorders>
              <w:tl2br w:val="nil"/>
              <w:tr2bl w:val="nil"/>
            </w:tcBorders>
            <w:vAlign w:val="center"/>
          </w:tcPr>
          <w:p w14:paraId="03659C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▲数据迁移</w:t>
            </w:r>
          </w:p>
        </w:tc>
        <w:tc>
          <w:tcPr>
            <w:tcW w:w="5220" w:type="dxa"/>
            <w:tcBorders>
              <w:tl2br w:val="nil"/>
              <w:tr2bl w:val="nil"/>
            </w:tcBorders>
            <w:vAlign w:val="center"/>
          </w:tcPr>
          <w:p w14:paraId="5AF918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提供元数据、数据库、数据库对象、表数据快速迁移的功能；</w:t>
            </w:r>
          </w:p>
          <w:p w14:paraId="4E8271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支持数据迁移工具实现同构或异构数据库之间的数据迁移；</w:t>
            </w:r>
          </w:p>
          <w:p w14:paraId="3B675D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支持全量数据迁移、增量数据持续同步等迁移模式；</w:t>
            </w:r>
          </w:p>
          <w:p w14:paraId="17ACB5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在数据迁移过程中具备应对传输异常的能力，保障数据迁移的稳定性、连续性和一致性；</w:t>
            </w:r>
          </w:p>
          <w:p w14:paraId="2AB6A6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支持存量数据的一次性迁移和增量数据库的持续同步；</w:t>
            </w:r>
          </w:p>
          <w:p w14:paraId="3D8382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支持多种不同类型的源数据库和目标数据库之间的数据迁移；</w:t>
            </w:r>
          </w:p>
        </w:tc>
      </w:tr>
      <w:tr w14:paraId="12DA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8F4B7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vMerge w:val="continue"/>
            <w:tcBorders>
              <w:tl2br w:val="nil"/>
              <w:tr2bl w:val="nil"/>
            </w:tcBorders>
            <w:vAlign w:val="center"/>
          </w:tcPr>
          <w:p w14:paraId="69CC59B4">
            <w:pPr>
              <w:shd w:val="clear"/>
              <w:rPr>
                <w:rFonts w:hint="eastAsia" w:ascii="宋体" w:hAnsi="宋体" w:eastAsia="宋体" w:cs="宋体"/>
                <w:color w:val="auto"/>
                <w:highlight w:val="none"/>
              </w:rPr>
            </w:pPr>
          </w:p>
        </w:tc>
        <w:tc>
          <w:tcPr>
            <w:tcW w:w="1701" w:type="dxa"/>
            <w:tcBorders>
              <w:tl2br w:val="nil"/>
              <w:tr2bl w:val="nil"/>
            </w:tcBorders>
            <w:vAlign w:val="center"/>
          </w:tcPr>
          <w:p w14:paraId="4F6AB6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▲数据比对基础功能</w:t>
            </w:r>
          </w:p>
        </w:tc>
        <w:tc>
          <w:tcPr>
            <w:tcW w:w="5220" w:type="dxa"/>
            <w:tcBorders>
              <w:tl2br w:val="nil"/>
              <w:tr2bl w:val="nil"/>
            </w:tcBorders>
            <w:vAlign w:val="center"/>
          </w:tcPr>
          <w:p w14:paraId="1E8FFE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对源数据库和目标数据库之间的数据进行比对，支持数据一致性，并提供一致性比对报告</w:t>
            </w:r>
          </w:p>
        </w:tc>
      </w:tr>
      <w:tr w14:paraId="7E97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2" w:type="dxa"/>
            <w:tcBorders>
              <w:tl2br w:val="nil"/>
              <w:tr2bl w:val="nil"/>
            </w:tcBorders>
            <w:vAlign w:val="center"/>
          </w:tcPr>
          <w:p w14:paraId="3EEA5C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vMerge w:val="restart"/>
            <w:tcBorders>
              <w:tl2br w:val="nil"/>
              <w:tr2bl w:val="nil"/>
            </w:tcBorders>
            <w:vAlign w:val="center"/>
          </w:tcPr>
          <w:p w14:paraId="28B1C8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▲备份恢复</w:t>
            </w:r>
          </w:p>
        </w:tc>
        <w:tc>
          <w:tcPr>
            <w:tcW w:w="1701" w:type="dxa"/>
            <w:tcBorders>
              <w:tl2br w:val="nil"/>
              <w:tr2bl w:val="nil"/>
            </w:tcBorders>
            <w:vAlign w:val="center"/>
          </w:tcPr>
          <w:p w14:paraId="04C814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▲数据备份</w:t>
            </w:r>
          </w:p>
        </w:tc>
        <w:tc>
          <w:tcPr>
            <w:tcW w:w="5220" w:type="dxa"/>
            <w:tcBorders>
              <w:tl2br w:val="nil"/>
              <w:tr2bl w:val="nil"/>
            </w:tcBorders>
            <w:vAlign w:val="center"/>
          </w:tcPr>
          <w:p w14:paraId="56EFBE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运行状态下支持对数据库进行全库备份；</w:t>
            </w:r>
          </w:p>
          <w:p w14:paraId="61F1C2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运行状态下支持对数据库进行部分备份；</w:t>
            </w:r>
          </w:p>
          <w:p w14:paraId="35F0F3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运行状态下支持对数据库进行增量备份；</w:t>
            </w:r>
          </w:p>
        </w:tc>
      </w:tr>
      <w:tr w14:paraId="5A85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9CF58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continue"/>
            <w:tcBorders>
              <w:tl2br w:val="nil"/>
              <w:tr2bl w:val="nil"/>
            </w:tcBorders>
            <w:vAlign w:val="center"/>
          </w:tcPr>
          <w:p w14:paraId="473E0F9B">
            <w:pPr>
              <w:shd w:val="clear"/>
              <w:rPr>
                <w:rFonts w:hint="eastAsia" w:ascii="宋体" w:hAnsi="宋体" w:eastAsia="宋体" w:cs="宋体"/>
                <w:color w:val="auto"/>
                <w:highlight w:val="none"/>
              </w:rPr>
            </w:pPr>
          </w:p>
        </w:tc>
        <w:tc>
          <w:tcPr>
            <w:tcW w:w="1701" w:type="dxa"/>
            <w:tcBorders>
              <w:tl2br w:val="nil"/>
              <w:tr2bl w:val="nil"/>
            </w:tcBorders>
            <w:vAlign w:val="center"/>
          </w:tcPr>
          <w:p w14:paraId="249CAF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▲多种存储媒体备份、还原</w:t>
            </w:r>
          </w:p>
        </w:tc>
        <w:tc>
          <w:tcPr>
            <w:tcW w:w="5220" w:type="dxa"/>
            <w:tcBorders>
              <w:tl2br w:val="nil"/>
              <w:tr2bl w:val="nil"/>
            </w:tcBorders>
            <w:vAlign w:val="center"/>
          </w:tcPr>
          <w:p w14:paraId="52EF5C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支持多种备份存储媒体，支持多种存储 媒体的部分、完整数据库数据还原处理 能力</w:t>
            </w:r>
          </w:p>
        </w:tc>
      </w:tr>
      <w:tr w14:paraId="2262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EFF99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1B430A9D">
            <w:pPr>
              <w:shd w:val="clear"/>
              <w:rPr>
                <w:rFonts w:hint="eastAsia" w:ascii="宋体" w:hAnsi="宋体" w:eastAsia="宋体" w:cs="宋体"/>
                <w:color w:val="auto"/>
                <w:highlight w:val="none"/>
              </w:rPr>
            </w:pPr>
          </w:p>
        </w:tc>
        <w:tc>
          <w:tcPr>
            <w:tcW w:w="1701" w:type="dxa"/>
            <w:tcBorders>
              <w:tl2br w:val="nil"/>
              <w:tr2bl w:val="nil"/>
            </w:tcBorders>
            <w:vAlign w:val="center"/>
          </w:tcPr>
          <w:p w14:paraId="2BA832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▲备份还原的一致性校验</w:t>
            </w:r>
          </w:p>
        </w:tc>
        <w:tc>
          <w:tcPr>
            <w:tcW w:w="5220" w:type="dxa"/>
            <w:tcBorders>
              <w:tl2br w:val="nil"/>
              <w:tr2bl w:val="nil"/>
            </w:tcBorders>
            <w:vAlign w:val="center"/>
          </w:tcPr>
          <w:p w14:paraId="4ABCC5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提供数据库备份数据一致性校验的命令或工具</w:t>
            </w:r>
          </w:p>
        </w:tc>
      </w:tr>
      <w:tr w14:paraId="114F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1D3B8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tcBorders>
              <w:tl2br w:val="nil"/>
              <w:tr2bl w:val="nil"/>
            </w:tcBorders>
            <w:vAlign w:val="center"/>
          </w:tcPr>
          <w:p w14:paraId="7975F7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▲集群管理</w:t>
            </w:r>
          </w:p>
        </w:tc>
        <w:tc>
          <w:tcPr>
            <w:tcW w:w="1701" w:type="dxa"/>
            <w:tcBorders>
              <w:tl2br w:val="nil"/>
              <w:tr2bl w:val="nil"/>
            </w:tcBorders>
            <w:vAlign w:val="center"/>
          </w:tcPr>
          <w:p w14:paraId="3DDB97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▲集群构建与管理</w:t>
            </w:r>
          </w:p>
        </w:tc>
        <w:tc>
          <w:tcPr>
            <w:tcW w:w="5220" w:type="dxa"/>
            <w:tcBorders>
              <w:tl2br w:val="nil"/>
              <w:tr2bl w:val="nil"/>
            </w:tcBorders>
            <w:vAlign w:val="center"/>
          </w:tcPr>
          <w:p w14:paraId="3ABC6B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支持集群的运行环境；</w:t>
            </w:r>
          </w:p>
          <w:p w14:paraId="395E53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支持创建并配置数据库集群；</w:t>
            </w:r>
          </w:p>
          <w:p w14:paraId="39E949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配置信息至少包括日常运维管理、容灾管理、日志管理、备份管理、监控等；</w:t>
            </w:r>
          </w:p>
        </w:tc>
      </w:tr>
      <w:tr w14:paraId="54E1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35B350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restart"/>
            <w:tcBorders>
              <w:tl2br w:val="nil"/>
              <w:tr2bl w:val="nil"/>
            </w:tcBorders>
            <w:vAlign w:val="center"/>
          </w:tcPr>
          <w:p w14:paraId="6CB831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w:t>
            </w:r>
          </w:p>
        </w:tc>
        <w:tc>
          <w:tcPr>
            <w:tcW w:w="1701" w:type="dxa"/>
            <w:tcBorders>
              <w:tl2br w:val="nil"/>
              <w:tr2bl w:val="nil"/>
            </w:tcBorders>
            <w:vAlign w:val="center"/>
          </w:tcPr>
          <w:p w14:paraId="21611E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▲数据库开发调试工具</w:t>
            </w:r>
          </w:p>
        </w:tc>
        <w:tc>
          <w:tcPr>
            <w:tcW w:w="5220" w:type="dxa"/>
            <w:tcBorders>
              <w:tl2br w:val="nil"/>
              <w:tr2bl w:val="nil"/>
            </w:tcBorders>
            <w:vAlign w:val="center"/>
          </w:tcPr>
          <w:p w14:paraId="6905DF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具备图形化功能，提高易用性；</w:t>
            </w:r>
          </w:p>
          <w:p w14:paraId="4437D3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具备导入、编辑、保存、执行 SQL语句和SQL脚本功能；</w:t>
            </w:r>
          </w:p>
          <w:p w14:paraId="288E5D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具备复制、编辑现有数据库对象功能；</w:t>
            </w:r>
          </w:p>
          <w:p w14:paraId="044FAE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具备关键词显示标记、动态语法提示的SQL编辑器功能；</w:t>
            </w:r>
          </w:p>
        </w:tc>
      </w:tr>
      <w:tr w14:paraId="69AF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395F8F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vMerge w:val="continue"/>
            <w:tcBorders>
              <w:tl2br w:val="nil"/>
              <w:tr2bl w:val="nil"/>
            </w:tcBorders>
            <w:vAlign w:val="center"/>
          </w:tcPr>
          <w:p w14:paraId="08A4305B">
            <w:pPr>
              <w:shd w:val="clear"/>
              <w:rPr>
                <w:rFonts w:hint="eastAsia" w:ascii="宋体" w:hAnsi="宋体" w:eastAsia="宋体" w:cs="宋体"/>
                <w:color w:val="auto"/>
                <w:highlight w:val="none"/>
              </w:rPr>
            </w:pPr>
          </w:p>
        </w:tc>
        <w:tc>
          <w:tcPr>
            <w:tcW w:w="1701" w:type="dxa"/>
            <w:tcBorders>
              <w:tl2br w:val="nil"/>
              <w:tr2bl w:val="nil"/>
            </w:tcBorders>
            <w:vAlign w:val="center"/>
          </w:tcPr>
          <w:p w14:paraId="17CBE9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▲用户、角色管理工具</w:t>
            </w:r>
          </w:p>
        </w:tc>
        <w:tc>
          <w:tcPr>
            <w:tcW w:w="5220" w:type="dxa"/>
            <w:tcBorders>
              <w:tl2br w:val="nil"/>
              <w:tr2bl w:val="nil"/>
            </w:tcBorders>
            <w:vAlign w:val="center"/>
          </w:tcPr>
          <w:p w14:paraId="6CC68F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支持创建、修改、删除用户的功能；</w:t>
            </w:r>
          </w:p>
          <w:p w14:paraId="0E153C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b）提供定义用户的功能；</w:t>
            </w:r>
          </w:p>
          <w:p w14:paraId="0FDF5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支持创建、修改、删除角色的功能，且提供用户自定义角色的功能；</w:t>
            </w:r>
          </w:p>
        </w:tc>
      </w:tr>
      <w:tr w14:paraId="077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7C2A82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continue"/>
            <w:tcBorders>
              <w:tl2br w:val="nil"/>
              <w:tr2bl w:val="nil"/>
            </w:tcBorders>
            <w:vAlign w:val="center"/>
          </w:tcPr>
          <w:p w14:paraId="5B7C5C01">
            <w:pPr>
              <w:shd w:val="clear"/>
              <w:rPr>
                <w:rFonts w:hint="eastAsia" w:ascii="宋体" w:hAnsi="宋体" w:eastAsia="宋体" w:cs="宋体"/>
                <w:color w:val="auto"/>
                <w:highlight w:val="none"/>
              </w:rPr>
            </w:pPr>
          </w:p>
        </w:tc>
        <w:tc>
          <w:tcPr>
            <w:tcW w:w="1701" w:type="dxa"/>
            <w:tcBorders>
              <w:tl2br w:val="nil"/>
              <w:tr2bl w:val="nil"/>
            </w:tcBorders>
            <w:vAlign w:val="center"/>
          </w:tcPr>
          <w:p w14:paraId="0C934D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▲SQL执行计划查看工具</w:t>
            </w:r>
          </w:p>
        </w:tc>
        <w:tc>
          <w:tcPr>
            <w:tcW w:w="5220" w:type="dxa"/>
            <w:tcBorders>
              <w:tl2br w:val="nil"/>
              <w:tr2bl w:val="nil"/>
            </w:tcBorders>
            <w:vAlign w:val="center"/>
          </w:tcPr>
          <w:p w14:paraId="3506FE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a)提供与数据库管理系统进行SQL交互的工具，方便运维工作；</w:t>
            </w:r>
          </w:p>
          <w:p w14:paraId="092200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b)支持查看SQL语句查询执行计划与统计信息；</w:t>
            </w:r>
          </w:p>
        </w:tc>
      </w:tr>
      <w:tr w14:paraId="7161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6188AC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555A00E4">
            <w:pPr>
              <w:shd w:val="clear"/>
              <w:rPr>
                <w:rFonts w:hint="eastAsia" w:ascii="宋体" w:hAnsi="宋体" w:eastAsia="宋体" w:cs="宋体"/>
                <w:color w:val="auto"/>
                <w:highlight w:val="none"/>
              </w:rPr>
            </w:pPr>
          </w:p>
        </w:tc>
        <w:tc>
          <w:tcPr>
            <w:tcW w:w="1701" w:type="dxa"/>
            <w:tcBorders>
              <w:tl2br w:val="nil"/>
              <w:tr2bl w:val="nil"/>
            </w:tcBorders>
            <w:vAlign w:val="center"/>
          </w:tcPr>
          <w:p w14:paraId="373690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▲数据库对象工具</w:t>
            </w:r>
          </w:p>
        </w:tc>
        <w:tc>
          <w:tcPr>
            <w:tcW w:w="5220" w:type="dxa"/>
            <w:tcBorders>
              <w:tl2br w:val="nil"/>
              <w:tr2bl w:val="nil"/>
            </w:tcBorders>
            <w:vAlign w:val="center"/>
          </w:tcPr>
          <w:p w14:paraId="6E6886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支持创建、修改、删除表的功能，支持定义表结构、约束、存储配置管理的功能；</w:t>
            </w:r>
          </w:p>
          <w:p w14:paraId="5410D5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支持创建、修改、删除索引的功能，支持定义索引结构、类型、存储配置管理的功能；</w:t>
            </w:r>
          </w:p>
          <w:p w14:paraId="449A66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支持创建、修改、删除视图的功能，支持视图定义的功能；</w:t>
            </w:r>
          </w:p>
          <w:p w14:paraId="5E05E0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支持创建、修改、删除约束的功能，支持约束定义的功能</w:t>
            </w:r>
          </w:p>
        </w:tc>
      </w:tr>
      <w:tr w14:paraId="2F8E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7474BF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3AC7B762">
            <w:pPr>
              <w:shd w:val="clear"/>
              <w:rPr>
                <w:rFonts w:hint="eastAsia" w:ascii="宋体" w:hAnsi="宋体" w:eastAsia="宋体" w:cs="宋体"/>
                <w:color w:val="auto"/>
                <w:highlight w:val="none"/>
              </w:rPr>
            </w:pPr>
          </w:p>
        </w:tc>
        <w:tc>
          <w:tcPr>
            <w:tcW w:w="1701" w:type="dxa"/>
            <w:tcBorders>
              <w:tl2br w:val="nil"/>
              <w:tr2bl w:val="nil"/>
            </w:tcBorders>
            <w:vAlign w:val="center"/>
          </w:tcPr>
          <w:p w14:paraId="293A19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▲导入导出工具</w:t>
            </w:r>
          </w:p>
        </w:tc>
        <w:tc>
          <w:tcPr>
            <w:tcW w:w="5220" w:type="dxa"/>
            <w:tcBorders>
              <w:tl2br w:val="nil"/>
              <w:tr2bl w:val="nil"/>
            </w:tcBorders>
            <w:vAlign w:val="center"/>
          </w:tcPr>
          <w:p w14:paraId="529DB8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支持导出不同格式，可以将不同格式数据导入到数据库中；</w:t>
            </w:r>
          </w:p>
          <w:p w14:paraId="317789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支持不同级别和不同数据库对象的导入/导出功能；</w:t>
            </w:r>
          </w:p>
          <w:p w14:paraId="76EE35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支持从文本文件或者其他上游数据源将数据导入；</w:t>
            </w:r>
          </w:p>
          <w:p w14:paraId="0921E2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 SQL 脚本进行导入导出；</w:t>
            </w:r>
          </w:p>
        </w:tc>
      </w:tr>
      <w:tr w14:paraId="25C8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5FE274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continue"/>
            <w:tcBorders>
              <w:tl2br w:val="nil"/>
              <w:tr2bl w:val="nil"/>
            </w:tcBorders>
            <w:vAlign w:val="center"/>
          </w:tcPr>
          <w:p w14:paraId="1E452F6E">
            <w:pPr>
              <w:shd w:val="clear"/>
              <w:rPr>
                <w:rFonts w:hint="eastAsia" w:ascii="宋体" w:hAnsi="宋体" w:eastAsia="宋体" w:cs="宋体"/>
                <w:color w:val="auto"/>
                <w:highlight w:val="none"/>
              </w:rPr>
            </w:pPr>
          </w:p>
        </w:tc>
        <w:tc>
          <w:tcPr>
            <w:tcW w:w="1701" w:type="dxa"/>
            <w:tcBorders>
              <w:tl2br w:val="nil"/>
              <w:tr2bl w:val="nil"/>
            </w:tcBorders>
            <w:vAlign w:val="center"/>
          </w:tcPr>
          <w:p w14:paraId="312F99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▲数据库运维工具</w:t>
            </w:r>
          </w:p>
        </w:tc>
        <w:tc>
          <w:tcPr>
            <w:tcW w:w="5220" w:type="dxa"/>
            <w:tcBorders>
              <w:tl2br w:val="nil"/>
              <w:tr2bl w:val="nil"/>
            </w:tcBorders>
            <w:vAlign w:val="center"/>
          </w:tcPr>
          <w:p w14:paraId="50BA60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支持数据库、数据库存储对象结构、数据、统计信息更新维护；</w:t>
            </w:r>
          </w:p>
          <w:p w14:paraId="4E644D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支持数据库创建、数据库修改、数据库删除、数据库模板维护；</w:t>
            </w:r>
          </w:p>
          <w:p w14:paraId="240DE9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支持数据库任务自动化调度作业管理；</w:t>
            </w:r>
          </w:p>
          <w:p w14:paraId="2EED8C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支持图形化展示数据库管理的各种元数据界面，展示的内容具有层次性，包括模式、非模式数据字典信息</w:t>
            </w:r>
          </w:p>
        </w:tc>
      </w:tr>
      <w:tr w14:paraId="3351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852EC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4FD99C47">
            <w:pPr>
              <w:shd w:val="clear"/>
              <w:rPr>
                <w:rFonts w:hint="eastAsia" w:ascii="宋体" w:hAnsi="宋体" w:eastAsia="宋体" w:cs="宋体"/>
                <w:color w:val="auto"/>
                <w:highlight w:val="none"/>
              </w:rPr>
            </w:pPr>
          </w:p>
        </w:tc>
        <w:tc>
          <w:tcPr>
            <w:tcW w:w="1701" w:type="dxa"/>
            <w:tcBorders>
              <w:tl2br w:val="nil"/>
              <w:tr2bl w:val="nil"/>
            </w:tcBorders>
            <w:vAlign w:val="center"/>
          </w:tcPr>
          <w:p w14:paraId="373584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▲图形化的开发工具</w:t>
            </w:r>
          </w:p>
        </w:tc>
        <w:tc>
          <w:tcPr>
            <w:tcW w:w="5220" w:type="dxa"/>
            <w:tcBorders>
              <w:tl2br w:val="nil"/>
              <w:tr2bl w:val="nil"/>
            </w:tcBorders>
            <w:vAlign w:val="center"/>
          </w:tcPr>
          <w:p w14:paraId="6A70C5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厂商提供图形化的开发工具</w:t>
            </w:r>
          </w:p>
        </w:tc>
      </w:tr>
      <w:tr w14:paraId="5A72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A7D9F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vMerge w:val="continue"/>
            <w:tcBorders>
              <w:tl2br w:val="nil"/>
              <w:tr2bl w:val="nil"/>
            </w:tcBorders>
            <w:vAlign w:val="center"/>
          </w:tcPr>
          <w:p w14:paraId="0EC7954B">
            <w:pPr>
              <w:shd w:val="clear"/>
              <w:rPr>
                <w:rFonts w:hint="eastAsia" w:ascii="宋体" w:hAnsi="宋体" w:eastAsia="宋体" w:cs="宋体"/>
                <w:color w:val="auto"/>
                <w:highlight w:val="none"/>
              </w:rPr>
            </w:pPr>
          </w:p>
        </w:tc>
        <w:tc>
          <w:tcPr>
            <w:tcW w:w="1701" w:type="dxa"/>
            <w:tcBorders>
              <w:tl2br w:val="nil"/>
              <w:tr2bl w:val="nil"/>
            </w:tcBorders>
            <w:vAlign w:val="center"/>
          </w:tcPr>
          <w:p w14:paraId="0C9F7A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▲图形化运维工具</w:t>
            </w:r>
          </w:p>
        </w:tc>
        <w:tc>
          <w:tcPr>
            <w:tcW w:w="5220" w:type="dxa"/>
            <w:tcBorders>
              <w:tl2br w:val="nil"/>
              <w:tr2bl w:val="nil"/>
            </w:tcBorders>
            <w:vAlign w:val="center"/>
          </w:tcPr>
          <w:p w14:paraId="5893D3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厂商提供图形化的运维工具</w:t>
            </w:r>
          </w:p>
        </w:tc>
      </w:tr>
      <w:tr w14:paraId="42F7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B3A66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23F784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1701" w:type="dxa"/>
            <w:tcBorders>
              <w:tl2br w:val="nil"/>
              <w:tr2bl w:val="nil"/>
            </w:tcBorders>
            <w:vAlign w:val="center"/>
          </w:tcPr>
          <w:p w14:paraId="36E028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5220" w:type="dxa"/>
            <w:tcBorders>
              <w:tl2br w:val="nil"/>
              <w:tr2bl w:val="nil"/>
            </w:tcBorders>
            <w:vAlign w:val="center"/>
          </w:tcPr>
          <w:p w14:paraId="0DEE17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支持连续稳定运行；</w:t>
            </w:r>
          </w:p>
          <w:p w14:paraId="1DC852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支持数据库管理系统运行风险的报警能力；</w:t>
            </w:r>
          </w:p>
        </w:tc>
      </w:tr>
      <w:tr w14:paraId="6AF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53FE3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vMerge w:val="restart"/>
            <w:tcBorders>
              <w:tl2br w:val="nil"/>
              <w:tr2bl w:val="nil"/>
            </w:tcBorders>
            <w:vAlign w:val="center"/>
          </w:tcPr>
          <w:p w14:paraId="163B07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▲故障切换</w:t>
            </w:r>
          </w:p>
        </w:tc>
        <w:tc>
          <w:tcPr>
            <w:tcW w:w="1701" w:type="dxa"/>
            <w:tcBorders>
              <w:tl2br w:val="nil"/>
              <w:tr2bl w:val="nil"/>
            </w:tcBorders>
            <w:vAlign w:val="center"/>
          </w:tcPr>
          <w:p w14:paraId="2EF402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▲快速切换</w:t>
            </w:r>
          </w:p>
        </w:tc>
        <w:tc>
          <w:tcPr>
            <w:tcW w:w="5220" w:type="dxa"/>
            <w:tcBorders>
              <w:tl2br w:val="nil"/>
              <w:tr2bl w:val="nil"/>
            </w:tcBorders>
            <w:vAlign w:val="center"/>
          </w:tcPr>
          <w:p w14:paraId="12469C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支持快速切换，在主数据库出现故障时，能够快速切换到备用数据库，保障业务正常运行；</w:t>
            </w:r>
          </w:p>
        </w:tc>
      </w:tr>
      <w:tr w14:paraId="3181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EFD74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continue"/>
            <w:tcBorders>
              <w:tl2br w:val="nil"/>
              <w:tr2bl w:val="nil"/>
            </w:tcBorders>
            <w:vAlign w:val="center"/>
          </w:tcPr>
          <w:p w14:paraId="18EAEC2C">
            <w:pPr>
              <w:shd w:val="clear"/>
              <w:rPr>
                <w:rFonts w:hint="eastAsia" w:ascii="宋体" w:hAnsi="宋体" w:eastAsia="宋体" w:cs="宋体"/>
                <w:color w:val="auto"/>
                <w:highlight w:val="none"/>
              </w:rPr>
            </w:pPr>
          </w:p>
        </w:tc>
        <w:tc>
          <w:tcPr>
            <w:tcW w:w="1701" w:type="dxa"/>
            <w:tcBorders>
              <w:tl2br w:val="nil"/>
              <w:tr2bl w:val="nil"/>
            </w:tcBorders>
            <w:vAlign w:val="center"/>
          </w:tcPr>
          <w:p w14:paraId="096D79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▲恢复无断点</w:t>
            </w:r>
          </w:p>
        </w:tc>
        <w:tc>
          <w:tcPr>
            <w:tcW w:w="5220" w:type="dxa"/>
            <w:tcBorders>
              <w:tl2br w:val="nil"/>
              <w:tr2bl w:val="nil"/>
            </w:tcBorders>
            <w:vAlign w:val="center"/>
          </w:tcPr>
          <w:p w14:paraId="344030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支持无断点恢复能力</w:t>
            </w:r>
          </w:p>
        </w:tc>
      </w:tr>
      <w:tr w14:paraId="44EB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72" w:type="dxa"/>
            <w:tcBorders>
              <w:tl2br w:val="nil"/>
              <w:tr2bl w:val="nil"/>
            </w:tcBorders>
            <w:vAlign w:val="center"/>
          </w:tcPr>
          <w:p w14:paraId="5215BA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restart"/>
            <w:tcBorders>
              <w:tl2br w:val="nil"/>
              <w:tr2bl w:val="nil"/>
            </w:tcBorders>
            <w:vAlign w:val="center"/>
          </w:tcPr>
          <w:p w14:paraId="16FEF5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▲容灾能力</w:t>
            </w:r>
          </w:p>
        </w:tc>
        <w:tc>
          <w:tcPr>
            <w:tcW w:w="1701" w:type="dxa"/>
            <w:tcBorders>
              <w:tl2br w:val="nil"/>
              <w:tr2bl w:val="nil"/>
            </w:tcBorders>
            <w:vAlign w:val="center"/>
          </w:tcPr>
          <w:p w14:paraId="3A9787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▲主备备份</w:t>
            </w:r>
          </w:p>
        </w:tc>
        <w:tc>
          <w:tcPr>
            <w:tcW w:w="5220" w:type="dxa"/>
            <w:tcBorders>
              <w:tl2br w:val="nil"/>
              <w:tr2bl w:val="nil"/>
            </w:tcBorders>
            <w:vAlign w:val="center"/>
          </w:tcPr>
          <w:p w14:paraId="5FD54F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支持多副本，支持主副本与从副本之间的数据同步，最低时延由生产厂商提供；</w:t>
            </w:r>
          </w:p>
          <w:p w14:paraId="2ADE04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提供基于主机的数据库复制技术，包括基于日志的备用数据库远程数据库备份技术，并具备数据副本间的复制能力；</w:t>
            </w:r>
          </w:p>
        </w:tc>
      </w:tr>
      <w:tr w14:paraId="3AE7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51010E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17A5AE5B">
            <w:pPr>
              <w:shd w:val="clear"/>
              <w:rPr>
                <w:rFonts w:hint="eastAsia" w:ascii="宋体" w:hAnsi="宋体" w:eastAsia="宋体" w:cs="宋体"/>
                <w:color w:val="auto"/>
                <w:highlight w:val="none"/>
              </w:rPr>
            </w:pPr>
          </w:p>
        </w:tc>
        <w:tc>
          <w:tcPr>
            <w:tcW w:w="1701" w:type="dxa"/>
            <w:tcBorders>
              <w:tl2br w:val="nil"/>
              <w:tr2bl w:val="nil"/>
            </w:tcBorders>
            <w:vAlign w:val="center"/>
          </w:tcPr>
          <w:p w14:paraId="5615BF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▲实例容灾</w:t>
            </w:r>
          </w:p>
        </w:tc>
        <w:tc>
          <w:tcPr>
            <w:tcW w:w="5220" w:type="dxa"/>
            <w:tcBorders>
              <w:tl2br w:val="nil"/>
              <w:tr2bl w:val="nil"/>
            </w:tcBorders>
            <w:vAlign w:val="center"/>
          </w:tcPr>
          <w:p w14:paraId="26E24D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在任意数据库实例出现故障时，集群内服务正常运行，数据不丢失，集群整体业务可用；</w:t>
            </w:r>
          </w:p>
          <w:p w14:paraId="72F722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在实例故障、节点故障等单数据库实例故障时，RPO 时间等于0，RTO时间小于30s</w:t>
            </w:r>
          </w:p>
        </w:tc>
      </w:tr>
      <w:tr w14:paraId="5F87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F3E20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64479632">
            <w:pPr>
              <w:shd w:val="clear"/>
              <w:rPr>
                <w:rFonts w:hint="eastAsia" w:ascii="宋体" w:hAnsi="宋体" w:eastAsia="宋体" w:cs="宋体"/>
                <w:color w:val="auto"/>
                <w:highlight w:val="none"/>
              </w:rPr>
            </w:pPr>
          </w:p>
        </w:tc>
        <w:tc>
          <w:tcPr>
            <w:tcW w:w="1701" w:type="dxa"/>
            <w:tcBorders>
              <w:tl2br w:val="nil"/>
              <w:tr2bl w:val="nil"/>
            </w:tcBorders>
            <w:vAlign w:val="center"/>
          </w:tcPr>
          <w:p w14:paraId="4C29BB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▲容灾部署</w:t>
            </w:r>
          </w:p>
        </w:tc>
        <w:tc>
          <w:tcPr>
            <w:tcW w:w="5220" w:type="dxa"/>
            <w:tcBorders>
              <w:tl2br w:val="nil"/>
              <w:tr2bl w:val="nil"/>
            </w:tcBorders>
            <w:vAlign w:val="center"/>
          </w:tcPr>
          <w:p w14:paraId="5DD742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a)提供远程容灾部署与管理功能；</w:t>
            </w:r>
          </w:p>
          <w:p w14:paraId="3FF5D5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b)提供生产中心与备份中心之间的容灾部署与管理功能；</w:t>
            </w:r>
          </w:p>
        </w:tc>
      </w:tr>
      <w:tr w14:paraId="7476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0F55E1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7F6D70E0">
            <w:pPr>
              <w:shd w:val="clear"/>
              <w:rPr>
                <w:rFonts w:hint="eastAsia" w:ascii="宋体" w:hAnsi="宋体" w:eastAsia="宋体" w:cs="宋体"/>
                <w:color w:val="auto"/>
                <w:highlight w:val="none"/>
              </w:rPr>
            </w:pPr>
          </w:p>
        </w:tc>
        <w:tc>
          <w:tcPr>
            <w:tcW w:w="1701" w:type="dxa"/>
            <w:tcBorders>
              <w:tl2br w:val="nil"/>
              <w:tr2bl w:val="nil"/>
            </w:tcBorders>
            <w:vAlign w:val="center"/>
          </w:tcPr>
          <w:p w14:paraId="153F69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▲同城容灾</w:t>
            </w:r>
          </w:p>
        </w:tc>
        <w:tc>
          <w:tcPr>
            <w:tcW w:w="5220" w:type="dxa"/>
            <w:tcBorders>
              <w:tl2br w:val="nil"/>
              <w:tr2bl w:val="nil"/>
            </w:tcBorders>
            <w:vAlign w:val="center"/>
          </w:tcPr>
          <w:p w14:paraId="786188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支持同城双中心部署，当主中心故障时，业务切换到备中心；</w:t>
            </w:r>
          </w:p>
          <w:p w14:paraId="72DF49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由于网络、供电等原因造成的可用区级故障，触发集群计划外停机，在同城多可用区场景下，RPO时间等于0，RTO 时间小于1分钟；</w:t>
            </w:r>
          </w:p>
        </w:tc>
      </w:tr>
      <w:tr w14:paraId="5B32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2F924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vMerge w:val="restart"/>
            <w:tcBorders>
              <w:tl2br w:val="nil"/>
              <w:tr2bl w:val="nil"/>
            </w:tcBorders>
            <w:vAlign w:val="center"/>
          </w:tcPr>
          <w:p w14:paraId="0A86FB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▲容错性</w:t>
            </w:r>
          </w:p>
        </w:tc>
        <w:tc>
          <w:tcPr>
            <w:tcW w:w="1701" w:type="dxa"/>
            <w:tcBorders>
              <w:tl2br w:val="nil"/>
              <w:tr2bl w:val="nil"/>
            </w:tcBorders>
            <w:vAlign w:val="center"/>
          </w:tcPr>
          <w:p w14:paraId="4F7A5B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▲服务端编程稳定性</w:t>
            </w:r>
          </w:p>
        </w:tc>
        <w:tc>
          <w:tcPr>
            <w:tcW w:w="5220" w:type="dxa"/>
            <w:tcBorders>
              <w:tl2br w:val="nil"/>
              <w:tr2bl w:val="nil"/>
            </w:tcBorders>
            <w:vAlign w:val="center"/>
          </w:tcPr>
          <w:p w14:paraId="588BCB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支持当用户自定义的存储过程、函数运行异常时，数据库稳定运行；</w:t>
            </w:r>
          </w:p>
        </w:tc>
      </w:tr>
      <w:tr w14:paraId="1D3E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BFBAB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vMerge w:val="continue"/>
            <w:tcBorders>
              <w:tl2br w:val="nil"/>
              <w:tr2bl w:val="nil"/>
            </w:tcBorders>
            <w:vAlign w:val="center"/>
          </w:tcPr>
          <w:p w14:paraId="3FC2A35D">
            <w:pPr>
              <w:shd w:val="clear"/>
              <w:rPr>
                <w:rFonts w:hint="eastAsia" w:ascii="宋体" w:hAnsi="宋体" w:eastAsia="宋体" w:cs="宋体"/>
                <w:color w:val="auto"/>
                <w:highlight w:val="none"/>
              </w:rPr>
            </w:pPr>
          </w:p>
        </w:tc>
        <w:tc>
          <w:tcPr>
            <w:tcW w:w="1701" w:type="dxa"/>
            <w:tcBorders>
              <w:tl2br w:val="nil"/>
              <w:tr2bl w:val="nil"/>
            </w:tcBorders>
            <w:vAlign w:val="center"/>
          </w:tcPr>
          <w:p w14:paraId="47A8AF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▲网络容错</w:t>
            </w:r>
          </w:p>
        </w:tc>
        <w:tc>
          <w:tcPr>
            <w:tcW w:w="5220" w:type="dxa"/>
            <w:tcBorders>
              <w:tl2br w:val="nil"/>
              <w:tr2bl w:val="nil"/>
            </w:tcBorders>
            <w:vAlign w:val="center"/>
          </w:tcPr>
          <w:p w14:paraId="4A28CB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支持网络中断时，保障事务一致性；</w:t>
            </w:r>
          </w:p>
        </w:tc>
      </w:tr>
      <w:tr w14:paraId="15BE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21D862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vMerge w:val="continue"/>
            <w:tcBorders>
              <w:tl2br w:val="nil"/>
              <w:tr2bl w:val="nil"/>
            </w:tcBorders>
            <w:vAlign w:val="center"/>
          </w:tcPr>
          <w:p w14:paraId="115AF91D">
            <w:pPr>
              <w:shd w:val="clear"/>
              <w:rPr>
                <w:rFonts w:hint="eastAsia" w:ascii="宋体" w:hAnsi="宋体" w:eastAsia="宋体" w:cs="宋体"/>
                <w:color w:val="auto"/>
                <w:highlight w:val="none"/>
              </w:rPr>
            </w:pPr>
          </w:p>
        </w:tc>
        <w:tc>
          <w:tcPr>
            <w:tcW w:w="1701" w:type="dxa"/>
            <w:tcBorders>
              <w:tl2br w:val="nil"/>
              <w:tr2bl w:val="nil"/>
            </w:tcBorders>
            <w:vAlign w:val="center"/>
          </w:tcPr>
          <w:p w14:paraId="476122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▲检测报警</w:t>
            </w:r>
          </w:p>
        </w:tc>
        <w:tc>
          <w:tcPr>
            <w:tcW w:w="5220" w:type="dxa"/>
            <w:tcBorders>
              <w:tl2br w:val="nil"/>
              <w:tr2bl w:val="nil"/>
            </w:tcBorders>
            <w:vAlign w:val="center"/>
          </w:tcPr>
          <w:p w14:paraId="641364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支持数据库实例启动时错误检测能力；</w:t>
            </w:r>
          </w:p>
          <w:p w14:paraId="6FB251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支持加载不同文件格式、不同大小数据出现错误时的故障检测和处理能力；</w:t>
            </w:r>
          </w:p>
          <w:p w14:paraId="3FAEC5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支持数据库备份执行过程中发生故障时报错或者报警能力；</w:t>
            </w:r>
          </w:p>
          <w:p w14:paraId="2028FE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支持数据库恢复发生故障时报错或者报警能力；</w:t>
            </w:r>
          </w:p>
        </w:tc>
      </w:tr>
      <w:tr w14:paraId="4CF1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6DF828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continue"/>
            <w:tcBorders>
              <w:tl2br w:val="nil"/>
              <w:tr2bl w:val="nil"/>
            </w:tcBorders>
            <w:vAlign w:val="center"/>
          </w:tcPr>
          <w:p w14:paraId="4F2A8B32">
            <w:pPr>
              <w:shd w:val="clear"/>
              <w:rPr>
                <w:rFonts w:hint="eastAsia" w:ascii="宋体" w:hAnsi="宋体" w:eastAsia="宋体" w:cs="宋体"/>
                <w:color w:val="auto"/>
                <w:highlight w:val="none"/>
              </w:rPr>
            </w:pPr>
          </w:p>
        </w:tc>
        <w:tc>
          <w:tcPr>
            <w:tcW w:w="1701" w:type="dxa"/>
            <w:tcBorders>
              <w:tl2br w:val="nil"/>
              <w:tr2bl w:val="nil"/>
            </w:tcBorders>
            <w:vAlign w:val="center"/>
          </w:tcPr>
          <w:p w14:paraId="1A67A2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▲故障恢复</w:t>
            </w:r>
          </w:p>
        </w:tc>
        <w:tc>
          <w:tcPr>
            <w:tcW w:w="5220" w:type="dxa"/>
            <w:tcBorders>
              <w:tl2br w:val="nil"/>
              <w:tr2bl w:val="nil"/>
            </w:tcBorders>
            <w:vAlign w:val="center"/>
          </w:tcPr>
          <w:p w14:paraId="399F0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系统故障重启后能正常运行且支持数据一致性；</w:t>
            </w:r>
          </w:p>
          <w:p w14:paraId="6B4946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支持完全媒体故障恢复的能力；</w:t>
            </w:r>
          </w:p>
          <w:p w14:paraId="340A2F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提供基于时间点故障恢复功能</w:t>
            </w:r>
          </w:p>
        </w:tc>
      </w:tr>
      <w:tr w14:paraId="3D09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A746D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3DD4F729">
            <w:pPr>
              <w:shd w:val="clear"/>
              <w:rPr>
                <w:rFonts w:hint="eastAsia" w:ascii="宋体" w:hAnsi="宋体" w:eastAsia="宋体" w:cs="宋体"/>
                <w:color w:val="auto"/>
                <w:highlight w:val="none"/>
              </w:rPr>
            </w:pPr>
          </w:p>
        </w:tc>
        <w:tc>
          <w:tcPr>
            <w:tcW w:w="1701" w:type="dxa"/>
            <w:tcBorders>
              <w:tl2br w:val="nil"/>
              <w:tr2bl w:val="nil"/>
            </w:tcBorders>
            <w:vAlign w:val="center"/>
          </w:tcPr>
          <w:p w14:paraId="1437A2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▲不同级别故障可恢复</w:t>
            </w:r>
          </w:p>
        </w:tc>
        <w:tc>
          <w:tcPr>
            <w:tcW w:w="5220" w:type="dxa"/>
            <w:tcBorders>
              <w:tl2br w:val="nil"/>
              <w:tr2bl w:val="nil"/>
            </w:tcBorders>
            <w:vAlign w:val="center"/>
          </w:tcPr>
          <w:p w14:paraId="4608E4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支持数据库事务故障、系统故障、存储 媒体故障不同级别的可恢复能力；</w:t>
            </w:r>
          </w:p>
        </w:tc>
      </w:tr>
      <w:tr w14:paraId="486D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683A04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tcBorders>
              <w:tl2br w:val="nil"/>
              <w:tr2bl w:val="nil"/>
            </w:tcBorders>
            <w:vAlign w:val="center"/>
          </w:tcPr>
          <w:p w14:paraId="3EDBAB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▲硬件兼容</w:t>
            </w:r>
          </w:p>
        </w:tc>
        <w:tc>
          <w:tcPr>
            <w:tcW w:w="1701" w:type="dxa"/>
            <w:tcBorders>
              <w:tl2br w:val="nil"/>
              <w:tr2bl w:val="nil"/>
            </w:tcBorders>
            <w:vAlign w:val="center"/>
          </w:tcPr>
          <w:p w14:paraId="102D83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▲硬件平台兼容</w:t>
            </w:r>
          </w:p>
        </w:tc>
        <w:tc>
          <w:tcPr>
            <w:tcW w:w="5220" w:type="dxa"/>
            <w:tcBorders>
              <w:tl2br w:val="nil"/>
              <w:tr2bl w:val="nil"/>
            </w:tcBorders>
            <w:vAlign w:val="center"/>
          </w:tcPr>
          <w:p w14:paraId="572D73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同源支持以下至少三种 CPU 平台架构：</w:t>
            </w:r>
          </w:p>
          <w:p w14:paraId="6AFFB9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ARM；</w:t>
            </w:r>
          </w:p>
          <w:p w14:paraId="15FC48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LoongArch；</w:t>
            </w:r>
          </w:p>
          <w:p w14:paraId="7B06C5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MIPS； </w:t>
            </w:r>
          </w:p>
          <w:p w14:paraId="53332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SW64；</w:t>
            </w:r>
          </w:p>
          <w:p w14:paraId="2D81E4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x86；</w:t>
            </w:r>
          </w:p>
          <w:p w14:paraId="3F3BA1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支持SMP和NUMA的运行环境</w:t>
            </w:r>
          </w:p>
        </w:tc>
      </w:tr>
      <w:tr w14:paraId="593D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37325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vMerge w:val="restart"/>
            <w:tcBorders>
              <w:tl2br w:val="nil"/>
              <w:tr2bl w:val="nil"/>
            </w:tcBorders>
            <w:vAlign w:val="center"/>
          </w:tcPr>
          <w:p w14:paraId="2056CF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▲标准兼容</w:t>
            </w:r>
          </w:p>
        </w:tc>
        <w:tc>
          <w:tcPr>
            <w:tcW w:w="1701" w:type="dxa"/>
            <w:tcBorders>
              <w:tl2br w:val="nil"/>
              <w:tr2bl w:val="nil"/>
            </w:tcBorders>
            <w:vAlign w:val="center"/>
          </w:tcPr>
          <w:p w14:paraId="06C7B0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▲ODBC</w:t>
            </w:r>
          </w:p>
        </w:tc>
        <w:tc>
          <w:tcPr>
            <w:tcW w:w="5220" w:type="dxa"/>
            <w:tcBorders>
              <w:tl2br w:val="nil"/>
              <w:tr2bl w:val="nil"/>
            </w:tcBorders>
            <w:vAlign w:val="center"/>
          </w:tcPr>
          <w:p w14:paraId="0302E4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支持ODBC</w:t>
            </w:r>
          </w:p>
        </w:tc>
      </w:tr>
      <w:tr w14:paraId="018B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55367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vMerge w:val="continue"/>
            <w:tcBorders>
              <w:tl2br w:val="nil"/>
              <w:tr2bl w:val="nil"/>
            </w:tcBorders>
            <w:vAlign w:val="center"/>
          </w:tcPr>
          <w:p w14:paraId="61134F4E">
            <w:pPr>
              <w:shd w:val="clear"/>
              <w:rPr>
                <w:rFonts w:hint="eastAsia" w:ascii="宋体" w:hAnsi="宋体" w:eastAsia="宋体" w:cs="宋体"/>
                <w:color w:val="auto"/>
                <w:highlight w:val="none"/>
              </w:rPr>
            </w:pPr>
          </w:p>
        </w:tc>
        <w:tc>
          <w:tcPr>
            <w:tcW w:w="1701" w:type="dxa"/>
            <w:tcBorders>
              <w:tl2br w:val="nil"/>
              <w:tr2bl w:val="nil"/>
            </w:tcBorders>
            <w:vAlign w:val="center"/>
          </w:tcPr>
          <w:p w14:paraId="34DA34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▲JDBC</w:t>
            </w:r>
          </w:p>
        </w:tc>
        <w:tc>
          <w:tcPr>
            <w:tcW w:w="5220" w:type="dxa"/>
            <w:tcBorders>
              <w:tl2br w:val="nil"/>
              <w:tr2bl w:val="nil"/>
            </w:tcBorders>
            <w:vAlign w:val="center"/>
          </w:tcPr>
          <w:p w14:paraId="3CD473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支持JDBC</w:t>
            </w:r>
          </w:p>
        </w:tc>
      </w:tr>
      <w:tr w14:paraId="4B0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49D16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tcBorders>
              <w:tl2br w:val="nil"/>
              <w:tr2bl w:val="nil"/>
            </w:tcBorders>
            <w:vAlign w:val="center"/>
          </w:tcPr>
          <w:p w14:paraId="571C09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701" w:type="dxa"/>
            <w:tcBorders>
              <w:tl2br w:val="nil"/>
              <w:tr2bl w:val="nil"/>
            </w:tcBorders>
            <w:vAlign w:val="center"/>
          </w:tcPr>
          <w:p w14:paraId="70E8C5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5220" w:type="dxa"/>
            <w:tcBorders>
              <w:tl2br w:val="nil"/>
              <w:tr2bl w:val="nil"/>
            </w:tcBorders>
            <w:vAlign w:val="center"/>
          </w:tcPr>
          <w:p w14:paraId="77E16A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以光盘、便携式移动设备、镜像文件、在线下载等交付方式提供产品交付物</w:t>
            </w:r>
          </w:p>
        </w:tc>
      </w:tr>
      <w:tr w14:paraId="134B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2162A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restart"/>
            <w:tcBorders>
              <w:tl2br w:val="nil"/>
              <w:tr2bl w:val="nil"/>
            </w:tcBorders>
            <w:vAlign w:val="center"/>
          </w:tcPr>
          <w:p w14:paraId="796C11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701" w:type="dxa"/>
            <w:tcBorders>
              <w:tl2br w:val="nil"/>
              <w:tr2bl w:val="nil"/>
            </w:tcBorders>
            <w:vAlign w:val="center"/>
          </w:tcPr>
          <w:p w14:paraId="077884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5220" w:type="dxa"/>
            <w:tcBorders>
              <w:tl2br w:val="nil"/>
              <w:tr2bl w:val="nil"/>
            </w:tcBorders>
            <w:vAlign w:val="center"/>
          </w:tcPr>
          <w:p w14:paraId="7B63C3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产品自发布之日起至产品停止功能升 级（包含不限于新特性、新硬件支持、 问题修复、安全补丁等）之日止≥5 年</w:t>
            </w:r>
          </w:p>
        </w:tc>
      </w:tr>
      <w:tr w14:paraId="7583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DC4D7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347A6B4">
            <w:pPr>
              <w:shd w:val="clear"/>
              <w:rPr>
                <w:rFonts w:hint="eastAsia" w:ascii="宋体" w:hAnsi="宋体" w:eastAsia="宋体" w:cs="宋体"/>
                <w:color w:val="auto"/>
                <w:highlight w:val="none"/>
              </w:rPr>
            </w:pPr>
          </w:p>
        </w:tc>
        <w:tc>
          <w:tcPr>
            <w:tcW w:w="1701" w:type="dxa"/>
            <w:tcBorders>
              <w:tl2br w:val="nil"/>
              <w:tr2bl w:val="nil"/>
            </w:tcBorders>
            <w:vAlign w:val="center"/>
          </w:tcPr>
          <w:p w14:paraId="7B131B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5220" w:type="dxa"/>
            <w:tcBorders>
              <w:tl2br w:val="nil"/>
              <w:tr2bl w:val="nil"/>
            </w:tcBorders>
            <w:vAlign w:val="center"/>
          </w:tcPr>
          <w:p w14:paraId="6EFCA7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产品停止功能升级之日起至产品停止 功能维护（包括问题修复、安全补丁等）之日止≥4 年</w:t>
            </w:r>
          </w:p>
        </w:tc>
      </w:tr>
      <w:tr w14:paraId="74C6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0B3CA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2F680308">
            <w:pPr>
              <w:shd w:val="clear"/>
              <w:rPr>
                <w:rFonts w:hint="eastAsia" w:ascii="宋体" w:hAnsi="宋体" w:eastAsia="宋体" w:cs="宋体"/>
                <w:color w:val="auto"/>
                <w:highlight w:val="none"/>
              </w:rPr>
            </w:pPr>
          </w:p>
        </w:tc>
        <w:tc>
          <w:tcPr>
            <w:tcW w:w="1701" w:type="dxa"/>
            <w:tcBorders>
              <w:tl2br w:val="nil"/>
              <w:tr2bl w:val="nil"/>
            </w:tcBorders>
            <w:vAlign w:val="center"/>
          </w:tcPr>
          <w:p w14:paraId="63FFC0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5220" w:type="dxa"/>
            <w:tcBorders>
              <w:tl2br w:val="nil"/>
              <w:tr2bl w:val="nil"/>
            </w:tcBorders>
            <w:vAlign w:val="center"/>
          </w:tcPr>
          <w:p w14:paraId="79DF74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产品功能维护停止之日起至产品停止 安全维护（包括中高风险漏洞修复）之日止≥2 年</w:t>
            </w:r>
          </w:p>
        </w:tc>
      </w:tr>
      <w:tr w14:paraId="5806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CF90C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vMerge w:val="continue"/>
            <w:tcBorders>
              <w:tl2br w:val="nil"/>
              <w:tr2bl w:val="nil"/>
            </w:tcBorders>
            <w:vAlign w:val="center"/>
          </w:tcPr>
          <w:p w14:paraId="60930019">
            <w:pPr>
              <w:shd w:val="clear"/>
              <w:rPr>
                <w:rFonts w:hint="eastAsia" w:ascii="宋体" w:hAnsi="宋体" w:eastAsia="宋体" w:cs="宋体"/>
                <w:color w:val="auto"/>
                <w:highlight w:val="none"/>
              </w:rPr>
            </w:pPr>
          </w:p>
        </w:tc>
        <w:tc>
          <w:tcPr>
            <w:tcW w:w="1701" w:type="dxa"/>
            <w:tcBorders>
              <w:tl2br w:val="nil"/>
              <w:tr2bl w:val="nil"/>
            </w:tcBorders>
            <w:vAlign w:val="center"/>
          </w:tcPr>
          <w:p w14:paraId="7AD9C9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5220" w:type="dxa"/>
            <w:tcBorders>
              <w:tl2br w:val="nil"/>
              <w:tr2bl w:val="nil"/>
            </w:tcBorders>
            <w:vAlign w:val="center"/>
          </w:tcPr>
          <w:p w14:paraId="6C82A9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101E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772" w:type="dxa"/>
            <w:tcBorders>
              <w:tl2br w:val="nil"/>
              <w:tr2bl w:val="nil"/>
            </w:tcBorders>
            <w:vAlign w:val="center"/>
          </w:tcPr>
          <w:p w14:paraId="7B5AAD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tcBorders>
              <w:tl2br w:val="nil"/>
              <w:tr2bl w:val="nil"/>
            </w:tcBorders>
            <w:vAlign w:val="center"/>
          </w:tcPr>
          <w:p w14:paraId="030242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w:t>
            </w:r>
          </w:p>
        </w:tc>
        <w:tc>
          <w:tcPr>
            <w:tcW w:w="1701" w:type="dxa"/>
            <w:tcBorders>
              <w:tl2br w:val="nil"/>
              <w:tr2bl w:val="nil"/>
            </w:tcBorders>
            <w:vAlign w:val="center"/>
          </w:tcPr>
          <w:p w14:paraId="2F52B4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▲供应链与服务保障基础要求</w:t>
            </w:r>
          </w:p>
        </w:tc>
        <w:tc>
          <w:tcPr>
            <w:tcW w:w="5220" w:type="dxa"/>
            <w:tcBorders>
              <w:tl2br w:val="nil"/>
              <w:tr2bl w:val="nil"/>
            </w:tcBorders>
            <w:vAlign w:val="center"/>
          </w:tcPr>
          <w:p w14:paraId="3DA3DC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提供多种形式支持服务，包含电话、电子邮件、远程连接等；</w:t>
            </w:r>
          </w:p>
          <w:p w14:paraId="78FC9C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提供技术支持服务，支持同城 4h、异地 12h 响应要求，两个工作日解决问题，对于未能解决的问题和故障提供可行的升级方案；</w:t>
            </w:r>
          </w:p>
          <w:p w14:paraId="3E7236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提供培训材料、产品手册、培训视频等培训相关内容；</w:t>
            </w:r>
          </w:p>
          <w:p w14:paraId="0106BF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建立全国技术服务体系和服务团队，符合专业服务体系标准要求，提供原厂中文服务；</w:t>
            </w:r>
          </w:p>
          <w:p w14:paraId="51BC0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服务周期内支持版本升级；</w:t>
            </w:r>
          </w:p>
          <w:p w14:paraId="0D3596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开源产品对获得的社区源代码进行 安全性和知识产权审查与管理；</w:t>
            </w:r>
          </w:p>
          <w:p w14:paraId="01BC3A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提供数据库参数、慢SQL语句的性能优化指南，包含性能优化的具体措施、技巧、案例及建议等</w:t>
            </w:r>
          </w:p>
        </w:tc>
      </w:tr>
      <w:tr w14:paraId="3E8D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4CE93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tcBorders>
              <w:tl2br w:val="nil"/>
              <w:tr2bl w:val="nil"/>
            </w:tcBorders>
            <w:vAlign w:val="center"/>
          </w:tcPr>
          <w:p w14:paraId="7762AB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701" w:type="dxa"/>
            <w:tcBorders>
              <w:tl2br w:val="nil"/>
              <w:tr2bl w:val="nil"/>
            </w:tcBorders>
            <w:vAlign w:val="center"/>
          </w:tcPr>
          <w:p w14:paraId="5554B6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5220" w:type="dxa"/>
            <w:tcBorders>
              <w:tl2br w:val="nil"/>
              <w:tr2bl w:val="nil"/>
            </w:tcBorders>
            <w:vAlign w:val="center"/>
          </w:tcPr>
          <w:p w14:paraId="3DC74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数据库应当符合安全可靠测评要求；</w:t>
            </w:r>
          </w:p>
        </w:tc>
      </w:tr>
      <w:tr w14:paraId="0A8D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CC40D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restart"/>
            <w:tcBorders>
              <w:tl2br w:val="nil"/>
              <w:tr2bl w:val="nil"/>
            </w:tcBorders>
            <w:vAlign w:val="center"/>
          </w:tcPr>
          <w:p w14:paraId="787B65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▲基础安全</w:t>
            </w:r>
          </w:p>
        </w:tc>
        <w:tc>
          <w:tcPr>
            <w:tcW w:w="1701" w:type="dxa"/>
            <w:tcBorders>
              <w:tl2br w:val="nil"/>
              <w:tr2bl w:val="nil"/>
            </w:tcBorders>
            <w:vAlign w:val="center"/>
          </w:tcPr>
          <w:p w14:paraId="09542C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5220" w:type="dxa"/>
            <w:tcBorders>
              <w:tl2br w:val="nil"/>
              <w:tr2bl w:val="nil"/>
            </w:tcBorders>
            <w:vAlign w:val="center"/>
          </w:tcPr>
          <w:p w14:paraId="2E1468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建立漏洞管理机制，及时通过邮件、网站等方式将安全漏洞告知用户，并提供 安全补丁对漏洞进行修复</w:t>
            </w:r>
          </w:p>
        </w:tc>
      </w:tr>
      <w:tr w14:paraId="0F0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702AD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continue"/>
            <w:tcBorders>
              <w:tl2br w:val="nil"/>
              <w:tr2bl w:val="nil"/>
            </w:tcBorders>
            <w:vAlign w:val="center"/>
          </w:tcPr>
          <w:p w14:paraId="173D2B46">
            <w:pPr>
              <w:shd w:val="clear"/>
              <w:rPr>
                <w:rFonts w:hint="eastAsia" w:ascii="宋体" w:hAnsi="宋体" w:eastAsia="宋体" w:cs="宋体"/>
                <w:color w:val="auto"/>
                <w:highlight w:val="none"/>
              </w:rPr>
            </w:pPr>
          </w:p>
        </w:tc>
        <w:tc>
          <w:tcPr>
            <w:tcW w:w="1701" w:type="dxa"/>
            <w:tcBorders>
              <w:tl2br w:val="nil"/>
              <w:tr2bl w:val="nil"/>
            </w:tcBorders>
            <w:vAlign w:val="center"/>
          </w:tcPr>
          <w:p w14:paraId="5CA890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▲身份鉴别及访问控制</w:t>
            </w:r>
          </w:p>
        </w:tc>
        <w:tc>
          <w:tcPr>
            <w:tcW w:w="5220" w:type="dxa"/>
            <w:tcBorders>
              <w:tl2br w:val="nil"/>
              <w:tr2bl w:val="nil"/>
            </w:tcBorders>
            <w:vAlign w:val="center"/>
          </w:tcPr>
          <w:p w14:paraId="35114F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提供身份鉴别及访问控制，加解密的密码要求符合GM/T0028 的相关规定</w:t>
            </w:r>
          </w:p>
        </w:tc>
      </w:tr>
    </w:tbl>
    <w:p w14:paraId="613AABA7">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03"/>
        <w:gridCol w:w="5692"/>
      </w:tblGrid>
      <w:tr w14:paraId="5505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1ED106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02D343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181A25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4E02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36B22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2B5830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服务器国产操作系统5套，支撑采购人非现场执法业务平台正常运转。</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317636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信创国产服务器操作系统，支持龙芯、兆芯、飞腾、鲲鹏、海光、申威等主流国产芯片；</w:t>
            </w:r>
          </w:p>
          <w:p w14:paraId="149108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支持以中文引导的图形化界面安装，支持光盘、网络、U盘等多种安装途径安装系统，支持最小化安装；</w:t>
            </w:r>
          </w:p>
          <w:p w14:paraId="42FB3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基础环境：集成Qt等开发框架；</w:t>
            </w:r>
          </w:p>
          <w:p w14:paraId="706E43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GCC 包含的 C、C++、Objective C、Objective C++ 和 Fortran等相应支持库（libstdc++、libgcj等）；</w:t>
            </w:r>
          </w:p>
          <w:p w14:paraId="5AF992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Python， Perl，Shell，Ruby，PHP 等脚本语言；</w:t>
            </w:r>
          </w:p>
          <w:p w14:paraId="3B46C6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java 1.7 、1.8、11 等；</w:t>
            </w:r>
          </w:p>
          <w:p w14:paraId="7D42BB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文件系统：默认使用 XFS，支持 EXT3、EXT4、GFS、GFS2 等；</w:t>
            </w:r>
          </w:p>
          <w:p w14:paraId="1A7B9F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存储支持：内置支持快速块设备作为慢速块设备缓存以加速 IO 支持 swap 压缩以减少 I/O 并提高性能支持 FCOE、iSCSI，支持将 Ceph 块设备视为常规磁盘设备条目，挂载 到某个目录并使用标准文件系统格式化，比如 XFS 或者 EXT4；</w:t>
            </w:r>
          </w:p>
          <w:p w14:paraId="259C9D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虚拟化支持：支持KVM 虚拟化内置单机虚拟化管理程序支持作为KVM、Xen、Hyper-V、ESXi 虚拟机；</w:t>
            </w:r>
          </w:p>
          <w:p w14:paraId="32D2B0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常用应用支持：默认提供 apache http、ftp、DNS、DHCP、MariaDB、PostgreSQL、NFS、 Samba、LDAP 等应用；</w:t>
            </w:r>
          </w:p>
          <w:p w14:paraId="6309F2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含远程服务；5*8小时电话、邮件等远程支持服务；</w:t>
            </w:r>
          </w:p>
          <w:p w14:paraId="095C04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详细参数见“国产操作系统单套详细参数要求”</w:t>
            </w:r>
          </w:p>
        </w:tc>
      </w:tr>
    </w:tbl>
    <w:p w14:paraId="1F5C5D9C">
      <w:pPr>
        <w:shd w:val="clear"/>
        <w:spacing w:line="360" w:lineRule="auto"/>
        <w:rPr>
          <w:rFonts w:hint="eastAsia" w:ascii="宋体" w:hAnsi="宋体" w:eastAsia="宋体" w:cs="宋体"/>
          <w:color w:val="auto"/>
          <w:sz w:val="24"/>
          <w:highlight w:val="none"/>
        </w:rPr>
      </w:pPr>
    </w:p>
    <w:p w14:paraId="40E460E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国产操作系统单套详细参数如下：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62"/>
        <w:gridCol w:w="1861"/>
        <w:gridCol w:w="4363"/>
      </w:tblGrid>
      <w:tr w14:paraId="7C29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2" w:type="dxa"/>
            <w:tcBorders>
              <w:tl2br w:val="nil"/>
              <w:tr2bl w:val="nil"/>
            </w:tcBorders>
            <w:vAlign w:val="center"/>
          </w:tcPr>
          <w:p w14:paraId="1245AF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59" w:type="dxa"/>
            <w:tcBorders>
              <w:tl2br w:val="nil"/>
              <w:tr2bl w:val="nil"/>
            </w:tcBorders>
            <w:vAlign w:val="center"/>
          </w:tcPr>
          <w:p w14:paraId="0C3AC4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一级参数指标</w:t>
            </w:r>
          </w:p>
        </w:tc>
        <w:tc>
          <w:tcPr>
            <w:tcW w:w="1985" w:type="dxa"/>
            <w:tcBorders>
              <w:tl2br w:val="nil"/>
              <w:tr2bl w:val="nil"/>
            </w:tcBorders>
            <w:vAlign w:val="center"/>
          </w:tcPr>
          <w:p w14:paraId="049ACA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二级参数指标</w:t>
            </w:r>
          </w:p>
        </w:tc>
        <w:tc>
          <w:tcPr>
            <w:tcW w:w="4653" w:type="dxa"/>
            <w:tcBorders>
              <w:tl2br w:val="nil"/>
              <w:tr2bl w:val="nil"/>
            </w:tcBorders>
            <w:vAlign w:val="center"/>
          </w:tcPr>
          <w:p w14:paraId="7B1ED1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2C4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F9DF4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59" w:type="dxa"/>
            <w:tcBorders>
              <w:tl2br w:val="nil"/>
              <w:tr2bl w:val="nil"/>
            </w:tcBorders>
            <w:vAlign w:val="center"/>
          </w:tcPr>
          <w:p w14:paraId="3F27BE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▲操作系统支持多CPU架构</w:t>
            </w:r>
          </w:p>
        </w:tc>
        <w:tc>
          <w:tcPr>
            <w:tcW w:w="1985" w:type="dxa"/>
            <w:tcBorders>
              <w:tl2br w:val="nil"/>
              <w:tr2bl w:val="nil"/>
            </w:tcBorders>
            <w:vAlign w:val="center"/>
          </w:tcPr>
          <w:p w14:paraId="6D32CC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▲同源兼容多CPU平台架构</w:t>
            </w:r>
          </w:p>
        </w:tc>
        <w:tc>
          <w:tcPr>
            <w:tcW w:w="4653" w:type="dxa"/>
            <w:tcBorders>
              <w:tl2br w:val="nil"/>
              <w:tr2bl w:val="nil"/>
            </w:tcBorders>
            <w:vAlign w:val="center"/>
          </w:tcPr>
          <w:p w14:paraId="648929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操作系统支持同源兼容ARM、LoongArch、MIPS、SW64、x86架构的CPU</w:t>
            </w:r>
          </w:p>
        </w:tc>
      </w:tr>
      <w:tr w14:paraId="62AB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440A0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59" w:type="dxa"/>
            <w:vMerge w:val="restart"/>
            <w:tcBorders>
              <w:tl2br w:val="nil"/>
              <w:tr2bl w:val="nil"/>
            </w:tcBorders>
            <w:vAlign w:val="center"/>
          </w:tcPr>
          <w:p w14:paraId="27E7BD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▲操作系统支持CPU内置功能</w:t>
            </w:r>
          </w:p>
        </w:tc>
        <w:tc>
          <w:tcPr>
            <w:tcW w:w="1985" w:type="dxa"/>
            <w:tcBorders>
              <w:tl2br w:val="nil"/>
              <w:tr2bl w:val="nil"/>
            </w:tcBorders>
            <w:vAlign w:val="center"/>
          </w:tcPr>
          <w:p w14:paraId="0DAFCE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▲多核支持</w:t>
            </w:r>
          </w:p>
        </w:tc>
        <w:tc>
          <w:tcPr>
            <w:tcW w:w="4653" w:type="dxa"/>
            <w:tcBorders>
              <w:tl2br w:val="nil"/>
              <w:tr2bl w:val="nil"/>
            </w:tcBorders>
            <w:vAlign w:val="center"/>
          </w:tcPr>
          <w:p w14:paraId="2B4431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操作系统支持双核及多核处理器，包括核间负载均衡、线程绑定等，并提供接口，通过访问接口获取运行状态和控制多核调度</w:t>
            </w:r>
          </w:p>
        </w:tc>
      </w:tr>
      <w:tr w14:paraId="4C65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20DBD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59" w:type="dxa"/>
            <w:vMerge w:val="continue"/>
            <w:tcBorders>
              <w:tl2br w:val="nil"/>
              <w:tr2bl w:val="nil"/>
            </w:tcBorders>
            <w:vAlign w:val="center"/>
          </w:tcPr>
          <w:p w14:paraId="33AD3D18">
            <w:pPr>
              <w:shd w:val="clear"/>
              <w:rPr>
                <w:rFonts w:hint="eastAsia" w:ascii="宋体" w:hAnsi="宋体" w:eastAsia="宋体" w:cs="宋体"/>
                <w:color w:val="auto"/>
                <w:highlight w:val="none"/>
              </w:rPr>
            </w:pPr>
          </w:p>
        </w:tc>
        <w:tc>
          <w:tcPr>
            <w:tcW w:w="1985" w:type="dxa"/>
            <w:tcBorders>
              <w:tl2br w:val="nil"/>
              <w:tr2bl w:val="nil"/>
            </w:tcBorders>
            <w:vAlign w:val="center"/>
          </w:tcPr>
          <w:p w14:paraId="29EB8A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▲CPU虚拟化支持</w:t>
            </w:r>
          </w:p>
        </w:tc>
        <w:tc>
          <w:tcPr>
            <w:tcW w:w="4653" w:type="dxa"/>
            <w:tcBorders>
              <w:tl2br w:val="nil"/>
              <w:tr2bl w:val="nil"/>
            </w:tcBorders>
            <w:vAlign w:val="center"/>
          </w:tcPr>
          <w:p w14:paraId="1CB49C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操作系统支持CPU虚拟化技术</w:t>
            </w:r>
          </w:p>
        </w:tc>
      </w:tr>
      <w:tr w14:paraId="0D3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179DA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59" w:type="dxa"/>
            <w:vMerge w:val="continue"/>
            <w:tcBorders>
              <w:tl2br w:val="nil"/>
              <w:tr2bl w:val="nil"/>
            </w:tcBorders>
            <w:vAlign w:val="center"/>
          </w:tcPr>
          <w:p w14:paraId="5A510851">
            <w:pPr>
              <w:shd w:val="clear"/>
              <w:rPr>
                <w:rFonts w:hint="eastAsia" w:ascii="宋体" w:hAnsi="宋体" w:eastAsia="宋体" w:cs="宋体"/>
                <w:color w:val="auto"/>
                <w:highlight w:val="none"/>
              </w:rPr>
            </w:pPr>
          </w:p>
        </w:tc>
        <w:tc>
          <w:tcPr>
            <w:tcW w:w="1985" w:type="dxa"/>
            <w:tcBorders>
              <w:tl2br w:val="nil"/>
              <w:tr2bl w:val="nil"/>
            </w:tcBorders>
            <w:vAlign w:val="center"/>
          </w:tcPr>
          <w:p w14:paraId="7B4572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▲动态调节CPU运行频率</w:t>
            </w:r>
          </w:p>
        </w:tc>
        <w:tc>
          <w:tcPr>
            <w:tcW w:w="4653" w:type="dxa"/>
            <w:tcBorders>
              <w:tl2br w:val="nil"/>
              <w:tr2bl w:val="nil"/>
            </w:tcBorders>
            <w:vAlign w:val="center"/>
          </w:tcPr>
          <w:p w14:paraId="654CE8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操作系统根据负载情况，自动调节CPU的运行频率</w:t>
            </w:r>
          </w:p>
        </w:tc>
      </w:tr>
      <w:tr w14:paraId="785F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BB37E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59" w:type="dxa"/>
            <w:vMerge w:val="continue"/>
            <w:tcBorders>
              <w:tl2br w:val="nil"/>
              <w:tr2bl w:val="nil"/>
            </w:tcBorders>
            <w:vAlign w:val="center"/>
          </w:tcPr>
          <w:p w14:paraId="7BC41C82">
            <w:pPr>
              <w:shd w:val="clear"/>
              <w:rPr>
                <w:rFonts w:hint="eastAsia" w:ascii="宋体" w:hAnsi="宋体" w:eastAsia="宋体" w:cs="宋体"/>
                <w:color w:val="auto"/>
                <w:highlight w:val="none"/>
              </w:rPr>
            </w:pPr>
          </w:p>
        </w:tc>
        <w:tc>
          <w:tcPr>
            <w:tcW w:w="1985" w:type="dxa"/>
            <w:tcBorders>
              <w:tl2br w:val="nil"/>
              <w:tr2bl w:val="nil"/>
            </w:tcBorders>
            <w:vAlign w:val="center"/>
          </w:tcPr>
          <w:p w14:paraId="628B69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▲支持多CPU</w:t>
            </w:r>
          </w:p>
        </w:tc>
        <w:tc>
          <w:tcPr>
            <w:tcW w:w="4653" w:type="dxa"/>
            <w:tcBorders>
              <w:tl2br w:val="nil"/>
              <w:tr2bl w:val="nil"/>
            </w:tcBorders>
            <w:vAlign w:val="center"/>
          </w:tcPr>
          <w:p w14:paraId="0EA387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支持跨路内存访问，支持CPU间负载均衡，支持并优化NUMA体系架构</w:t>
            </w:r>
          </w:p>
        </w:tc>
      </w:tr>
      <w:tr w14:paraId="4D62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083362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59" w:type="dxa"/>
            <w:vMerge w:val="continue"/>
            <w:tcBorders>
              <w:tl2br w:val="nil"/>
              <w:tr2bl w:val="nil"/>
            </w:tcBorders>
            <w:vAlign w:val="center"/>
          </w:tcPr>
          <w:p w14:paraId="53830C97">
            <w:pPr>
              <w:shd w:val="clear"/>
              <w:rPr>
                <w:rFonts w:hint="eastAsia" w:ascii="宋体" w:hAnsi="宋体" w:eastAsia="宋体" w:cs="宋体"/>
                <w:color w:val="auto"/>
                <w:highlight w:val="none"/>
              </w:rPr>
            </w:pPr>
          </w:p>
        </w:tc>
        <w:tc>
          <w:tcPr>
            <w:tcW w:w="1985" w:type="dxa"/>
            <w:tcBorders>
              <w:tl2br w:val="nil"/>
              <w:tr2bl w:val="nil"/>
            </w:tcBorders>
            <w:vAlign w:val="center"/>
          </w:tcPr>
          <w:p w14:paraId="79A125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▲支持CPU内置安全功能</w:t>
            </w:r>
          </w:p>
        </w:tc>
        <w:tc>
          <w:tcPr>
            <w:tcW w:w="4653" w:type="dxa"/>
            <w:tcBorders>
              <w:tl2br w:val="nil"/>
              <w:tr2bl w:val="nil"/>
            </w:tcBorders>
            <w:vAlign w:val="center"/>
          </w:tcPr>
          <w:p w14:paraId="4CB4AC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操作系统支持CPU硬件密码运算与随机数生成等功能；提供编程接口供应用程序调用；支持通过硬件指令判别临界区冲突；支持调用CPU指令，实现自旋锁</w:t>
            </w:r>
          </w:p>
        </w:tc>
      </w:tr>
      <w:tr w14:paraId="3D5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3A444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59" w:type="dxa"/>
            <w:vMerge w:val="restart"/>
            <w:tcBorders>
              <w:tl2br w:val="nil"/>
              <w:tr2bl w:val="nil"/>
            </w:tcBorders>
            <w:vAlign w:val="center"/>
          </w:tcPr>
          <w:p w14:paraId="1B4FB4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▲安装部署</w:t>
            </w:r>
          </w:p>
        </w:tc>
        <w:tc>
          <w:tcPr>
            <w:tcW w:w="1985" w:type="dxa"/>
            <w:tcBorders>
              <w:tl2br w:val="nil"/>
              <w:tr2bl w:val="nil"/>
            </w:tcBorders>
            <w:vAlign w:val="center"/>
          </w:tcPr>
          <w:p w14:paraId="52223A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p>
        </w:tc>
        <w:tc>
          <w:tcPr>
            <w:tcW w:w="4653" w:type="dxa"/>
            <w:tcBorders>
              <w:tl2br w:val="nil"/>
              <w:tr2bl w:val="nil"/>
            </w:tcBorders>
            <w:vAlign w:val="center"/>
          </w:tcPr>
          <w:p w14:paraId="118B09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操作系统支持光盘安装、USB闪存盘安装、网络安装和无人值守安装</w:t>
            </w:r>
          </w:p>
        </w:tc>
      </w:tr>
      <w:tr w14:paraId="0D4A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CB410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59" w:type="dxa"/>
            <w:vMerge w:val="continue"/>
            <w:tcBorders>
              <w:tl2br w:val="nil"/>
              <w:tr2bl w:val="nil"/>
            </w:tcBorders>
            <w:vAlign w:val="center"/>
          </w:tcPr>
          <w:p w14:paraId="311A4340">
            <w:pPr>
              <w:shd w:val="clear"/>
              <w:rPr>
                <w:rFonts w:hint="eastAsia" w:ascii="宋体" w:hAnsi="宋体" w:eastAsia="宋体" w:cs="宋体"/>
                <w:color w:val="auto"/>
                <w:highlight w:val="none"/>
              </w:rPr>
            </w:pPr>
          </w:p>
        </w:tc>
        <w:tc>
          <w:tcPr>
            <w:tcW w:w="1985" w:type="dxa"/>
            <w:tcBorders>
              <w:tl2br w:val="nil"/>
              <w:tr2bl w:val="nil"/>
            </w:tcBorders>
            <w:vAlign w:val="center"/>
          </w:tcPr>
          <w:p w14:paraId="2E0A6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▲安装模式</w:t>
            </w:r>
          </w:p>
        </w:tc>
        <w:tc>
          <w:tcPr>
            <w:tcW w:w="4653" w:type="dxa"/>
            <w:tcBorders>
              <w:tl2br w:val="nil"/>
              <w:tr2bl w:val="nil"/>
            </w:tcBorders>
            <w:vAlign w:val="center"/>
          </w:tcPr>
          <w:p w14:paraId="2C8B3F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操作系统支持图形或文本安装模式</w:t>
            </w:r>
          </w:p>
        </w:tc>
      </w:tr>
      <w:tr w14:paraId="4E8A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469828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59" w:type="dxa"/>
            <w:vMerge w:val="continue"/>
            <w:tcBorders>
              <w:tl2br w:val="nil"/>
              <w:tr2bl w:val="nil"/>
            </w:tcBorders>
            <w:vAlign w:val="center"/>
          </w:tcPr>
          <w:p w14:paraId="05A09E77">
            <w:pPr>
              <w:shd w:val="clear"/>
              <w:rPr>
                <w:rFonts w:hint="eastAsia" w:ascii="宋体" w:hAnsi="宋体" w:eastAsia="宋体" w:cs="宋体"/>
                <w:color w:val="auto"/>
                <w:highlight w:val="none"/>
              </w:rPr>
            </w:pPr>
          </w:p>
        </w:tc>
        <w:tc>
          <w:tcPr>
            <w:tcW w:w="1985" w:type="dxa"/>
            <w:tcBorders>
              <w:tl2br w:val="nil"/>
              <w:tr2bl w:val="nil"/>
            </w:tcBorders>
            <w:vAlign w:val="center"/>
          </w:tcPr>
          <w:p w14:paraId="784C96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▲安装过程配置</w:t>
            </w:r>
          </w:p>
        </w:tc>
        <w:tc>
          <w:tcPr>
            <w:tcW w:w="4653" w:type="dxa"/>
            <w:tcBorders>
              <w:tl2br w:val="nil"/>
              <w:tr2bl w:val="nil"/>
            </w:tcBorders>
            <w:vAlign w:val="center"/>
          </w:tcPr>
          <w:p w14:paraId="649312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7F3A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673A1A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59" w:type="dxa"/>
            <w:vMerge w:val="continue"/>
            <w:tcBorders>
              <w:tl2br w:val="nil"/>
              <w:tr2bl w:val="nil"/>
            </w:tcBorders>
            <w:vAlign w:val="center"/>
          </w:tcPr>
          <w:p w14:paraId="42484B4B">
            <w:pPr>
              <w:shd w:val="clear"/>
              <w:rPr>
                <w:rFonts w:hint="eastAsia" w:ascii="宋体" w:hAnsi="宋体" w:eastAsia="宋体" w:cs="宋体"/>
                <w:color w:val="auto"/>
                <w:highlight w:val="none"/>
              </w:rPr>
            </w:pPr>
          </w:p>
        </w:tc>
        <w:tc>
          <w:tcPr>
            <w:tcW w:w="1985" w:type="dxa"/>
            <w:tcBorders>
              <w:tl2br w:val="nil"/>
              <w:tr2bl w:val="nil"/>
            </w:tcBorders>
            <w:vAlign w:val="center"/>
          </w:tcPr>
          <w:p w14:paraId="1DE206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▲系统引导</w:t>
            </w:r>
          </w:p>
        </w:tc>
        <w:tc>
          <w:tcPr>
            <w:tcW w:w="4653" w:type="dxa"/>
            <w:tcBorders>
              <w:tl2br w:val="nil"/>
              <w:tr2bl w:val="nil"/>
            </w:tcBorders>
            <w:vAlign w:val="center"/>
          </w:tcPr>
          <w:p w14:paraId="5082AA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a)操作系统应支持UEFI2.0及以上规范固件引导，当计算机以UEFI模式启动安装时，安装程序应分配ESP，并在ESP中放置启动引导文件，使系统能以UEFI模式引导；</w:t>
            </w:r>
          </w:p>
          <w:p w14:paraId="6C3FA6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b)支持bootloader引导，支持MBR及GPT</w:t>
            </w:r>
          </w:p>
        </w:tc>
      </w:tr>
      <w:tr w14:paraId="1324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716B5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59" w:type="dxa"/>
            <w:vMerge w:val="continue"/>
            <w:tcBorders>
              <w:tl2br w:val="nil"/>
              <w:tr2bl w:val="nil"/>
            </w:tcBorders>
            <w:vAlign w:val="center"/>
          </w:tcPr>
          <w:p w14:paraId="17D53878">
            <w:pPr>
              <w:shd w:val="clear"/>
              <w:rPr>
                <w:rFonts w:hint="eastAsia" w:ascii="宋体" w:hAnsi="宋体" w:eastAsia="宋体" w:cs="宋体"/>
                <w:color w:val="auto"/>
                <w:highlight w:val="none"/>
              </w:rPr>
            </w:pPr>
          </w:p>
        </w:tc>
        <w:tc>
          <w:tcPr>
            <w:tcW w:w="1985" w:type="dxa"/>
            <w:tcBorders>
              <w:tl2br w:val="nil"/>
              <w:tr2bl w:val="nil"/>
            </w:tcBorders>
            <w:vAlign w:val="center"/>
          </w:tcPr>
          <w:p w14:paraId="1D9387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▲引导修复</w:t>
            </w:r>
          </w:p>
        </w:tc>
        <w:tc>
          <w:tcPr>
            <w:tcW w:w="4653" w:type="dxa"/>
            <w:tcBorders>
              <w:tl2br w:val="nil"/>
              <w:tr2bl w:val="nil"/>
            </w:tcBorders>
            <w:vAlign w:val="center"/>
          </w:tcPr>
          <w:p w14:paraId="7788C5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操作系统安装媒体提供系统引导修复功能，当已安装的系统引导被破坏时，可重建系统引导</w:t>
            </w:r>
          </w:p>
        </w:tc>
      </w:tr>
      <w:tr w14:paraId="789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F531C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59" w:type="dxa"/>
            <w:vMerge w:val="continue"/>
            <w:tcBorders>
              <w:tl2br w:val="nil"/>
              <w:tr2bl w:val="nil"/>
            </w:tcBorders>
            <w:vAlign w:val="center"/>
          </w:tcPr>
          <w:p w14:paraId="0FB89465">
            <w:pPr>
              <w:shd w:val="clear"/>
              <w:rPr>
                <w:rFonts w:hint="eastAsia" w:ascii="宋体" w:hAnsi="宋体" w:eastAsia="宋体" w:cs="宋体"/>
                <w:color w:val="auto"/>
                <w:highlight w:val="none"/>
              </w:rPr>
            </w:pPr>
          </w:p>
        </w:tc>
        <w:tc>
          <w:tcPr>
            <w:tcW w:w="1985" w:type="dxa"/>
            <w:tcBorders>
              <w:tl2br w:val="nil"/>
              <w:tr2bl w:val="nil"/>
            </w:tcBorders>
            <w:vAlign w:val="center"/>
          </w:tcPr>
          <w:p w14:paraId="64B82B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▲引导参数编辑</w:t>
            </w:r>
          </w:p>
        </w:tc>
        <w:tc>
          <w:tcPr>
            <w:tcW w:w="4653" w:type="dxa"/>
            <w:tcBorders>
              <w:tl2br w:val="nil"/>
              <w:tr2bl w:val="nil"/>
            </w:tcBorders>
            <w:vAlign w:val="center"/>
          </w:tcPr>
          <w:p w14:paraId="502671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操作系统支持用户编辑引导参数，支持GRUB口令保护</w:t>
            </w:r>
          </w:p>
        </w:tc>
      </w:tr>
      <w:tr w14:paraId="5F73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ACCCC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59" w:type="dxa"/>
            <w:vMerge w:val="continue"/>
            <w:tcBorders>
              <w:tl2br w:val="nil"/>
              <w:tr2bl w:val="nil"/>
            </w:tcBorders>
            <w:vAlign w:val="center"/>
          </w:tcPr>
          <w:p w14:paraId="3DC088F4">
            <w:pPr>
              <w:shd w:val="clear"/>
              <w:rPr>
                <w:rFonts w:hint="eastAsia" w:ascii="宋体" w:hAnsi="宋体" w:eastAsia="宋体" w:cs="宋体"/>
                <w:color w:val="auto"/>
                <w:highlight w:val="none"/>
              </w:rPr>
            </w:pPr>
          </w:p>
        </w:tc>
        <w:tc>
          <w:tcPr>
            <w:tcW w:w="1985" w:type="dxa"/>
            <w:tcBorders>
              <w:tl2br w:val="nil"/>
              <w:tr2bl w:val="nil"/>
            </w:tcBorders>
            <w:vAlign w:val="center"/>
          </w:tcPr>
          <w:p w14:paraId="3692B2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l2br w:val="nil"/>
              <w:tr2bl w:val="nil"/>
            </w:tcBorders>
            <w:vAlign w:val="center"/>
          </w:tcPr>
          <w:p w14:paraId="4E1A39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安装程序在安装执行前明确提示用户可能会删除已有数据，并提供退出/取消功能，当用户取消安装时，不改变硬盘上已有数据</w:t>
            </w:r>
          </w:p>
        </w:tc>
      </w:tr>
      <w:tr w14:paraId="582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033A9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59" w:type="dxa"/>
            <w:vMerge w:val="continue"/>
            <w:tcBorders>
              <w:tl2br w:val="nil"/>
              <w:tr2bl w:val="nil"/>
            </w:tcBorders>
            <w:vAlign w:val="center"/>
          </w:tcPr>
          <w:p w14:paraId="3FB66B9A">
            <w:pPr>
              <w:shd w:val="clear"/>
              <w:rPr>
                <w:rFonts w:hint="eastAsia" w:ascii="宋体" w:hAnsi="宋体" w:eastAsia="宋体" w:cs="宋体"/>
                <w:color w:val="auto"/>
                <w:highlight w:val="none"/>
              </w:rPr>
            </w:pPr>
          </w:p>
        </w:tc>
        <w:tc>
          <w:tcPr>
            <w:tcW w:w="1985" w:type="dxa"/>
            <w:tcBorders>
              <w:tl2br w:val="nil"/>
              <w:tr2bl w:val="nil"/>
            </w:tcBorders>
            <w:vAlign w:val="center"/>
          </w:tcPr>
          <w:p w14:paraId="6F663F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▲分辨率自适应</w:t>
            </w:r>
          </w:p>
        </w:tc>
        <w:tc>
          <w:tcPr>
            <w:tcW w:w="4653" w:type="dxa"/>
            <w:tcBorders>
              <w:tl2br w:val="nil"/>
              <w:tr2bl w:val="nil"/>
            </w:tcBorders>
            <w:vAlign w:val="center"/>
          </w:tcPr>
          <w:p w14:paraId="0C4A25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操作系统安装完成后应自动适配显示器最佳分辨率(文本模式除外)</w:t>
            </w:r>
          </w:p>
        </w:tc>
      </w:tr>
      <w:tr w14:paraId="6B64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F07B8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59" w:type="dxa"/>
            <w:vMerge w:val="continue"/>
            <w:tcBorders>
              <w:tl2br w:val="nil"/>
              <w:tr2bl w:val="nil"/>
            </w:tcBorders>
            <w:vAlign w:val="center"/>
          </w:tcPr>
          <w:p w14:paraId="200A23D3">
            <w:pPr>
              <w:shd w:val="clear"/>
              <w:rPr>
                <w:rFonts w:hint="eastAsia" w:ascii="宋体" w:hAnsi="宋体" w:eastAsia="宋体" w:cs="宋体"/>
                <w:color w:val="auto"/>
                <w:highlight w:val="none"/>
              </w:rPr>
            </w:pPr>
          </w:p>
        </w:tc>
        <w:tc>
          <w:tcPr>
            <w:tcW w:w="1985" w:type="dxa"/>
            <w:tcBorders>
              <w:tl2br w:val="nil"/>
              <w:tr2bl w:val="nil"/>
            </w:tcBorders>
            <w:vAlign w:val="center"/>
          </w:tcPr>
          <w:p w14:paraId="617FC9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▲安装配置正确性校验</w:t>
            </w:r>
          </w:p>
        </w:tc>
        <w:tc>
          <w:tcPr>
            <w:tcW w:w="4653" w:type="dxa"/>
            <w:tcBorders>
              <w:tl2br w:val="nil"/>
              <w:tr2bl w:val="nil"/>
            </w:tcBorders>
            <w:vAlign w:val="center"/>
          </w:tcPr>
          <w:p w14:paraId="2F4D6F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操作系统安装和配置过程中，如用户自定义的某些配置可能会影响系统启动或正常使用，予以明确提示</w:t>
            </w:r>
          </w:p>
        </w:tc>
      </w:tr>
      <w:tr w14:paraId="4667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6C004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59" w:type="dxa"/>
            <w:tcBorders>
              <w:tl2br w:val="nil"/>
              <w:tr2bl w:val="nil"/>
            </w:tcBorders>
            <w:vAlign w:val="center"/>
          </w:tcPr>
          <w:p w14:paraId="371A57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▲系统内核</w:t>
            </w:r>
          </w:p>
        </w:tc>
        <w:tc>
          <w:tcPr>
            <w:tcW w:w="1985" w:type="dxa"/>
            <w:tcBorders>
              <w:tl2br w:val="nil"/>
              <w:tr2bl w:val="nil"/>
            </w:tcBorders>
            <w:vAlign w:val="center"/>
          </w:tcPr>
          <w:p w14:paraId="3B3A71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▲内核要求</w:t>
            </w:r>
          </w:p>
        </w:tc>
        <w:tc>
          <w:tcPr>
            <w:tcW w:w="4653" w:type="dxa"/>
            <w:tcBorders>
              <w:tl2br w:val="nil"/>
              <w:tr2bl w:val="nil"/>
            </w:tcBorders>
            <w:vAlign w:val="center"/>
          </w:tcPr>
          <w:p w14:paraId="29B6EC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a)若操作系统是基于Linux内核的服务器操作系统应兼容4.19版内核</w:t>
            </w:r>
          </w:p>
          <w:p w14:paraId="5AFCF0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b)若操作系统属于其他类型内核不做要求</w:t>
            </w:r>
          </w:p>
        </w:tc>
      </w:tr>
      <w:tr w14:paraId="035E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877C8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59" w:type="dxa"/>
            <w:vMerge w:val="restart"/>
            <w:tcBorders>
              <w:tl2br w:val="nil"/>
              <w:tr2bl w:val="nil"/>
            </w:tcBorders>
            <w:vAlign w:val="center"/>
          </w:tcPr>
          <w:p w14:paraId="32A8E9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▲进程、线程调度</w:t>
            </w:r>
          </w:p>
        </w:tc>
        <w:tc>
          <w:tcPr>
            <w:tcW w:w="1985" w:type="dxa"/>
            <w:tcBorders>
              <w:tl2br w:val="nil"/>
              <w:tr2bl w:val="nil"/>
            </w:tcBorders>
            <w:vAlign w:val="center"/>
          </w:tcPr>
          <w:p w14:paraId="3458C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l2br w:val="nil"/>
              <w:tr2bl w:val="nil"/>
            </w:tcBorders>
            <w:vAlign w:val="center"/>
          </w:tcPr>
          <w:p w14:paraId="45368E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操作系统支持基于NUMA的亲和调度</w:t>
            </w:r>
          </w:p>
        </w:tc>
      </w:tr>
      <w:tr w14:paraId="6E63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AF32F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59" w:type="dxa"/>
            <w:vMerge w:val="continue"/>
            <w:tcBorders>
              <w:tl2br w:val="nil"/>
              <w:tr2bl w:val="nil"/>
            </w:tcBorders>
            <w:vAlign w:val="center"/>
          </w:tcPr>
          <w:p w14:paraId="624623C0">
            <w:pPr>
              <w:shd w:val="clear"/>
              <w:rPr>
                <w:rFonts w:hint="eastAsia" w:ascii="宋体" w:hAnsi="宋体" w:eastAsia="宋体" w:cs="宋体"/>
                <w:color w:val="auto"/>
                <w:highlight w:val="none"/>
              </w:rPr>
            </w:pPr>
          </w:p>
        </w:tc>
        <w:tc>
          <w:tcPr>
            <w:tcW w:w="1985" w:type="dxa"/>
            <w:tcBorders>
              <w:tl2br w:val="nil"/>
              <w:tr2bl w:val="nil"/>
            </w:tcBorders>
            <w:vAlign w:val="center"/>
          </w:tcPr>
          <w:p w14:paraId="56B0A9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▲多核轮询</w:t>
            </w:r>
          </w:p>
        </w:tc>
        <w:tc>
          <w:tcPr>
            <w:tcW w:w="4653" w:type="dxa"/>
            <w:tcBorders>
              <w:tl2br w:val="nil"/>
              <w:tr2bl w:val="nil"/>
            </w:tcBorders>
            <w:vAlign w:val="center"/>
          </w:tcPr>
          <w:p w14:paraId="472980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操作系统支持CPU多核轮询调度</w:t>
            </w:r>
          </w:p>
        </w:tc>
      </w:tr>
      <w:tr w14:paraId="5FE2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50FC2E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59" w:type="dxa"/>
            <w:vMerge w:val="continue"/>
            <w:tcBorders>
              <w:tl2br w:val="nil"/>
              <w:tr2bl w:val="nil"/>
            </w:tcBorders>
            <w:vAlign w:val="center"/>
          </w:tcPr>
          <w:p w14:paraId="7EE717CE">
            <w:pPr>
              <w:shd w:val="clear"/>
              <w:rPr>
                <w:rFonts w:hint="eastAsia" w:ascii="宋体" w:hAnsi="宋体" w:eastAsia="宋体" w:cs="宋体"/>
                <w:color w:val="auto"/>
                <w:highlight w:val="none"/>
              </w:rPr>
            </w:pPr>
          </w:p>
        </w:tc>
        <w:tc>
          <w:tcPr>
            <w:tcW w:w="1985" w:type="dxa"/>
            <w:tcBorders>
              <w:tl2br w:val="nil"/>
              <w:tr2bl w:val="nil"/>
            </w:tcBorders>
            <w:vAlign w:val="center"/>
          </w:tcPr>
          <w:p w14:paraId="04DEF4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▲进程调度</w:t>
            </w:r>
          </w:p>
        </w:tc>
        <w:tc>
          <w:tcPr>
            <w:tcW w:w="4653" w:type="dxa"/>
            <w:tcBorders>
              <w:tl2br w:val="nil"/>
              <w:tr2bl w:val="nil"/>
            </w:tcBorders>
            <w:vAlign w:val="center"/>
          </w:tcPr>
          <w:p w14:paraId="7BBD33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操作系统具备进程优先级动态调整能力，允许在进程运行时对优先级进行调整；区分实时进程与非实时进程，分别进行调度；支持进程运行状态检查</w:t>
            </w:r>
          </w:p>
        </w:tc>
      </w:tr>
      <w:tr w14:paraId="5F02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8A60A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59" w:type="dxa"/>
            <w:vMerge w:val="restart"/>
            <w:tcBorders>
              <w:tl2br w:val="nil"/>
              <w:tr2bl w:val="nil"/>
            </w:tcBorders>
            <w:vAlign w:val="center"/>
          </w:tcPr>
          <w:p w14:paraId="46342E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▲内存管理</w:t>
            </w:r>
          </w:p>
        </w:tc>
        <w:tc>
          <w:tcPr>
            <w:tcW w:w="1985" w:type="dxa"/>
            <w:tcBorders>
              <w:tl2br w:val="nil"/>
              <w:tr2bl w:val="nil"/>
            </w:tcBorders>
            <w:vAlign w:val="center"/>
          </w:tcPr>
          <w:p w14:paraId="285C39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▲内存容量</w:t>
            </w:r>
          </w:p>
        </w:tc>
        <w:tc>
          <w:tcPr>
            <w:tcW w:w="4653" w:type="dxa"/>
            <w:tcBorders>
              <w:tl2br w:val="nil"/>
              <w:tr2bl w:val="nil"/>
            </w:tcBorders>
            <w:vAlign w:val="center"/>
          </w:tcPr>
          <w:p w14:paraId="74A186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操作系统支持最大内存不小于4TB</w:t>
            </w:r>
          </w:p>
        </w:tc>
      </w:tr>
      <w:tr w14:paraId="15B6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51C865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59" w:type="dxa"/>
            <w:vMerge w:val="continue"/>
            <w:tcBorders>
              <w:tl2br w:val="nil"/>
              <w:tr2bl w:val="nil"/>
            </w:tcBorders>
            <w:vAlign w:val="center"/>
          </w:tcPr>
          <w:p w14:paraId="4D2C0816">
            <w:pPr>
              <w:shd w:val="clear"/>
              <w:rPr>
                <w:rFonts w:hint="eastAsia" w:ascii="宋体" w:hAnsi="宋体" w:eastAsia="宋体" w:cs="宋体"/>
                <w:color w:val="auto"/>
                <w:highlight w:val="none"/>
              </w:rPr>
            </w:pPr>
          </w:p>
        </w:tc>
        <w:tc>
          <w:tcPr>
            <w:tcW w:w="1985" w:type="dxa"/>
            <w:tcBorders>
              <w:tl2br w:val="nil"/>
              <w:tr2bl w:val="nil"/>
            </w:tcBorders>
            <w:vAlign w:val="center"/>
          </w:tcPr>
          <w:p w14:paraId="69B30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▲内存大页管理</w:t>
            </w:r>
          </w:p>
        </w:tc>
        <w:tc>
          <w:tcPr>
            <w:tcW w:w="4653" w:type="dxa"/>
            <w:tcBorders>
              <w:tl2br w:val="nil"/>
              <w:tr2bl w:val="nil"/>
            </w:tcBorders>
            <w:vAlign w:val="center"/>
          </w:tcPr>
          <w:p w14:paraId="04A522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操作系统允许应用申请内存大页降低页表转换</w:t>
            </w:r>
          </w:p>
        </w:tc>
      </w:tr>
      <w:tr w14:paraId="04E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B906D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59" w:type="dxa"/>
            <w:vMerge w:val="continue"/>
            <w:tcBorders>
              <w:tl2br w:val="nil"/>
              <w:tr2bl w:val="nil"/>
            </w:tcBorders>
            <w:vAlign w:val="center"/>
          </w:tcPr>
          <w:p w14:paraId="57E6E1A1">
            <w:pPr>
              <w:shd w:val="clear"/>
              <w:rPr>
                <w:rFonts w:hint="eastAsia" w:ascii="宋体" w:hAnsi="宋体" w:eastAsia="宋体" w:cs="宋体"/>
                <w:color w:val="auto"/>
                <w:highlight w:val="none"/>
              </w:rPr>
            </w:pPr>
          </w:p>
        </w:tc>
        <w:tc>
          <w:tcPr>
            <w:tcW w:w="1985" w:type="dxa"/>
            <w:tcBorders>
              <w:tl2br w:val="nil"/>
              <w:tr2bl w:val="nil"/>
            </w:tcBorders>
            <w:vAlign w:val="center"/>
          </w:tcPr>
          <w:p w14:paraId="26DFBE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l2br w:val="nil"/>
              <w:tr2bl w:val="nil"/>
            </w:tcBorders>
            <w:vAlign w:val="center"/>
          </w:tcPr>
          <w:p w14:paraId="437F85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操作系统支持NUMA近节点优化</w:t>
            </w:r>
          </w:p>
        </w:tc>
      </w:tr>
      <w:tr w14:paraId="300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5ED67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559" w:type="dxa"/>
            <w:vMerge w:val="restart"/>
            <w:tcBorders>
              <w:tl2br w:val="nil"/>
              <w:tr2bl w:val="nil"/>
            </w:tcBorders>
            <w:vAlign w:val="center"/>
          </w:tcPr>
          <w:p w14:paraId="67C350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w:t>
            </w:r>
          </w:p>
        </w:tc>
        <w:tc>
          <w:tcPr>
            <w:tcW w:w="1985" w:type="dxa"/>
            <w:tcBorders>
              <w:tl2br w:val="nil"/>
              <w:tr2bl w:val="nil"/>
            </w:tcBorders>
            <w:vAlign w:val="center"/>
          </w:tcPr>
          <w:p w14:paraId="30E101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▲RAID支持</w:t>
            </w:r>
          </w:p>
        </w:tc>
        <w:tc>
          <w:tcPr>
            <w:tcW w:w="4653" w:type="dxa"/>
            <w:tcBorders>
              <w:tl2br w:val="nil"/>
              <w:tr2bl w:val="nil"/>
            </w:tcBorders>
            <w:vAlign w:val="center"/>
          </w:tcPr>
          <w:p w14:paraId="34EE06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操作系统支持硬RAID和软RAID，支持软RAID级别0、1、5、6、10</w:t>
            </w:r>
          </w:p>
        </w:tc>
      </w:tr>
      <w:tr w14:paraId="4178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C15AA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559" w:type="dxa"/>
            <w:vMerge w:val="continue"/>
            <w:tcBorders>
              <w:tl2br w:val="nil"/>
              <w:tr2bl w:val="nil"/>
            </w:tcBorders>
            <w:vAlign w:val="center"/>
          </w:tcPr>
          <w:p w14:paraId="6875FBA5">
            <w:pPr>
              <w:shd w:val="clear"/>
              <w:rPr>
                <w:rFonts w:hint="eastAsia" w:ascii="宋体" w:hAnsi="宋体" w:eastAsia="宋体" w:cs="宋体"/>
                <w:color w:val="auto"/>
                <w:highlight w:val="none"/>
              </w:rPr>
            </w:pPr>
          </w:p>
        </w:tc>
        <w:tc>
          <w:tcPr>
            <w:tcW w:w="1985" w:type="dxa"/>
            <w:tcBorders>
              <w:tl2br w:val="nil"/>
              <w:tr2bl w:val="nil"/>
            </w:tcBorders>
            <w:vAlign w:val="center"/>
          </w:tcPr>
          <w:p w14:paraId="2A6CCC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▲虚拟文件系统</w:t>
            </w:r>
          </w:p>
        </w:tc>
        <w:tc>
          <w:tcPr>
            <w:tcW w:w="4653" w:type="dxa"/>
            <w:tcBorders>
              <w:tl2br w:val="nil"/>
              <w:tr2bl w:val="nil"/>
            </w:tcBorders>
            <w:vAlign w:val="center"/>
          </w:tcPr>
          <w:p w14:paraId="7C07D0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操作系统支持将不同功能的外部设备抽象为统一的文件操作接口，包括存储、输入输出设备</w:t>
            </w:r>
          </w:p>
        </w:tc>
      </w:tr>
      <w:tr w14:paraId="34D4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87C5B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559" w:type="dxa"/>
            <w:vMerge w:val="continue"/>
            <w:tcBorders>
              <w:tl2br w:val="nil"/>
              <w:tr2bl w:val="nil"/>
            </w:tcBorders>
            <w:vAlign w:val="center"/>
          </w:tcPr>
          <w:p w14:paraId="1727534E">
            <w:pPr>
              <w:shd w:val="clear"/>
              <w:rPr>
                <w:rFonts w:hint="eastAsia" w:ascii="宋体" w:hAnsi="宋体" w:eastAsia="宋体" w:cs="宋体"/>
                <w:color w:val="auto"/>
                <w:highlight w:val="none"/>
              </w:rPr>
            </w:pPr>
          </w:p>
        </w:tc>
        <w:tc>
          <w:tcPr>
            <w:tcW w:w="1985" w:type="dxa"/>
            <w:tcBorders>
              <w:tl2br w:val="nil"/>
              <w:tr2bl w:val="nil"/>
            </w:tcBorders>
            <w:vAlign w:val="center"/>
          </w:tcPr>
          <w:p w14:paraId="2345BB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▲文件管理</w:t>
            </w:r>
          </w:p>
        </w:tc>
        <w:tc>
          <w:tcPr>
            <w:tcW w:w="4653" w:type="dxa"/>
            <w:tcBorders>
              <w:tl2br w:val="nil"/>
              <w:tr2bl w:val="nil"/>
            </w:tcBorders>
            <w:vAlign w:val="center"/>
          </w:tcPr>
          <w:p w14:paraId="4AB435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操作系统支持文件存储、检索和共享</w:t>
            </w:r>
          </w:p>
        </w:tc>
      </w:tr>
      <w:tr w14:paraId="553C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B7576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559" w:type="dxa"/>
            <w:vMerge w:val="continue"/>
            <w:tcBorders>
              <w:tl2br w:val="nil"/>
              <w:tr2bl w:val="nil"/>
            </w:tcBorders>
            <w:vAlign w:val="center"/>
          </w:tcPr>
          <w:p w14:paraId="2FE5CD01">
            <w:pPr>
              <w:shd w:val="clear"/>
              <w:rPr>
                <w:rFonts w:hint="eastAsia" w:ascii="宋体" w:hAnsi="宋体" w:eastAsia="宋体" w:cs="宋体"/>
                <w:color w:val="auto"/>
                <w:highlight w:val="none"/>
              </w:rPr>
            </w:pPr>
          </w:p>
        </w:tc>
        <w:tc>
          <w:tcPr>
            <w:tcW w:w="1985" w:type="dxa"/>
            <w:tcBorders>
              <w:tl2br w:val="nil"/>
              <w:tr2bl w:val="nil"/>
            </w:tcBorders>
            <w:vAlign w:val="center"/>
          </w:tcPr>
          <w:p w14:paraId="2F9522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▲可移动存储</w:t>
            </w:r>
          </w:p>
        </w:tc>
        <w:tc>
          <w:tcPr>
            <w:tcW w:w="4653" w:type="dxa"/>
            <w:tcBorders>
              <w:tl2br w:val="nil"/>
              <w:tr2bl w:val="nil"/>
            </w:tcBorders>
            <w:vAlign w:val="center"/>
          </w:tcPr>
          <w:p w14:paraId="57827B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操作系统支持对可移动外部存储的管理，包括启停、禁用、恢复等</w:t>
            </w:r>
          </w:p>
        </w:tc>
      </w:tr>
      <w:tr w14:paraId="120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7C41A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559" w:type="dxa"/>
            <w:vMerge w:val="continue"/>
            <w:tcBorders>
              <w:tl2br w:val="nil"/>
              <w:tr2bl w:val="nil"/>
            </w:tcBorders>
            <w:vAlign w:val="center"/>
          </w:tcPr>
          <w:p w14:paraId="0AE6BEBB">
            <w:pPr>
              <w:shd w:val="clear"/>
              <w:rPr>
                <w:rFonts w:hint="eastAsia" w:ascii="宋体" w:hAnsi="宋体" w:eastAsia="宋体" w:cs="宋体"/>
                <w:color w:val="auto"/>
                <w:highlight w:val="none"/>
              </w:rPr>
            </w:pPr>
          </w:p>
        </w:tc>
        <w:tc>
          <w:tcPr>
            <w:tcW w:w="1985" w:type="dxa"/>
            <w:tcBorders>
              <w:tl2br w:val="nil"/>
              <w:tr2bl w:val="nil"/>
            </w:tcBorders>
            <w:vAlign w:val="center"/>
          </w:tcPr>
          <w:p w14:paraId="35BC74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▲外部独立存储</w:t>
            </w:r>
          </w:p>
        </w:tc>
        <w:tc>
          <w:tcPr>
            <w:tcW w:w="4653" w:type="dxa"/>
            <w:tcBorders>
              <w:tl2br w:val="nil"/>
              <w:tr2bl w:val="nil"/>
            </w:tcBorders>
            <w:vAlign w:val="center"/>
          </w:tcPr>
          <w:p w14:paraId="200A4F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操作系统支持使用外部独立存储设备</w:t>
            </w:r>
          </w:p>
        </w:tc>
      </w:tr>
      <w:tr w14:paraId="3FC0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75AC4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559" w:type="dxa"/>
            <w:vMerge w:val="continue"/>
            <w:tcBorders>
              <w:tl2br w:val="nil"/>
              <w:tr2bl w:val="nil"/>
            </w:tcBorders>
            <w:vAlign w:val="center"/>
          </w:tcPr>
          <w:p w14:paraId="075DFD65">
            <w:pPr>
              <w:shd w:val="clear"/>
              <w:rPr>
                <w:rFonts w:hint="eastAsia" w:ascii="宋体" w:hAnsi="宋体" w:eastAsia="宋体" w:cs="宋体"/>
                <w:color w:val="auto"/>
                <w:highlight w:val="none"/>
              </w:rPr>
            </w:pPr>
          </w:p>
        </w:tc>
        <w:tc>
          <w:tcPr>
            <w:tcW w:w="1985" w:type="dxa"/>
            <w:tcBorders>
              <w:tl2br w:val="nil"/>
              <w:tr2bl w:val="nil"/>
            </w:tcBorders>
            <w:vAlign w:val="center"/>
          </w:tcPr>
          <w:p w14:paraId="1122EF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▲多路径聚合</w:t>
            </w:r>
          </w:p>
        </w:tc>
        <w:tc>
          <w:tcPr>
            <w:tcW w:w="4653" w:type="dxa"/>
            <w:tcBorders>
              <w:tl2br w:val="nil"/>
              <w:tr2bl w:val="nil"/>
            </w:tcBorders>
            <w:vAlign w:val="center"/>
          </w:tcPr>
          <w:p w14:paraId="1866BD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操作系统支持存储多路径聚合及I/O动态负载均衡</w:t>
            </w:r>
          </w:p>
        </w:tc>
      </w:tr>
      <w:tr w14:paraId="1B01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8AB19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559" w:type="dxa"/>
            <w:vMerge w:val="continue"/>
            <w:tcBorders>
              <w:tl2br w:val="nil"/>
              <w:tr2bl w:val="nil"/>
            </w:tcBorders>
            <w:vAlign w:val="center"/>
          </w:tcPr>
          <w:p w14:paraId="4AA658A9">
            <w:pPr>
              <w:shd w:val="clear"/>
              <w:rPr>
                <w:rFonts w:hint="eastAsia" w:ascii="宋体" w:hAnsi="宋体" w:eastAsia="宋体" w:cs="宋体"/>
                <w:color w:val="auto"/>
                <w:highlight w:val="none"/>
              </w:rPr>
            </w:pPr>
          </w:p>
        </w:tc>
        <w:tc>
          <w:tcPr>
            <w:tcW w:w="1985" w:type="dxa"/>
            <w:tcBorders>
              <w:tl2br w:val="nil"/>
              <w:tr2bl w:val="nil"/>
            </w:tcBorders>
            <w:vAlign w:val="center"/>
          </w:tcPr>
          <w:p w14:paraId="7631EF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4653" w:type="dxa"/>
            <w:tcBorders>
              <w:tl2br w:val="nil"/>
              <w:tr2bl w:val="nil"/>
            </w:tcBorders>
            <w:vAlign w:val="center"/>
          </w:tcPr>
          <w:p w14:paraId="6B3272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操作系统支持硬盘损坏或老化检测及信息收集</w:t>
            </w:r>
          </w:p>
        </w:tc>
      </w:tr>
      <w:tr w14:paraId="000C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F5C2D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559" w:type="dxa"/>
            <w:vMerge w:val="continue"/>
            <w:tcBorders>
              <w:tl2br w:val="nil"/>
              <w:tr2bl w:val="nil"/>
            </w:tcBorders>
            <w:vAlign w:val="center"/>
          </w:tcPr>
          <w:p w14:paraId="18953BBF">
            <w:pPr>
              <w:shd w:val="clear"/>
              <w:rPr>
                <w:rFonts w:hint="eastAsia" w:ascii="宋体" w:hAnsi="宋体" w:eastAsia="宋体" w:cs="宋体"/>
                <w:color w:val="auto"/>
                <w:highlight w:val="none"/>
              </w:rPr>
            </w:pPr>
          </w:p>
        </w:tc>
        <w:tc>
          <w:tcPr>
            <w:tcW w:w="1985" w:type="dxa"/>
            <w:tcBorders>
              <w:tl2br w:val="nil"/>
              <w:tr2bl w:val="nil"/>
            </w:tcBorders>
            <w:vAlign w:val="center"/>
          </w:tcPr>
          <w:p w14:paraId="0A7C97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▲虚拟内存</w:t>
            </w:r>
          </w:p>
        </w:tc>
        <w:tc>
          <w:tcPr>
            <w:tcW w:w="4653" w:type="dxa"/>
            <w:tcBorders>
              <w:tl2br w:val="nil"/>
              <w:tr2bl w:val="nil"/>
            </w:tcBorders>
            <w:vAlign w:val="center"/>
          </w:tcPr>
          <w:p w14:paraId="565DD6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操作系统支持将硬盘的特定分区或文件作为虚拟扩展内存用于存放内存数据，支持虚拟内存压缩</w:t>
            </w:r>
          </w:p>
        </w:tc>
      </w:tr>
      <w:tr w14:paraId="2CBE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A1741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559" w:type="dxa"/>
            <w:vMerge w:val="continue"/>
            <w:tcBorders>
              <w:tl2br w:val="nil"/>
              <w:tr2bl w:val="nil"/>
            </w:tcBorders>
            <w:vAlign w:val="center"/>
          </w:tcPr>
          <w:p w14:paraId="34720FCD">
            <w:pPr>
              <w:shd w:val="clear"/>
              <w:rPr>
                <w:rFonts w:hint="eastAsia" w:ascii="宋体" w:hAnsi="宋体" w:eastAsia="宋体" w:cs="宋体"/>
                <w:color w:val="auto"/>
                <w:highlight w:val="none"/>
              </w:rPr>
            </w:pPr>
          </w:p>
        </w:tc>
        <w:tc>
          <w:tcPr>
            <w:tcW w:w="1985" w:type="dxa"/>
            <w:tcBorders>
              <w:tl2br w:val="nil"/>
              <w:tr2bl w:val="nil"/>
            </w:tcBorders>
            <w:vAlign w:val="center"/>
          </w:tcPr>
          <w:p w14:paraId="36EE54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▲网络块设备挂载</w:t>
            </w:r>
          </w:p>
        </w:tc>
        <w:tc>
          <w:tcPr>
            <w:tcW w:w="4653" w:type="dxa"/>
            <w:tcBorders>
              <w:tl2br w:val="nil"/>
              <w:tr2bl w:val="nil"/>
            </w:tcBorders>
            <w:vAlign w:val="center"/>
          </w:tcPr>
          <w:p w14:paraId="7667F9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操作系统支持FCoE、iSCSI，支持将Ceph块设备视为常规存储设备挂载到某个目录并作为标准文件系统使用</w:t>
            </w:r>
          </w:p>
        </w:tc>
      </w:tr>
      <w:tr w14:paraId="3A54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8A84D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559" w:type="dxa"/>
            <w:vMerge w:val="restart"/>
            <w:tcBorders>
              <w:tl2br w:val="nil"/>
              <w:tr2bl w:val="nil"/>
            </w:tcBorders>
            <w:vAlign w:val="center"/>
          </w:tcPr>
          <w:p w14:paraId="048727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w:t>
            </w:r>
          </w:p>
        </w:tc>
        <w:tc>
          <w:tcPr>
            <w:tcW w:w="1985" w:type="dxa"/>
            <w:tcBorders>
              <w:tl2br w:val="nil"/>
              <w:tr2bl w:val="nil"/>
            </w:tcBorders>
            <w:vAlign w:val="center"/>
          </w:tcPr>
          <w:p w14:paraId="221EC6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▲网络链路检测</w:t>
            </w:r>
          </w:p>
        </w:tc>
        <w:tc>
          <w:tcPr>
            <w:tcW w:w="4653" w:type="dxa"/>
            <w:tcBorders>
              <w:tl2br w:val="nil"/>
              <w:tr2bl w:val="nil"/>
            </w:tcBorders>
            <w:vAlign w:val="center"/>
          </w:tcPr>
          <w:p w14:paraId="570919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操作系统支持网络链路故障检测、链路事件通知和链路状态查询</w:t>
            </w:r>
          </w:p>
        </w:tc>
      </w:tr>
      <w:tr w14:paraId="788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F1AEF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559" w:type="dxa"/>
            <w:vMerge w:val="continue"/>
            <w:tcBorders>
              <w:tl2br w:val="nil"/>
              <w:tr2bl w:val="nil"/>
            </w:tcBorders>
            <w:vAlign w:val="center"/>
          </w:tcPr>
          <w:p w14:paraId="0F1DC9D1">
            <w:pPr>
              <w:shd w:val="clear"/>
              <w:rPr>
                <w:rFonts w:hint="eastAsia" w:ascii="宋体" w:hAnsi="宋体" w:eastAsia="宋体" w:cs="宋体"/>
                <w:color w:val="auto"/>
                <w:highlight w:val="none"/>
              </w:rPr>
            </w:pPr>
          </w:p>
        </w:tc>
        <w:tc>
          <w:tcPr>
            <w:tcW w:w="1985" w:type="dxa"/>
            <w:tcBorders>
              <w:tl2br w:val="nil"/>
              <w:tr2bl w:val="nil"/>
            </w:tcBorders>
            <w:vAlign w:val="center"/>
          </w:tcPr>
          <w:p w14:paraId="7CF6D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▲TCP卸载引擎</w:t>
            </w:r>
          </w:p>
        </w:tc>
        <w:tc>
          <w:tcPr>
            <w:tcW w:w="4653" w:type="dxa"/>
            <w:tcBorders>
              <w:tl2br w:val="nil"/>
              <w:tr2bl w:val="nil"/>
            </w:tcBorders>
            <w:vAlign w:val="center"/>
          </w:tcPr>
          <w:p w14:paraId="239416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操作系统支持运行TCP协议卸载引擎的网卡</w:t>
            </w:r>
          </w:p>
        </w:tc>
      </w:tr>
      <w:tr w14:paraId="070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701A2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559" w:type="dxa"/>
            <w:vMerge w:val="continue"/>
            <w:tcBorders>
              <w:tl2br w:val="nil"/>
              <w:tr2bl w:val="nil"/>
            </w:tcBorders>
            <w:vAlign w:val="center"/>
          </w:tcPr>
          <w:p w14:paraId="5916278A">
            <w:pPr>
              <w:shd w:val="clear"/>
              <w:rPr>
                <w:rFonts w:hint="eastAsia" w:ascii="宋体" w:hAnsi="宋体" w:eastAsia="宋体" w:cs="宋体"/>
                <w:color w:val="auto"/>
                <w:highlight w:val="none"/>
              </w:rPr>
            </w:pPr>
          </w:p>
        </w:tc>
        <w:tc>
          <w:tcPr>
            <w:tcW w:w="1985" w:type="dxa"/>
            <w:tcBorders>
              <w:tl2br w:val="nil"/>
              <w:tr2bl w:val="nil"/>
            </w:tcBorders>
            <w:vAlign w:val="center"/>
          </w:tcPr>
          <w:p w14:paraId="74AB31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▲网络协议</w:t>
            </w:r>
          </w:p>
        </w:tc>
        <w:tc>
          <w:tcPr>
            <w:tcW w:w="4653" w:type="dxa"/>
            <w:tcBorders>
              <w:tl2br w:val="nil"/>
              <w:tr2bl w:val="nil"/>
            </w:tcBorders>
            <w:vAlign w:val="center"/>
          </w:tcPr>
          <w:p w14:paraId="65D26A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操作系统支持IPv4、IPv6</w:t>
            </w:r>
          </w:p>
        </w:tc>
      </w:tr>
      <w:tr w14:paraId="2CC7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E74B4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559" w:type="dxa"/>
            <w:vMerge w:val="continue"/>
            <w:tcBorders>
              <w:tl2br w:val="nil"/>
              <w:tr2bl w:val="nil"/>
            </w:tcBorders>
            <w:vAlign w:val="center"/>
          </w:tcPr>
          <w:p w14:paraId="6C198626">
            <w:pPr>
              <w:shd w:val="clear"/>
              <w:rPr>
                <w:rFonts w:hint="eastAsia" w:ascii="宋体" w:hAnsi="宋体" w:eastAsia="宋体" w:cs="宋体"/>
                <w:color w:val="auto"/>
                <w:highlight w:val="none"/>
              </w:rPr>
            </w:pPr>
          </w:p>
        </w:tc>
        <w:tc>
          <w:tcPr>
            <w:tcW w:w="1985" w:type="dxa"/>
            <w:tcBorders>
              <w:tl2br w:val="nil"/>
              <w:tr2bl w:val="nil"/>
            </w:tcBorders>
            <w:vAlign w:val="center"/>
          </w:tcPr>
          <w:p w14:paraId="191228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▲多网卡绑定</w:t>
            </w:r>
          </w:p>
        </w:tc>
        <w:tc>
          <w:tcPr>
            <w:tcW w:w="4653" w:type="dxa"/>
            <w:tcBorders>
              <w:tl2br w:val="nil"/>
              <w:tr2bl w:val="nil"/>
            </w:tcBorders>
            <w:vAlign w:val="center"/>
          </w:tcPr>
          <w:p w14:paraId="0A427D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操作系统支持多网卡绑定</w:t>
            </w:r>
          </w:p>
        </w:tc>
      </w:tr>
      <w:tr w14:paraId="4833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B9113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559" w:type="dxa"/>
            <w:vMerge w:val="restart"/>
            <w:tcBorders>
              <w:tl2br w:val="nil"/>
              <w:tr2bl w:val="nil"/>
            </w:tcBorders>
            <w:vAlign w:val="center"/>
          </w:tcPr>
          <w:p w14:paraId="5F352D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w:t>
            </w:r>
          </w:p>
        </w:tc>
        <w:tc>
          <w:tcPr>
            <w:tcW w:w="1985" w:type="dxa"/>
            <w:tcBorders>
              <w:tl2br w:val="nil"/>
              <w:tr2bl w:val="nil"/>
            </w:tcBorders>
            <w:vAlign w:val="center"/>
          </w:tcPr>
          <w:p w14:paraId="1B6309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▲文件系统支持</w:t>
            </w:r>
          </w:p>
        </w:tc>
        <w:tc>
          <w:tcPr>
            <w:tcW w:w="4653" w:type="dxa"/>
            <w:tcBorders>
              <w:tl2br w:val="nil"/>
              <w:tr2bl w:val="nil"/>
            </w:tcBorders>
            <w:vAlign w:val="center"/>
          </w:tcPr>
          <w:p w14:paraId="09E902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操作系统支持XFS、EXT3、EXT4、NTFS、FAT32等文件系统，支持相应格式分区创建、删除、格式化等</w:t>
            </w:r>
          </w:p>
        </w:tc>
      </w:tr>
      <w:tr w14:paraId="5F3A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8EAA7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559" w:type="dxa"/>
            <w:vMerge w:val="continue"/>
            <w:tcBorders>
              <w:tl2br w:val="nil"/>
              <w:tr2bl w:val="nil"/>
            </w:tcBorders>
            <w:vAlign w:val="center"/>
          </w:tcPr>
          <w:p w14:paraId="783DEB73">
            <w:pPr>
              <w:shd w:val="clear"/>
              <w:rPr>
                <w:rFonts w:hint="eastAsia" w:ascii="宋体" w:hAnsi="宋体" w:eastAsia="宋体" w:cs="宋体"/>
                <w:color w:val="auto"/>
                <w:highlight w:val="none"/>
              </w:rPr>
            </w:pPr>
          </w:p>
        </w:tc>
        <w:tc>
          <w:tcPr>
            <w:tcW w:w="1985" w:type="dxa"/>
            <w:tcBorders>
              <w:tl2br w:val="nil"/>
              <w:tr2bl w:val="nil"/>
            </w:tcBorders>
            <w:vAlign w:val="center"/>
          </w:tcPr>
          <w:p w14:paraId="02E5DD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▲日志式文件系统</w:t>
            </w:r>
          </w:p>
        </w:tc>
        <w:tc>
          <w:tcPr>
            <w:tcW w:w="4653" w:type="dxa"/>
            <w:tcBorders>
              <w:tl2br w:val="nil"/>
              <w:tr2bl w:val="nil"/>
            </w:tcBorders>
            <w:vAlign w:val="center"/>
          </w:tcPr>
          <w:p w14:paraId="5E2DFE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操作系统支持日志式文件系统</w:t>
            </w:r>
          </w:p>
        </w:tc>
      </w:tr>
      <w:tr w14:paraId="793B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14476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559" w:type="dxa"/>
            <w:vMerge w:val="continue"/>
            <w:tcBorders>
              <w:tl2br w:val="nil"/>
              <w:tr2bl w:val="nil"/>
            </w:tcBorders>
            <w:vAlign w:val="center"/>
          </w:tcPr>
          <w:p w14:paraId="5A124153">
            <w:pPr>
              <w:shd w:val="clear"/>
              <w:rPr>
                <w:rFonts w:hint="eastAsia" w:ascii="宋体" w:hAnsi="宋体" w:eastAsia="宋体" w:cs="宋体"/>
                <w:color w:val="auto"/>
                <w:highlight w:val="none"/>
              </w:rPr>
            </w:pPr>
          </w:p>
        </w:tc>
        <w:tc>
          <w:tcPr>
            <w:tcW w:w="1985" w:type="dxa"/>
            <w:tcBorders>
              <w:tl2br w:val="nil"/>
              <w:tr2bl w:val="nil"/>
            </w:tcBorders>
            <w:vAlign w:val="center"/>
          </w:tcPr>
          <w:p w14:paraId="63F349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▲文件处理能力</w:t>
            </w:r>
          </w:p>
        </w:tc>
        <w:tc>
          <w:tcPr>
            <w:tcW w:w="4653" w:type="dxa"/>
            <w:tcBorders>
              <w:tl2br w:val="nil"/>
              <w:tr2bl w:val="nil"/>
            </w:tcBorders>
            <w:vAlign w:val="center"/>
          </w:tcPr>
          <w:p w14:paraId="1E5181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操作系统支持最大文件不小于4TB，最大分区与文件系统不小于10PB，最大文件名长度不小于255字节</w:t>
            </w:r>
          </w:p>
        </w:tc>
      </w:tr>
      <w:tr w14:paraId="067D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CCAB7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559" w:type="dxa"/>
            <w:vMerge w:val="continue"/>
            <w:tcBorders>
              <w:tl2br w:val="nil"/>
              <w:tr2bl w:val="nil"/>
            </w:tcBorders>
            <w:vAlign w:val="center"/>
          </w:tcPr>
          <w:p w14:paraId="5DDAF9AE">
            <w:pPr>
              <w:shd w:val="clear"/>
              <w:rPr>
                <w:rFonts w:hint="eastAsia" w:ascii="宋体" w:hAnsi="宋体" w:eastAsia="宋体" w:cs="宋体"/>
                <w:color w:val="auto"/>
                <w:highlight w:val="none"/>
              </w:rPr>
            </w:pPr>
          </w:p>
        </w:tc>
        <w:tc>
          <w:tcPr>
            <w:tcW w:w="1985" w:type="dxa"/>
            <w:tcBorders>
              <w:tl2br w:val="nil"/>
              <w:tr2bl w:val="nil"/>
            </w:tcBorders>
            <w:vAlign w:val="center"/>
          </w:tcPr>
          <w:p w14:paraId="7FE3E5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▲分区大小调整</w:t>
            </w:r>
          </w:p>
        </w:tc>
        <w:tc>
          <w:tcPr>
            <w:tcW w:w="4653" w:type="dxa"/>
            <w:tcBorders>
              <w:tl2br w:val="nil"/>
              <w:tr2bl w:val="nil"/>
            </w:tcBorders>
            <w:vAlign w:val="center"/>
          </w:tcPr>
          <w:p w14:paraId="00B128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操作系统支持动态调整分区大小，对系统分区容量进行改变</w:t>
            </w:r>
          </w:p>
        </w:tc>
      </w:tr>
      <w:tr w14:paraId="544B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9301E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559" w:type="dxa"/>
            <w:vMerge w:val="restart"/>
            <w:tcBorders>
              <w:tl2br w:val="nil"/>
              <w:tr2bl w:val="nil"/>
            </w:tcBorders>
            <w:vAlign w:val="center"/>
          </w:tcPr>
          <w:p w14:paraId="3F59B2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▲应用开发运行环境</w:t>
            </w:r>
          </w:p>
        </w:tc>
        <w:tc>
          <w:tcPr>
            <w:tcW w:w="1985" w:type="dxa"/>
            <w:tcBorders>
              <w:tl2br w:val="nil"/>
              <w:tr2bl w:val="nil"/>
            </w:tcBorders>
            <w:vAlign w:val="center"/>
          </w:tcPr>
          <w:p w14:paraId="3CFD16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▲集成开发环境/开发框架</w:t>
            </w:r>
          </w:p>
        </w:tc>
        <w:tc>
          <w:tcPr>
            <w:tcW w:w="4653" w:type="dxa"/>
            <w:tcBorders>
              <w:tl2br w:val="nil"/>
              <w:tr2bl w:val="nil"/>
            </w:tcBorders>
            <w:vAlign w:val="center"/>
          </w:tcPr>
          <w:p w14:paraId="147D60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操作系统通过内置、软件仓库或附加光盘等方式提供开发环境，包括Qt、Eclipse、VSCode等</w:t>
            </w:r>
          </w:p>
        </w:tc>
      </w:tr>
      <w:tr w14:paraId="62DD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75E0B6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559" w:type="dxa"/>
            <w:vMerge w:val="continue"/>
            <w:tcBorders>
              <w:tl2br w:val="nil"/>
              <w:tr2bl w:val="nil"/>
            </w:tcBorders>
            <w:vAlign w:val="center"/>
          </w:tcPr>
          <w:p w14:paraId="464D5F61">
            <w:pPr>
              <w:shd w:val="clear"/>
              <w:rPr>
                <w:rFonts w:hint="eastAsia" w:ascii="宋体" w:hAnsi="宋体" w:eastAsia="宋体" w:cs="宋体"/>
                <w:color w:val="auto"/>
                <w:highlight w:val="none"/>
              </w:rPr>
            </w:pPr>
          </w:p>
        </w:tc>
        <w:tc>
          <w:tcPr>
            <w:tcW w:w="1985" w:type="dxa"/>
            <w:tcBorders>
              <w:tl2br w:val="nil"/>
              <w:tr2bl w:val="nil"/>
            </w:tcBorders>
            <w:vAlign w:val="center"/>
          </w:tcPr>
          <w:p w14:paraId="48B080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▲开发工具库</w:t>
            </w:r>
          </w:p>
        </w:tc>
        <w:tc>
          <w:tcPr>
            <w:tcW w:w="4653" w:type="dxa"/>
            <w:tcBorders>
              <w:tl2br w:val="nil"/>
              <w:tr2bl w:val="nil"/>
            </w:tcBorders>
            <w:vAlign w:val="center"/>
          </w:tcPr>
          <w:p w14:paraId="035431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操作系统通过内置、软件仓库或附加光盘等方式提供开发库，包括GNUC、GNUC++、Java、Qt、Gtk+、Cairo、OpenGL、Perl、Python、Ruby、Rust、Golang、JS等</w:t>
            </w:r>
          </w:p>
        </w:tc>
      </w:tr>
      <w:tr w14:paraId="6D0D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12B63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559" w:type="dxa"/>
            <w:vMerge w:val="continue"/>
            <w:tcBorders>
              <w:tl2br w:val="nil"/>
              <w:tr2bl w:val="nil"/>
            </w:tcBorders>
            <w:vAlign w:val="center"/>
          </w:tcPr>
          <w:p w14:paraId="04926D3C">
            <w:pPr>
              <w:shd w:val="clear"/>
              <w:rPr>
                <w:rFonts w:hint="eastAsia" w:ascii="宋体" w:hAnsi="宋体" w:eastAsia="宋体" w:cs="宋体"/>
                <w:color w:val="auto"/>
                <w:highlight w:val="none"/>
              </w:rPr>
            </w:pPr>
          </w:p>
        </w:tc>
        <w:tc>
          <w:tcPr>
            <w:tcW w:w="1985" w:type="dxa"/>
            <w:tcBorders>
              <w:tl2br w:val="nil"/>
              <w:tr2bl w:val="nil"/>
            </w:tcBorders>
            <w:vAlign w:val="center"/>
          </w:tcPr>
          <w:p w14:paraId="76C3E1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▲编译器开发工具</w:t>
            </w:r>
          </w:p>
        </w:tc>
        <w:tc>
          <w:tcPr>
            <w:tcW w:w="4653" w:type="dxa"/>
            <w:tcBorders>
              <w:tl2br w:val="nil"/>
              <w:tr2bl w:val="nil"/>
            </w:tcBorders>
            <w:vAlign w:val="center"/>
          </w:tcPr>
          <w:p w14:paraId="587470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操作系统通过内置、软件仓库或附加光盘等方式提供编译开发工具，包括GCC、G++、Binutils、GDB、Make、CMake等</w:t>
            </w:r>
          </w:p>
        </w:tc>
      </w:tr>
      <w:tr w14:paraId="027F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B9690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559" w:type="dxa"/>
            <w:vMerge w:val="continue"/>
            <w:tcBorders>
              <w:tl2br w:val="nil"/>
              <w:tr2bl w:val="nil"/>
            </w:tcBorders>
            <w:vAlign w:val="center"/>
          </w:tcPr>
          <w:p w14:paraId="5EB7C091">
            <w:pPr>
              <w:shd w:val="clear"/>
              <w:rPr>
                <w:rFonts w:hint="eastAsia" w:ascii="宋体" w:hAnsi="宋体" w:eastAsia="宋体" w:cs="宋体"/>
                <w:color w:val="auto"/>
                <w:highlight w:val="none"/>
              </w:rPr>
            </w:pPr>
          </w:p>
        </w:tc>
        <w:tc>
          <w:tcPr>
            <w:tcW w:w="1985" w:type="dxa"/>
            <w:tcBorders>
              <w:tl2br w:val="nil"/>
              <w:tr2bl w:val="nil"/>
            </w:tcBorders>
            <w:vAlign w:val="center"/>
          </w:tcPr>
          <w:p w14:paraId="5F68EC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▲文本编辑工具</w:t>
            </w:r>
          </w:p>
        </w:tc>
        <w:tc>
          <w:tcPr>
            <w:tcW w:w="4653" w:type="dxa"/>
            <w:tcBorders>
              <w:tl2br w:val="nil"/>
              <w:tr2bl w:val="nil"/>
            </w:tcBorders>
            <w:vAlign w:val="center"/>
          </w:tcPr>
          <w:p w14:paraId="74F94E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操作系统通过内置、软件仓库或附加光盘等方式提供文本编辑工具，包括Emacs、Vim等</w:t>
            </w:r>
          </w:p>
        </w:tc>
      </w:tr>
      <w:tr w14:paraId="62E1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E097B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559" w:type="dxa"/>
            <w:vMerge w:val="continue"/>
            <w:tcBorders>
              <w:tl2br w:val="nil"/>
              <w:tr2bl w:val="nil"/>
            </w:tcBorders>
            <w:vAlign w:val="center"/>
          </w:tcPr>
          <w:p w14:paraId="601B0B1D">
            <w:pPr>
              <w:shd w:val="clear"/>
              <w:rPr>
                <w:rFonts w:hint="eastAsia" w:ascii="宋体" w:hAnsi="宋体" w:eastAsia="宋体" w:cs="宋体"/>
                <w:color w:val="auto"/>
                <w:highlight w:val="none"/>
              </w:rPr>
            </w:pPr>
          </w:p>
        </w:tc>
        <w:tc>
          <w:tcPr>
            <w:tcW w:w="1985" w:type="dxa"/>
            <w:tcBorders>
              <w:tl2br w:val="nil"/>
              <w:tr2bl w:val="nil"/>
            </w:tcBorders>
            <w:vAlign w:val="center"/>
          </w:tcPr>
          <w:p w14:paraId="70E64C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▲软件包管理</w:t>
            </w:r>
          </w:p>
        </w:tc>
        <w:tc>
          <w:tcPr>
            <w:tcW w:w="4653" w:type="dxa"/>
            <w:tcBorders>
              <w:tl2br w:val="nil"/>
              <w:tr2bl w:val="nil"/>
            </w:tcBorders>
            <w:vAlign w:val="center"/>
          </w:tcPr>
          <w:p w14:paraId="0FF91D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操作系统支持查询软件包描述和包含文件，以及软件包依赖；支持在安装时自动提示并下载安装缺失的依赖软件包</w:t>
            </w:r>
          </w:p>
        </w:tc>
      </w:tr>
      <w:tr w14:paraId="13FD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ED997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559" w:type="dxa"/>
            <w:vMerge w:val="continue"/>
            <w:tcBorders>
              <w:tl2br w:val="nil"/>
              <w:tr2bl w:val="nil"/>
            </w:tcBorders>
            <w:vAlign w:val="center"/>
          </w:tcPr>
          <w:p w14:paraId="699A89F4">
            <w:pPr>
              <w:shd w:val="clear"/>
              <w:rPr>
                <w:rFonts w:hint="eastAsia" w:ascii="宋体" w:hAnsi="宋体" w:eastAsia="宋体" w:cs="宋体"/>
                <w:color w:val="auto"/>
                <w:highlight w:val="none"/>
              </w:rPr>
            </w:pPr>
          </w:p>
        </w:tc>
        <w:tc>
          <w:tcPr>
            <w:tcW w:w="1985" w:type="dxa"/>
            <w:tcBorders>
              <w:tl2br w:val="nil"/>
              <w:tr2bl w:val="nil"/>
            </w:tcBorders>
            <w:vAlign w:val="center"/>
          </w:tcPr>
          <w:p w14:paraId="1495B3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▲开发文档</w:t>
            </w:r>
          </w:p>
        </w:tc>
        <w:tc>
          <w:tcPr>
            <w:tcW w:w="4653" w:type="dxa"/>
            <w:tcBorders>
              <w:tl2br w:val="nil"/>
              <w:tr2bl w:val="nil"/>
            </w:tcBorders>
            <w:vAlign w:val="center"/>
          </w:tcPr>
          <w:p w14:paraId="696DF9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投标人应提供软件开发参考文档、驱动开发参考文档、应用移植开发文档、API文档</w:t>
            </w:r>
          </w:p>
        </w:tc>
      </w:tr>
      <w:tr w14:paraId="37D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40996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559" w:type="dxa"/>
            <w:vMerge w:val="restart"/>
            <w:tcBorders>
              <w:tl2br w:val="nil"/>
              <w:tr2bl w:val="nil"/>
            </w:tcBorders>
            <w:vAlign w:val="center"/>
          </w:tcPr>
          <w:p w14:paraId="25199D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▲服务支持</w:t>
            </w:r>
          </w:p>
        </w:tc>
        <w:tc>
          <w:tcPr>
            <w:tcW w:w="1985" w:type="dxa"/>
            <w:tcBorders>
              <w:tl2br w:val="nil"/>
              <w:tr2bl w:val="nil"/>
            </w:tcBorders>
            <w:vAlign w:val="center"/>
          </w:tcPr>
          <w:p w14:paraId="1EE537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▲网络服务</w:t>
            </w:r>
          </w:p>
        </w:tc>
        <w:tc>
          <w:tcPr>
            <w:tcW w:w="4653" w:type="dxa"/>
            <w:tcBorders>
              <w:tl2br w:val="nil"/>
              <w:tr2bl w:val="nil"/>
            </w:tcBorders>
            <w:vAlign w:val="center"/>
          </w:tcPr>
          <w:p w14:paraId="02F5C4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操作系统支持TCP/UDP</w:t>
            </w:r>
          </w:p>
        </w:tc>
      </w:tr>
      <w:tr w14:paraId="788C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65A35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559" w:type="dxa"/>
            <w:vMerge w:val="continue"/>
            <w:tcBorders>
              <w:tl2br w:val="nil"/>
              <w:tr2bl w:val="nil"/>
            </w:tcBorders>
            <w:vAlign w:val="center"/>
          </w:tcPr>
          <w:p w14:paraId="500C1E48">
            <w:pPr>
              <w:shd w:val="clear"/>
              <w:rPr>
                <w:rFonts w:hint="eastAsia" w:ascii="宋体" w:hAnsi="宋体" w:eastAsia="宋体" w:cs="宋体"/>
                <w:color w:val="auto"/>
                <w:highlight w:val="none"/>
              </w:rPr>
            </w:pPr>
          </w:p>
        </w:tc>
        <w:tc>
          <w:tcPr>
            <w:tcW w:w="1985" w:type="dxa"/>
            <w:tcBorders>
              <w:tl2br w:val="nil"/>
              <w:tr2bl w:val="nil"/>
            </w:tcBorders>
            <w:vAlign w:val="center"/>
          </w:tcPr>
          <w:p w14:paraId="41ED74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▲网络共享</w:t>
            </w:r>
          </w:p>
        </w:tc>
        <w:tc>
          <w:tcPr>
            <w:tcW w:w="4653" w:type="dxa"/>
            <w:tcBorders>
              <w:tl2br w:val="nil"/>
              <w:tr2bl w:val="nil"/>
            </w:tcBorders>
            <w:vAlign w:val="center"/>
          </w:tcPr>
          <w:p w14:paraId="67699C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操作系统支持基于NFS、SMB、FTP、CIFS等协议的数据网络共享服务</w:t>
            </w:r>
          </w:p>
        </w:tc>
      </w:tr>
      <w:tr w14:paraId="20D0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D1679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559" w:type="dxa"/>
            <w:vMerge w:val="continue"/>
            <w:tcBorders>
              <w:tl2br w:val="nil"/>
              <w:tr2bl w:val="nil"/>
            </w:tcBorders>
            <w:vAlign w:val="center"/>
          </w:tcPr>
          <w:p w14:paraId="35E81F32">
            <w:pPr>
              <w:shd w:val="clear"/>
              <w:rPr>
                <w:rFonts w:hint="eastAsia" w:ascii="宋体" w:hAnsi="宋体" w:eastAsia="宋体" w:cs="宋体"/>
                <w:color w:val="auto"/>
                <w:highlight w:val="none"/>
              </w:rPr>
            </w:pPr>
          </w:p>
        </w:tc>
        <w:tc>
          <w:tcPr>
            <w:tcW w:w="1985" w:type="dxa"/>
            <w:tcBorders>
              <w:tl2br w:val="nil"/>
              <w:tr2bl w:val="nil"/>
            </w:tcBorders>
            <w:vAlign w:val="center"/>
          </w:tcPr>
          <w:p w14:paraId="7FA5B6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▲WEB服务</w:t>
            </w:r>
          </w:p>
        </w:tc>
        <w:tc>
          <w:tcPr>
            <w:tcW w:w="4653" w:type="dxa"/>
            <w:tcBorders>
              <w:tl2br w:val="nil"/>
              <w:tr2bl w:val="nil"/>
            </w:tcBorders>
            <w:vAlign w:val="center"/>
          </w:tcPr>
          <w:p w14:paraId="26AD36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操作系统支持基于HTTP、HTTPS、FastCGI等协议WEB服务</w:t>
            </w:r>
          </w:p>
        </w:tc>
      </w:tr>
      <w:tr w14:paraId="1E08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77B7E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559" w:type="dxa"/>
            <w:vMerge w:val="continue"/>
            <w:tcBorders>
              <w:tl2br w:val="nil"/>
              <w:tr2bl w:val="nil"/>
            </w:tcBorders>
            <w:vAlign w:val="center"/>
          </w:tcPr>
          <w:p w14:paraId="3AD9BB97">
            <w:pPr>
              <w:shd w:val="clear"/>
              <w:rPr>
                <w:rFonts w:hint="eastAsia" w:ascii="宋体" w:hAnsi="宋体" w:eastAsia="宋体" w:cs="宋体"/>
                <w:color w:val="auto"/>
                <w:highlight w:val="none"/>
              </w:rPr>
            </w:pPr>
          </w:p>
        </w:tc>
        <w:tc>
          <w:tcPr>
            <w:tcW w:w="1985" w:type="dxa"/>
            <w:tcBorders>
              <w:tl2br w:val="nil"/>
              <w:tr2bl w:val="nil"/>
            </w:tcBorders>
            <w:vAlign w:val="center"/>
          </w:tcPr>
          <w:p w14:paraId="2E96B3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▲加密传输服务</w:t>
            </w:r>
          </w:p>
        </w:tc>
        <w:tc>
          <w:tcPr>
            <w:tcW w:w="4653" w:type="dxa"/>
            <w:tcBorders>
              <w:tl2br w:val="nil"/>
              <w:tr2bl w:val="nil"/>
            </w:tcBorders>
            <w:vAlign w:val="center"/>
          </w:tcPr>
          <w:p w14:paraId="0A3EBB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操作系统支持基于IPSec和SSL协议的隧道加密传输服务</w:t>
            </w:r>
          </w:p>
        </w:tc>
      </w:tr>
      <w:tr w14:paraId="52D3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DD2F3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559" w:type="dxa"/>
            <w:vMerge w:val="continue"/>
            <w:tcBorders>
              <w:tl2br w:val="nil"/>
              <w:tr2bl w:val="nil"/>
            </w:tcBorders>
            <w:vAlign w:val="center"/>
          </w:tcPr>
          <w:p w14:paraId="484B6662">
            <w:pPr>
              <w:shd w:val="clear"/>
              <w:rPr>
                <w:rFonts w:hint="eastAsia" w:ascii="宋体" w:hAnsi="宋体" w:eastAsia="宋体" w:cs="宋体"/>
                <w:color w:val="auto"/>
                <w:highlight w:val="none"/>
              </w:rPr>
            </w:pPr>
          </w:p>
        </w:tc>
        <w:tc>
          <w:tcPr>
            <w:tcW w:w="1985" w:type="dxa"/>
            <w:tcBorders>
              <w:tl2br w:val="nil"/>
              <w:tr2bl w:val="nil"/>
            </w:tcBorders>
            <w:vAlign w:val="center"/>
          </w:tcPr>
          <w:p w14:paraId="4DDBAD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▲数字证书服务</w:t>
            </w:r>
          </w:p>
        </w:tc>
        <w:tc>
          <w:tcPr>
            <w:tcW w:w="4653" w:type="dxa"/>
            <w:tcBorders>
              <w:tl2br w:val="nil"/>
              <w:tr2bl w:val="nil"/>
            </w:tcBorders>
            <w:vAlign w:val="center"/>
          </w:tcPr>
          <w:p w14:paraId="38049E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操作系统支持基于PKI体系的数字证书服务</w:t>
            </w:r>
          </w:p>
        </w:tc>
      </w:tr>
      <w:tr w14:paraId="373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64878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559" w:type="dxa"/>
            <w:vMerge w:val="continue"/>
            <w:tcBorders>
              <w:tl2br w:val="nil"/>
              <w:tr2bl w:val="nil"/>
            </w:tcBorders>
            <w:vAlign w:val="center"/>
          </w:tcPr>
          <w:p w14:paraId="7C91DE2B">
            <w:pPr>
              <w:shd w:val="clear"/>
              <w:rPr>
                <w:rFonts w:hint="eastAsia" w:ascii="宋体" w:hAnsi="宋体" w:eastAsia="宋体" w:cs="宋体"/>
                <w:color w:val="auto"/>
                <w:highlight w:val="none"/>
              </w:rPr>
            </w:pPr>
          </w:p>
        </w:tc>
        <w:tc>
          <w:tcPr>
            <w:tcW w:w="1985" w:type="dxa"/>
            <w:tcBorders>
              <w:tl2br w:val="nil"/>
              <w:tr2bl w:val="nil"/>
            </w:tcBorders>
            <w:vAlign w:val="center"/>
          </w:tcPr>
          <w:p w14:paraId="56BA16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▲访问控制服务</w:t>
            </w:r>
          </w:p>
        </w:tc>
        <w:tc>
          <w:tcPr>
            <w:tcW w:w="4653" w:type="dxa"/>
            <w:tcBorders>
              <w:tl2br w:val="nil"/>
              <w:tr2bl w:val="nil"/>
            </w:tcBorders>
            <w:vAlign w:val="center"/>
          </w:tcPr>
          <w:p w14:paraId="198C29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操作系统支持基于RBAC(基于角色的访问控制)机制的访问控制服务</w:t>
            </w:r>
          </w:p>
        </w:tc>
      </w:tr>
      <w:tr w14:paraId="197F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FC604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559" w:type="dxa"/>
            <w:vMerge w:val="continue"/>
            <w:tcBorders>
              <w:tl2br w:val="nil"/>
              <w:tr2bl w:val="nil"/>
            </w:tcBorders>
            <w:vAlign w:val="center"/>
          </w:tcPr>
          <w:p w14:paraId="3AEE295B">
            <w:pPr>
              <w:shd w:val="clear"/>
              <w:rPr>
                <w:rFonts w:hint="eastAsia" w:ascii="宋体" w:hAnsi="宋体" w:eastAsia="宋体" w:cs="宋体"/>
                <w:color w:val="auto"/>
                <w:highlight w:val="none"/>
              </w:rPr>
            </w:pPr>
          </w:p>
        </w:tc>
        <w:tc>
          <w:tcPr>
            <w:tcW w:w="1985" w:type="dxa"/>
            <w:tcBorders>
              <w:tl2br w:val="nil"/>
              <w:tr2bl w:val="nil"/>
            </w:tcBorders>
            <w:vAlign w:val="center"/>
          </w:tcPr>
          <w:p w14:paraId="26D0DA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▲网络管理服务</w:t>
            </w:r>
          </w:p>
        </w:tc>
        <w:tc>
          <w:tcPr>
            <w:tcW w:w="4653" w:type="dxa"/>
            <w:tcBorders>
              <w:tl2br w:val="nil"/>
              <w:tr2bl w:val="nil"/>
            </w:tcBorders>
            <w:vAlign w:val="center"/>
          </w:tcPr>
          <w:p w14:paraId="3D2E3B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操作系统支持基于SNMP、NETCONF、RESTCONF等协议的网络管理服务</w:t>
            </w:r>
          </w:p>
        </w:tc>
      </w:tr>
      <w:tr w14:paraId="330F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BCFD1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559" w:type="dxa"/>
            <w:vMerge w:val="continue"/>
            <w:tcBorders>
              <w:tl2br w:val="nil"/>
              <w:tr2bl w:val="nil"/>
            </w:tcBorders>
            <w:vAlign w:val="center"/>
          </w:tcPr>
          <w:p w14:paraId="4BD94A16">
            <w:pPr>
              <w:shd w:val="clear"/>
              <w:rPr>
                <w:rFonts w:hint="eastAsia" w:ascii="宋体" w:hAnsi="宋体" w:eastAsia="宋体" w:cs="宋体"/>
                <w:color w:val="auto"/>
                <w:highlight w:val="none"/>
              </w:rPr>
            </w:pPr>
          </w:p>
        </w:tc>
        <w:tc>
          <w:tcPr>
            <w:tcW w:w="1985" w:type="dxa"/>
            <w:tcBorders>
              <w:tl2br w:val="nil"/>
              <w:tr2bl w:val="nil"/>
            </w:tcBorders>
            <w:vAlign w:val="center"/>
          </w:tcPr>
          <w:p w14:paraId="62DAA6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▲时间同步服务</w:t>
            </w:r>
          </w:p>
        </w:tc>
        <w:tc>
          <w:tcPr>
            <w:tcW w:w="4653" w:type="dxa"/>
            <w:tcBorders>
              <w:tl2br w:val="nil"/>
              <w:tr2bl w:val="nil"/>
            </w:tcBorders>
            <w:vAlign w:val="center"/>
          </w:tcPr>
          <w:p w14:paraId="79998E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操作系统支持基于NTP协议网络时间同步服务</w:t>
            </w:r>
          </w:p>
        </w:tc>
      </w:tr>
      <w:tr w14:paraId="562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6BED5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559" w:type="dxa"/>
            <w:vMerge w:val="continue"/>
            <w:tcBorders>
              <w:tl2br w:val="nil"/>
              <w:tr2bl w:val="nil"/>
            </w:tcBorders>
            <w:vAlign w:val="center"/>
          </w:tcPr>
          <w:p w14:paraId="7948CBDB">
            <w:pPr>
              <w:shd w:val="clear"/>
              <w:rPr>
                <w:rFonts w:hint="eastAsia" w:ascii="宋体" w:hAnsi="宋体" w:eastAsia="宋体" w:cs="宋体"/>
                <w:color w:val="auto"/>
                <w:highlight w:val="none"/>
              </w:rPr>
            </w:pPr>
          </w:p>
        </w:tc>
        <w:tc>
          <w:tcPr>
            <w:tcW w:w="1985" w:type="dxa"/>
            <w:tcBorders>
              <w:tl2br w:val="nil"/>
              <w:tr2bl w:val="nil"/>
            </w:tcBorders>
            <w:vAlign w:val="center"/>
          </w:tcPr>
          <w:p w14:paraId="154336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▲远程连接服务</w:t>
            </w:r>
          </w:p>
        </w:tc>
        <w:tc>
          <w:tcPr>
            <w:tcW w:w="4653" w:type="dxa"/>
            <w:tcBorders>
              <w:tl2br w:val="nil"/>
              <w:tr2bl w:val="nil"/>
            </w:tcBorders>
            <w:vAlign w:val="center"/>
          </w:tcPr>
          <w:p w14:paraId="1E75ED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操作系统支持RPC、rsync、SSH等远程服务</w:t>
            </w:r>
          </w:p>
        </w:tc>
      </w:tr>
      <w:tr w14:paraId="2636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77D18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559" w:type="dxa"/>
            <w:vMerge w:val="continue"/>
            <w:tcBorders>
              <w:tl2br w:val="nil"/>
              <w:tr2bl w:val="nil"/>
            </w:tcBorders>
            <w:vAlign w:val="center"/>
          </w:tcPr>
          <w:p w14:paraId="3EBED02C">
            <w:pPr>
              <w:shd w:val="clear"/>
              <w:rPr>
                <w:rFonts w:hint="eastAsia" w:ascii="宋体" w:hAnsi="宋体" w:eastAsia="宋体" w:cs="宋体"/>
                <w:color w:val="auto"/>
                <w:highlight w:val="none"/>
              </w:rPr>
            </w:pPr>
          </w:p>
        </w:tc>
        <w:tc>
          <w:tcPr>
            <w:tcW w:w="1985" w:type="dxa"/>
            <w:tcBorders>
              <w:tl2br w:val="nil"/>
              <w:tr2bl w:val="nil"/>
            </w:tcBorders>
            <w:vAlign w:val="center"/>
          </w:tcPr>
          <w:p w14:paraId="5CE664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▲邮件服务</w:t>
            </w:r>
          </w:p>
        </w:tc>
        <w:tc>
          <w:tcPr>
            <w:tcW w:w="4653" w:type="dxa"/>
            <w:tcBorders>
              <w:tl2br w:val="nil"/>
              <w:tr2bl w:val="nil"/>
            </w:tcBorders>
            <w:vAlign w:val="center"/>
          </w:tcPr>
          <w:p w14:paraId="5AFD75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操作系统支持基于SMTP、POP3、IMAP等的邮件服务</w:t>
            </w:r>
          </w:p>
        </w:tc>
      </w:tr>
      <w:tr w14:paraId="134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FBD11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559" w:type="dxa"/>
            <w:vMerge w:val="continue"/>
            <w:tcBorders>
              <w:tl2br w:val="nil"/>
              <w:tr2bl w:val="nil"/>
            </w:tcBorders>
            <w:vAlign w:val="center"/>
          </w:tcPr>
          <w:p w14:paraId="64F94921">
            <w:pPr>
              <w:shd w:val="clear"/>
              <w:rPr>
                <w:rFonts w:hint="eastAsia" w:ascii="宋体" w:hAnsi="宋体" w:eastAsia="宋体" w:cs="宋体"/>
                <w:color w:val="auto"/>
                <w:highlight w:val="none"/>
              </w:rPr>
            </w:pPr>
          </w:p>
        </w:tc>
        <w:tc>
          <w:tcPr>
            <w:tcW w:w="1985" w:type="dxa"/>
            <w:tcBorders>
              <w:tl2br w:val="nil"/>
              <w:tr2bl w:val="nil"/>
            </w:tcBorders>
            <w:vAlign w:val="center"/>
          </w:tcPr>
          <w:p w14:paraId="5E3682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l2br w:val="nil"/>
              <w:tr2bl w:val="nil"/>
            </w:tcBorders>
            <w:vAlign w:val="center"/>
          </w:tcPr>
          <w:p w14:paraId="7DE151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操作系统支持基于轻量级目录访问协议的统一身份鉴别服务</w:t>
            </w:r>
          </w:p>
        </w:tc>
      </w:tr>
      <w:tr w14:paraId="4449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27727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559" w:type="dxa"/>
            <w:vMerge w:val="continue"/>
            <w:tcBorders>
              <w:tl2br w:val="nil"/>
              <w:tr2bl w:val="nil"/>
            </w:tcBorders>
            <w:vAlign w:val="center"/>
          </w:tcPr>
          <w:p w14:paraId="341F4288">
            <w:pPr>
              <w:shd w:val="clear"/>
              <w:rPr>
                <w:rFonts w:hint="eastAsia" w:ascii="宋体" w:hAnsi="宋体" w:eastAsia="宋体" w:cs="宋体"/>
                <w:color w:val="auto"/>
                <w:highlight w:val="none"/>
              </w:rPr>
            </w:pPr>
          </w:p>
        </w:tc>
        <w:tc>
          <w:tcPr>
            <w:tcW w:w="1985" w:type="dxa"/>
            <w:tcBorders>
              <w:tl2br w:val="nil"/>
              <w:tr2bl w:val="nil"/>
            </w:tcBorders>
            <w:vAlign w:val="center"/>
          </w:tcPr>
          <w:p w14:paraId="60580B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l2br w:val="nil"/>
              <w:tr2bl w:val="nil"/>
            </w:tcBorders>
            <w:vAlign w:val="center"/>
          </w:tcPr>
          <w:p w14:paraId="368295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操作系统支持结构化和非结构化格式数据的存储和查询服务</w:t>
            </w:r>
          </w:p>
        </w:tc>
      </w:tr>
      <w:tr w14:paraId="78CE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5FBE6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559" w:type="dxa"/>
            <w:vMerge w:val="continue"/>
            <w:tcBorders>
              <w:tl2br w:val="nil"/>
              <w:tr2bl w:val="nil"/>
            </w:tcBorders>
            <w:vAlign w:val="center"/>
          </w:tcPr>
          <w:p w14:paraId="6D976DA5">
            <w:pPr>
              <w:shd w:val="clear"/>
              <w:rPr>
                <w:rFonts w:hint="eastAsia" w:ascii="宋体" w:hAnsi="宋体" w:eastAsia="宋体" w:cs="宋体"/>
                <w:color w:val="auto"/>
                <w:highlight w:val="none"/>
              </w:rPr>
            </w:pPr>
          </w:p>
        </w:tc>
        <w:tc>
          <w:tcPr>
            <w:tcW w:w="1985" w:type="dxa"/>
            <w:tcBorders>
              <w:tl2br w:val="nil"/>
              <w:tr2bl w:val="nil"/>
            </w:tcBorders>
            <w:vAlign w:val="center"/>
          </w:tcPr>
          <w:p w14:paraId="65807D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l2br w:val="nil"/>
              <w:tr2bl w:val="nil"/>
            </w:tcBorders>
            <w:vAlign w:val="center"/>
          </w:tcPr>
          <w:p w14:paraId="743651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操作系统支持块、文件、对象等类型的数据存储服务</w:t>
            </w:r>
          </w:p>
        </w:tc>
      </w:tr>
      <w:tr w14:paraId="673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03968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559" w:type="dxa"/>
            <w:vMerge w:val="continue"/>
            <w:tcBorders>
              <w:tl2br w:val="nil"/>
              <w:tr2bl w:val="nil"/>
            </w:tcBorders>
            <w:vAlign w:val="center"/>
          </w:tcPr>
          <w:p w14:paraId="2CC7103D">
            <w:pPr>
              <w:shd w:val="clear"/>
              <w:rPr>
                <w:rFonts w:hint="eastAsia" w:ascii="宋体" w:hAnsi="宋体" w:eastAsia="宋体" w:cs="宋体"/>
                <w:color w:val="auto"/>
                <w:highlight w:val="none"/>
              </w:rPr>
            </w:pPr>
          </w:p>
        </w:tc>
        <w:tc>
          <w:tcPr>
            <w:tcW w:w="1985" w:type="dxa"/>
            <w:tcBorders>
              <w:tl2br w:val="nil"/>
              <w:tr2bl w:val="nil"/>
            </w:tcBorders>
            <w:vAlign w:val="center"/>
          </w:tcPr>
          <w:p w14:paraId="3899A8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l2br w:val="nil"/>
              <w:tr2bl w:val="nil"/>
            </w:tcBorders>
            <w:vAlign w:val="center"/>
          </w:tcPr>
          <w:p w14:paraId="6D167B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操作系统支持SQL、NoSQL、键值等类型的数据库</w:t>
            </w:r>
          </w:p>
        </w:tc>
      </w:tr>
      <w:tr w14:paraId="2D5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78DDB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559" w:type="dxa"/>
            <w:vMerge w:val="continue"/>
            <w:tcBorders>
              <w:tl2br w:val="nil"/>
              <w:tr2bl w:val="nil"/>
            </w:tcBorders>
            <w:vAlign w:val="center"/>
          </w:tcPr>
          <w:p w14:paraId="5AD45076">
            <w:pPr>
              <w:shd w:val="clear"/>
              <w:rPr>
                <w:rFonts w:hint="eastAsia" w:ascii="宋体" w:hAnsi="宋体" w:eastAsia="宋体" w:cs="宋体"/>
                <w:color w:val="auto"/>
                <w:highlight w:val="none"/>
              </w:rPr>
            </w:pPr>
          </w:p>
        </w:tc>
        <w:tc>
          <w:tcPr>
            <w:tcW w:w="1985" w:type="dxa"/>
            <w:tcBorders>
              <w:tl2br w:val="nil"/>
              <w:tr2bl w:val="nil"/>
            </w:tcBorders>
            <w:vAlign w:val="center"/>
          </w:tcPr>
          <w:p w14:paraId="09390E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▲存储服务</w:t>
            </w:r>
          </w:p>
        </w:tc>
        <w:tc>
          <w:tcPr>
            <w:tcW w:w="4653" w:type="dxa"/>
            <w:tcBorders>
              <w:tl2br w:val="nil"/>
              <w:tr2bl w:val="nil"/>
            </w:tcBorders>
            <w:vAlign w:val="center"/>
          </w:tcPr>
          <w:p w14:paraId="3B3E09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操作系统支持多种传输速率和存储协议的SAN和NAS存储</w:t>
            </w:r>
          </w:p>
        </w:tc>
      </w:tr>
      <w:tr w14:paraId="15AD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2CE76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559" w:type="dxa"/>
            <w:vMerge w:val="continue"/>
            <w:tcBorders>
              <w:tl2br w:val="nil"/>
              <w:tr2bl w:val="nil"/>
            </w:tcBorders>
            <w:vAlign w:val="center"/>
          </w:tcPr>
          <w:p w14:paraId="40DB1B19">
            <w:pPr>
              <w:shd w:val="clear"/>
              <w:rPr>
                <w:rFonts w:hint="eastAsia" w:ascii="宋体" w:hAnsi="宋体" w:eastAsia="宋体" w:cs="宋体"/>
                <w:color w:val="auto"/>
                <w:highlight w:val="none"/>
              </w:rPr>
            </w:pPr>
          </w:p>
        </w:tc>
        <w:tc>
          <w:tcPr>
            <w:tcW w:w="1985" w:type="dxa"/>
            <w:tcBorders>
              <w:tl2br w:val="nil"/>
              <w:tr2bl w:val="nil"/>
            </w:tcBorders>
            <w:vAlign w:val="center"/>
          </w:tcPr>
          <w:p w14:paraId="5B9549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l2br w:val="nil"/>
              <w:tr2bl w:val="nil"/>
            </w:tcBorders>
            <w:vAlign w:val="center"/>
          </w:tcPr>
          <w:p w14:paraId="615064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操作系统支持服务基于主备机制的分布式集群、高可用集群的部署模式</w:t>
            </w:r>
          </w:p>
        </w:tc>
      </w:tr>
      <w:tr w14:paraId="3C64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32216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559" w:type="dxa"/>
            <w:vMerge w:val="continue"/>
            <w:tcBorders>
              <w:tl2br w:val="nil"/>
              <w:tr2bl w:val="nil"/>
            </w:tcBorders>
            <w:vAlign w:val="center"/>
          </w:tcPr>
          <w:p w14:paraId="1F47700F">
            <w:pPr>
              <w:shd w:val="clear"/>
              <w:rPr>
                <w:rFonts w:hint="eastAsia" w:ascii="宋体" w:hAnsi="宋体" w:eastAsia="宋体" w:cs="宋体"/>
                <w:color w:val="auto"/>
                <w:highlight w:val="none"/>
              </w:rPr>
            </w:pPr>
          </w:p>
        </w:tc>
        <w:tc>
          <w:tcPr>
            <w:tcW w:w="1985" w:type="dxa"/>
            <w:tcBorders>
              <w:tl2br w:val="nil"/>
              <w:tr2bl w:val="nil"/>
            </w:tcBorders>
            <w:vAlign w:val="center"/>
          </w:tcPr>
          <w:p w14:paraId="1E841B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l2br w:val="nil"/>
              <w:tr2bl w:val="nil"/>
            </w:tcBorders>
            <w:vAlign w:val="center"/>
          </w:tcPr>
          <w:p w14:paraId="4A88D9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操作系统支持服务基于分布式通信协议的分布式集群、高可用集群的部署模式</w:t>
            </w:r>
          </w:p>
        </w:tc>
      </w:tr>
      <w:tr w14:paraId="49B2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7404A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559" w:type="dxa"/>
            <w:vMerge w:val="continue"/>
            <w:tcBorders>
              <w:tl2br w:val="nil"/>
              <w:tr2bl w:val="nil"/>
            </w:tcBorders>
            <w:vAlign w:val="center"/>
          </w:tcPr>
          <w:p w14:paraId="6C8CFFF5">
            <w:pPr>
              <w:shd w:val="clear"/>
              <w:rPr>
                <w:rFonts w:hint="eastAsia" w:ascii="宋体" w:hAnsi="宋体" w:eastAsia="宋体" w:cs="宋体"/>
                <w:color w:val="auto"/>
                <w:highlight w:val="none"/>
              </w:rPr>
            </w:pPr>
          </w:p>
        </w:tc>
        <w:tc>
          <w:tcPr>
            <w:tcW w:w="1985" w:type="dxa"/>
            <w:tcBorders>
              <w:tl2br w:val="nil"/>
              <w:tr2bl w:val="nil"/>
            </w:tcBorders>
            <w:vAlign w:val="center"/>
          </w:tcPr>
          <w:p w14:paraId="46352E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l2br w:val="nil"/>
              <w:tr2bl w:val="nil"/>
            </w:tcBorders>
            <w:vAlign w:val="center"/>
          </w:tcPr>
          <w:p w14:paraId="2807E4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操作系统支持基于虚拟路由器冗余协议的高可用集群部署模式</w:t>
            </w:r>
          </w:p>
        </w:tc>
      </w:tr>
      <w:tr w14:paraId="3C24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D963C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559" w:type="dxa"/>
            <w:vMerge w:val="continue"/>
            <w:tcBorders>
              <w:tl2br w:val="nil"/>
              <w:tr2bl w:val="nil"/>
            </w:tcBorders>
            <w:vAlign w:val="center"/>
          </w:tcPr>
          <w:p w14:paraId="4658FDFB">
            <w:pPr>
              <w:shd w:val="clear"/>
              <w:rPr>
                <w:rFonts w:hint="eastAsia" w:ascii="宋体" w:hAnsi="宋体" w:eastAsia="宋体" w:cs="宋体"/>
                <w:color w:val="auto"/>
                <w:highlight w:val="none"/>
              </w:rPr>
            </w:pPr>
          </w:p>
        </w:tc>
        <w:tc>
          <w:tcPr>
            <w:tcW w:w="1985" w:type="dxa"/>
            <w:tcBorders>
              <w:tl2br w:val="nil"/>
              <w:tr2bl w:val="nil"/>
            </w:tcBorders>
            <w:vAlign w:val="center"/>
          </w:tcPr>
          <w:p w14:paraId="40E697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▲分布式服务</w:t>
            </w:r>
          </w:p>
        </w:tc>
        <w:tc>
          <w:tcPr>
            <w:tcW w:w="4653" w:type="dxa"/>
            <w:tcBorders>
              <w:tl2br w:val="nil"/>
              <w:tr2bl w:val="nil"/>
            </w:tcBorders>
            <w:vAlign w:val="center"/>
          </w:tcPr>
          <w:p w14:paraId="6DB5B0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操作系统支持基于同步、异步请求处理机制的分布式服务</w:t>
            </w:r>
          </w:p>
        </w:tc>
      </w:tr>
      <w:tr w14:paraId="0B7E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FDD25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559" w:type="dxa"/>
            <w:vMerge w:val="continue"/>
            <w:tcBorders>
              <w:tl2br w:val="nil"/>
              <w:tr2bl w:val="nil"/>
            </w:tcBorders>
            <w:vAlign w:val="center"/>
          </w:tcPr>
          <w:p w14:paraId="543CBC4C">
            <w:pPr>
              <w:shd w:val="clear"/>
              <w:rPr>
                <w:rFonts w:hint="eastAsia" w:ascii="宋体" w:hAnsi="宋体" w:eastAsia="宋体" w:cs="宋体"/>
                <w:color w:val="auto"/>
                <w:highlight w:val="none"/>
              </w:rPr>
            </w:pPr>
          </w:p>
        </w:tc>
        <w:tc>
          <w:tcPr>
            <w:tcW w:w="1985" w:type="dxa"/>
            <w:tcBorders>
              <w:tl2br w:val="nil"/>
              <w:tr2bl w:val="nil"/>
            </w:tcBorders>
            <w:vAlign w:val="center"/>
          </w:tcPr>
          <w:p w14:paraId="7DDB71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l2br w:val="nil"/>
              <w:tr2bl w:val="nil"/>
            </w:tcBorders>
            <w:vAlign w:val="center"/>
          </w:tcPr>
          <w:p w14:paraId="27B9B4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操作系统支持基于OSI模型的4/7层和链路层的负载均衡模式</w:t>
            </w:r>
          </w:p>
        </w:tc>
      </w:tr>
      <w:tr w14:paraId="525C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8E9C3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559" w:type="dxa"/>
            <w:vMerge w:val="continue"/>
            <w:tcBorders>
              <w:tl2br w:val="nil"/>
              <w:tr2bl w:val="nil"/>
            </w:tcBorders>
            <w:vAlign w:val="center"/>
          </w:tcPr>
          <w:p w14:paraId="37EFDBCD">
            <w:pPr>
              <w:shd w:val="clear"/>
              <w:rPr>
                <w:rFonts w:hint="eastAsia" w:ascii="宋体" w:hAnsi="宋体" w:eastAsia="宋体" w:cs="宋体"/>
                <w:color w:val="auto"/>
                <w:highlight w:val="none"/>
              </w:rPr>
            </w:pPr>
          </w:p>
        </w:tc>
        <w:tc>
          <w:tcPr>
            <w:tcW w:w="1985" w:type="dxa"/>
            <w:tcBorders>
              <w:tl2br w:val="nil"/>
              <w:tr2bl w:val="nil"/>
            </w:tcBorders>
            <w:vAlign w:val="center"/>
          </w:tcPr>
          <w:p w14:paraId="7AECB3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l2br w:val="nil"/>
              <w:tr2bl w:val="nil"/>
            </w:tcBorders>
            <w:vAlign w:val="center"/>
          </w:tcPr>
          <w:p w14:paraId="53CCD2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操作系统支持基于不同调度算法的负载均衡模式</w:t>
            </w:r>
          </w:p>
        </w:tc>
      </w:tr>
      <w:tr w14:paraId="0657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719C1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559" w:type="dxa"/>
            <w:vMerge w:val="continue"/>
            <w:tcBorders>
              <w:tl2br w:val="nil"/>
              <w:tr2bl w:val="nil"/>
            </w:tcBorders>
            <w:vAlign w:val="center"/>
          </w:tcPr>
          <w:p w14:paraId="5EAFC363">
            <w:pPr>
              <w:shd w:val="clear"/>
              <w:rPr>
                <w:rFonts w:hint="eastAsia" w:ascii="宋体" w:hAnsi="宋体" w:eastAsia="宋体" w:cs="宋体"/>
                <w:color w:val="auto"/>
                <w:highlight w:val="none"/>
              </w:rPr>
            </w:pPr>
          </w:p>
        </w:tc>
        <w:tc>
          <w:tcPr>
            <w:tcW w:w="1985" w:type="dxa"/>
            <w:tcBorders>
              <w:tl2br w:val="nil"/>
              <w:tr2bl w:val="nil"/>
            </w:tcBorders>
            <w:vAlign w:val="center"/>
          </w:tcPr>
          <w:p w14:paraId="5A54C0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▲高可用服务</w:t>
            </w:r>
          </w:p>
        </w:tc>
        <w:tc>
          <w:tcPr>
            <w:tcW w:w="4653" w:type="dxa"/>
            <w:tcBorders>
              <w:tl2br w:val="nil"/>
              <w:tr2bl w:val="nil"/>
            </w:tcBorders>
            <w:vAlign w:val="center"/>
          </w:tcPr>
          <w:p w14:paraId="564CAA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操作系统提供对HA的支持，支持多种集群配置模式，包括主主模式、主备模式、N+1模式和N+M模式，支持资源及节点故障检测</w:t>
            </w:r>
          </w:p>
        </w:tc>
      </w:tr>
      <w:tr w14:paraId="2913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5E73C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559" w:type="dxa"/>
            <w:vMerge w:val="restart"/>
            <w:tcBorders>
              <w:tl2br w:val="nil"/>
              <w:tr2bl w:val="nil"/>
            </w:tcBorders>
            <w:vAlign w:val="center"/>
          </w:tcPr>
          <w:p w14:paraId="2896A7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w:t>
            </w:r>
          </w:p>
        </w:tc>
        <w:tc>
          <w:tcPr>
            <w:tcW w:w="1985" w:type="dxa"/>
            <w:tcBorders>
              <w:tl2br w:val="nil"/>
              <w:tr2bl w:val="nil"/>
            </w:tcBorders>
            <w:vAlign w:val="center"/>
          </w:tcPr>
          <w:p w14:paraId="6F646D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▲虚拟化部署</w:t>
            </w:r>
          </w:p>
        </w:tc>
        <w:tc>
          <w:tcPr>
            <w:tcW w:w="4653" w:type="dxa"/>
            <w:tcBorders>
              <w:tl2br w:val="nil"/>
              <w:tr2bl w:val="nil"/>
            </w:tcBorders>
            <w:vAlign w:val="center"/>
          </w:tcPr>
          <w:p w14:paraId="2EC221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操作系统支持在KVM、Xen、Hyper-V虚拟机上安装部署操作系统</w:t>
            </w:r>
          </w:p>
        </w:tc>
      </w:tr>
      <w:tr w14:paraId="4BF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72" w:type="dxa"/>
            <w:tcBorders>
              <w:tl2br w:val="nil"/>
              <w:tr2bl w:val="nil"/>
            </w:tcBorders>
            <w:vAlign w:val="center"/>
          </w:tcPr>
          <w:p w14:paraId="73C21B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559" w:type="dxa"/>
            <w:vMerge w:val="continue"/>
            <w:tcBorders>
              <w:tl2br w:val="nil"/>
              <w:tr2bl w:val="nil"/>
            </w:tcBorders>
            <w:vAlign w:val="center"/>
          </w:tcPr>
          <w:p w14:paraId="0046E42B">
            <w:pPr>
              <w:shd w:val="clear"/>
              <w:rPr>
                <w:rFonts w:hint="eastAsia" w:ascii="宋体" w:hAnsi="宋体" w:eastAsia="宋体" w:cs="宋体"/>
                <w:color w:val="auto"/>
                <w:highlight w:val="none"/>
              </w:rPr>
            </w:pPr>
          </w:p>
        </w:tc>
        <w:tc>
          <w:tcPr>
            <w:tcW w:w="1985" w:type="dxa"/>
            <w:tcBorders>
              <w:tl2br w:val="nil"/>
              <w:tr2bl w:val="nil"/>
            </w:tcBorders>
            <w:vAlign w:val="center"/>
          </w:tcPr>
          <w:p w14:paraId="52A7F1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▲内核虚拟化(KVM)</w:t>
            </w:r>
          </w:p>
        </w:tc>
        <w:tc>
          <w:tcPr>
            <w:tcW w:w="4653" w:type="dxa"/>
            <w:tcBorders>
              <w:tl2br w:val="nil"/>
              <w:tr2bl w:val="nil"/>
            </w:tcBorders>
            <w:vAlign w:val="center"/>
          </w:tcPr>
          <w:p w14:paraId="4378A7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操作系统支持KVM虚拟化：对虚拟机进行启、停等管理操作；对虚拟机硬盘做快照并从快照恢复；兼容qemu、libvirt标准接口；</w:t>
            </w:r>
          </w:p>
          <w:p w14:paraId="59B8CA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支持UEFI或legacyBIOS方式启动；</w:t>
            </w:r>
          </w:p>
          <w:p w14:paraId="385AD5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支持虚拟时钟arch-timer；</w:t>
            </w:r>
          </w:p>
          <w:p w14:paraId="629198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支持虚拟鼠标、键盘、触控板、声卡、显卡、硬盘、CDROM、串口pty/pipe/file等设备；</w:t>
            </w:r>
          </w:p>
          <w:p w14:paraId="78F1FF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支持Virtio协议下的虚拟设备，包括串口、blk驱动硬盘、SCSI驱动硬盘、不同后端控制器类型的Virtio网卡(包括内核态、用户态、qemu)、GPU、vsock设备等；</w:t>
            </w:r>
          </w:p>
          <w:p w14:paraId="466473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支持硬盘和网卡选择类型VFIO设备；</w:t>
            </w:r>
          </w:p>
          <w:p w14:paraId="7C49F2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支持虚拟机CPU、内存、网卡、硬盘等离线调整；</w:t>
            </w:r>
          </w:p>
          <w:p w14:paraId="736700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支持虚拟机网卡、硬盘、USB设备热插拔；</w:t>
            </w:r>
          </w:p>
          <w:p w14:paraId="2AE8B0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支持PCI/PCIE设备直通；</w:t>
            </w:r>
          </w:p>
          <w:p w14:paraId="58E3BC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支持虚拟机热迁移和加密传输；</w:t>
            </w:r>
          </w:p>
          <w:p w14:paraId="36AA7F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支持虚拟机远程访问；支持虚拟机CPU和I/O线程绑定</w:t>
            </w:r>
          </w:p>
        </w:tc>
      </w:tr>
      <w:tr w14:paraId="54F1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18DB78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559" w:type="dxa"/>
            <w:vMerge w:val="continue"/>
            <w:tcBorders>
              <w:tl2br w:val="nil"/>
              <w:tr2bl w:val="nil"/>
            </w:tcBorders>
            <w:vAlign w:val="center"/>
          </w:tcPr>
          <w:p w14:paraId="17F9793F">
            <w:pPr>
              <w:shd w:val="clear"/>
              <w:rPr>
                <w:rFonts w:hint="eastAsia" w:ascii="宋体" w:hAnsi="宋体" w:eastAsia="宋体" w:cs="宋体"/>
                <w:color w:val="auto"/>
                <w:highlight w:val="none"/>
              </w:rPr>
            </w:pPr>
          </w:p>
        </w:tc>
        <w:tc>
          <w:tcPr>
            <w:tcW w:w="1985" w:type="dxa"/>
            <w:tcBorders>
              <w:tl2br w:val="nil"/>
              <w:tr2bl w:val="nil"/>
            </w:tcBorders>
            <w:vAlign w:val="center"/>
          </w:tcPr>
          <w:p w14:paraId="004E0A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▲KVM虚拟机管理</w:t>
            </w:r>
          </w:p>
        </w:tc>
        <w:tc>
          <w:tcPr>
            <w:tcW w:w="4653" w:type="dxa"/>
            <w:tcBorders>
              <w:tl2br w:val="nil"/>
              <w:tr2bl w:val="nil"/>
            </w:tcBorders>
            <w:vAlign w:val="center"/>
          </w:tcPr>
          <w:p w14:paraId="449073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460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772" w:type="dxa"/>
            <w:tcBorders>
              <w:tl2br w:val="nil"/>
              <w:tr2bl w:val="nil"/>
            </w:tcBorders>
            <w:vAlign w:val="center"/>
          </w:tcPr>
          <w:p w14:paraId="38A30F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559" w:type="dxa"/>
            <w:tcBorders>
              <w:tl2br w:val="nil"/>
              <w:tr2bl w:val="nil"/>
            </w:tcBorders>
            <w:vAlign w:val="center"/>
          </w:tcPr>
          <w:p w14:paraId="73F27F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l2br w:val="nil"/>
              <w:tr2bl w:val="nil"/>
            </w:tcBorders>
            <w:vAlign w:val="center"/>
          </w:tcPr>
          <w:p w14:paraId="2220AE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▲容器虚拟化</w:t>
            </w:r>
          </w:p>
        </w:tc>
        <w:tc>
          <w:tcPr>
            <w:tcW w:w="4653" w:type="dxa"/>
            <w:tcBorders>
              <w:tl2br w:val="nil"/>
              <w:tr2bl w:val="nil"/>
            </w:tcBorders>
            <w:vAlign w:val="center"/>
          </w:tcPr>
          <w:p w14:paraId="0A881D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1B5E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C0C04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559" w:type="dxa"/>
            <w:tcBorders>
              <w:tl2br w:val="nil"/>
              <w:tr2bl w:val="nil"/>
            </w:tcBorders>
            <w:vAlign w:val="center"/>
          </w:tcPr>
          <w:p w14:paraId="1ED490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l2br w:val="nil"/>
              <w:tr2bl w:val="nil"/>
            </w:tcBorders>
            <w:vAlign w:val="center"/>
          </w:tcPr>
          <w:p w14:paraId="3F8A86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▲容器镜像和存储管理</w:t>
            </w:r>
          </w:p>
        </w:tc>
        <w:tc>
          <w:tcPr>
            <w:tcW w:w="4653" w:type="dxa"/>
            <w:tcBorders>
              <w:tl2br w:val="nil"/>
              <w:tr2bl w:val="nil"/>
            </w:tcBorders>
            <w:vAlign w:val="center"/>
          </w:tcPr>
          <w:p w14:paraId="481E65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操作系统支持容器镜像导入、导出；支持容器镜像分层保存、导入</w:t>
            </w:r>
          </w:p>
        </w:tc>
      </w:tr>
      <w:tr w14:paraId="2F91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2" w:type="dxa"/>
            <w:tcBorders>
              <w:tl2br w:val="nil"/>
              <w:tr2bl w:val="nil"/>
            </w:tcBorders>
            <w:vAlign w:val="center"/>
          </w:tcPr>
          <w:p w14:paraId="0EDB6C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559" w:type="dxa"/>
            <w:tcBorders>
              <w:tl2br w:val="nil"/>
              <w:tr2bl w:val="nil"/>
            </w:tcBorders>
            <w:vAlign w:val="center"/>
          </w:tcPr>
          <w:p w14:paraId="6FFF63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l2br w:val="nil"/>
              <w:tr2bl w:val="nil"/>
            </w:tcBorders>
            <w:vAlign w:val="center"/>
          </w:tcPr>
          <w:p w14:paraId="6FC05F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▲容器资源隔离和调配</w:t>
            </w:r>
          </w:p>
        </w:tc>
        <w:tc>
          <w:tcPr>
            <w:tcW w:w="4653" w:type="dxa"/>
            <w:tcBorders>
              <w:tl2br w:val="nil"/>
              <w:tr2bl w:val="nil"/>
            </w:tcBorders>
            <w:vAlign w:val="center"/>
          </w:tcPr>
          <w:p w14:paraId="5E0140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28C9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1F7EE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w:t>
            </w:r>
          </w:p>
        </w:tc>
        <w:tc>
          <w:tcPr>
            <w:tcW w:w="1559" w:type="dxa"/>
            <w:vMerge w:val="restart"/>
            <w:tcBorders>
              <w:tl2br w:val="nil"/>
              <w:tr2bl w:val="nil"/>
            </w:tcBorders>
            <w:vAlign w:val="center"/>
          </w:tcPr>
          <w:p w14:paraId="40C89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▲中文支持</w:t>
            </w:r>
          </w:p>
        </w:tc>
        <w:tc>
          <w:tcPr>
            <w:tcW w:w="1985" w:type="dxa"/>
            <w:tcBorders>
              <w:tl2br w:val="nil"/>
              <w:tr2bl w:val="nil"/>
            </w:tcBorders>
            <w:vAlign w:val="center"/>
          </w:tcPr>
          <w:p w14:paraId="2A2014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▲字符编码集</w:t>
            </w:r>
          </w:p>
        </w:tc>
        <w:tc>
          <w:tcPr>
            <w:tcW w:w="4653" w:type="dxa"/>
            <w:tcBorders>
              <w:tl2br w:val="nil"/>
              <w:tr2bl w:val="nil"/>
            </w:tcBorders>
            <w:vAlign w:val="center"/>
          </w:tcPr>
          <w:p w14:paraId="3F3DC5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操作系统应符合GB18030的要求</w:t>
            </w:r>
          </w:p>
        </w:tc>
      </w:tr>
      <w:tr w14:paraId="2564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5D4ED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w:t>
            </w:r>
          </w:p>
        </w:tc>
        <w:tc>
          <w:tcPr>
            <w:tcW w:w="1559" w:type="dxa"/>
            <w:vMerge w:val="continue"/>
            <w:tcBorders>
              <w:tl2br w:val="nil"/>
              <w:tr2bl w:val="nil"/>
            </w:tcBorders>
            <w:vAlign w:val="center"/>
          </w:tcPr>
          <w:p w14:paraId="7C5B5E10">
            <w:pPr>
              <w:shd w:val="clear"/>
              <w:rPr>
                <w:rFonts w:hint="eastAsia" w:ascii="宋体" w:hAnsi="宋体" w:eastAsia="宋体" w:cs="宋体"/>
                <w:color w:val="auto"/>
                <w:highlight w:val="none"/>
              </w:rPr>
            </w:pPr>
          </w:p>
        </w:tc>
        <w:tc>
          <w:tcPr>
            <w:tcW w:w="1985" w:type="dxa"/>
            <w:tcBorders>
              <w:tl2br w:val="nil"/>
              <w:tr2bl w:val="nil"/>
            </w:tcBorders>
            <w:vAlign w:val="center"/>
          </w:tcPr>
          <w:p w14:paraId="3E8843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▲中文帮助文档</w:t>
            </w:r>
          </w:p>
        </w:tc>
        <w:tc>
          <w:tcPr>
            <w:tcW w:w="4653" w:type="dxa"/>
            <w:tcBorders>
              <w:tl2br w:val="nil"/>
              <w:tr2bl w:val="nil"/>
            </w:tcBorders>
            <w:vAlign w:val="center"/>
          </w:tcPr>
          <w:p w14:paraId="372210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操作系统内置中文帮助文档</w:t>
            </w:r>
          </w:p>
        </w:tc>
      </w:tr>
      <w:tr w14:paraId="185D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25928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w:t>
            </w:r>
          </w:p>
        </w:tc>
        <w:tc>
          <w:tcPr>
            <w:tcW w:w="1559" w:type="dxa"/>
            <w:vMerge w:val="continue"/>
            <w:tcBorders>
              <w:tl2br w:val="nil"/>
              <w:tr2bl w:val="nil"/>
            </w:tcBorders>
            <w:vAlign w:val="center"/>
          </w:tcPr>
          <w:p w14:paraId="03BCAC57">
            <w:pPr>
              <w:shd w:val="clear"/>
              <w:rPr>
                <w:rFonts w:hint="eastAsia" w:ascii="宋体" w:hAnsi="宋体" w:eastAsia="宋体" w:cs="宋体"/>
                <w:color w:val="auto"/>
                <w:highlight w:val="none"/>
              </w:rPr>
            </w:pPr>
          </w:p>
        </w:tc>
        <w:tc>
          <w:tcPr>
            <w:tcW w:w="1985" w:type="dxa"/>
            <w:tcBorders>
              <w:tl2br w:val="nil"/>
              <w:tr2bl w:val="nil"/>
            </w:tcBorders>
            <w:vAlign w:val="center"/>
          </w:tcPr>
          <w:p w14:paraId="2271AD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▲系统信息查看工具</w:t>
            </w:r>
          </w:p>
        </w:tc>
        <w:tc>
          <w:tcPr>
            <w:tcW w:w="4653" w:type="dxa"/>
            <w:tcBorders>
              <w:tl2br w:val="nil"/>
              <w:tr2bl w:val="nil"/>
            </w:tcBorders>
            <w:vAlign w:val="center"/>
          </w:tcPr>
          <w:p w14:paraId="59A7E9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操作系统支持查看系统版本、内核版本、内存容量、CPU型号等信息</w:t>
            </w:r>
          </w:p>
        </w:tc>
      </w:tr>
      <w:tr w14:paraId="2268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22BEC3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77</w:t>
            </w:r>
          </w:p>
        </w:tc>
        <w:tc>
          <w:tcPr>
            <w:tcW w:w="1559" w:type="dxa"/>
            <w:vMerge w:val="restart"/>
            <w:tcBorders>
              <w:tl2br w:val="nil"/>
              <w:tr2bl w:val="nil"/>
            </w:tcBorders>
            <w:vAlign w:val="center"/>
          </w:tcPr>
          <w:p w14:paraId="3A2B3A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▲管理工具</w:t>
            </w:r>
          </w:p>
        </w:tc>
        <w:tc>
          <w:tcPr>
            <w:tcW w:w="1985" w:type="dxa"/>
            <w:tcBorders>
              <w:tl2br w:val="nil"/>
              <w:tr2bl w:val="nil"/>
            </w:tcBorders>
            <w:vAlign w:val="center"/>
          </w:tcPr>
          <w:p w14:paraId="757CC8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▲网络管理工具</w:t>
            </w:r>
          </w:p>
        </w:tc>
        <w:tc>
          <w:tcPr>
            <w:tcW w:w="4653" w:type="dxa"/>
            <w:tcBorders>
              <w:tl2br w:val="nil"/>
              <w:tr2bl w:val="nil"/>
            </w:tcBorders>
            <w:vAlign w:val="center"/>
          </w:tcPr>
          <w:p w14:paraId="1CBD5C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操作系统支持多网口自动连接、网络地址（常被称为“IP地址”）设置、DNS设置、路由设置；支持多网卡链路聚合，模式类型包括但不仅限于轮询、主备、802.3AD动态链路聚合</w:t>
            </w:r>
          </w:p>
        </w:tc>
      </w:tr>
      <w:tr w14:paraId="234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A5B40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w:t>
            </w:r>
          </w:p>
        </w:tc>
        <w:tc>
          <w:tcPr>
            <w:tcW w:w="1559" w:type="dxa"/>
            <w:vMerge w:val="continue"/>
            <w:tcBorders>
              <w:tl2br w:val="nil"/>
              <w:tr2bl w:val="nil"/>
            </w:tcBorders>
            <w:vAlign w:val="center"/>
          </w:tcPr>
          <w:p w14:paraId="6A7D4A52">
            <w:pPr>
              <w:shd w:val="clear"/>
              <w:rPr>
                <w:rFonts w:hint="eastAsia" w:ascii="宋体" w:hAnsi="宋体" w:eastAsia="宋体" w:cs="宋体"/>
                <w:color w:val="auto"/>
                <w:highlight w:val="none"/>
              </w:rPr>
            </w:pPr>
          </w:p>
        </w:tc>
        <w:tc>
          <w:tcPr>
            <w:tcW w:w="1985" w:type="dxa"/>
            <w:tcBorders>
              <w:tl2br w:val="nil"/>
              <w:tr2bl w:val="nil"/>
            </w:tcBorders>
            <w:vAlign w:val="center"/>
          </w:tcPr>
          <w:p w14:paraId="4E8EE8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▲日期和时间管理工具</w:t>
            </w:r>
          </w:p>
        </w:tc>
        <w:tc>
          <w:tcPr>
            <w:tcW w:w="4653" w:type="dxa"/>
            <w:tcBorders>
              <w:tl2br w:val="nil"/>
              <w:tr2bl w:val="nil"/>
            </w:tcBorders>
            <w:vAlign w:val="center"/>
          </w:tcPr>
          <w:p w14:paraId="7E9F8F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操作系统可设置时间同步服务器地址，支持局域网和广域网的同步设置</w:t>
            </w:r>
          </w:p>
        </w:tc>
      </w:tr>
      <w:tr w14:paraId="4C76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FB037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w:t>
            </w:r>
          </w:p>
        </w:tc>
        <w:tc>
          <w:tcPr>
            <w:tcW w:w="1559" w:type="dxa"/>
            <w:vMerge w:val="continue"/>
            <w:tcBorders>
              <w:tl2br w:val="nil"/>
              <w:tr2bl w:val="nil"/>
            </w:tcBorders>
            <w:vAlign w:val="center"/>
          </w:tcPr>
          <w:p w14:paraId="167F99C4">
            <w:pPr>
              <w:shd w:val="clear"/>
              <w:rPr>
                <w:rFonts w:hint="eastAsia" w:ascii="宋体" w:hAnsi="宋体" w:eastAsia="宋体" w:cs="宋体"/>
                <w:color w:val="auto"/>
                <w:highlight w:val="none"/>
              </w:rPr>
            </w:pPr>
          </w:p>
        </w:tc>
        <w:tc>
          <w:tcPr>
            <w:tcW w:w="1985" w:type="dxa"/>
            <w:tcBorders>
              <w:tl2br w:val="nil"/>
              <w:tr2bl w:val="nil"/>
            </w:tcBorders>
            <w:vAlign w:val="center"/>
          </w:tcPr>
          <w:p w14:paraId="37B792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▲日志服务管理工具</w:t>
            </w:r>
          </w:p>
        </w:tc>
        <w:tc>
          <w:tcPr>
            <w:tcW w:w="4653" w:type="dxa"/>
            <w:tcBorders>
              <w:tl2br w:val="nil"/>
              <w:tr2bl w:val="nil"/>
            </w:tcBorders>
            <w:vAlign w:val="center"/>
          </w:tcPr>
          <w:p w14:paraId="5C6ACD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操作系统支持收集系统日志</w:t>
            </w:r>
          </w:p>
        </w:tc>
      </w:tr>
      <w:tr w14:paraId="3684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4060B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1559" w:type="dxa"/>
            <w:vMerge w:val="continue"/>
            <w:tcBorders>
              <w:tl2br w:val="nil"/>
              <w:tr2bl w:val="nil"/>
            </w:tcBorders>
            <w:vAlign w:val="center"/>
          </w:tcPr>
          <w:p w14:paraId="19353891">
            <w:pPr>
              <w:shd w:val="clear"/>
              <w:rPr>
                <w:rFonts w:hint="eastAsia" w:ascii="宋体" w:hAnsi="宋体" w:eastAsia="宋体" w:cs="宋体"/>
                <w:color w:val="auto"/>
                <w:highlight w:val="none"/>
              </w:rPr>
            </w:pPr>
          </w:p>
        </w:tc>
        <w:tc>
          <w:tcPr>
            <w:tcW w:w="1985" w:type="dxa"/>
            <w:tcBorders>
              <w:tl2br w:val="nil"/>
              <w:tr2bl w:val="nil"/>
            </w:tcBorders>
            <w:vAlign w:val="center"/>
          </w:tcPr>
          <w:p w14:paraId="07688A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▲帐户管理工具</w:t>
            </w:r>
          </w:p>
        </w:tc>
        <w:tc>
          <w:tcPr>
            <w:tcW w:w="4653" w:type="dxa"/>
            <w:tcBorders>
              <w:tl2br w:val="nil"/>
              <w:tr2bl w:val="nil"/>
            </w:tcBorders>
            <w:vAlign w:val="center"/>
          </w:tcPr>
          <w:p w14:paraId="43007A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操作系统支持帐户添加、删除、属性修改等</w:t>
            </w:r>
          </w:p>
        </w:tc>
      </w:tr>
      <w:tr w14:paraId="63C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1AF2C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559" w:type="dxa"/>
            <w:vMerge w:val="continue"/>
            <w:tcBorders>
              <w:tl2br w:val="nil"/>
              <w:tr2bl w:val="nil"/>
            </w:tcBorders>
            <w:vAlign w:val="center"/>
          </w:tcPr>
          <w:p w14:paraId="5967A750">
            <w:pPr>
              <w:shd w:val="clear"/>
              <w:rPr>
                <w:rFonts w:hint="eastAsia" w:ascii="宋体" w:hAnsi="宋体" w:eastAsia="宋体" w:cs="宋体"/>
                <w:color w:val="auto"/>
                <w:highlight w:val="none"/>
              </w:rPr>
            </w:pPr>
          </w:p>
        </w:tc>
        <w:tc>
          <w:tcPr>
            <w:tcW w:w="1985" w:type="dxa"/>
            <w:tcBorders>
              <w:tl2br w:val="nil"/>
              <w:tr2bl w:val="nil"/>
            </w:tcBorders>
            <w:vAlign w:val="center"/>
          </w:tcPr>
          <w:p w14:paraId="2C2F06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▲用户操作审计工具</w:t>
            </w:r>
          </w:p>
        </w:tc>
        <w:tc>
          <w:tcPr>
            <w:tcW w:w="4653" w:type="dxa"/>
            <w:tcBorders>
              <w:tl2br w:val="nil"/>
              <w:tr2bl w:val="nil"/>
            </w:tcBorders>
            <w:vAlign w:val="center"/>
          </w:tcPr>
          <w:p w14:paraId="3B6AB4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操作系统支持用户操作痕迹查询</w:t>
            </w:r>
          </w:p>
        </w:tc>
      </w:tr>
      <w:tr w14:paraId="5436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3FFCF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w:t>
            </w:r>
          </w:p>
        </w:tc>
        <w:tc>
          <w:tcPr>
            <w:tcW w:w="1559" w:type="dxa"/>
            <w:vMerge w:val="continue"/>
            <w:tcBorders>
              <w:tl2br w:val="nil"/>
              <w:tr2bl w:val="nil"/>
            </w:tcBorders>
            <w:vAlign w:val="center"/>
          </w:tcPr>
          <w:p w14:paraId="5B6D410A">
            <w:pPr>
              <w:shd w:val="clear"/>
              <w:rPr>
                <w:rFonts w:hint="eastAsia" w:ascii="宋体" w:hAnsi="宋体" w:eastAsia="宋体" w:cs="宋体"/>
                <w:color w:val="auto"/>
                <w:highlight w:val="none"/>
              </w:rPr>
            </w:pPr>
          </w:p>
        </w:tc>
        <w:tc>
          <w:tcPr>
            <w:tcW w:w="1985" w:type="dxa"/>
            <w:tcBorders>
              <w:tl2br w:val="nil"/>
              <w:tr2bl w:val="nil"/>
            </w:tcBorders>
            <w:vAlign w:val="center"/>
          </w:tcPr>
          <w:p w14:paraId="3180D5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▲存储管理工具</w:t>
            </w:r>
          </w:p>
        </w:tc>
        <w:tc>
          <w:tcPr>
            <w:tcW w:w="4653" w:type="dxa"/>
            <w:tcBorders>
              <w:tl2br w:val="nil"/>
              <w:tr2bl w:val="nil"/>
            </w:tcBorders>
            <w:vAlign w:val="center"/>
          </w:tcPr>
          <w:p w14:paraId="272CEC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操作系统支持EXT、XFS、NTFS、FAT、SWAP等多种格式的分区管理</w:t>
            </w:r>
          </w:p>
        </w:tc>
      </w:tr>
      <w:tr w14:paraId="45C3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97420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1559" w:type="dxa"/>
            <w:vMerge w:val="continue"/>
            <w:tcBorders>
              <w:tl2br w:val="nil"/>
              <w:tr2bl w:val="nil"/>
            </w:tcBorders>
            <w:vAlign w:val="center"/>
          </w:tcPr>
          <w:p w14:paraId="1532C2F3">
            <w:pPr>
              <w:shd w:val="clear"/>
              <w:rPr>
                <w:rFonts w:hint="eastAsia" w:ascii="宋体" w:hAnsi="宋体" w:eastAsia="宋体" w:cs="宋体"/>
                <w:color w:val="auto"/>
                <w:highlight w:val="none"/>
              </w:rPr>
            </w:pPr>
          </w:p>
        </w:tc>
        <w:tc>
          <w:tcPr>
            <w:tcW w:w="1985" w:type="dxa"/>
            <w:tcBorders>
              <w:tl2br w:val="nil"/>
              <w:tr2bl w:val="nil"/>
            </w:tcBorders>
            <w:vAlign w:val="center"/>
          </w:tcPr>
          <w:p w14:paraId="254FC7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▲SNMP协议工具包</w:t>
            </w:r>
          </w:p>
        </w:tc>
        <w:tc>
          <w:tcPr>
            <w:tcW w:w="4653" w:type="dxa"/>
            <w:tcBorders>
              <w:tl2br w:val="nil"/>
              <w:tr2bl w:val="nil"/>
            </w:tcBorders>
            <w:vAlign w:val="center"/>
          </w:tcPr>
          <w:p w14:paraId="4D1B25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操作系统支持SNMP设备和操作信息检索</w:t>
            </w:r>
          </w:p>
        </w:tc>
      </w:tr>
      <w:tr w14:paraId="254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B8AD8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p>
        </w:tc>
        <w:tc>
          <w:tcPr>
            <w:tcW w:w="1559" w:type="dxa"/>
            <w:vMerge w:val="continue"/>
            <w:tcBorders>
              <w:tl2br w:val="nil"/>
              <w:tr2bl w:val="nil"/>
            </w:tcBorders>
            <w:vAlign w:val="center"/>
          </w:tcPr>
          <w:p w14:paraId="24B97B01">
            <w:pPr>
              <w:shd w:val="clear"/>
              <w:rPr>
                <w:rFonts w:hint="eastAsia" w:ascii="宋体" w:hAnsi="宋体" w:eastAsia="宋体" w:cs="宋体"/>
                <w:color w:val="auto"/>
                <w:highlight w:val="none"/>
              </w:rPr>
            </w:pPr>
          </w:p>
        </w:tc>
        <w:tc>
          <w:tcPr>
            <w:tcW w:w="1985" w:type="dxa"/>
            <w:tcBorders>
              <w:tl2br w:val="nil"/>
              <w:tr2bl w:val="nil"/>
            </w:tcBorders>
            <w:vAlign w:val="center"/>
          </w:tcPr>
          <w:p w14:paraId="5F3A86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▲文本终端连接工具</w:t>
            </w:r>
          </w:p>
        </w:tc>
        <w:tc>
          <w:tcPr>
            <w:tcW w:w="4653" w:type="dxa"/>
            <w:tcBorders>
              <w:tl2br w:val="nil"/>
              <w:tr2bl w:val="nil"/>
            </w:tcBorders>
            <w:vAlign w:val="center"/>
          </w:tcPr>
          <w:p w14:paraId="7CC6FB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操作系统支持多终端协同管理</w:t>
            </w:r>
          </w:p>
        </w:tc>
      </w:tr>
      <w:tr w14:paraId="28A7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47A21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w:t>
            </w:r>
          </w:p>
        </w:tc>
        <w:tc>
          <w:tcPr>
            <w:tcW w:w="1559" w:type="dxa"/>
            <w:vMerge w:val="continue"/>
            <w:tcBorders>
              <w:tl2br w:val="nil"/>
              <w:tr2bl w:val="nil"/>
            </w:tcBorders>
            <w:vAlign w:val="center"/>
          </w:tcPr>
          <w:p w14:paraId="3370975A">
            <w:pPr>
              <w:shd w:val="clear"/>
              <w:rPr>
                <w:rFonts w:hint="eastAsia" w:ascii="宋体" w:hAnsi="宋体" w:eastAsia="宋体" w:cs="宋体"/>
                <w:color w:val="auto"/>
                <w:highlight w:val="none"/>
              </w:rPr>
            </w:pPr>
          </w:p>
        </w:tc>
        <w:tc>
          <w:tcPr>
            <w:tcW w:w="1985" w:type="dxa"/>
            <w:tcBorders>
              <w:tl2br w:val="nil"/>
              <w:tr2bl w:val="nil"/>
            </w:tcBorders>
            <w:vAlign w:val="center"/>
          </w:tcPr>
          <w:p w14:paraId="786ABD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▲服务管理工具集</w:t>
            </w:r>
          </w:p>
        </w:tc>
        <w:tc>
          <w:tcPr>
            <w:tcW w:w="4653" w:type="dxa"/>
            <w:tcBorders>
              <w:tl2br w:val="nil"/>
              <w:tr2bl w:val="nil"/>
            </w:tcBorders>
            <w:vAlign w:val="center"/>
          </w:tcPr>
          <w:p w14:paraId="1F0C96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操作系统支持服务启动与停止，查看服务状态及日志，查询服务启动顺序及依赖关系</w:t>
            </w:r>
          </w:p>
        </w:tc>
      </w:tr>
      <w:tr w14:paraId="75B8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0A33A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86</w:t>
            </w:r>
          </w:p>
        </w:tc>
        <w:tc>
          <w:tcPr>
            <w:tcW w:w="1559" w:type="dxa"/>
            <w:vMerge w:val="continue"/>
            <w:tcBorders>
              <w:tl2br w:val="nil"/>
              <w:tr2bl w:val="nil"/>
            </w:tcBorders>
            <w:vAlign w:val="center"/>
          </w:tcPr>
          <w:p w14:paraId="200EF996">
            <w:pPr>
              <w:shd w:val="clear"/>
              <w:rPr>
                <w:rFonts w:hint="eastAsia" w:ascii="宋体" w:hAnsi="宋体" w:eastAsia="宋体" w:cs="宋体"/>
                <w:color w:val="auto"/>
                <w:highlight w:val="none"/>
              </w:rPr>
            </w:pPr>
          </w:p>
        </w:tc>
        <w:tc>
          <w:tcPr>
            <w:tcW w:w="1985" w:type="dxa"/>
            <w:tcBorders>
              <w:tl2br w:val="nil"/>
              <w:tr2bl w:val="nil"/>
            </w:tcBorders>
            <w:vAlign w:val="center"/>
          </w:tcPr>
          <w:p w14:paraId="78F4A5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▲配置管理工具</w:t>
            </w:r>
          </w:p>
        </w:tc>
        <w:tc>
          <w:tcPr>
            <w:tcW w:w="4653" w:type="dxa"/>
            <w:tcBorders>
              <w:tl2br w:val="nil"/>
              <w:tr2bl w:val="nil"/>
            </w:tcBorders>
            <w:vAlign w:val="center"/>
          </w:tcPr>
          <w:p w14:paraId="7ABE97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操作系统提供配置管理工具，可以简化任务配置及服务管理</w:t>
            </w:r>
          </w:p>
        </w:tc>
      </w:tr>
      <w:tr w14:paraId="10BE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F821F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87</w:t>
            </w:r>
          </w:p>
        </w:tc>
        <w:tc>
          <w:tcPr>
            <w:tcW w:w="1559" w:type="dxa"/>
            <w:vMerge w:val="continue"/>
            <w:tcBorders>
              <w:tl2br w:val="nil"/>
              <w:tr2bl w:val="nil"/>
            </w:tcBorders>
            <w:vAlign w:val="center"/>
          </w:tcPr>
          <w:p w14:paraId="7DACC26E">
            <w:pPr>
              <w:shd w:val="clear"/>
              <w:rPr>
                <w:rFonts w:hint="eastAsia" w:ascii="宋体" w:hAnsi="宋体" w:eastAsia="宋体" w:cs="宋体"/>
                <w:color w:val="auto"/>
                <w:highlight w:val="none"/>
              </w:rPr>
            </w:pPr>
          </w:p>
        </w:tc>
        <w:tc>
          <w:tcPr>
            <w:tcW w:w="1985" w:type="dxa"/>
            <w:tcBorders>
              <w:tl2br w:val="nil"/>
              <w:tr2bl w:val="nil"/>
            </w:tcBorders>
            <w:vAlign w:val="center"/>
          </w:tcPr>
          <w:p w14:paraId="5A1936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▲监控管理工具</w:t>
            </w:r>
          </w:p>
        </w:tc>
        <w:tc>
          <w:tcPr>
            <w:tcW w:w="4653" w:type="dxa"/>
            <w:tcBorders>
              <w:tl2br w:val="nil"/>
              <w:tr2bl w:val="nil"/>
            </w:tcBorders>
            <w:vAlign w:val="center"/>
          </w:tcPr>
          <w:p w14:paraId="0C47C9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操作系统支持监控系统资源使用情况，包含CPU、内存、存储I/O、网络I/O等</w:t>
            </w:r>
          </w:p>
        </w:tc>
      </w:tr>
      <w:tr w14:paraId="1CBF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1766E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w:t>
            </w:r>
          </w:p>
        </w:tc>
        <w:tc>
          <w:tcPr>
            <w:tcW w:w="1559" w:type="dxa"/>
            <w:vMerge w:val="continue"/>
            <w:tcBorders>
              <w:tl2br w:val="nil"/>
              <w:tr2bl w:val="nil"/>
            </w:tcBorders>
            <w:vAlign w:val="center"/>
          </w:tcPr>
          <w:p w14:paraId="4BD53678">
            <w:pPr>
              <w:shd w:val="clear"/>
              <w:rPr>
                <w:rFonts w:hint="eastAsia" w:ascii="宋体" w:hAnsi="宋体" w:eastAsia="宋体" w:cs="宋体"/>
                <w:color w:val="auto"/>
                <w:highlight w:val="none"/>
              </w:rPr>
            </w:pPr>
          </w:p>
        </w:tc>
        <w:tc>
          <w:tcPr>
            <w:tcW w:w="1985" w:type="dxa"/>
            <w:tcBorders>
              <w:tl2br w:val="nil"/>
              <w:tr2bl w:val="nil"/>
            </w:tcBorders>
            <w:vAlign w:val="center"/>
          </w:tcPr>
          <w:p w14:paraId="2162B2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▲守护进程</w:t>
            </w:r>
          </w:p>
        </w:tc>
        <w:tc>
          <w:tcPr>
            <w:tcW w:w="4653" w:type="dxa"/>
            <w:tcBorders>
              <w:tl2br w:val="nil"/>
              <w:tr2bl w:val="nil"/>
            </w:tcBorders>
            <w:vAlign w:val="center"/>
          </w:tcPr>
          <w:p w14:paraId="6121F4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操作系统支持按需启动守护进程，用户可自定义设定需求守护的进程，如遇异常可重新加载，实现应用持续运行</w:t>
            </w:r>
          </w:p>
        </w:tc>
      </w:tr>
      <w:tr w14:paraId="6917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540EB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89</w:t>
            </w:r>
          </w:p>
        </w:tc>
        <w:tc>
          <w:tcPr>
            <w:tcW w:w="1559" w:type="dxa"/>
            <w:vMerge w:val="restart"/>
            <w:tcBorders>
              <w:tl2br w:val="nil"/>
              <w:tr2bl w:val="nil"/>
            </w:tcBorders>
            <w:vAlign w:val="center"/>
          </w:tcPr>
          <w:p w14:paraId="2E9693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▲基础组件兼容</w:t>
            </w:r>
          </w:p>
        </w:tc>
        <w:tc>
          <w:tcPr>
            <w:tcW w:w="1985" w:type="dxa"/>
            <w:tcBorders>
              <w:tl2br w:val="nil"/>
              <w:tr2bl w:val="nil"/>
            </w:tcBorders>
            <w:vAlign w:val="center"/>
          </w:tcPr>
          <w:p w14:paraId="7CD842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▲版本兼容</w:t>
            </w:r>
          </w:p>
        </w:tc>
        <w:tc>
          <w:tcPr>
            <w:tcW w:w="4653" w:type="dxa"/>
            <w:tcBorders>
              <w:tl2br w:val="nil"/>
              <w:tr2bl w:val="nil"/>
            </w:tcBorders>
            <w:vAlign w:val="center"/>
          </w:tcPr>
          <w:p w14:paraId="00D921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操作系统基础运行库或开发环境向后（向下）兼容，即系统版本升级后，能兼容上一版本所运行的软件与设备</w:t>
            </w:r>
          </w:p>
        </w:tc>
      </w:tr>
      <w:tr w14:paraId="78AA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D29A8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90</w:t>
            </w:r>
          </w:p>
        </w:tc>
        <w:tc>
          <w:tcPr>
            <w:tcW w:w="1559" w:type="dxa"/>
            <w:vMerge w:val="continue"/>
            <w:tcBorders>
              <w:tl2br w:val="nil"/>
              <w:tr2bl w:val="nil"/>
            </w:tcBorders>
            <w:vAlign w:val="center"/>
          </w:tcPr>
          <w:p w14:paraId="3ECDDADF">
            <w:pPr>
              <w:shd w:val="clear"/>
              <w:rPr>
                <w:rFonts w:hint="eastAsia" w:ascii="宋体" w:hAnsi="宋体" w:eastAsia="宋体" w:cs="宋体"/>
                <w:color w:val="auto"/>
                <w:highlight w:val="none"/>
              </w:rPr>
            </w:pPr>
          </w:p>
        </w:tc>
        <w:tc>
          <w:tcPr>
            <w:tcW w:w="1985" w:type="dxa"/>
            <w:tcBorders>
              <w:tl2br w:val="nil"/>
              <w:tr2bl w:val="nil"/>
            </w:tcBorders>
            <w:vAlign w:val="center"/>
          </w:tcPr>
          <w:p w14:paraId="78BB95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▲兼容周期</w:t>
            </w:r>
          </w:p>
        </w:tc>
        <w:tc>
          <w:tcPr>
            <w:tcW w:w="4653" w:type="dxa"/>
            <w:tcBorders>
              <w:tl2br w:val="nil"/>
              <w:tr2bl w:val="nil"/>
            </w:tcBorders>
            <w:vAlign w:val="center"/>
          </w:tcPr>
          <w:p w14:paraId="1D888E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操作系统主版本兼容维护时间自发布之日起不低于5年，包括但不限于安全修复、功能升级、新硬件支持等</w:t>
            </w:r>
          </w:p>
        </w:tc>
      </w:tr>
      <w:tr w14:paraId="7FF5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7D732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1559" w:type="dxa"/>
            <w:vMerge w:val="restart"/>
            <w:tcBorders>
              <w:tl2br w:val="nil"/>
              <w:tr2bl w:val="nil"/>
            </w:tcBorders>
            <w:vAlign w:val="center"/>
          </w:tcPr>
          <w:p w14:paraId="51B16D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▲运行环境</w:t>
            </w:r>
          </w:p>
        </w:tc>
        <w:tc>
          <w:tcPr>
            <w:tcW w:w="1985" w:type="dxa"/>
            <w:tcBorders>
              <w:tl2br w:val="nil"/>
              <w:tr2bl w:val="nil"/>
            </w:tcBorders>
            <w:vAlign w:val="center"/>
          </w:tcPr>
          <w:p w14:paraId="7CC7D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▲文件系统层次结构</w:t>
            </w:r>
          </w:p>
        </w:tc>
        <w:tc>
          <w:tcPr>
            <w:tcW w:w="4653" w:type="dxa"/>
            <w:tcBorders>
              <w:tl2br w:val="nil"/>
              <w:tr2bl w:val="nil"/>
            </w:tcBorders>
            <w:vAlign w:val="center"/>
          </w:tcPr>
          <w:p w14:paraId="27DFF7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投标人应给出长期兼容支持的文件系统层次结构</w:t>
            </w:r>
          </w:p>
        </w:tc>
      </w:tr>
      <w:tr w14:paraId="06A2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CB8EA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1559" w:type="dxa"/>
            <w:vMerge w:val="continue"/>
            <w:tcBorders>
              <w:tl2br w:val="nil"/>
              <w:tr2bl w:val="nil"/>
            </w:tcBorders>
            <w:vAlign w:val="center"/>
          </w:tcPr>
          <w:p w14:paraId="48C126BC">
            <w:pPr>
              <w:shd w:val="clear"/>
              <w:rPr>
                <w:rFonts w:hint="eastAsia" w:ascii="宋体" w:hAnsi="宋体" w:eastAsia="宋体" w:cs="宋体"/>
                <w:color w:val="auto"/>
                <w:highlight w:val="none"/>
              </w:rPr>
            </w:pPr>
          </w:p>
        </w:tc>
        <w:tc>
          <w:tcPr>
            <w:tcW w:w="1985" w:type="dxa"/>
            <w:tcBorders>
              <w:tl2br w:val="nil"/>
              <w:tr2bl w:val="nil"/>
            </w:tcBorders>
            <w:vAlign w:val="center"/>
          </w:tcPr>
          <w:p w14:paraId="5DF262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▲运行库</w:t>
            </w:r>
          </w:p>
        </w:tc>
        <w:tc>
          <w:tcPr>
            <w:tcW w:w="4653" w:type="dxa"/>
            <w:tcBorders>
              <w:tl2br w:val="nil"/>
              <w:tr2bl w:val="nil"/>
            </w:tcBorders>
            <w:vAlign w:val="center"/>
          </w:tcPr>
          <w:p w14:paraId="4653AE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w:t>
            </w:r>
            <w:bookmarkStart w:id="23" w:name="OLE_LINK14"/>
            <w:bookmarkStart w:id="24" w:name="OLE_LINK13"/>
            <w:r>
              <w:rPr>
                <w:rFonts w:hint="eastAsia" w:ascii="宋体" w:hAnsi="宋体" w:eastAsia="宋体" w:cs="宋体"/>
                <w:color w:val="auto"/>
                <w:szCs w:val="21"/>
                <w:highlight w:val="none"/>
              </w:rPr>
              <w:t>给出长期兼容</w:t>
            </w:r>
            <w:bookmarkEnd w:id="23"/>
            <w:bookmarkEnd w:id="24"/>
            <w:r>
              <w:rPr>
                <w:rFonts w:hint="eastAsia" w:ascii="宋体" w:hAnsi="宋体" w:eastAsia="宋体" w:cs="宋体"/>
                <w:color w:val="auto"/>
                <w:szCs w:val="21"/>
                <w:highlight w:val="none"/>
              </w:rPr>
              <w:t>支持的运行库</w:t>
            </w:r>
          </w:p>
        </w:tc>
      </w:tr>
      <w:tr w14:paraId="6B36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5A538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93</w:t>
            </w:r>
          </w:p>
        </w:tc>
        <w:tc>
          <w:tcPr>
            <w:tcW w:w="1559" w:type="dxa"/>
            <w:vMerge w:val="continue"/>
            <w:tcBorders>
              <w:tl2br w:val="nil"/>
              <w:tr2bl w:val="nil"/>
            </w:tcBorders>
            <w:vAlign w:val="center"/>
          </w:tcPr>
          <w:p w14:paraId="57AC9AB5">
            <w:pPr>
              <w:shd w:val="clear"/>
              <w:rPr>
                <w:rFonts w:hint="eastAsia" w:ascii="宋体" w:hAnsi="宋体" w:eastAsia="宋体" w:cs="宋体"/>
                <w:color w:val="auto"/>
                <w:highlight w:val="none"/>
              </w:rPr>
            </w:pPr>
          </w:p>
        </w:tc>
        <w:tc>
          <w:tcPr>
            <w:tcW w:w="1985" w:type="dxa"/>
            <w:tcBorders>
              <w:tl2br w:val="nil"/>
              <w:tr2bl w:val="nil"/>
            </w:tcBorders>
            <w:vAlign w:val="center"/>
          </w:tcPr>
          <w:p w14:paraId="4EBCCB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▲命令</w:t>
            </w:r>
          </w:p>
        </w:tc>
        <w:tc>
          <w:tcPr>
            <w:tcW w:w="4653" w:type="dxa"/>
            <w:tcBorders>
              <w:tl2br w:val="nil"/>
              <w:tr2bl w:val="nil"/>
            </w:tcBorders>
            <w:vAlign w:val="center"/>
          </w:tcPr>
          <w:p w14:paraId="43901B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投标人应给出长期兼容支持的常用命令</w:t>
            </w:r>
          </w:p>
        </w:tc>
      </w:tr>
      <w:tr w14:paraId="3F3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AC34C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94</w:t>
            </w:r>
          </w:p>
        </w:tc>
        <w:tc>
          <w:tcPr>
            <w:tcW w:w="1559" w:type="dxa"/>
            <w:vMerge w:val="restart"/>
            <w:tcBorders>
              <w:tl2br w:val="nil"/>
              <w:tr2bl w:val="nil"/>
            </w:tcBorders>
            <w:vAlign w:val="center"/>
          </w:tcPr>
          <w:p w14:paraId="0339CF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w:t>
            </w:r>
          </w:p>
        </w:tc>
        <w:tc>
          <w:tcPr>
            <w:tcW w:w="1985" w:type="dxa"/>
            <w:tcBorders>
              <w:tl2br w:val="nil"/>
              <w:tr2bl w:val="nil"/>
            </w:tcBorders>
            <w:vAlign w:val="center"/>
          </w:tcPr>
          <w:p w14:paraId="64E049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▲集群软件</w:t>
            </w:r>
          </w:p>
        </w:tc>
        <w:tc>
          <w:tcPr>
            <w:tcW w:w="4653" w:type="dxa"/>
            <w:tcBorders>
              <w:tl2br w:val="nil"/>
              <w:tr2bl w:val="nil"/>
            </w:tcBorders>
            <w:vAlign w:val="center"/>
          </w:tcPr>
          <w:p w14:paraId="0D6DAC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投标人提供兼容的集群软件清单，且至少兼容一款产品</w:t>
            </w:r>
          </w:p>
        </w:tc>
      </w:tr>
      <w:tr w14:paraId="24AA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6D8CF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w:t>
            </w:r>
          </w:p>
        </w:tc>
        <w:tc>
          <w:tcPr>
            <w:tcW w:w="1559" w:type="dxa"/>
            <w:vMerge w:val="continue"/>
            <w:tcBorders>
              <w:tl2br w:val="nil"/>
              <w:tr2bl w:val="nil"/>
            </w:tcBorders>
            <w:vAlign w:val="center"/>
          </w:tcPr>
          <w:p w14:paraId="6D40CB37">
            <w:pPr>
              <w:shd w:val="clear"/>
              <w:rPr>
                <w:rFonts w:hint="eastAsia" w:ascii="宋体" w:hAnsi="宋体" w:eastAsia="宋体" w:cs="宋体"/>
                <w:color w:val="auto"/>
                <w:highlight w:val="none"/>
              </w:rPr>
            </w:pPr>
          </w:p>
        </w:tc>
        <w:tc>
          <w:tcPr>
            <w:tcW w:w="1985" w:type="dxa"/>
            <w:tcBorders>
              <w:tl2br w:val="nil"/>
              <w:tr2bl w:val="nil"/>
            </w:tcBorders>
            <w:vAlign w:val="center"/>
          </w:tcPr>
          <w:p w14:paraId="2DEC6A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▲虚拟化云平台</w:t>
            </w:r>
          </w:p>
        </w:tc>
        <w:tc>
          <w:tcPr>
            <w:tcW w:w="4653" w:type="dxa"/>
            <w:tcBorders>
              <w:tl2br w:val="nil"/>
              <w:tr2bl w:val="nil"/>
            </w:tcBorders>
            <w:vAlign w:val="center"/>
          </w:tcPr>
          <w:p w14:paraId="686FBD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投标人提供兼容的虚拟化平台软件清单，且至少兼容三款产品</w:t>
            </w:r>
          </w:p>
        </w:tc>
      </w:tr>
      <w:tr w14:paraId="74A7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853DE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96</w:t>
            </w:r>
          </w:p>
        </w:tc>
        <w:tc>
          <w:tcPr>
            <w:tcW w:w="1559" w:type="dxa"/>
            <w:vMerge w:val="continue"/>
            <w:tcBorders>
              <w:tl2br w:val="nil"/>
              <w:tr2bl w:val="nil"/>
            </w:tcBorders>
            <w:vAlign w:val="center"/>
          </w:tcPr>
          <w:p w14:paraId="6DE1B4CA">
            <w:pPr>
              <w:shd w:val="clear"/>
              <w:rPr>
                <w:rFonts w:hint="eastAsia" w:ascii="宋体" w:hAnsi="宋体" w:eastAsia="宋体" w:cs="宋体"/>
                <w:color w:val="auto"/>
                <w:highlight w:val="none"/>
              </w:rPr>
            </w:pPr>
          </w:p>
        </w:tc>
        <w:tc>
          <w:tcPr>
            <w:tcW w:w="1985" w:type="dxa"/>
            <w:tcBorders>
              <w:tl2br w:val="nil"/>
              <w:tr2bl w:val="nil"/>
            </w:tcBorders>
            <w:vAlign w:val="center"/>
          </w:tcPr>
          <w:p w14:paraId="2E28E1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▲容器云</w:t>
            </w:r>
          </w:p>
        </w:tc>
        <w:tc>
          <w:tcPr>
            <w:tcW w:w="4653" w:type="dxa"/>
            <w:tcBorders>
              <w:tl2br w:val="nil"/>
              <w:tr2bl w:val="nil"/>
            </w:tcBorders>
            <w:vAlign w:val="center"/>
          </w:tcPr>
          <w:p w14:paraId="0A6FFD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投标人提供兼容的容器云软件清单，且至少兼容三款产品</w:t>
            </w:r>
          </w:p>
        </w:tc>
      </w:tr>
      <w:tr w14:paraId="6EE1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94FD8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97</w:t>
            </w:r>
          </w:p>
        </w:tc>
        <w:tc>
          <w:tcPr>
            <w:tcW w:w="1559" w:type="dxa"/>
            <w:vMerge w:val="continue"/>
            <w:tcBorders>
              <w:tl2br w:val="nil"/>
              <w:tr2bl w:val="nil"/>
            </w:tcBorders>
            <w:vAlign w:val="center"/>
          </w:tcPr>
          <w:p w14:paraId="53670244">
            <w:pPr>
              <w:shd w:val="clear"/>
              <w:rPr>
                <w:rFonts w:hint="eastAsia" w:ascii="宋体" w:hAnsi="宋体" w:eastAsia="宋体" w:cs="宋体"/>
                <w:color w:val="auto"/>
                <w:highlight w:val="none"/>
              </w:rPr>
            </w:pPr>
          </w:p>
        </w:tc>
        <w:tc>
          <w:tcPr>
            <w:tcW w:w="1985" w:type="dxa"/>
            <w:tcBorders>
              <w:tl2br w:val="nil"/>
              <w:tr2bl w:val="nil"/>
            </w:tcBorders>
            <w:vAlign w:val="center"/>
          </w:tcPr>
          <w:p w14:paraId="14E19D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▲存储软件</w:t>
            </w:r>
          </w:p>
        </w:tc>
        <w:tc>
          <w:tcPr>
            <w:tcW w:w="4653" w:type="dxa"/>
            <w:tcBorders>
              <w:tl2br w:val="nil"/>
              <w:tr2bl w:val="nil"/>
            </w:tcBorders>
            <w:vAlign w:val="center"/>
          </w:tcPr>
          <w:p w14:paraId="328041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投标人提供兼容的存储软件清单，且至少兼容一款产品</w:t>
            </w:r>
          </w:p>
        </w:tc>
      </w:tr>
      <w:tr w14:paraId="032D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015B0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98</w:t>
            </w:r>
          </w:p>
        </w:tc>
        <w:tc>
          <w:tcPr>
            <w:tcW w:w="1559" w:type="dxa"/>
            <w:vMerge w:val="continue"/>
            <w:tcBorders>
              <w:tl2br w:val="nil"/>
              <w:tr2bl w:val="nil"/>
            </w:tcBorders>
            <w:vAlign w:val="center"/>
          </w:tcPr>
          <w:p w14:paraId="3F8F81C9">
            <w:pPr>
              <w:shd w:val="clear"/>
              <w:rPr>
                <w:rFonts w:hint="eastAsia" w:ascii="宋体" w:hAnsi="宋体" w:eastAsia="宋体" w:cs="宋体"/>
                <w:color w:val="auto"/>
                <w:highlight w:val="none"/>
              </w:rPr>
            </w:pPr>
          </w:p>
        </w:tc>
        <w:tc>
          <w:tcPr>
            <w:tcW w:w="1985" w:type="dxa"/>
            <w:tcBorders>
              <w:tl2br w:val="nil"/>
              <w:tr2bl w:val="nil"/>
            </w:tcBorders>
            <w:vAlign w:val="center"/>
          </w:tcPr>
          <w:p w14:paraId="46F3AE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▲数据库管理系统</w:t>
            </w:r>
          </w:p>
        </w:tc>
        <w:tc>
          <w:tcPr>
            <w:tcW w:w="4653" w:type="dxa"/>
            <w:tcBorders>
              <w:tl2br w:val="nil"/>
              <w:tr2bl w:val="nil"/>
            </w:tcBorders>
            <w:vAlign w:val="center"/>
          </w:tcPr>
          <w:p w14:paraId="50474A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投标人提供兼容的数据库软件清单，且至少兼容三款产品</w:t>
            </w:r>
          </w:p>
        </w:tc>
      </w:tr>
      <w:tr w14:paraId="1119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31559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99</w:t>
            </w:r>
          </w:p>
        </w:tc>
        <w:tc>
          <w:tcPr>
            <w:tcW w:w="1559" w:type="dxa"/>
            <w:vMerge w:val="continue"/>
            <w:tcBorders>
              <w:tl2br w:val="nil"/>
              <w:tr2bl w:val="nil"/>
            </w:tcBorders>
            <w:vAlign w:val="center"/>
          </w:tcPr>
          <w:p w14:paraId="315BDE11">
            <w:pPr>
              <w:shd w:val="clear"/>
              <w:rPr>
                <w:rFonts w:hint="eastAsia" w:ascii="宋体" w:hAnsi="宋体" w:eastAsia="宋体" w:cs="宋体"/>
                <w:color w:val="auto"/>
                <w:highlight w:val="none"/>
              </w:rPr>
            </w:pPr>
          </w:p>
        </w:tc>
        <w:tc>
          <w:tcPr>
            <w:tcW w:w="1985" w:type="dxa"/>
            <w:tcBorders>
              <w:tl2br w:val="nil"/>
              <w:tr2bl w:val="nil"/>
            </w:tcBorders>
            <w:vAlign w:val="center"/>
          </w:tcPr>
          <w:p w14:paraId="41740D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w:t>
            </w:r>
          </w:p>
        </w:tc>
        <w:tc>
          <w:tcPr>
            <w:tcW w:w="4653" w:type="dxa"/>
            <w:tcBorders>
              <w:tl2br w:val="nil"/>
              <w:tr2bl w:val="nil"/>
            </w:tcBorders>
            <w:vAlign w:val="center"/>
          </w:tcPr>
          <w:p w14:paraId="1C3A48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投标人提供兼容的中间件软件清单，且至少兼容三款产品</w:t>
            </w:r>
          </w:p>
        </w:tc>
      </w:tr>
      <w:tr w14:paraId="3977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B5212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1559" w:type="dxa"/>
            <w:vMerge w:val="continue"/>
            <w:tcBorders>
              <w:tl2br w:val="nil"/>
              <w:tr2bl w:val="nil"/>
            </w:tcBorders>
            <w:vAlign w:val="center"/>
          </w:tcPr>
          <w:p w14:paraId="284D9C46">
            <w:pPr>
              <w:shd w:val="clear"/>
              <w:rPr>
                <w:rFonts w:hint="eastAsia" w:ascii="宋体" w:hAnsi="宋体" w:eastAsia="宋体" w:cs="宋体"/>
                <w:color w:val="auto"/>
                <w:highlight w:val="none"/>
              </w:rPr>
            </w:pPr>
          </w:p>
        </w:tc>
        <w:tc>
          <w:tcPr>
            <w:tcW w:w="1985" w:type="dxa"/>
            <w:tcBorders>
              <w:tl2br w:val="nil"/>
              <w:tr2bl w:val="nil"/>
            </w:tcBorders>
            <w:vAlign w:val="center"/>
          </w:tcPr>
          <w:p w14:paraId="7414EB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▲运维平台</w:t>
            </w:r>
          </w:p>
        </w:tc>
        <w:tc>
          <w:tcPr>
            <w:tcW w:w="4653" w:type="dxa"/>
            <w:tcBorders>
              <w:tl2br w:val="nil"/>
              <w:tr2bl w:val="nil"/>
            </w:tcBorders>
            <w:vAlign w:val="center"/>
          </w:tcPr>
          <w:p w14:paraId="72CA43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投标人提供兼容的运维平台软件清单，且至少兼容一款产品</w:t>
            </w:r>
          </w:p>
        </w:tc>
      </w:tr>
      <w:tr w14:paraId="37C6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7FBF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559" w:type="dxa"/>
            <w:vMerge w:val="continue"/>
            <w:tcBorders>
              <w:tl2br w:val="nil"/>
              <w:tr2bl w:val="nil"/>
            </w:tcBorders>
            <w:vAlign w:val="center"/>
          </w:tcPr>
          <w:p w14:paraId="172DB1F6">
            <w:pPr>
              <w:shd w:val="clear"/>
              <w:rPr>
                <w:rFonts w:hint="eastAsia" w:ascii="宋体" w:hAnsi="宋体" w:eastAsia="宋体" w:cs="宋体"/>
                <w:color w:val="auto"/>
                <w:highlight w:val="none"/>
              </w:rPr>
            </w:pPr>
          </w:p>
        </w:tc>
        <w:tc>
          <w:tcPr>
            <w:tcW w:w="1985" w:type="dxa"/>
            <w:tcBorders>
              <w:tl2br w:val="nil"/>
              <w:tr2bl w:val="nil"/>
            </w:tcBorders>
            <w:vAlign w:val="center"/>
          </w:tcPr>
          <w:p w14:paraId="660947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▲备份软件</w:t>
            </w:r>
          </w:p>
        </w:tc>
        <w:tc>
          <w:tcPr>
            <w:tcW w:w="4653" w:type="dxa"/>
            <w:tcBorders>
              <w:tl2br w:val="nil"/>
              <w:tr2bl w:val="nil"/>
            </w:tcBorders>
            <w:vAlign w:val="center"/>
          </w:tcPr>
          <w:p w14:paraId="038927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投标人提供兼容的备份恢复软件清单，且至少兼容一款产品</w:t>
            </w:r>
          </w:p>
        </w:tc>
      </w:tr>
      <w:tr w14:paraId="669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37D4B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559" w:type="dxa"/>
            <w:vMerge w:val="continue"/>
            <w:tcBorders>
              <w:tl2br w:val="nil"/>
              <w:tr2bl w:val="nil"/>
            </w:tcBorders>
            <w:vAlign w:val="center"/>
          </w:tcPr>
          <w:p w14:paraId="55748F22">
            <w:pPr>
              <w:shd w:val="clear"/>
              <w:rPr>
                <w:rFonts w:hint="eastAsia" w:ascii="宋体" w:hAnsi="宋体" w:eastAsia="宋体" w:cs="宋体"/>
                <w:color w:val="auto"/>
                <w:highlight w:val="none"/>
              </w:rPr>
            </w:pPr>
          </w:p>
        </w:tc>
        <w:tc>
          <w:tcPr>
            <w:tcW w:w="1985" w:type="dxa"/>
            <w:tcBorders>
              <w:tl2br w:val="nil"/>
              <w:tr2bl w:val="nil"/>
            </w:tcBorders>
            <w:vAlign w:val="center"/>
          </w:tcPr>
          <w:p w14:paraId="355815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▲大数据平台</w:t>
            </w:r>
          </w:p>
        </w:tc>
        <w:tc>
          <w:tcPr>
            <w:tcW w:w="4653" w:type="dxa"/>
            <w:tcBorders>
              <w:tl2br w:val="nil"/>
              <w:tr2bl w:val="nil"/>
            </w:tcBorders>
            <w:vAlign w:val="center"/>
          </w:tcPr>
          <w:p w14:paraId="0B5886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投标人提供兼容的大数据平台软件清单，且至少兼容一款产品</w:t>
            </w:r>
          </w:p>
        </w:tc>
      </w:tr>
      <w:tr w14:paraId="1173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97C93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1559" w:type="dxa"/>
            <w:vMerge w:val="continue"/>
            <w:tcBorders>
              <w:tl2br w:val="nil"/>
              <w:tr2bl w:val="nil"/>
            </w:tcBorders>
            <w:vAlign w:val="center"/>
          </w:tcPr>
          <w:p w14:paraId="64BA68F3">
            <w:pPr>
              <w:shd w:val="clear"/>
              <w:rPr>
                <w:rFonts w:hint="eastAsia" w:ascii="宋体" w:hAnsi="宋体" w:eastAsia="宋体" w:cs="宋体"/>
                <w:color w:val="auto"/>
                <w:highlight w:val="none"/>
              </w:rPr>
            </w:pPr>
          </w:p>
        </w:tc>
        <w:tc>
          <w:tcPr>
            <w:tcW w:w="1985" w:type="dxa"/>
            <w:tcBorders>
              <w:tl2br w:val="nil"/>
              <w:tr2bl w:val="nil"/>
            </w:tcBorders>
            <w:vAlign w:val="center"/>
          </w:tcPr>
          <w:p w14:paraId="31AD33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▲终端防护及杀毒</w:t>
            </w:r>
          </w:p>
        </w:tc>
        <w:tc>
          <w:tcPr>
            <w:tcW w:w="4653" w:type="dxa"/>
            <w:tcBorders>
              <w:tl2br w:val="nil"/>
              <w:tr2bl w:val="nil"/>
            </w:tcBorders>
            <w:vAlign w:val="center"/>
          </w:tcPr>
          <w:p w14:paraId="4EA967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投标人提供兼容的终端防护及杀毒软件清单，且至少兼容一款产品</w:t>
            </w:r>
          </w:p>
        </w:tc>
      </w:tr>
      <w:tr w14:paraId="65E7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1D651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p>
        </w:tc>
        <w:tc>
          <w:tcPr>
            <w:tcW w:w="1559" w:type="dxa"/>
            <w:vMerge w:val="continue"/>
            <w:tcBorders>
              <w:tl2br w:val="nil"/>
              <w:tr2bl w:val="nil"/>
            </w:tcBorders>
            <w:vAlign w:val="center"/>
          </w:tcPr>
          <w:p w14:paraId="4009C510">
            <w:pPr>
              <w:shd w:val="clear"/>
              <w:rPr>
                <w:rFonts w:hint="eastAsia" w:ascii="宋体" w:hAnsi="宋体" w:eastAsia="宋体" w:cs="宋体"/>
                <w:color w:val="auto"/>
                <w:highlight w:val="none"/>
              </w:rPr>
            </w:pPr>
          </w:p>
        </w:tc>
        <w:tc>
          <w:tcPr>
            <w:tcW w:w="1985" w:type="dxa"/>
            <w:tcBorders>
              <w:tl2br w:val="nil"/>
              <w:tr2bl w:val="nil"/>
            </w:tcBorders>
            <w:vAlign w:val="center"/>
          </w:tcPr>
          <w:p w14:paraId="3A6A2C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▲网络防护</w:t>
            </w:r>
          </w:p>
        </w:tc>
        <w:tc>
          <w:tcPr>
            <w:tcW w:w="4653" w:type="dxa"/>
            <w:tcBorders>
              <w:tl2br w:val="nil"/>
              <w:tr2bl w:val="nil"/>
            </w:tcBorders>
            <w:vAlign w:val="center"/>
          </w:tcPr>
          <w:p w14:paraId="1C1B0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投标人提供兼容的网络防护软件清单，且至少兼容一款产品</w:t>
            </w:r>
          </w:p>
        </w:tc>
      </w:tr>
      <w:tr w14:paraId="0B9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A1D41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w:t>
            </w:r>
          </w:p>
        </w:tc>
        <w:tc>
          <w:tcPr>
            <w:tcW w:w="1559" w:type="dxa"/>
            <w:vMerge w:val="continue"/>
            <w:tcBorders>
              <w:tl2br w:val="nil"/>
              <w:tr2bl w:val="nil"/>
            </w:tcBorders>
            <w:vAlign w:val="center"/>
          </w:tcPr>
          <w:p w14:paraId="1AAF7428">
            <w:pPr>
              <w:shd w:val="clear"/>
              <w:rPr>
                <w:rFonts w:hint="eastAsia" w:ascii="宋体" w:hAnsi="宋体" w:eastAsia="宋体" w:cs="宋体"/>
                <w:color w:val="auto"/>
                <w:highlight w:val="none"/>
              </w:rPr>
            </w:pPr>
          </w:p>
        </w:tc>
        <w:tc>
          <w:tcPr>
            <w:tcW w:w="1985" w:type="dxa"/>
            <w:tcBorders>
              <w:tl2br w:val="nil"/>
              <w:tr2bl w:val="nil"/>
            </w:tcBorders>
            <w:vAlign w:val="center"/>
          </w:tcPr>
          <w:p w14:paraId="0B02E7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▲身份认证</w:t>
            </w:r>
          </w:p>
        </w:tc>
        <w:tc>
          <w:tcPr>
            <w:tcW w:w="4653" w:type="dxa"/>
            <w:tcBorders>
              <w:tl2br w:val="nil"/>
              <w:tr2bl w:val="nil"/>
            </w:tcBorders>
            <w:vAlign w:val="center"/>
          </w:tcPr>
          <w:p w14:paraId="73BA0B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投标人提供兼容的身份认证软件清单，且至少兼容一款产品</w:t>
            </w:r>
          </w:p>
        </w:tc>
      </w:tr>
      <w:tr w14:paraId="5455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BCD27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w:t>
            </w:r>
          </w:p>
        </w:tc>
        <w:tc>
          <w:tcPr>
            <w:tcW w:w="1559" w:type="dxa"/>
            <w:vMerge w:val="continue"/>
            <w:tcBorders>
              <w:tl2br w:val="nil"/>
              <w:tr2bl w:val="nil"/>
            </w:tcBorders>
            <w:vAlign w:val="center"/>
          </w:tcPr>
          <w:p w14:paraId="536D0C79">
            <w:pPr>
              <w:shd w:val="clear"/>
              <w:rPr>
                <w:rFonts w:hint="eastAsia" w:ascii="宋体" w:hAnsi="宋体" w:eastAsia="宋体" w:cs="宋体"/>
                <w:color w:val="auto"/>
                <w:highlight w:val="none"/>
              </w:rPr>
            </w:pPr>
          </w:p>
        </w:tc>
        <w:tc>
          <w:tcPr>
            <w:tcW w:w="1985" w:type="dxa"/>
            <w:tcBorders>
              <w:tl2br w:val="nil"/>
              <w:tr2bl w:val="nil"/>
            </w:tcBorders>
            <w:vAlign w:val="center"/>
          </w:tcPr>
          <w:p w14:paraId="7248B1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▲服务器整机</w:t>
            </w:r>
          </w:p>
        </w:tc>
        <w:tc>
          <w:tcPr>
            <w:tcW w:w="4653" w:type="dxa"/>
            <w:tcBorders>
              <w:tl2br w:val="nil"/>
              <w:tr2bl w:val="nil"/>
            </w:tcBorders>
            <w:vAlign w:val="center"/>
          </w:tcPr>
          <w:p w14:paraId="4D1E3E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投标人提供兼容的服务器整机品牌及型号清单，且至少兼容一款产品</w:t>
            </w:r>
          </w:p>
        </w:tc>
      </w:tr>
      <w:tr w14:paraId="43B2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E24CF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w:t>
            </w:r>
          </w:p>
        </w:tc>
        <w:tc>
          <w:tcPr>
            <w:tcW w:w="1559" w:type="dxa"/>
            <w:vMerge w:val="continue"/>
            <w:tcBorders>
              <w:tl2br w:val="nil"/>
              <w:tr2bl w:val="nil"/>
            </w:tcBorders>
            <w:vAlign w:val="center"/>
          </w:tcPr>
          <w:p w14:paraId="1C9B4D4B">
            <w:pPr>
              <w:shd w:val="clear"/>
              <w:rPr>
                <w:rFonts w:hint="eastAsia" w:ascii="宋体" w:hAnsi="宋体" w:eastAsia="宋体" w:cs="宋体"/>
                <w:color w:val="auto"/>
                <w:highlight w:val="none"/>
              </w:rPr>
            </w:pPr>
          </w:p>
        </w:tc>
        <w:tc>
          <w:tcPr>
            <w:tcW w:w="1985" w:type="dxa"/>
            <w:tcBorders>
              <w:tl2br w:val="nil"/>
              <w:tr2bl w:val="nil"/>
            </w:tcBorders>
            <w:vAlign w:val="center"/>
          </w:tcPr>
          <w:p w14:paraId="77D84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▲AI服务器</w:t>
            </w:r>
          </w:p>
        </w:tc>
        <w:tc>
          <w:tcPr>
            <w:tcW w:w="4653" w:type="dxa"/>
            <w:tcBorders>
              <w:tl2br w:val="nil"/>
              <w:tr2bl w:val="nil"/>
            </w:tcBorders>
            <w:vAlign w:val="center"/>
          </w:tcPr>
          <w:p w14:paraId="17823E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投标人提供兼容的AI服务器整机品牌及型号清单，且至少兼容一款产品</w:t>
            </w:r>
          </w:p>
        </w:tc>
      </w:tr>
      <w:tr w14:paraId="066E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4C86C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w:t>
            </w:r>
          </w:p>
        </w:tc>
        <w:tc>
          <w:tcPr>
            <w:tcW w:w="1559" w:type="dxa"/>
            <w:vMerge w:val="continue"/>
            <w:tcBorders>
              <w:tl2br w:val="nil"/>
              <w:tr2bl w:val="nil"/>
            </w:tcBorders>
            <w:vAlign w:val="center"/>
          </w:tcPr>
          <w:p w14:paraId="0E92F9AD">
            <w:pPr>
              <w:shd w:val="clear"/>
              <w:rPr>
                <w:rFonts w:hint="eastAsia" w:ascii="宋体" w:hAnsi="宋体" w:eastAsia="宋体" w:cs="宋体"/>
                <w:color w:val="auto"/>
                <w:highlight w:val="none"/>
              </w:rPr>
            </w:pPr>
          </w:p>
        </w:tc>
        <w:tc>
          <w:tcPr>
            <w:tcW w:w="1985" w:type="dxa"/>
            <w:tcBorders>
              <w:tl2br w:val="nil"/>
              <w:tr2bl w:val="nil"/>
            </w:tcBorders>
            <w:vAlign w:val="center"/>
          </w:tcPr>
          <w:p w14:paraId="6DCA88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w:t>
            </w:r>
          </w:p>
        </w:tc>
        <w:tc>
          <w:tcPr>
            <w:tcW w:w="4653" w:type="dxa"/>
            <w:tcBorders>
              <w:tl2br w:val="nil"/>
              <w:tr2bl w:val="nil"/>
            </w:tcBorders>
            <w:vAlign w:val="center"/>
          </w:tcPr>
          <w:p w14:paraId="69870E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投标人提供兼容的存储服务器整机品牌及型号清单，且至少兼容一款产品</w:t>
            </w:r>
          </w:p>
        </w:tc>
      </w:tr>
      <w:tr w14:paraId="00A8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686DE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w:t>
            </w:r>
          </w:p>
        </w:tc>
        <w:tc>
          <w:tcPr>
            <w:tcW w:w="1559" w:type="dxa"/>
            <w:vMerge w:val="continue"/>
            <w:tcBorders>
              <w:tl2br w:val="nil"/>
              <w:tr2bl w:val="nil"/>
            </w:tcBorders>
            <w:vAlign w:val="center"/>
          </w:tcPr>
          <w:p w14:paraId="073F3A18">
            <w:pPr>
              <w:shd w:val="clear"/>
              <w:rPr>
                <w:rFonts w:hint="eastAsia" w:ascii="宋体" w:hAnsi="宋体" w:eastAsia="宋体" w:cs="宋体"/>
                <w:color w:val="auto"/>
                <w:highlight w:val="none"/>
              </w:rPr>
            </w:pPr>
          </w:p>
        </w:tc>
        <w:tc>
          <w:tcPr>
            <w:tcW w:w="1985" w:type="dxa"/>
            <w:tcBorders>
              <w:tl2br w:val="nil"/>
              <w:tr2bl w:val="nil"/>
            </w:tcBorders>
            <w:vAlign w:val="center"/>
          </w:tcPr>
          <w:p w14:paraId="0678F4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w:t>
            </w:r>
          </w:p>
        </w:tc>
        <w:tc>
          <w:tcPr>
            <w:tcW w:w="4653" w:type="dxa"/>
            <w:tcBorders>
              <w:tl2br w:val="nil"/>
              <w:tr2bl w:val="nil"/>
            </w:tcBorders>
            <w:vAlign w:val="center"/>
          </w:tcPr>
          <w:p w14:paraId="42D97F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投标人提供兼容的系统总线、HBA卡、RAID卡、网卡、光纤卡、AI加速卡、GPU、NPU等品牌及型号清单</w:t>
            </w:r>
          </w:p>
        </w:tc>
      </w:tr>
      <w:tr w14:paraId="3072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D9043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1559" w:type="dxa"/>
            <w:tcBorders>
              <w:tl2br w:val="nil"/>
              <w:tr2bl w:val="nil"/>
            </w:tcBorders>
            <w:vAlign w:val="center"/>
          </w:tcPr>
          <w:p w14:paraId="0D02ED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w:t>
            </w:r>
          </w:p>
        </w:tc>
        <w:tc>
          <w:tcPr>
            <w:tcW w:w="1985" w:type="dxa"/>
            <w:tcBorders>
              <w:tl2br w:val="nil"/>
              <w:tr2bl w:val="nil"/>
            </w:tcBorders>
            <w:vAlign w:val="center"/>
          </w:tcPr>
          <w:p w14:paraId="699A96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▲操作系统连续运行168小时</w:t>
            </w:r>
          </w:p>
        </w:tc>
        <w:tc>
          <w:tcPr>
            <w:tcW w:w="4653" w:type="dxa"/>
            <w:tcBorders>
              <w:tl2br w:val="nil"/>
              <w:tr2bl w:val="nil"/>
            </w:tcBorders>
            <w:vAlign w:val="center"/>
          </w:tcPr>
          <w:p w14:paraId="09F586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操作系统高负载下连续常态运行</w:t>
            </w:r>
            <w:bookmarkStart w:id="25" w:name="OLE_LINK15"/>
            <w:bookmarkStart w:id="26" w:name="OLE_LINK16"/>
            <w:r>
              <w:rPr>
                <w:rFonts w:hint="eastAsia" w:ascii="宋体" w:hAnsi="宋体" w:eastAsia="宋体" w:cs="宋体"/>
                <w:color w:val="auto"/>
                <w:szCs w:val="21"/>
                <w:highlight w:val="none"/>
              </w:rPr>
              <w:t>≥168小时</w:t>
            </w:r>
            <w:bookmarkEnd w:id="25"/>
            <w:bookmarkEnd w:id="26"/>
            <w:r>
              <w:rPr>
                <w:rFonts w:hint="eastAsia" w:ascii="宋体" w:hAnsi="宋体" w:eastAsia="宋体" w:cs="宋体"/>
                <w:color w:val="auto"/>
                <w:szCs w:val="21"/>
                <w:highlight w:val="none"/>
              </w:rPr>
              <w:t>无故障</w:t>
            </w:r>
          </w:p>
        </w:tc>
      </w:tr>
      <w:tr w14:paraId="7232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99FE3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559" w:type="dxa"/>
            <w:tcBorders>
              <w:tl2br w:val="nil"/>
              <w:tr2bl w:val="nil"/>
            </w:tcBorders>
            <w:vAlign w:val="center"/>
          </w:tcPr>
          <w:p w14:paraId="1244D1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1985" w:type="dxa"/>
            <w:tcBorders>
              <w:tl2br w:val="nil"/>
              <w:tr2bl w:val="nil"/>
            </w:tcBorders>
            <w:vAlign w:val="center"/>
          </w:tcPr>
          <w:p w14:paraId="52C04C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4653" w:type="dxa"/>
            <w:tcBorders>
              <w:tl2br w:val="nil"/>
              <w:tr2bl w:val="nil"/>
            </w:tcBorders>
            <w:vAlign w:val="center"/>
          </w:tcPr>
          <w:p w14:paraId="6CA800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操作系统提供备份还原功能，支持生成系统状态快照及恢复系统状态</w:t>
            </w:r>
          </w:p>
        </w:tc>
      </w:tr>
      <w:tr w14:paraId="30F4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3CCDA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559" w:type="dxa"/>
            <w:tcBorders>
              <w:tl2br w:val="nil"/>
              <w:tr2bl w:val="nil"/>
            </w:tcBorders>
            <w:vAlign w:val="center"/>
          </w:tcPr>
          <w:p w14:paraId="6B55B9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1985" w:type="dxa"/>
            <w:tcBorders>
              <w:tl2br w:val="nil"/>
              <w:tr2bl w:val="nil"/>
            </w:tcBorders>
            <w:vAlign w:val="center"/>
          </w:tcPr>
          <w:p w14:paraId="2479EE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4653" w:type="dxa"/>
            <w:tcBorders>
              <w:tl2br w:val="nil"/>
              <w:tr2bl w:val="nil"/>
            </w:tcBorders>
            <w:vAlign w:val="center"/>
          </w:tcPr>
          <w:p w14:paraId="3E0F33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操作系统支持DDR3、DDR4等内存上的ECC查错、纠错</w:t>
            </w:r>
          </w:p>
        </w:tc>
      </w:tr>
      <w:tr w14:paraId="7135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3EA0D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559" w:type="dxa"/>
            <w:tcBorders>
              <w:tl2br w:val="nil"/>
              <w:tr2bl w:val="nil"/>
            </w:tcBorders>
            <w:vAlign w:val="center"/>
          </w:tcPr>
          <w:p w14:paraId="42DC14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5" w:type="dxa"/>
            <w:tcBorders>
              <w:tl2br w:val="nil"/>
              <w:tr2bl w:val="nil"/>
            </w:tcBorders>
            <w:vAlign w:val="center"/>
          </w:tcPr>
          <w:p w14:paraId="6E2EF5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▲硬盘热插拔</w:t>
            </w:r>
          </w:p>
        </w:tc>
        <w:tc>
          <w:tcPr>
            <w:tcW w:w="4653" w:type="dxa"/>
            <w:tcBorders>
              <w:tl2br w:val="nil"/>
              <w:tr2bl w:val="nil"/>
            </w:tcBorders>
            <w:vAlign w:val="center"/>
          </w:tcPr>
          <w:p w14:paraId="4C9B8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硬件支持时，操作系统支持硬盘热插拔</w:t>
            </w:r>
          </w:p>
        </w:tc>
      </w:tr>
      <w:tr w14:paraId="5172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5A905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559" w:type="dxa"/>
            <w:vMerge w:val="restart"/>
            <w:tcBorders>
              <w:tl2br w:val="nil"/>
              <w:tr2bl w:val="nil"/>
            </w:tcBorders>
            <w:vAlign w:val="center"/>
          </w:tcPr>
          <w:p w14:paraId="0B6337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▲维护工具</w:t>
            </w:r>
          </w:p>
        </w:tc>
        <w:tc>
          <w:tcPr>
            <w:tcW w:w="1985" w:type="dxa"/>
            <w:tcBorders>
              <w:tl2br w:val="nil"/>
              <w:tr2bl w:val="nil"/>
            </w:tcBorders>
            <w:vAlign w:val="center"/>
          </w:tcPr>
          <w:p w14:paraId="70A44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▲远程维护</w:t>
            </w:r>
          </w:p>
        </w:tc>
        <w:tc>
          <w:tcPr>
            <w:tcW w:w="4653" w:type="dxa"/>
            <w:tcBorders>
              <w:tl2br w:val="nil"/>
              <w:tr2bl w:val="nil"/>
            </w:tcBorders>
            <w:vAlign w:val="center"/>
          </w:tcPr>
          <w:p w14:paraId="269DF0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操作系统提供远程控制管理工具，支持RDP、SSH、SPICE、VNC等协议，方便用户进行文本或图形化形式的远程连接及维护</w:t>
            </w:r>
          </w:p>
        </w:tc>
      </w:tr>
      <w:tr w14:paraId="5F24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F2F66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559" w:type="dxa"/>
            <w:vMerge w:val="continue"/>
            <w:tcBorders>
              <w:tl2br w:val="nil"/>
              <w:tr2bl w:val="nil"/>
            </w:tcBorders>
            <w:vAlign w:val="center"/>
          </w:tcPr>
          <w:p w14:paraId="50626D26">
            <w:pPr>
              <w:shd w:val="clear"/>
              <w:rPr>
                <w:rFonts w:hint="eastAsia" w:ascii="宋体" w:hAnsi="宋体" w:eastAsia="宋体" w:cs="宋体"/>
                <w:color w:val="auto"/>
                <w:highlight w:val="none"/>
              </w:rPr>
            </w:pPr>
          </w:p>
        </w:tc>
        <w:tc>
          <w:tcPr>
            <w:tcW w:w="1985" w:type="dxa"/>
            <w:tcBorders>
              <w:tl2br w:val="nil"/>
              <w:tr2bl w:val="nil"/>
            </w:tcBorders>
            <w:vAlign w:val="center"/>
          </w:tcPr>
          <w:p w14:paraId="321C74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▲文件完整检查</w:t>
            </w:r>
          </w:p>
        </w:tc>
        <w:tc>
          <w:tcPr>
            <w:tcW w:w="4653" w:type="dxa"/>
            <w:tcBorders>
              <w:tl2br w:val="nil"/>
              <w:tr2bl w:val="nil"/>
            </w:tcBorders>
            <w:vAlign w:val="center"/>
          </w:tcPr>
          <w:p w14:paraId="29C704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操作系统提供文件系统检查工具，对文件系统完整性进行检测和修复</w:t>
            </w:r>
          </w:p>
        </w:tc>
      </w:tr>
      <w:tr w14:paraId="0598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1F9024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1559" w:type="dxa"/>
            <w:vMerge w:val="continue"/>
            <w:tcBorders>
              <w:tl2br w:val="nil"/>
              <w:tr2bl w:val="nil"/>
            </w:tcBorders>
            <w:vAlign w:val="center"/>
          </w:tcPr>
          <w:p w14:paraId="7F7836E7">
            <w:pPr>
              <w:shd w:val="clear"/>
              <w:rPr>
                <w:rFonts w:hint="eastAsia" w:ascii="宋体" w:hAnsi="宋体" w:eastAsia="宋体" w:cs="宋体"/>
                <w:color w:val="auto"/>
                <w:highlight w:val="none"/>
              </w:rPr>
            </w:pPr>
          </w:p>
        </w:tc>
        <w:tc>
          <w:tcPr>
            <w:tcW w:w="1985" w:type="dxa"/>
            <w:tcBorders>
              <w:tl2br w:val="nil"/>
              <w:tr2bl w:val="nil"/>
            </w:tcBorders>
            <w:vAlign w:val="center"/>
          </w:tcPr>
          <w:p w14:paraId="10880B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▲内核分析</w:t>
            </w:r>
          </w:p>
        </w:tc>
        <w:tc>
          <w:tcPr>
            <w:tcW w:w="4653" w:type="dxa"/>
            <w:tcBorders>
              <w:tl2br w:val="nil"/>
              <w:tr2bl w:val="nil"/>
            </w:tcBorders>
            <w:vAlign w:val="center"/>
          </w:tcPr>
          <w:p w14:paraId="053138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操作系统提供内核性能分析工具，提供性能分析框架，支持对内核函数层面进行分析；提供内核探测工具，支持对内核及用户态程序动态追踪</w:t>
            </w:r>
          </w:p>
        </w:tc>
      </w:tr>
      <w:tr w14:paraId="3CB3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2" w:type="dxa"/>
            <w:tcBorders>
              <w:tl2br w:val="nil"/>
              <w:tr2bl w:val="nil"/>
            </w:tcBorders>
            <w:vAlign w:val="center"/>
          </w:tcPr>
          <w:p w14:paraId="58293B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w:t>
            </w:r>
          </w:p>
        </w:tc>
        <w:tc>
          <w:tcPr>
            <w:tcW w:w="1559" w:type="dxa"/>
            <w:vMerge w:val="restart"/>
            <w:tcBorders>
              <w:tl2br w:val="nil"/>
              <w:tr2bl w:val="nil"/>
            </w:tcBorders>
            <w:vAlign w:val="center"/>
          </w:tcPr>
          <w:p w14:paraId="337C54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▲日志管理</w:t>
            </w:r>
          </w:p>
        </w:tc>
        <w:tc>
          <w:tcPr>
            <w:tcW w:w="1985" w:type="dxa"/>
            <w:tcBorders>
              <w:tl2br w:val="nil"/>
              <w:tr2bl w:val="nil"/>
            </w:tcBorders>
            <w:vAlign w:val="center"/>
          </w:tcPr>
          <w:p w14:paraId="4D831E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▲日志记录与存储</w:t>
            </w:r>
          </w:p>
        </w:tc>
        <w:tc>
          <w:tcPr>
            <w:tcW w:w="4653" w:type="dxa"/>
            <w:tcBorders>
              <w:tl2br w:val="nil"/>
              <w:tr2bl w:val="nil"/>
            </w:tcBorders>
            <w:vAlign w:val="center"/>
          </w:tcPr>
          <w:p w14:paraId="681C6C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操作系统支持对安全事件的日志记录，包括帐户增删改、成功登录、失败登录、敏感服务开启关闭、配置修改等，日志信息详实，包括所属用户、访问时间、访问地址等；</w:t>
            </w:r>
          </w:p>
          <w:p w14:paraId="1D9F6A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支持内核异常日志信息的记录和存储；</w:t>
            </w:r>
          </w:p>
          <w:p w14:paraId="6A03D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支持内核崩溃转储机制，系统崩溃时可收集整个内存信息；</w:t>
            </w:r>
          </w:p>
          <w:p w14:paraId="1D6791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支持配置远程日志功能，可将指定日志内容归档到日志服务器；</w:t>
            </w:r>
          </w:p>
          <w:p w14:paraId="7E8B3E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支持对日志功能进行访问控制，防止未经授权的访问</w:t>
            </w:r>
          </w:p>
        </w:tc>
      </w:tr>
      <w:tr w14:paraId="0D7F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1943D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w:t>
            </w:r>
          </w:p>
        </w:tc>
        <w:tc>
          <w:tcPr>
            <w:tcW w:w="1559" w:type="dxa"/>
            <w:vMerge w:val="continue"/>
            <w:tcBorders>
              <w:tl2br w:val="nil"/>
              <w:tr2bl w:val="nil"/>
            </w:tcBorders>
            <w:vAlign w:val="center"/>
          </w:tcPr>
          <w:p w14:paraId="7005F484">
            <w:pPr>
              <w:shd w:val="clear"/>
              <w:rPr>
                <w:rFonts w:hint="eastAsia" w:ascii="宋体" w:hAnsi="宋体" w:eastAsia="宋体" w:cs="宋体"/>
                <w:color w:val="auto"/>
                <w:highlight w:val="none"/>
              </w:rPr>
            </w:pPr>
          </w:p>
        </w:tc>
        <w:tc>
          <w:tcPr>
            <w:tcW w:w="1985" w:type="dxa"/>
            <w:tcBorders>
              <w:tl2br w:val="nil"/>
              <w:tr2bl w:val="nil"/>
            </w:tcBorders>
            <w:vAlign w:val="center"/>
          </w:tcPr>
          <w:p w14:paraId="258269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▲日志处理与分析</w:t>
            </w:r>
          </w:p>
        </w:tc>
        <w:tc>
          <w:tcPr>
            <w:tcW w:w="4653" w:type="dxa"/>
            <w:tcBorders>
              <w:tl2br w:val="nil"/>
              <w:tr2bl w:val="nil"/>
            </w:tcBorders>
            <w:vAlign w:val="center"/>
          </w:tcPr>
          <w:p w14:paraId="540156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操作系统提供系统错误问题回溯分析工具，对系统崩溃问题及错误问题进行回溯；支持日志切分、一键收集、转储、同步机制</w:t>
            </w:r>
          </w:p>
        </w:tc>
      </w:tr>
      <w:tr w14:paraId="16CC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72" w:type="dxa"/>
            <w:tcBorders>
              <w:tl2br w:val="nil"/>
              <w:tr2bl w:val="nil"/>
            </w:tcBorders>
            <w:vAlign w:val="center"/>
          </w:tcPr>
          <w:p w14:paraId="49740E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w:t>
            </w:r>
          </w:p>
        </w:tc>
        <w:tc>
          <w:tcPr>
            <w:tcW w:w="1559" w:type="dxa"/>
            <w:tcBorders>
              <w:tl2br w:val="nil"/>
              <w:tr2bl w:val="nil"/>
            </w:tcBorders>
            <w:vAlign w:val="center"/>
          </w:tcPr>
          <w:p w14:paraId="50B4E7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1985" w:type="dxa"/>
            <w:tcBorders>
              <w:tl2br w:val="nil"/>
              <w:tr2bl w:val="nil"/>
            </w:tcBorders>
            <w:vAlign w:val="center"/>
          </w:tcPr>
          <w:p w14:paraId="6A787D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4653" w:type="dxa"/>
            <w:tcBorders>
              <w:tl2br w:val="nil"/>
              <w:tr2bl w:val="nil"/>
            </w:tcBorders>
            <w:vAlign w:val="center"/>
          </w:tcPr>
          <w:p w14:paraId="259B56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1DEB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6F44E6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w:t>
            </w:r>
          </w:p>
        </w:tc>
        <w:tc>
          <w:tcPr>
            <w:tcW w:w="1559" w:type="dxa"/>
            <w:tcBorders>
              <w:tl2br w:val="nil"/>
              <w:tr2bl w:val="nil"/>
            </w:tcBorders>
            <w:vAlign w:val="center"/>
          </w:tcPr>
          <w:p w14:paraId="1B0593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1985" w:type="dxa"/>
            <w:tcBorders>
              <w:tl2br w:val="nil"/>
              <w:tr2bl w:val="nil"/>
            </w:tcBorders>
            <w:vAlign w:val="center"/>
          </w:tcPr>
          <w:p w14:paraId="691BCB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4653" w:type="dxa"/>
            <w:tcBorders>
              <w:tl2br w:val="nil"/>
              <w:tr2bl w:val="nil"/>
            </w:tcBorders>
            <w:vAlign w:val="center"/>
          </w:tcPr>
          <w:p w14:paraId="267168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77DF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00346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559" w:type="dxa"/>
            <w:vMerge w:val="restart"/>
            <w:tcBorders>
              <w:tl2br w:val="nil"/>
              <w:tr2bl w:val="nil"/>
            </w:tcBorders>
            <w:vAlign w:val="center"/>
          </w:tcPr>
          <w:p w14:paraId="25B359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▲系统升级</w:t>
            </w:r>
          </w:p>
        </w:tc>
        <w:tc>
          <w:tcPr>
            <w:tcW w:w="1985" w:type="dxa"/>
            <w:tcBorders>
              <w:tl2br w:val="nil"/>
              <w:tr2bl w:val="nil"/>
            </w:tcBorders>
            <w:vAlign w:val="center"/>
          </w:tcPr>
          <w:p w14:paraId="38974D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▲升级内容</w:t>
            </w:r>
          </w:p>
        </w:tc>
        <w:tc>
          <w:tcPr>
            <w:tcW w:w="4653" w:type="dxa"/>
            <w:tcBorders>
              <w:tl2br w:val="nil"/>
              <w:tr2bl w:val="nil"/>
            </w:tcBorders>
            <w:vAlign w:val="center"/>
          </w:tcPr>
          <w:p w14:paraId="2A1397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操作系统支持系统增量升级功能，对系统部件、安全补丁等升级</w:t>
            </w:r>
          </w:p>
        </w:tc>
      </w:tr>
      <w:tr w14:paraId="72C8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82C37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559" w:type="dxa"/>
            <w:vMerge w:val="continue"/>
            <w:tcBorders>
              <w:tl2br w:val="nil"/>
              <w:tr2bl w:val="nil"/>
            </w:tcBorders>
            <w:vAlign w:val="center"/>
          </w:tcPr>
          <w:p w14:paraId="5F9CDB6A">
            <w:pPr>
              <w:shd w:val="clear"/>
              <w:rPr>
                <w:rFonts w:hint="eastAsia" w:ascii="宋体" w:hAnsi="宋体" w:eastAsia="宋体" w:cs="宋体"/>
                <w:color w:val="auto"/>
                <w:highlight w:val="none"/>
              </w:rPr>
            </w:pPr>
          </w:p>
        </w:tc>
        <w:tc>
          <w:tcPr>
            <w:tcW w:w="1985" w:type="dxa"/>
            <w:tcBorders>
              <w:tl2br w:val="nil"/>
              <w:tr2bl w:val="nil"/>
            </w:tcBorders>
            <w:vAlign w:val="center"/>
          </w:tcPr>
          <w:p w14:paraId="413810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▲升级方式</w:t>
            </w:r>
          </w:p>
        </w:tc>
        <w:tc>
          <w:tcPr>
            <w:tcW w:w="4653" w:type="dxa"/>
            <w:tcBorders>
              <w:tl2br w:val="nil"/>
              <w:tr2bl w:val="nil"/>
            </w:tcBorders>
            <w:vAlign w:val="center"/>
          </w:tcPr>
          <w:p w14:paraId="717241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操作系统支持在线升级和离线升级</w:t>
            </w:r>
          </w:p>
        </w:tc>
      </w:tr>
      <w:tr w14:paraId="1447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E3773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1559" w:type="dxa"/>
            <w:vMerge w:val="continue"/>
            <w:tcBorders>
              <w:tl2br w:val="nil"/>
              <w:tr2bl w:val="nil"/>
            </w:tcBorders>
            <w:vAlign w:val="center"/>
          </w:tcPr>
          <w:p w14:paraId="2EEB6323">
            <w:pPr>
              <w:shd w:val="clear"/>
              <w:rPr>
                <w:rFonts w:hint="eastAsia" w:ascii="宋体" w:hAnsi="宋体" w:eastAsia="宋体" w:cs="宋体"/>
                <w:color w:val="auto"/>
                <w:highlight w:val="none"/>
              </w:rPr>
            </w:pPr>
          </w:p>
        </w:tc>
        <w:tc>
          <w:tcPr>
            <w:tcW w:w="1985" w:type="dxa"/>
            <w:tcBorders>
              <w:tl2br w:val="nil"/>
              <w:tr2bl w:val="nil"/>
            </w:tcBorders>
            <w:vAlign w:val="center"/>
          </w:tcPr>
          <w:p w14:paraId="35BEA4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l2br w:val="nil"/>
              <w:tr2bl w:val="nil"/>
            </w:tcBorders>
            <w:vAlign w:val="center"/>
          </w:tcPr>
          <w:p w14:paraId="47A1A2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操作系统升级不得修改破坏用户数据</w:t>
            </w:r>
          </w:p>
        </w:tc>
      </w:tr>
      <w:tr w14:paraId="3B2C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6BC3E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p>
        </w:tc>
        <w:tc>
          <w:tcPr>
            <w:tcW w:w="1559" w:type="dxa"/>
            <w:vMerge w:val="continue"/>
            <w:tcBorders>
              <w:tl2br w:val="nil"/>
              <w:tr2bl w:val="nil"/>
            </w:tcBorders>
            <w:vAlign w:val="center"/>
          </w:tcPr>
          <w:p w14:paraId="040021F9">
            <w:pPr>
              <w:shd w:val="clear"/>
              <w:rPr>
                <w:rFonts w:hint="eastAsia" w:ascii="宋体" w:hAnsi="宋体" w:eastAsia="宋体" w:cs="宋体"/>
                <w:color w:val="auto"/>
                <w:highlight w:val="none"/>
              </w:rPr>
            </w:pPr>
          </w:p>
        </w:tc>
        <w:tc>
          <w:tcPr>
            <w:tcW w:w="1985" w:type="dxa"/>
            <w:tcBorders>
              <w:tl2br w:val="nil"/>
              <w:tr2bl w:val="nil"/>
            </w:tcBorders>
            <w:vAlign w:val="center"/>
          </w:tcPr>
          <w:p w14:paraId="762A4A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▲兼容性</w:t>
            </w:r>
          </w:p>
        </w:tc>
        <w:tc>
          <w:tcPr>
            <w:tcW w:w="4653" w:type="dxa"/>
            <w:tcBorders>
              <w:tl2br w:val="nil"/>
              <w:tr2bl w:val="nil"/>
            </w:tcBorders>
            <w:vAlign w:val="center"/>
          </w:tcPr>
          <w:p w14:paraId="12CFC2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操作系统升级不得影响原有软硬件兼容性，如有影响应显式的提示告知用户</w:t>
            </w:r>
          </w:p>
        </w:tc>
      </w:tr>
      <w:tr w14:paraId="09E9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58B79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w:t>
            </w:r>
          </w:p>
        </w:tc>
        <w:tc>
          <w:tcPr>
            <w:tcW w:w="1559" w:type="dxa"/>
            <w:vMerge w:val="continue"/>
            <w:tcBorders>
              <w:tl2br w:val="nil"/>
              <w:tr2bl w:val="nil"/>
            </w:tcBorders>
            <w:vAlign w:val="center"/>
          </w:tcPr>
          <w:p w14:paraId="743E5E2E">
            <w:pPr>
              <w:shd w:val="clear"/>
              <w:rPr>
                <w:rFonts w:hint="eastAsia" w:ascii="宋体" w:hAnsi="宋体" w:eastAsia="宋体" w:cs="宋体"/>
                <w:color w:val="auto"/>
                <w:highlight w:val="none"/>
              </w:rPr>
            </w:pPr>
          </w:p>
        </w:tc>
        <w:tc>
          <w:tcPr>
            <w:tcW w:w="1985" w:type="dxa"/>
            <w:tcBorders>
              <w:tl2br w:val="nil"/>
              <w:tr2bl w:val="nil"/>
            </w:tcBorders>
            <w:vAlign w:val="center"/>
          </w:tcPr>
          <w:p w14:paraId="49EAC8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▲回退</w:t>
            </w:r>
          </w:p>
        </w:tc>
        <w:tc>
          <w:tcPr>
            <w:tcW w:w="4653" w:type="dxa"/>
            <w:tcBorders>
              <w:tl2br w:val="nil"/>
              <w:tr2bl w:val="nil"/>
            </w:tcBorders>
            <w:vAlign w:val="center"/>
          </w:tcPr>
          <w:p w14:paraId="00B85C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操作系统提供升级回退机制，能卸载已升级的软件包，恢复系统原有状态，如升级为不可回退，则系统升级前以显式的提示告知用户</w:t>
            </w:r>
          </w:p>
        </w:tc>
      </w:tr>
      <w:tr w14:paraId="0105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C7B86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w:t>
            </w:r>
          </w:p>
        </w:tc>
        <w:tc>
          <w:tcPr>
            <w:tcW w:w="1559" w:type="dxa"/>
            <w:tcBorders>
              <w:tl2br w:val="nil"/>
              <w:tr2bl w:val="nil"/>
            </w:tcBorders>
            <w:vAlign w:val="center"/>
          </w:tcPr>
          <w:p w14:paraId="557816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985" w:type="dxa"/>
            <w:tcBorders>
              <w:tl2br w:val="nil"/>
              <w:tr2bl w:val="nil"/>
            </w:tcBorders>
            <w:vAlign w:val="center"/>
          </w:tcPr>
          <w:p w14:paraId="18CEA1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4653" w:type="dxa"/>
            <w:tcBorders>
              <w:tl2br w:val="nil"/>
              <w:tr2bl w:val="nil"/>
            </w:tcBorders>
            <w:vAlign w:val="center"/>
          </w:tcPr>
          <w:p w14:paraId="1FD9A4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投标人提供光盘、USB闪存盘、镜像文件（下载）等交付方式</w:t>
            </w:r>
          </w:p>
        </w:tc>
      </w:tr>
      <w:tr w14:paraId="1E45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E9215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w:t>
            </w:r>
          </w:p>
        </w:tc>
        <w:tc>
          <w:tcPr>
            <w:tcW w:w="1559" w:type="dxa"/>
            <w:vMerge w:val="restart"/>
            <w:tcBorders>
              <w:tl2br w:val="nil"/>
              <w:tr2bl w:val="nil"/>
            </w:tcBorders>
            <w:vAlign w:val="center"/>
          </w:tcPr>
          <w:p w14:paraId="4E836D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985" w:type="dxa"/>
            <w:tcBorders>
              <w:tl2br w:val="nil"/>
              <w:tr2bl w:val="nil"/>
            </w:tcBorders>
            <w:vAlign w:val="center"/>
          </w:tcPr>
          <w:p w14:paraId="41BDE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4653" w:type="dxa"/>
            <w:tcBorders>
              <w:tl2br w:val="nil"/>
              <w:tr2bl w:val="nil"/>
            </w:tcBorders>
            <w:vAlign w:val="center"/>
          </w:tcPr>
          <w:p w14:paraId="014AC6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652F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DD667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w:t>
            </w:r>
          </w:p>
        </w:tc>
        <w:tc>
          <w:tcPr>
            <w:tcW w:w="1559" w:type="dxa"/>
            <w:vMerge w:val="continue"/>
            <w:tcBorders>
              <w:tl2br w:val="nil"/>
              <w:tr2bl w:val="nil"/>
            </w:tcBorders>
            <w:vAlign w:val="center"/>
          </w:tcPr>
          <w:p w14:paraId="282A380F">
            <w:pPr>
              <w:shd w:val="clear"/>
              <w:rPr>
                <w:rFonts w:hint="eastAsia" w:ascii="宋体" w:hAnsi="宋体" w:eastAsia="宋体" w:cs="宋体"/>
                <w:color w:val="auto"/>
                <w:highlight w:val="none"/>
              </w:rPr>
            </w:pPr>
          </w:p>
        </w:tc>
        <w:tc>
          <w:tcPr>
            <w:tcW w:w="1985" w:type="dxa"/>
            <w:tcBorders>
              <w:tl2br w:val="nil"/>
              <w:tr2bl w:val="nil"/>
            </w:tcBorders>
            <w:vAlign w:val="center"/>
          </w:tcPr>
          <w:p w14:paraId="4C98A4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4653" w:type="dxa"/>
            <w:tcBorders>
              <w:tl2br w:val="nil"/>
              <w:tr2bl w:val="nil"/>
            </w:tcBorders>
            <w:vAlign w:val="center"/>
          </w:tcPr>
          <w:p w14:paraId="4EA95A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58C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7783B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129</w:t>
            </w:r>
          </w:p>
        </w:tc>
        <w:tc>
          <w:tcPr>
            <w:tcW w:w="1559" w:type="dxa"/>
            <w:vMerge w:val="continue"/>
            <w:tcBorders>
              <w:tl2br w:val="nil"/>
              <w:tr2bl w:val="nil"/>
            </w:tcBorders>
            <w:vAlign w:val="center"/>
          </w:tcPr>
          <w:p w14:paraId="758BF5AC">
            <w:pPr>
              <w:shd w:val="clear"/>
              <w:rPr>
                <w:rFonts w:hint="eastAsia" w:ascii="宋体" w:hAnsi="宋体" w:eastAsia="宋体" w:cs="宋体"/>
                <w:color w:val="auto"/>
                <w:highlight w:val="none"/>
              </w:rPr>
            </w:pPr>
          </w:p>
        </w:tc>
        <w:tc>
          <w:tcPr>
            <w:tcW w:w="1985" w:type="dxa"/>
            <w:tcBorders>
              <w:tl2br w:val="nil"/>
              <w:tr2bl w:val="nil"/>
            </w:tcBorders>
            <w:vAlign w:val="center"/>
          </w:tcPr>
          <w:p w14:paraId="23358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4653" w:type="dxa"/>
            <w:tcBorders>
              <w:tl2br w:val="nil"/>
              <w:tr2bl w:val="nil"/>
            </w:tcBorders>
            <w:vAlign w:val="center"/>
          </w:tcPr>
          <w:p w14:paraId="533292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1375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30247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130</w:t>
            </w:r>
          </w:p>
        </w:tc>
        <w:tc>
          <w:tcPr>
            <w:tcW w:w="1559" w:type="dxa"/>
            <w:vMerge w:val="continue"/>
            <w:tcBorders>
              <w:tl2br w:val="nil"/>
              <w:tr2bl w:val="nil"/>
            </w:tcBorders>
            <w:vAlign w:val="center"/>
          </w:tcPr>
          <w:p w14:paraId="2AB3BACA">
            <w:pPr>
              <w:shd w:val="clear"/>
              <w:rPr>
                <w:rFonts w:hint="eastAsia" w:ascii="宋体" w:hAnsi="宋体" w:eastAsia="宋体" w:cs="宋体"/>
                <w:color w:val="auto"/>
                <w:highlight w:val="none"/>
              </w:rPr>
            </w:pPr>
          </w:p>
        </w:tc>
        <w:tc>
          <w:tcPr>
            <w:tcW w:w="1985" w:type="dxa"/>
            <w:tcBorders>
              <w:tl2br w:val="nil"/>
              <w:tr2bl w:val="nil"/>
            </w:tcBorders>
            <w:vAlign w:val="center"/>
          </w:tcPr>
          <w:p w14:paraId="043CB5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4653" w:type="dxa"/>
            <w:tcBorders>
              <w:tl2br w:val="nil"/>
              <w:tr2bl w:val="nil"/>
            </w:tcBorders>
            <w:vAlign w:val="center"/>
          </w:tcPr>
          <w:p w14:paraId="418443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2A85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64E7C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559" w:type="dxa"/>
            <w:vMerge w:val="restart"/>
            <w:tcBorders>
              <w:tl2br w:val="nil"/>
              <w:tr2bl w:val="nil"/>
            </w:tcBorders>
            <w:vAlign w:val="center"/>
          </w:tcPr>
          <w:p w14:paraId="1B9091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85" w:type="dxa"/>
            <w:tcBorders>
              <w:tl2br w:val="nil"/>
              <w:tr2bl w:val="nil"/>
            </w:tcBorders>
            <w:vAlign w:val="center"/>
          </w:tcPr>
          <w:p w14:paraId="1B90E9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▲原厂服务</w:t>
            </w:r>
          </w:p>
        </w:tc>
        <w:tc>
          <w:tcPr>
            <w:tcW w:w="4653" w:type="dxa"/>
            <w:tcBorders>
              <w:tl2br w:val="nil"/>
              <w:tr2bl w:val="nil"/>
            </w:tcBorders>
            <w:vAlign w:val="center"/>
          </w:tcPr>
          <w:p w14:paraId="033944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服务由操作系统厂商的正式员工提供，不由代理商提供</w:t>
            </w:r>
          </w:p>
        </w:tc>
      </w:tr>
      <w:tr w14:paraId="5813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EF803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559" w:type="dxa"/>
            <w:vMerge w:val="continue"/>
            <w:tcBorders>
              <w:tl2br w:val="nil"/>
              <w:tr2bl w:val="nil"/>
            </w:tcBorders>
            <w:vAlign w:val="center"/>
          </w:tcPr>
          <w:p w14:paraId="787CB983">
            <w:pPr>
              <w:shd w:val="clear"/>
              <w:rPr>
                <w:rFonts w:hint="eastAsia" w:ascii="宋体" w:hAnsi="宋体" w:eastAsia="宋体" w:cs="宋体"/>
                <w:color w:val="auto"/>
                <w:highlight w:val="none"/>
              </w:rPr>
            </w:pPr>
          </w:p>
        </w:tc>
        <w:tc>
          <w:tcPr>
            <w:tcW w:w="1985" w:type="dxa"/>
            <w:tcBorders>
              <w:tl2br w:val="nil"/>
              <w:tr2bl w:val="nil"/>
            </w:tcBorders>
            <w:vAlign w:val="center"/>
          </w:tcPr>
          <w:p w14:paraId="1F17EA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▲服务热线电话</w:t>
            </w:r>
          </w:p>
        </w:tc>
        <w:tc>
          <w:tcPr>
            <w:tcW w:w="4653" w:type="dxa"/>
            <w:tcBorders>
              <w:tl2br w:val="nil"/>
              <w:tr2bl w:val="nil"/>
            </w:tcBorders>
            <w:vAlign w:val="center"/>
          </w:tcPr>
          <w:p w14:paraId="7B8596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操作系统厂商为最终用户提供工作日，每日不少于8h（覆盖一般工作时间，具体时间由企业标准给出）中文技术服务热线</w:t>
            </w:r>
          </w:p>
        </w:tc>
      </w:tr>
      <w:tr w14:paraId="092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572BB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559" w:type="dxa"/>
            <w:vMerge w:val="continue"/>
            <w:tcBorders>
              <w:tl2br w:val="nil"/>
              <w:tr2bl w:val="nil"/>
            </w:tcBorders>
            <w:vAlign w:val="center"/>
          </w:tcPr>
          <w:p w14:paraId="22EA6BF6">
            <w:pPr>
              <w:shd w:val="clear"/>
              <w:rPr>
                <w:rFonts w:hint="eastAsia" w:ascii="宋体" w:hAnsi="宋体" w:eastAsia="宋体" w:cs="宋体"/>
                <w:color w:val="auto"/>
                <w:highlight w:val="none"/>
              </w:rPr>
            </w:pPr>
          </w:p>
        </w:tc>
        <w:tc>
          <w:tcPr>
            <w:tcW w:w="1985" w:type="dxa"/>
            <w:tcBorders>
              <w:tl2br w:val="nil"/>
              <w:tr2bl w:val="nil"/>
            </w:tcBorders>
            <w:vAlign w:val="center"/>
          </w:tcPr>
          <w:p w14:paraId="1573F7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▲技术服务标准</w:t>
            </w:r>
          </w:p>
        </w:tc>
        <w:tc>
          <w:tcPr>
            <w:tcW w:w="4653" w:type="dxa"/>
            <w:tcBorders>
              <w:tl2br w:val="nil"/>
              <w:tr2bl w:val="nil"/>
            </w:tcBorders>
            <w:vAlign w:val="center"/>
          </w:tcPr>
          <w:p w14:paraId="6D73EE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w:t>
            </w:r>
            <w:bookmarkStart w:id="27" w:name="OLE_LINK25"/>
            <w:bookmarkStart w:id="28" w:name="OLE_LINK26"/>
            <w:r>
              <w:rPr>
                <w:rFonts w:hint="eastAsia" w:ascii="宋体" w:hAnsi="宋体" w:eastAsia="宋体" w:cs="宋体"/>
                <w:color w:val="auto"/>
                <w:szCs w:val="21"/>
                <w:highlight w:val="none"/>
              </w:rPr>
              <w:t>提供工作日每日不少</w:t>
            </w:r>
            <w:bookmarkEnd w:id="27"/>
            <w:bookmarkEnd w:id="28"/>
            <w:r>
              <w:rPr>
                <w:rFonts w:hint="eastAsia" w:ascii="宋体" w:hAnsi="宋体" w:eastAsia="宋体" w:cs="宋体"/>
                <w:color w:val="auto"/>
                <w:szCs w:val="21"/>
                <w:highlight w:val="none"/>
              </w:rPr>
              <w:t>于8h技术支持服务</w:t>
            </w:r>
          </w:p>
        </w:tc>
      </w:tr>
      <w:tr w14:paraId="0AD8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B6ADB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1559" w:type="dxa"/>
            <w:vMerge w:val="continue"/>
            <w:tcBorders>
              <w:tl2br w:val="nil"/>
              <w:tr2bl w:val="nil"/>
            </w:tcBorders>
            <w:vAlign w:val="center"/>
          </w:tcPr>
          <w:p w14:paraId="1DBE610B">
            <w:pPr>
              <w:shd w:val="clear"/>
              <w:rPr>
                <w:rFonts w:hint="eastAsia" w:ascii="宋体" w:hAnsi="宋体" w:eastAsia="宋体" w:cs="宋体"/>
                <w:color w:val="auto"/>
                <w:highlight w:val="none"/>
              </w:rPr>
            </w:pPr>
          </w:p>
        </w:tc>
        <w:tc>
          <w:tcPr>
            <w:tcW w:w="1985" w:type="dxa"/>
            <w:tcBorders>
              <w:tl2br w:val="nil"/>
              <w:tr2bl w:val="nil"/>
            </w:tcBorders>
            <w:vAlign w:val="center"/>
          </w:tcPr>
          <w:p w14:paraId="483330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▲技术服务时效</w:t>
            </w:r>
          </w:p>
        </w:tc>
        <w:tc>
          <w:tcPr>
            <w:tcW w:w="4653" w:type="dxa"/>
            <w:tcBorders>
              <w:tl2br w:val="nil"/>
              <w:tr2bl w:val="nil"/>
            </w:tcBorders>
            <w:vAlign w:val="center"/>
          </w:tcPr>
          <w:p w14:paraId="68D752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操作系统厂商满足同城4h、异地12h响应要求，两个工作日解决问题，对于未能解决的问题和故障提供可行的升级方案</w:t>
            </w:r>
          </w:p>
        </w:tc>
      </w:tr>
      <w:tr w14:paraId="706E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BF5C7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w:t>
            </w:r>
          </w:p>
        </w:tc>
        <w:tc>
          <w:tcPr>
            <w:tcW w:w="1559" w:type="dxa"/>
            <w:vMerge w:val="continue"/>
            <w:tcBorders>
              <w:tl2br w:val="nil"/>
              <w:tr2bl w:val="nil"/>
            </w:tcBorders>
            <w:vAlign w:val="center"/>
          </w:tcPr>
          <w:p w14:paraId="0143CECA">
            <w:pPr>
              <w:shd w:val="clear"/>
              <w:rPr>
                <w:rFonts w:hint="eastAsia" w:ascii="宋体" w:hAnsi="宋体" w:eastAsia="宋体" w:cs="宋体"/>
                <w:color w:val="auto"/>
                <w:highlight w:val="none"/>
              </w:rPr>
            </w:pPr>
          </w:p>
        </w:tc>
        <w:tc>
          <w:tcPr>
            <w:tcW w:w="1985" w:type="dxa"/>
            <w:tcBorders>
              <w:tl2br w:val="nil"/>
              <w:tr2bl w:val="nil"/>
            </w:tcBorders>
            <w:vAlign w:val="center"/>
          </w:tcPr>
          <w:p w14:paraId="156EFB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▲技术服务保障</w:t>
            </w:r>
          </w:p>
        </w:tc>
        <w:tc>
          <w:tcPr>
            <w:tcW w:w="4653" w:type="dxa"/>
            <w:tcBorders>
              <w:tl2br w:val="nil"/>
              <w:tr2bl w:val="nil"/>
            </w:tcBorders>
            <w:vAlign w:val="center"/>
          </w:tcPr>
          <w:p w14:paraId="30A0E1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发生非人为因素故障，在七日内由操作系统厂商原厂人员对产品进行补充或更换</w:t>
            </w:r>
          </w:p>
        </w:tc>
      </w:tr>
      <w:tr w14:paraId="0BB0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31CFB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w:t>
            </w:r>
          </w:p>
        </w:tc>
        <w:tc>
          <w:tcPr>
            <w:tcW w:w="1559" w:type="dxa"/>
            <w:vMerge w:val="restart"/>
            <w:tcBorders>
              <w:tl2br w:val="nil"/>
              <w:tr2bl w:val="nil"/>
            </w:tcBorders>
            <w:vAlign w:val="center"/>
          </w:tcPr>
          <w:p w14:paraId="487C16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▲现场交付与安装调试</w:t>
            </w:r>
          </w:p>
        </w:tc>
        <w:tc>
          <w:tcPr>
            <w:tcW w:w="1985" w:type="dxa"/>
            <w:tcBorders>
              <w:tl2br w:val="nil"/>
              <w:tr2bl w:val="nil"/>
            </w:tcBorders>
            <w:vAlign w:val="center"/>
          </w:tcPr>
          <w:p w14:paraId="41C22A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▲现场安装调试</w:t>
            </w:r>
          </w:p>
        </w:tc>
        <w:tc>
          <w:tcPr>
            <w:tcW w:w="4653" w:type="dxa"/>
            <w:tcBorders>
              <w:tl2br w:val="nil"/>
              <w:tr2bl w:val="nil"/>
            </w:tcBorders>
            <w:vAlign w:val="center"/>
          </w:tcPr>
          <w:p w14:paraId="4FE79F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操作系统厂商提供产品安装与现场调试，并提供安装与调试所需的工具和设备</w:t>
            </w:r>
          </w:p>
        </w:tc>
      </w:tr>
      <w:tr w14:paraId="1965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72012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w:t>
            </w:r>
          </w:p>
        </w:tc>
        <w:tc>
          <w:tcPr>
            <w:tcW w:w="1559" w:type="dxa"/>
            <w:vMerge w:val="continue"/>
            <w:tcBorders>
              <w:tl2br w:val="nil"/>
              <w:tr2bl w:val="nil"/>
            </w:tcBorders>
            <w:vAlign w:val="center"/>
          </w:tcPr>
          <w:p w14:paraId="599A0CD0">
            <w:pPr>
              <w:shd w:val="clear"/>
              <w:rPr>
                <w:rFonts w:hint="eastAsia" w:ascii="宋体" w:hAnsi="宋体" w:eastAsia="宋体" w:cs="宋体"/>
                <w:color w:val="auto"/>
                <w:highlight w:val="none"/>
              </w:rPr>
            </w:pPr>
          </w:p>
        </w:tc>
        <w:tc>
          <w:tcPr>
            <w:tcW w:w="1985" w:type="dxa"/>
            <w:tcBorders>
              <w:tl2br w:val="nil"/>
              <w:tr2bl w:val="nil"/>
            </w:tcBorders>
            <w:vAlign w:val="center"/>
          </w:tcPr>
          <w:p w14:paraId="5FE873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▲配套资料</w:t>
            </w:r>
          </w:p>
        </w:tc>
        <w:tc>
          <w:tcPr>
            <w:tcW w:w="4653" w:type="dxa"/>
            <w:tcBorders>
              <w:tl2br w:val="nil"/>
              <w:tr2bl w:val="nil"/>
            </w:tcBorders>
            <w:vAlign w:val="center"/>
          </w:tcPr>
          <w:p w14:paraId="799004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交付产品时操作系统厂商提供配套的技术资料，包括但不限于系统说明文件、用户手册（用户安装、操作、维护、故障排除）等</w:t>
            </w:r>
          </w:p>
        </w:tc>
      </w:tr>
      <w:tr w14:paraId="5191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E3151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w:t>
            </w:r>
          </w:p>
        </w:tc>
        <w:tc>
          <w:tcPr>
            <w:tcW w:w="1559" w:type="dxa"/>
            <w:tcBorders>
              <w:tl2br w:val="nil"/>
              <w:tr2bl w:val="nil"/>
            </w:tcBorders>
            <w:vAlign w:val="center"/>
          </w:tcPr>
          <w:p w14:paraId="25D932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1985" w:type="dxa"/>
            <w:tcBorders>
              <w:tl2br w:val="nil"/>
              <w:tr2bl w:val="nil"/>
            </w:tcBorders>
            <w:vAlign w:val="center"/>
          </w:tcPr>
          <w:p w14:paraId="5B0AE3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4653" w:type="dxa"/>
            <w:tcBorders>
              <w:tl2br w:val="nil"/>
              <w:tr2bl w:val="nil"/>
            </w:tcBorders>
            <w:vAlign w:val="center"/>
          </w:tcPr>
          <w:p w14:paraId="7B1FE8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服务期内，操作系统厂商支持版本更换（注：更换后不延长服务期）</w:t>
            </w:r>
          </w:p>
        </w:tc>
      </w:tr>
      <w:tr w14:paraId="0D3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88412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w:t>
            </w:r>
          </w:p>
        </w:tc>
        <w:tc>
          <w:tcPr>
            <w:tcW w:w="1559" w:type="dxa"/>
            <w:tcBorders>
              <w:tl2br w:val="nil"/>
              <w:tr2bl w:val="nil"/>
            </w:tcBorders>
            <w:vAlign w:val="center"/>
          </w:tcPr>
          <w:p w14:paraId="59D50D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▲厂商能力要求</w:t>
            </w:r>
          </w:p>
        </w:tc>
        <w:tc>
          <w:tcPr>
            <w:tcW w:w="1985" w:type="dxa"/>
            <w:tcBorders>
              <w:tl2br w:val="nil"/>
              <w:tr2bl w:val="nil"/>
            </w:tcBorders>
            <w:vAlign w:val="center"/>
          </w:tcPr>
          <w:p w14:paraId="41606C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▲服务团队</w:t>
            </w:r>
          </w:p>
        </w:tc>
        <w:tc>
          <w:tcPr>
            <w:tcW w:w="4653" w:type="dxa"/>
            <w:tcBorders>
              <w:tl2br w:val="nil"/>
              <w:tr2bl w:val="nil"/>
            </w:tcBorders>
            <w:vAlign w:val="center"/>
          </w:tcPr>
          <w:p w14:paraId="1087CD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操作系统厂商建立全国技术服务体系和服务团队，为采购人提供专业的原厂中文服务</w:t>
            </w:r>
          </w:p>
        </w:tc>
      </w:tr>
      <w:tr w14:paraId="15D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F0092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140</w:t>
            </w:r>
          </w:p>
        </w:tc>
        <w:tc>
          <w:tcPr>
            <w:tcW w:w="1559" w:type="dxa"/>
            <w:tcBorders>
              <w:tl2br w:val="nil"/>
              <w:tr2bl w:val="nil"/>
            </w:tcBorders>
            <w:vAlign w:val="center"/>
          </w:tcPr>
          <w:p w14:paraId="57BA0E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l2br w:val="nil"/>
              <w:tr2bl w:val="nil"/>
            </w:tcBorders>
            <w:vAlign w:val="center"/>
          </w:tcPr>
          <w:p w14:paraId="56F9CE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▲数据收集安全保障</w:t>
            </w:r>
          </w:p>
        </w:tc>
        <w:tc>
          <w:tcPr>
            <w:tcW w:w="4653" w:type="dxa"/>
            <w:tcBorders>
              <w:tl2br w:val="nil"/>
              <w:tr2bl w:val="nil"/>
            </w:tcBorders>
            <w:vAlign w:val="center"/>
          </w:tcPr>
          <w:p w14:paraId="0B0180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除用户授权采集的信息外不采集其他数据，相关信息采集无安全风险，相关数据存储在大陆境内</w:t>
            </w:r>
          </w:p>
        </w:tc>
      </w:tr>
      <w:tr w14:paraId="320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E6E2D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559" w:type="dxa"/>
            <w:tcBorders>
              <w:tl2br w:val="nil"/>
              <w:tr2bl w:val="nil"/>
            </w:tcBorders>
            <w:vAlign w:val="center"/>
          </w:tcPr>
          <w:p w14:paraId="53E907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l2br w:val="nil"/>
              <w:tr2bl w:val="nil"/>
            </w:tcBorders>
            <w:vAlign w:val="center"/>
          </w:tcPr>
          <w:p w14:paraId="2E517A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▲数据供给安全保障</w:t>
            </w:r>
          </w:p>
        </w:tc>
        <w:tc>
          <w:tcPr>
            <w:tcW w:w="4653" w:type="dxa"/>
            <w:tcBorders>
              <w:tl2br w:val="nil"/>
              <w:tr2bl w:val="nil"/>
            </w:tcBorders>
            <w:vAlign w:val="center"/>
          </w:tcPr>
          <w:p w14:paraId="6466ED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涉及数据下载的线上服务物理服务器不出境，包括代码仓库、系统补丁、安全补丁、服务网站等</w:t>
            </w:r>
          </w:p>
        </w:tc>
      </w:tr>
      <w:tr w14:paraId="76B7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4DAC3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559" w:type="dxa"/>
            <w:tcBorders>
              <w:tl2br w:val="nil"/>
              <w:tr2bl w:val="nil"/>
            </w:tcBorders>
            <w:vAlign w:val="center"/>
          </w:tcPr>
          <w:p w14:paraId="3DC73C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1985" w:type="dxa"/>
            <w:tcBorders>
              <w:tl2br w:val="nil"/>
              <w:tr2bl w:val="nil"/>
            </w:tcBorders>
            <w:vAlign w:val="center"/>
          </w:tcPr>
          <w:p w14:paraId="0E2843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4653" w:type="dxa"/>
            <w:tcBorders>
              <w:tl2br w:val="nil"/>
              <w:tr2bl w:val="nil"/>
            </w:tcBorders>
            <w:vAlign w:val="center"/>
          </w:tcPr>
          <w:p w14:paraId="3F1BDD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操作系统厂商提供源代码，源代码可供第三方机构审查，开源许可合规，代码知识产权无风险，无恶意安全漏洞或后门，代码可追溯、可重构</w:t>
            </w:r>
          </w:p>
        </w:tc>
      </w:tr>
      <w:tr w14:paraId="660D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2E0E9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w:t>
            </w:r>
          </w:p>
        </w:tc>
        <w:tc>
          <w:tcPr>
            <w:tcW w:w="1559" w:type="dxa"/>
            <w:tcBorders>
              <w:tl2br w:val="nil"/>
              <w:tr2bl w:val="nil"/>
            </w:tcBorders>
            <w:vAlign w:val="center"/>
          </w:tcPr>
          <w:p w14:paraId="75ED24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985" w:type="dxa"/>
            <w:tcBorders>
              <w:tl2br w:val="nil"/>
              <w:tr2bl w:val="nil"/>
            </w:tcBorders>
            <w:vAlign w:val="center"/>
          </w:tcPr>
          <w:p w14:paraId="3B031D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4653" w:type="dxa"/>
            <w:tcBorders>
              <w:tl2br w:val="nil"/>
              <w:tr2bl w:val="nil"/>
            </w:tcBorders>
            <w:vAlign w:val="center"/>
          </w:tcPr>
          <w:p w14:paraId="6B6CBF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操作系统应当符合安全可靠测评要求</w:t>
            </w:r>
          </w:p>
        </w:tc>
      </w:tr>
      <w:tr w14:paraId="4B8A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C7899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w:t>
            </w:r>
          </w:p>
        </w:tc>
        <w:tc>
          <w:tcPr>
            <w:tcW w:w="1559" w:type="dxa"/>
            <w:vMerge w:val="restart"/>
            <w:tcBorders>
              <w:tl2br w:val="nil"/>
              <w:tr2bl w:val="nil"/>
            </w:tcBorders>
            <w:vAlign w:val="center"/>
          </w:tcPr>
          <w:p w14:paraId="6106A6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▲密码算法支持</w:t>
            </w:r>
          </w:p>
        </w:tc>
        <w:tc>
          <w:tcPr>
            <w:tcW w:w="1985" w:type="dxa"/>
            <w:tcBorders>
              <w:tl2br w:val="nil"/>
              <w:tr2bl w:val="nil"/>
            </w:tcBorders>
            <w:vAlign w:val="center"/>
          </w:tcPr>
          <w:p w14:paraId="1DE051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4653" w:type="dxa"/>
            <w:tcBorders>
              <w:tl2br w:val="nil"/>
              <w:tr2bl w:val="nil"/>
            </w:tcBorders>
            <w:vAlign w:val="center"/>
          </w:tcPr>
          <w:p w14:paraId="69470D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操作系统支持GM/T0002、GM/T0003和GM/T0004规定的密码算法运算</w:t>
            </w:r>
          </w:p>
        </w:tc>
      </w:tr>
      <w:tr w14:paraId="2F06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AB3D1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1559" w:type="dxa"/>
            <w:vMerge w:val="continue"/>
            <w:tcBorders>
              <w:tl2br w:val="nil"/>
              <w:tr2bl w:val="nil"/>
            </w:tcBorders>
            <w:vAlign w:val="center"/>
          </w:tcPr>
          <w:p w14:paraId="2F20D0F7">
            <w:pPr>
              <w:shd w:val="clear"/>
              <w:rPr>
                <w:rFonts w:hint="eastAsia" w:ascii="宋体" w:hAnsi="宋体" w:eastAsia="宋体" w:cs="宋体"/>
                <w:color w:val="auto"/>
                <w:highlight w:val="none"/>
              </w:rPr>
            </w:pPr>
          </w:p>
        </w:tc>
        <w:tc>
          <w:tcPr>
            <w:tcW w:w="1985" w:type="dxa"/>
            <w:tcBorders>
              <w:tl2br w:val="nil"/>
              <w:tr2bl w:val="nil"/>
            </w:tcBorders>
            <w:vAlign w:val="center"/>
          </w:tcPr>
          <w:p w14:paraId="77F2F0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▲随机数生成</w:t>
            </w:r>
          </w:p>
        </w:tc>
        <w:tc>
          <w:tcPr>
            <w:tcW w:w="4653" w:type="dxa"/>
            <w:tcBorders>
              <w:tl2br w:val="nil"/>
              <w:tr2bl w:val="nil"/>
            </w:tcBorders>
            <w:vAlign w:val="center"/>
          </w:tcPr>
          <w:p w14:paraId="11524B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操作系统随机数质量符合GM/T0005《随机性检测规范》或GB/T32915《信息安全技术二元序列随机性检测方法》</w:t>
            </w:r>
          </w:p>
        </w:tc>
      </w:tr>
      <w:tr w14:paraId="6460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50EB15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w:t>
            </w:r>
          </w:p>
        </w:tc>
        <w:tc>
          <w:tcPr>
            <w:tcW w:w="1559" w:type="dxa"/>
            <w:vMerge w:val="continue"/>
            <w:tcBorders>
              <w:tl2br w:val="nil"/>
              <w:tr2bl w:val="nil"/>
            </w:tcBorders>
            <w:vAlign w:val="center"/>
          </w:tcPr>
          <w:p w14:paraId="6BE03D1C">
            <w:pPr>
              <w:shd w:val="clear"/>
              <w:rPr>
                <w:rFonts w:hint="eastAsia" w:ascii="宋体" w:hAnsi="宋体" w:eastAsia="宋体" w:cs="宋体"/>
                <w:color w:val="auto"/>
                <w:highlight w:val="none"/>
              </w:rPr>
            </w:pPr>
          </w:p>
        </w:tc>
        <w:tc>
          <w:tcPr>
            <w:tcW w:w="1985" w:type="dxa"/>
            <w:tcBorders>
              <w:tl2br w:val="nil"/>
              <w:tr2bl w:val="nil"/>
            </w:tcBorders>
            <w:vAlign w:val="center"/>
          </w:tcPr>
          <w:p w14:paraId="28D11A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▲内置数字证书</w:t>
            </w:r>
          </w:p>
        </w:tc>
        <w:tc>
          <w:tcPr>
            <w:tcW w:w="4653" w:type="dxa"/>
            <w:tcBorders>
              <w:tl2br w:val="nil"/>
              <w:tr2bl w:val="nil"/>
            </w:tcBorders>
            <w:vAlign w:val="center"/>
          </w:tcPr>
          <w:p w14:paraId="24113C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操作系统内置国家电子认证根CA的根证书</w:t>
            </w:r>
          </w:p>
        </w:tc>
      </w:tr>
      <w:tr w14:paraId="55DB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C5AA8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w:t>
            </w:r>
          </w:p>
        </w:tc>
        <w:tc>
          <w:tcPr>
            <w:tcW w:w="1559" w:type="dxa"/>
            <w:vMerge w:val="continue"/>
            <w:tcBorders>
              <w:tl2br w:val="nil"/>
              <w:tr2bl w:val="nil"/>
            </w:tcBorders>
            <w:vAlign w:val="center"/>
          </w:tcPr>
          <w:p w14:paraId="2D98BEE7">
            <w:pPr>
              <w:shd w:val="clear"/>
              <w:rPr>
                <w:rFonts w:hint="eastAsia" w:ascii="宋体" w:hAnsi="宋体" w:eastAsia="宋体" w:cs="宋体"/>
                <w:color w:val="auto"/>
                <w:highlight w:val="none"/>
              </w:rPr>
            </w:pPr>
          </w:p>
        </w:tc>
        <w:tc>
          <w:tcPr>
            <w:tcW w:w="1985" w:type="dxa"/>
            <w:tcBorders>
              <w:tl2br w:val="nil"/>
              <w:tr2bl w:val="nil"/>
            </w:tcBorders>
            <w:vAlign w:val="center"/>
          </w:tcPr>
          <w:p w14:paraId="25A96B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▲密码协议实现</w:t>
            </w:r>
          </w:p>
        </w:tc>
        <w:tc>
          <w:tcPr>
            <w:tcW w:w="4653" w:type="dxa"/>
            <w:tcBorders>
              <w:tl2br w:val="nil"/>
              <w:tr2bl w:val="nil"/>
            </w:tcBorders>
            <w:vAlign w:val="center"/>
          </w:tcPr>
          <w:p w14:paraId="73D867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操作系统支持符合GB/T38636—2020的TLCP</w:t>
            </w:r>
          </w:p>
        </w:tc>
      </w:tr>
      <w:tr w14:paraId="1604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2" w:type="dxa"/>
            <w:tcBorders>
              <w:tl2br w:val="nil"/>
              <w:tr2bl w:val="nil"/>
            </w:tcBorders>
            <w:vAlign w:val="center"/>
          </w:tcPr>
          <w:p w14:paraId="73B917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w:t>
            </w:r>
          </w:p>
        </w:tc>
        <w:tc>
          <w:tcPr>
            <w:tcW w:w="1559" w:type="dxa"/>
            <w:vMerge w:val="restart"/>
            <w:tcBorders>
              <w:tl2br w:val="nil"/>
              <w:tr2bl w:val="nil"/>
            </w:tcBorders>
            <w:vAlign w:val="center"/>
          </w:tcPr>
          <w:p w14:paraId="247A6D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985" w:type="dxa"/>
            <w:tcBorders>
              <w:tl2br w:val="nil"/>
              <w:tr2bl w:val="nil"/>
            </w:tcBorders>
            <w:vAlign w:val="center"/>
          </w:tcPr>
          <w:p w14:paraId="5AA86F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▲防火墙</w:t>
            </w:r>
          </w:p>
        </w:tc>
        <w:tc>
          <w:tcPr>
            <w:tcW w:w="4653" w:type="dxa"/>
            <w:tcBorders>
              <w:tl2br w:val="nil"/>
              <w:tr2bl w:val="nil"/>
            </w:tcBorders>
            <w:vAlign w:val="center"/>
          </w:tcPr>
          <w:p w14:paraId="63D047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操作系统提供防火墙配置管理工具，支持基于协议、网络地址、端口的访问控制规则配置，规则修改后立即生效；</w:t>
            </w:r>
          </w:p>
          <w:p w14:paraId="2C9218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支持关闭指定服务和端口，包括但不限于关闭远程访问、共享访问等；</w:t>
            </w:r>
          </w:p>
          <w:p w14:paraId="7F5263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支持防止ARP欺骗攻击</w:t>
            </w:r>
          </w:p>
        </w:tc>
      </w:tr>
      <w:tr w14:paraId="0A7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F9E27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149</w:t>
            </w:r>
          </w:p>
        </w:tc>
        <w:tc>
          <w:tcPr>
            <w:tcW w:w="1559" w:type="dxa"/>
            <w:vMerge w:val="continue"/>
            <w:tcBorders>
              <w:tl2br w:val="nil"/>
              <w:tr2bl w:val="nil"/>
            </w:tcBorders>
            <w:vAlign w:val="center"/>
          </w:tcPr>
          <w:p w14:paraId="352ECEFA">
            <w:pPr>
              <w:shd w:val="clear"/>
              <w:rPr>
                <w:rFonts w:hint="eastAsia" w:ascii="宋体" w:hAnsi="宋体" w:eastAsia="宋体" w:cs="宋体"/>
                <w:color w:val="auto"/>
                <w:highlight w:val="none"/>
              </w:rPr>
            </w:pPr>
          </w:p>
        </w:tc>
        <w:tc>
          <w:tcPr>
            <w:tcW w:w="1985" w:type="dxa"/>
            <w:tcBorders>
              <w:tl2br w:val="nil"/>
              <w:tr2bl w:val="nil"/>
            </w:tcBorders>
            <w:vAlign w:val="center"/>
          </w:tcPr>
          <w:p w14:paraId="21D52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▲安全框架</w:t>
            </w:r>
          </w:p>
        </w:tc>
        <w:tc>
          <w:tcPr>
            <w:tcW w:w="4653" w:type="dxa"/>
            <w:tcBorders>
              <w:tl2br w:val="nil"/>
              <w:tr2bl w:val="nil"/>
            </w:tcBorders>
            <w:vAlign w:val="center"/>
          </w:tcPr>
          <w:p w14:paraId="2FB883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操作系统提供统一访问控制安全框架</w:t>
            </w:r>
          </w:p>
        </w:tc>
      </w:tr>
      <w:tr w14:paraId="737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61FD0C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w:t>
            </w:r>
          </w:p>
        </w:tc>
        <w:tc>
          <w:tcPr>
            <w:tcW w:w="1559" w:type="dxa"/>
            <w:tcBorders>
              <w:tl2br w:val="nil"/>
              <w:tr2bl w:val="nil"/>
            </w:tcBorders>
            <w:vAlign w:val="center"/>
          </w:tcPr>
          <w:p w14:paraId="43A60D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w:t>
            </w:r>
          </w:p>
        </w:tc>
        <w:tc>
          <w:tcPr>
            <w:tcW w:w="1985" w:type="dxa"/>
            <w:tcBorders>
              <w:tl2br w:val="nil"/>
              <w:tr2bl w:val="nil"/>
            </w:tcBorders>
            <w:vAlign w:val="center"/>
          </w:tcPr>
          <w:p w14:paraId="7ED404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l2br w:val="nil"/>
              <w:tr2bl w:val="nil"/>
            </w:tcBorders>
            <w:vAlign w:val="center"/>
          </w:tcPr>
          <w:p w14:paraId="0E2FD9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用户标识使用帐户名和帐户ID，在操作系统的整个生存周期内用户标识具有唯一性；</w:t>
            </w:r>
          </w:p>
          <w:p w14:paraId="508C34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支持用户口令复杂度校验及强口令管理；</w:t>
            </w:r>
          </w:p>
          <w:p w14:paraId="58F589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支持用户口令有效期配置；支持口令鉴别失败控制；</w:t>
            </w:r>
          </w:p>
          <w:p w14:paraId="4D870E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支持口令加密算法配置，用户口令进行加密后以不可逆的密文形式保存；支持禁止根帐户（root）远程登录设置</w:t>
            </w:r>
          </w:p>
        </w:tc>
      </w:tr>
      <w:tr w14:paraId="02E4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28DC68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559" w:type="dxa"/>
            <w:vMerge w:val="restart"/>
            <w:tcBorders>
              <w:tl2br w:val="nil"/>
              <w:tr2bl w:val="nil"/>
            </w:tcBorders>
            <w:vAlign w:val="center"/>
          </w:tcPr>
          <w:p w14:paraId="55DE16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w:t>
            </w:r>
          </w:p>
        </w:tc>
        <w:tc>
          <w:tcPr>
            <w:tcW w:w="1985" w:type="dxa"/>
            <w:tcBorders>
              <w:tl2br w:val="nil"/>
              <w:tr2bl w:val="nil"/>
            </w:tcBorders>
            <w:vAlign w:val="center"/>
          </w:tcPr>
          <w:p w14:paraId="1BF491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▲自主访问控制</w:t>
            </w:r>
          </w:p>
        </w:tc>
        <w:tc>
          <w:tcPr>
            <w:tcW w:w="4653" w:type="dxa"/>
            <w:tcBorders>
              <w:tl2br w:val="nil"/>
              <w:tr2bl w:val="nil"/>
            </w:tcBorders>
            <w:vAlign w:val="center"/>
          </w:tcPr>
          <w:p w14:paraId="316570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4C5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A040A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559" w:type="dxa"/>
            <w:vMerge w:val="continue"/>
            <w:tcBorders>
              <w:tl2br w:val="nil"/>
              <w:tr2bl w:val="nil"/>
            </w:tcBorders>
            <w:vAlign w:val="center"/>
          </w:tcPr>
          <w:p w14:paraId="422821FB">
            <w:pPr>
              <w:shd w:val="clear"/>
              <w:rPr>
                <w:rFonts w:hint="eastAsia" w:ascii="宋体" w:hAnsi="宋体" w:eastAsia="宋体" w:cs="宋体"/>
                <w:color w:val="auto"/>
                <w:highlight w:val="none"/>
              </w:rPr>
            </w:pPr>
          </w:p>
        </w:tc>
        <w:tc>
          <w:tcPr>
            <w:tcW w:w="1985" w:type="dxa"/>
            <w:tcBorders>
              <w:tl2br w:val="nil"/>
              <w:tr2bl w:val="nil"/>
            </w:tcBorders>
            <w:vAlign w:val="center"/>
          </w:tcPr>
          <w:p w14:paraId="6C92E3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▲强制访问控制</w:t>
            </w:r>
          </w:p>
        </w:tc>
        <w:tc>
          <w:tcPr>
            <w:tcW w:w="4653" w:type="dxa"/>
            <w:tcBorders>
              <w:tl2br w:val="nil"/>
              <w:tr2bl w:val="nil"/>
            </w:tcBorders>
            <w:vAlign w:val="center"/>
          </w:tcPr>
          <w:p w14:paraId="6962EB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操作系统支持对应用程序的访问控制与资源限制，包括对文件、网络等客体的访问控制；支持应用安装控制、应用执行控制</w:t>
            </w:r>
          </w:p>
        </w:tc>
      </w:tr>
      <w:tr w14:paraId="16CE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251019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1559" w:type="dxa"/>
            <w:vMerge w:val="continue"/>
            <w:tcBorders>
              <w:tl2br w:val="nil"/>
              <w:tr2bl w:val="nil"/>
            </w:tcBorders>
            <w:vAlign w:val="center"/>
          </w:tcPr>
          <w:p w14:paraId="06EB27E2">
            <w:pPr>
              <w:shd w:val="clear"/>
              <w:rPr>
                <w:rFonts w:hint="eastAsia" w:ascii="宋体" w:hAnsi="宋体" w:eastAsia="宋体" w:cs="宋体"/>
                <w:color w:val="auto"/>
                <w:highlight w:val="none"/>
              </w:rPr>
            </w:pPr>
          </w:p>
        </w:tc>
        <w:tc>
          <w:tcPr>
            <w:tcW w:w="1985" w:type="dxa"/>
            <w:tcBorders>
              <w:tl2br w:val="nil"/>
              <w:tr2bl w:val="nil"/>
            </w:tcBorders>
            <w:vAlign w:val="center"/>
          </w:tcPr>
          <w:p w14:paraId="239B32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▲安全审计</w:t>
            </w:r>
          </w:p>
        </w:tc>
        <w:tc>
          <w:tcPr>
            <w:tcW w:w="4653" w:type="dxa"/>
            <w:tcBorders>
              <w:tl2br w:val="nil"/>
              <w:tr2bl w:val="nil"/>
            </w:tcBorders>
            <w:vAlign w:val="center"/>
          </w:tcPr>
          <w:p w14:paraId="4F6E4F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017D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2E175A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w:t>
            </w:r>
          </w:p>
        </w:tc>
        <w:tc>
          <w:tcPr>
            <w:tcW w:w="1559" w:type="dxa"/>
            <w:tcBorders>
              <w:tl2br w:val="nil"/>
              <w:tr2bl w:val="nil"/>
            </w:tcBorders>
            <w:vAlign w:val="center"/>
          </w:tcPr>
          <w:p w14:paraId="61A55B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1985" w:type="dxa"/>
            <w:tcBorders>
              <w:tl2br w:val="nil"/>
              <w:tr2bl w:val="nil"/>
            </w:tcBorders>
            <w:vAlign w:val="center"/>
          </w:tcPr>
          <w:p w14:paraId="348AFB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4653" w:type="dxa"/>
            <w:tcBorders>
              <w:tl2br w:val="nil"/>
              <w:tr2bl w:val="nil"/>
            </w:tcBorders>
            <w:vAlign w:val="center"/>
          </w:tcPr>
          <w:p w14:paraId="5288D6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操作系统支持漏洞编号，每个漏洞独立编号，可直接使用NVDB、CNVD或CVE编号；</w:t>
            </w:r>
          </w:p>
          <w:p w14:paraId="130CB2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漏洞提醒，发现或获悉漏洞信息时，通过系统推送、电子邮件或官方网站等方式通知用户；漏洞修复，对已发现的安全漏洞通过补丁等方式对系统漏洞进行修复；</w:t>
            </w:r>
          </w:p>
          <w:p w14:paraId="2CE1F1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漏洞列表，提供每个版本已修复的漏洞列表，提供命令或网页等方式方便用户查询漏洞及其修复情况</w:t>
            </w:r>
          </w:p>
        </w:tc>
      </w:tr>
    </w:tbl>
    <w:p w14:paraId="3099B14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（2）非现场执法平台运营保障服务</w:t>
      </w:r>
    </w:p>
    <w:p w14:paraId="5732493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一）基础信息对接服务</w:t>
      </w:r>
    </w:p>
    <w:p w14:paraId="541A9CD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233225E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1）道路路段代码信息定期更新服务：结合城市道路新建、改扩建工程及交通标识调整等情况，定期对道路路段代码信息进行梳理与更新，确保系统内路段代码与实际道路情况精准匹配；</w:t>
      </w:r>
    </w:p>
    <w:p w14:paraId="2BFCC87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2）违法行为代码信息定期更新服务：依据最新交通法律法规及执法标准的变动，及时更新违法行为代码及对应处罚标准，保障代码信息与执法依据同步；</w:t>
      </w:r>
    </w:p>
    <w:p w14:paraId="40BBF9E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3）部门组织信息及人员用户信息定期更新服务：针对部门架构调整、人员岗位变动、用户权限变更等情况，定期更新相关信息，确保系统内组织与人员数据的准确性和时效性；</w:t>
      </w:r>
    </w:p>
    <w:p w14:paraId="68E170D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4）违法采集设备台账信息新增及现有设备管理：对新增的违法采集设备及时完成参数录入、位置标注等台账信息登记，同时对现有设备的运行状态、维护记录等进行动态跟踪管理；</w:t>
      </w:r>
    </w:p>
    <w:p w14:paraId="7C47313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5）监控球机设备台账信息新增及现有设备管理：为新增监控球机建立完整台账，记录设备点位、对接通道号等信息，对在用设备定期进行信息核查与更新；</w:t>
      </w:r>
    </w:p>
    <w:p w14:paraId="37AB8E0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6）货运导航路线数据对接更新服务：对接货运导航系统的最新路线数据，结合货运限行政策、道路施工等情况，及时更新系统内货运导航路线信息；</w:t>
      </w:r>
    </w:p>
    <w:p w14:paraId="0B8E28E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7）人员关联设备组定期更新服务：根据人员工作职责的调整，定期调整其关联的设备组，确保人员操作权限与负责的设备组相匹配；</w:t>
      </w:r>
    </w:p>
    <w:p w14:paraId="24A6E51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8）部门关联人员定期更新服务：依据部门职能划分及人员隶属关系的变化，及时更新部门与人员的关联信息，保障组织管理架构清晰；</w:t>
      </w:r>
    </w:p>
    <w:p w14:paraId="3A9CE90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9）警务通系统人员与非现场系统同步更新服务：建立警务通系统与非现场系统的人员信息同步机制，确保人员新增、删除、变更等信息实时同步；</w:t>
      </w:r>
    </w:p>
    <w:p w14:paraId="6F71D8B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10）设备及道路路段信息与第三方系统对接共享服务：按照信息共享规范，将设备参数、道路路段等信息与第三方系统进行对接，保障信息共享的及时性和准确性。</w:t>
      </w:r>
    </w:p>
    <w:p w14:paraId="1E61CF7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二）数据接入运营服务</w:t>
      </w:r>
    </w:p>
    <w:p w14:paraId="6A830E4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31AC9C1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1）新建违法采集设备的数据接入：为新建违法采集设备提供从参数配置到数据传输的全流程接入支持，确保设备采集的违法数据顺利进入系统；</w:t>
      </w:r>
    </w:p>
    <w:p w14:paraId="038938F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2）新增设备厂家接入调试，问题排查：与新增设备厂家密切配合，完成设备与系统的接入调试工作，对调试过程中出现的接口不兼容、数据传输异常等问题及时排查解决；</w:t>
      </w:r>
    </w:p>
    <w:p w14:paraId="11342C9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3）各区县系统违法数据对接服务：搭建各区县系统与非现场系统的违法数据传输通道，制定统一的数据格式标准，保障跨区域违法数据高效汇总；</w:t>
      </w:r>
    </w:p>
    <w:p w14:paraId="2735D61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4）无人机执法场景的数据对接服务：针对无人机执法采集的数据特点，适配数据传输协议与格式，实现无人机违法抓拍数据的实时接入与解析；</w:t>
      </w:r>
    </w:p>
    <w:p w14:paraId="39BD6BE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5）违停预警数据接入预警小窗语音提醒及频率配置功能：将违停预警数据接入系统预警模块，配置语音提醒内容及触发频率，确保执法人员及时接收预警信息；</w:t>
      </w:r>
    </w:p>
    <w:p w14:paraId="174B338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6）视频球机平台的数据接入服务：对接视频球机平台的监控数据，完成数据格式转换与协议适配，保障视频球机采集的违法及监控数据顺利进入系统；</w:t>
      </w:r>
    </w:p>
    <w:p w14:paraId="472F07A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7）其他第三方来源数据调试、接入服务：针对其他第三方平台或设备产生的数据，进行接口调试、格式转换等工作，确保各类外部数据能够有效接入系统并发挥作用。</w:t>
      </w:r>
    </w:p>
    <w:p w14:paraId="6253B09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三）违法过滤规则升级服务</w:t>
      </w:r>
    </w:p>
    <w:p w14:paraId="3C6ADFF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4ED926C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1）超时过滤规则适配升级服务：根据部局不同时间段的执法时效要求，动态调整超时过滤规则，确保对超时违法数据的精准筛选；</w:t>
      </w:r>
    </w:p>
    <w:p w14:paraId="14BFAD9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2）客车、货车限行过滤规则适配升级服务：结合城市区域限行、时段限行等政策变化，优化客车、货车限行过滤规则，准确识别违反限行规定的车辆；</w:t>
      </w:r>
    </w:p>
    <w:p w14:paraId="3E7B5C9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3）车辆违停过滤规则适配升级服务：依据违停认定标准的调整，细化违停过滤规则，区分临时停靠与违法停放，提高违停识别的准确性；</w:t>
      </w:r>
    </w:p>
    <w:p w14:paraId="64202DC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4）国四柴油车过滤规则及短信通知服务适配：针对国四柴油车的限行区域和时段要求，适配过滤规则，并同步优化短信通知的内容与发送机制；</w:t>
      </w:r>
    </w:p>
    <w:p w14:paraId="0ED70DD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5）西湖通、景区管委会数据过滤规则适配升级服务：对接西湖通及景区管委会的管理数据，调整过滤规则，精准筛选景区范围内的违法车辆信息；</w:t>
      </w:r>
    </w:p>
    <w:p w14:paraId="426EEC9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6）急事通数据过滤规则适配升级服务：根据急事通通行报备的有效期、通行区域等信息，优化过滤规则，确保已报备车辆的合理通行需求得到保障；</w:t>
      </w:r>
    </w:p>
    <w:p w14:paraId="2742D1B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7）特殊车辆过滤规则适配升级服务：针对警车、救护车、消防车等特殊车辆的通行权限，调整过滤规则，避免对执行任务的特殊车辆误判；</w:t>
      </w:r>
    </w:p>
    <w:p w14:paraId="05C2A5D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8）优驾容错过滤规则适配升级服务：结合优驾容错政策的适用范围和条件，细化过滤规则，对符合容错条件的轻微违法行为予以过滤；</w:t>
      </w:r>
    </w:p>
    <w:p w14:paraId="69E5398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9）相同数据重复过滤规则适配升级服务：优化重复数据识别算法，对同一车辆、同一违法行为的重复数据进行精准过滤，避免重复处理；</w:t>
      </w:r>
    </w:p>
    <w:p w14:paraId="76F5B77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10）城市快运车辆过滤规则适配升级服务：根据城市快运车辆的通行许可范围和时间，调整过滤规则，保障合规快运车辆的正常通行；</w:t>
      </w:r>
    </w:p>
    <w:p w14:paraId="5D1D721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11）蓝牌新能源车辆过滤规则适配升级服务：依据新能源车辆的通行规定，碰撞蓝牌新能源车辆库，适配过滤规则，准确区分合规行驶的新能源车辆；</w:t>
      </w:r>
    </w:p>
    <w:p w14:paraId="2F3458B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12）景区旅游淡旺季过滤规则改造适配升级服务：结合景区淡旺季的不同管理要求，调整过滤规则，适应淡旺季不同的限行、管控标准；</w:t>
      </w:r>
    </w:p>
    <w:p w14:paraId="6D05053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13）接入数据必要性规则校验服务：建立数据校验机制，对接入系统的数据进行必要性审核，确保数据精简且有效；</w:t>
      </w:r>
    </w:p>
    <w:p w14:paraId="27B2F2E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14）其它违法行为过滤规则适配升级服务：针对新增的违法行为类型或执法标准变化，及时调整相应的过滤规则，保障系统对各类违法行为的准确识别。</w:t>
      </w:r>
    </w:p>
    <w:p w14:paraId="5C2375D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四）违法上传服务升级服务</w:t>
      </w:r>
    </w:p>
    <w:p w14:paraId="7567EDF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3CF6588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1）违法上传服务按集成指挥平台要求，对应升级适配：依据集成指挥平台对违法数据的格式、传输协议等要求，升级违法上传服务，确保数据上传符合平台标准；</w:t>
      </w:r>
    </w:p>
    <w:p w14:paraId="7DEF3C2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2）违停预警上传服务按集成指挥平台要求，对应升级适配：按照集成指挥平台对违停预警数据的上传规范，优化上传服务功能，保障预警信息及时、准确上传；</w:t>
      </w:r>
    </w:p>
    <w:p w14:paraId="7FB768A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3）集成指挥平台、公安交通管理综合应用平台，播放视频的网页更新适配：对两个平台中用于播放违法视频的网页进行技术更新，确保视频播放流畅；</w:t>
      </w:r>
    </w:p>
    <w:p w14:paraId="2281158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4）自动违停球：区分集指预警编号与集指违法编号，上传逻辑适配：明确自动违停球采集数据中两种编号的定义与使用场景，优化数据上传逻辑，确保编号对应的数据准确上传；</w:t>
      </w:r>
    </w:p>
    <w:p w14:paraId="7D5D21C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5）视频监控抓拍：根据视频点位是否在集指平台备案，数据分别上传集指移动设备备案点位与视频点位本身：针对视频点位的备案情况，制定差异化上传策略，确保数据上传至正确的平台点位；</w:t>
      </w:r>
    </w:p>
    <w:p w14:paraId="5D9319E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6）无牌车数据、乱码车数据判断比对上传过滤服务：通过数据比对技术，对无牌车、乱码车数据进行分析判断，优化上传与过滤逻辑，确保此类数据得到合理处理。</w:t>
      </w:r>
    </w:p>
    <w:p w14:paraId="025C42F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五）第三方数据接口查询适配</w:t>
      </w:r>
    </w:p>
    <w:p w14:paraId="2957EF4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1B08EA0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1）景区限行报备车辆 (西湖通) 查询适配服务：适配西湖通平台的数据，实现对景区限行报备车辆信息的实时查询，为过滤规则提供数据支持；</w:t>
      </w:r>
    </w:p>
    <w:p w14:paraId="3CFF23E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2）车辆限行报备 (急事通) 接口查询适配服务：优化与急事通平台的数据对接，确保能够快速、准确查询车辆限行报备信息；</w:t>
      </w:r>
    </w:p>
    <w:p w14:paraId="4542826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3）错峰限行客车 (非公务车通行证) 接口查询适配服务：对接错峰限行客车的非公务车通行证管理系统，实现通行证信息的高效查询；</w:t>
      </w:r>
    </w:p>
    <w:p w14:paraId="776E5E2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4）错峰限行货车 (大货车限行通行证) 接口查询适配服务：适配大货车限行通行证管理系统，保障对限行区域内货车通行证信息的精准查询；</w:t>
      </w:r>
    </w:p>
    <w:p w14:paraId="1A9303B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5）新能源车 (蓝牌) 接口查询适配服务：对接车管所新能源车辆数据，实现对蓝牌新能源车的属性等信息的实时查询；</w:t>
      </w:r>
    </w:p>
    <w:p w14:paraId="546A2E3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6）六合一系统有效违法数据接口查询适配服务：优化与六合一系统的接口对接，确保能够准确查询有效违法数据，为执法数据提供判断依据；</w:t>
      </w:r>
    </w:p>
    <w:p w14:paraId="450BA52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7）集指平台有效违法数据接口查询适配服务：适配集成指挥平台的接口规范，实现对有效违法数据的快速查询与获取；</w:t>
      </w:r>
    </w:p>
    <w:p w14:paraId="1191433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8）短信发送接口适配，接口查询适配服务：优化短信发送接口的稳定性与效率，同时确保能够准确查询短信发送状态、记录等信息；</w:t>
      </w:r>
    </w:p>
    <w:p w14:paraId="2B7DF12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9）货运导航系统接口查询适配服务：对接货运导航系统接口，实时查询货运导航路线、限行提示等信息，为货运车辆违法判断提供依据；</w:t>
      </w:r>
    </w:p>
    <w:p w14:paraId="07F482F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10）警务通优驾容错接口查询、写入适配服务：提供优驾容错接口与警务通系统对接，实现优驾容错相关信息的查询与写入，保障数据互通；</w:t>
      </w:r>
    </w:p>
    <w:p w14:paraId="6CA773C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11）其他接口需求服务：针对新增的第三方系统接口需求，提供接口适配服务，确保系统能够与各类外部系统实现数据交互。</w:t>
      </w:r>
    </w:p>
    <w:p w14:paraId="04623B5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六）数据统计</w:t>
      </w:r>
    </w:p>
    <w:p w14:paraId="2EA6183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2E9C808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1）特殊活动与节假日，按需统计计算相关指标数据，形成报表用于查询与导出：在特殊活动及节假日期间，根据执法管理需求，统计违法数量、主要违法类型等指标，按需形成统计报表；</w:t>
      </w:r>
    </w:p>
    <w:p w14:paraId="5F84A03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2）国四柴油车日常接入、处理及短信发送统计服务：对国四柴油车数据的接入量、处理结果、短信发送数量等进行统计，按需形成统计报表</w:t>
      </w:r>
    </w:p>
    <w:p w14:paraId="7293D2B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3）部门违法统计，按部门，按数据来源类型、按日期后台加工计算统计指标：从部门、数据来源类型、日期三个维度，统计违法数据量指标；</w:t>
      </w:r>
    </w:p>
    <w:p w14:paraId="3F309FB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4）部门工作量统计，按部门、警员、日期，加工计算统计指标：从部门、警员、日期三个维度，统计执法人员的违法处理量、审核量等工作量指标；</w:t>
      </w:r>
    </w:p>
    <w:p w14:paraId="4504122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5）JJ车统计，按部门，日期，加工计算统计指标：针对 JJ 车的违法记录数据，按部门和日期进行统计分析，形成专项统计结果；</w:t>
      </w:r>
    </w:p>
    <w:p w14:paraId="6928CB3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6）设备组采集统计，按设备组，日期、方向，加工计算统计指标：按设备组划分，结合日期和数据抓拍方向，统计设备的违法采集量、有效采集率等指标；</w:t>
      </w:r>
    </w:p>
    <w:p w14:paraId="35D0E05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7）设备异常查询统计，按设备组，日期，加工计算统计指标。</w:t>
      </w:r>
    </w:p>
    <w:p w14:paraId="6C213FD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8）违法行为统计，按部门、日期，加工计算统计指标：按部门、日期，加工计算统计指标：按部门和日期，对各类违法行为的发生数量等进行统计，分析违法趋势；</w:t>
      </w:r>
    </w:p>
    <w:p w14:paraId="1D5FBE9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9）监控抓拍统计，按统计维度、部门、警员、日期，加工计算统计指标；</w:t>
      </w:r>
    </w:p>
    <w:p w14:paraId="2F3C4CA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10）上传数据重复监测统计，按部门、设备组、日期，加工计算统计指标：按部门、设备组和日期，统计上传数据的重复次数、重复数据来源等指标，为数据质量优化提供依据；</w:t>
      </w:r>
    </w:p>
    <w:p w14:paraId="3F5FC99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11）其他统计需求服务，按业务需求计算统计指标：针对其他临时性或专项统计需求，按照业务要求计算相应指标，提供定制化统计服务。</w:t>
      </w:r>
    </w:p>
    <w:p w14:paraId="6D5CA87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七）数据摆渡升级服务</w:t>
      </w:r>
    </w:p>
    <w:p w14:paraId="7F734F6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3BB01E5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1）违法数据摆渡服务，提供数据、图片、视频摆渡，以及摆渡频率配置：实现违法相关数据、现场图片及视频在不同网络间的摆渡传输，并可根据业务需求配置摆渡频率，保障数据及时流转；</w:t>
      </w:r>
    </w:p>
    <w:p w14:paraId="0743EFD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2）违停预警数据摆渡服务，提供数据、图片、视频摆渡，以及摆渡频率配置：将违停预警的相关数据、图片和视频传输至指定系统，支持根据预警紧急程度调整摆渡频率</w:t>
      </w:r>
    </w:p>
    <w:p w14:paraId="1B2A8AD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3）监控违法抓拍摆渡服务，提供数据、图片、视频摆渡，以及摆渡频率配置：将监控设备抓拍的违法数据、图片和视频进行跨网络摆渡，根据数据重要性设置不同的摆渡频率；</w:t>
      </w:r>
    </w:p>
    <w:p w14:paraId="4309853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景区限行报备车辆、车辆限行报备等相关数据摆渡服务，提供数据摆渡，以及摆渡频率配置：以及摆渡频率配置：对景区限行报备车辆、普通车辆限行报备等数据进行系统间摆渡，按报备信息的更新频率配置摆渡周期；</w:t>
      </w:r>
    </w:p>
    <w:p w14:paraId="12711A5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部门人员信息、道路路段信息、违法采集设备信息等相关数据摆渡服务，提供数据摆渡，以及摆渡频率配置：将部门人员、道路路段、违法采集设备等基础信息在相关系统间进行摆渡，根据信息变更频率设置摆渡频率；</w:t>
      </w:r>
    </w:p>
    <w:p w14:paraId="1D82B48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6）违停短信提醒数据摆渡服务，提供数据、图片摆渡，以及摆渡频率配置：将违停短信提醒的相关数据和图片摆渡对接至部局短信发送系统，配置合理的摆渡频率确保提醒及时发送；</w:t>
      </w:r>
    </w:p>
    <w:p w14:paraId="673EDAB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7）急事通数据摆渡服务，提供数据摆渡，以及摆渡频率配置：实现急事通通行报备数据在系统间的摆渡，根据报备数据的更新情况配置摆渡频率；</w:t>
      </w:r>
    </w:p>
    <w:p w14:paraId="600E8DE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8）西湖通数据摆渡服务，提供数据摆渡，以及摆渡频率配置：将西湖通相关数据在指定系统间进行摆渡，按照数据的时效性要求配置摆渡频率；</w:t>
      </w:r>
    </w:p>
    <w:p w14:paraId="2E61A16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9）货车导航数据摆渡服务，提供数据摆渡，以及摆渡频率配置：对接货运导航系统的数据，在相关系统间进行摆渡，根据导航数据的更新频率设置摆渡周期；</w:t>
      </w:r>
    </w:p>
    <w:p w14:paraId="5E5FB1D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10）其他信息摆渡服务，提供数据摆渡，以及摆渡频率配置：针对其他需要在系统间流转的信息，提供数据摆渡服务，并根据信息特点配置合适的摆渡频率。</w:t>
      </w:r>
    </w:p>
    <w:p w14:paraId="113F5D4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szCs w:val="22"/>
          <w:highlight w:val="none"/>
        </w:rPr>
        <w:t>后台管理运营保障服务</w:t>
      </w:r>
    </w:p>
    <w:p w14:paraId="6CD05C2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4D9982B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i w:val="0"/>
          <w:iCs w:val="0"/>
          <w:color w:val="auto"/>
          <w:kern w:val="2"/>
          <w:sz w:val="24"/>
          <w:szCs w:val="24"/>
          <w:highlight w:val="none"/>
          <w:u w:val="none"/>
          <w:lang w:val="en-US" w:eastAsia="zh-CN" w:bidi="ar"/>
        </w:rPr>
        <w:t>保障系统的正常运行，通过多维度监测系统的运行状态、数据传输情况、设备连接稳定性等，及时发现潜在问题；开展系统功能的测试、发布与部署工作，确保新功能顺利上线；对后台服务软件进行性能优化，提升系统对新增在线业务请求的解析、处理与转发效率；快速响应并解决系统日常使用中出现的操作故障、数据异常等问题；在重大活动期间，加强系统巡检与应急保障，确保系统在高负载情况下稳定运行，为执法工作提供可靠支撑。</w:t>
      </w:r>
    </w:p>
    <w:p w14:paraId="6AD2EBDA">
      <w:pPr>
        <w:numPr>
          <w:ilvl w:val="0"/>
          <w:numId w:val="2"/>
        </w:numPr>
        <w:shd w:val="clear"/>
        <w:spacing w:line="360" w:lineRule="auto"/>
        <w:ind w:lef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货运导航数据及运营保障服务</w:t>
      </w:r>
    </w:p>
    <w:p w14:paraId="61DB7A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服务期内完成货运导航数据及运营保障服务，包括互联网地图导航基础服务、城市货运导航数据运营服务等内容。</w:t>
      </w:r>
    </w:p>
    <w:p w14:paraId="56FCB5A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1、互联网地图导航基础服务</w:t>
      </w:r>
    </w:p>
    <w:p w14:paraId="5184E0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（1）基于货车长宽高重等整体信息，结合限行政策、限行区内黑白名单等信息，为货车做线路规划；提供每天访问量100w次，并发访问个数100个的能力。</w:t>
      </w:r>
    </w:p>
    <w:p w14:paraId="5E6D17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（2）基于货车长宽高重等整体信息，结合限行政策、限行区内黑白名单等信息，为货车做导航，提供显示、播报等sdk能力；提供每天访问量100w次，并发访问个数100个的能力。</w:t>
      </w:r>
    </w:p>
    <w:p w14:paraId="516E85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（3）基于规划的货车通行证线路信息，将其上传到互联网导航平台云端并做持久化保存；提供每天访问量30w次，并发访问个数50个的能力。</w:t>
      </w:r>
    </w:p>
    <w:p w14:paraId="39D26A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（4）基于互联网导航平台云端增加的线路信息，将其与路网绑定，形成唯一的货车通行证线路；提供每天访问量30w次，并发访问个数50个的能力。</w:t>
      </w:r>
    </w:p>
    <w:p w14:paraId="3FD3AA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（5）基于关键字信息获取周边的POI信息，供货车导航确定起终点；提供每天访问量50w次，并发访问个数100个的能力。</w:t>
      </w:r>
    </w:p>
    <w:p w14:paraId="01949F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（6）基于定线导航id获取其线路规划的信息，供定线导航；提供每天访问量50w次，并发访问个数50个的能力.</w:t>
      </w:r>
    </w:p>
    <w:p w14:paraId="7C82C99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2、城市货运导航数据运营服务</w:t>
      </w:r>
    </w:p>
    <w:p w14:paraId="3A4D09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2.1常态化货运交通组织优化调整服务</w:t>
      </w:r>
    </w:p>
    <w:p w14:paraId="1B8DF1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（1）限行区域数据调整、制作、数据测试、数据发布服务；</w:t>
      </w:r>
    </w:p>
    <w:p w14:paraId="1055BD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（2）禁行区域数据调整、制作、数据测试、数据发布服务；</w:t>
      </w:r>
    </w:p>
    <w:p w14:paraId="3F992B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（3）黑名单道路调整、数据制作、数据测试、数据发布服务；</w:t>
      </w:r>
    </w:p>
    <w:p w14:paraId="46D08E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（4）避让区域的调整、数据制作、数据测试、数据发布服务；</w:t>
      </w:r>
    </w:p>
    <w:p w14:paraId="34C23C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2.2新版智安通系统数据接口对接、数据运营服务。</w:t>
      </w:r>
    </w:p>
    <w:p w14:paraId="7F695A9B">
      <w:pPr>
        <w:shd w:val="clea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rPr>
        <w:t>工程车基本信息获取接口，货运导航驾驶员服务端车辆绑定模块自动比对车辆类型，如为工程车，无法手动绑定车辆；</w:t>
      </w:r>
    </w:p>
    <w:p w14:paraId="4916A5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运输企业信息获取接口，货运导航工程车路线申请模块，根据企业信息，自动匹配企业名下的车辆信息、运输路线、停保路线、高峰路线信息，支撑工程车路线的申请、续办等功能；</w:t>
      </w:r>
    </w:p>
    <w:p w14:paraId="279557A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交治员信息获取接口，新版智安通增加交治员后，货运导航系统自动同步交治员信息，并自动开通货运导航管理账号，整合货运导航角色权限，自动开通运输企业登录货运导航申请路线的权限；</w:t>
      </w:r>
    </w:p>
    <w:p w14:paraId="1E340F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工地信息获取接口，自动同步至货运导航工程车路线申请模块，同时整合互联网地图，实现工地地理信息的地图展示，同时工程车路线申请时选择对应工地后，默认工地为工程车路线起点或终点，并基于互联网地图小客车引擎实现工程车路线的绘制；</w:t>
      </w:r>
    </w:p>
    <w:p w14:paraId="6B486F6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工程车驾驶员信息接口，自动同步驾驶员信息至货运导航后台，自动开通驾驶员账户，实现货运导航工程车驾驶员服务端的登录功能；</w:t>
      </w:r>
    </w:p>
    <w:p w14:paraId="70F0F8A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驾驶员、车辆绑定信息获取接口，驾驶员服务端根据驾驶人身份信息和人车绑定关系自动匹配工程车列表，实现车辆列表的展示，如为工程车，展示运输路线、停保路线、高峰路线，供驾驶员选择对应路线类别的往返路线；</w:t>
      </w:r>
    </w:p>
    <w:p w14:paraId="6AF5720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运输企业、工地绑定信息获取接口，货运导航企业管理端路线申请模块，自动根据企业信息匹配企业关联的状态为正常施工状态的工地列表，供交治员申请路线时选择企业关联的有效工地；</w:t>
      </w:r>
    </w:p>
    <w:p w14:paraId="2156EE0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人、车、企、绑定关系数据定时同步，定时更新人、车、企，驾驶人、车辆绑定关系，企业、车辆绑定关系，企业工地绑定关系，根据企业管理端工程车路线申请实际场景及驾驶员服务端通行报备场景，采用不同同步策略定时同步数据；</w:t>
      </w:r>
    </w:p>
    <w:p w14:paraId="5D8EF26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工程车定路功能升级、适配，包括运输路线、停保路线、高峰路线路线申请、交警审核审批，驾驶员服务端车辆管理、通行报备等功能的适配改造升级。</w:t>
      </w:r>
    </w:p>
    <w:p w14:paraId="7972E1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2.3车辆管理、业务逻辑控制功能升级、数据运营服务</w:t>
      </w:r>
    </w:p>
    <w:p w14:paraId="2A798A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（1）车辆基础信息对接，获取车辆参数</w:t>
      </w:r>
    </w:p>
    <w:p w14:paraId="4BE3187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（2）非现场违法信息对接，统计非现场违法未处理次数</w:t>
      </w:r>
    </w:p>
    <w:p w14:paraId="2E7CCC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（3）车辆数据同步，车辆绑定时自动同步车辆参数、判断号牌号码、车型是否合规</w:t>
      </w:r>
    </w:p>
    <w:p w14:paraId="76C6EA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（4）防黄牛功能，按月限制用户车辆绑定、解绑次数，防范业务风险</w:t>
      </w:r>
    </w:p>
    <w:p w14:paraId="4764BF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2.4工程车定路功能升级服务、数据运营服务</w:t>
      </w:r>
    </w:p>
    <w:p w14:paraId="3A26F4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（1）运输路线、高峰路线、停保路线续办功能</w:t>
      </w:r>
    </w:p>
    <w:p w14:paraId="2554D86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（2）工程车路线系统自动化审核功能</w:t>
      </w:r>
    </w:p>
    <w:p w14:paraId="03950D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2.5系统迁移改造服务</w:t>
      </w:r>
    </w:p>
    <w:p w14:paraId="352137D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在服务期内完成政务云城市货运导航应用向信创云迁移改造服务，满足信创要求，具体内容如下：</w:t>
      </w:r>
    </w:p>
    <w:p w14:paraId="64A390C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手机端业务服务接口：包括高德小程序及警察叔叔app端车辆管理、通行报备、路线规划、个人中心等功能接口服务。具体工作包括：迁移表及数据的整理、应用前后端架构分离、应用升级改造、安全访问改造、应用配置改造、应用数据链路调整、图片链路调整及保存、整体系统调试及优化。</w:t>
      </w:r>
    </w:p>
    <w:p w14:paraId="13E5DB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管理模块：运输路线、停保路线、高峰路线运输企业申请端、交警审核端。具体工作包括：迁移表及数据的整理、应用前后端架构分离、应用升级改造、安全访问改造、应用配置改造、应用数据链路调整、图片链路调整及保存、整体系统调试及优化。</w:t>
      </w:r>
    </w:p>
    <w:p w14:paraId="0204EB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通行规则管理及查询功能：根据货车五要素（号牌颜色、本外埠、核载质量、载货性质、车辆类型）管理通行规则，驾驶员可在移动端根据五要素快速查询限行范围图、限行时段、限行路段、限行规则。具体工作包括：迁移表及数据的整理、应用前后端架构分离、应用升级改造、安全访问改造、应用配置改造、应用数据链路调整、图片链路调整及保存、整体系统调试及优化。</w:t>
      </w:r>
    </w:p>
    <w:p w14:paraId="443181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禁行措施管理及查询功能：对全市域禁行规则进行管理，驾驶员在移动端可根据区域分类查询禁行措施，具体工作包括：迁移表及数据的整理、应用前后端架构分离、应用升级改造、安全访问改造、应用配置改造、应用数据链路调整、图片链路调整及保存、整体系统调试及优化。</w:t>
      </w:r>
    </w:p>
    <w:p w14:paraId="33EE03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运营维护功能：针对大型活动或系统重大升级维护情况，发布相关系统维护页面，具体工作包括：迁移表及数据的整理、应用前后端架构分离、应用升级改造、安全访问改造、应用配置改造、应用数据链路调整、图片链路调整及保存、整体系统调试及优化。</w:t>
      </w:r>
    </w:p>
    <w:p w14:paraId="3B5BA30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（四）安全防控治理服务</w:t>
      </w:r>
    </w:p>
    <w:p w14:paraId="6575D5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安全防控治理建设服务，包括道路隐患分析模块、警情分析模块、安全宣教提升及分析模块、案件管理模块、涉案财务管理模块、违法业务监管模块等内容，支持在信创环境下部署使用。服务期满后，处置权归采购人所有。</w:t>
      </w:r>
    </w:p>
    <w:p w14:paraId="4953D65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1、道路隐患分析模块</w:t>
      </w:r>
    </w:p>
    <w:p w14:paraId="055207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模块以整合隐患治理信息为建设目标，实现道路事故数字化。通过地图可视化建立道路图层，围绕事故量设计规则，展示事故数量、隐患治理等时间空间分布信息。从隐患排查、工作量统计等维度进行隐患分析，协助工作人员更好的完成道路隐患治理工作。</w:t>
      </w:r>
    </w:p>
    <w:p w14:paraId="30292FF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（1）道路隐患地图</w:t>
      </w:r>
    </w:p>
    <w:p w14:paraId="55382FD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1）基础地理信息展示</w:t>
      </w:r>
    </w:p>
    <w:p w14:paraId="0E1106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支持交通基础资源的数量、空间位置分布和实时状态的可视功能。实时道路隐患数据动态显示、预警。实现基础资源点位的地理位置标注及上图。</w:t>
      </w:r>
    </w:p>
    <w:p w14:paraId="3363CFC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2）道路隐患地图跟踪</w:t>
      </w:r>
    </w:p>
    <w:p w14:paraId="39E699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支持道路隐患事件可视化展示，根据隐患事件发生地点经纬度,进行事件上图，可以在地图上查看隐患事件发生地、事件数量等信息。</w:t>
      </w:r>
    </w:p>
    <w:p w14:paraId="6A8743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地图页面支持提供实时更新的道路隐患事件列表，展示事件状态、处置进度、详细信息等内容。</w:t>
      </w:r>
    </w:p>
    <w:p w14:paraId="7A72EB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3）道路隐患赋分上图</w:t>
      </w:r>
    </w:p>
    <w:p w14:paraId="3197AE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支持针对事故溯源的道路隐患进行赋分，在地图上建立道路图层，根据规则设定颜色分级。</w:t>
      </w:r>
    </w:p>
    <w:p w14:paraId="5B699B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4）隐患弹窗预警</w:t>
      </w:r>
    </w:p>
    <w:p w14:paraId="1DD53A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支持针对事故多发点位、巡查周期情况等预警，对超出阈值的点段，长时间未巡查道路等进行弹窗预警。</w:t>
      </w:r>
    </w:p>
    <w:p w14:paraId="5FB1A1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（2）质效监管</w:t>
      </w:r>
    </w:p>
    <w:p w14:paraId="2BCAFA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1）业务流转监测</w:t>
      </w:r>
    </w:p>
    <w:p w14:paraId="1858C5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支持对隐患事件工单处理流程进行监测，避免隐患事件的堆积，流转过程系统监测到改变后及时通知办理人员。</w:t>
      </w:r>
    </w:p>
    <w:p w14:paraId="649E462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2）退回操作监测</w:t>
      </w:r>
    </w:p>
    <w:p w14:paraId="49B32B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隐患派发事件回退时，系统及时通知对应人员；系统随时监测数据操作情况，如发现回退操作，且经过分析该事件已经回退过2次及以上（不区分部门）时，将及时预警并通知中队、大队相关管理人员。如出现多次被退回的情况，则系统自动通知上一级管理人员，及时介入分析退回的原因，研判并协同后续的分派工作，保障事件的有序流转。</w:t>
      </w:r>
    </w:p>
    <w:p w14:paraId="46DB99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3）延期操作监测</w:t>
      </w:r>
    </w:p>
    <w:p w14:paraId="741B29B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支持延期申请、审核的通知功能。</w:t>
      </w:r>
    </w:p>
    <w:p w14:paraId="7EEBFD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4）超期数据监测</w:t>
      </w:r>
    </w:p>
    <w:p w14:paraId="608B330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超时、治理超时等情况，根据超时时间，弹窗预警并对相应点位展开着重标记。针对事故溯源、治理不符合规范、治理敷衍等情况，进行巡查预警。如隐患事件超期后较长时间仍未办结，系统可能认定该事件为长期停滞事件，将会及时对大队、中队以及协同处置部门领导发送预警消息。</w:t>
      </w:r>
    </w:p>
    <w:p w14:paraId="799D98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5）长周期隐患事件管理</w:t>
      </w:r>
    </w:p>
    <w:p w14:paraId="3E69295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长周期事件处置周期长，容易发生脱管造成事件超期或其它异常情况，将长周期进行统一聚合管理，时刻关注长周期事件的进度情况，及时跟进催办，保障事件有效处置，允许直接通过列表进行催办等操作。催办操作应具备一键催办、自定义催办功能，同时发送催办信息。</w:t>
      </w:r>
    </w:p>
    <w:p w14:paraId="55A65F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6）工作联系单功能（督办单等）</w:t>
      </w:r>
    </w:p>
    <w:p w14:paraId="19A5E0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支持提供公文草拟功能，大队领导或具有权限的管理人员可以拟定相应的公文通知内容，并配合附件功能，撰写完成完整的公文通知信息。</w:t>
      </w:r>
    </w:p>
    <w:p w14:paraId="06E03C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（3）隐患治理分析</w:t>
      </w:r>
    </w:p>
    <w:p w14:paraId="2C1B54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1）隐患排查分析</w:t>
      </w:r>
    </w:p>
    <w:p w14:paraId="4DD7BA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数据碰撞，将异常增加/减少的道路、区域，按趋势进行排名。支持展示高风险减量道路启动数、治理数。点击高风险减量道路，二级弹窗列表形式展示详细的启动明细：包含启动年份、道路名称、大队、中队、启动时间、治理完成情况、勘察报告（含PDF文档与视频）、整改报告（含PDF文档与视频）；支持按道路名称、所属大队、所属中队、启动时间查询对应启动明细；支持展示事故高发道路TOP，滚动展示各区县TOP10，展示大队、道路名称、事故数三个字段。</w:t>
      </w:r>
    </w:p>
    <w:p w14:paraId="2EC268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2)工作情况统计</w:t>
      </w:r>
    </w:p>
    <w:p w14:paraId="37922C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支持将隐患事件总量、治理率等统计指标排名。</w:t>
      </w:r>
    </w:p>
    <w:p w14:paraId="5230D2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对道路现有的隐患数据进行统计分析，得出溯源道路的隐患情况，为溯源人员提供可能存在的隐患问题。支持展示斑马线事故数、占道施工、有灯不亮、无信号灯路口4个指标的亡人数和同比。支持展示隐患类型发现数、已治理数。</w:t>
      </w:r>
    </w:p>
    <w:p w14:paraId="06A26D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3）溯源分析</w:t>
      </w:r>
    </w:p>
    <w:p w14:paraId="513B9C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辖区查看事故、隐患溯源信息，按照大队、中队两种辖区划分方式归集，展示累计事故量，隐患累计治理量等统计信息及同比变化情况。点击辖区可进一步查看近期事故数、近期隐患数等详细数据。点击某起事故或隐患可进一步查看事故详情或隐患治理情况。支持展示上群事故、三类事故、自主排查的隐患发现数、已完成数；支持展示专项整改当年启动总数；支持展示交通运输局、综合行政执法局、镇街等协同治理部门已完成数、治理中数；展示典型案例、政策文件、技术规范。</w:t>
      </w:r>
    </w:p>
    <w:p w14:paraId="5DE0A8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支持对接区县隐患治理一件事平台，获取隐患任务排查数据；支持将区县隐患治理一件事平台数据对接上云。</w:t>
      </w:r>
    </w:p>
    <w:p w14:paraId="7992D1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4）隐患区域态势分析</w:t>
      </w:r>
    </w:p>
    <w:p w14:paraId="5E09F3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路段、交叉口查看事故，隐患溯源信息，展示累计事故量、累计隐患治理量等统计信息及同比变化情况。点击具体路段或交叉口可进一步查看详细数据，包括道路基础信息、近期事故信息、近期隐患治理信息等。点击某起事故或隐患可进一步查看事故详情或隐患治理情况。点击修改按钮可以对道路、交叉口基础信息进行更新。</w:t>
      </w:r>
    </w:p>
    <w:p w14:paraId="02CCE3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支持自定义划区查看。支持自定义绘制关注区，绘制完毕后，系统支持自动归集统计有关数据，包括近期事故信息、近期隐患治理信息等。</w:t>
      </w:r>
    </w:p>
    <w:p w14:paraId="6DAFE1E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2、警情分析模块</w:t>
      </w:r>
    </w:p>
    <w:p w14:paraId="4904A5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以实现“交通警情趋势预测、重大交通风险预警、重点交通违法预防、非交通事故警情预控”为建设目标，面向交警支队和大队指挥中心/指挥室，提供丰富的警情/风险/违法/事故情报线索、便捷的信息查询核实方式、及时的智能预警、数字化的反馈和归档统计，从“大数据”着手，全速提升交通警情治理工作质效。</w:t>
      </w:r>
    </w:p>
    <w:p w14:paraId="73CA3A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（1）警情趋势分析与预测</w:t>
      </w:r>
    </w:p>
    <w:p w14:paraId="768030F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接入杭州城市大脑、杭州交警道路速度管控系统、浙江智慧110大数据应用、接处警APP、六合一平台、民情警务系统等系统提供的警情数据，分析近期一个时间周期和往年同一时间段（含公历和农历）的交通警情情况，综合天气、环境、活动等因素，对交通警情趋势进行数据化、智能化的精准预测。</w:t>
      </w:r>
    </w:p>
    <w:p w14:paraId="476DAC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（2）重大交通风险预警分析</w:t>
      </w:r>
    </w:p>
    <w:p w14:paraId="6A8612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不同类型重点车辆、不同类型重点群体、不同类型重点区域、不同类型重点时间节点设定不同标准的风险预警阈值；系统支持对事故数据进行多维度分析统计能力，在事故地图综合统计和地点详情分析维度的基础上支持更多类型的图表统计。统计范围可自主选择事故条件、空间条件、标签条件，同时生成图表结果描述文字，支持图表及描述文字的导出，并支持控制统计权限。</w:t>
      </w:r>
    </w:p>
    <w:p w14:paraId="0FC546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接入杭州城市大脑交通V2.0、杭州交警道路速度管控系统、浙江智慧110大数据应用、接处警APP、六合一平台、民情警务系统等系统提供的警情数据，分析“两客一危一货”、私家车、网约车、电动车、摩托车等重点车辆，“一老一小”“三保”、外卖员、快递员等重点群体，交通警情高发道路、城市快速路、主干道等重点路段和党政机关、商圈、学校、医院周边等重点区域，“一早一晚”、恶劣天气、节假日等重点时间节点的警情发生情况；系统支持12个维度统计分析能力，分别为各大队事故统计、事故趋势统计、事故时间段统计、事故原因统计、事故形态统计、交通方式统计、事故有责方交通方式统计、事故高发地点统计、道路类型统计、事故天气统计、车辆使用性质统计、外牌车统计。支持按照大队统计事故数量、财损金额以及事故数量的同比、环比趋势，可区分死亡数、受伤数，可通过拖动进度条设定展示的大队数量。支持按照月度统计每月事故数量，分析事故数量的时间变化趋势，可区分受伤数、死亡数。支持按照周一至周日、一天24小时的维度统计每小时内的事故数量，形成事故时间热力图，可快速了解事故的高发时间段。</w:t>
      </w:r>
    </w:p>
    <w:p w14:paraId="37CD9D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结果超过预设阈值时，系统自动触发重大风险预警，提示对应负责部门及时开展隐患治理和源头治理。系统支持关联搜索事故功能，将地点、车辆、人员、事故详情进行关联，通过事故搜索引擎，实现任意关键词搜索，并支持按照时间、辖区、事故类型、事故程序进行筛选。支持检索得到的事故记录可关联查看对应的事故档案，展示更详细的事故信息。</w:t>
      </w:r>
    </w:p>
    <w:p w14:paraId="26721D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（3）非交通事故警情分析</w:t>
      </w:r>
    </w:p>
    <w:p w14:paraId="00E6CA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支持对接入警情数据进行细化分类，分析研判不同类别非交通事故警情成因，自动生成分析结果报告，为相关单位开展精准治理提供数据支撑。</w:t>
      </w:r>
    </w:p>
    <w:p w14:paraId="697C36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（4）警情展板</w:t>
      </w:r>
    </w:p>
    <w:p w14:paraId="2D7C08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支持展示临近风险提示信息，展示最新5条风险提示信息，支持以不同颜色区分展示不同等级风险提示。</w:t>
      </w:r>
    </w:p>
    <w:p w14:paraId="671199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支持展示交通警情、事故警情、其他警情数量，全杭州交通警情走势情况（支持按日、周、月、年时间维度统计、展示），各区县交警大队警情走势情况（支持按日、周、月、年时间维度统计、展示）。</w:t>
      </w:r>
    </w:p>
    <w:p w14:paraId="776614B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周、月、年时间维度统计展示趋势研判结果，包含交通事故类的网约出租群体趋势情况、外卖骑手群体趋势情况、运输企业群体趋势情况、私家车群体趋势情况、热点区域趋势情况、多次事故人员趋势情况，以及交通警情类的重复报警趋势情况。</w:t>
      </w:r>
    </w:p>
    <w:p w14:paraId="01D62B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（5）风险提示查询</w:t>
      </w:r>
    </w:p>
    <w:p w14:paraId="30E69E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所有风险提示信息；风险提示信息包含提示日期、提示时刻、警情内容及提示、风险类型、处置单位；支持筛选风险类型与处置单位；支持导出查询出的结果列表。</w:t>
      </w:r>
    </w:p>
    <w:p w14:paraId="6D0CB87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（6）趋势研判</w:t>
      </w:r>
    </w:p>
    <w:p w14:paraId="0113D1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趋势研判情况；支持快捷选择周、月、年统计维度，查询对应周期内的趋势研判情况；包含私家车事故趋势情况、电动车事故趋势情况、大货车事故趋势情况、网约车事故趋势情况、外卖骑手事故趋势情况、热点区域事故趋势情况。</w:t>
      </w:r>
    </w:p>
    <w:p w14:paraId="18A570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（7）警情地图</w:t>
      </w:r>
    </w:p>
    <w:p w14:paraId="7110E8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杭州辖区GIS地图；支持选择起止日期、警情时段、警情类型、风险类型、趋势类型、处置单位、报警电话、处置结果8类检索条件，检索警情并在地图撒点展示；支持点击地图撒点后弹窗展示警情信息；支持自定义增加警情时段、报警电话；支持导出查询结果。支持事故热力图，直观的将事故数空间分布通过不同颜色呈现，并将事故数最多的10个地点以标签形式标记出来，与事故地点列表中的地点排名对应。</w:t>
      </w:r>
    </w:p>
    <w:p w14:paraId="594AF48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地图手动添加检索区域，在地图手动框选区域并以撒点形式展示对应区域内的警情分布情况，支持点击撒点后弹窗展示警情信息。支持事故热力图支持按照事故程序、事故类型、所属辖区、交通方式、事故原因、道路类型、地点类型、标签条件、事故详情、天气、碰撞类型、车辆类型进行筛选查询。支持事故标签条件包括事故、人、路、人、时段、环境等六大类。通过事故智能标签功能可以实现自动打标，包括大货车右转、超员超载、渣土车等40种标签。</w:t>
      </w:r>
    </w:p>
    <w:p w14:paraId="4A6520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手动输入道路、区域名称检索对应区域警情情况，支持以撒点形式展示，支持点击撒点后弹窗展示警情信息。支持事故统计，对所选择时空范围的所有事故数据的全局统计分析，可以辅助掌握宏观事故分布规律，包括事故数统计、事故地点Top5、事故原因统计、事故形态统计、事故交通方式统计、事故列表等六大类。事故数统计支持按事故损害、事故类型、数据来源等维度分别统计。事故地点Top5支持按事故数排名和按死亡数排名，点击某个事故地点，地图可跳转定位至该处。</w:t>
      </w:r>
    </w:p>
    <w:p w14:paraId="017D1B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（8）警情统计</w:t>
      </w:r>
    </w:p>
    <w:p w14:paraId="3EC291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从三合一、接处警、六合一等系统接入的警情数据关键字段与警情方案关联规则，系统自动分析、将各警情关联至警情方案。警情方案类型包含重复报警、报警五次以上、电动车事故、工程车事故、60岁以上老人事故、本地货运企业车辆事故、亡人事故等。</w:t>
      </w:r>
    </w:p>
    <w:p w14:paraId="0D6700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支持按起止日期、辖区、警情方案类型统计警情信息，支持导出。</w:t>
      </w:r>
    </w:p>
    <w:p w14:paraId="15D174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（9）警情报告</w:t>
      </w:r>
    </w:p>
    <w:p w14:paraId="7F648B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支持配置报告模板，自定义起止时间一键生成对应时间范围的警情报告。支持在线预览、下载报告。</w:t>
      </w:r>
    </w:p>
    <w:p w14:paraId="32B569E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3、安全宣教提升及分析模块</w:t>
      </w:r>
    </w:p>
    <w:p w14:paraId="26B0BB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（1）普通单位纳管和预警</w:t>
      </w:r>
    </w:p>
    <w:p w14:paraId="51C027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杭州市社保缴纳企业单位的纳管，建立对应的主体类型，并可以对企业单位的基本信息、属地管理信息进行查看、编辑，同时自动生成单位账号和单位联络员，后续可根据警察叔叔认证的身份证号和联络员的身份证号自动匹配，实现联络员对单位信息管理；</w:t>
      </w:r>
    </w:p>
    <w:p w14:paraId="5C0AE6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支持普通单位与专业单位的相互转换和各个组织之间的单位迁移、支持全局单位信息的查询、安装组织维度进行企业的各项统计分析、支持企业单位安装属性分类统计等，同时提供普通单位的档案信息查询。</w:t>
      </w:r>
    </w:p>
    <w:p w14:paraId="6335E4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档案主要包括4大方面：</w:t>
      </w:r>
    </w:p>
    <w:p w14:paraId="64E229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的整体详情，包括企业的基本详情、企业单位纳管的职员、驾驶员和车辆的近三个月交通事故记录、近三个月交通违法记录、近三个月货导使用记录、驾驶员状态异常信息、车辆状态异常信息、单位检查记录信息以及企业单位的所有历史变更记录；</w:t>
      </w:r>
    </w:p>
    <w:p w14:paraId="1D3A29B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驾驶员总览，包括查看驾驶员基础信息、驾驶员与车辆绑定关系、驾驶员的交安码信息以及各种维度的驾驶员查询/过滤/排序，支持查看驾驶员个人信息的历史操作记录，支持驾驶员入职选、常态宣、重点宣记录查询。</w:t>
      </w:r>
    </w:p>
    <w:p w14:paraId="1D88ED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3）支持车辆总览，包括查看车辆的基础信息、人车绑定关系信息、动态分析的车辆属性信息以及各种维度的驾驶员查询/过滤/排序，支持查看车辆历史变更记录，以及车辆的事故、违法记录和货导使用记录；</w:t>
      </w:r>
    </w:p>
    <w:p w14:paraId="2EE2F9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宣教总览，包含货车司机、客车司机、私家车、二轮摩托车、三轮电动(摩托)车、电动自行车、老年人、其他八个维度的宣教总体展示，点击即可详细查看各个维度精确到个人的已宣未宣详情信息，支持修改判断规则，按照六合一数据中的车辆情况进行判断是否是重点货车企业和客运企业。如果符合算法，给企业打上对应的标签：3辆以上营运黄牌货车、10辆以上工商黄牌货车、20辆以上工商蓝牌货车、危化品车等。支持某一些特殊企业需要调整为专业单位时，系统原有企业判断逻辑不变，需要通过手机端先对该企业进行主体转换，然后在PC端进行处理，锁定企业类型自动调整操作（包括企业一二级类型）。PC端在主体管理界面的企业信息中增加锁定升降级的操作按钮。</w:t>
      </w:r>
    </w:p>
    <w:p w14:paraId="0035D9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六合一车辆信息碰撞分析，计算出需要被纳管的单位，并进行预警，由管辖民警进行核录，实现普通单位应录未录自动研判。同时通过货导、事故、违法并结合六合一车辆信息碰撞分析，计算对单位中的应录未录的车辆、职员、驾驶员进行分析并预警，由联络员或者管理员进行核录。通过以上方式，溯清管理源头。</w:t>
      </w:r>
    </w:p>
    <w:p w14:paraId="2112244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每个普通单位建立唯一的管理员，且管理员能对单位的联络员进行整体管理，包括联络员的添加、修改和删除，其中交警用户可对普通单位的管理员账号进行密码变更、重置等操作。</w:t>
      </w:r>
    </w:p>
    <w:p w14:paraId="141FF5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单位联络员与管理员都具备对驾驶员添加、车辆添加、其他群众添加三大核录功能。驾驶员添加实现驾驶员的手动核录和预警核录，包括驾驶员的基本信息和关联车辆信息的增加、删除、变更等操作；车辆添加实现车辆信息的手动核录和预警核录，包括对车辆基本信息的增加、删除、变更等操作；其他群众添加实现其他群众的手动核录，包括其他群众的基本信息和交通出行方式（包含私家车、二轮摩托车、三轮电动(摩托)车、电动自行车、步行或者公共交通）的增加、删除、变更等操作。交通出行方式。</w:t>
      </w:r>
    </w:p>
    <w:p w14:paraId="0081C2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支持按一定周期向宣教率低的普通单位联络员发送提醒短信，支持更新单位联络员联系方式。</w:t>
      </w:r>
    </w:p>
    <w:p w14:paraId="2C92F4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（2）专业单位纳管</w:t>
      </w:r>
    </w:p>
    <w:p w14:paraId="36C170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1）快递企业管理</w:t>
      </w:r>
    </w:p>
    <w:p w14:paraId="448D080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支持添加快递企业，建立对应的主体类型，并可以对快递企业的基本信息进行查看、编辑。</w:t>
      </w:r>
    </w:p>
    <w:p w14:paraId="5F929E1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快递企业，由上至下分为一级类型和二级类型；一级类型为“快递企业”，二级类型由上至下分为4个小等级，第一级“品牌”、第二级“企业”、第三级“片区（网格）”、第四级“分支、末端”。支持直接创建二级类型快递企业，通过“上级组织选择”确定上下层级关系、通过“管辖部门”确定对应的属地管理部门。“上级组织选择”时，已选定“分支、末端”的快递企业支持关联选择上级的“企业”“片区（网格）”，不能选择“品牌”；已选定“片区”的快递企业支持关联选择上级的“企业”“品牌”；已选定“企业”的快递企业支持关联选择上级的的“品牌”和下级的“片区（网格）”。管理员可将品牌设为总公司，可按需要将下属公司归集到总公司中，或从总公司中剔除，总公司中的车辆，可以调拨到下属公司中。</w:t>
      </w:r>
    </w:p>
    <w:p w14:paraId="34F27F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选择快递企业分层，展示对应层级纳管驾驶员、车辆以及三轮快递数量。支持展示快递企业各类型宣教完成情况，支持从分类统计条跳转进入对应的单位详细列表以及该单位的已宣未宣人数，支持按未宣人数进行排序。支持选择某一个单位可以进入该单位的宣教具体已宣未宣人员名单。支持纳管原快递场站信息。</w:t>
      </w:r>
    </w:p>
    <w:p w14:paraId="4E4B7A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支持三轮快递员账号查看三宣状态。</w:t>
      </w:r>
    </w:p>
    <w:p w14:paraId="756805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2）外卖企业分级管理</w:t>
      </w:r>
    </w:p>
    <w:p w14:paraId="2D25615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支持添加外卖企业，建立对应的主体类型，并可以对外卖企业的基本信息进行查看、编辑。支持将外卖骑手分为众包外卖和专送外卖骑手两类。</w:t>
      </w:r>
    </w:p>
    <w:p w14:paraId="38AF05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外卖企业，由上至下分为一级类型和二级类型；一级类型为“外卖”，二级类型由上至下分为3个小等级，第一级“外卖平台”、第二级“外卖加盟商”、第三级“外卖站点”。支持直接创建二级类型外卖企业，通过“上级组织选择”确定上下层级关系、通过“管辖部门”确定对应的属地管理部门。当且仅当存在上级单位时，可直接限行创建下级单位并关联上级。当外卖企业某一层级已关联下一级企业时，不可删除、变更该层级外卖企业，仅在下级外卖企业均已删除后可删除、变更该层级外卖企业。</w:t>
      </w:r>
    </w:p>
    <w:p w14:paraId="2B9421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专送骑手、众包骑手、其他群众的数量与宣教完成情况；支持从分类统计条跳转进入对应的企业详细列表以及该企业的已宣未宣人数，按未宣人数进行排序；支持查看某一企业的宣教已宣、未宣人员名单；支持纳管原“小象超市”信息，将原“其他群众”调整为骑手。</w:t>
      </w:r>
    </w:p>
    <w:p w14:paraId="7690949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支持限定外卖骑手学习教材类型，限定教材外的学习记录不纳入统计范畴。</w:t>
      </w:r>
    </w:p>
    <w:p w14:paraId="2D7557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支持人工导入外卖平台和外卖站点信息，同步骑手的数据。</w:t>
      </w:r>
    </w:p>
    <w:p w14:paraId="3DA1BDA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支持专送外卖骑手账号查看三宣状态。</w:t>
      </w:r>
    </w:p>
    <w:p w14:paraId="42B81B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3）网约车管理</w:t>
      </w:r>
    </w:p>
    <w:p w14:paraId="03AFF4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支持增加网约车类型，将网约车司机学习出租网约车视频纳入常态</w:t>
      </w:r>
      <w:r>
        <w:rPr>
          <w:rFonts w:hint="eastAsia" w:ascii="宋体" w:hAnsi="宋体" w:cs="宋体"/>
          <w:color w:val="auto"/>
          <w:sz w:val="24"/>
          <w:highlight w:val="none"/>
          <w:lang w:val="en-US" w:eastAsia="zh-CN"/>
        </w:rPr>
        <w:t>化</w:t>
      </w:r>
      <w:r>
        <w:rPr>
          <w:rFonts w:hint="eastAsia" w:ascii="宋体" w:hAnsi="宋体" w:eastAsia="宋体" w:cs="宋体"/>
          <w:color w:val="auto"/>
          <w:sz w:val="24"/>
          <w:highlight w:val="none"/>
        </w:rPr>
        <w:t>管理。支持修改网约车驾驶员信息，支持网约车驾驶员身份与是否绑定车辆关联关系解耦。支持人工导入网约车平台主体信息，同步车辆和驾驶员的数据并关联网约车企业。</w:t>
      </w:r>
    </w:p>
    <w:p w14:paraId="5C6954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4）职员管理</w:t>
      </w:r>
    </w:p>
    <w:p w14:paraId="2597AD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支持批量导入单位职工，职工基础信息包含单位共治码、单位名称、姓名、身份证、交通方式、电话号码、详细住址。支持调整已纳管职员的纳管单位。</w:t>
      </w:r>
    </w:p>
    <w:p w14:paraId="3DF7E4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支持查看其他群众数量和宣教进度，脱敏展示专业单位群众的档案信息。</w:t>
      </w:r>
    </w:p>
    <w:p w14:paraId="3D3F40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业单位人员选择职业交通方式，包含职业驾驶员、三轮快递员、外卖骑手。支持专业单位人员选择非职业交通方式，包含货车司机、出租网约车司机、客车司机、三轮快递员、外卖骑手、私家车、二轮摩托车、三轮电动(摩托)车、电动自行车、其他。每一类统计均支持点击查看相关企业的已宣、未宣人数以及进入企业查看具体的已宣、未宣人员清单。</w:t>
      </w:r>
    </w:p>
    <w:p w14:paraId="430583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支持宣教周期管理，不同角色宣教周期不同。 </w:t>
      </w:r>
    </w:p>
    <w:p w14:paraId="432DFB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（3）宣教任务分析</w:t>
      </w:r>
    </w:p>
    <w:p w14:paraId="583DBC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支持通过单位的主体类型，自动分析其他群众、驾驶员的类型和宣教周期。</w:t>
      </w:r>
    </w:p>
    <w:p w14:paraId="1A567D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支持通过其他群众的交通出行方式自动分析需要观看的宣教视频，并自动推送对应的视频学习任务，实时展示学习任务的完成情况。</w:t>
      </w:r>
    </w:p>
    <w:p w14:paraId="244B5A85">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支持通过驾驶员的属性自动分析需要观看的宣教视频，并自动对送对应的宣教视频，展示驾驶员三宣的完成</w:t>
      </w:r>
      <w:r>
        <w:rPr>
          <w:rFonts w:hint="eastAsia" w:ascii="宋体" w:hAnsi="宋体" w:cs="宋体"/>
          <w:color w:val="auto"/>
          <w:sz w:val="24"/>
          <w:highlight w:val="none"/>
          <w:lang w:eastAsia="zh-CN"/>
        </w:rPr>
        <w:t>。</w:t>
      </w:r>
    </w:p>
    <w:p w14:paraId="2DBBAD9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支持通过其他群众的年龄自动分析出老年人类别，并自动推送对应的宣教学习任务。</w:t>
      </w:r>
    </w:p>
    <w:p w14:paraId="78918C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一个其他群众有多种交通出行方式时，后台可以基于不同的出行方式分析出对应的宣教任务，判断是否已进行宣教，实现其他群众精准观看匹配视频，提高宣教质量。当群众同时具有驾驶员身份时，如果以驾驶员的身份完成了相关宣教任务且宣教视频类型满足条件的情况下，群众的宣教任务同步完成，无需重复观看。</w:t>
      </w:r>
    </w:p>
    <w:p w14:paraId="7BAB03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宣教人员交通出行方式或者人员类型发生变化时，后台会自动调整对应的宣教视频和任务、当周期中历史观看过对应宣教视频在整个宣教人员类型或出行方式变化时实现了周期内有效，宣教人员无需重复观看宣教视频。支持宣教人员自行选择宣教素材，宣教素材与宣教任务相符合时，同样记为宣教完成。管理员可按需要在不同时段将宣教素材置为推荐，推荐的素材会直接显示在宣教人的宣教任务中，实现每段时间宣教内容侧重点的灵活调整</w:t>
      </w:r>
    </w:p>
    <w:p w14:paraId="688BB1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单位主体类型发生变化时，后台可以动态分析调整纳管人员的宣教周期。支持人员为驾驶员时，驾驶员纳管日期则从主体类型变更时间算，该驾驶员若需要从企业提出，则需要主体类型变更所在周期完成宣教或剔除日完成宣教。</w:t>
      </w:r>
    </w:p>
    <w:p w14:paraId="3F5B95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（4）宣教质效管理</w:t>
      </w:r>
    </w:p>
    <w:p w14:paraId="73F4FC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手机端支持交管人员按照支队、大队和中队维度查看纳管驾驶员、车辆、其他群众三个维度的数量统计和详情信息。</w:t>
      </w:r>
    </w:p>
    <w:p w14:paraId="5905F6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手机端支持交管人员按照交通出行方式查看统计宣教情况，整体查看各个交通出行方式的统计效果。</w:t>
      </w:r>
    </w:p>
    <w:p w14:paraId="54B808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手机端支持交管人员对老年人查看统计宣教情况。</w:t>
      </w:r>
    </w:p>
    <w:p w14:paraId="1B4A36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手机端支持交管人员按照货车、客车两个机动车驾驶员维度查看统计宣教情况。 </w:t>
      </w:r>
    </w:p>
    <w:p w14:paraId="2527D8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支持交管人员通过某一种交通出行方式查看管辖单位的宣教排名情况。</w:t>
      </w:r>
    </w:p>
    <w:p w14:paraId="3AC52F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手机端支持联络员和管理员按照查看纳管驾驶员、车辆、其他群众三个维度的数量统计和详情信息。</w:t>
      </w:r>
    </w:p>
    <w:p w14:paraId="056CFFA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交通出行方式查看统计宣教情况，整体查看各个交通出行方式的统计效果。支持联络员查看当前管理企业，支持交治民警查看所属辖区的统计情况，上级可以变更为下级辖区，以查看下属区域的情况。</w:t>
      </w:r>
    </w:p>
    <w:p w14:paraId="1DB5E3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手机端支持联络员和管理员对老年人查看统计宣教情况。支持联络员查看当前管理企业，支持交治民警查看所属辖区的统计情况，上级可以变更为下级辖区，以查看下属区域的情况</w:t>
      </w:r>
    </w:p>
    <w:p w14:paraId="7BCCCE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手机端支持联络员和管理员按照货车、客车两个机动车驾驶员维度查看统计宣教情况。 </w:t>
      </w:r>
    </w:p>
    <w:p w14:paraId="616D38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手机端支持联络员和管理员通过某一种交通出行方式查看具体的已宣未宣人员列表。支持提供人员姓名检索功能。</w:t>
      </w:r>
    </w:p>
    <w:p w14:paraId="7E2CDC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（5）安全宣教数据看板</w:t>
      </w:r>
    </w:p>
    <w:p w14:paraId="0EE39C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支持将全市底数按照专业单位、普通单位、交警聚合三个维度分类；统计分析并展示三个维度底数数量。支持每一类统计下钻，包含重货、客车、网约车、外卖、非营运客车企业等企业数据统计。</w:t>
      </w:r>
    </w:p>
    <w:p w14:paraId="7FC9A1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并展示专业单位详细信息；包含单位、车辆、驾驶员、其他群众数量，今日已宣、今日观看数量，货车司机、客车司机、网约车司机、三轮快递员、外卖骑手、货运司机纳管数据，其他群众出行方式数据。</w:t>
      </w:r>
    </w:p>
    <w:p w14:paraId="10B5F19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4、案件管理模块</w:t>
      </w:r>
    </w:p>
    <w:p w14:paraId="3A3A8E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（1）案件处理</w:t>
      </w:r>
    </w:p>
    <w:p w14:paraId="6169560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1）查询同步</w:t>
      </w:r>
    </w:p>
    <w:p w14:paraId="215178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支持案件查询，同步基本数据。</w:t>
      </w:r>
    </w:p>
    <w:p w14:paraId="777ECC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2）基本信息管理</w:t>
      </w:r>
    </w:p>
    <w:p w14:paraId="15E2787F">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案件基本信息同步需要对接六合一平台</w:t>
      </w:r>
      <w:r>
        <w:rPr>
          <w:rFonts w:hint="eastAsia" w:ascii="宋体" w:hAnsi="宋体" w:cs="宋体"/>
          <w:color w:val="auto"/>
          <w:sz w:val="24"/>
          <w:highlight w:val="none"/>
          <w:lang w:eastAsia="zh-CN"/>
        </w:rPr>
        <w:t>。</w:t>
      </w:r>
    </w:p>
    <w:p w14:paraId="46149190">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支持录入违法基本信息。</w:t>
      </w:r>
    </w:p>
    <w:p w14:paraId="12133910">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支持录入人员车辆信息。</w:t>
      </w:r>
    </w:p>
    <w:p w14:paraId="50992212">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支持录入违法行为信息。</w:t>
      </w:r>
    </w:p>
    <w:p w14:paraId="0672EC8D">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支持录入扣留或缴获物品信息。</w:t>
      </w:r>
    </w:p>
    <w:p w14:paraId="6ECF3B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3）立案决定书管理</w:t>
      </w:r>
    </w:p>
    <w:p w14:paraId="6921F9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支持“立案决定书”、“现场强制审批表”模板生成，内容填充。支持打印下载，签字盖章后回传。</w:t>
      </w:r>
    </w:p>
    <w:p w14:paraId="689832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4）调查取证</w:t>
      </w:r>
    </w:p>
    <w:p w14:paraId="5608C2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支持核查涉案人信息，核查种类包括驾驶证信息、车辆信息、全国常住人口信息、交通违法涉酒前科信息查询、全国违法犯罪人员信息库等。</w:t>
      </w:r>
    </w:p>
    <w:p w14:paraId="55A6EC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支持根据类型上传各种材料图片。</w:t>
      </w:r>
    </w:p>
    <w:p w14:paraId="4488B4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上传图片时，支持将文件分片上传，断点续传。并支持批量上传</w:t>
      </w:r>
    </w:p>
    <w:p w14:paraId="15CBB3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支持“自述材料”模板生成，内容填充。支持打印下载，签字盖章后回传。</w:t>
      </w:r>
    </w:p>
    <w:p w14:paraId="170DE6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支持“自述材料”模板上传下载、支持在线预览、打印及下载为常用格式（如PDF、Excel等）。支持不同的种类案件自定义不同的“自述材料”模板</w:t>
      </w:r>
    </w:p>
    <w:p w14:paraId="1409E0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支持添加询问笔录，根据模板文件修改现场笔录，支持打印下载，签字盖章后回传。支持添加音频视频文件。</w:t>
      </w:r>
    </w:p>
    <w:p w14:paraId="7C6BE0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支持音视频文件在线预览，并支持暂停、播放、快进、快退等操作</w:t>
      </w:r>
    </w:p>
    <w:p w14:paraId="1A5B97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5）处罚告知管理</w:t>
      </w:r>
    </w:p>
    <w:p w14:paraId="2B59A6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支持“处罚告知单”模板生成，内容填充；支持打印下载，签字盖章后回传。</w:t>
      </w:r>
    </w:p>
    <w:p w14:paraId="153054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6）处罚审批管理</w:t>
      </w:r>
    </w:p>
    <w:p w14:paraId="446DD1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支持“处罚审批单”模板生成、内容填充、逐级审批；支持办案民警提交审批，由大队法制科、大队领导、支队法制处、支队领导逐级审批，可选择下级审批人。</w:t>
      </w:r>
    </w:p>
    <w:p w14:paraId="62B8F5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审批流整合工作流中间件，实现流程图绘制、发布等，并支持流程自定义，不同的业务绑定不同的流程。支持会签、或签、依次审批、抄送、驳回、转办、委派、加签、减签、撤销、终止等操作。</w:t>
      </w:r>
    </w:p>
    <w:p w14:paraId="29C973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7）处罚决定管理</w:t>
      </w:r>
    </w:p>
    <w:p w14:paraId="2D7595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支持“处罚决定单”模板生成、“收缴清单”模板生成、内容填充、打印下载、签字盖章后回传。</w:t>
      </w:r>
    </w:p>
    <w:p w14:paraId="5468188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8）决定后文书管理</w:t>
      </w:r>
    </w:p>
    <w:p w14:paraId="5CD9D43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支持“公安交通管理转递通知书”模板生成、内容填充、打印下载、签字盖章后回传。</w:t>
      </w:r>
    </w:p>
    <w:p w14:paraId="4B506A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08AC30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“办理注销最高/实习期准驾车型业务通知书” 模板生成、内容填充、打印下载、签字盖章后回传。</w:t>
      </w:r>
    </w:p>
    <w:p w14:paraId="02E2E6A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44CAEC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“满分教育通知书”模板生成、内容填充、打印下载、签字盖章后回传。</w:t>
      </w:r>
    </w:p>
    <w:p w14:paraId="23D9DD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支持“办理注销最高/实习期准驾车型业务通知书”模板上传下载、支持在线预览、打印及下载为常用格式（如Excel、PDF等）</w:t>
      </w:r>
    </w:p>
    <w:p w14:paraId="0F2D5EF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“返还物品凭证”模板生成、内容填充、打印下载、签字盖章后回传。</w:t>
      </w:r>
    </w:p>
    <w:p w14:paraId="2A4D3B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支持“返还物品凭证”模板上传下载、支持在线预览、打印及下载为常用格式（如Excel、PDF等）</w:t>
      </w:r>
    </w:p>
    <w:p w14:paraId="4CCC3A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“领取车辆通知书”模板生成、内容填充、打印下载、签字盖章后回传。</w:t>
      </w:r>
    </w:p>
    <w:p w14:paraId="368152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支持“领取车辆通知书”模板上传下载、支持在线预览、打印及下载为常用格式（如Excel、PDF等）</w:t>
      </w:r>
    </w:p>
    <w:p w14:paraId="1D7623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“强制措施凭证”模板生成、内容填充、打印下载、签字盖章后回传。</w:t>
      </w:r>
    </w:p>
    <w:p w14:paraId="1813B7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支持“强制措施凭证”模板上传下载、支持在线预览、打印及下载为常用格式（如Excel、PDF等）</w:t>
      </w:r>
    </w:p>
    <w:p w14:paraId="316411F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“强制措施审批表” 模板生成、内容填充、打印下载、签字盖章后回传。</w:t>
      </w:r>
    </w:p>
    <w:p w14:paraId="420CED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支持“强制措施审批表”模板上传下载、支持在线预览、打印及下载为常用格式（如Excel、PDF等）</w:t>
      </w:r>
    </w:p>
    <w:p w14:paraId="1641DB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“道路安全违法行为处理通知书” 模板生成、内容填充、打印下载、签字盖章后回传。</w:t>
      </w:r>
    </w:p>
    <w:p w14:paraId="21AA07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支持“道路安全违法行为处理通知书”模板上传下载、支持在线预览、打印及下载为常用格式（如Excel、PDF等）</w:t>
      </w:r>
    </w:p>
    <w:p w14:paraId="37503DE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9）结案归档管理</w:t>
      </w:r>
    </w:p>
    <w:p w14:paraId="73ABE7C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支持结案归档操作，将案件进行结案并生成电子组卷。</w:t>
      </w:r>
    </w:p>
    <w:p w14:paraId="3773D2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（2）案件审批</w:t>
      </w:r>
    </w:p>
    <w:p w14:paraId="2CA4BD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1）待审批单据管理</w:t>
      </w:r>
    </w:p>
    <w:p w14:paraId="380BC4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支持案件审批、查看案件电子组卷、在线评判案件并录入信息，支持查看、下载本案件关联的语音/视频链接。</w:t>
      </w:r>
    </w:p>
    <w:p w14:paraId="4E31B4E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2）已审批单据管理</w:t>
      </w:r>
    </w:p>
    <w:p w14:paraId="08C319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支持查看案件电子组卷、撤销已审批通过的案件信息。</w:t>
      </w:r>
    </w:p>
    <w:p w14:paraId="2EC14B3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案件办理统计分析，支持饼状图分析，柱状图分析，多维度可视化分析</w:t>
      </w:r>
      <w:r>
        <w:rPr>
          <w:rFonts w:hint="eastAsia" w:ascii="宋体" w:hAnsi="宋体" w:cs="宋体"/>
          <w:color w:val="auto"/>
          <w:sz w:val="24"/>
          <w:highlight w:val="none"/>
          <w:lang w:eastAsia="zh-CN"/>
        </w:rPr>
        <w:t>。</w:t>
      </w:r>
    </w:p>
    <w:p w14:paraId="529E36B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预警模型统计分析，支持饼状图分析，柱状图分析，多维度可视化分析</w:t>
      </w:r>
      <w:r>
        <w:rPr>
          <w:rFonts w:hint="eastAsia" w:ascii="宋体" w:hAnsi="宋体" w:cs="宋体"/>
          <w:color w:val="auto"/>
          <w:sz w:val="24"/>
          <w:highlight w:val="none"/>
          <w:lang w:eastAsia="zh-CN"/>
        </w:rPr>
        <w:t>。</w:t>
      </w:r>
    </w:p>
    <w:p w14:paraId="542CECC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监督模型统计分析，支持饼状图分析，柱状图分析，多维度可视化分析</w:t>
      </w:r>
      <w:r>
        <w:rPr>
          <w:rFonts w:hint="eastAsia" w:ascii="宋体" w:hAnsi="宋体" w:cs="宋体"/>
          <w:color w:val="auto"/>
          <w:sz w:val="24"/>
          <w:highlight w:val="none"/>
          <w:lang w:eastAsia="zh-CN"/>
        </w:rPr>
        <w:t>。</w:t>
      </w:r>
    </w:p>
    <w:p w14:paraId="504826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3）逾期未处理</w:t>
      </w:r>
    </w:p>
    <w:p w14:paraId="2BE886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支持查看逾期未处理案件信息。</w:t>
      </w:r>
    </w:p>
    <w:p w14:paraId="632FCEBF">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涉案财务统计分析，支持饼状图分析，柱状图分析，多维度可视化分析</w:t>
      </w:r>
      <w:r>
        <w:rPr>
          <w:rFonts w:hint="eastAsia" w:ascii="宋体" w:hAnsi="宋体" w:cs="宋体"/>
          <w:color w:val="auto"/>
          <w:sz w:val="24"/>
          <w:highlight w:val="none"/>
          <w:lang w:eastAsia="zh-CN"/>
        </w:rPr>
        <w:t>。</w:t>
      </w:r>
    </w:p>
    <w:p w14:paraId="7E9CF6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4）评判查询</w:t>
      </w:r>
    </w:p>
    <w:p w14:paraId="3664FA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支持查看所有已评判案件信息。</w:t>
      </w:r>
    </w:p>
    <w:p w14:paraId="0B421F3F">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复议诉讼统计分析，支持饼状图分析，柱状图分析，多维度可视化分析</w:t>
      </w:r>
      <w:r>
        <w:rPr>
          <w:rFonts w:hint="eastAsia" w:ascii="宋体" w:hAnsi="宋体" w:cs="宋体"/>
          <w:color w:val="auto"/>
          <w:sz w:val="24"/>
          <w:highlight w:val="none"/>
          <w:lang w:eastAsia="zh-CN"/>
        </w:rPr>
        <w:t>。</w:t>
      </w:r>
    </w:p>
    <w:p w14:paraId="2E6D46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5）案件电子组卷管理</w:t>
      </w:r>
    </w:p>
    <w:p w14:paraId="2D1AE0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支持下载并打印电子组卷、整体页面放大缩小、生成电子组卷的目录并点击进行页面跳转；支持进行翻阅电子组卷，支持单张翻页、整章翻页。</w:t>
      </w:r>
    </w:p>
    <w:p w14:paraId="0DC94E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（3）案件办理总览</w:t>
      </w:r>
    </w:p>
    <w:p w14:paraId="6CD36F8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支持提供案件办理信息，包含案件办理数量、案件审批数量、归档案卷展示服务。</w:t>
      </w:r>
    </w:p>
    <w:p w14:paraId="2F43D26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5、涉案财务管理模块</w:t>
      </w:r>
    </w:p>
    <w:p w14:paraId="1FDE07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（1）涉案车辆管理</w:t>
      </w:r>
    </w:p>
    <w:p w14:paraId="66E15A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1）涉案车辆内网处置</w:t>
      </w:r>
    </w:p>
    <w:p w14:paraId="5969B7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支持以关键词筛选、查询、导出涉案车辆信息，支持查询到结果后补录、修改信息。</w:t>
      </w:r>
    </w:p>
    <w:p w14:paraId="1BC1B2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支持根据车辆违法行为信息及涉案车辆的来源，自动匹配四类车型数据。。</w:t>
      </w:r>
    </w:p>
    <w:p w14:paraId="237948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支持将车辆违法信息、处理点信息、扣留点信息以短信形式通知当事人。</w:t>
      </w:r>
    </w:p>
    <w:p w14:paraId="6FBCA5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支持放车管理、特殊放车管理、放车审核、打印放车单。</w:t>
      </w:r>
    </w:p>
    <w:p w14:paraId="56E6012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2）涉案车辆财产管理</w:t>
      </w:r>
    </w:p>
    <w:p w14:paraId="1DFBD5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支持通过组合条件查询出扣留车辆信息，短信告知当事人。</w:t>
      </w:r>
    </w:p>
    <w:p w14:paraId="6F01E2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支持涉案车辆评估/拍卖管理、涉案车辆拍卖查验录入、车辆转运管理、审核管理。</w:t>
      </w:r>
    </w:p>
    <w:p w14:paraId="1A1DBE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支持涉案车辆书面告知管理、上传书面告知邮寄凭证、上传登报公告证明、公告期满提醒、移交财政管理、报废车处置。</w:t>
      </w:r>
    </w:p>
    <w:p w14:paraId="346F267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3）涉案车辆超期预警</w:t>
      </w:r>
    </w:p>
    <w:p w14:paraId="6A1B64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支持法定时自动预警、入库超期、扣留超期、回收超期管理。</w:t>
      </w:r>
    </w:p>
    <w:p w14:paraId="10D2E2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支持法定时限自动预警。支持快速准确掌握车扣时长，防止出现因告知不及时、不到位，导致扣车超过法定时效，引发群众不满意，根据扣车类型及法定期限不同，设置黄、橙、红三色自动预警。</w:t>
      </w:r>
    </w:p>
    <w:p w14:paraId="7C449D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支持入库超期。车辆被扣留后，如车辆未及时入库到对应停车场的，进行超期预警，系统中超期的数据用鲜艳的颜色标明，同时自动发短信提醒民警；入库时限可以以大队为单位进行自定义。</w:t>
      </w:r>
    </w:p>
    <w:p w14:paraId="53CF8C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支持扣留超期。车辆扣留后，当事人逾期未来处理的，进行超期预警，系统中超期的数据用鲜艳的颜色标明，同时自动发短信通知当事人或则车主；逾期时限可以以大队为单位进行自定义。</w:t>
      </w:r>
    </w:p>
    <w:p w14:paraId="0C879E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支持回收超期。车辆回收审核通过后，逾期未进行回收的，进行超期预警，系统中超期的数据用鲜艳的颜色标明，同时自动发短信提醒民警；逾期时限可以以大队为单位进行自定义。</w:t>
      </w:r>
    </w:p>
    <w:p w14:paraId="14A8E4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4）涉案车辆统计分析</w:t>
      </w:r>
    </w:p>
    <w:p w14:paraId="5160378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支持执法清障统计、涉案车辆处置摸底统计、停车场车辆数据统计、停车场车辆预警分析、特殊放车查询与统计。</w:t>
      </w:r>
    </w:p>
    <w:p w14:paraId="5DBB8A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（2）停车场管理</w:t>
      </w:r>
    </w:p>
    <w:p w14:paraId="4828F6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1）三方系统对接</w:t>
      </w:r>
    </w:p>
    <w:p w14:paraId="7A325E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支持对接三方系统，同步停车场信息。</w:t>
      </w:r>
    </w:p>
    <w:p w14:paraId="07BF37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2）出入库管理</w:t>
      </w:r>
    </w:p>
    <w:p w14:paraId="0A3EEA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支持出入库状态管理、车辆入库管理、车辆出库管理、车辆转运管理、车辆信息修改、数据导出。</w:t>
      </w:r>
    </w:p>
    <w:p w14:paraId="6472C0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3）停车场用户管理</w:t>
      </w:r>
    </w:p>
    <w:p w14:paraId="1EB0783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支持新增停车场用户、修改/重置用户密码。</w:t>
      </w:r>
    </w:p>
    <w:p w14:paraId="318EFD47">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支持使用内置默认修改、重置。密码用户密码加密规则使用国密M4算法，同时支持M1/M2/M3</w:t>
      </w:r>
      <w:r>
        <w:rPr>
          <w:rFonts w:hint="eastAsia" w:ascii="宋体" w:hAnsi="宋体" w:cs="宋体"/>
          <w:color w:val="auto"/>
          <w:sz w:val="24"/>
          <w:highlight w:val="none"/>
          <w:lang w:eastAsia="zh-CN"/>
        </w:rPr>
        <w:t>。</w:t>
      </w:r>
    </w:p>
    <w:p w14:paraId="7AB7A0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4）停车场信息管理</w:t>
      </w:r>
    </w:p>
    <w:p w14:paraId="325D4F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支持编辑维护停车场相关信息，查看维护记录。</w:t>
      </w:r>
    </w:p>
    <w:p w14:paraId="30E8B0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5）停车场费用管理</w:t>
      </w:r>
    </w:p>
    <w:p w14:paraId="04A9A5F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支持停车场费用类型管理、绑定，费用明细设置，停车费估算。</w:t>
      </w:r>
    </w:p>
    <w:p w14:paraId="645EE9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6）停车场状态管理</w:t>
      </w:r>
    </w:p>
    <w:p w14:paraId="74CDCE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支持状态设置、启用状态、关闭状态、状态切换、状态恢复操作。</w:t>
      </w:r>
    </w:p>
    <w:p w14:paraId="4E8EB0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状态需要同时同步停车场用户小程序端，扫码入场出场；</w:t>
      </w:r>
    </w:p>
    <w:p w14:paraId="0D6EC6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入库操作，扫描车辆二维码，生成一条操作记录，并支持上传入库照片。记录相关车辆、停车场、操作人信息及具体操作内容(入库)和时间等。这些信息可以用于入库操作的审计和活动记录查询。</w:t>
      </w:r>
    </w:p>
    <w:p w14:paraId="305130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出库操作，扫描车辆二维码，生成一条操作记录，并支持上传出库照片。记录相关车辆、停车场、操作人信息及具体操作内容(入库)和时间等。这些信息可以用于出库操作的审计和活动记录查询。</w:t>
      </w:r>
    </w:p>
    <w:p w14:paraId="3535AAB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通过对接现有内网停车场管理系统，全量清洗并导入内网停车场信息，实现对接的信息有清障信息、入库信息、放车单信息、出库信息、停车场的用户信息、停车场信息、停车场停放存量车辆信息等。</w:t>
      </w:r>
    </w:p>
    <w:p w14:paraId="612FCD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（3）涉案证件管理</w:t>
      </w:r>
    </w:p>
    <w:p w14:paraId="11EAB1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1）涉案证件状态管理</w:t>
      </w:r>
    </w:p>
    <w:p w14:paraId="57D428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支持对涉案证件的状态进行分类管理。</w:t>
      </w:r>
    </w:p>
    <w:p w14:paraId="489A1D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涉案证件数据需要支持六合一平台同步更新，需要对接六合一平台。</w:t>
      </w:r>
    </w:p>
    <w:p w14:paraId="19F1A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涉案财务（涉案车辆、涉案证件）超期提醒</w:t>
      </w:r>
    </w:p>
    <w:p w14:paraId="2B1138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2）涉案证件接收管理</w:t>
      </w:r>
    </w:p>
    <w:p w14:paraId="75FD8D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支持证件录入、证件接收、证件拒收。</w:t>
      </w:r>
    </w:p>
    <w:p w14:paraId="5C0BCB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3）涉案证件出入库管理</w:t>
      </w:r>
    </w:p>
    <w:p w14:paraId="099819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支持证件查询、证件入库、证件返还、证件暂扣、证件吊销、证件移交、证件调用操作。</w:t>
      </w:r>
    </w:p>
    <w:p w14:paraId="7BA4CC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4）涉案证件超期预警</w:t>
      </w:r>
    </w:p>
    <w:p w14:paraId="7C2785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入库超期、超期扣留、暂扣超期预警。</w:t>
      </w:r>
    </w:p>
    <w:p w14:paraId="314DDB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（4）涉案血液/尿样管理</w:t>
      </w:r>
    </w:p>
    <w:p w14:paraId="4BF463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1）血液/尿样状态管理</w:t>
      </w:r>
    </w:p>
    <w:p w14:paraId="2BA77F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支持涉案相关血液/尿样状态分类管理，包含待送检、已送检、已检测。</w:t>
      </w:r>
    </w:p>
    <w:p w14:paraId="0AE2C5B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2）血液/尿样接收管理</w:t>
      </w:r>
    </w:p>
    <w:p w14:paraId="52C299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支持在涉案人员的血液/尿样移交到单位后并确认接收后，列表中的相应的数据消失，进入“待送检”状态。</w:t>
      </w:r>
    </w:p>
    <w:p w14:paraId="3EA6A8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3）血液/尿样在库管理</w:t>
      </w:r>
    </w:p>
    <w:p w14:paraId="7D73C9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支持委托检验、读取/填写结果管理。</w:t>
      </w:r>
    </w:p>
    <w:p w14:paraId="2F964E2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4）血液/尿样超期管理</w:t>
      </w:r>
    </w:p>
    <w:p w14:paraId="36541C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支持送检超期、结果超期预警。</w:t>
      </w:r>
    </w:p>
    <w:p w14:paraId="742C368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6、违法业务监管模块</w:t>
      </w:r>
    </w:p>
    <w:p w14:paraId="0EAE1A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（1）现场执法监管</w:t>
      </w:r>
    </w:p>
    <w:p w14:paraId="76A42F8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1）执法异常风险监管</w:t>
      </w:r>
    </w:p>
    <w:p w14:paraId="4D8EDB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现场执法数据，支持视频调取查看，结合交管执法过程中的各项数据，通过对现场执法存在的异常数据（部局通报）分析，当发现分析的结果存在异常时，系统及时予以提示，并将异常人员纳入黑名单进行管理。</w:t>
      </w:r>
    </w:p>
    <w:p w14:paraId="215028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（2）非现场执法监管</w:t>
      </w:r>
    </w:p>
    <w:p w14:paraId="516568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1）窗口违法处理监管</w:t>
      </w:r>
    </w:p>
    <w:p w14:paraId="35FBFC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合交管执法过程中的各项数据，支持展示以及配置异常的数据模型，通过模型条件分析非现场处罚的异常数据，当发现分析的结果存在异常时，对窗口民警违反部局相关规定处理非现场违法的及时予以预警。</w:t>
      </w:r>
    </w:p>
    <w:p w14:paraId="03246E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2）涉嫌“黄牛”人员监管</w:t>
      </w:r>
    </w:p>
    <w:p w14:paraId="75E7FD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支持分析非现场处罚数据，发现疑似“黄牛”情形的进行预警提示。</w:t>
      </w:r>
    </w:p>
    <w:p w14:paraId="0D5A77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3）违停开单监管</w:t>
      </w:r>
    </w:p>
    <w:p w14:paraId="61DCFE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未拍照监管。针对违停车辆进行现场违停开单时，对出现违停开单成功但未拍照上传的情况进行监管分析，同时针对该类数据的发生时间、发生地点、开单人等信息进行统计分析，并对高频数据进行预警展示。</w:t>
      </w:r>
    </w:p>
    <w:p w14:paraId="0E5335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拍照数量监管。在针对违停车辆进行现场违停开单时，对出现违停开单成功但拍照上传的数量不符合规范要求情况进行监管分析，同时针对该类数据的发生时间、发生地点、开单人等信息进行统计分析，并对高频数据进行预警展示。</w:t>
      </w:r>
    </w:p>
    <w:p w14:paraId="5A112A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（3）案事件预警监管</w:t>
      </w:r>
    </w:p>
    <w:p w14:paraId="742131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1）行政案件监管</w:t>
      </w:r>
    </w:p>
    <w:p w14:paraId="3136FB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行政案件统计。支持统计行政案件总数，实现同比、环比对比统计，图形化展示各办案单位办理情况；按警告、罚款、吊销驾照、暂扣驾照、行政拘留等处罚类型做柱状图和环形图对比。</w:t>
      </w:r>
    </w:p>
    <w:p w14:paraId="37D4E7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分析。支持对比各办案单位查处行政案件情况；对比行政案件的处罚种类；对比案件查处类型；对比案件查处结案率。支持对行政复议、诉讼案件进行分析，按年份、单位、办案民警进行数据对比展示；对行政复议、诉讼案件中同一违法行为在同一地点以及同一民警反复出现进行分析；对反复出现的复议申请人、复议、诉讼违法地点进行预警并自动生成分析报告。</w:t>
      </w:r>
    </w:p>
    <w:p w14:paraId="166708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2）刑事案件监管</w:t>
      </w:r>
    </w:p>
    <w:p w14:paraId="6B6BEA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刑事案件统计。支持统计刑事案件总数，实现同比、环比对比统计，图形化展示各办案单位办理情况；统计刑事案件立案数据，实现年度对比，统计各办案单位超期立案情况，图形化展示</w:t>
      </w:r>
      <w:r>
        <w:rPr>
          <w:rFonts w:hint="eastAsia" w:ascii="宋体" w:hAnsi="宋体" w:cs="宋体"/>
          <w:color w:val="auto"/>
          <w:sz w:val="24"/>
          <w:highlight w:val="none"/>
          <w:lang w:eastAsia="zh-CN"/>
        </w:rPr>
        <w:t>。</w:t>
      </w:r>
    </w:p>
    <w:p w14:paraId="4BF552B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统计刑事案件采取强错数据，图形化展示各办案单位办理情况；统计刑事案件执行逮捕案件数据，实现按年度对比，图形化展示；统计刑事案件移送起诉案件数据，实现按年度对比，图形化展示；按受案、立案、强制措施、起诉分类统计刑事案件相关数据。</w:t>
      </w:r>
    </w:p>
    <w:p w14:paraId="5B512F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支持刑事案件分析。支持历年刑事案件受理数量和立案数量同比、环比对比分析；刑事强制措施件数、执行逮捕件数、移送起诉件数同比、环比对比分析；受案、立案分析。</w:t>
      </w:r>
    </w:p>
    <w:p w14:paraId="5E2AB3D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通肇事案件监管。支持监督以下内容：责任认定书或复核决定书作出后7日内是否立案；立案后7日内是否采取强制措施；取保候审一个月、三个月、六个月、九个月分别作办案期限提醒告知，临近十二个月作临近告知，达到十二个月作期满告知、超过十二个月通报超期；刑事拘留三日、七日、三十日前一天作临近告知，达三日、七日未申请延长的、达到三十日未提请逮捕的作期满告知，超过三日、七日、三十日无审批延长、同意提请批准逮捕决定的通报超期；立案日期距侦查终结日期每达到一个月的作期限提醒告知，超过三个月、六个月、九个月、十二个月的作期限预警告知；侦查终结后公安交通管理综合应用平台未作出吊销驾驶证或限制申领驾驶证决定的，一个月作期限提醒告知，两个月后每月作预警告知；亡人交通事故现场勘查之日起，三十日内是否作出责任认定书；交通肇事案件刑事立案之后，三十日内是否办结（移送起诉或撤案）；需要追究刑事责任的亡人交通事故，自现场勘查之日起，六十日内是否办结（移送起诉或撤案）。调取交通事故数据，责任认定书或复核决定书；抽取立案日期、采取取保候审、刑事拘留、延长刑事拘留日期、提请逮捕日期、侦查终结日期。监督案件从立案、采取强制措施、移送起诉情况以及后续吊销机动车驾驶人驾驶证决定或作出限制申领驾驶证措施落实情况，消除事故责任认定生效后久拖不立、怠于办案和取消、限制驾驶人驾驶资格不及时的执法隐患。</w:t>
      </w:r>
    </w:p>
    <w:p w14:paraId="2AE2F5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危险驾驶案件（醉驾）监管。支持监管以下内容：刑事立案后三十日内是否办结（其中路查案件是否十日内办结）；立案后7日内是否采取强制措施；取保候审一个月、三个月、六个月、九个月分别作办案期限提醒告知，临近十二个月作临近告知，达到十二个月作期满告知、超过十二个月通报超期；刑事拘留三日、七日前一天作临近告知，达三日未申请延长的作期满告知，超过三日无审批延长、超过七日未呈请取保候审或侦查终结的通报超期；立案日期距侦查终结日期每达到一个月的作期限提醒告知，超过一个月的每月作期限预警告知；在警综系统中，受理为危险驾驶案的案件是否及时立案或不予立案，按照三日、七日、三十日分别作办案期限提醒告知；警综平台作出移送意见书或不予立案决定书前，公安交通管理综合应用平台未作出吊销驾驶证或限制申领驾驶证决定的，预警告知；案件受理后十五日内作出吊销驾驶证或限制申领驾驶证决定，临近五日作期限提醒告知，超过十五日后每周作预警告知。抽取立案日期、采取取保候审、刑事拘留、延长刑事拘留日期、侦查终结日期、现场抽血试管编号、日期、当事人身份证、强制凭证编号；送检日期、检验机构作出检验结论日期。监督酒醉驾案件的血样抽取、送检时限以及案件及时办理以及后续吊销机动车驾驶人驾驶证决定或作出限制申领驾驶证措施落实情况，消除送检、不规范引发的执法风险和取消、限制驾驶人驾驶资格不及时的执法隐患。</w:t>
      </w:r>
    </w:p>
    <w:p w14:paraId="7D8380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（4）涉案财物监管</w:t>
      </w:r>
    </w:p>
    <w:p w14:paraId="2D7C17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1）涉案车辆监管</w:t>
      </w:r>
    </w:p>
    <w:p w14:paraId="15E848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支持违规扣车监管、未入库监管、扣车后未及时鉴定监管、鉴定后未及时返还、超期未通知公告/未回收监管、超期未出库监管、违法未处理车辆出库监管。</w:t>
      </w:r>
    </w:p>
    <w:p w14:paraId="502CEDF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2）涉案证件监管</w:t>
      </w:r>
    </w:p>
    <w:p w14:paraId="137AF0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支持证件未入库监管、证件暂扣未处理监管、证件未转递监管。</w:t>
      </w:r>
    </w:p>
    <w:p w14:paraId="4C77611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3）涉案血液/尿样监管</w:t>
      </w:r>
    </w:p>
    <w:p w14:paraId="14578D8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支持监管“涉案血液/尿样管理”模块功能。通过关联强制措施数据，接入机构的血液、尿样等检验结果数据，并对结果进行展示</w:t>
      </w:r>
    </w:p>
    <w:p w14:paraId="3F3151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4）收缴物品监管</w:t>
      </w:r>
    </w:p>
    <w:p w14:paraId="152E61D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获取并分析强制措施的数据，对相关物品未及时入库进行监管，对已入库且保存一定时间后未及时履约处置手续的物品进行监管。</w:t>
      </w:r>
    </w:p>
    <w:p w14:paraId="3DEFAC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5）涉案财物动态跟踪</w:t>
      </w:r>
    </w:p>
    <w:p w14:paraId="3B1A18D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行政案件、刑事案件、事故处理中扣留或扣押涉案财物进行动态跟踪。自动抓取涉及扣留强制措施违法代码和本地平台中抓取采取刑事取保措施信息，并结合“停车场管理系统”对行政、刑事案件、事故处理中扣留或扣押涉案财物（涉案机动车、非机动车、涉案驾驶证、行驶证及其他涉案财物管理）进行动态跟踪。</w:t>
      </w:r>
    </w:p>
    <w:p w14:paraId="2581910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实现对相关涉案财物的扣留或扣押、入库、移交、调用、返还、出库等整个流程中不同时间节点，以及规定时限等质态分析。</w:t>
      </w:r>
    </w:p>
    <w:p w14:paraId="1ED3AB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6）涉案财物处置预警</w:t>
      </w:r>
    </w:p>
    <w:p w14:paraId="510930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支持涉案财物处置预警。对行政案件办案完毕或刑事案件移送起诉或事故处理完毕，未对扣留或扣押涉案财物进行处置的进行预警。</w:t>
      </w:r>
    </w:p>
    <w:p w14:paraId="27A846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7）涉案财物超期预警</w:t>
      </w:r>
    </w:p>
    <w:p w14:paraId="5ABB42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支持涉案财物超期预警。涉案财物被扣留或扣押，已经达到暂扣期限的，系统中超期的数据用鲜艳的颜色标明。</w:t>
      </w:r>
    </w:p>
    <w:p w14:paraId="5568CB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并提醒民警要将涉案财物超期未返还的信息，通过短信服务，发送短信提醒当事人。</w:t>
      </w:r>
    </w:p>
    <w:p w14:paraId="50DE1E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（5）执法画像</w:t>
      </w:r>
    </w:p>
    <w:p w14:paraId="42E1815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民警画像。针对不同岗位的民警制定对应的考评模型，系统获取其执法数据，通过对执法总量、时段、区域、类型、异常执法数据、撤销处罚等情况自动分析评分，形成个人执法画像，为调整勤务、管理队伍提供参考。</w:t>
      </w:r>
    </w:p>
    <w:p w14:paraId="1597BF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单位画像。根据各大队办理行政处罚案件种类、时间和空间分布、是否被投诉、复议、是否被撤销、是否败诉等进行分析，并结合办理的刑事案件时间和空间分布等对大队评定执法规范化模型指数，形成评分排名，并依据排名环比情况，及时整改执法短板弱项。</w:t>
      </w:r>
    </w:p>
    <w:p w14:paraId="759A1B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人群画像。通过分析机动车驾驶人、非机动车驾驶人、行人等不同人群的违法行为种类和交通事故形态，以及违法行为人和事故当事人的年龄、住所地、职业、身份情况数据分布，形成对违法和事故重点人群针对性的延伸监管。</w:t>
      </w:r>
    </w:p>
    <w:p w14:paraId="688BBC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支持分析生成执法行为画像。通过对违法行为和交通事故的人群、形态、时间、地点分布情况进行分析画像，指导违法查处和事故隐患排查，路面交通组织工作。</w:t>
      </w:r>
    </w:p>
    <w:p w14:paraId="56B666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支持分析生成电子警察画像。根据电子警察分布情况，梳理抓拍违法行为的种类、数量等数据，对各处罚时段、交通违法行为占比及环比增减量情况进行画像，推动辖区大队对路面交安设施进行调整。</w:t>
      </w:r>
    </w:p>
    <w:p w14:paraId="25FD5E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（6）业务评估</w:t>
      </w:r>
    </w:p>
    <w:p w14:paraId="303855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1）执法监督数据</w:t>
      </w:r>
    </w:p>
    <w:p w14:paraId="4FF7C9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支持管理执法监督数据，生成民警个人数据、单位数据，并对数据进行审核。</w:t>
      </w:r>
    </w:p>
    <w:p w14:paraId="21F8B8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个人数据：系统根据部局、总队考核方案、考核指标设置的规则，对系统中获取的各种原始数据进行处理，生成各民警的、各考核指标考核数据。</w:t>
      </w:r>
    </w:p>
    <w:p w14:paraId="297BE5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单位数据：系统根据部局、总队考核方案、考核指标设置的规则，对系统中获取的各种原始数据进行处理，生成各单位的、各指标考核数据。</w:t>
      </w:r>
    </w:p>
    <w:p w14:paraId="114156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数据审核：对系统自动考核形成的各单位、人员的指标考核数据进行审核，审核通过则成为正式的本次指标考核结果。系统提供数据修正、查询、汇总等功能。</w:t>
      </w:r>
    </w:p>
    <w:p w14:paraId="2ED2CA1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2）个人成绩管理</w:t>
      </w:r>
    </w:p>
    <w:p w14:paraId="5D2738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警号、姓名、时间范围等信息检索，并对其个人月度、年度成绩进行数据统计、结果分析展示，点击具体数据项时，支持跳转查看其对应的数据组成，包括但不限于监管类型、发生时间、情况简述等原始数据。</w:t>
      </w:r>
    </w:p>
    <w:p w14:paraId="287FB83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个人月成绩管理：对个人的月度考核成绩进行管理，包括：个人考核成绩展示：根据个人对应的月考核方案，查询、展示当月或指定月度的各指标考核成绩；点击某项指标成绩，可以查看统计的原始指标数据。</w:t>
      </w:r>
    </w:p>
    <w:p w14:paraId="73A5DB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年成绩管理：对个人的年度考核成绩进行管理，包括：个人考核成绩展示（根据个人对应的年度考核方案，查询、展示当年或指定年度的各指标考核成绩）；点击某项指标成绩，可以查看统计的原始指标数据。</w:t>
      </w:r>
    </w:p>
    <w:p w14:paraId="3CF602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3）单位成绩管理</w:t>
      </w:r>
    </w:p>
    <w:p w14:paraId="0D5ED8E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部门、时间范围等信息检索，支持单位月度、年度成绩进行数据统计、结果分析展示，点击具体数据项时，支持跳转查看其对应的数据组成，包括但不限于人员信息、监管类型、发生时间、情况简述等原始数据。</w:t>
      </w:r>
    </w:p>
    <w:p w14:paraId="5751D9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单位月成绩管理：对单位的月度考核成绩进行管理，包括单位考核成绩展示（根据单位对应的月考核方案，查询、展示当月或指定月度的各指标考核成绩），点击某项指标成绩可以查看统计的原始指标数据。</w:t>
      </w:r>
    </w:p>
    <w:p w14:paraId="141F4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单位年成绩管理：对单位的年度考核成绩进行管理，包括单位考核成绩展示（根据单位对应的年考核方案，查询、展示当年或指定年度的各指标考核成绩），点击某项指标成绩可以查看统计的原始指标数据。</w:t>
      </w:r>
    </w:p>
    <w:p w14:paraId="1EC465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4）工作结果展示</w:t>
      </w:r>
    </w:p>
    <w:p w14:paraId="1CC934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支持对各单位、个人的指标完成情况按数据模型进行综合得分计算并分类排名，系统自动发布考评结果。</w:t>
      </w:r>
    </w:p>
    <w:p w14:paraId="471F0185">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二）服务要求</w:t>
      </w:r>
    </w:p>
    <w:p w14:paraId="723C30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1、具有较强的云计算及大数据开发、运维及服务能力，应具备网络安全技术、运维及服务能力； </w:t>
      </w:r>
    </w:p>
    <w:p w14:paraId="34013A3B">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2、为本项目投入必要安全硬件专业设备进行服务，以成熟技术进行必要的安全保障；</w:t>
      </w:r>
    </w:p>
    <w:p w14:paraId="560B06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3、具备云平台和大数据建设能力、安全保障能力和丰富的项目经验。</w:t>
      </w:r>
      <w:r>
        <w:rPr>
          <w:rFonts w:hint="eastAsia" w:ascii="宋体" w:hAnsi="宋体" w:eastAsia="宋体" w:cs="宋体"/>
          <w:color w:val="auto"/>
          <w:sz w:val="24"/>
          <w:highlight w:val="none"/>
          <w:lang w:val="en-US" w:eastAsia="zh-CN"/>
        </w:rPr>
        <w:t>本项目服务期结束后，服务器存储硬盘内所存储数据需根据采购人要求做好迁移及清理工作。</w:t>
      </w:r>
    </w:p>
    <w:p w14:paraId="47886F97">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三）安全要求</w:t>
      </w:r>
    </w:p>
    <w:p w14:paraId="1532E41D">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通过第三方检测（安全防控治理）及网络安全等级保护三级；根据商用密码应用安全管理要求，项目服务期结束前完成测评。投标人需做好相关检测和测评的配合工作，如因投标人原因未符合要求的，需负责整改到位。</w:t>
      </w:r>
    </w:p>
    <w:p w14:paraId="464970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对于本项目中的安全防控治理，需根据信创要求，完成信创测评，如因投标人原因未符合要求的，需负责整改到位。</w:t>
      </w:r>
    </w:p>
    <w:p w14:paraId="44F887D0">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四）服务响应时间</w:t>
      </w:r>
    </w:p>
    <w:p w14:paraId="7684B1A3">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投标人提供7*24小时响应服务。接到采购人通知后应于15分钟内响应，4小时内解决问题；如现场驻点人员无法解决需投标人公司提供技术支持的，技术支持人员需3小时内到达现场，48小时内解决问题。</w:t>
      </w:r>
    </w:p>
    <w:p w14:paraId="71FDA7A0">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五）人员要求</w:t>
      </w:r>
    </w:p>
    <w:p w14:paraId="1956B02B">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1、人员配置</w:t>
      </w:r>
    </w:p>
    <w:p w14:paraId="3DDCBE1C">
      <w:pPr>
        <w:shd w:val="clear"/>
        <w:tabs>
          <w:tab w:val="left" w:pos="432"/>
        </w:tabs>
        <w:spacing w:line="360" w:lineRule="auto"/>
        <w:ind w:firstLine="480" w:firstLineChars="200"/>
        <w:outlineLvl w:val="1"/>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本项目将提供11名驻场人员和1名项目负责人的项目团队。其中：</w:t>
      </w:r>
    </w:p>
    <w:p w14:paraId="0D779611">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1）项目负责人（1名）配备标准：年龄55周岁（含）以下，本科及以上学历，具有信息化软硬件运维工作服务经验，主要负责项目整体实施管理、驻点人员管理，及与采购人的沟通协调等工作。</w:t>
      </w:r>
    </w:p>
    <w:p w14:paraId="295841CE">
      <w:pPr>
        <w:shd w:val="clear"/>
        <w:tabs>
          <w:tab w:val="left" w:pos="432"/>
        </w:tabs>
        <w:spacing w:line="360" w:lineRule="auto"/>
        <w:ind w:firstLine="480" w:firstLineChars="200"/>
        <w:jc w:val="left"/>
        <w:outlineLvl w:val="1"/>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2）驻点人员（11名）配备标准：年龄55周岁（含）以下，大专及以上学历，具有信息化软硬件运维工作服务经验，主要负责项目的具体实施工作，接受采购人统一管理，配合采购人工作。</w:t>
      </w:r>
    </w:p>
    <w:p w14:paraId="3E4F7A86">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2、工作时间及地点</w:t>
      </w:r>
    </w:p>
    <w:p w14:paraId="229A2C89">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1）项目负责人服务时间：7*24小时；</w:t>
      </w:r>
    </w:p>
    <w:p w14:paraId="56EEECAC">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bCs/>
          <w:color w:val="auto"/>
          <w:sz w:val="24"/>
          <w:highlight w:val="none"/>
        </w:rPr>
        <w:t>2）驻点</w:t>
      </w:r>
      <w:r>
        <w:rPr>
          <w:rFonts w:hint="eastAsia" w:ascii="宋体" w:hAnsi="宋体" w:eastAsia="宋体" w:cs="宋体"/>
          <w:color w:val="auto"/>
          <w:sz w:val="24"/>
          <w:highlight w:val="none"/>
        </w:rPr>
        <w:t>人员服务时间：5*8小时，工作时间9：00-17：30；</w:t>
      </w:r>
    </w:p>
    <w:p w14:paraId="4B25AF06">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3）工作地点：杭州市公安局交通警察支队（杭州市文晖路336号）或指定地点。</w:t>
      </w:r>
    </w:p>
    <w:p w14:paraId="695068D9">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3、驻场人员工作内容</w:t>
      </w:r>
    </w:p>
    <w:p w14:paraId="433F6F0B">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（1）专网云平台系统运行及数据治理、公安网数据治理，驻点人员7人，主要工作：</w:t>
      </w:r>
    </w:p>
    <w:p w14:paraId="00C66F4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1）日常维护杭州日常数据服务工作，常态化技术支持，完成数据接入及透出、数据开发和技术支持服务。</w:t>
      </w:r>
    </w:p>
    <w:p w14:paraId="62F8A45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2）按要求完成每日平台巡查、数据服务链路维护和数据统计分析工作，检查系统运行情况，每周一上报并出具上周的巡检报告，确保系统的稳定运行，在服务期间驻点人员电话应保持畅通。</w:t>
      </w:r>
    </w:p>
    <w:p w14:paraId="37D9B99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3）完善数据上云申请流程，完成公安网数据资源的汇聚整合，实现数据统一汇聚。</w:t>
      </w:r>
    </w:p>
    <w:p w14:paraId="1D1EA072">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4）汇聚的数据进行标准化处理，根据公安大数据处理标准要求对数据进行重新整合。</w:t>
      </w:r>
    </w:p>
    <w:p w14:paraId="70F9A8A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5）以数据应用为导向，提升数据价值密度。</w:t>
      </w:r>
    </w:p>
    <w:p w14:paraId="7DFB4E2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6）保障上云数据链路，负责维护云上链路新建、维护等。</w:t>
      </w:r>
    </w:p>
    <w:p w14:paraId="633D4C3D">
      <w:pPr>
        <w:shd w:val="clear"/>
        <w:spacing w:line="360" w:lineRule="auto"/>
        <w:ind w:firstLine="42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（2）网络安全服务，驻场人员1人，主要工作：</w:t>
      </w:r>
    </w:p>
    <w:p w14:paraId="76571BF1">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1）配合</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开展安全运营管理工作，提供5*8小时服务，负责公安信息网、视频专网、电子政务外网等相关网络的安全运营管理工作。</w:t>
      </w:r>
    </w:p>
    <w:p w14:paraId="43FC63B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2）提供漏洞扫描的运行与维护。发现设备和系统中存在的风险点，帮助采购人分析技术措施的有效执行，了解漏洞的危害，通过及时修补完善，避免对信息系统造成严重影响。</w:t>
      </w:r>
    </w:p>
    <w:p w14:paraId="208E3DE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3）提供对数据库审计系统的运行与维护，对业务的数据库进行审计。</w:t>
      </w:r>
    </w:p>
    <w:p w14:paraId="212FFB89">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对日志审计系统的运行与维护，对各种网络、安全产品、服务器的日志以syslog协议发送到日志审计系统中，通过日志审计进行收集处理，日志存储和查询，提升对安全事件的追溯能力及手段，方便采购人进行事件跟踪和定位，并为事件的还原提供有力证据。</w:t>
      </w:r>
    </w:p>
    <w:p w14:paraId="20AD5B8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5）在</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视频专网与公安网业务进行数据交换过程中，提供数据的机密性、完整性和可用性的服务，保护数据在跨网传输和通信过程中的安全。</w:t>
      </w:r>
    </w:p>
    <w:p w14:paraId="4B8CB75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6）采用边界防护工具对2条边界提供安全防护服务，服务包括基本网络防火墙功能、访问控制、入侵防御、病毒防护、用户认证、负载均衡、流量控制、资产识别、IPSec VPN，SSL VPN等服务。</w:t>
      </w:r>
    </w:p>
    <w:p w14:paraId="1A7DF58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当需要应急响应协助交警针对应用系统发生安全事件，并产生重大影响时，协调应急资源支持和应急人员支持，评估影响范围、事件抑制、溯源分析和复盘安全事件，协助开展业务恢复工作，并针对安全事件提供有效的整改意见。</w:t>
      </w:r>
    </w:p>
    <w:p w14:paraId="609E67F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通过真实模拟黑客使用的工具、分析方法来对交警指定的信息系统进行模拟攻击，并结合智能工具扫描结果，进行深入的手工测试和分析，识别工具弱点扫描无法发现的问题。并对相关问题进行反馈提供加固建议。</w:t>
      </w:r>
    </w:p>
    <w:p w14:paraId="1CE326F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9）通过专业化的网络安全应急咨询服务，帮助建立健全应急响应组织以及预防、预警机制，制定出规范、全面、体系化的应急预案。</w:t>
      </w:r>
    </w:p>
    <w:p w14:paraId="70BC2A1D">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10）根据实际环境情况，提供多个场景下的演练方案，以模拟演练或者桌面推演的方式检验应急预案的完整性、可行性，提高应急处理能力。</w:t>
      </w:r>
    </w:p>
    <w:p w14:paraId="7E1C6B9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针对两会、国庆等重要时期协调人员现场保障服务，确保重要业务操作行为的可审计，抵御黑客、恶意代码、病毒等对用户信息系统的攻击与破坏，防止对用户信息系统的非法、非授权访问、恶意篡改、挂马等。</w:t>
      </w:r>
    </w:p>
    <w:p w14:paraId="0DF0737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12）强化主动发现并查处</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视频专网各类违规外联行为的能力，对发生的违规外联行为立即向采购人报告该行为，全面提升边界安全风险监管及发现能力，有效保障采购人内网安全、稳定、高效运行。</w:t>
      </w:r>
    </w:p>
    <w:p w14:paraId="188190E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协助开展网络安全主管部门安全检查，协助开展等级保护定级、备案、建设整改、测评和监督检查等。</w:t>
      </w:r>
    </w:p>
    <w:p w14:paraId="1B370CB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（3）货运导航数据及运营保障服务，驻点人员2人,主要工作：</w:t>
      </w:r>
    </w:p>
    <w:p w14:paraId="3A551C4B">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1）提供常态化货运交通组织优化调整数据服务。</w:t>
      </w:r>
    </w:p>
    <w:p w14:paraId="7EFDB68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2）提供城市货运导航推广运营服务，包括运输企业、货车驾驶员系统使用、信息咨询服务等。</w:t>
      </w:r>
    </w:p>
    <w:p w14:paraId="31B0B0F5">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大型活动保障服务，在大型活动、会议期间，负责货运交通组织调整数据服务。不限于1、限行区域数据调整、制作、数据测试、数据发布服务；2、禁行区域数据调整、制作、数据测试、数据发布服务；3、黑名单道路调整、数据制作、数据测试、数据发布服务；4、避让区域的调整、数据制作、数据测试、数据发布服务等</w:t>
      </w:r>
    </w:p>
    <w:p w14:paraId="1E11848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4）提供系统开发和对接服务，完成常态化的系统正常运行保障和需求实现，包括省厅行政审批系统、货车通行证系统数据接口对接、数据运维服务。</w:t>
      </w:r>
    </w:p>
    <w:p w14:paraId="79DACF15">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（4）非现场执法平台运营保障服务，驻场人员1人,主要工作：</w:t>
      </w:r>
    </w:p>
    <w:p w14:paraId="388DD93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根据部局六合一系统、集成指挥平台系统升级适配优化服务，对接部局平台，非现场平台报表统计服务，提供数据生命周期全流程监管服务；</w:t>
      </w:r>
    </w:p>
    <w:p w14:paraId="4F13334A">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4、其他要求：</w:t>
      </w:r>
    </w:p>
    <w:p w14:paraId="69D3A92F">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1）投标人应派驻固定的驻点人员，合同期内人员不得随意变动，因</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工作存在即时性和突发性，能够随时响应配合采购人的工作，利于合作的顺利开展；人员如需发生变更，投标人应提前1个月通知采购人，经采购人书面同意后方可更换，更换人员需在24小时内到位，确保任何时间都不得出现人员缺位现象，更换人员素质应不低于投标时的承诺。</w:t>
      </w:r>
    </w:p>
    <w:p w14:paraId="40AF57D9">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kern w:val="0"/>
          <w:sz w:val="24"/>
          <w:szCs w:val="20"/>
          <w:highlight w:val="none"/>
        </w:rPr>
        <w:t>对于本项目中提供的软硬件，需根据信创要求，完成信创测评，如因投标人原因未符合要求的，需负责整改到位</w:t>
      </w:r>
      <w:r>
        <w:rPr>
          <w:rFonts w:hint="eastAsia" w:ascii="宋体" w:hAnsi="宋体" w:eastAsia="宋体" w:cs="宋体"/>
          <w:bCs/>
          <w:color w:val="auto"/>
          <w:sz w:val="24"/>
          <w:highlight w:val="none"/>
        </w:rPr>
        <w:t>。</w:t>
      </w:r>
    </w:p>
    <w:p w14:paraId="3B69C2D2">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5.培训要求：</w:t>
      </w:r>
    </w:p>
    <w:p w14:paraId="1ED9178D">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29" w:name="_Toc458245749"/>
      <w:bookmarkStart w:id="30" w:name="_Toc1133126131"/>
      <w:bookmarkStart w:id="31" w:name="_Toc21067"/>
      <w:bookmarkStart w:id="32" w:name="_Toc19783519"/>
      <w:bookmarkStart w:id="33" w:name="_Toc457900744"/>
      <w:r>
        <w:rPr>
          <w:rFonts w:hint="eastAsia" w:ascii="宋体" w:hAnsi="宋体" w:eastAsia="宋体" w:cs="宋体"/>
          <w:bCs/>
          <w:color w:val="auto"/>
          <w:sz w:val="24"/>
          <w:highlight w:val="none"/>
        </w:rPr>
        <w:t>培训对象</w:t>
      </w:r>
      <w:bookmarkEnd w:id="29"/>
      <w:bookmarkEnd w:id="30"/>
      <w:bookmarkEnd w:id="31"/>
      <w:bookmarkEnd w:id="32"/>
      <w:bookmarkEnd w:id="33"/>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相关处室人员。培训人数根据采购人要求确定（不少于5人）。</w:t>
      </w:r>
    </w:p>
    <w:p w14:paraId="686484A9">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34" w:name="_Toc457900745"/>
      <w:bookmarkStart w:id="35" w:name="_Toc16967"/>
      <w:bookmarkStart w:id="36" w:name="_Toc565902121"/>
      <w:bookmarkStart w:id="37" w:name="_Toc458245750"/>
      <w:bookmarkStart w:id="38" w:name="_Toc19783520"/>
      <w:r>
        <w:rPr>
          <w:rFonts w:hint="eastAsia" w:ascii="宋体" w:hAnsi="宋体" w:eastAsia="宋体" w:cs="宋体"/>
          <w:bCs/>
          <w:color w:val="auto"/>
          <w:sz w:val="24"/>
          <w:highlight w:val="none"/>
        </w:rPr>
        <w:t>培训方式</w:t>
      </w:r>
      <w:bookmarkEnd w:id="34"/>
      <w:bookmarkEnd w:id="35"/>
      <w:bookmarkEnd w:id="36"/>
      <w:bookmarkEnd w:id="37"/>
      <w:bookmarkEnd w:id="38"/>
      <w:r>
        <w:rPr>
          <w:rFonts w:hint="eastAsia" w:ascii="宋体" w:hAnsi="宋体" w:eastAsia="宋体" w:cs="宋体"/>
          <w:bCs/>
          <w:color w:val="auto"/>
          <w:sz w:val="24"/>
          <w:highlight w:val="none"/>
        </w:rPr>
        <w:t>：主要为集中授课和现场操作应用指导培训，提供至少一年一次的培训。</w:t>
      </w:r>
    </w:p>
    <w:p w14:paraId="498B3B54">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39" w:name="_Toc6155"/>
      <w:bookmarkStart w:id="40" w:name="_Toc2059358731"/>
      <w:bookmarkStart w:id="41" w:name="_Toc457900746"/>
      <w:bookmarkStart w:id="42" w:name="_Toc19783521"/>
      <w:bookmarkStart w:id="43" w:name="_Toc458245751"/>
      <w:r>
        <w:rPr>
          <w:rFonts w:hint="eastAsia" w:ascii="宋体" w:hAnsi="宋体" w:eastAsia="宋体" w:cs="宋体"/>
          <w:bCs/>
          <w:color w:val="auto"/>
          <w:sz w:val="24"/>
          <w:highlight w:val="none"/>
        </w:rPr>
        <w:t>培训地点</w:t>
      </w:r>
      <w:bookmarkEnd w:id="39"/>
      <w:bookmarkEnd w:id="40"/>
      <w:bookmarkEnd w:id="41"/>
      <w:bookmarkEnd w:id="42"/>
      <w:bookmarkEnd w:id="43"/>
      <w:r>
        <w:rPr>
          <w:rFonts w:hint="eastAsia" w:ascii="宋体" w:hAnsi="宋体" w:eastAsia="宋体" w:cs="宋体"/>
          <w:bCs/>
          <w:color w:val="auto"/>
          <w:sz w:val="24"/>
          <w:highlight w:val="none"/>
        </w:rPr>
        <w:t>：培训地点由项目投标人与采购人共同协商确定。</w:t>
      </w:r>
    </w:p>
    <w:p w14:paraId="1BDEE53D">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44" w:name="_Toc8832"/>
      <w:bookmarkStart w:id="45" w:name="_Toc19783522"/>
      <w:bookmarkStart w:id="46" w:name="_Toc648253218"/>
      <w:bookmarkStart w:id="47" w:name="_Toc458245752"/>
      <w:bookmarkStart w:id="48" w:name="_Toc457900747"/>
      <w:r>
        <w:rPr>
          <w:rFonts w:hint="eastAsia" w:ascii="宋体" w:hAnsi="宋体" w:eastAsia="宋体" w:cs="宋体"/>
          <w:bCs/>
          <w:color w:val="auto"/>
          <w:sz w:val="24"/>
          <w:highlight w:val="none"/>
        </w:rPr>
        <w:t>培训内容</w:t>
      </w:r>
      <w:bookmarkEnd w:id="44"/>
      <w:bookmarkEnd w:id="45"/>
      <w:bookmarkEnd w:id="46"/>
      <w:bookmarkEnd w:id="47"/>
      <w:bookmarkEnd w:id="48"/>
      <w:r>
        <w:rPr>
          <w:rFonts w:hint="eastAsia" w:ascii="宋体" w:hAnsi="宋体" w:eastAsia="宋体" w:cs="宋体"/>
          <w:bCs/>
          <w:color w:val="auto"/>
          <w:sz w:val="24"/>
          <w:highlight w:val="none"/>
        </w:rPr>
        <w:t>：培训包括安全体系、视频专网数据体系、公安网数据体系以及应用改造流程普及。</w:t>
      </w:r>
    </w:p>
    <w:p w14:paraId="6B80BF04">
      <w:pPr>
        <w:shd w:val="clear"/>
        <w:tabs>
          <w:tab w:val="left" w:pos="432"/>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zh-CN"/>
        </w:rPr>
        <w:t>培训师资：由投标人提供1名技术人员或工程师。</w:t>
      </w:r>
    </w:p>
    <w:p w14:paraId="35C94EEB">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五）投标人网络安全责任和义务</w:t>
      </w:r>
    </w:p>
    <w:p w14:paraId="26B99CBE">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（1）明确投标人法定代表人为合作事项网络安全第一责任人，具体承担合作事项的部门主要负责人为直接责任人。</w:t>
      </w:r>
    </w:p>
    <w:p w14:paraId="40CF612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（2）投标人不得转包合同任务，未经采购人书面同意不得分包。</w:t>
      </w:r>
    </w:p>
    <w:p w14:paraId="53EF0C6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（3）投标人应制订与合作事项相关的网络安全保障方案和网络安全事件应急预案。</w:t>
      </w:r>
    </w:p>
    <w:p w14:paraId="15ED2C4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（4）投标人发现网络安全漏洞、缺陷或者其他严重网络安全风险，应10分钟内向采购人报告。</w:t>
      </w:r>
    </w:p>
    <w:p w14:paraId="5B06719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（5）处理合作事项的信息平台应当优先采用符合安全可靠测评要求的硬件和软件产品。</w:t>
      </w:r>
    </w:p>
    <w:p w14:paraId="1C2F1A39">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（6）发生可能影响合作事项的网络安全重大事项，包括负责人及重要工作人员变更、业务转型、合并重组和投资并购等，投标人应提前向采购人报告。</w:t>
      </w:r>
    </w:p>
    <w:p w14:paraId="1EE4495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（7）采用社会公共网络平台实施合作事项时，严禁涉及国家秘密和警务工作秘密。</w:t>
      </w:r>
    </w:p>
    <w:p w14:paraId="6C5D8E7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（8）投标人应2026年8月1日前向采购人提交一份网络安全报告。</w:t>
      </w:r>
    </w:p>
    <w:p w14:paraId="7AEF13F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（9）其他应当落实的网络安全责任和义务。</w:t>
      </w:r>
    </w:p>
    <w:p w14:paraId="73621704">
      <w:pPr>
        <w:shd w:val="clear"/>
        <w:spacing w:line="360" w:lineRule="auto"/>
        <w:ind w:firstLine="723" w:firstLineChars="3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六）保密条款：</w:t>
      </w:r>
    </w:p>
    <w:p w14:paraId="5E0E255C">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0C44C5F1">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严格按照采购人规定使用、存储、处理文档资料和数据。合同终止时，应当交还全部采购人资料和数据。</w:t>
      </w:r>
    </w:p>
    <w:p w14:paraId="1A44E91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投标人需与采购人签署保密协议，投标人对在项目实施期间所获得的采购人的情报和资料有保密义务（包括但不限于</w:t>
      </w:r>
      <w:r>
        <w:rPr>
          <w:rFonts w:hint="eastAsia" w:ascii="宋体" w:hAnsi="宋体" w:eastAsia="宋体" w:cs="宋体"/>
          <w:color w:val="auto"/>
          <w:sz w:val="24"/>
          <w:highlight w:val="none"/>
          <w:lang w:val="zh-CN"/>
        </w:rPr>
        <w:t>合同履</w:t>
      </w:r>
      <w:r>
        <w:rPr>
          <w:rFonts w:hint="eastAsia" w:ascii="宋体" w:hAnsi="宋体" w:eastAsia="宋体" w:cs="宋体"/>
          <w:color w:val="auto"/>
          <w:sz w:val="24"/>
          <w:highlight w:val="none"/>
        </w:rPr>
        <w:t>约</w:t>
      </w:r>
      <w:r>
        <w:rPr>
          <w:rFonts w:hint="eastAsia" w:ascii="宋体" w:hAnsi="宋体" w:eastAsia="宋体" w:cs="宋体"/>
          <w:color w:val="auto"/>
          <w:sz w:val="24"/>
          <w:highlight w:val="none"/>
          <w:lang w:val="zh-CN"/>
        </w:rPr>
        <w:t>期内</w:t>
      </w:r>
      <w:r>
        <w:rPr>
          <w:rFonts w:hint="eastAsia" w:ascii="宋体" w:hAnsi="宋体" w:eastAsia="宋体" w:cs="宋体"/>
          <w:color w:val="auto"/>
          <w:sz w:val="24"/>
          <w:highlight w:val="none"/>
        </w:rPr>
        <w:t>），泄漏秘密应承担的责任。如有违反，按合同的违约条款向采购人支付违约金，造成采购人损失的应予赔偿，涉嫌违法或犯罪的依法追究刑事责任。</w:t>
      </w:r>
    </w:p>
    <w:p w14:paraId="31A41B8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若项目涉及分包的，投标人须按照以上保密要求，与分包供应商签订单位保密协议、个人保密承诺书、开展日常保密教育等措施，确保分包供应商严格落实各项保密规定，并与分包供应商承担连带责任。</w:t>
      </w:r>
    </w:p>
    <w:p w14:paraId="19D82B8E">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七）安全事故责任条款：</w:t>
      </w:r>
    </w:p>
    <w:p w14:paraId="0BD6C0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因投标人或投标人派遣人员工作过错造成的安全管理事故，投标人负全部责任及相关费用。</w:t>
      </w:r>
    </w:p>
    <w:p w14:paraId="31F5D3E0">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（六）拟采购标的的商务要求</w:t>
      </w:r>
    </w:p>
    <w:p w14:paraId="0F333D98">
      <w:pPr>
        <w:shd w:val="clea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1.交付（实施）的时间（期限）：2025年8月1日-2026年7月31日</w:t>
      </w:r>
      <w:r>
        <w:rPr>
          <w:rFonts w:hint="eastAsia" w:ascii="宋体" w:hAnsi="宋体" w:eastAsia="宋体" w:cs="宋体"/>
          <w:b/>
          <w:bCs/>
          <w:color w:val="auto"/>
          <w:sz w:val="24"/>
          <w:highlight w:val="none"/>
        </w:rPr>
        <w:t>。</w:t>
      </w:r>
    </w:p>
    <w:p w14:paraId="5C8EFA88">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2025年8月1日至合同签订前由该项目原合同单位按照2025年需求继续提供履约，期间产生的费用由本次中标人按照实际履约时间及 2025 年合同单价与原合同单位按实结算,同时扣除考核违约金(交还采购人)。本次中标人需在合同签订之日起7日内完成各项工作的转换、衔接工作。</w:t>
      </w:r>
    </w:p>
    <w:p w14:paraId="6296C88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2.交付（实施）的地点（范围）：杭州市公安局交通警察支队（杭州市拱墅区文晖路336号）</w:t>
      </w:r>
      <w:r>
        <w:rPr>
          <w:rFonts w:hint="eastAsia" w:ascii="宋体" w:hAnsi="宋体" w:eastAsia="宋体" w:cs="宋体"/>
          <w:b/>
          <w:bCs/>
          <w:color w:val="auto"/>
          <w:sz w:val="24"/>
          <w:highlight w:val="none"/>
        </w:rPr>
        <w:t>或指定地点。</w:t>
      </w:r>
    </w:p>
    <w:p w14:paraId="0DC1ADFB">
      <w:pPr>
        <w:shd w:val="clear"/>
        <w:spacing w:line="360" w:lineRule="auto"/>
        <w:ind w:left="210" w:leftChars="1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1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792"/>
        <w:gridCol w:w="1322"/>
      </w:tblGrid>
      <w:tr w14:paraId="477516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14:paraId="2F92DD3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92" w:type="dxa"/>
            <w:shd w:val="clear" w:color="auto" w:fill="auto"/>
            <w:vAlign w:val="center"/>
          </w:tcPr>
          <w:p w14:paraId="5178246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1322" w:type="dxa"/>
            <w:shd w:val="clear" w:color="auto" w:fill="auto"/>
            <w:vAlign w:val="center"/>
          </w:tcPr>
          <w:p w14:paraId="431AEBC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14:paraId="5A224F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1C4CAF4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792" w:type="dxa"/>
            <w:tcBorders>
              <w:left w:val="single" w:color="808080" w:sz="4" w:space="0"/>
            </w:tcBorders>
            <w:shd w:val="clear" w:color="auto" w:fill="auto"/>
            <w:vAlign w:val="center"/>
          </w:tcPr>
          <w:p w14:paraId="19D3129B">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第一期付款：合同签订后5个工作日内，项目具备实施条件后，采购人支付合同总价的40%，同时，投标人缴纳合同总价1%的履约保证金</w:t>
            </w:r>
            <w:r>
              <w:rPr>
                <w:rFonts w:hint="eastAsia" w:ascii="宋体" w:hAnsi="宋体" w:eastAsia="宋体" w:cs="宋体"/>
                <w:color w:val="auto"/>
                <w:sz w:val="24"/>
                <w:highlight w:val="none"/>
                <w:lang w:val="zh-CN"/>
              </w:rPr>
              <w:t>(鼓励和支持</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以银行、保险公司出具的保函形式提供履约保证金)</w:t>
            </w:r>
            <w:r>
              <w:rPr>
                <w:rFonts w:hint="eastAsia" w:ascii="宋体" w:hAnsi="宋体" w:eastAsia="宋体" w:cs="宋体"/>
                <w:color w:val="auto"/>
                <w:sz w:val="24"/>
                <w:highlight w:val="none"/>
              </w:rPr>
              <w:t>。</w:t>
            </w:r>
          </w:p>
        </w:tc>
        <w:tc>
          <w:tcPr>
            <w:tcW w:w="1322" w:type="dxa"/>
            <w:tcBorders>
              <w:left w:val="single" w:color="808080" w:sz="4" w:space="0"/>
            </w:tcBorders>
            <w:shd w:val="clear" w:color="auto" w:fill="auto"/>
            <w:vAlign w:val="center"/>
          </w:tcPr>
          <w:p w14:paraId="46EFBB8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3326CB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3762CA5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792" w:type="dxa"/>
            <w:tcBorders>
              <w:left w:val="single" w:color="808080" w:sz="4" w:space="0"/>
            </w:tcBorders>
            <w:shd w:val="clear" w:color="auto" w:fill="auto"/>
            <w:vAlign w:val="center"/>
          </w:tcPr>
          <w:p w14:paraId="7CCB67AD">
            <w:pPr>
              <w:shd w:val="clear"/>
              <w:tabs>
                <w:tab w:val="left" w:pos="904"/>
              </w:tabs>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第二期付款：服务至</w:t>
            </w:r>
            <w:r>
              <w:rPr>
                <w:rFonts w:hint="eastAsia" w:ascii="宋体" w:hAnsi="宋体" w:eastAsia="宋体" w:cs="宋体"/>
                <w:color w:val="auto"/>
                <w:sz w:val="24"/>
                <w:highlight w:val="none"/>
                <w:u w:val="single"/>
              </w:rPr>
              <w:t>2025年11月30日</w:t>
            </w:r>
            <w:r>
              <w:rPr>
                <w:rFonts w:hint="eastAsia" w:ascii="宋体" w:hAnsi="宋体" w:eastAsia="宋体" w:cs="宋体"/>
                <w:color w:val="auto"/>
                <w:sz w:val="24"/>
                <w:highlight w:val="none"/>
              </w:rPr>
              <w:t>，无任何服务问题,凭双方签字盖章的验收意见、验收小组签字的验收报告、人员清单、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网络安全风险书面报告（如有）、软件测试方案/计划、测试报告/用例、系统配置手册、操作手册/维护手册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第三方检测报告</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等保测评报告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商用密码应用测评报告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满足信创要求的检测材料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验收报审表、信息化项目变更审批表（如有）、个人保密承诺、单位保密协议、日常保密教育台账、培训材料、分包协议（如有），最多支付至444.645万元（已含采购人向投标人支付的</w:t>
            </w:r>
            <w:bookmarkStart w:id="49" w:name="OLE_LINK23"/>
            <w:bookmarkStart w:id="50" w:name="OLE_LINK22"/>
            <w:r>
              <w:rPr>
                <w:rFonts w:hint="eastAsia" w:ascii="宋体" w:hAnsi="宋体" w:eastAsia="宋体" w:cs="宋体"/>
                <w:color w:val="auto"/>
                <w:sz w:val="24"/>
                <w:highlight w:val="none"/>
              </w:rPr>
              <w:t>第一期</w:t>
            </w:r>
            <w:bookmarkEnd w:id="49"/>
            <w:bookmarkEnd w:id="50"/>
            <w:r>
              <w:rPr>
                <w:rFonts w:hint="eastAsia" w:ascii="宋体" w:hAnsi="宋体" w:eastAsia="宋体" w:cs="宋体"/>
                <w:color w:val="auto"/>
                <w:sz w:val="24"/>
                <w:highlight w:val="none"/>
              </w:rPr>
              <w:t>合同价款）</w:t>
            </w:r>
          </w:p>
        </w:tc>
        <w:tc>
          <w:tcPr>
            <w:tcW w:w="1322" w:type="dxa"/>
            <w:tcBorders>
              <w:left w:val="single" w:color="808080" w:sz="4" w:space="0"/>
            </w:tcBorders>
            <w:shd w:val="clear" w:color="auto" w:fill="auto"/>
          </w:tcPr>
          <w:p w14:paraId="4423D2E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6C4F65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26C2427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792" w:type="dxa"/>
            <w:tcBorders>
              <w:left w:val="single" w:color="808080" w:sz="4" w:space="0"/>
            </w:tcBorders>
            <w:shd w:val="clear" w:color="auto" w:fill="auto"/>
            <w:vAlign w:val="center"/>
          </w:tcPr>
          <w:p w14:paraId="67DD376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第三期付款：服务期结束，无任何服务问题，凭双方签字盖章的验收意见、验收小组签字的验收报告、人员清单、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网络安全风险书面报告（如有）、软件测试方案/计划、测试报告/用例、系统配置手册、操作手册/维护手册、第三方检测报告、</w:t>
            </w:r>
            <w:r>
              <w:rPr>
                <w:rFonts w:hint="eastAsia" w:ascii="宋体" w:hAnsi="宋体" w:eastAsia="宋体" w:cs="宋体"/>
                <w:color w:val="auto"/>
                <w:kern w:val="0"/>
                <w:sz w:val="24"/>
                <w:highlight w:val="none"/>
              </w:rPr>
              <w:t>等保测评报告、</w:t>
            </w:r>
            <w:r>
              <w:rPr>
                <w:rFonts w:hint="eastAsia" w:ascii="宋体" w:hAnsi="宋体" w:eastAsia="宋体" w:cs="宋体"/>
                <w:color w:val="auto"/>
                <w:sz w:val="24"/>
                <w:highlight w:val="none"/>
              </w:rPr>
              <w:t>商用密码应用测评报告、信创测评报告、验收报审表、信息化项目变更审批表（如有）、</w:t>
            </w:r>
            <w:r>
              <w:rPr>
                <w:rFonts w:hint="eastAsia" w:ascii="宋体" w:hAnsi="宋体" w:eastAsia="宋体" w:cs="宋体"/>
                <w:color w:val="auto"/>
                <w:sz w:val="24"/>
                <w:highlight w:val="none"/>
                <w:lang w:val="en-US" w:eastAsia="zh-CN"/>
              </w:rPr>
              <w:t>网络安全报告、</w:t>
            </w:r>
            <w:r>
              <w:rPr>
                <w:rFonts w:hint="eastAsia" w:ascii="宋体" w:hAnsi="宋体" w:eastAsia="宋体" w:cs="宋体"/>
                <w:color w:val="auto"/>
                <w:sz w:val="24"/>
                <w:highlight w:val="none"/>
              </w:rPr>
              <w:t>个人保密承诺、单位保密协议、日常保密教育台账、培训材料、分包协议（如有）及公示截图等相关资料，经审计确认后（若有），根据合同单价、服务内容、服务天数按实结算剩余应付的合同款项，同时扣除投标人应向采购人支付的违约金。</w:t>
            </w:r>
          </w:p>
        </w:tc>
        <w:tc>
          <w:tcPr>
            <w:tcW w:w="1322" w:type="dxa"/>
            <w:tcBorders>
              <w:left w:val="single" w:color="808080" w:sz="4" w:space="0"/>
            </w:tcBorders>
            <w:shd w:val="clear" w:color="auto" w:fill="auto"/>
          </w:tcPr>
          <w:p w14:paraId="60424CD5">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bl>
    <w:p w14:paraId="02ABD718">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双方确认，采购人按前款结算并向投标人支付的款项总额不超过合同总价。</w:t>
      </w:r>
    </w:p>
    <w:p w14:paraId="4554168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前述采购人按投标人实际履行情况结算付款的方式不影响采购人向投标人再行收取因投标人未全面按照合同约定履行而产生的违约金。</w:t>
      </w:r>
    </w:p>
    <w:p w14:paraId="57CD6776">
      <w:pPr>
        <w:shd w:val="clear"/>
        <w:spacing w:line="360" w:lineRule="auto"/>
        <w:ind w:left="210" w:leftChars="1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4.售后服务要求：服务类，无售后服务。</w:t>
      </w:r>
    </w:p>
    <w:p w14:paraId="7A30DB48">
      <w:pPr>
        <w:shd w:val="clear"/>
        <w:spacing w:line="360" w:lineRule="auto"/>
        <w:ind w:left="210" w:leftChars="1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29F6DD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1）履约保证金退还：验收合格后，无任何质量问题，采购人于收到投标人退还履约保证金申请之日起5个工作日内凭双方签字盖章的验收意见，无息归还履约保证金。</w:t>
      </w:r>
    </w:p>
    <w:p w14:paraId="6F63CD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2）投标报价为综合单价，包含人员工资、加班费、《劳动合同法》规定的各类社保费用、办公费、交通费、食宿费、运行维护、技术支持和税金等为完成本项目各项服务可能发生的全部费用。</w:t>
      </w:r>
    </w:p>
    <w:p w14:paraId="31467B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项目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78FFE45C">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（七）采购项目的其他要求</w:t>
      </w:r>
    </w:p>
    <w:p w14:paraId="767983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1.履约验收主体</w:t>
      </w:r>
    </w:p>
    <w:p w14:paraId="4D523FC8">
      <w:pPr>
        <w:shd w:val="clear"/>
        <w:spacing w:line="360" w:lineRule="auto"/>
        <w:ind w:left="420" w:leftChars="200"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color w:val="auto"/>
          <w:sz w:val="24"/>
          <w:highlight w:val="none"/>
        </w:rPr>
        <w:t>1）采购单位：杭州市公安局交通警察支队</w:t>
      </w:r>
    </w:p>
    <w:p w14:paraId="2B070AF9">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2）是否选择代理机构：</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否</w:t>
      </w:r>
    </w:p>
    <w:p w14:paraId="442CE8CC">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3）是否邀请本项目的其他供应商：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否</w:t>
      </w:r>
    </w:p>
    <w:p w14:paraId="1CDF4A0C">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4）是否邀请专家：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否</w:t>
      </w:r>
    </w:p>
    <w:p w14:paraId="1EB8CD23">
      <w:pPr>
        <w:shd w:val="clear"/>
        <w:spacing w:line="360" w:lineRule="auto"/>
        <w:ind w:left="420" w:leftChars="20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5）是否邀请服务对象：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否</w:t>
      </w:r>
    </w:p>
    <w:p w14:paraId="1D3ABF41">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6）其他：</w:t>
      </w:r>
      <w:r>
        <w:rPr>
          <w:rFonts w:hint="eastAsia" w:ascii="宋体" w:hAnsi="宋体" w:eastAsia="宋体" w:cs="宋体"/>
          <w:color w:val="auto"/>
          <w:sz w:val="24"/>
          <w:highlight w:val="none"/>
          <w:u w:val="single"/>
        </w:rPr>
        <w:t>/。</w:t>
      </w:r>
    </w:p>
    <w:p w14:paraId="2022C319">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2.履约验收时间：第一次验收时间2025年11月30日后，第二次验收时间2026年7月31日服务结束后。（具体验收时间由采购人最终确定并以通知投标人时间为准）。</w:t>
      </w:r>
    </w:p>
    <w:p w14:paraId="1AF36C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3.履约验收方式：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简易程序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一般程序</w:t>
      </w:r>
    </w:p>
    <w:p w14:paraId="61F071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4.履约验收程序：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一次性验收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分段验收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分期验收</w:t>
      </w:r>
    </w:p>
    <w:p w14:paraId="44C609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5.履约验收</w:t>
      </w:r>
    </w:p>
    <w:p w14:paraId="0E9C6E8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220C6D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为信息化项目，根据采购人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0E92F0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严格按照采购合同开展履约验收。采购人委托第三方机构组织验收，成立验收小组（验收小组由5人组成：其中采购人1名，专家4名（第三方机构从乐采云专家库服务平台随机抽取相关专业）），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32E021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6BCA2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5）验收产生的费用首次验收费用由采购人承担，如首次验收不合格，后续验收费用由投标人支付。</w:t>
      </w:r>
    </w:p>
    <w:p w14:paraId="572447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6）验收内容</w:t>
      </w:r>
    </w:p>
    <w:p w14:paraId="7D80C8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6.1第一期验收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39"/>
        <w:gridCol w:w="6259"/>
      </w:tblGrid>
      <w:tr w14:paraId="1024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3F931E9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5" w:type="pct"/>
            <w:noWrap/>
            <w:vAlign w:val="center"/>
          </w:tcPr>
          <w:p w14:paraId="5BF376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683" w:type="pct"/>
            <w:vAlign w:val="center"/>
          </w:tcPr>
          <w:p w14:paraId="3B4CDB7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693A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10" w:type="pct"/>
            <w:noWrap/>
            <w:vAlign w:val="center"/>
          </w:tcPr>
          <w:p w14:paraId="54EFE74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5" w:type="pct"/>
            <w:tcBorders>
              <w:left w:val="single" w:color="auto" w:sz="4" w:space="0"/>
            </w:tcBorders>
            <w:noWrap/>
            <w:vAlign w:val="center"/>
          </w:tcPr>
          <w:p w14:paraId="180A571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683" w:type="pct"/>
            <w:tcBorders>
              <w:left w:val="single" w:color="auto" w:sz="4" w:space="0"/>
            </w:tcBorders>
            <w:vAlign w:val="center"/>
          </w:tcPr>
          <w:p w14:paraId="436249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投标人保证其提供的技术手段安全成熟，硬件、软件均有安全保障。租赁硬件满足采购需求要求。</w:t>
            </w:r>
          </w:p>
        </w:tc>
      </w:tr>
      <w:tr w14:paraId="572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284E5D2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05" w:type="pct"/>
            <w:tcBorders>
              <w:left w:val="single" w:color="auto" w:sz="4" w:space="0"/>
            </w:tcBorders>
            <w:noWrap/>
            <w:vAlign w:val="center"/>
          </w:tcPr>
          <w:p w14:paraId="3B48688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683" w:type="pct"/>
            <w:tcBorders>
              <w:left w:val="single" w:color="auto" w:sz="4" w:space="0"/>
            </w:tcBorders>
            <w:vAlign w:val="center"/>
          </w:tcPr>
          <w:p w14:paraId="07783F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33E6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46EAAF6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05" w:type="pct"/>
            <w:vMerge w:val="restart"/>
            <w:tcBorders>
              <w:left w:val="single" w:color="auto" w:sz="4" w:space="0"/>
            </w:tcBorders>
            <w:noWrap/>
            <w:vAlign w:val="center"/>
          </w:tcPr>
          <w:p w14:paraId="1CC10B1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683" w:type="pct"/>
            <w:tcBorders>
              <w:left w:val="single" w:color="auto" w:sz="4" w:space="0"/>
            </w:tcBorders>
            <w:vAlign w:val="center"/>
          </w:tcPr>
          <w:p w14:paraId="6D8D9E4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70F0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10" w:type="pct"/>
            <w:vMerge w:val="continue"/>
            <w:noWrap/>
            <w:vAlign w:val="center"/>
          </w:tcPr>
          <w:p w14:paraId="51FFFDB9">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15B97EE2">
            <w:pPr>
              <w:shd w:val="clear"/>
              <w:rPr>
                <w:rFonts w:hint="eastAsia" w:ascii="宋体" w:hAnsi="宋体" w:eastAsia="宋体" w:cs="宋体"/>
                <w:color w:val="auto"/>
                <w:highlight w:val="none"/>
              </w:rPr>
            </w:pPr>
          </w:p>
        </w:tc>
        <w:tc>
          <w:tcPr>
            <w:tcW w:w="3683" w:type="pct"/>
            <w:tcBorders>
              <w:left w:val="single" w:color="auto" w:sz="4" w:space="0"/>
            </w:tcBorders>
            <w:vAlign w:val="center"/>
          </w:tcPr>
          <w:p w14:paraId="53D882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0CB5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66F4460">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39" w:type="dxa"/>
            <w:tcBorders>
              <w:left w:val="single" w:color="auto" w:sz="4" w:space="0"/>
            </w:tcBorders>
            <w:noWrap/>
            <w:vAlign w:val="center"/>
          </w:tcPr>
          <w:p w14:paraId="2AB37BB0">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6259" w:type="dxa"/>
            <w:tcBorders>
              <w:left w:val="single" w:color="auto" w:sz="4" w:space="0"/>
            </w:tcBorders>
            <w:vAlign w:val="center"/>
          </w:tcPr>
          <w:p w14:paraId="7B9B316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，需根据信创要求，完成信创测评，如因投标人原因未符合要求的，需负责整改到位。</w:t>
            </w:r>
          </w:p>
        </w:tc>
      </w:tr>
      <w:tr w14:paraId="477F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103FF119">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905" w:type="pct"/>
            <w:vMerge w:val="restart"/>
            <w:tcBorders>
              <w:left w:val="single" w:color="auto" w:sz="4" w:space="0"/>
            </w:tcBorders>
            <w:noWrap/>
            <w:vAlign w:val="center"/>
          </w:tcPr>
          <w:p w14:paraId="19B4FD9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683" w:type="pct"/>
            <w:tcBorders>
              <w:left w:val="single" w:color="auto" w:sz="4" w:space="0"/>
            </w:tcBorders>
            <w:vAlign w:val="center"/>
          </w:tcPr>
          <w:p w14:paraId="0A6B4BD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1DA2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0" w:type="pct"/>
            <w:vMerge w:val="continue"/>
            <w:noWrap/>
            <w:vAlign w:val="center"/>
          </w:tcPr>
          <w:p w14:paraId="6626D97F">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5A35068C">
            <w:pPr>
              <w:shd w:val="clear"/>
              <w:rPr>
                <w:rFonts w:hint="eastAsia" w:ascii="宋体" w:hAnsi="宋体" w:eastAsia="宋体" w:cs="宋体"/>
                <w:color w:val="auto"/>
                <w:highlight w:val="none"/>
              </w:rPr>
            </w:pPr>
          </w:p>
        </w:tc>
        <w:tc>
          <w:tcPr>
            <w:tcW w:w="3683" w:type="pct"/>
            <w:tcBorders>
              <w:left w:val="single" w:color="auto" w:sz="4" w:space="0"/>
            </w:tcBorders>
            <w:vAlign w:val="center"/>
          </w:tcPr>
          <w:p w14:paraId="160475EF">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在服务期间，投标人的项目组人员对系统运行情况每天进行巡检，并建立巡检台账。</w:t>
            </w:r>
          </w:p>
        </w:tc>
      </w:tr>
      <w:tr w14:paraId="5246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E2319C8">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905" w:type="pct"/>
            <w:tcBorders>
              <w:left w:val="single" w:color="auto" w:sz="4" w:space="0"/>
            </w:tcBorders>
            <w:noWrap/>
            <w:vAlign w:val="center"/>
          </w:tcPr>
          <w:p w14:paraId="18037DC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683" w:type="pct"/>
            <w:tcBorders>
              <w:left w:val="single" w:color="auto" w:sz="4" w:space="0"/>
            </w:tcBorders>
            <w:vAlign w:val="center"/>
          </w:tcPr>
          <w:p w14:paraId="20B2AD1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3F20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42B8C8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905" w:type="pct"/>
            <w:tcBorders>
              <w:left w:val="single" w:color="auto" w:sz="4" w:space="0"/>
            </w:tcBorders>
            <w:noWrap/>
            <w:vAlign w:val="center"/>
          </w:tcPr>
          <w:p w14:paraId="03E6814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683" w:type="pct"/>
            <w:tcBorders>
              <w:left w:val="single" w:color="auto" w:sz="4" w:space="0"/>
            </w:tcBorders>
            <w:vAlign w:val="center"/>
          </w:tcPr>
          <w:p w14:paraId="1DB5C59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按合同要求对采购人系统操作人员、系统管理人员、系统运维人员进行培训，形成相应培训记录。</w:t>
            </w:r>
          </w:p>
        </w:tc>
      </w:tr>
      <w:tr w14:paraId="6B0B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1C17360">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905" w:type="pct"/>
            <w:tcBorders>
              <w:left w:val="single" w:color="auto" w:sz="4" w:space="0"/>
            </w:tcBorders>
            <w:noWrap/>
            <w:vAlign w:val="center"/>
          </w:tcPr>
          <w:p w14:paraId="556367B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683" w:type="pct"/>
            <w:tcBorders>
              <w:left w:val="single" w:color="auto" w:sz="4" w:space="0"/>
            </w:tcBorders>
            <w:vAlign w:val="center"/>
          </w:tcPr>
          <w:p w14:paraId="5C5874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3463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710C2B84">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905" w:type="pct"/>
            <w:tcBorders>
              <w:left w:val="single" w:color="auto" w:sz="4" w:space="0"/>
            </w:tcBorders>
            <w:vAlign w:val="center"/>
          </w:tcPr>
          <w:p w14:paraId="6C31DDB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683" w:type="pct"/>
            <w:tcBorders>
              <w:left w:val="single" w:color="auto" w:sz="4" w:space="0"/>
            </w:tcBorders>
            <w:vAlign w:val="center"/>
          </w:tcPr>
          <w:p w14:paraId="0C1BAB2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1C45AA5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第一期验收资料清单：</w:t>
      </w:r>
    </w:p>
    <w:p w14:paraId="6EA383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验收资料和文件是项目验收的重要依据，投标人从项目实施开始就应完整地积累和保管，验收时在职能部门的指导、配合下按照采购人有关要求编目建档。</w:t>
      </w:r>
    </w:p>
    <w:p w14:paraId="19290860">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5F0A9048">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347C7A0F">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16A65A30">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249625A8">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（5）驻点人员每日钉钉考勤签到表：需采购人经办人、复核人、投标人签字并盖章；</w:t>
      </w:r>
    </w:p>
    <w:p w14:paraId="4D0D59E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（6）租赁设备清单、产品合格证、质保承诺书；</w:t>
      </w:r>
    </w:p>
    <w:p w14:paraId="7833468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（7）服务方案；</w:t>
      </w:r>
    </w:p>
    <w:p w14:paraId="5A97C1CF">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（8）专网云平台监测报告、巡检报告；</w:t>
      </w:r>
    </w:p>
    <w:p w14:paraId="6ED1D2B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（9）每月考核材料；</w:t>
      </w:r>
    </w:p>
    <w:p w14:paraId="71952240">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（10）数据接入清单；</w:t>
      </w:r>
    </w:p>
    <w:p w14:paraId="3DEBA97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（11）验收报审表、信息化项目变更审批表（如有）；</w:t>
      </w:r>
    </w:p>
    <w:p w14:paraId="652B45EB">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（12）系统渗透测试报告；</w:t>
      </w:r>
    </w:p>
    <w:p w14:paraId="327AD9B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（13）应急响应报告；</w:t>
      </w:r>
    </w:p>
    <w:p w14:paraId="71DB49DA">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（14）网络安全事件应急预案；</w:t>
      </w:r>
    </w:p>
    <w:p w14:paraId="588AF223">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（15）网络安全事件应急演练报告；</w:t>
      </w:r>
    </w:p>
    <w:p w14:paraId="399AE17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（16）重保期间安全日报；</w:t>
      </w:r>
    </w:p>
    <w:p w14:paraId="65972CDD">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（17）网络安全保障方案、网络安全风险书面报告（如有）、网络安全重大事项书面报告（如有）；</w:t>
      </w:r>
    </w:p>
    <w:p w14:paraId="13985588">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（18）第三方检测报告</w:t>
      </w:r>
      <w:r>
        <w:rPr>
          <w:rFonts w:hint="eastAsia" w:ascii="宋体" w:hAnsi="宋体" w:cs="宋体"/>
          <w:color w:val="auto"/>
          <w:sz w:val="24"/>
          <w:highlight w:val="none"/>
          <w:lang w:eastAsia="zh-CN"/>
        </w:rPr>
        <w:t>；</w:t>
      </w:r>
    </w:p>
    <w:p w14:paraId="7A88800D">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1DF2F1C2">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（20）满足信创要求的检测材料；</w:t>
      </w:r>
    </w:p>
    <w:p w14:paraId="485B0290">
      <w:pPr>
        <w:shd w:val="clear"/>
        <w:tabs>
          <w:tab w:val="left" w:pos="904"/>
        </w:tabs>
        <w:adjustRightInd w:val="0"/>
        <w:snapToGrid w:val="0"/>
        <w:spacing w:line="360" w:lineRule="auto"/>
        <w:ind w:left="1200" w:hanging="720"/>
        <w:jc w:val="left"/>
        <w:rPr>
          <w:rFonts w:hint="eastAsia" w:ascii="宋体" w:hAnsi="宋体" w:eastAsia="宋体" w:cs="宋体"/>
          <w:color w:val="auto"/>
          <w:highlight w:val="none"/>
        </w:rPr>
      </w:pPr>
      <w:r>
        <w:rPr>
          <w:rFonts w:hint="eastAsia" w:ascii="宋体" w:hAnsi="宋体" w:eastAsia="宋体" w:cs="宋体"/>
          <w:color w:val="auto"/>
          <w:sz w:val="24"/>
          <w:highlight w:val="none"/>
        </w:rPr>
        <w:t>（21）软件测试方案/计划、测试报告/用例、系统配置手册、操作手册/维护手册；</w:t>
      </w:r>
    </w:p>
    <w:p w14:paraId="13FC4BC3">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（22）其他相关材料：培训材料、单位保密协议、个人保密承诺、日常保密教育台账、分包协议（如有）等。</w:t>
      </w:r>
    </w:p>
    <w:p w14:paraId="77528A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6.2最终验收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21"/>
        <w:gridCol w:w="5977"/>
      </w:tblGrid>
      <w:tr w14:paraId="1BB6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69CB8DE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72" w:type="pct"/>
            <w:noWrap/>
            <w:vAlign w:val="center"/>
          </w:tcPr>
          <w:p w14:paraId="20A01A3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518" w:type="pct"/>
            <w:vAlign w:val="center"/>
          </w:tcPr>
          <w:p w14:paraId="1BF1D26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068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10" w:type="pct"/>
            <w:noWrap/>
            <w:vAlign w:val="center"/>
          </w:tcPr>
          <w:p w14:paraId="1846052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72" w:type="pct"/>
            <w:tcBorders>
              <w:left w:val="single" w:color="auto" w:sz="4" w:space="0"/>
            </w:tcBorders>
            <w:noWrap/>
            <w:vAlign w:val="center"/>
          </w:tcPr>
          <w:p w14:paraId="0477218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518" w:type="pct"/>
            <w:tcBorders>
              <w:left w:val="single" w:color="auto" w:sz="4" w:space="0"/>
            </w:tcBorders>
            <w:vAlign w:val="center"/>
          </w:tcPr>
          <w:p w14:paraId="25DF20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投标人保证其提供的技术手段安全成熟，硬件、软件均有安全保障。租赁硬件满足采购需求要求。</w:t>
            </w:r>
          </w:p>
        </w:tc>
      </w:tr>
      <w:tr w14:paraId="3A9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31D7F36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72" w:type="pct"/>
            <w:tcBorders>
              <w:left w:val="single" w:color="auto" w:sz="4" w:space="0"/>
            </w:tcBorders>
            <w:noWrap/>
            <w:vAlign w:val="center"/>
          </w:tcPr>
          <w:p w14:paraId="65302E8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518" w:type="pct"/>
            <w:tcBorders>
              <w:left w:val="single" w:color="auto" w:sz="4" w:space="0"/>
            </w:tcBorders>
            <w:vAlign w:val="center"/>
          </w:tcPr>
          <w:p w14:paraId="1770C62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0F90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6610DE5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72" w:type="pct"/>
            <w:vMerge w:val="restart"/>
            <w:tcBorders>
              <w:left w:val="single" w:color="auto" w:sz="4" w:space="0"/>
            </w:tcBorders>
            <w:noWrap/>
            <w:vAlign w:val="center"/>
          </w:tcPr>
          <w:p w14:paraId="76D763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518" w:type="pct"/>
            <w:tcBorders>
              <w:left w:val="single" w:color="auto" w:sz="4" w:space="0"/>
            </w:tcBorders>
            <w:vAlign w:val="center"/>
          </w:tcPr>
          <w:p w14:paraId="7FC7E25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07CB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10" w:type="pct"/>
            <w:vMerge w:val="continue"/>
            <w:noWrap/>
            <w:vAlign w:val="center"/>
          </w:tcPr>
          <w:p w14:paraId="0CA0B0B0">
            <w:pPr>
              <w:shd w:val="clear"/>
              <w:rPr>
                <w:rFonts w:hint="eastAsia" w:ascii="宋体" w:hAnsi="宋体" w:eastAsia="宋体" w:cs="宋体"/>
                <w:color w:val="auto"/>
                <w:highlight w:val="none"/>
              </w:rPr>
            </w:pPr>
          </w:p>
        </w:tc>
        <w:tc>
          <w:tcPr>
            <w:tcW w:w="1072" w:type="pct"/>
            <w:vMerge w:val="continue"/>
            <w:tcBorders>
              <w:left w:val="single" w:color="auto" w:sz="4" w:space="0"/>
            </w:tcBorders>
            <w:noWrap/>
            <w:vAlign w:val="center"/>
          </w:tcPr>
          <w:p w14:paraId="117FF206">
            <w:pPr>
              <w:shd w:val="clear"/>
              <w:rPr>
                <w:rFonts w:hint="eastAsia" w:ascii="宋体" w:hAnsi="宋体" w:eastAsia="宋体" w:cs="宋体"/>
                <w:color w:val="auto"/>
                <w:highlight w:val="none"/>
              </w:rPr>
            </w:pPr>
          </w:p>
        </w:tc>
        <w:tc>
          <w:tcPr>
            <w:tcW w:w="3518" w:type="pct"/>
            <w:tcBorders>
              <w:left w:val="single" w:color="auto" w:sz="4" w:space="0"/>
            </w:tcBorders>
            <w:vAlign w:val="center"/>
          </w:tcPr>
          <w:p w14:paraId="45E845D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33C1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3513D660">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21" w:type="dxa"/>
            <w:tcBorders>
              <w:left w:val="single" w:color="auto" w:sz="4" w:space="0"/>
            </w:tcBorders>
            <w:noWrap/>
            <w:vAlign w:val="center"/>
          </w:tcPr>
          <w:p w14:paraId="13BEF115">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5977" w:type="dxa"/>
            <w:tcBorders>
              <w:left w:val="single" w:color="auto" w:sz="4" w:space="0"/>
            </w:tcBorders>
            <w:vAlign w:val="center"/>
          </w:tcPr>
          <w:p w14:paraId="76F0B5E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，需根据信创要求，完成信创测评，如因投标人原因未符合要求的，需负责整改到位。</w:t>
            </w:r>
          </w:p>
        </w:tc>
      </w:tr>
      <w:tr w14:paraId="38E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78E94CCC">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1072" w:type="pct"/>
            <w:vMerge w:val="restart"/>
            <w:tcBorders>
              <w:left w:val="single" w:color="auto" w:sz="4" w:space="0"/>
            </w:tcBorders>
            <w:noWrap/>
            <w:vAlign w:val="center"/>
          </w:tcPr>
          <w:p w14:paraId="43995BE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518" w:type="pct"/>
            <w:tcBorders>
              <w:left w:val="single" w:color="auto" w:sz="4" w:space="0"/>
            </w:tcBorders>
            <w:vAlign w:val="center"/>
          </w:tcPr>
          <w:p w14:paraId="1A1E05E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7F2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0" w:type="pct"/>
            <w:vMerge w:val="continue"/>
            <w:noWrap/>
            <w:vAlign w:val="center"/>
          </w:tcPr>
          <w:p w14:paraId="59EB1874">
            <w:pPr>
              <w:shd w:val="clear"/>
              <w:rPr>
                <w:rFonts w:hint="eastAsia" w:ascii="宋体" w:hAnsi="宋体" w:eastAsia="宋体" w:cs="宋体"/>
                <w:color w:val="auto"/>
                <w:highlight w:val="none"/>
              </w:rPr>
            </w:pPr>
          </w:p>
        </w:tc>
        <w:tc>
          <w:tcPr>
            <w:tcW w:w="1072" w:type="pct"/>
            <w:vMerge w:val="continue"/>
            <w:tcBorders>
              <w:left w:val="single" w:color="auto" w:sz="4" w:space="0"/>
            </w:tcBorders>
            <w:noWrap/>
            <w:vAlign w:val="center"/>
          </w:tcPr>
          <w:p w14:paraId="409E3FED">
            <w:pPr>
              <w:shd w:val="clear"/>
              <w:rPr>
                <w:rFonts w:hint="eastAsia" w:ascii="宋体" w:hAnsi="宋体" w:eastAsia="宋体" w:cs="宋体"/>
                <w:color w:val="auto"/>
                <w:highlight w:val="none"/>
              </w:rPr>
            </w:pPr>
          </w:p>
        </w:tc>
        <w:tc>
          <w:tcPr>
            <w:tcW w:w="3518" w:type="pct"/>
            <w:tcBorders>
              <w:left w:val="single" w:color="auto" w:sz="4" w:space="0"/>
            </w:tcBorders>
            <w:vAlign w:val="center"/>
          </w:tcPr>
          <w:p w14:paraId="468D3055">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在服务期间，投标人的项目组人员对系统运行情况每天进行巡检，并建立巡检台账。</w:t>
            </w:r>
          </w:p>
        </w:tc>
      </w:tr>
      <w:tr w14:paraId="6D19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678A31A7">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1072" w:type="pct"/>
            <w:tcBorders>
              <w:left w:val="single" w:color="auto" w:sz="4" w:space="0"/>
            </w:tcBorders>
            <w:noWrap/>
            <w:vAlign w:val="center"/>
          </w:tcPr>
          <w:p w14:paraId="3E51257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518" w:type="pct"/>
            <w:tcBorders>
              <w:left w:val="single" w:color="auto" w:sz="4" w:space="0"/>
            </w:tcBorders>
            <w:vAlign w:val="center"/>
          </w:tcPr>
          <w:p w14:paraId="0C58705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1F9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63DE51F1">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1072" w:type="pct"/>
            <w:tcBorders>
              <w:left w:val="single" w:color="auto" w:sz="4" w:space="0"/>
            </w:tcBorders>
            <w:noWrap/>
            <w:vAlign w:val="center"/>
          </w:tcPr>
          <w:p w14:paraId="6CE807E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518" w:type="pct"/>
            <w:tcBorders>
              <w:left w:val="single" w:color="auto" w:sz="4" w:space="0"/>
            </w:tcBorders>
            <w:vAlign w:val="center"/>
          </w:tcPr>
          <w:p w14:paraId="4399013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按合同要求对采购人系统操作人员、系统管理人员、系统运维人员进行培训，形成相应培训记录。</w:t>
            </w:r>
          </w:p>
        </w:tc>
      </w:tr>
      <w:tr w14:paraId="35FB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1258164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1072" w:type="pct"/>
            <w:tcBorders>
              <w:left w:val="single" w:color="auto" w:sz="4" w:space="0"/>
            </w:tcBorders>
            <w:noWrap/>
            <w:vAlign w:val="center"/>
          </w:tcPr>
          <w:p w14:paraId="2FE6A39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518" w:type="pct"/>
            <w:tcBorders>
              <w:left w:val="single" w:color="auto" w:sz="4" w:space="0"/>
            </w:tcBorders>
            <w:vAlign w:val="center"/>
          </w:tcPr>
          <w:p w14:paraId="0BBCE4F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4C1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2E70198">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1072" w:type="pct"/>
            <w:tcBorders>
              <w:left w:val="single" w:color="auto" w:sz="4" w:space="0"/>
            </w:tcBorders>
            <w:vAlign w:val="center"/>
          </w:tcPr>
          <w:p w14:paraId="7297187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518" w:type="pct"/>
            <w:tcBorders>
              <w:left w:val="single" w:color="auto" w:sz="4" w:space="0"/>
            </w:tcBorders>
            <w:vAlign w:val="center"/>
          </w:tcPr>
          <w:p w14:paraId="2DD310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6BB15E4C">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验收资料和文件是项目验收的重要依据，投标人从项目实施开始就应完整地积累和保管，验收时在职能部门的指导、配合下按照采购人有关要求编目建档。</w:t>
      </w:r>
    </w:p>
    <w:p w14:paraId="40B4F06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最终验收资料清单：</w:t>
      </w:r>
    </w:p>
    <w:p w14:paraId="45677C90">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w:t>
      </w:r>
    </w:p>
    <w:p w14:paraId="7D821BD7">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2F2E19BD">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w:t>
      </w:r>
    </w:p>
    <w:p w14:paraId="161163E5">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1DC44A1A">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驻点人员每日钉钉考勤签到表：需采购人经办人、复核人、投标人签字并盖章；</w:t>
      </w:r>
    </w:p>
    <w:p w14:paraId="0E17231B">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租赁设备清单、产品合格证、质保承诺书；</w:t>
      </w:r>
    </w:p>
    <w:p w14:paraId="7DC3502D">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服务方案；</w:t>
      </w:r>
    </w:p>
    <w:p w14:paraId="1A175D52">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专网云平台监测报告、巡检报告；</w:t>
      </w:r>
    </w:p>
    <w:p w14:paraId="6CF5D4E7">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每月考核材料；</w:t>
      </w:r>
    </w:p>
    <w:p w14:paraId="18EF3E5B">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数据接入清单；</w:t>
      </w:r>
    </w:p>
    <w:p w14:paraId="7F54A28A">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验收报审表、信息化项目变更审批表（如有）；</w:t>
      </w:r>
    </w:p>
    <w:p w14:paraId="0CE1D0B2">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系统渗透测试报告；</w:t>
      </w:r>
    </w:p>
    <w:p w14:paraId="7BE90C6A">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应急响应报告；</w:t>
      </w:r>
    </w:p>
    <w:p w14:paraId="77B42359">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网络安全事件应急预案；</w:t>
      </w:r>
    </w:p>
    <w:p w14:paraId="46B77983">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网络安全事件应急演练报告；</w:t>
      </w:r>
    </w:p>
    <w:p w14:paraId="449F6307">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重保期间安全日报；</w:t>
      </w:r>
    </w:p>
    <w:p w14:paraId="5228D59D">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网络安全保障方案、网络安全风险书面报告（如有）、网络安全重大事项书面报告（如有）、网络安全报告；</w:t>
      </w:r>
    </w:p>
    <w:p w14:paraId="45379D31">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第三方检测报告；</w:t>
      </w:r>
    </w:p>
    <w:p w14:paraId="0E648AE1">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22E09072">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信创测评报告；</w:t>
      </w:r>
    </w:p>
    <w:p w14:paraId="7E2A86B9">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软件测试方案/计划、测试报告/用例、系统配置手册、操作手册/维护手册；</w:t>
      </w:r>
    </w:p>
    <w:p w14:paraId="4A01AB47">
      <w:pPr>
        <w:numPr>
          <w:ilvl w:val="0"/>
          <w:numId w:val="3"/>
        </w:numPr>
        <w:shd w:val="clear"/>
        <w:tabs>
          <w:tab w:val="left" w:pos="904"/>
        </w:tabs>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其他相关材料：培训材料、单位保密协议、个人保密承诺、日常保密教育台账、分包协议（如有）、第一期验收资料等。</w:t>
      </w:r>
    </w:p>
    <w:p w14:paraId="4D0BD0A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6.履约验收标准</w:t>
      </w:r>
    </w:p>
    <w:p w14:paraId="0C8ECE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根据采购文件确定的技术指标或者服务要求确定验收指标和标准。未进行相应约定的，应当符合国家强制性规定、政策要求、安全标准、行业和企业有关标准等。</w:t>
      </w:r>
    </w:p>
    <w:p w14:paraId="41C0F07A">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（八）考核</w:t>
      </w:r>
    </w:p>
    <w:p w14:paraId="3512A8E9">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人负责对本项目的管理指导、验收考核等职责，督促中标人履行合同。采购人委托监理单位对中标人服务工作进行考核，考核结果由采购人经办人、审核人、监理单位、中标人签字盖章。如考核周期内重复出现相同扣分情形，累计计算扣除分值。</w:t>
      </w:r>
    </w:p>
    <w:p w14:paraId="4BCB1F61">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本考核以月为考核周期，采用百分制计分方式，采购人根据逐条考核事项及对应扣分对投标人进行计分。投标人每被扣1分，扣除违约金</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00元，违约金在结算合同尾款时扣除。考核分值高于90分（含90分）视为合格，90分以下视为不合格；如投标人经采购人考评连续两次均为不合格，采购人有权无条件终止合同,并没收投标人全部履约保证金。如给采购人造成损失的有权向投标人提出索赔。</w:t>
      </w:r>
    </w:p>
    <w:p w14:paraId="4D911D9C">
      <w:pPr>
        <w:shd w:val="clear"/>
        <w:spacing w:before="120"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每月考核表（2025年  月）</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01"/>
        <w:gridCol w:w="799"/>
        <w:gridCol w:w="4764"/>
        <w:gridCol w:w="928"/>
        <w:gridCol w:w="925"/>
      </w:tblGrid>
      <w:tr w14:paraId="2FB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62" w:type="dxa"/>
            <w:gridSpan w:val="3"/>
            <w:noWrap/>
            <w:vAlign w:val="center"/>
          </w:tcPr>
          <w:p w14:paraId="6077DF8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w:t>
            </w:r>
          </w:p>
        </w:tc>
        <w:tc>
          <w:tcPr>
            <w:tcW w:w="6617" w:type="dxa"/>
            <w:gridSpan w:val="3"/>
            <w:noWrap/>
            <w:vAlign w:val="center"/>
          </w:tcPr>
          <w:p w14:paraId="7A092167">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C68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68298683">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4" w:type="dxa"/>
            <w:gridSpan w:val="3"/>
            <w:tcBorders>
              <w:left w:val="single" w:color="auto" w:sz="4" w:space="0"/>
            </w:tcBorders>
            <w:noWrap/>
            <w:vAlign w:val="center"/>
          </w:tcPr>
          <w:p w14:paraId="201D7AF5">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考核内容</w:t>
            </w:r>
          </w:p>
        </w:tc>
        <w:tc>
          <w:tcPr>
            <w:tcW w:w="928" w:type="dxa"/>
            <w:tcBorders>
              <w:left w:val="single" w:color="auto" w:sz="4" w:space="0"/>
            </w:tcBorders>
            <w:noWrap/>
            <w:vAlign w:val="center"/>
          </w:tcPr>
          <w:p w14:paraId="5D7D4B39">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考核 扣分</w:t>
            </w:r>
          </w:p>
        </w:tc>
        <w:tc>
          <w:tcPr>
            <w:tcW w:w="925" w:type="dxa"/>
            <w:tcBorders>
              <w:left w:val="single" w:color="auto" w:sz="4" w:space="0"/>
            </w:tcBorders>
            <w:noWrap/>
            <w:vAlign w:val="center"/>
          </w:tcPr>
          <w:p w14:paraId="6A52B5ED">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7C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60F9DF9">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01" w:type="dxa"/>
            <w:tcBorders>
              <w:left w:val="single" w:color="auto" w:sz="4" w:space="0"/>
            </w:tcBorders>
            <w:noWrap/>
            <w:vAlign w:val="center"/>
          </w:tcPr>
          <w:p w14:paraId="116B5A3B">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交通管理数据全生命周期运营服务</w:t>
            </w:r>
          </w:p>
        </w:tc>
        <w:tc>
          <w:tcPr>
            <w:tcW w:w="5563" w:type="dxa"/>
            <w:gridSpan w:val="2"/>
            <w:tcBorders>
              <w:left w:val="single" w:color="auto" w:sz="4" w:space="0"/>
            </w:tcBorders>
            <w:vAlign w:val="center"/>
          </w:tcPr>
          <w:p w14:paraId="061C8E3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按采购人实际需求完成当月交通管理数据全生命周期运营服务所要求的内容及数量（不限于采购人电话、微信、钉钉、短信等交办的），服务未达到当月要求的，每发生一次扣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w:t>
            </w:r>
          </w:p>
        </w:tc>
        <w:tc>
          <w:tcPr>
            <w:tcW w:w="928" w:type="dxa"/>
            <w:tcBorders>
              <w:left w:val="single" w:color="auto" w:sz="4" w:space="0"/>
            </w:tcBorders>
            <w:noWrap/>
            <w:vAlign w:val="center"/>
          </w:tcPr>
          <w:p w14:paraId="717AC6CB">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765179A7">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69FF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132C196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01" w:type="dxa"/>
            <w:tcBorders>
              <w:left w:val="single" w:color="auto" w:sz="4" w:space="0"/>
            </w:tcBorders>
            <w:noWrap/>
            <w:vAlign w:val="center"/>
          </w:tcPr>
          <w:p w14:paraId="446E6D0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安全加固及应用迁移改造服务</w:t>
            </w:r>
          </w:p>
        </w:tc>
        <w:tc>
          <w:tcPr>
            <w:tcW w:w="5563" w:type="dxa"/>
            <w:gridSpan w:val="2"/>
            <w:tcBorders>
              <w:left w:val="single" w:color="auto" w:sz="4" w:space="0"/>
            </w:tcBorders>
            <w:vAlign w:val="center"/>
          </w:tcPr>
          <w:p w14:paraId="28AAE96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按采购人实际需求完成安全加固及应用迁移改造服务所要求的内容及数量（不限于采购人电话、微信、钉钉、短信等交办的），服务未达到当月要求的，每发生一次扣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。在服务周期中，如因未按照合同要求进行服务或工作失误，导致发生重大安全事故并被上级部门通报的，每发生一次扣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3819B2E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ECBDC49">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E0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2" w:type="dxa"/>
            <w:noWrap/>
            <w:vAlign w:val="center"/>
          </w:tcPr>
          <w:p w14:paraId="1324221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01" w:type="dxa"/>
            <w:tcBorders>
              <w:left w:val="single" w:color="auto" w:sz="4" w:space="0"/>
            </w:tcBorders>
            <w:noWrap/>
            <w:vAlign w:val="center"/>
          </w:tcPr>
          <w:p w14:paraId="6073A16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货运导航数据及运营保障服务</w:t>
            </w:r>
          </w:p>
        </w:tc>
        <w:tc>
          <w:tcPr>
            <w:tcW w:w="5563" w:type="dxa"/>
            <w:gridSpan w:val="2"/>
            <w:tcBorders>
              <w:left w:val="single" w:color="auto" w:sz="4" w:space="0"/>
            </w:tcBorders>
            <w:vAlign w:val="center"/>
          </w:tcPr>
          <w:p w14:paraId="52DD2C1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按采购人实际需求完成货运导航数据及运营保障服务所要求的内容及数量（不限于采购人电话、微信、钉钉、短信等交办的），服务未达到当月要求的，每发生一次扣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5D80C06A">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2E16957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13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2" w:type="dxa"/>
            <w:noWrap/>
            <w:vAlign w:val="center"/>
          </w:tcPr>
          <w:p w14:paraId="783A1FF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01" w:type="dxa"/>
            <w:tcBorders>
              <w:left w:val="single" w:color="auto" w:sz="4" w:space="0"/>
            </w:tcBorders>
            <w:noWrap/>
            <w:vAlign w:val="center"/>
          </w:tcPr>
          <w:p w14:paraId="4D2D6E1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安全防控治理服务</w:t>
            </w:r>
          </w:p>
        </w:tc>
        <w:tc>
          <w:tcPr>
            <w:tcW w:w="5563" w:type="dxa"/>
            <w:gridSpan w:val="2"/>
            <w:tcBorders>
              <w:left w:val="single" w:color="auto" w:sz="4" w:space="0"/>
            </w:tcBorders>
            <w:vAlign w:val="center"/>
          </w:tcPr>
          <w:p w14:paraId="2480DE2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按采购人实际需求完成安全防控治理服务所要求的内容及数量（不限于采购人电话、微信、钉钉、短信等交办的），服务未达到当月要求的，每发生一次扣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28002322">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885E2AC">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3551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7D94CC9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01" w:type="dxa"/>
            <w:tcBorders>
              <w:left w:val="single" w:color="auto" w:sz="4" w:space="0"/>
            </w:tcBorders>
            <w:noWrap/>
            <w:vAlign w:val="center"/>
          </w:tcPr>
          <w:p w14:paraId="60CCC1E2">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租赁设备符合情况</w:t>
            </w:r>
          </w:p>
        </w:tc>
        <w:tc>
          <w:tcPr>
            <w:tcW w:w="5563" w:type="dxa"/>
            <w:gridSpan w:val="2"/>
            <w:tcBorders>
              <w:left w:val="single" w:color="auto" w:sz="4" w:space="0"/>
            </w:tcBorders>
            <w:vAlign w:val="center"/>
          </w:tcPr>
          <w:p w14:paraId="7DC8EA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未按照要求提供设备的，每发生一次扣</w:t>
            </w:r>
            <w:r>
              <w:rPr>
                <w:rFonts w:hint="eastAsia" w:ascii="宋体" w:hAnsi="宋体" w:eastAsia="宋体" w:cs="宋体"/>
                <w:b/>
                <w:bCs/>
                <w:color w:val="auto"/>
                <w:sz w:val="24"/>
                <w:highlight w:val="none"/>
              </w:rPr>
              <w:t>5分。</w:t>
            </w:r>
          </w:p>
        </w:tc>
        <w:tc>
          <w:tcPr>
            <w:tcW w:w="928" w:type="dxa"/>
            <w:tcBorders>
              <w:left w:val="single" w:color="auto" w:sz="4" w:space="0"/>
            </w:tcBorders>
            <w:noWrap/>
            <w:vAlign w:val="center"/>
          </w:tcPr>
          <w:p w14:paraId="397F00D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519F22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0EC3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698D7B8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01" w:type="dxa"/>
            <w:tcBorders>
              <w:left w:val="single" w:color="auto" w:sz="4" w:space="0"/>
            </w:tcBorders>
            <w:noWrap/>
            <w:vAlign w:val="center"/>
          </w:tcPr>
          <w:p w14:paraId="02D78F3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服务响应时间</w:t>
            </w:r>
          </w:p>
        </w:tc>
        <w:tc>
          <w:tcPr>
            <w:tcW w:w="5563" w:type="dxa"/>
            <w:gridSpan w:val="2"/>
            <w:tcBorders>
              <w:left w:val="single" w:color="auto" w:sz="4" w:space="0"/>
            </w:tcBorders>
            <w:vAlign w:val="center"/>
          </w:tcPr>
          <w:p w14:paraId="26E91B5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提供7*24小时响应服务。接到采购人通知后应于</w:t>
            </w:r>
            <w:r>
              <w:rPr>
                <w:rFonts w:hint="eastAsia" w:ascii="宋体" w:hAnsi="宋体" w:eastAsia="宋体" w:cs="宋体"/>
                <w:b/>
                <w:bCs/>
                <w:color w:val="auto"/>
                <w:sz w:val="24"/>
                <w:highlight w:val="none"/>
              </w:rPr>
              <w:t>15分钟</w:t>
            </w:r>
            <w:r>
              <w:rPr>
                <w:rFonts w:hint="eastAsia" w:ascii="宋体" w:hAnsi="宋体" w:eastAsia="宋体" w:cs="宋体"/>
                <w:color w:val="auto"/>
                <w:sz w:val="24"/>
                <w:highlight w:val="none"/>
              </w:rPr>
              <w:t>内响应，</w:t>
            </w:r>
            <w:r>
              <w:rPr>
                <w:rFonts w:hint="eastAsia" w:ascii="宋体" w:hAnsi="宋体" w:eastAsia="宋体" w:cs="宋体"/>
                <w:b/>
                <w:bCs/>
                <w:color w:val="auto"/>
                <w:sz w:val="24"/>
                <w:highlight w:val="none"/>
              </w:rPr>
              <w:t>4小时内</w:t>
            </w:r>
            <w:r>
              <w:rPr>
                <w:rFonts w:hint="eastAsia" w:ascii="宋体" w:hAnsi="宋体" w:eastAsia="宋体" w:cs="宋体"/>
                <w:color w:val="auto"/>
                <w:sz w:val="24"/>
                <w:highlight w:val="none"/>
              </w:rPr>
              <w:t>解决问题；如现场驻点人员无法解决需投标人公司提供技术支持的，技术支持人员需3小时内到达现场，48小时内解决问题。不满足要求的，每发生一次扣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02FD684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77704B6">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85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2" w:type="dxa"/>
            <w:noWrap/>
            <w:vAlign w:val="center"/>
          </w:tcPr>
          <w:p w14:paraId="76E08326">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01" w:type="dxa"/>
            <w:vMerge w:val="restart"/>
            <w:tcBorders>
              <w:left w:val="single" w:color="auto" w:sz="4" w:space="0"/>
            </w:tcBorders>
            <w:noWrap/>
            <w:vAlign w:val="center"/>
          </w:tcPr>
          <w:p w14:paraId="7D84701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tc>
        <w:tc>
          <w:tcPr>
            <w:tcW w:w="5563" w:type="dxa"/>
            <w:gridSpan w:val="2"/>
            <w:tcBorders>
              <w:left w:val="single" w:color="auto" w:sz="4" w:space="0"/>
            </w:tcBorders>
            <w:vAlign w:val="center"/>
          </w:tcPr>
          <w:p w14:paraId="6B62106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驻点人员数量不符合采购要求的，每发生一次扣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19919A04">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1018F5C">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26D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122D617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01" w:type="dxa"/>
            <w:vMerge w:val="continue"/>
            <w:tcBorders>
              <w:left w:val="single" w:color="auto" w:sz="4" w:space="0"/>
            </w:tcBorders>
            <w:noWrap/>
            <w:vAlign w:val="center"/>
          </w:tcPr>
          <w:p w14:paraId="48A3C44C">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1FD0EDF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驻点人员发生变动时未按采购要求提前通知采购人的，每发生一次扣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275B882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3D297CE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086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4892B6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01" w:type="dxa"/>
            <w:tcBorders>
              <w:left w:val="single" w:color="auto" w:sz="4" w:space="0"/>
            </w:tcBorders>
            <w:noWrap/>
            <w:vAlign w:val="center"/>
          </w:tcPr>
          <w:p w14:paraId="7AAE182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培训要求</w:t>
            </w:r>
          </w:p>
        </w:tc>
        <w:tc>
          <w:tcPr>
            <w:tcW w:w="5563" w:type="dxa"/>
            <w:gridSpan w:val="2"/>
            <w:tcBorders>
              <w:left w:val="single" w:color="auto" w:sz="4" w:space="0"/>
            </w:tcBorders>
            <w:vAlign w:val="center"/>
          </w:tcPr>
          <w:p w14:paraId="4A7C60C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未按采购人要求进行培训的，每发生一次扣3分。</w:t>
            </w:r>
          </w:p>
        </w:tc>
        <w:tc>
          <w:tcPr>
            <w:tcW w:w="928" w:type="dxa"/>
            <w:tcBorders>
              <w:left w:val="single" w:color="auto" w:sz="4" w:space="0"/>
            </w:tcBorders>
            <w:noWrap/>
            <w:vAlign w:val="center"/>
          </w:tcPr>
          <w:p w14:paraId="09B32A1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2D1B9BDD">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6076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restart"/>
            <w:noWrap/>
            <w:vAlign w:val="center"/>
          </w:tcPr>
          <w:p w14:paraId="60152EB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01" w:type="dxa"/>
            <w:vMerge w:val="restart"/>
            <w:tcBorders>
              <w:left w:val="single" w:color="auto" w:sz="4" w:space="0"/>
            </w:tcBorders>
            <w:noWrap/>
            <w:vAlign w:val="center"/>
          </w:tcPr>
          <w:p w14:paraId="237564BC">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网络安全及保密</w:t>
            </w:r>
          </w:p>
        </w:tc>
        <w:tc>
          <w:tcPr>
            <w:tcW w:w="5563" w:type="dxa"/>
            <w:gridSpan w:val="2"/>
            <w:tcBorders>
              <w:left w:val="single" w:color="auto" w:sz="4" w:space="0"/>
            </w:tcBorders>
            <w:vAlign w:val="center"/>
          </w:tcPr>
          <w:p w14:paraId="358A62C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未按网络安全履行责任和义务的，每发生一次扣除违约金</w:t>
            </w:r>
            <w:r>
              <w:rPr>
                <w:rFonts w:hint="eastAsia" w:ascii="宋体" w:hAnsi="宋体" w:eastAsia="宋体" w:cs="宋体"/>
                <w:b/>
                <w:bCs/>
                <w:color w:val="auto"/>
                <w:sz w:val="24"/>
                <w:highlight w:val="none"/>
              </w:rPr>
              <w:t>10000元。</w:t>
            </w:r>
          </w:p>
        </w:tc>
        <w:tc>
          <w:tcPr>
            <w:tcW w:w="928" w:type="dxa"/>
            <w:tcBorders>
              <w:left w:val="single" w:color="auto" w:sz="4" w:space="0"/>
            </w:tcBorders>
            <w:noWrap/>
            <w:vAlign w:val="center"/>
          </w:tcPr>
          <w:p w14:paraId="301C0722">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1A823493">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DE8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noWrap/>
            <w:vAlign w:val="center"/>
          </w:tcPr>
          <w:p w14:paraId="1104724A">
            <w:pPr>
              <w:shd w:val="clear"/>
              <w:rPr>
                <w:rFonts w:hint="eastAsia" w:ascii="宋体" w:hAnsi="宋体" w:eastAsia="宋体" w:cs="宋体"/>
                <w:color w:val="auto"/>
                <w:highlight w:val="none"/>
              </w:rPr>
            </w:pPr>
          </w:p>
        </w:tc>
        <w:tc>
          <w:tcPr>
            <w:tcW w:w="1401" w:type="dxa"/>
            <w:vMerge w:val="continue"/>
            <w:tcBorders>
              <w:left w:val="single" w:color="auto" w:sz="4" w:space="0"/>
            </w:tcBorders>
            <w:noWrap/>
            <w:vAlign w:val="center"/>
          </w:tcPr>
          <w:p w14:paraId="7B3E088E">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40454FA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投标人未按保密管理条款规定执行的，每发现一次处违约金</w:t>
            </w:r>
            <w:r>
              <w:rPr>
                <w:rFonts w:hint="eastAsia" w:ascii="宋体" w:hAnsi="宋体" w:eastAsia="宋体" w:cs="宋体"/>
                <w:b/>
                <w:bCs/>
                <w:color w:val="auto"/>
                <w:sz w:val="24"/>
                <w:highlight w:val="none"/>
              </w:rPr>
              <w:t>10000元，</w:t>
            </w:r>
            <w:r>
              <w:rPr>
                <w:rFonts w:hint="eastAsia" w:ascii="宋体" w:hAnsi="宋体" w:eastAsia="宋体" w:cs="宋体"/>
                <w:color w:val="auto"/>
                <w:sz w:val="24"/>
                <w:highlight w:val="none"/>
              </w:rPr>
              <w:t>如发生泄密事件，除赔偿采购人损失外，还应承担全部法律责任。</w:t>
            </w:r>
          </w:p>
        </w:tc>
        <w:tc>
          <w:tcPr>
            <w:tcW w:w="928" w:type="dxa"/>
            <w:tcBorders>
              <w:left w:val="single" w:color="auto" w:sz="4" w:space="0"/>
            </w:tcBorders>
            <w:noWrap/>
            <w:vAlign w:val="center"/>
          </w:tcPr>
          <w:p w14:paraId="33DB3895">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FCA3DD3">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113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14:paraId="4EA44F4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01" w:type="dxa"/>
            <w:tcBorders>
              <w:top w:val="single" w:color="auto" w:sz="4" w:space="0"/>
              <w:left w:val="single" w:color="auto" w:sz="4" w:space="0"/>
              <w:bottom w:val="single" w:color="auto" w:sz="4" w:space="0"/>
              <w:right w:val="single" w:color="auto" w:sz="4" w:space="0"/>
            </w:tcBorders>
            <w:noWrap/>
            <w:vAlign w:val="center"/>
          </w:tcPr>
          <w:p w14:paraId="4B2A9C76">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5563" w:type="dxa"/>
            <w:gridSpan w:val="2"/>
            <w:tcBorders>
              <w:top w:val="single" w:color="auto" w:sz="4" w:space="0"/>
              <w:left w:val="single" w:color="auto" w:sz="4" w:space="0"/>
              <w:bottom w:val="single" w:color="auto" w:sz="4" w:space="0"/>
              <w:right w:val="single" w:color="auto" w:sz="4" w:space="0"/>
            </w:tcBorders>
            <w:vAlign w:val="center"/>
          </w:tcPr>
          <w:p w14:paraId="61E42F3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其他服务未满足采购人要求的，每发生一次扣1分。</w:t>
            </w:r>
          </w:p>
        </w:tc>
        <w:tc>
          <w:tcPr>
            <w:tcW w:w="928" w:type="dxa"/>
            <w:tcBorders>
              <w:top w:val="single" w:color="auto" w:sz="4" w:space="0"/>
              <w:left w:val="single" w:color="auto" w:sz="4" w:space="0"/>
              <w:bottom w:val="single" w:color="auto" w:sz="4" w:space="0"/>
              <w:right w:val="single" w:color="auto" w:sz="4" w:space="0"/>
            </w:tcBorders>
            <w:noWrap/>
            <w:vAlign w:val="center"/>
          </w:tcPr>
          <w:p w14:paraId="2B0CC10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1423BF0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1E4C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6" w:type="dxa"/>
            <w:gridSpan w:val="4"/>
            <w:noWrap/>
            <w:vAlign w:val="center"/>
          </w:tcPr>
          <w:p w14:paraId="589A19A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小计</w:t>
            </w:r>
          </w:p>
        </w:tc>
        <w:tc>
          <w:tcPr>
            <w:tcW w:w="928" w:type="dxa"/>
            <w:tcBorders>
              <w:left w:val="single" w:color="auto" w:sz="4" w:space="0"/>
            </w:tcBorders>
            <w:noWrap/>
            <w:vAlign w:val="center"/>
          </w:tcPr>
          <w:p w14:paraId="4B8CD4D4">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5693D084">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50C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9" w:type="dxa"/>
            <w:gridSpan w:val="6"/>
            <w:noWrap/>
            <w:vAlign w:val="center"/>
          </w:tcPr>
          <w:p w14:paraId="725574A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采购人项目经办人（签字）：                监理人签字（盖章）：</w:t>
            </w:r>
          </w:p>
          <w:p w14:paraId="63555A7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采购人项目审核人（签字、盖章）：          投标人项目负责人（签字、盖章）：</w:t>
            </w:r>
          </w:p>
          <w:p w14:paraId="2BB4390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日  期：</w:t>
            </w:r>
          </w:p>
        </w:tc>
      </w:tr>
    </w:tbl>
    <w:p w14:paraId="1FE211D8">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4508B62">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51" w:name="_Toc184312125"/>
      <w:bookmarkEnd w:id="51"/>
      <w:bookmarkStart w:id="52" w:name="_Toc184308076"/>
      <w:bookmarkEnd w:id="52"/>
      <w:bookmarkStart w:id="53" w:name="_Toc184312123"/>
      <w:bookmarkEnd w:id="53"/>
      <w:bookmarkStart w:id="54" w:name="_Toc184308039"/>
      <w:bookmarkEnd w:id="54"/>
      <w:bookmarkStart w:id="55" w:name="_Toc184312133"/>
      <w:bookmarkEnd w:id="55"/>
      <w:bookmarkStart w:id="56" w:name="_Toc184314469"/>
      <w:bookmarkEnd w:id="56"/>
      <w:bookmarkStart w:id="57" w:name="_Toc184312071"/>
      <w:bookmarkEnd w:id="57"/>
      <w:bookmarkStart w:id="58" w:name="_Toc184313247"/>
      <w:bookmarkEnd w:id="58"/>
      <w:bookmarkStart w:id="59" w:name="_Toc184314470"/>
      <w:bookmarkEnd w:id="59"/>
      <w:bookmarkStart w:id="60" w:name="_Toc184310293"/>
      <w:bookmarkEnd w:id="60"/>
      <w:bookmarkStart w:id="61" w:name="_Toc184312094"/>
      <w:bookmarkEnd w:id="61"/>
      <w:bookmarkStart w:id="62" w:name="_Toc184310338"/>
      <w:bookmarkEnd w:id="62"/>
      <w:bookmarkStart w:id="63" w:name="_Toc184312077"/>
      <w:bookmarkEnd w:id="63"/>
      <w:bookmarkStart w:id="64" w:name="_Toc184308081"/>
      <w:bookmarkEnd w:id="64"/>
      <w:bookmarkStart w:id="65" w:name="_Toc184312109"/>
      <w:bookmarkEnd w:id="65"/>
      <w:bookmarkStart w:id="66" w:name="_Toc184310284"/>
      <w:bookmarkEnd w:id="66"/>
      <w:bookmarkStart w:id="67" w:name="_Toc184314444"/>
      <w:bookmarkEnd w:id="67"/>
      <w:bookmarkStart w:id="68" w:name="_Toc184312070"/>
      <w:bookmarkEnd w:id="68"/>
      <w:bookmarkStart w:id="69" w:name="_Toc184314421"/>
      <w:bookmarkEnd w:id="69"/>
      <w:bookmarkStart w:id="70" w:name="_Toc184314452"/>
      <w:bookmarkEnd w:id="70"/>
      <w:bookmarkStart w:id="71" w:name="_Toc184314426"/>
      <w:bookmarkEnd w:id="71"/>
      <w:bookmarkStart w:id="72" w:name="_Toc184308060"/>
      <w:bookmarkEnd w:id="72"/>
      <w:bookmarkStart w:id="73" w:name="_Toc184312098"/>
      <w:bookmarkEnd w:id="73"/>
      <w:bookmarkStart w:id="74" w:name="_Toc184312111"/>
      <w:bookmarkEnd w:id="74"/>
      <w:bookmarkStart w:id="75" w:name="_Toc184313272"/>
      <w:bookmarkEnd w:id="75"/>
      <w:bookmarkStart w:id="76" w:name="_Toc184310320"/>
      <w:bookmarkEnd w:id="76"/>
      <w:bookmarkStart w:id="77" w:name="_Toc184314436"/>
      <w:bookmarkEnd w:id="77"/>
      <w:bookmarkStart w:id="78" w:name="_Toc184314455"/>
      <w:bookmarkEnd w:id="78"/>
      <w:bookmarkStart w:id="79" w:name="_Toc184310288"/>
      <w:bookmarkEnd w:id="79"/>
      <w:bookmarkStart w:id="80" w:name="_Toc184310344"/>
      <w:bookmarkEnd w:id="80"/>
      <w:bookmarkStart w:id="81" w:name="_Toc184310341"/>
      <w:bookmarkEnd w:id="81"/>
      <w:bookmarkStart w:id="82" w:name="_Toc184308074"/>
      <w:bookmarkEnd w:id="82"/>
      <w:bookmarkStart w:id="83" w:name="_Toc184312104"/>
      <w:bookmarkEnd w:id="83"/>
      <w:bookmarkStart w:id="84" w:name="_Toc184308070"/>
      <w:bookmarkEnd w:id="84"/>
      <w:bookmarkStart w:id="85" w:name="_Toc184308038"/>
      <w:bookmarkEnd w:id="85"/>
      <w:bookmarkStart w:id="86" w:name="_Toc184310331"/>
      <w:bookmarkEnd w:id="86"/>
      <w:bookmarkStart w:id="87" w:name="_Toc184310292"/>
      <w:bookmarkEnd w:id="87"/>
      <w:bookmarkStart w:id="88" w:name="_Toc184314432"/>
      <w:bookmarkEnd w:id="88"/>
      <w:bookmarkStart w:id="89" w:name="_Toc184313309"/>
      <w:bookmarkEnd w:id="89"/>
      <w:bookmarkStart w:id="90" w:name="_Toc184314466"/>
      <w:bookmarkEnd w:id="90"/>
      <w:bookmarkStart w:id="91" w:name="_Toc184308071"/>
      <w:bookmarkEnd w:id="91"/>
      <w:bookmarkStart w:id="92" w:name="_Toc184313259"/>
      <w:bookmarkEnd w:id="92"/>
      <w:bookmarkStart w:id="93" w:name="_Toc184314438"/>
      <w:bookmarkEnd w:id="93"/>
      <w:bookmarkStart w:id="94" w:name="_Toc184314454"/>
      <w:bookmarkEnd w:id="94"/>
      <w:bookmarkStart w:id="95" w:name="_Toc184314446"/>
      <w:bookmarkEnd w:id="95"/>
      <w:bookmarkStart w:id="96" w:name="_Toc184313273"/>
      <w:bookmarkEnd w:id="96"/>
      <w:bookmarkStart w:id="97" w:name="_Toc184312099"/>
      <w:bookmarkEnd w:id="97"/>
      <w:bookmarkStart w:id="98" w:name="_Toc184308093"/>
      <w:bookmarkEnd w:id="98"/>
      <w:bookmarkStart w:id="99" w:name="_Toc184310280"/>
      <w:bookmarkEnd w:id="99"/>
      <w:bookmarkStart w:id="100" w:name="_Toc184308052"/>
      <w:bookmarkEnd w:id="100"/>
      <w:bookmarkStart w:id="101" w:name="_Toc184312081"/>
      <w:bookmarkEnd w:id="101"/>
      <w:bookmarkStart w:id="102" w:name="_Toc184310334"/>
      <w:bookmarkEnd w:id="102"/>
      <w:bookmarkStart w:id="103" w:name="_Toc184308057"/>
      <w:bookmarkEnd w:id="103"/>
      <w:bookmarkStart w:id="104" w:name="_Toc184313307"/>
      <w:bookmarkEnd w:id="104"/>
      <w:bookmarkStart w:id="105" w:name="_Toc184310299"/>
      <w:bookmarkEnd w:id="105"/>
      <w:bookmarkStart w:id="106" w:name="_Toc184308108"/>
      <w:bookmarkEnd w:id="106"/>
      <w:bookmarkStart w:id="107" w:name="_Toc184314482"/>
      <w:bookmarkEnd w:id="107"/>
      <w:bookmarkStart w:id="108" w:name="_Toc184314424"/>
      <w:bookmarkEnd w:id="108"/>
      <w:bookmarkStart w:id="109" w:name="_Toc184308102"/>
      <w:bookmarkEnd w:id="109"/>
      <w:bookmarkStart w:id="110" w:name="_Toc184314419"/>
      <w:bookmarkEnd w:id="110"/>
      <w:bookmarkStart w:id="111" w:name="_Toc184312075"/>
      <w:bookmarkEnd w:id="111"/>
      <w:bookmarkStart w:id="112" w:name="_Toc184310312"/>
      <w:bookmarkEnd w:id="112"/>
      <w:bookmarkStart w:id="113" w:name="_Toc184314461"/>
      <w:bookmarkEnd w:id="113"/>
      <w:bookmarkStart w:id="114" w:name="_Toc184313270"/>
      <w:bookmarkEnd w:id="114"/>
      <w:bookmarkStart w:id="115" w:name="_Toc184314473"/>
      <w:bookmarkEnd w:id="115"/>
      <w:bookmarkStart w:id="116" w:name="_Toc184308103"/>
      <w:bookmarkEnd w:id="116"/>
      <w:bookmarkStart w:id="117" w:name="_Toc184312087"/>
      <w:bookmarkEnd w:id="117"/>
      <w:bookmarkStart w:id="118" w:name="_Toc184312067"/>
      <w:bookmarkEnd w:id="118"/>
      <w:bookmarkStart w:id="119" w:name="_Toc184310278"/>
      <w:bookmarkEnd w:id="119"/>
      <w:bookmarkStart w:id="120" w:name="_Toc184314474"/>
      <w:bookmarkEnd w:id="120"/>
      <w:bookmarkStart w:id="121" w:name="_Toc184313257"/>
      <w:bookmarkEnd w:id="121"/>
      <w:bookmarkStart w:id="122" w:name="_Toc184310333"/>
      <w:bookmarkEnd w:id="122"/>
      <w:bookmarkStart w:id="123" w:name="_Toc184313288"/>
      <w:bookmarkEnd w:id="123"/>
      <w:bookmarkStart w:id="124" w:name="_Toc184313279"/>
      <w:bookmarkEnd w:id="124"/>
      <w:bookmarkStart w:id="125" w:name="_Toc184314464"/>
      <w:bookmarkEnd w:id="125"/>
      <w:bookmarkStart w:id="126" w:name="_Toc184312127"/>
      <w:bookmarkEnd w:id="126"/>
      <w:bookmarkStart w:id="127" w:name="_Toc184313297"/>
      <w:bookmarkEnd w:id="127"/>
      <w:bookmarkStart w:id="128" w:name="_Toc184308083"/>
      <w:bookmarkEnd w:id="128"/>
      <w:bookmarkStart w:id="129" w:name="_Toc184308054"/>
      <w:bookmarkEnd w:id="129"/>
      <w:bookmarkStart w:id="130" w:name="_Toc184314481"/>
      <w:bookmarkEnd w:id="130"/>
      <w:bookmarkStart w:id="131" w:name="_Toc184312117"/>
      <w:bookmarkEnd w:id="131"/>
      <w:bookmarkStart w:id="132" w:name="_Toc184312135"/>
      <w:bookmarkEnd w:id="132"/>
      <w:bookmarkStart w:id="133" w:name="_Toc184310296"/>
      <w:bookmarkEnd w:id="133"/>
      <w:bookmarkStart w:id="134" w:name="_Toc184314411"/>
      <w:bookmarkEnd w:id="134"/>
      <w:bookmarkStart w:id="135" w:name="_Toc184308067"/>
      <w:bookmarkEnd w:id="135"/>
      <w:bookmarkStart w:id="136" w:name="_Toc184314430"/>
      <w:bookmarkEnd w:id="136"/>
      <w:bookmarkStart w:id="137" w:name="_Toc184312097"/>
      <w:bookmarkEnd w:id="137"/>
      <w:bookmarkStart w:id="138" w:name="_Toc184313260"/>
      <w:bookmarkEnd w:id="138"/>
      <w:bookmarkStart w:id="139" w:name="_Toc184313287"/>
      <w:bookmarkEnd w:id="139"/>
      <w:bookmarkStart w:id="140" w:name="_Toc184314442"/>
      <w:bookmarkEnd w:id="140"/>
      <w:bookmarkStart w:id="141" w:name="_Toc184310304"/>
      <w:bookmarkEnd w:id="141"/>
      <w:bookmarkStart w:id="142" w:name="_Toc184313256"/>
      <w:bookmarkEnd w:id="142"/>
      <w:bookmarkStart w:id="143" w:name="_Toc184312122"/>
      <w:bookmarkEnd w:id="143"/>
      <w:bookmarkStart w:id="144" w:name="_Toc184308040"/>
      <w:bookmarkEnd w:id="144"/>
      <w:bookmarkStart w:id="145" w:name="_Toc184313276"/>
      <w:bookmarkEnd w:id="145"/>
      <w:bookmarkStart w:id="146" w:name="_Toc184308095"/>
      <w:bookmarkEnd w:id="146"/>
      <w:bookmarkStart w:id="147" w:name="_Toc184310314"/>
      <w:bookmarkEnd w:id="147"/>
      <w:bookmarkStart w:id="148" w:name="_Toc184310319"/>
      <w:bookmarkEnd w:id="148"/>
      <w:bookmarkStart w:id="149" w:name="_Toc184308100"/>
      <w:bookmarkEnd w:id="149"/>
      <w:bookmarkStart w:id="150" w:name="_Toc184310291"/>
      <w:bookmarkEnd w:id="150"/>
      <w:bookmarkStart w:id="151" w:name="_Toc184308049"/>
      <w:bookmarkEnd w:id="151"/>
      <w:bookmarkStart w:id="152" w:name="_Toc184312115"/>
      <w:bookmarkEnd w:id="152"/>
      <w:bookmarkStart w:id="153" w:name="_Toc184314453"/>
      <w:bookmarkEnd w:id="153"/>
      <w:bookmarkStart w:id="154" w:name="_Toc184313263"/>
      <w:bookmarkEnd w:id="154"/>
      <w:bookmarkStart w:id="155" w:name="_Toc184308065"/>
      <w:bookmarkEnd w:id="155"/>
      <w:bookmarkStart w:id="156" w:name="_Toc184308105"/>
      <w:bookmarkEnd w:id="156"/>
      <w:bookmarkStart w:id="157" w:name="_Toc184314415"/>
      <w:bookmarkEnd w:id="157"/>
      <w:bookmarkStart w:id="158" w:name="_Toc184313298"/>
      <w:bookmarkEnd w:id="158"/>
      <w:bookmarkStart w:id="159" w:name="_Toc184310328"/>
      <w:bookmarkEnd w:id="159"/>
      <w:bookmarkStart w:id="160" w:name="_Toc184308047"/>
      <w:bookmarkEnd w:id="160"/>
      <w:bookmarkStart w:id="161" w:name="_Toc184312079"/>
      <w:bookmarkEnd w:id="161"/>
      <w:bookmarkStart w:id="162" w:name="_Toc184310325"/>
      <w:bookmarkEnd w:id="162"/>
      <w:bookmarkStart w:id="163" w:name="_Toc184313284"/>
      <w:bookmarkEnd w:id="163"/>
      <w:bookmarkStart w:id="164" w:name="_Toc184312107"/>
      <w:bookmarkEnd w:id="164"/>
      <w:bookmarkStart w:id="165" w:name="_Toc184314463"/>
      <w:bookmarkEnd w:id="165"/>
      <w:bookmarkStart w:id="166" w:name="_Toc184314458"/>
      <w:bookmarkEnd w:id="166"/>
      <w:bookmarkStart w:id="167" w:name="_Toc184313301"/>
      <w:bookmarkEnd w:id="167"/>
      <w:bookmarkStart w:id="168" w:name="_Toc184314465"/>
      <w:bookmarkEnd w:id="168"/>
      <w:bookmarkStart w:id="169" w:name="_Toc184314433"/>
      <w:bookmarkEnd w:id="169"/>
      <w:bookmarkStart w:id="170" w:name="_Toc184310298"/>
      <w:bookmarkEnd w:id="170"/>
      <w:bookmarkStart w:id="171" w:name="_Toc184312131"/>
      <w:bookmarkEnd w:id="171"/>
      <w:bookmarkStart w:id="172" w:name="_Toc184313308"/>
      <w:bookmarkEnd w:id="172"/>
      <w:bookmarkStart w:id="173" w:name="_Toc184310281"/>
      <w:bookmarkEnd w:id="173"/>
      <w:bookmarkStart w:id="174" w:name="_Toc184313262"/>
      <w:bookmarkEnd w:id="174"/>
      <w:bookmarkStart w:id="175" w:name="_Toc184310273"/>
      <w:bookmarkEnd w:id="175"/>
      <w:bookmarkStart w:id="176" w:name="_Toc184310274"/>
      <w:bookmarkEnd w:id="176"/>
      <w:bookmarkStart w:id="177" w:name="_Toc184313266"/>
      <w:bookmarkEnd w:id="177"/>
      <w:bookmarkStart w:id="178" w:name="_Toc184313264"/>
      <w:bookmarkEnd w:id="178"/>
      <w:bookmarkStart w:id="179" w:name="_Toc184310340"/>
      <w:bookmarkEnd w:id="179"/>
      <w:bookmarkStart w:id="180" w:name="_Toc184310327"/>
      <w:bookmarkEnd w:id="180"/>
      <w:bookmarkStart w:id="181" w:name="_Toc184310323"/>
      <w:bookmarkEnd w:id="181"/>
      <w:bookmarkStart w:id="182" w:name="_Toc184310302"/>
      <w:bookmarkEnd w:id="182"/>
      <w:bookmarkStart w:id="183" w:name="_Toc184313269"/>
      <w:bookmarkEnd w:id="183"/>
      <w:bookmarkStart w:id="184" w:name="_Toc184308044"/>
      <w:bookmarkEnd w:id="184"/>
      <w:bookmarkStart w:id="185" w:name="_Toc184308059"/>
      <w:bookmarkEnd w:id="185"/>
      <w:bookmarkStart w:id="186" w:name="_Toc184310308"/>
      <w:bookmarkEnd w:id="186"/>
      <w:bookmarkStart w:id="187" w:name="_Toc184314435"/>
      <w:bookmarkEnd w:id="187"/>
      <w:bookmarkStart w:id="188" w:name="_Toc184314475"/>
      <w:bookmarkEnd w:id="188"/>
      <w:bookmarkStart w:id="189" w:name="_Toc184308055"/>
      <w:bookmarkEnd w:id="189"/>
      <w:bookmarkStart w:id="190" w:name="_Toc184313295"/>
      <w:bookmarkEnd w:id="190"/>
      <w:bookmarkStart w:id="191" w:name="_Toc184314437"/>
      <w:bookmarkEnd w:id="191"/>
      <w:bookmarkStart w:id="192" w:name="_Toc184308078"/>
      <w:bookmarkEnd w:id="192"/>
      <w:bookmarkStart w:id="193" w:name="_Toc184314429"/>
      <w:bookmarkEnd w:id="193"/>
      <w:bookmarkStart w:id="194" w:name="_Toc184308106"/>
      <w:bookmarkEnd w:id="194"/>
      <w:bookmarkStart w:id="195" w:name="_Toc184312096"/>
      <w:bookmarkEnd w:id="195"/>
      <w:bookmarkStart w:id="196" w:name="_Toc184314472"/>
      <w:bookmarkEnd w:id="196"/>
      <w:bookmarkStart w:id="197" w:name="_Toc184313294"/>
      <w:bookmarkEnd w:id="197"/>
      <w:bookmarkStart w:id="198" w:name="_Toc184314462"/>
      <w:bookmarkEnd w:id="198"/>
      <w:bookmarkStart w:id="199" w:name="_Toc184313242"/>
      <w:bookmarkEnd w:id="199"/>
      <w:bookmarkStart w:id="200" w:name="_Toc184312119"/>
      <w:bookmarkEnd w:id="200"/>
      <w:bookmarkStart w:id="201" w:name="_Toc184314445"/>
      <w:bookmarkEnd w:id="201"/>
      <w:bookmarkStart w:id="202" w:name="_Toc184313283"/>
      <w:bookmarkEnd w:id="202"/>
      <w:bookmarkStart w:id="203" w:name="_Toc184308080"/>
      <w:bookmarkEnd w:id="203"/>
      <w:bookmarkStart w:id="204" w:name="_Toc184312116"/>
      <w:bookmarkEnd w:id="204"/>
      <w:bookmarkStart w:id="205" w:name="_Toc184312108"/>
      <w:bookmarkEnd w:id="205"/>
      <w:bookmarkStart w:id="206" w:name="_Toc184310321"/>
      <w:bookmarkEnd w:id="206"/>
      <w:bookmarkStart w:id="207" w:name="_Toc184310294"/>
      <w:bookmarkEnd w:id="207"/>
      <w:bookmarkStart w:id="208" w:name="_Toc184310324"/>
      <w:bookmarkEnd w:id="208"/>
      <w:bookmarkStart w:id="209" w:name="_Toc184310295"/>
      <w:bookmarkEnd w:id="209"/>
      <w:bookmarkStart w:id="210" w:name="_Toc184310315"/>
      <w:bookmarkEnd w:id="210"/>
      <w:bookmarkStart w:id="211" w:name="_Toc184312093"/>
      <w:bookmarkEnd w:id="211"/>
      <w:bookmarkStart w:id="212" w:name="_Toc184312112"/>
      <w:bookmarkEnd w:id="212"/>
      <w:bookmarkStart w:id="213" w:name="_Toc184310285"/>
      <w:bookmarkEnd w:id="213"/>
      <w:bookmarkStart w:id="214" w:name="_Toc184308079"/>
      <w:bookmarkEnd w:id="214"/>
      <w:bookmarkStart w:id="215" w:name="_Toc184308061"/>
      <w:bookmarkEnd w:id="215"/>
      <w:bookmarkStart w:id="216" w:name="_Toc184313261"/>
      <w:bookmarkEnd w:id="216"/>
      <w:bookmarkStart w:id="217" w:name="_Toc184313300"/>
      <w:bookmarkEnd w:id="217"/>
      <w:bookmarkStart w:id="218" w:name="_Toc184308050"/>
      <w:bookmarkEnd w:id="218"/>
      <w:bookmarkStart w:id="219" w:name="_Toc184308088"/>
      <w:bookmarkEnd w:id="219"/>
      <w:bookmarkStart w:id="220" w:name="_Toc184312086"/>
      <w:bookmarkEnd w:id="220"/>
      <w:bookmarkStart w:id="221" w:name="_Toc184313250"/>
      <w:bookmarkEnd w:id="221"/>
      <w:bookmarkStart w:id="222" w:name="_Toc184308069"/>
      <w:bookmarkEnd w:id="222"/>
      <w:bookmarkStart w:id="223" w:name="_Toc184314410"/>
      <w:bookmarkEnd w:id="223"/>
      <w:bookmarkStart w:id="224" w:name="_Toc184308104"/>
      <w:bookmarkEnd w:id="224"/>
      <w:bookmarkStart w:id="225" w:name="_Toc184308077"/>
      <w:bookmarkEnd w:id="225"/>
      <w:bookmarkStart w:id="226" w:name="_Toc184313267"/>
      <w:bookmarkEnd w:id="226"/>
      <w:bookmarkStart w:id="227" w:name="_Toc184312113"/>
      <w:bookmarkEnd w:id="227"/>
      <w:bookmarkStart w:id="228" w:name="_Toc184308041"/>
      <w:bookmarkEnd w:id="228"/>
      <w:bookmarkStart w:id="229" w:name="_Toc184314412"/>
      <w:bookmarkEnd w:id="229"/>
      <w:bookmarkStart w:id="230" w:name="_Toc184313248"/>
      <w:bookmarkEnd w:id="230"/>
      <w:bookmarkStart w:id="231" w:name="_Toc184313281"/>
      <w:bookmarkEnd w:id="231"/>
      <w:bookmarkStart w:id="232" w:name="_Toc184308075"/>
      <w:bookmarkEnd w:id="232"/>
      <w:bookmarkStart w:id="233" w:name="_Toc184312074"/>
      <w:bookmarkEnd w:id="233"/>
      <w:bookmarkStart w:id="234" w:name="_Toc184313239"/>
      <w:bookmarkEnd w:id="234"/>
      <w:bookmarkStart w:id="235" w:name="_Toc184314441"/>
      <w:bookmarkEnd w:id="235"/>
      <w:bookmarkStart w:id="236" w:name="_Toc184310330"/>
      <w:bookmarkEnd w:id="236"/>
      <w:bookmarkStart w:id="237" w:name="_Toc184310316"/>
      <w:bookmarkEnd w:id="237"/>
      <w:bookmarkStart w:id="238" w:name="_Toc184310313"/>
      <w:bookmarkEnd w:id="238"/>
      <w:bookmarkStart w:id="239" w:name="_Toc184308092"/>
      <w:bookmarkEnd w:id="239"/>
      <w:bookmarkStart w:id="240" w:name="_Toc184308066"/>
      <w:bookmarkEnd w:id="240"/>
      <w:bookmarkStart w:id="241" w:name="_Toc184312120"/>
      <w:bookmarkEnd w:id="241"/>
      <w:bookmarkStart w:id="242" w:name="_Toc184313292"/>
      <w:bookmarkEnd w:id="242"/>
      <w:bookmarkStart w:id="243" w:name="_Toc184310305"/>
      <w:bookmarkEnd w:id="243"/>
      <w:bookmarkStart w:id="244" w:name="_Toc184313271"/>
      <w:bookmarkEnd w:id="244"/>
      <w:bookmarkStart w:id="245" w:name="_Toc184310290"/>
      <w:bookmarkEnd w:id="245"/>
      <w:bookmarkStart w:id="246" w:name="_Toc184308062"/>
      <w:bookmarkEnd w:id="246"/>
      <w:bookmarkStart w:id="247" w:name="_Toc184313249"/>
      <w:bookmarkEnd w:id="247"/>
      <w:bookmarkStart w:id="248" w:name="_Toc184313275"/>
      <w:bookmarkEnd w:id="248"/>
      <w:bookmarkStart w:id="249" w:name="_Toc184310329"/>
      <w:bookmarkEnd w:id="249"/>
      <w:bookmarkStart w:id="250" w:name="_Toc184313299"/>
      <w:bookmarkEnd w:id="250"/>
      <w:bookmarkStart w:id="251" w:name="_Toc184314422"/>
      <w:bookmarkEnd w:id="251"/>
      <w:bookmarkStart w:id="252" w:name="_Toc184310309"/>
      <w:bookmarkEnd w:id="252"/>
      <w:bookmarkStart w:id="253" w:name="_Toc184313238"/>
      <w:bookmarkEnd w:id="253"/>
      <w:bookmarkStart w:id="254" w:name="_Toc184308082"/>
      <w:bookmarkEnd w:id="254"/>
      <w:bookmarkStart w:id="255" w:name="_Toc184308042"/>
      <w:bookmarkEnd w:id="255"/>
      <w:bookmarkStart w:id="256" w:name="_Toc184308051"/>
      <w:bookmarkEnd w:id="256"/>
      <w:bookmarkStart w:id="257" w:name="_Toc184313241"/>
      <w:bookmarkEnd w:id="257"/>
      <w:bookmarkStart w:id="258" w:name="_Toc184313254"/>
      <w:bookmarkEnd w:id="258"/>
      <w:bookmarkStart w:id="259" w:name="_Toc184310287"/>
      <w:bookmarkEnd w:id="259"/>
      <w:bookmarkStart w:id="260" w:name="_Toc184313289"/>
      <w:bookmarkEnd w:id="260"/>
      <w:bookmarkStart w:id="261" w:name="_Toc184310289"/>
      <w:bookmarkEnd w:id="261"/>
      <w:bookmarkStart w:id="262" w:name="_Toc184313245"/>
      <w:bookmarkEnd w:id="262"/>
      <w:bookmarkStart w:id="263" w:name="_Toc184313246"/>
      <w:bookmarkEnd w:id="263"/>
      <w:bookmarkStart w:id="264" w:name="_Toc184314417"/>
      <w:bookmarkEnd w:id="264"/>
      <w:bookmarkStart w:id="265" w:name="_Toc184313243"/>
      <w:bookmarkEnd w:id="265"/>
      <w:bookmarkStart w:id="266" w:name="_Toc184312082"/>
      <w:bookmarkEnd w:id="266"/>
      <w:bookmarkStart w:id="267" w:name="_Toc184314434"/>
      <w:bookmarkEnd w:id="267"/>
      <w:bookmarkStart w:id="268" w:name="_Toc184308099"/>
      <w:bookmarkEnd w:id="268"/>
      <w:bookmarkStart w:id="269" w:name="_Toc184313304"/>
      <w:bookmarkEnd w:id="269"/>
      <w:bookmarkStart w:id="270" w:name="_Toc184313277"/>
      <w:bookmarkEnd w:id="270"/>
      <w:bookmarkStart w:id="271" w:name="_Toc184312089"/>
      <w:bookmarkEnd w:id="271"/>
      <w:bookmarkStart w:id="272" w:name="_Toc184312130"/>
      <w:bookmarkEnd w:id="272"/>
      <w:bookmarkStart w:id="273" w:name="_Toc184310317"/>
      <w:bookmarkEnd w:id="273"/>
      <w:bookmarkStart w:id="274" w:name="_Toc184310332"/>
      <w:bookmarkEnd w:id="274"/>
      <w:bookmarkStart w:id="275" w:name="_Toc184310311"/>
      <w:bookmarkEnd w:id="275"/>
      <w:bookmarkStart w:id="276" w:name="_Toc184310279"/>
      <w:bookmarkEnd w:id="276"/>
      <w:bookmarkStart w:id="277" w:name="_Toc184310282"/>
      <w:bookmarkEnd w:id="277"/>
      <w:bookmarkStart w:id="278" w:name="_Toc184314427"/>
      <w:bookmarkEnd w:id="278"/>
      <w:bookmarkStart w:id="279" w:name="_Toc184312080"/>
      <w:bookmarkEnd w:id="279"/>
      <w:bookmarkStart w:id="280" w:name="_Toc184308048"/>
      <w:bookmarkEnd w:id="280"/>
      <w:bookmarkStart w:id="281" w:name="_Toc184313310"/>
      <w:bookmarkEnd w:id="281"/>
      <w:bookmarkStart w:id="282" w:name="_Toc184314451"/>
      <w:bookmarkEnd w:id="282"/>
      <w:bookmarkStart w:id="283" w:name="_Toc184308064"/>
      <w:bookmarkEnd w:id="283"/>
      <w:bookmarkStart w:id="284" w:name="_Toc184313285"/>
      <w:bookmarkEnd w:id="284"/>
      <w:bookmarkStart w:id="285" w:name="_Toc184313296"/>
      <w:bookmarkEnd w:id="285"/>
      <w:bookmarkStart w:id="286" w:name="_Toc184312100"/>
      <w:bookmarkEnd w:id="286"/>
      <w:bookmarkStart w:id="287" w:name="_Toc184310307"/>
      <w:bookmarkEnd w:id="287"/>
      <w:bookmarkStart w:id="288" w:name="_Toc184314416"/>
      <w:bookmarkEnd w:id="288"/>
      <w:bookmarkStart w:id="289" w:name="_Toc184312091"/>
      <w:bookmarkEnd w:id="289"/>
      <w:bookmarkStart w:id="290" w:name="_Toc184308107"/>
      <w:bookmarkEnd w:id="290"/>
      <w:bookmarkStart w:id="291" w:name="_Toc184313291"/>
      <w:bookmarkEnd w:id="291"/>
      <w:bookmarkStart w:id="292" w:name="_Toc184312092"/>
      <w:bookmarkEnd w:id="292"/>
      <w:bookmarkStart w:id="293" w:name="_Toc184313306"/>
      <w:bookmarkEnd w:id="293"/>
      <w:bookmarkStart w:id="294" w:name="_Toc184310336"/>
      <w:bookmarkEnd w:id="294"/>
      <w:bookmarkStart w:id="295" w:name="_Toc184314428"/>
      <w:bookmarkEnd w:id="295"/>
      <w:bookmarkStart w:id="296" w:name="_Toc184310335"/>
      <w:bookmarkEnd w:id="296"/>
      <w:bookmarkStart w:id="297" w:name="_Toc184313282"/>
      <w:bookmarkEnd w:id="297"/>
      <w:bookmarkStart w:id="298" w:name="_Toc184314418"/>
      <w:bookmarkEnd w:id="298"/>
      <w:bookmarkStart w:id="299" w:name="_Toc184313303"/>
      <w:bookmarkEnd w:id="299"/>
      <w:bookmarkStart w:id="300" w:name="_Toc184312114"/>
      <w:bookmarkEnd w:id="300"/>
      <w:bookmarkStart w:id="301" w:name="_Toc184308085"/>
      <w:bookmarkEnd w:id="301"/>
      <w:bookmarkStart w:id="302" w:name="_Toc184314443"/>
      <w:bookmarkEnd w:id="302"/>
      <w:bookmarkStart w:id="303" w:name="_Toc184308056"/>
      <w:bookmarkEnd w:id="303"/>
      <w:bookmarkStart w:id="304" w:name="_Toc184310300"/>
      <w:bookmarkEnd w:id="304"/>
      <w:bookmarkStart w:id="305" w:name="_Toc184312138"/>
      <w:bookmarkEnd w:id="305"/>
      <w:bookmarkStart w:id="306" w:name="_Toc184308063"/>
      <w:bookmarkEnd w:id="306"/>
      <w:bookmarkStart w:id="307" w:name="_Toc184312076"/>
      <w:bookmarkEnd w:id="307"/>
      <w:bookmarkStart w:id="308" w:name="_Toc184312085"/>
      <w:bookmarkEnd w:id="308"/>
      <w:bookmarkStart w:id="309" w:name="_Toc184312128"/>
      <w:bookmarkEnd w:id="309"/>
      <w:bookmarkStart w:id="310" w:name="_Toc184312095"/>
      <w:bookmarkEnd w:id="310"/>
      <w:bookmarkStart w:id="311" w:name="_Toc184312083"/>
      <w:bookmarkEnd w:id="311"/>
      <w:bookmarkStart w:id="312" w:name="_Toc184314471"/>
      <w:bookmarkEnd w:id="312"/>
      <w:bookmarkStart w:id="313" w:name="_Toc184312139"/>
      <w:bookmarkEnd w:id="313"/>
      <w:bookmarkStart w:id="314" w:name="_Toc184308098"/>
      <w:bookmarkEnd w:id="314"/>
      <w:bookmarkStart w:id="315" w:name="_Toc184310337"/>
      <w:bookmarkEnd w:id="315"/>
      <w:bookmarkStart w:id="316" w:name="_Toc184312102"/>
      <w:bookmarkEnd w:id="316"/>
      <w:bookmarkStart w:id="317" w:name="_Toc184312069"/>
      <w:bookmarkEnd w:id="317"/>
      <w:bookmarkStart w:id="318" w:name="_Toc184312106"/>
      <w:bookmarkEnd w:id="318"/>
      <w:bookmarkStart w:id="319" w:name="_Toc184313255"/>
      <w:bookmarkEnd w:id="319"/>
      <w:bookmarkStart w:id="320" w:name="_Toc184312124"/>
      <w:bookmarkEnd w:id="320"/>
      <w:bookmarkStart w:id="321" w:name="_Toc184310326"/>
      <w:bookmarkEnd w:id="321"/>
      <w:bookmarkStart w:id="322" w:name="_Toc184310272"/>
      <w:bookmarkEnd w:id="322"/>
      <w:bookmarkStart w:id="323" w:name="_Toc184313268"/>
      <w:bookmarkEnd w:id="323"/>
      <w:bookmarkStart w:id="324" w:name="_Toc184313240"/>
      <w:bookmarkEnd w:id="324"/>
      <w:bookmarkStart w:id="325" w:name="_Toc184314457"/>
      <w:bookmarkEnd w:id="325"/>
      <w:bookmarkStart w:id="326" w:name="_Toc184314425"/>
      <w:bookmarkEnd w:id="326"/>
      <w:bookmarkStart w:id="327" w:name="_Toc184313252"/>
      <w:bookmarkEnd w:id="327"/>
      <w:bookmarkStart w:id="328" w:name="_Toc184312090"/>
      <w:bookmarkEnd w:id="328"/>
      <w:bookmarkStart w:id="329" w:name="_Toc184308090"/>
      <w:bookmarkEnd w:id="329"/>
      <w:bookmarkStart w:id="330" w:name="_Toc184312103"/>
      <w:bookmarkEnd w:id="330"/>
      <w:bookmarkStart w:id="331" w:name="_Toc184312121"/>
      <w:bookmarkEnd w:id="331"/>
      <w:bookmarkStart w:id="332" w:name="_Toc184310277"/>
      <w:bookmarkEnd w:id="332"/>
      <w:bookmarkStart w:id="333" w:name="_Toc184312129"/>
      <w:bookmarkEnd w:id="333"/>
      <w:bookmarkStart w:id="334" w:name="_Toc184308101"/>
      <w:bookmarkEnd w:id="334"/>
      <w:bookmarkStart w:id="335" w:name="_Toc184308094"/>
      <w:bookmarkEnd w:id="335"/>
      <w:bookmarkStart w:id="336" w:name="_Toc184313251"/>
      <w:bookmarkEnd w:id="336"/>
      <w:bookmarkStart w:id="337" w:name="_Toc184310301"/>
      <w:bookmarkEnd w:id="337"/>
      <w:bookmarkStart w:id="338" w:name="_Toc184314449"/>
      <w:bookmarkEnd w:id="338"/>
      <w:bookmarkStart w:id="339" w:name="_Toc184308068"/>
      <w:bookmarkEnd w:id="339"/>
      <w:bookmarkStart w:id="340" w:name="_Toc184313280"/>
      <w:bookmarkEnd w:id="340"/>
      <w:bookmarkStart w:id="341" w:name="_Toc184312126"/>
      <w:bookmarkEnd w:id="341"/>
      <w:bookmarkStart w:id="342" w:name="_Toc184312088"/>
      <w:bookmarkEnd w:id="342"/>
      <w:bookmarkStart w:id="343" w:name="_Toc184314479"/>
      <w:bookmarkEnd w:id="343"/>
      <w:bookmarkStart w:id="344" w:name="_Toc184313274"/>
      <w:bookmarkEnd w:id="344"/>
      <w:bookmarkStart w:id="345" w:name="_Toc184314460"/>
      <w:bookmarkEnd w:id="345"/>
      <w:bookmarkStart w:id="346" w:name="_Toc184312078"/>
      <w:bookmarkEnd w:id="346"/>
      <w:bookmarkStart w:id="347" w:name="_Toc184308089"/>
      <w:bookmarkEnd w:id="347"/>
      <w:bookmarkStart w:id="348" w:name="_Toc184308086"/>
      <w:bookmarkEnd w:id="348"/>
      <w:bookmarkStart w:id="349" w:name="_Toc184310343"/>
      <w:bookmarkEnd w:id="349"/>
      <w:bookmarkStart w:id="350" w:name="_Toc184308053"/>
      <w:bookmarkEnd w:id="350"/>
      <w:bookmarkStart w:id="351" w:name="_Toc184314478"/>
      <w:bookmarkEnd w:id="351"/>
      <w:bookmarkStart w:id="352" w:name="_Toc184312072"/>
      <w:bookmarkEnd w:id="352"/>
      <w:bookmarkStart w:id="353" w:name="_Toc184313258"/>
      <w:bookmarkEnd w:id="353"/>
      <w:bookmarkStart w:id="354" w:name="_Toc184312073"/>
      <w:bookmarkEnd w:id="354"/>
      <w:bookmarkStart w:id="355" w:name="_Toc184314431"/>
      <w:bookmarkEnd w:id="355"/>
      <w:bookmarkStart w:id="356" w:name="_Toc184313302"/>
      <w:bookmarkEnd w:id="356"/>
      <w:bookmarkStart w:id="357" w:name="_Toc184312110"/>
      <w:bookmarkEnd w:id="357"/>
      <w:bookmarkStart w:id="358" w:name="_Toc184313244"/>
      <w:bookmarkEnd w:id="358"/>
      <w:bookmarkStart w:id="359" w:name="_Toc184310322"/>
      <w:bookmarkEnd w:id="359"/>
      <w:bookmarkStart w:id="360" w:name="_Toc184314477"/>
      <w:bookmarkEnd w:id="360"/>
      <w:bookmarkStart w:id="361" w:name="_Toc184314456"/>
      <w:bookmarkEnd w:id="361"/>
      <w:bookmarkStart w:id="362" w:name="_Toc184308084"/>
      <w:bookmarkEnd w:id="362"/>
      <w:bookmarkStart w:id="363" w:name="_Toc184314420"/>
      <w:bookmarkEnd w:id="363"/>
      <w:bookmarkStart w:id="364" w:name="_Toc184312101"/>
      <w:bookmarkEnd w:id="364"/>
      <w:bookmarkStart w:id="365" w:name="_Toc184310286"/>
      <w:bookmarkEnd w:id="365"/>
      <w:bookmarkStart w:id="366" w:name="_Toc184310283"/>
      <w:bookmarkEnd w:id="366"/>
      <w:bookmarkStart w:id="367" w:name="_Toc184312084"/>
      <w:bookmarkEnd w:id="367"/>
      <w:bookmarkStart w:id="368" w:name="_Toc184310342"/>
      <w:bookmarkEnd w:id="368"/>
      <w:bookmarkStart w:id="369" w:name="_Toc184310318"/>
      <w:bookmarkEnd w:id="369"/>
      <w:bookmarkStart w:id="370" w:name="_Toc184314450"/>
      <w:bookmarkEnd w:id="370"/>
      <w:bookmarkStart w:id="371" w:name="_Toc184308073"/>
      <w:bookmarkEnd w:id="371"/>
      <w:bookmarkStart w:id="372" w:name="_Toc184312068"/>
      <w:bookmarkEnd w:id="372"/>
      <w:bookmarkStart w:id="373" w:name="_Toc184310275"/>
      <w:bookmarkEnd w:id="373"/>
      <w:bookmarkStart w:id="374" w:name="_Toc184310306"/>
      <w:bookmarkEnd w:id="374"/>
      <w:bookmarkStart w:id="375" w:name="_Toc184308037"/>
      <w:bookmarkEnd w:id="375"/>
      <w:bookmarkStart w:id="376" w:name="_Toc184313290"/>
      <w:bookmarkEnd w:id="376"/>
      <w:bookmarkStart w:id="377" w:name="_Toc184314413"/>
      <w:bookmarkEnd w:id="377"/>
      <w:bookmarkStart w:id="378" w:name="_Toc184313305"/>
      <w:bookmarkEnd w:id="378"/>
      <w:bookmarkStart w:id="379" w:name="_Toc184314480"/>
      <w:bookmarkEnd w:id="379"/>
      <w:bookmarkStart w:id="380" w:name="_Toc184308087"/>
      <w:bookmarkEnd w:id="380"/>
      <w:bookmarkStart w:id="381" w:name="_Toc184314423"/>
      <w:bookmarkEnd w:id="381"/>
      <w:bookmarkStart w:id="382" w:name="_Toc184313286"/>
      <w:bookmarkEnd w:id="382"/>
      <w:bookmarkStart w:id="383" w:name="_Toc184308058"/>
      <w:bookmarkEnd w:id="383"/>
      <w:bookmarkStart w:id="384" w:name="_Toc184312134"/>
      <w:bookmarkEnd w:id="384"/>
      <w:bookmarkStart w:id="385" w:name="_Toc184310310"/>
      <w:bookmarkEnd w:id="385"/>
      <w:bookmarkStart w:id="386" w:name="_Toc184314440"/>
      <w:bookmarkEnd w:id="386"/>
      <w:bookmarkStart w:id="387" w:name="_Toc184314476"/>
      <w:bookmarkEnd w:id="387"/>
      <w:bookmarkStart w:id="388" w:name="_Toc184312105"/>
      <w:bookmarkEnd w:id="388"/>
      <w:bookmarkStart w:id="389" w:name="_Toc184314414"/>
      <w:bookmarkEnd w:id="389"/>
      <w:bookmarkStart w:id="390" w:name="_Toc184313278"/>
      <w:bookmarkEnd w:id="390"/>
      <w:bookmarkStart w:id="391" w:name="_Toc184308036"/>
      <w:bookmarkEnd w:id="391"/>
      <w:bookmarkStart w:id="392" w:name="_Toc184308097"/>
      <w:bookmarkEnd w:id="392"/>
      <w:bookmarkStart w:id="393" w:name="_Toc184313265"/>
      <w:bookmarkEnd w:id="393"/>
      <w:bookmarkStart w:id="394" w:name="_Toc184313253"/>
      <w:bookmarkEnd w:id="394"/>
      <w:bookmarkStart w:id="395" w:name="_Toc184314468"/>
      <w:bookmarkEnd w:id="395"/>
      <w:bookmarkStart w:id="396" w:name="_Toc184312137"/>
      <w:bookmarkEnd w:id="396"/>
      <w:bookmarkStart w:id="397" w:name="_Toc184308091"/>
      <w:bookmarkEnd w:id="397"/>
      <w:bookmarkStart w:id="398" w:name="_Toc184310303"/>
      <w:bookmarkEnd w:id="398"/>
      <w:bookmarkStart w:id="399" w:name="_Toc184312136"/>
      <w:bookmarkEnd w:id="399"/>
      <w:bookmarkStart w:id="400" w:name="_Toc184313293"/>
      <w:bookmarkEnd w:id="400"/>
      <w:bookmarkStart w:id="401" w:name="_Toc184314448"/>
      <w:bookmarkEnd w:id="401"/>
      <w:bookmarkStart w:id="402" w:name="_Toc184308045"/>
      <w:bookmarkEnd w:id="402"/>
      <w:bookmarkStart w:id="403" w:name="_Toc184312118"/>
      <w:bookmarkEnd w:id="403"/>
      <w:bookmarkStart w:id="404" w:name="_Toc184310297"/>
      <w:bookmarkEnd w:id="404"/>
      <w:bookmarkStart w:id="405" w:name="_Toc184310276"/>
      <w:bookmarkEnd w:id="405"/>
      <w:bookmarkStart w:id="406" w:name="_Toc184308043"/>
      <w:bookmarkEnd w:id="406"/>
      <w:bookmarkStart w:id="407" w:name="_Toc184308046"/>
      <w:bookmarkEnd w:id="407"/>
      <w:bookmarkStart w:id="408" w:name="_Toc184308096"/>
      <w:bookmarkEnd w:id="408"/>
      <w:bookmarkStart w:id="409" w:name="_Toc184314467"/>
      <w:bookmarkEnd w:id="409"/>
      <w:bookmarkStart w:id="410" w:name="_Toc184312132"/>
      <w:bookmarkEnd w:id="410"/>
      <w:bookmarkStart w:id="411" w:name="_Toc184308072"/>
      <w:bookmarkEnd w:id="411"/>
      <w:bookmarkStart w:id="412" w:name="_Toc184314439"/>
      <w:bookmarkEnd w:id="412"/>
      <w:bookmarkStart w:id="413" w:name="_Toc184314447"/>
      <w:bookmarkEnd w:id="413"/>
      <w:bookmarkStart w:id="414" w:name="_Toc184314459"/>
      <w:bookmarkEnd w:id="414"/>
      <w:bookmarkStart w:id="415" w:name="_Toc184310339"/>
      <w:bookmarkEnd w:id="415"/>
      <w:r>
        <w:rPr>
          <w:rFonts w:hint="eastAsia" w:ascii="宋体" w:hAnsi="宋体" w:eastAsia="宋体" w:cs="宋体"/>
          <w:b/>
          <w:color w:val="auto"/>
          <w:sz w:val="36"/>
          <w:szCs w:val="36"/>
          <w:highlight w:val="none"/>
        </w:rPr>
        <w:t>评标办法</w:t>
      </w:r>
    </w:p>
    <w:p w14:paraId="2B86E3E0">
      <w:pPr>
        <w:shd w:val="clear"/>
        <w:adjustRightInd w:val="0"/>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16"/>
        <w:tblpPr w:leftFromText="180" w:rightFromText="180" w:vertAnchor="text" w:horzAnchor="page" w:tblpX="1031" w:tblpY="126"/>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949"/>
        <w:gridCol w:w="759"/>
        <w:gridCol w:w="927"/>
        <w:gridCol w:w="1315"/>
      </w:tblGrid>
      <w:tr w14:paraId="5C15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21" w:type="dxa"/>
            <w:vAlign w:val="center"/>
          </w:tcPr>
          <w:p w14:paraId="5A174248">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949" w:type="dxa"/>
            <w:vAlign w:val="center"/>
          </w:tcPr>
          <w:p w14:paraId="52C3F0F1">
            <w:pPr>
              <w:shd w:val="clea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759" w:type="dxa"/>
            <w:vAlign w:val="center"/>
          </w:tcPr>
          <w:p w14:paraId="5F8E22FE">
            <w:pPr>
              <w:shd w:val="clea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权重/分值</w:t>
            </w:r>
          </w:p>
        </w:tc>
        <w:tc>
          <w:tcPr>
            <w:tcW w:w="927" w:type="dxa"/>
            <w:vAlign w:val="center"/>
          </w:tcPr>
          <w:p w14:paraId="49E6EF98">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315" w:type="dxa"/>
          </w:tcPr>
          <w:p w14:paraId="2A3D33BE">
            <w:pPr>
              <w:shd w:val="clea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61D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21" w:type="dxa"/>
            <w:vAlign w:val="center"/>
          </w:tcPr>
          <w:p w14:paraId="4D84956F">
            <w:pPr>
              <w:shd w:val="clear"/>
              <w:adjustRightInd w:val="0"/>
              <w:snapToGrid w:val="0"/>
              <w:spacing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p>
        </w:tc>
        <w:tc>
          <w:tcPr>
            <w:tcW w:w="5949" w:type="dxa"/>
            <w:tcBorders>
              <w:left w:val="single" w:color="auto" w:sz="4" w:space="0"/>
            </w:tcBorders>
            <w:vAlign w:val="center"/>
          </w:tcPr>
          <w:p w14:paraId="270751BF">
            <w:pPr>
              <w:shd w:val="clear"/>
              <w:adjustRightInd w:val="0"/>
              <w:snapToGrid w:val="0"/>
              <w:spacing w:line="27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技术和服务方案：89分</w:t>
            </w:r>
          </w:p>
        </w:tc>
        <w:tc>
          <w:tcPr>
            <w:tcW w:w="759" w:type="dxa"/>
            <w:tcBorders>
              <w:left w:val="single" w:color="auto" w:sz="4" w:space="0"/>
            </w:tcBorders>
            <w:vAlign w:val="center"/>
          </w:tcPr>
          <w:p w14:paraId="347A32D2">
            <w:pPr>
              <w:shd w:val="clear"/>
              <w:adjustRightInd w:val="0"/>
              <w:snapToGrid w:val="0"/>
              <w:spacing w:line="276" w:lineRule="auto"/>
              <w:jc w:val="center"/>
              <w:rPr>
                <w:rFonts w:hint="eastAsia" w:ascii="宋体" w:hAnsi="宋体" w:eastAsia="宋体" w:cs="宋体"/>
                <w:b/>
                <w:color w:val="auto"/>
                <w:sz w:val="24"/>
                <w:highlight w:val="none"/>
              </w:rPr>
            </w:pPr>
          </w:p>
        </w:tc>
        <w:tc>
          <w:tcPr>
            <w:tcW w:w="927" w:type="dxa"/>
            <w:tcBorders>
              <w:left w:val="single" w:color="auto" w:sz="4" w:space="0"/>
            </w:tcBorders>
            <w:vAlign w:val="center"/>
          </w:tcPr>
          <w:p w14:paraId="02A637B7">
            <w:pPr>
              <w:shd w:val="clear"/>
              <w:adjustRightInd w:val="0"/>
              <w:snapToGrid w:val="0"/>
              <w:spacing w:line="276" w:lineRule="auto"/>
              <w:jc w:val="center"/>
              <w:rPr>
                <w:rFonts w:hint="eastAsia" w:ascii="宋体" w:hAnsi="宋体" w:eastAsia="宋体" w:cs="宋体"/>
                <w:b/>
                <w:color w:val="auto"/>
                <w:sz w:val="24"/>
                <w:highlight w:val="none"/>
              </w:rPr>
            </w:pPr>
          </w:p>
        </w:tc>
        <w:tc>
          <w:tcPr>
            <w:tcW w:w="1315" w:type="dxa"/>
            <w:tcBorders>
              <w:left w:val="single" w:color="auto" w:sz="4" w:space="0"/>
            </w:tcBorders>
            <w:vAlign w:val="center"/>
          </w:tcPr>
          <w:p w14:paraId="152DC655">
            <w:pPr>
              <w:shd w:val="clear"/>
              <w:adjustRightInd w:val="0"/>
              <w:snapToGrid w:val="0"/>
              <w:spacing w:line="276" w:lineRule="auto"/>
              <w:jc w:val="center"/>
              <w:rPr>
                <w:rFonts w:hint="eastAsia" w:ascii="宋体" w:hAnsi="宋体" w:eastAsia="宋体" w:cs="宋体"/>
                <w:b/>
                <w:color w:val="auto"/>
                <w:sz w:val="24"/>
                <w:highlight w:val="none"/>
              </w:rPr>
            </w:pPr>
          </w:p>
        </w:tc>
      </w:tr>
      <w:tr w14:paraId="3C2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14:paraId="7286E37D">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49" w:type="dxa"/>
            <w:tcBorders>
              <w:left w:val="single" w:color="auto" w:sz="4" w:space="0"/>
            </w:tcBorders>
            <w:vAlign w:val="center"/>
          </w:tcPr>
          <w:p w14:paraId="6CF3782B">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1、交通管理数据安全生命周期运营服务方案应包括①专网云平台系统运行及数据治理；②公安网数据治理，每项方案详细、合理，满足采购需求的得3分，方案不详细、合理，不符合采购需求的不得分，</w:t>
            </w:r>
            <w:r>
              <w:rPr>
                <w:rFonts w:hint="eastAsia" w:ascii="宋体" w:hAnsi="宋体" w:eastAsia="宋体" w:cs="宋体"/>
                <w:b/>
                <w:bCs/>
                <w:color w:val="auto"/>
                <w:sz w:val="24"/>
                <w:highlight w:val="none"/>
              </w:rPr>
              <w:t>最高得6分。</w:t>
            </w:r>
          </w:p>
          <w:p w14:paraId="75E19AD6">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2、安全加固及应用迁移改造服务方案应包括①网络安全服务；②非现场执法平台迁移改造服务，每项方案详细、合理，满足采购需求的得3分，方案不详细、合理，不符合采购需求的不得分，</w:t>
            </w:r>
            <w:r>
              <w:rPr>
                <w:rFonts w:hint="eastAsia" w:ascii="宋体" w:hAnsi="宋体" w:eastAsia="宋体" w:cs="宋体"/>
                <w:b/>
                <w:bCs/>
                <w:color w:val="auto"/>
                <w:sz w:val="24"/>
                <w:highlight w:val="none"/>
              </w:rPr>
              <w:t>最高得6分</w:t>
            </w:r>
            <w:r>
              <w:rPr>
                <w:rFonts w:hint="eastAsia" w:ascii="宋体" w:hAnsi="宋体" w:eastAsia="宋体" w:cs="宋体"/>
                <w:color w:val="auto"/>
                <w:sz w:val="24"/>
                <w:highlight w:val="none"/>
              </w:rPr>
              <w:t>。</w:t>
            </w:r>
          </w:p>
          <w:p w14:paraId="6E8D7C7A">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3、货运导航数据及运营保障服务方案应包括①互联网地图导航基础服务；②城市货运导航数据运营服务，每项方案详细、合理，满足采购需求的得3分，方案不详细、合理，不符合采购需求的不得分，</w:t>
            </w:r>
            <w:r>
              <w:rPr>
                <w:rFonts w:hint="eastAsia" w:ascii="宋体" w:hAnsi="宋体" w:eastAsia="宋体" w:cs="宋体"/>
                <w:b/>
                <w:bCs/>
                <w:color w:val="auto"/>
                <w:sz w:val="24"/>
                <w:highlight w:val="none"/>
              </w:rPr>
              <w:t>最高得6分</w:t>
            </w:r>
            <w:r>
              <w:rPr>
                <w:rFonts w:hint="eastAsia" w:ascii="宋体" w:hAnsi="宋体" w:eastAsia="宋体" w:cs="宋体"/>
                <w:color w:val="auto"/>
                <w:sz w:val="24"/>
                <w:highlight w:val="none"/>
              </w:rPr>
              <w:t>。</w:t>
            </w:r>
          </w:p>
          <w:p w14:paraId="6BED8F2A">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防控治理服务方案应包括①道路隐患分析模块；②警情分析模块；③安全宣教提升及分析模块；④案件管理模块；⑤涉案财务管理模块；⑥违法业务监管模块；每项方案详细、合理，满足采购需求的得3分，方案不详细、合理，不符合采购需求的不得分，</w:t>
            </w:r>
            <w:r>
              <w:rPr>
                <w:rFonts w:hint="eastAsia" w:ascii="宋体" w:hAnsi="宋体" w:eastAsia="宋体" w:cs="宋体"/>
                <w:b/>
                <w:bCs/>
                <w:color w:val="auto"/>
                <w:sz w:val="24"/>
                <w:highlight w:val="none"/>
              </w:rPr>
              <w:t>最高得18分</w:t>
            </w:r>
            <w:r>
              <w:rPr>
                <w:rFonts w:hint="eastAsia" w:ascii="宋体" w:hAnsi="宋体" w:eastAsia="宋体" w:cs="宋体"/>
                <w:color w:val="auto"/>
                <w:sz w:val="24"/>
                <w:highlight w:val="none"/>
              </w:rPr>
              <w:t>。</w:t>
            </w:r>
          </w:p>
        </w:tc>
        <w:tc>
          <w:tcPr>
            <w:tcW w:w="759" w:type="dxa"/>
            <w:tcBorders>
              <w:left w:val="single" w:color="auto" w:sz="4" w:space="0"/>
            </w:tcBorders>
            <w:vAlign w:val="center"/>
          </w:tcPr>
          <w:p w14:paraId="47D3F94B">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927" w:type="dxa"/>
            <w:tcBorders>
              <w:left w:val="single" w:color="auto" w:sz="4" w:space="0"/>
            </w:tcBorders>
            <w:vAlign w:val="center"/>
          </w:tcPr>
          <w:p w14:paraId="582EA3E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15" w:type="dxa"/>
            <w:tcBorders>
              <w:left w:val="single" w:color="auto" w:sz="4" w:space="0"/>
            </w:tcBorders>
            <w:vAlign w:val="center"/>
          </w:tcPr>
          <w:p w14:paraId="48839134">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（一）服务方案</w:t>
            </w:r>
          </w:p>
        </w:tc>
      </w:tr>
      <w:tr w14:paraId="02DF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1" w:type="dxa"/>
            <w:vAlign w:val="center"/>
          </w:tcPr>
          <w:p w14:paraId="1FC2049B">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949" w:type="dxa"/>
            <w:tcBorders>
              <w:left w:val="single" w:color="auto" w:sz="4" w:space="0"/>
            </w:tcBorders>
            <w:vAlign w:val="center"/>
          </w:tcPr>
          <w:p w14:paraId="1AE21B82">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投标人提供</w:t>
            </w:r>
            <w:r>
              <w:rPr>
                <w:rFonts w:hint="eastAsia" w:ascii="宋体" w:hAnsi="宋体" w:eastAsia="宋体" w:cs="宋体"/>
                <w:b/>
                <w:bCs/>
                <w:color w:val="auto"/>
                <w:sz w:val="24"/>
                <w:highlight w:val="none"/>
                <w:u w:val="single"/>
              </w:rPr>
              <w:t>非现场公安网云存储一体机</w:t>
            </w:r>
            <w:r>
              <w:rPr>
                <w:rFonts w:hint="eastAsia" w:ascii="宋体" w:hAnsi="宋体" w:eastAsia="宋体" w:cs="宋体"/>
                <w:b/>
                <w:bCs/>
                <w:color w:val="auto"/>
                <w:sz w:val="24"/>
                <w:highlight w:val="none"/>
                <w:u w:val="single"/>
                <w:lang w:val="en-US" w:eastAsia="zh-CN"/>
              </w:rPr>
              <w:t>的</w:t>
            </w:r>
            <w:r>
              <w:rPr>
                <w:rFonts w:hint="eastAsia" w:ascii="宋体" w:hAnsi="宋体" w:eastAsia="宋体" w:cs="宋体"/>
                <w:color w:val="auto"/>
                <w:sz w:val="24"/>
                <w:highlight w:val="none"/>
              </w:rPr>
              <w:t>标★项1-9项与需求的吻合程度：投标产品的基本功能、技术指标与需求的吻合程度和偏差情况，标★项参数以</w:t>
            </w:r>
            <w:r>
              <w:rPr>
                <w:rFonts w:hint="eastAsia" w:ascii="宋体" w:hAnsi="宋体" w:eastAsia="宋体" w:cs="宋体"/>
                <w:b/>
                <w:bCs/>
                <w:color w:val="auto"/>
                <w:sz w:val="24"/>
                <w:highlight w:val="none"/>
              </w:rPr>
              <w:t>提供具有CMA资质第三方检测机构或国家认可的检测机构</w:t>
            </w:r>
            <w:r>
              <w:rPr>
                <w:rFonts w:hint="eastAsia" w:ascii="宋体" w:hAnsi="宋体" w:eastAsia="宋体" w:cs="宋体"/>
                <w:color w:val="auto"/>
                <w:sz w:val="24"/>
                <w:highlight w:val="none"/>
              </w:rPr>
              <w:t>出具的检测报告等为准，技术指标低于需求技术要求或未提供依据的每一项扣减1分，</w:t>
            </w:r>
            <w:r>
              <w:rPr>
                <w:rFonts w:hint="eastAsia" w:ascii="宋体" w:hAnsi="宋体" w:eastAsia="宋体" w:cs="宋体"/>
                <w:b/>
                <w:color w:val="auto"/>
                <w:sz w:val="24"/>
                <w:highlight w:val="none"/>
              </w:rPr>
              <w:t>本项总计</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分。</w:t>
            </w:r>
          </w:p>
        </w:tc>
        <w:tc>
          <w:tcPr>
            <w:tcW w:w="759" w:type="dxa"/>
            <w:tcBorders>
              <w:left w:val="single" w:color="auto" w:sz="4" w:space="0"/>
            </w:tcBorders>
            <w:vAlign w:val="center"/>
          </w:tcPr>
          <w:p w14:paraId="44D1689F">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927" w:type="dxa"/>
            <w:tcBorders>
              <w:left w:val="single" w:color="auto" w:sz="4" w:space="0"/>
            </w:tcBorders>
            <w:vAlign w:val="center"/>
          </w:tcPr>
          <w:p w14:paraId="4C7C577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7D02E6DF">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（二）投标人提供产品的性能与需求吻合程度</w:t>
            </w:r>
          </w:p>
        </w:tc>
      </w:tr>
      <w:tr w14:paraId="139A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1" w:type="dxa"/>
            <w:vAlign w:val="center"/>
          </w:tcPr>
          <w:p w14:paraId="3C1746C6">
            <w:pPr>
              <w:shd w:val="clear"/>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949" w:type="dxa"/>
            <w:tcBorders>
              <w:left w:val="single" w:color="auto" w:sz="4" w:space="0"/>
            </w:tcBorders>
            <w:vAlign w:val="center"/>
          </w:tcPr>
          <w:p w14:paraId="3667CBC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投标人针对本项目服务要求的承诺；</w:t>
            </w:r>
          </w:p>
          <w:p w14:paraId="4025A11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①具有较强的云计算及大数据开发、运维及服务能力，应具备网络安全技术、运维及服务能力； </w:t>
            </w:r>
          </w:p>
          <w:p w14:paraId="4E2ACE7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②为本项目投入必要安全硬件专业设备进行服务，以成熟技术进行必要的安全保障； </w:t>
            </w:r>
          </w:p>
          <w:p w14:paraId="422630B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③具备云平台和大数据建设能力、安全保障能力和丰富的项目经验。本项目服务期结束后，服务器存储硬盘内所存储数据需根据采购人要求做好迁移及清理工作。</w:t>
            </w:r>
          </w:p>
          <w:p w14:paraId="3578828E">
            <w:pPr>
              <w:shd w:val="clear"/>
              <w:adjustRightInd w:val="0"/>
              <w:snapToGrid w:val="0"/>
              <w:spacing w:line="360" w:lineRule="auto"/>
              <w:rPr>
                <w:rFonts w:hint="eastAsia" w:ascii="宋体" w:hAnsi="宋体" w:cs="宋体"/>
                <w:bCs w:val="0"/>
                <w:color w:val="auto"/>
                <w:sz w:val="24"/>
                <w:highlight w:val="none"/>
              </w:rPr>
            </w:pPr>
            <w:r>
              <w:rPr>
                <w:rFonts w:hint="eastAsia" w:ascii="宋体" w:hAnsi="宋体" w:eastAsia="宋体" w:cs="宋体"/>
                <w:snapToGrid/>
                <w:color w:val="auto"/>
                <w:sz w:val="24"/>
                <w:highlight w:val="none"/>
                <w:lang w:val="zh-CN"/>
              </w:rPr>
              <w:t>提供</w:t>
            </w:r>
            <w:r>
              <w:rPr>
                <w:rFonts w:hint="eastAsia" w:ascii="宋体" w:hAnsi="宋体" w:eastAsia="宋体" w:cs="宋体"/>
                <w:snapToGrid w:val="0"/>
                <w:color w:val="auto"/>
                <w:sz w:val="24"/>
                <w:highlight w:val="none"/>
              </w:rPr>
              <w:t>一项</w:t>
            </w:r>
            <w:r>
              <w:rPr>
                <w:rFonts w:hint="eastAsia" w:ascii="宋体" w:hAnsi="宋体" w:eastAsia="宋体" w:cs="宋体"/>
                <w:snapToGrid/>
                <w:color w:val="auto"/>
                <w:sz w:val="24"/>
                <w:highlight w:val="none"/>
                <w:lang w:val="zh-CN"/>
              </w:rPr>
              <w:t>承诺并满足采购需求的得</w:t>
            </w:r>
            <w:r>
              <w:rPr>
                <w:rFonts w:hint="eastAsia" w:ascii="宋体" w:hAnsi="宋体" w:eastAsia="宋体" w:cs="宋体"/>
                <w:snapToGrid w:val="0"/>
                <w:color w:val="auto"/>
                <w:sz w:val="24"/>
                <w:highlight w:val="none"/>
                <w:lang w:val="en-US" w:eastAsia="zh-CN"/>
              </w:rPr>
              <w:t>2</w:t>
            </w:r>
            <w:r>
              <w:rPr>
                <w:rFonts w:hint="eastAsia" w:ascii="宋体" w:hAnsi="宋体" w:eastAsia="宋体" w:cs="宋体"/>
                <w:snapToGrid/>
                <w:color w:val="auto"/>
                <w:sz w:val="24"/>
                <w:highlight w:val="none"/>
                <w:lang w:val="zh-CN"/>
              </w:rPr>
              <w:t>分，不满足的不得分，</w:t>
            </w:r>
            <w:r>
              <w:rPr>
                <w:rFonts w:hint="eastAsia" w:ascii="宋体" w:hAnsi="宋体" w:eastAsia="宋体" w:cs="宋体"/>
                <w:snapToGrid w:val="0"/>
                <w:color w:val="auto"/>
                <w:sz w:val="24"/>
                <w:highlight w:val="none"/>
              </w:rPr>
              <w:t>最高得</w:t>
            </w:r>
            <w:r>
              <w:rPr>
                <w:rFonts w:hint="eastAsia" w:ascii="宋体" w:hAnsi="宋体" w:eastAsia="宋体" w:cs="宋体"/>
                <w:snapToGrid w:val="0"/>
                <w:color w:val="auto"/>
                <w:sz w:val="24"/>
                <w:highlight w:val="none"/>
                <w:lang w:val="en-US" w:eastAsia="zh-CN"/>
              </w:rPr>
              <w:t>6</w:t>
            </w:r>
            <w:r>
              <w:rPr>
                <w:rFonts w:hint="eastAsia" w:ascii="宋体" w:hAnsi="宋体" w:eastAsia="宋体" w:cs="宋体"/>
                <w:snapToGrid w:val="0"/>
                <w:color w:val="auto"/>
                <w:sz w:val="24"/>
                <w:highlight w:val="none"/>
              </w:rPr>
              <w:t>分</w:t>
            </w:r>
            <w:r>
              <w:rPr>
                <w:rFonts w:hint="eastAsia" w:ascii="宋体" w:hAnsi="宋体" w:eastAsia="宋体" w:cs="宋体"/>
                <w:snapToGrid/>
                <w:color w:val="auto"/>
                <w:sz w:val="24"/>
                <w:highlight w:val="none"/>
                <w:lang w:val="zh-CN"/>
              </w:rPr>
              <w:t>。</w:t>
            </w:r>
          </w:p>
        </w:tc>
        <w:tc>
          <w:tcPr>
            <w:tcW w:w="759" w:type="dxa"/>
            <w:tcBorders>
              <w:left w:val="single" w:color="auto" w:sz="4" w:space="0"/>
            </w:tcBorders>
            <w:vAlign w:val="center"/>
          </w:tcPr>
          <w:p w14:paraId="7767010D">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927" w:type="dxa"/>
            <w:tcBorders>
              <w:left w:val="single" w:color="auto" w:sz="4" w:space="0"/>
            </w:tcBorders>
            <w:vAlign w:val="center"/>
          </w:tcPr>
          <w:p w14:paraId="52E3CF14">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62A0A620">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（三）服务要求的承诺</w:t>
            </w:r>
          </w:p>
        </w:tc>
      </w:tr>
      <w:tr w14:paraId="59F4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1" w:type="dxa"/>
            <w:shd w:val="clear" w:color="auto" w:fill="auto"/>
            <w:vAlign w:val="center"/>
          </w:tcPr>
          <w:p w14:paraId="3FC0921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949" w:type="dxa"/>
            <w:tcBorders>
              <w:left w:val="single" w:color="auto" w:sz="4" w:space="0"/>
            </w:tcBorders>
            <w:vAlign w:val="center"/>
          </w:tcPr>
          <w:p w14:paraId="7B18889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w:t>
            </w:r>
            <w:r>
              <w:rPr>
                <w:rFonts w:hint="eastAsia" w:ascii="宋体" w:hAnsi="宋体" w:eastAsia="宋体" w:cs="宋体"/>
                <w:b/>
                <w:bCs/>
                <w:color w:val="auto"/>
                <w:sz w:val="24"/>
                <w:highlight w:val="none"/>
              </w:rPr>
              <w:t>安全要求</w:t>
            </w:r>
            <w:r>
              <w:rPr>
                <w:rFonts w:hint="eastAsia" w:ascii="宋体" w:hAnsi="宋体" w:eastAsia="宋体" w:cs="宋体"/>
                <w:color w:val="auto"/>
                <w:sz w:val="24"/>
                <w:highlight w:val="none"/>
              </w:rPr>
              <w:t>的承诺；</w:t>
            </w:r>
          </w:p>
          <w:p w14:paraId="480AA9C8">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承诺本项目需通过第三方检测（安全防控治理）及网络安全等级保护三级；根据商用密码应用安全管理要求，项目服务期结束前完成测评。投标人需做好相关检测和测评的配合工作，如因投标人原因未符合要求的，需负责整改到位。</w:t>
            </w:r>
          </w:p>
          <w:p w14:paraId="2BC9CF9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②对于本项目中的安全防控治理，需根据信创要求，完成信创测评，如因投标人原因未符合要求的，需负责整改到位。</w:t>
            </w:r>
          </w:p>
          <w:p w14:paraId="1DC0CEF5">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zh-CN"/>
              </w:rPr>
              <w:t>提供</w:t>
            </w:r>
            <w:r>
              <w:rPr>
                <w:rFonts w:hint="eastAsia" w:ascii="宋体" w:hAnsi="宋体" w:eastAsia="宋体" w:cs="宋体"/>
                <w:snapToGrid w:val="0"/>
                <w:color w:val="auto"/>
                <w:sz w:val="24"/>
                <w:highlight w:val="none"/>
              </w:rPr>
              <w:t>一项</w:t>
            </w:r>
            <w:r>
              <w:rPr>
                <w:rFonts w:hint="eastAsia" w:ascii="宋体" w:hAnsi="宋体" w:eastAsia="宋体" w:cs="宋体"/>
                <w:snapToGrid w:val="0"/>
                <w:color w:val="auto"/>
                <w:sz w:val="24"/>
                <w:highlight w:val="none"/>
                <w:lang w:val="zh-CN"/>
              </w:rPr>
              <w:t>承诺并满足采购需求的得</w:t>
            </w:r>
            <w:r>
              <w:rPr>
                <w:rFonts w:hint="eastAsia" w:ascii="宋体" w:hAnsi="宋体" w:eastAsia="宋体" w:cs="宋体"/>
                <w:snapToGrid w:val="0"/>
                <w:color w:val="auto"/>
                <w:sz w:val="24"/>
                <w:highlight w:val="none"/>
                <w:lang w:val="en-US" w:eastAsia="zh-CN"/>
              </w:rPr>
              <w:t>2</w:t>
            </w:r>
            <w:r>
              <w:rPr>
                <w:rFonts w:hint="eastAsia" w:ascii="宋体" w:hAnsi="宋体" w:eastAsia="宋体" w:cs="宋体"/>
                <w:snapToGrid w:val="0"/>
                <w:color w:val="auto"/>
                <w:sz w:val="24"/>
                <w:highlight w:val="none"/>
                <w:lang w:val="zh-CN"/>
              </w:rPr>
              <w:t>分，不满足的不得分，</w:t>
            </w:r>
            <w:r>
              <w:rPr>
                <w:rFonts w:hint="eastAsia" w:ascii="宋体" w:hAnsi="宋体" w:eastAsia="宋体" w:cs="宋体"/>
                <w:snapToGrid w:val="0"/>
                <w:color w:val="auto"/>
                <w:sz w:val="24"/>
                <w:highlight w:val="none"/>
              </w:rPr>
              <w:t>最高得</w:t>
            </w:r>
            <w:r>
              <w:rPr>
                <w:rFonts w:hint="eastAsia" w:ascii="宋体" w:hAnsi="宋体" w:eastAsia="宋体" w:cs="宋体"/>
                <w:snapToGrid w:val="0"/>
                <w:color w:val="auto"/>
                <w:sz w:val="24"/>
                <w:highlight w:val="none"/>
                <w:lang w:val="en-US" w:eastAsia="zh-CN"/>
              </w:rPr>
              <w:t>4</w:t>
            </w:r>
            <w:r>
              <w:rPr>
                <w:rFonts w:hint="eastAsia" w:ascii="宋体" w:hAnsi="宋体" w:eastAsia="宋体" w:cs="宋体"/>
                <w:snapToGrid w:val="0"/>
                <w:color w:val="auto"/>
                <w:sz w:val="24"/>
                <w:highlight w:val="none"/>
              </w:rPr>
              <w:t>分</w:t>
            </w:r>
            <w:r>
              <w:rPr>
                <w:rFonts w:hint="eastAsia" w:ascii="宋体" w:hAnsi="宋体" w:eastAsia="宋体" w:cs="宋体"/>
                <w:snapToGrid w:val="0"/>
                <w:color w:val="auto"/>
                <w:sz w:val="24"/>
                <w:highlight w:val="none"/>
                <w:lang w:val="zh-CN"/>
              </w:rPr>
              <w:t>。</w:t>
            </w:r>
          </w:p>
        </w:tc>
        <w:tc>
          <w:tcPr>
            <w:tcW w:w="759" w:type="dxa"/>
            <w:tcBorders>
              <w:left w:val="single" w:color="auto" w:sz="4" w:space="0"/>
            </w:tcBorders>
            <w:vAlign w:val="center"/>
          </w:tcPr>
          <w:p w14:paraId="1BC7CE19">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927" w:type="dxa"/>
            <w:tcBorders>
              <w:left w:val="single" w:color="auto" w:sz="4" w:space="0"/>
            </w:tcBorders>
            <w:vAlign w:val="center"/>
          </w:tcPr>
          <w:p w14:paraId="1E24E51A">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7450D095">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（四）安全要求</w:t>
            </w:r>
          </w:p>
        </w:tc>
      </w:tr>
      <w:tr w14:paraId="16DC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1" w:type="dxa"/>
            <w:shd w:val="clear" w:color="auto" w:fill="auto"/>
            <w:vAlign w:val="center"/>
          </w:tcPr>
          <w:p w14:paraId="4210151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949" w:type="dxa"/>
            <w:tcBorders>
              <w:left w:val="single" w:color="auto" w:sz="4" w:space="0"/>
            </w:tcBorders>
            <w:vAlign w:val="center"/>
          </w:tcPr>
          <w:p w14:paraId="027274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w:t>
            </w:r>
            <w:r>
              <w:rPr>
                <w:rFonts w:hint="eastAsia" w:ascii="宋体" w:hAnsi="宋体" w:eastAsia="宋体" w:cs="宋体"/>
                <w:b/>
                <w:color w:val="auto"/>
                <w:sz w:val="24"/>
                <w:highlight w:val="none"/>
              </w:rPr>
              <w:t>服务响应时间</w:t>
            </w:r>
            <w:r>
              <w:rPr>
                <w:rFonts w:hint="eastAsia" w:ascii="宋体" w:hAnsi="宋体" w:eastAsia="宋体" w:cs="宋体"/>
                <w:color w:val="auto"/>
                <w:sz w:val="24"/>
                <w:highlight w:val="none"/>
              </w:rPr>
              <w:t>；</w:t>
            </w:r>
          </w:p>
          <w:p w14:paraId="42FCD978">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提供7*24小时响应服务。接到采购人通知后应于15分钟内响应，4小时内解决问题；如现场驻点人员无法解决需投标人公司提供技术支持的，技术支持人员需3小时内到达现场，48小时内解决问题，需提供承诺函。满足采购需求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分，不满足不得分。</w:t>
            </w:r>
          </w:p>
        </w:tc>
        <w:tc>
          <w:tcPr>
            <w:tcW w:w="759" w:type="dxa"/>
            <w:tcBorders>
              <w:left w:val="single" w:color="auto" w:sz="4" w:space="0"/>
            </w:tcBorders>
            <w:vAlign w:val="center"/>
          </w:tcPr>
          <w:p w14:paraId="675125AC">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927" w:type="dxa"/>
            <w:tcBorders>
              <w:left w:val="single" w:color="auto" w:sz="4" w:space="0"/>
            </w:tcBorders>
            <w:vAlign w:val="center"/>
          </w:tcPr>
          <w:p w14:paraId="55833221">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253C4678">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（五）服务响应时间</w:t>
            </w:r>
          </w:p>
        </w:tc>
      </w:tr>
      <w:tr w14:paraId="2FAB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1" w:type="dxa"/>
            <w:shd w:val="clear" w:color="auto" w:fill="auto"/>
            <w:vAlign w:val="center"/>
          </w:tcPr>
          <w:p w14:paraId="36F27054">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949" w:type="dxa"/>
            <w:tcBorders>
              <w:left w:val="single" w:color="auto" w:sz="4" w:space="0"/>
            </w:tcBorders>
            <w:vAlign w:val="center"/>
          </w:tcPr>
          <w:p w14:paraId="6360CF9F">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1、年龄：</w:t>
            </w:r>
          </w:p>
          <w:p w14:paraId="5E01AFEE">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①.项目负责人满足年龄55周岁（含）以下的，得0.5分，不满足不得分。（提供项目负责人身份证、社保证明）；</w:t>
            </w:r>
          </w:p>
          <w:p w14:paraId="00909EBD">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②．驻点人员满足年龄55周岁（含）以下的，每满足1人得0.5分，最多得5.5分，不满足不得分。（提供驻点人员身份证、社保证明）；</w:t>
            </w:r>
          </w:p>
          <w:p w14:paraId="4AF8412D">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2、学历：</w:t>
            </w:r>
          </w:p>
          <w:p w14:paraId="1A5B15A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①.项目负责人具有本科及以上学历的，得0.5分，不满足不得分。（提供学历证书）；</w:t>
            </w:r>
          </w:p>
          <w:p w14:paraId="4C5F7852">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②．驻点人员具有大专及以上学历的，每满足一人得0.5分，最多得5.5分，不满足不得分。（提供学历证书）；</w:t>
            </w:r>
          </w:p>
          <w:p w14:paraId="1AF3D196">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3、类似工作经验：</w:t>
            </w:r>
          </w:p>
          <w:p w14:paraId="760E90B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①.项目负责人具有信息化软硬件运维工作服务经验的得0.5分，不满足不得分。（提供类似业绩合同或业主证明材料）；</w:t>
            </w:r>
          </w:p>
          <w:p w14:paraId="49DD46B5">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②.驻点人员具有信息化软硬件运维工作服务经验的，每满足一人得0.5分，最高得5.5分，不满足不得分。（提供类似业绩合同或业主证明材料）</w:t>
            </w:r>
          </w:p>
          <w:p w14:paraId="3DFE9BBC">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承诺提供专网云平台系统运行及数据治理、公安网数据治理，驻点人员7人；网络安全服务，驻场人员1人；货运导航数据及运营保障服务，驻点人员2人；非现场执法平台运营保障服务，驻场人员1人；满足采购需求并提供承诺函的得2分，不满足不得分。</w:t>
            </w:r>
          </w:p>
          <w:p w14:paraId="7B5EF09F">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5、承诺服务人员的工作时间、工作地点满足采购需求并提供承诺函的得2分，不满足不得分。</w:t>
            </w:r>
          </w:p>
          <w:p w14:paraId="77705D7A">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6、承诺服务人员的工作内容均能达到采购需求并提供承诺函的得2分，不满足不得分。</w:t>
            </w:r>
          </w:p>
        </w:tc>
        <w:tc>
          <w:tcPr>
            <w:tcW w:w="759" w:type="dxa"/>
            <w:tcBorders>
              <w:left w:val="single" w:color="auto" w:sz="4" w:space="0"/>
            </w:tcBorders>
            <w:vAlign w:val="center"/>
          </w:tcPr>
          <w:p w14:paraId="6E37119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927" w:type="dxa"/>
            <w:tcBorders>
              <w:left w:val="single" w:color="auto" w:sz="4" w:space="0"/>
            </w:tcBorders>
            <w:vAlign w:val="center"/>
          </w:tcPr>
          <w:p w14:paraId="49BCC549">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608E55F6">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（六）服务人员情况</w:t>
            </w:r>
          </w:p>
        </w:tc>
      </w:tr>
      <w:tr w14:paraId="3A4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shd w:val="clear" w:color="auto" w:fill="auto"/>
            <w:vAlign w:val="center"/>
          </w:tcPr>
          <w:p w14:paraId="1BA71F9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949" w:type="dxa"/>
            <w:tcBorders>
              <w:left w:val="single" w:color="auto" w:sz="4" w:space="0"/>
            </w:tcBorders>
            <w:vAlign w:val="center"/>
          </w:tcPr>
          <w:p w14:paraId="1D4158B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投标人提供对本项目其他要求的承诺：</w:t>
            </w:r>
          </w:p>
          <w:p w14:paraId="26E3F53A">
            <w:pPr>
              <w:shd w:val="clear"/>
              <w:tabs>
                <w:tab w:val="left" w:pos="432"/>
              </w:tabs>
              <w:spacing w:line="360" w:lineRule="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投标人应派驻固定的驻点人员，合同期内人员不得随意变动，因</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工作存在即时性和突发性，能够随时响应配合采购人的工作，利于合作的顺利开展；人员如需发生变更，投标人应提前1个月通知采购人，经采购人书面同意后方可更换，更换人员需在24小时内到位，确保任何时间都不得出现人员缺位现象，更换人员素质应不低于投标时的承诺。</w:t>
            </w:r>
          </w:p>
          <w:p w14:paraId="378F2A19">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zh-CN"/>
              </w:rPr>
              <w:t>提供承诺并满足采购需求的得</w:t>
            </w:r>
            <w:r>
              <w:rPr>
                <w:rFonts w:hint="eastAsia" w:ascii="宋体" w:hAnsi="宋体" w:eastAsia="宋体" w:cs="宋体"/>
                <w:snapToGrid w:val="0"/>
                <w:color w:val="auto"/>
                <w:sz w:val="24"/>
                <w:highlight w:val="none"/>
              </w:rPr>
              <w:t>2</w:t>
            </w:r>
            <w:r>
              <w:rPr>
                <w:rFonts w:hint="eastAsia" w:ascii="宋体" w:hAnsi="宋体" w:eastAsia="宋体" w:cs="宋体"/>
                <w:snapToGrid w:val="0"/>
                <w:color w:val="auto"/>
                <w:sz w:val="24"/>
                <w:highlight w:val="none"/>
                <w:lang w:val="zh-CN"/>
              </w:rPr>
              <w:t>分，不满足的不得分。</w:t>
            </w:r>
          </w:p>
        </w:tc>
        <w:tc>
          <w:tcPr>
            <w:tcW w:w="759" w:type="dxa"/>
            <w:tcBorders>
              <w:left w:val="single" w:color="auto" w:sz="4" w:space="0"/>
            </w:tcBorders>
            <w:vAlign w:val="center"/>
          </w:tcPr>
          <w:p w14:paraId="025E2BD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27" w:type="dxa"/>
            <w:tcBorders>
              <w:left w:val="single" w:color="auto" w:sz="4" w:space="0"/>
            </w:tcBorders>
            <w:vAlign w:val="center"/>
          </w:tcPr>
          <w:p w14:paraId="1467A2CF">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1B6D0665">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（七）其他要求</w:t>
            </w:r>
          </w:p>
        </w:tc>
      </w:tr>
      <w:tr w14:paraId="557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shd w:val="clear" w:color="auto" w:fill="auto"/>
            <w:vAlign w:val="center"/>
          </w:tcPr>
          <w:p w14:paraId="1C807702">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949" w:type="dxa"/>
            <w:tcBorders>
              <w:left w:val="single" w:color="auto" w:sz="4" w:space="0"/>
            </w:tcBorders>
            <w:vAlign w:val="center"/>
          </w:tcPr>
          <w:p w14:paraId="74F4B64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投标人需提供对本项目的培训服务方案，方案详细、合理，满足采购需求的得3分，方案不详细、合理，不符合采购需求的不得分。</w:t>
            </w:r>
          </w:p>
        </w:tc>
        <w:tc>
          <w:tcPr>
            <w:tcW w:w="759" w:type="dxa"/>
            <w:tcBorders>
              <w:left w:val="single" w:color="auto" w:sz="4" w:space="0"/>
            </w:tcBorders>
            <w:vAlign w:val="center"/>
          </w:tcPr>
          <w:p w14:paraId="4C2768E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27" w:type="dxa"/>
            <w:tcBorders>
              <w:left w:val="single" w:color="auto" w:sz="4" w:space="0"/>
            </w:tcBorders>
            <w:vAlign w:val="center"/>
          </w:tcPr>
          <w:p w14:paraId="52C33D60">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15" w:type="dxa"/>
            <w:tcBorders>
              <w:left w:val="single" w:color="auto" w:sz="4" w:space="0"/>
            </w:tcBorders>
            <w:vAlign w:val="center"/>
          </w:tcPr>
          <w:p w14:paraId="2A9F158E">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（八）培训服务</w:t>
            </w:r>
          </w:p>
        </w:tc>
      </w:tr>
      <w:tr w14:paraId="635C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1" w:type="dxa"/>
            <w:shd w:val="clear" w:color="auto" w:fill="auto"/>
            <w:vAlign w:val="center"/>
          </w:tcPr>
          <w:p w14:paraId="18CC9887">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949" w:type="dxa"/>
            <w:tcBorders>
              <w:left w:val="single" w:color="auto" w:sz="4" w:space="0"/>
            </w:tcBorders>
            <w:vAlign w:val="center"/>
          </w:tcPr>
          <w:p w14:paraId="04D423D3">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sz w:val="24"/>
                <w:highlight w:val="none"/>
                <w:lang w:val="zh-CN"/>
              </w:rPr>
              <w:t>投标人针对本项目的保密情况，投标人承诺保密按照采购需求实施，对工作人员开展常态化安全保密教育，组织签订保密协议、安全保密承诺书，</w:t>
            </w:r>
            <w:r>
              <w:rPr>
                <w:rFonts w:hint="eastAsia" w:ascii="宋体" w:hAnsi="宋体" w:eastAsia="宋体" w:cs="宋体"/>
                <w:snapToGrid w:val="0"/>
                <w:color w:val="auto"/>
                <w:sz w:val="24"/>
                <w:highlight w:val="none"/>
              </w:rPr>
              <w:t>履行</w:t>
            </w:r>
            <w:r>
              <w:rPr>
                <w:rFonts w:hint="eastAsia" w:ascii="宋体" w:hAnsi="宋体" w:eastAsia="宋体" w:cs="宋体"/>
                <w:snapToGrid w:val="0"/>
                <w:color w:val="auto"/>
                <w:sz w:val="24"/>
                <w:highlight w:val="none"/>
                <w:lang w:val="zh-CN"/>
              </w:rPr>
              <w:t>具体安全管理内容、安全保密义务和责任等。投标人提供承诺并满足采购需求的得</w:t>
            </w:r>
            <w:r>
              <w:rPr>
                <w:rFonts w:hint="eastAsia" w:ascii="宋体" w:hAnsi="宋体" w:eastAsia="宋体" w:cs="宋体"/>
                <w:snapToGrid w:val="0"/>
                <w:color w:val="auto"/>
                <w:sz w:val="24"/>
                <w:highlight w:val="none"/>
              </w:rPr>
              <w:t>1</w:t>
            </w:r>
            <w:r>
              <w:rPr>
                <w:rFonts w:hint="eastAsia" w:ascii="宋体" w:hAnsi="宋体" w:eastAsia="宋体" w:cs="宋体"/>
                <w:snapToGrid w:val="0"/>
                <w:color w:val="auto"/>
                <w:sz w:val="24"/>
                <w:highlight w:val="none"/>
                <w:lang w:val="zh-CN"/>
              </w:rPr>
              <w:t>分，不满足不得分。</w:t>
            </w:r>
          </w:p>
        </w:tc>
        <w:tc>
          <w:tcPr>
            <w:tcW w:w="759" w:type="dxa"/>
            <w:tcBorders>
              <w:left w:val="single" w:color="auto" w:sz="4" w:space="0"/>
            </w:tcBorders>
            <w:vAlign w:val="center"/>
          </w:tcPr>
          <w:p w14:paraId="511B398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27" w:type="dxa"/>
            <w:tcBorders>
              <w:left w:val="single" w:color="auto" w:sz="4" w:space="0"/>
            </w:tcBorders>
            <w:vAlign w:val="center"/>
          </w:tcPr>
          <w:p w14:paraId="1040F650">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6B33277B">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（九）保密服务</w:t>
            </w:r>
          </w:p>
        </w:tc>
      </w:tr>
      <w:tr w14:paraId="75C5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21" w:type="dxa"/>
            <w:shd w:val="clear" w:color="auto" w:fill="auto"/>
            <w:vAlign w:val="center"/>
          </w:tcPr>
          <w:p w14:paraId="19741A5A">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949" w:type="dxa"/>
            <w:tcBorders>
              <w:left w:val="single" w:color="auto" w:sz="4" w:space="0"/>
            </w:tcBorders>
            <w:vAlign w:val="center"/>
          </w:tcPr>
          <w:p w14:paraId="2E3FBCEB">
            <w:pPr>
              <w:shd w:val="clear"/>
              <w:spacing w:line="276" w:lineRule="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投标人针对本项目的网络安全责任与义务承诺：</w:t>
            </w:r>
          </w:p>
          <w:p w14:paraId="3DCF1E8E">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（1）明确投标人法定代表人为合作事项网络安全第一责任人，具体承担合作事项的部门主要负责人为直接责任人。</w:t>
            </w:r>
          </w:p>
          <w:p w14:paraId="64896EDC">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（2）投标人不得转包合同任务，未经采购人书面同意不得分包。</w:t>
            </w:r>
          </w:p>
          <w:p w14:paraId="47C2FC12">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（3）投标人应制订与合作事项相关的网络安全保障方案和网络安全事件应急预案。</w:t>
            </w:r>
          </w:p>
          <w:p w14:paraId="1E4A1575">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（4）投标人发现网络安全漏洞、缺陷或者其他严重网络安全风险，应10分钟内向采购人报告。</w:t>
            </w:r>
          </w:p>
          <w:p w14:paraId="1B0E100D">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（5）处理合作事项的信息平台应当优先采用符合安全可靠测评要求的硬件和软件产品。</w:t>
            </w:r>
          </w:p>
          <w:p w14:paraId="48734737">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（6）发生可能影响合作事项的网络安全重大事项，包括负责人及重要工作人员变更、业务转型、合并重组和投资并购等，投标人应提前向采购人报告。</w:t>
            </w:r>
          </w:p>
          <w:p w14:paraId="3FECCD4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（7）采用社会公共网络平台实施合作事项时，严禁涉及国家秘密和警务工作秘密。</w:t>
            </w:r>
          </w:p>
          <w:p w14:paraId="6FCB176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（8）投标人应2026年8月1日前向采购人提交一份网络安全报告。</w:t>
            </w:r>
          </w:p>
          <w:p w14:paraId="57C63346">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（9）其他应当落实的网络安全责任和义务。</w:t>
            </w:r>
          </w:p>
          <w:p w14:paraId="461497D0">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sz w:val="24"/>
                <w:highlight w:val="none"/>
                <w:lang w:val="zh-CN"/>
              </w:rPr>
              <w:t>投标人提供承诺并全部满足采购需求的得</w:t>
            </w:r>
            <w:r>
              <w:rPr>
                <w:rFonts w:hint="eastAsia" w:ascii="宋体" w:hAnsi="宋体" w:eastAsia="宋体" w:cs="宋体"/>
                <w:snapToGrid w:val="0"/>
                <w:color w:val="auto"/>
                <w:sz w:val="24"/>
                <w:highlight w:val="none"/>
              </w:rPr>
              <w:t>1</w:t>
            </w:r>
            <w:r>
              <w:rPr>
                <w:rFonts w:hint="eastAsia" w:ascii="宋体" w:hAnsi="宋体" w:eastAsia="宋体" w:cs="宋体"/>
                <w:snapToGrid w:val="0"/>
                <w:color w:val="auto"/>
                <w:sz w:val="24"/>
                <w:highlight w:val="none"/>
                <w:lang w:val="zh-CN"/>
              </w:rPr>
              <w:t>分，不满足不得分。</w:t>
            </w:r>
          </w:p>
        </w:tc>
        <w:tc>
          <w:tcPr>
            <w:tcW w:w="759" w:type="dxa"/>
            <w:tcBorders>
              <w:left w:val="single" w:color="auto" w:sz="4" w:space="0"/>
            </w:tcBorders>
            <w:vAlign w:val="center"/>
          </w:tcPr>
          <w:p w14:paraId="1B82D0C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27" w:type="dxa"/>
            <w:tcBorders>
              <w:left w:val="single" w:color="auto" w:sz="4" w:space="0"/>
            </w:tcBorders>
            <w:vAlign w:val="center"/>
          </w:tcPr>
          <w:p w14:paraId="5E840EA8">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3B3B03C0">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（十）网络安全责任</w:t>
            </w:r>
          </w:p>
        </w:tc>
      </w:tr>
      <w:tr w14:paraId="4A5C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1" w:type="dxa"/>
            <w:shd w:val="clear" w:color="auto" w:fill="auto"/>
            <w:vAlign w:val="center"/>
          </w:tcPr>
          <w:p w14:paraId="33E9E5D5">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5949" w:type="dxa"/>
            <w:tcBorders>
              <w:left w:val="single" w:color="auto" w:sz="4" w:space="0"/>
            </w:tcBorders>
            <w:vAlign w:val="center"/>
          </w:tcPr>
          <w:p w14:paraId="6F2BF64A">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投标截止时间前三年以来，投标人承担类似网络数据安全运维或信息化平台或软件集成项目的成功经验情况，结合已完成的项目案例和用户反应情况，投标人同时提供的合同、用户验收报告或业主证明作为证明资料，每个案例（以合同签定时间为准）得0.5分，最高得1分。（1分）</w:t>
            </w:r>
          </w:p>
        </w:tc>
        <w:tc>
          <w:tcPr>
            <w:tcW w:w="759" w:type="dxa"/>
            <w:tcBorders>
              <w:left w:val="single" w:color="auto" w:sz="4" w:space="0"/>
            </w:tcBorders>
            <w:vAlign w:val="center"/>
          </w:tcPr>
          <w:p w14:paraId="5DDECB33">
            <w:pPr>
              <w:shd w:val="clear"/>
              <w:spacing w:line="360" w:lineRule="auto"/>
              <w:ind w:firstLine="120" w:firstLineChars="5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27" w:type="dxa"/>
            <w:tcBorders>
              <w:left w:val="single" w:color="auto" w:sz="4" w:space="0"/>
            </w:tcBorders>
            <w:vAlign w:val="center"/>
          </w:tcPr>
          <w:p w14:paraId="7AFAEB23">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3BC5842E">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二、类似经验</w:t>
            </w:r>
          </w:p>
        </w:tc>
      </w:tr>
      <w:tr w14:paraId="7442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1" w:type="dxa"/>
            <w:vAlign w:val="center"/>
          </w:tcPr>
          <w:p w14:paraId="3DCECB54">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5949" w:type="dxa"/>
            <w:tcBorders>
              <w:left w:val="single" w:color="auto" w:sz="4" w:space="0"/>
            </w:tcBorders>
          </w:tcPr>
          <w:p w14:paraId="524DCB70">
            <w:pPr>
              <w:shd w:val="clear"/>
              <w:spacing w:line="276" w:lineRule="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有效投标报价的最低价作为评标基准价，其最低报价为满分；按［投标报价得分=（评标基准价/投标报价）*权重］的计算公式计算。</w:t>
            </w:r>
          </w:p>
          <w:p w14:paraId="7E39D09B">
            <w:pPr>
              <w:shd w:val="clear"/>
              <w:spacing w:line="276" w:lineRule="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评标过程中，不得去掉报价中的最高报价和最低报价。</w:t>
            </w:r>
          </w:p>
          <w:p w14:paraId="565A0913">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59" w:type="dxa"/>
            <w:tcBorders>
              <w:left w:val="single" w:color="auto" w:sz="4" w:space="0"/>
            </w:tcBorders>
            <w:vAlign w:val="center"/>
          </w:tcPr>
          <w:p w14:paraId="6102F49B">
            <w:pPr>
              <w:shd w:val="clea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927" w:type="dxa"/>
            <w:tcBorders>
              <w:left w:val="single" w:color="auto" w:sz="4" w:space="0"/>
            </w:tcBorders>
            <w:vAlign w:val="center"/>
          </w:tcPr>
          <w:p w14:paraId="19560CB6">
            <w:pPr>
              <w:keepNext/>
              <w:keepLines/>
              <w:shd w:val="clear"/>
              <w:spacing w:before="260" w:after="260"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15" w:type="dxa"/>
            <w:tcBorders>
              <w:left w:val="single" w:color="auto" w:sz="4" w:space="0"/>
            </w:tcBorders>
            <w:vAlign w:val="center"/>
          </w:tcPr>
          <w:p w14:paraId="48BF4A93">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5E921751">
      <w:pPr>
        <w:shd w:val="clea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44610C1">
      <w:pPr>
        <w:shd w:val="clea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275F7B21">
      <w:pPr>
        <w:shd w:val="clea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一、评标方法</w:t>
      </w:r>
    </w:p>
    <w:p w14:paraId="75CC5FC8">
      <w:pPr>
        <w:shd w:val="clea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C2AF797">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16AAA01">
      <w:pPr>
        <w:shd w:val="clea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2414B8">
      <w:pPr>
        <w:shd w:val="clea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3761F2A8">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038E44">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8D34B91">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7AFAB60">
      <w:pPr>
        <w:shd w:val="clea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7203496">
      <w:pPr>
        <w:pStyle w:val="25"/>
        <w:shd w:val="clear"/>
        <w:spacing w:before="0"/>
        <w:ind w:firstLine="506" w:firstLineChars="211"/>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0779EAA">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9CE7111">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6BB7BD6">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2747DD2">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1FD1D22">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6C229AE">
      <w:pPr>
        <w:shd w:val="clea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EE4E5AA">
      <w:pPr>
        <w:shd w:val="clea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57BC507">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AD0CD6">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5ED2200">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rPr>
        <w:t>。</w:t>
      </w:r>
    </w:p>
    <w:p w14:paraId="320B1462">
      <w:pPr>
        <w:shd w:val="clea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22E0DD">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98EC41">
      <w:pPr>
        <w:shd w:val="clea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B2964BC">
      <w:pPr>
        <w:pStyle w:val="25"/>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A1D09A">
      <w:pPr>
        <w:pStyle w:val="2"/>
        <w:shd w:val="clear"/>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5F3E8B9">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59826F1">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CD9DD3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9D79E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98C9CA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862196">
      <w:pPr>
        <w:shd w:val="clear"/>
        <w:adjustRightInd w:val="0"/>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E35757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2C6912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36E2A418">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4.2.9投标人提供虚假材料投标的；</w:t>
      </w:r>
    </w:p>
    <w:p w14:paraId="73382B8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4.2.10投标人有恶意串通、妨碍其他投标人的竞争行为、损害采购人或者其他投标人的合法权益情形的；</w:t>
      </w:r>
    </w:p>
    <w:p w14:paraId="728A6EA0">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889811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5888AC2">
      <w:pPr>
        <w:pStyle w:val="5"/>
        <w:shd w:val="clear"/>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EA083F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2CF0189">
      <w:pPr>
        <w:pStyle w:val="2"/>
        <w:shd w:val="clear"/>
        <w:adjustRightInd w:val="0"/>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E38EE9B">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9DBC992">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2531C87">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4DB78D8">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DBE7C44">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w:t>
      </w:r>
      <w:bookmarkStart w:id="539" w:name="_GoBack"/>
      <w:r>
        <w:rPr>
          <w:rFonts w:hint="eastAsia" w:ascii="宋体" w:hAnsi="宋体" w:eastAsia="宋体" w:cs="宋体"/>
          <w:color w:val="auto"/>
          <w:highlight w:val="none"/>
        </w:rPr>
        <w:t>投标人</w:t>
      </w:r>
      <w:bookmarkEnd w:id="539"/>
      <w:r>
        <w:rPr>
          <w:rFonts w:hint="eastAsia" w:ascii="宋体" w:hAnsi="宋体" w:eastAsia="宋体" w:cs="宋体"/>
          <w:color w:val="auto"/>
          <w:highlight w:val="none"/>
        </w:rPr>
        <w:t>。</w:t>
      </w:r>
    </w:p>
    <w:p w14:paraId="2797F469">
      <w:pPr>
        <w:pStyle w:val="2"/>
        <w:shd w:val="clear"/>
        <w:adjustRightInd w:val="0"/>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9FAA14">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2773221">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1AEC352">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64F0BFF">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159FBBBA">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38A1C22">
      <w:pPr>
        <w:pStyle w:val="2"/>
        <w:shd w:val="clear"/>
        <w:adjustRightInd w:val="0"/>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41C7F04">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B7175C">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F743F33">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2E176F5">
      <w:pPr>
        <w:shd w:val="clear"/>
        <w:spacing w:line="480" w:lineRule="auto"/>
        <w:jc w:val="center"/>
        <w:rPr>
          <w:rFonts w:hint="eastAsia" w:ascii="宋体" w:hAnsi="宋体" w:eastAsia="宋体" w:cs="宋体"/>
          <w:b/>
          <w:color w:val="auto"/>
          <w:sz w:val="28"/>
          <w:szCs w:val="28"/>
          <w:highlight w:val="none"/>
        </w:rPr>
      </w:pPr>
    </w:p>
    <w:p w14:paraId="7C12CC7E">
      <w:pPr>
        <w:shd w:val="clear"/>
        <w:spacing w:line="480" w:lineRule="auto"/>
        <w:jc w:val="center"/>
        <w:rPr>
          <w:rFonts w:hint="eastAsia" w:ascii="宋体" w:hAnsi="宋体" w:eastAsia="宋体" w:cs="宋体"/>
          <w:b/>
          <w:color w:val="auto"/>
          <w:sz w:val="24"/>
          <w:highlight w:val="none"/>
        </w:rPr>
      </w:pPr>
    </w:p>
    <w:p w14:paraId="38C61BE1">
      <w:pPr>
        <w:shd w:val="clear"/>
        <w:spacing w:line="480" w:lineRule="auto"/>
        <w:jc w:val="center"/>
        <w:rPr>
          <w:rFonts w:hint="eastAsia" w:ascii="宋体" w:hAnsi="宋体" w:eastAsia="宋体" w:cs="宋体"/>
          <w:b/>
          <w:color w:val="auto"/>
          <w:sz w:val="24"/>
          <w:highlight w:val="none"/>
        </w:rPr>
      </w:pPr>
    </w:p>
    <w:p w14:paraId="60D70329">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7CC7822">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2E02476">
      <w:pPr>
        <w:pStyle w:val="29"/>
        <w:shd w:val="clear"/>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D6795A4">
      <w:pPr>
        <w:shd w:val="clear"/>
        <w:spacing w:before="120" w:line="22" w:lineRule="atLeast"/>
        <w:rPr>
          <w:rFonts w:hint="eastAsia" w:ascii="宋体" w:hAnsi="宋体" w:eastAsia="宋体" w:cs="宋体"/>
          <w:color w:val="auto"/>
          <w:sz w:val="24"/>
          <w:highlight w:val="none"/>
        </w:rPr>
      </w:pPr>
    </w:p>
    <w:p w14:paraId="6840474A">
      <w:pPr>
        <w:pStyle w:val="5"/>
        <w:shd w:val="clear"/>
        <w:rPr>
          <w:rFonts w:hint="eastAsia" w:ascii="宋体" w:hAnsi="宋体" w:eastAsia="宋体" w:cs="宋体"/>
          <w:color w:val="auto"/>
          <w:highlight w:val="none"/>
        </w:rPr>
      </w:pPr>
    </w:p>
    <w:p w14:paraId="63BAE274">
      <w:pPr>
        <w:shd w:val="clea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2025年杭州交警业务系统租赁使用服务-2025年杭州交警网络及数据安全运维服务</w:t>
      </w:r>
    </w:p>
    <w:p w14:paraId="6A0E594C">
      <w:pPr>
        <w:pStyle w:val="30"/>
        <w:shd w:val="clear"/>
        <w:spacing w:before="120" w:line="22" w:lineRule="atLeast"/>
        <w:rPr>
          <w:rFonts w:hint="eastAsia" w:ascii="宋体" w:hAnsi="宋体" w:eastAsia="宋体" w:cs="宋体"/>
          <w:color w:val="auto"/>
          <w:szCs w:val="24"/>
          <w:highlight w:val="none"/>
        </w:rPr>
      </w:pPr>
    </w:p>
    <w:p w14:paraId="476CDA44">
      <w:pPr>
        <w:pStyle w:val="30"/>
        <w:shd w:val="clear"/>
        <w:spacing w:before="120" w:line="22" w:lineRule="atLeast"/>
        <w:rPr>
          <w:rFonts w:hint="eastAsia" w:ascii="宋体" w:hAnsi="宋体" w:eastAsia="宋体" w:cs="宋体"/>
          <w:color w:val="auto"/>
          <w:szCs w:val="24"/>
          <w:highlight w:val="none"/>
        </w:rPr>
      </w:pPr>
    </w:p>
    <w:p w14:paraId="3E1435BD">
      <w:pPr>
        <w:shd w:val="clear"/>
        <w:rPr>
          <w:rFonts w:hint="eastAsia" w:ascii="宋体" w:hAnsi="宋体" w:eastAsia="宋体" w:cs="宋体"/>
          <w:color w:val="auto"/>
          <w:sz w:val="24"/>
          <w:highlight w:val="none"/>
        </w:rPr>
      </w:pPr>
    </w:p>
    <w:p w14:paraId="0F2A6D66">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杭州市公安局                    </w:t>
      </w:r>
    </w:p>
    <w:p w14:paraId="1A967B81">
      <w:pPr>
        <w:shd w:val="clear"/>
        <w:spacing w:before="120" w:line="22" w:lineRule="atLeast"/>
        <w:rPr>
          <w:rFonts w:hint="eastAsia" w:ascii="宋体" w:hAnsi="宋体" w:eastAsia="宋体" w:cs="宋体"/>
          <w:color w:val="auto"/>
          <w:sz w:val="24"/>
          <w:highlight w:val="none"/>
        </w:rPr>
      </w:pPr>
    </w:p>
    <w:p w14:paraId="70094004">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4BF6E29">
      <w:pPr>
        <w:shd w:val="clear"/>
        <w:spacing w:before="120" w:line="22" w:lineRule="atLeast"/>
        <w:rPr>
          <w:rFonts w:hint="eastAsia" w:ascii="宋体" w:hAnsi="宋体" w:eastAsia="宋体" w:cs="宋体"/>
          <w:color w:val="auto"/>
          <w:sz w:val="24"/>
          <w:highlight w:val="none"/>
        </w:rPr>
      </w:pPr>
    </w:p>
    <w:p w14:paraId="4BAA2586">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291189E">
      <w:pPr>
        <w:shd w:val="clear"/>
        <w:spacing w:before="120" w:line="22" w:lineRule="atLeast"/>
        <w:rPr>
          <w:rFonts w:hint="eastAsia" w:ascii="宋体" w:hAnsi="宋体" w:eastAsia="宋体" w:cs="宋体"/>
          <w:color w:val="auto"/>
          <w:sz w:val="24"/>
          <w:highlight w:val="none"/>
        </w:rPr>
      </w:pPr>
    </w:p>
    <w:p w14:paraId="6A22CAD1">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A61A195">
      <w:pPr>
        <w:widowControl/>
        <w:shd w:val="clear"/>
        <w:jc w:val="left"/>
        <w:rPr>
          <w:rFonts w:hint="eastAsia" w:ascii="宋体" w:hAnsi="宋体" w:eastAsia="宋体" w:cs="宋体"/>
          <w:color w:val="auto"/>
          <w:kern w:val="0"/>
          <w:sz w:val="24"/>
          <w:highlight w:val="none"/>
        </w:rPr>
        <w:sectPr>
          <w:footerReference r:id="rId3" w:type="default"/>
          <w:pgSz w:w="11907" w:h="16840"/>
          <w:pgMar w:top="1474" w:right="1814" w:bottom="1474" w:left="1814" w:header="851" w:footer="1417" w:gutter="0"/>
          <w:pgNumType w:fmt="decimal" w:start="1"/>
          <w:cols w:space="720" w:num="1"/>
          <w:docGrid w:linePitch="312" w:charSpace="0"/>
        </w:sectPr>
      </w:pPr>
    </w:p>
    <w:p w14:paraId="45FB439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杭州市公安局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2025年杭州交警业务系统租赁使用服务-2025年杭州交警网络及数据安全运维服务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3E21B4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杭州市公安局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9D1C7B1">
      <w:pPr>
        <w:shd w:val="clear"/>
        <w:spacing w:line="560" w:lineRule="exact"/>
        <w:ind w:firstLine="482" w:firstLineChars="200"/>
        <w:outlineLvl w:val="0"/>
        <w:rPr>
          <w:rFonts w:hint="eastAsia" w:ascii="宋体" w:hAnsi="宋体" w:eastAsia="宋体" w:cs="宋体"/>
          <w:color w:val="auto"/>
          <w:sz w:val="24"/>
          <w:highlight w:val="none"/>
        </w:rPr>
      </w:pPr>
      <w:bookmarkStart w:id="416" w:name="_Toc20421"/>
      <w:bookmarkStart w:id="417" w:name="_Toc22967"/>
      <w:bookmarkStart w:id="418" w:name="_Toc28855"/>
      <w:bookmarkStart w:id="419" w:name="_Toc15367"/>
      <w:bookmarkStart w:id="420" w:name="_Toc19273"/>
      <w:r>
        <w:rPr>
          <w:rFonts w:hint="eastAsia" w:ascii="宋体" w:hAnsi="宋体" w:eastAsia="宋体" w:cs="宋体"/>
          <w:b/>
          <w:color w:val="auto"/>
          <w:sz w:val="24"/>
          <w:highlight w:val="none"/>
        </w:rPr>
        <w:t>1.1 合同组成部分</w:t>
      </w:r>
      <w:bookmarkEnd w:id="416"/>
      <w:bookmarkEnd w:id="417"/>
      <w:bookmarkEnd w:id="418"/>
      <w:bookmarkEnd w:id="419"/>
      <w:bookmarkEnd w:id="420"/>
    </w:p>
    <w:p w14:paraId="044F523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7DB3C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3D9EE9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0119B7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37A715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588AC4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1C03989">
      <w:pPr>
        <w:shd w:val="clear"/>
        <w:spacing w:line="560" w:lineRule="exact"/>
        <w:ind w:firstLine="482" w:firstLineChars="200"/>
        <w:outlineLvl w:val="0"/>
        <w:rPr>
          <w:rFonts w:hint="eastAsia" w:ascii="宋体" w:hAnsi="宋体" w:eastAsia="宋体" w:cs="宋体"/>
          <w:b/>
          <w:color w:val="auto"/>
          <w:sz w:val="24"/>
          <w:highlight w:val="none"/>
        </w:rPr>
      </w:pPr>
      <w:bookmarkStart w:id="421" w:name="_Toc6773"/>
      <w:bookmarkStart w:id="422" w:name="_Toc6311"/>
      <w:bookmarkStart w:id="423" w:name="_Toc22185"/>
      <w:bookmarkStart w:id="424" w:name="_Toc18585"/>
      <w:bookmarkStart w:id="425" w:name="_Toc2918"/>
      <w:r>
        <w:rPr>
          <w:rFonts w:hint="eastAsia" w:ascii="宋体" w:hAnsi="宋体" w:eastAsia="宋体" w:cs="宋体"/>
          <w:b/>
          <w:color w:val="auto"/>
          <w:sz w:val="24"/>
          <w:highlight w:val="none"/>
        </w:rPr>
        <w:t>1.2 标的</w:t>
      </w:r>
      <w:bookmarkEnd w:id="421"/>
      <w:bookmarkEnd w:id="422"/>
      <w:bookmarkEnd w:id="423"/>
      <w:bookmarkEnd w:id="424"/>
      <w:bookmarkEnd w:id="425"/>
    </w:p>
    <w:p w14:paraId="0D046524">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2025年杭州交警业务系统租赁使用服务-2025年杭州交警网络及数据安全运维服务主要内容：以购买服务方式，提供交通管理数据全生命周期运营服务、安全加固及应用迁移改造服务、货运导航数据及运营保障服务、安全防控治理服务。</w:t>
      </w:r>
    </w:p>
    <w:p w14:paraId="76794B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根据招标文件确定的技术指标或者服务要求确定验收指标和标准。未进行相应约定的，应当符合国家强制性规定、政策要求、安全标准、行业和企业有关标准等</w:t>
      </w:r>
      <w:r>
        <w:rPr>
          <w:rFonts w:hint="eastAsia" w:ascii="宋体" w:hAnsi="宋体" w:eastAsia="宋体" w:cs="宋体"/>
          <w:color w:val="auto"/>
          <w:sz w:val="24"/>
          <w:highlight w:val="none"/>
        </w:rPr>
        <w:t>；</w:t>
      </w:r>
    </w:p>
    <w:p w14:paraId="777CFA48">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详见第三部分 合同专用条款“3.1服务要求”</w:t>
      </w:r>
    </w:p>
    <w:p w14:paraId="434509D2">
      <w:pPr>
        <w:shd w:val="clea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详见附件二</w:t>
      </w:r>
      <w:r>
        <w:rPr>
          <w:rFonts w:hint="eastAsia" w:ascii="宋体" w:hAnsi="宋体" w:eastAsia="宋体" w:cs="宋体"/>
          <w:b/>
          <w:snapToGrid w:val="0"/>
          <w:color w:val="auto"/>
          <w:kern w:val="0"/>
          <w:sz w:val="24"/>
          <w:highlight w:val="none"/>
        </w:rPr>
        <w:t>项目小组人员表</w:t>
      </w:r>
      <w:r>
        <w:rPr>
          <w:rFonts w:hint="eastAsia" w:ascii="宋体" w:hAnsi="宋体" w:eastAsia="宋体" w:cs="宋体"/>
          <w:color w:val="auto"/>
          <w:sz w:val="24"/>
          <w:highlight w:val="none"/>
        </w:rPr>
        <w:t>；</w:t>
      </w:r>
    </w:p>
    <w:p w14:paraId="71FB8DA0">
      <w:pPr>
        <w:shd w:val="clear"/>
        <w:adjustRightInd w:val="0"/>
        <w:snapToGrid w:val="0"/>
        <w:spacing w:line="360" w:lineRule="auto"/>
        <w:ind w:firstLine="482" w:firstLineChars="200"/>
        <w:jc w:val="left"/>
        <w:rPr>
          <w:rFonts w:hint="eastAsia" w:ascii="宋体" w:hAnsi="宋体" w:eastAsia="宋体" w:cs="宋体"/>
          <w:b/>
          <w:bCs/>
          <w:color w:val="auto"/>
          <w:sz w:val="24"/>
          <w:highlight w:val="none"/>
        </w:rPr>
      </w:pPr>
      <w:bookmarkStart w:id="426" w:name="_Toc13918"/>
      <w:bookmarkStart w:id="427" w:name="_Toc4929"/>
      <w:bookmarkStart w:id="428" w:name="_Toc5635"/>
      <w:bookmarkStart w:id="429" w:name="_Toc1386"/>
      <w:bookmarkStart w:id="430" w:name="_Toc21124"/>
      <w:r>
        <w:rPr>
          <w:rFonts w:hint="eastAsia" w:ascii="宋体" w:hAnsi="宋体" w:eastAsia="宋体" w:cs="宋体"/>
          <w:b/>
          <w:bCs/>
          <w:color w:val="auto"/>
          <w:sz w:val="24"/>
          <w:highlight w:val="none"/>
        </w:rPr>
        <w:t>1.2.5合同</w:t>
      </w:r>
      <w:r>
        <w:rPr>
          <w:rFonts w:hint="eastAsia" w:ascii="宋体" w:hAnsi="宋体" w:eastAsia="宋体" w:cs="宋体"/>
          <w:b/>
          <w:bCs/>
          <w:color w:val="auto"/>
          <w:sz w:val="24"/>
          <w:highlight w:val="none"/>
          <w:u w:val="single"/>
        </w:rPr>
        <w:t xml:space="preserve">  否   </w:t>
      </w:r>
      <w:r>
        <w:rPr>
          <w:rFonts w:hint="eastAsia" w:ascii="宋体" w:hAnsi="宋体" w:eastAsia="宋体" w:cs="宋体"/>
          <w:b/>
          <w:bCs/>
          <w:color w:val="auto"/>
          <w:sz w:val="24"/>
          <w:highlight w:val="none"/>
        </w:rPr>
        <w:t>（是/否）涉及货物。若涉及货物的，则：</w:t>
      </w:r>
    </w:p>
    <w:p w14:paraId="2B374D12">
      <w:pPr>
        <w:shd w:val="clea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5992F2A9">
      <w:pPr>
        <w:shd w:val="clea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E80519B">
      <w:pPr>
        <w:shd w:val="clea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28AB3AF">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26"/>
      <w:bookmarkEnd w:id="427"/>
      <w:bookmarkEnd w:id="428"/>
      <w:bookmarkEnd w:id="429"/>
      <w:bookmarkEnd w:id="430"/>
    </w:p>
    <w:p w14:paraId="31450D2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1.3.2 </w:t>
      </w:r>
      <w:r>
        <w:rPr>
          <w:rFonts w:hint="eastAsia" w:ascii="宋体" w:hAnsi="宋体" w:eastAsia="宋体" w:cs="宋体"/>
          <w:color w:val="auto"/>
          <w:sz w:val="24"/>
          <w:highlight w:val="none"/>
        </w:rPr>
        <w:t>条款规定的计价方式计价。</w:t>
      </w:r>
    </w:p>
    <w:p w14:paraId="7E6062C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1F31678">
      <w:pPr>
        <w:shd w:val="clear"/>
        <w:spacing w:line="360" w:lineRule="auto"/>
        <w:ind w:firstLine="480" w:firstLineChars="200"/>
        <w:rPr>
          <w:rFonts w:hint="eastAsia" w:ascii="宋体" w:hAnsi="宋体" w:eastAsia="宋体" w:cs="宋体"/>
          <w:color w:val="auto"/>
          <w:sz w:val="24"/>
          <w:highlight w:val="none"/>
          <w:u w:val="single"/>
        </w:rPr>
      </w:pPr>
      <w:bookmarkStart w:id="431" w:name="_Toc22618"/>
      <w:bookmarkStart w:id="432" w:name="_Toc1814"/>
      <w:bookmarkStart w:id="433" w:name="_Toc10340"/>
      <w:bookmarkStart w:id="434" w:name="_Toc31421"/>
      <w:bookmarkStart w:id="435" w:name="_Toc11108"/>
      <w:bookmarkStart w:id="436" w:name="_Toc4760"/>
      <w:bookmarkStart w:id="437" w:name="_Toc8772"/>
      <w:bookmarkStart w:id="438" w:name="_Toc3625"/>
      <w:r>
        <w:rPr>
          <w:rFonts w:hint="eastAsia" w:ascii="宋体" w:hAnsi="宋体" w:eastAsia="宋体" w:cs="宋体"/>
          <w:bCs/>
          <w:color w:val="auto"/>
          <w:sz w:val="24"/>
          <w:highlight w:val="none"/>
        </w:rPr>
        <w:t>1.3.2单价合同，本合同单价（含税）标准为：</w:t>
      </w:r>
      <w:r>
        <w:rPr>
          <w:rFonts w:hint="eastAsia" w:ascii="宋体" w:hAnsi="宋体" w:eastAsia="宋体" w:cs="宋体"/>
          <w:color w:val="auto"/>
          <w:sz w:val="24"/>
          <w:highlight w:val="none"/>
        </w:rPr>
        <w:t>服务工作量的计量方式为：</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。单价合同，在合同履行期间内，根据</w:t>
      </w:r>
      <w:r>
        <w:rPr>
          <w:rFonts w:hint="eastAsia" w:ascii="宋体" w:hAnsi="宋体" w:eastAsia="宋体" w:cs="宋体"/>
          <w:bCs/>
          <w:color w:val="auto"/>
          <w:sz w:val="24"/>
          <w:highlight w:val="none"/>
          <w:lang w:val="zh-CN"/>
        </w:rPr>
        <w:t>实际服务</w:t>
      </w:r>
      <w:r>
        <w:rPr>
          <w:rFonts w:hint="eastAsia" w:ascii="宋体" w:hAnsi="宋体" w:eastAsia="宋体" w:cs="宋体"/>
          <w:bCs/>
          <w:color w:val="auto"/>
          <w:sz w:val="24"/>
          <w:highlight w:val="none"/>
        </w:rPr>
        <w:t>内容</w:t>
      </w:r>
      <w:r>
        <w:rPr>
          <w:rFonts w:hint="eastAsia" w:ascii="宋体" w:hAnsi="宋体" w:eastAsia="宋体" w:cs="宋体"/>
          <w:bCs/>
          <w:color w:val="auto"/>
          <w:sz w:val="24"/>
          <w:highlight w:val="none"/>
          <w:lang w:val="zh-CN"/>
        </w:rPr>
        <w:t>、天数及合同单价按实结算</w:t>
      </w:r>
      <w:r>
        <w:rPr>
          <w:rFonts w:hint="eastAsia" w:ascii="宋体" w:hAnsi="宋体" w:eastAsia="宋体" w:cs="宋体"/>
          <w:color w:val="auto"/>
          <w:sz w:val="24"/>
          <w:highlight w:val="none"/>
        </w:rPr>
        <w:t>，但结算总价上限不得超过合同金额￥元（大写：元人民币），</w:t>
      </w:r>
      <w:r>
        <w:rPr>
          <w:rFonts w:hint="eastAsia" w:ascii="宋体" w:hAnsi="宋体" w:eastAsia="宋体" w:cs="宋体"/>
          <w:b/>
          <w:bCs/>
          <w:color w:val="auto"/>
          <w:sz w:val="24"/>
          <w:highlight w:val="none"/>
        </w:rPr>
        <w:t>详见附件三</w:t>
      </w:r>
    </w:p>
    <w:p w14:paraId="4305C6EF">
      <w:pPr>
        <w:pStyle w:val="31"/>
        <w:shd w:val="clear"/>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1.4履约保证金</w:t>
      </w:r>
    </w:p>
    <w:p w14:paraId="7AC34101">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567817BB">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w:t>
      </w:r>
    </w:p>
    <w:p w14:paraId="65279566">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115EA32">
      <w:pPr>
        <w:pStyle w:val="5"/>
        <w:shd w:val="clear"/>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04F72B">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1.4.4甲方在项目验收结束后及时退还履约保证金。甲方在项目通过验收之日起且收到乙方退还履约保证金申请之日起</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EC90F4B">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31"/>
      <w:bookmarkEnd w:id="432"/>
      <w:bookmarkEnd w:id="433"/>
      <w:r>
        <w:rPr>
          <w:rFonts w:hint="eastAsia" w:ascii="宋体" w:hAnsi="宋体" w:eastAsia="宋体" w:cs="宋体"/>
          <w:b/>
          <w:color w:val="auto"/>
          <w:sz w:val="24"/>
          <w:highlight w:val="none"/>
        </w:rPr>
        <w:t>预付款</w:t>
      </w:r>
    </w:p>
    <w:p w14:paraId="0D7F6A3C">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71CD8741">
      <w:pPr>
        <w:shd w:val="clea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2B7F3BB">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1A78B1">
      <w:pPr>
        <w:pStyle w:val="31"/>
        <w:shd w:val="clear"/>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E8EE4C">
      <w:pPr>
        <w:pStyle w:val="31"/>
        <w:shd w:val="clear"/>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5FCBFB">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327076">
      <w:pPr>
        <w:shd w:val="clea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46CEFC2">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34"/>
      <w:bookmarkEnd w:id="435"/>
      <w:bookmarkEnd w:id="436"/>
      <w:bookmarkEnd w:id="437"/>
      <w:bookmarkEnd w:id="438"/>
    </w:p>
    <w:p w14:paraId="7FD4B141">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8120EA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073B7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AC82C1">
      <w:pPr>
        <w:shd w:val="clear"/>
        <w:spacing w:line="560" w:lineRule="exact"/>
        <w:ind w:firstLine="480" w:firstLineChars="200"/>
        <w:outlineLvl w:val="0"/>
        <w:rPr>
          <w:rFonts w:hint="eastAsia" w:ascii="宋体" w:hAnsi="宋体" w:eastAsia="宋体" w:cs="宋体"/>
          <w:bCs/>
          <w:color w:val="auto"/>
          <w:sz w:val="24"/>
          <w:highlight w:val="none"/>
        </w:rPr>
      </w:pPr>
      <w:bookmarkStart w:id="439" w:name="_Toc8586"/>
      <w:bookmarkStart w:id="440" w:name="_Toc2375"/>
      <w:bookmarkStart w:id="441" w:name="_Toc24662"/>
      <w:bookmarkStart w:id="442" w:name="_Toc5698"/>
      <w:bookmarkStart w:id="443" w:name="_Toc3079"/>
      <w:r>
        <w:rPr>
          <w:rFonts w:hint="eastAsia" w:ascii="宋体" w:hAnsi="宋体" w:eastAsia="宋体" w:cs="宋体"/>
          <w:bCs/>
          <w:color w:val="auto"/>
          <w:sz w:val="24"/>
          <w:highlight w:val="none"/>
        </w:rPr>
        <w:t>1.7.4若服务涉及货物的，则货物的：</w:t>
      </w:r>
    </w:p>
    <w:p w14:paraId="34F0DA31">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8B00C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89B57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FFDBE7">
      <w:pPr>
        <w:shd w:val="clea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39"/>
      <w:bookmarkEnd w:id="440"/>
      <w:bookmarkEnd w:id="441"/>
      <w:bookmarkEnd w:id="442"/>
      <w:bookmarkEnd w:id="443"/>
    </w:p>
    <w:p w14:paraId="3338941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E67DD5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02D79A7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54138E5">
      <w:pPr>
        <w:shd w:val="clear"/>
        <w:spacing w:line="560" w:lineRule="exact"/>
        <w:ind w:firstLine="480" w:firstLineChars="200"/>
        <w:rPr>
          <w:rFonts w:hint="eastAsia" w:ascii="宋体" w:hAnsi="宋体" w:eastAsia="宋体" w:cs="宋体"/>
          <w:color w:val="auto"/>
          <w:sz w:val="24"/>
          <w:highlight w:val="none"/>
        </w:rPr>
      </w:pPr>
      <w:bookmarkStart w:id="444" w:name="_Toc26807"/>
      <w:bookmarkStart w:id="445" w:name="_Toc9497"/>
      <w:bookmarkStart w:id="446" w:name="_Toc30329"/>
      <w:bookmarkStart w:id="447" w:name="_Toc32454"/>
      <w:bookmarkStart w:id="448"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12D01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069B0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C3A7F1F">
      <w:pPr>
        <w:shd w:val="clea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4"/>
    <w:bookmarkEnd w:id="445"/>
    <w:bookmarkEnd w:id="446"/>
    <w:bookmarkEnd w:id="447"/>
    <w:bookmarkEnd w:id="448"/>
    <w:p w14:paraId="26FB8EAF">
      <w:pPr>
        <w:shd w:val="clear"/>
        <w:spacing w:line="560" w:lineRule="exact"/>
        <w:ind w:firstLine="482" w:firstLineChars="200"/>
        <w:outlineLvl w:val="0"/>
        <w:rPr>
          <w:rFonts w:hint="eastAsia" w:ascii="宋体" w:hAnsi="宋体" w:eastAsia="宋体" w:cs="宋体"/>
          <w:b/>
          <w:color w:val="auto"/>
          <w:sz w:val="24"/>
          <w:highlight w:val="none"/>
        </w:rPr>
      </w:pPr>
      <w:bookmarkStart w:id="449" w:name="_Toc16021"/>
      <w:bookmarkStart w:id="450" w:name="_Toc15583"/>
      <w:bookmarkStart w:id="451" w:name="_Toc28375"/>
      <w:r>
        <w:rPr>
          <w:rFonts w:hint="eastAsia" w:ascii="宋体" w:hAnsi="宋体" w:eastAsia="宋体" w:cs="宋体"/>
          <w:b/>
          <w:color w:val="auto"/>
          <w:sz w:val="24"/>
          <w:highlight w:val="none"/>
        </w:rPr>
        <w:t>1.9合同争议的解决</w:t>
      </w:r>
      <w:bookmarkEnd w:id="449"/>
      <w:bookmarkEnd w:id="450"/>
      <w:bookmarkEnd w:id="451"/>
    </w:p>
    <w:p w14:paraId="157B9BBE">
      <w:pPr>
        <w:shd w:val="clea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1B1F63F">
      <w:pPr>
        <w:shd w:val="clea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3EB8214">
      <w:pPr>
        <w:shd w:val="clea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468BE50">
      <w:pPr>
        <w:shd w:val="clear"/>
        <w:spacing w:line="560" w:lineRule="exact"/>
        <w:ind w:firstLine="482" w:firstLineChars="200"/>
        <w:outlineLvl w:val="0"/>
        <w:rPr>
          <w:rFonts w:hint="eastAsia" w:ascii="宋体" w:hAnsi="宋体" w:eastAsia="宋体" w:cs="宋体"/>
          <w:b/>
          <w:color w:val="auto"/>
          <w:sz w:val="24"/>
          <w:highlight w:val="none"/>
        </w:rPr>
      </w:pPr>
      <w:bookmarkStart w:id="452" w:name="_Toc15322"/>
      <w:bookmarkStart w:id="453" w:name="_Toc7245"/>
      <w:bookmarkStart w:id="454" w:name="_Toc11173"/>
      <w:r>
        <w:rPr>
          <w:rFonts w:hint="eastAsia" w:ascii="宋体" w:hAnsi="宋体" w:eastAsia="宋体" w:cs="宋体"/>
          <w:b/>
          <w:color w:val="auto"/>
          <w:sz w:val="24"/>
          <w:highlight w:val="none"/>
        </w:rPr>
        <w:t>2.0 合同生效</w:t>
      </w:r>
      <w:bookmarkEnd w:id="452"/>
      <w:bookmarkEnd w:id="453"/>
      <w:bookmarkEnd w:id="454"/>
    </w:p>
    <w:p w14:paraId="53D82C32">
      <w:pPr>
        <w:shd w:val="clea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D39A3D7">
      <w:pPr>
        <w:shd w:val="clear"/>
        <w:autoSpaceDE w:val="0"/>
        <w:autoSpaceDN w:val="0"/>
        <w:spacing w:line="560" w:lineRule="exact"/>
        <w:rPr>
          <w:rFonts w:hint="eastAsia" w:ascii="宋体" w:hAnsi="宋体" w:eastAsia="宋体" w:cs="宋体"/>
          <w:color w:val="auto"/>
          <w:sz w:val="24"/>
          <w:highlight w:val="none"/>
          <w:lang w:val="zh-CN"/>
        </w:rPr>
      </w:pPr>
    </w:p>
    <w:p w14:paraId="3735B2BD">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9F44416">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35131842">
      <w:pPr>
        <w:shd w:val="clear"/>
        <w:autoSpaceDE w:val="0"/>
        <w:autoSpaceDN w:val="0"/>
        <w:spacing w:line="560" w:lineRule="exact"/>
        <w:rPr>
          <w:rFonts w:hint="eastAsia" w:ascii="宋体" w:hAnsi="宋体" w:eastAsia="宋体" w:cs="宋体"/>
          <w:color w:val="auto"/>
          <w:sz w:val="24"/>
          <w:highlight w:val="none"/>
          <w:lang w:val="zh-CN"/>
        </w:rPr>
      </w:pPr>
    </w:p>
    <w:p w14:paraId="42FDA71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1661536">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2200DF7">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359788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41FD47A">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B6F4912">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8E29A60">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F93C4C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165651D">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198C319">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EED4E01">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2144F59">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B7FE59D">
      <w:pPr>
        <w:widowControl/>
        <w:shd w:val="clear"/>
        <w:spacing w:line="560" w:lineRule="exact"/>
        <w:jc w:val="left"/>
        <w:rPr>
          <w:rFonts w:hint="eastAsia" w:ascii="宋体" w:hAnsi="宋体" w:eastAsia="宋体" w:cs="宋体"/>
          <w:b/>
          <w:color w:val="auto"/>
          <w:sz w:val="24"/>
          <w:highlight w:val="none"/>
        </w:rPr>
      </w:pPr>
    </w:p>
    <w:p w14:paraId="2CAF3DCE">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DE1E83E">
      <w:pPr>
        <w:pStyle w:val="29"/>
        <w:shd w:val="clear"/>
        <w:spacing w:line="56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4D69A6B">
      <w:pPr>
        <w:shd w:val="clear"/>
        <w:spacing w:line="560" w:lineRule="exact"/>
        <w:ind w:firstLine="482" w:firstLineChars="200"/>
        <w:outlineLvl w:val="0"/>
        <w:rPr>
          <w:rFonts w:hint="eastAsia" w:ascii="宋体" w:hAnsi="宋体" w:eastAsia="宋体" w:cs="宋体"/>
          <w:b/>
          <w:color w:val="auto"/>
          <w:sz w:val="24"/>
          <w:highlight w:val="none"/>
        </w:rPr>
      </w:pPr>
      <w:bookmarkStart w:id="455" w:name="_Toc25079"/>
      <w:bookmarkStart w:id="456" w:name="_Toc14021"/>
      <w:bookmarkStart w:id="457" w:name="_Toc5228"/>
      <w:bookmarkStart w:id="458" w:name="_Toc19680"/>
      <w:bookmarkStart w:id="459" w:name="_Toc31297"/>
      <w:r>
        <w:rPr>
          <w:rFonts w:hint="eastAsia" w:ascii="宋体" w:hAnsi="宋体" w:eastAsia="宋体" w:cs="宋体"/>
          <w:b/>
          <w:color w:val="auto"/>
          <w:sz w:val="24"/>
          <w:highlight w:val="none"/>
        </w:rPr>
        <w:t>2.1 定义</w:t>
      </w:r>
      <w:bookmarkEnd w:id="455"/>
      <w:bookmarkEnd w:id="456"/>
      <w:bookmarkEnd w:id="457"/>
      <w:bookmarkEnd w:id="458"/>
      <w:bookmarkEnd w:id="459"/>
    </w:p>
    <w:p w14:paraId="4179F49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E55741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70DBC0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A88667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2A81AA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34B7B9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65075F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605B9BE7">
      <w:pPr>
        <w:shd w:val="clear"/>
        <w:spacing w:line="560" w:lineRule="exact"/>
        <w:ind w:firstLine="482" w:firstLineChars="200"/>
        <w:outlineLvl w:val="0"/>
        <w:rPr>
          <w:rFonts w:hint="eastAsia" w:ascii="宋体" w:hAnsi="宋体" w:eastAsia="宋体" w:cs="宋体"/>
          <w:b/>
          <w:color w:val="auto"/>
          <w:sz w:val="24"/>
          <w:highlight w:val="none"/>
        </w:rPr>
      </w:pPr>
      <w:bookmarkStart w:id="460" w:name="_Toc23289"/>
      <w:bookmarkStart w:id="461" w:name="_Toc3769"/>
      <w:bookmarkStart w:id="462" w:name="_Toc19539"/>
      <w:bookmarkStart w:id="463" w:name="_Toc16752"/>
      <w:bookmarkStart w:id="464" w:name="_Toc31402"/>
      <w:r>
        <w:rPr>
          <w:rFonts w:hint="eastAsia" w:ascii="宋体" w:hAnsi="宋体" w:eastAsia="宋体" w:cs="宋体"/>
          <w:b/>
          <w:color w:val="auto"/>
          <w:sz w:val="24"/>
          <w:highlight w:val="none"/>
        </w:rPr>
        <w:t>2.2 技术规范</w:t>
      </w:r>
      <w:bookmarkEnd w:id="460"/>
      <w:bookmarkEnd w:id="461"/>
      <w:bookmarkEnd w:id="462"/>
      <w:bookmarkEnd w:id="463"/>
      <w:bookmarkEnd w:id="464"/>
    </w:p>
    <w:p w14:paraId="145F193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72A2EA">
      <w:pPr>
        <w:shd w:val="clear"/>
        <w:spacing w:line="560" w:lineRule="exact"/>
        <w:ind w:firstLine="482" w:firstLineChars="200"/>
        <w:outlineLvl w:val="0"/>
        <w:rPr>
          <w:rFonts w:hint="eastAsia" w:ascii="宋体" w:hAnsi="宋体" w:eastAsia="宋体" w:cs="宋体"/>
          <w:b/>
          <w:color w:val="auto"/>
          <w:sz w:val="24"/>
          <w:highlight w:val="none"/>
        </w:rPr>
      </w:pPr>
      <w:bookmarkStart w:id="465" w:name="_Toc12412"/>
      <w:bookmarkStart w:id="466" w:name="_Toc13673"/>
      <w:bookmarkStart w:id="467" w:name="_Toc27945"/>
      <w:bookmarkStart w:id="468" w:name="_Toc4133"/>
      <w:bookmarkStart w:id="469" w:name="_Toc9161"/>
      <w:r>
        <w:rPr>
          <w:rFonts w:hint="eastAsia" w:ascii="宋体" w:hAnsi="宋体" w:eastAsia="宋体" w:cs="宋体"/>
          <w:b/>
          <w:color w:val="auto"/>
          <w:sz w:val="24"/>
          <w:highlight w:val="none"/>
        </w:rPr>
        <w:t>2.3 知识产权</w:t>
      </w:r>
      <w:bookmarkEnd w:id="465"/>
      <w:bookmarkEnd w:id="466"/>
      <w:bookmarkEnd w:id="467"/>
      <w:bookmarkEnd w:id="468"/>
      <w:bookmarkEnd w:id="469"/>
    </w:p>
    <w:p w14:paraId="1FCD545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741F05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53F474">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A9BB81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972CE7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F5778A7">
      <w:pPr>
        <w:shd w:val="clear"/>
        <w:spacing w:line="560" w:lineRule="exact"/>
        <w:ind w:firstLine="482" w:firstLineChars="200"/>
        <w:outlineLvl w:val="0"/>
        <w:rPr>
          <w:rFonts w:hint="eastAsia" w:ascii="宋体" w:hAnsi="宋体" w:eastAsia="宋体" w:cs="宋体"/>
          <w:b/>
          <w:color w:val="auto"/>
          <w:sz w:val="24"/>
          <w:highlight w:val="none"/>
        </w:rPr>
      </w:pPr>
      <w:bookmarkStart w:id="470" w:name="_Toc32670"/>
      <w:bookmarkStart w:id="471" w:name="_Toc31233"/>
      <w:bookmarkStart w:id="472" w:name="_Toc26555"/>
      <w:bookmarkStart w:id="473" w:name="_Toc15447"/>
      <w:bookmarkStart w:id="474" w:name="_Toc22011"/>
      <w:r>
        <w:rPr>
          <w:rFonts w:hint="eastAsia" w:ascii="宋体" w:hAnsi="宋体" w:eastAsia="宋体" w:cs="宋体"/>
          <w:b/>
          <w:color w:val="auto"/>
          <w:sz w:val="24"/>
          <w:highlight w:val="none"/>
        </w:rPr>
        <w:t>2.5 结算方式和付款条件</w:t>
      </w:r>
      <w:bookmarkEnd w:id="470"/>
      <w:bookmarkEnd w:id="471"/>
      <w:bookmarkEnd w:id="472"/>
      <w:bookmarkEnd w:id="473"/>
      <w:bookmarkEnd w:id="474"/>
    </w:p>
    <w:p w14:paraId="4E73049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00B23C">
      <w:pPr>
        <w:shd w:val="clear"/>
        <w:spacing w:line="560" w:lineRule="exact"/>
        <w:ind w:firstLine="482" w:firstLineChars="200"/>
        <w:outlineLvl w:val="0"/>
        <w:rPr>
          <w:rFonts w:hint="eastAsia" w:ascii="宋体" w:hAnsi="宋体" w:eastAsia="宋体" w:cs="宋体"/>
          <w:b/>
          <w:color w:val="auto"/>
          <w:sz w:val="24"/>
          <w:highlight w:val="none"/>
        </w:rPr>
      </w:pPr>
      <w:bookmarkStart w:id="475" w:name="_Toc30507"/>
      <w:bookmarkStart w:id="476" w:name="_Toc18990"/>
      <w:bookmarkStart w:id="477" w:name="_Toc13154"/>
      <w:bookmarkStart w:id="478" w:name="_Toc16163"/>
      <w:bookmarkStart w:id="479" w:name="_Toc13467"/>
      <w:r>
        <w:rPr>
          <w:rFonts w:hint="eastAsia" w:ascii="宋体" w:hAnsi="宋体" w:eastAsia="宋体" w:cs="宋体"/>
          <w:b/>
          <w:color w:val="auto"/>
          <w:sz w:val="24"/>
          <w:highlight w:val="none"/>
        </w:rPr>
        <w:t>2.6 技术资料和保密义务</w:t>
      </w:r>
      <w:bookmarkEnd w:id="475"/>
      <w:bookmarkEnd w:id="476"/>
      <w:bookmarkEnd w:id="477"/>
      <w:bookmarkEnd w:id="478"/>
      <w:bookmarkEnd w:id="479"/>
    </w:p>
    <w:p w14:paraId="3333C1C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6C0745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971ED4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24904B">
      <w:pPr>
        <w:shd w:val="clear"/>
        <w:spacing w:line="560" w:lineRule="exact"/>
        <w:ind w:firstLine="482" w:firstLineChars="200"/>
        <w:outlineLvl w:val="0"/>
        <w:rPr>
          <w:rFonts w:hint="eastAsia" w:ascii="宋体" w:hAnsi="宋体" w:eastAsia="宋体" w:cs="宋体"/>
          <w:b/>
          <w:color w:val="auto"/>
          <w:sz w:val="24"/>
          <w:highlight w:val="none"/>
        </w:rPr>
      </w:pPr>
      <w:bookmarkStart w:id="480" w:name="_Toc19069"/>
      <w:r>
        <w:rPr>
          <w:rFonts w:hint="eastAsia" w:ascii="宋体" w:hAnsi="宋体" w:eastAsia="宋体" w:cs="宋体"/>
          <w:b/>
          <w:color w:val="auto"/>
          <w:sz w:val="24"/>
          <w:highlight w:val="none"/>
        </w:rPr>
        <w:t>2.7 质量保证</w:t>
      </w:r>
      <w:bookmarkEnd w:id="480"/>
    </w:p>
    <w:p w14:paraId="26ABB3E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97B7A7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AB31548">
      <w:pPr>
        <w:shd w:val="clear"/>
        <w:spacing w:line="560" w:lineRule="exact"/>
        <w:ind w:firstLine="482" w:firstLineChars="200"/>
        <w:outlineLvl w:val="0"/>
        <w:rPr>
          <w:rFonts w:hint="eastAsia" w:ascii="宋体" w:hAnsi="宋体" w:eastAsia="宋体" w:cs="宋体"/>
          <w:b/>
          <w:color w:val="auto"/>
          <w:sz w:val="24"/>
          <w:highlight w:val="none"/>
        </w:rPr>
      </w:pPr>
      <w:bookmarkStart w:id="481" w:name="_Toc22267"/>
      <w:r>
        <w:rPr>
          <w:rFonts w:hint="eastAsia" w:ascii="宋体" w:hAnsi="宋体" w:eastAsia="宋体" w:cs="宋体"/>
          <w:b/>
          <w:color w:val="auto"/>
          <w:sz w:val="24"/>
          <w:highlight w:val="none"/>
        </w:rPr>
        <w:t>2.8 延迟履行</w:t>
      </w:r>
      <w:bookmarkEnd w:id="481"/>
    </w:p>
    <w:p w14:paraId="1EE56B7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1A03264">
      <w:pPr>
        <w:shd w:val="clear"/>
        <w:spacing w:line="560" w:lineRule="exact"/>
        <w:ind w:firstLine="482" w:firstLineChars="200"/>
        <w:outlineLvl w:val="0"/>
        <w:rPr>
          <w:rFonts w:hint="eastAsia" w:ascii="宋体" w:hAnsi="宋体" w:eastAsia="宋体" w:cs="宋体"/>
          <w:b/>
          <w:color w:val="auto"/>
          <w:sz w:val="24"/>
          <w:highlight w:val="none"/>
        </w:rPr>
      </w:pPr>
      <w:bookmarkStart w:id="482" w:name="_Toc10611"/>
      <w:r>
        <w:rPr>
          <w:rFonts w:hint="eastAsia" w:ascii="宋体" w:hAnsi="宋体" w:eastAsia="宋体" w:cs="宋体"/>
          <w:b/>
          <w:color w:val="auto"/>
          <w:sz w:val="24"/>
          <w:highlight w:val="none"/>
        </w:rPr>
        <w:t>2.9 合同变更</w:t>
      </w:r>
      <w:bookmarkEnd w:id="482"/>
    </w:p>
    <w:p w14:paraId="7F012AB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CDF4CF">
      <w:pPr>
        <w:shd w:val="clear"/>
        <w:spacing w:line="560" w:lineRule="exact"/>
        <w:ind w:firstLine="482" w:firstLineChars="200"/>
        <w:outlineLvl w:val="0"/>
        <w:rPr>
          <w:rFonts w:hint="eastAsia" w:ascii="宋体" w:hAnsi="宋体" w:eastAsia="宋体" w:cs="宋体"/>
          <w:b/>
          <w:color w:val="auto"/>
          <w:sz w:val="24"/>
          <w:highlight w:val="none"/>
        </w:rPr>
      </w:pPr>
      <w:bookmarkStart w:id="483" w:name="_Toc21830"/>
      <w:bookmarkStart w:id="484" w:name="_Toc23368"/>
      <w:bookmarkStart w:id="485" w:name="_Toc42"/>
      <w:bookmarkStart w:id="486" w:name="_Toc10663"/>
      <w:bookmarkStart w:id="487" w:name="_Toc26689"/>
      <w:r>
        <w:rPr>
          <w:rFonts w:hint="eastAsia" w:ascii="宋体" w:hAnsi="宋体" w:eastAsia="宋体" w:cs="宋体"/>
          <w:b/>
          <w:color w:val="auto"/>
          <w:sz w:val="24"/>
          <w:highlight w:val="none"/>
        </w:rPr>
        <w:t>2.10 合同转让和分包</w:t>
      </w:r>
      <w:bookmarkEnd w:id="483"/>
      <w:bookmarkEnd w:id="484"/>
      <w:bookmarkEnd w:id="485"/>
      <w:bookmarkEnd w:id="486"/>
      <w:bookmarkEnd w:id="487"/>
    </w:p>
    <w:p w14:paraId="119BE97E">
      <w:pPr>
        <w:shd w:val="clear"/>
        <w:spacing w:line="560" w:lineRule="exact"/>
        <w:ind w:firstLine="480" w:firstLineChars="200"/>
        <w:rPr>
          <w:rFonts w:hint="eastAsia" w:ascii="宋体" w:hAnsi="宋体" w:eastAsia="宋体" w:cs="宋体"/>
          <w:color w:val="auto"/>
          <w:sz w:val="24"/>
          <w:highlight w:val="none"/>
        </w:rPr>
      </w:pPr>
      <w:bookmarkStart w:id="488" w:name="_Toc32494"/>
      <w:bookmarkStart w:id="489" w:name="_Toc26633"/>
      <w:bookmarkStart w:id="490" w:name="_Toc14371"/>
      <w:bookmarkStart w:id="491" w:name="_Toc25571"/>
      <w:bookmarkStart w:id="492" w:name="_Toc4720"/>
      <w:r>
        <w:rPr>
          <w:rFonts w:hint="eastAsia" w:ascii="宋体" w:hAnsi="宋体" w:eastAsia="宋体" w:cs="宋体"/>
          <w:color w:val="auto"/>
          <w:sz w:val="24"/>
          <w:highlight w:val="none"/>
        </w:rPr>
        <w:t>2.10.1合同的权利义务依法不得转让，但经甲方同意，乙方可以依法采取分包方式履行合同，即：依法可以将合同项下的部分非主体、非关键性</w:t>
      </w:r>
      <w:r>
        <w:rPr>
          <w:rFonts w:hint="eastAsia" w:ascii="宋体" w:hAnsi="宋体" w:eastAsia="宋体" w:cs="宋体"/>
          <w:b/>
          <w:color w:val="auto"/>
          <w:sz w:val="24"/>
          <w:highlight w:val="none"/>
          <w:u w:val="single"/>
        </w:rPr>
        <w:t>城市货运导航数据运营服务</w:t>
      </w:r>
      <w:r>
        <w:rPr>
          <w:rFonts w:hint="eastAsia" w:ascii="宋体" w:hAnsi="宋体" w:eastAsia="宋体" w:cs="宋体"/>
          <w:color w:val="auto"/>
          <w:sz w:val="24"/>
          <w:highlight w:val="none"/>
        </w:rPr>
        <w:t>工作分包给他人完成，接受分包的人应当具备相应的资格条件，并不得再次分包，且乙方应就分包项目向甲方负责，并与分包供应商就分包项目向甲方承担连带责任。</w:t>
      </w:r>
    </w:p>
    <w:p w14:paraId="09C88C4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2.10.2乙方采取分包方式履行合同的，甲方可直接向分包供应商支付款项。</w:t>
      </w:r>
    </w:p>
    <w:p w14:paraId="4DE919CB">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2.11 不可抗力</w:t>
      </w:r>
      <w:bookmarkEnd w:id="488"/>
      <w:bookmarkEnd w:id="489"/>
      <w:bookmarkEnd w:id="490"/>
      <w:bookmarkEnd w:id="491"/>
      <w:bookmarkEnd w:id="492"/>
    </w:p>
    <w:p w14:paraId="5FC292B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D5652E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957BAE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756508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FF6BB50">
      <w:pPr>
        <w:shd w:val="clear"/>
        <w:spacing w:line="560" w:lineRule="exact"/>
        <w:ind w:firstLine="482" w:firstLineChars="200"/>
        <w:outlineLvl w:val="0"/>
        <w:rPr>
          <w:rFonts w:hint="eastAsia" w:ascii="宋体" w:hAnsi="宋体" w:eastAsia="宋体" w:cs="宋体"/>
          <w:b/>
          <w:color w:val="auto"/>
          <w:sz w:val="24"/>
          <w:highlight w:val="none"/>
        </w:rPr>
      </w:pPr>
      <w:bookmarkStart w:id="493" w:name="_Toc14115"/>
      <w:bookmarkStart w:id="494" w:name="_Toc24465"/>
      <w:bookmarkStart w:id="495" w:name="_Toc25783"/>
      <w:bookmarkStart w:id="496" w:name="_Toc3638"/>
      <w:bookmarkStart w:id="497" w:name="_Toc23854"/>
      <w:r>
        <w:rPr>
          <w:rFonts w:hint="eastAsia" w:ascii="宋体" w:hAnsi="宋体" w:eastAsia="宋体" w:cs="宋体"/>
          <w:b/>
          <w:color w:val="auto"/>
          <w:sz w:val="24"/>
          <w:highlight w:val="none"/>
        </w:rPr>
        <w:t>2.12 税费</w:t>
      </w:r>
      <w:bookmarkEnd w:id="493"/>
      <w:bookmarkEnd w:id="494"/>
      <w:bookmarkEnd w:id="495"/>
      <w:bookmarkEnd w:id="496"/>
      <w:bookmarkEnd w:id="497"/>
    </w:p>
    <w:p w14:paraId="4FE260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78FF60D">
      <w:pPr>
        <w:shd w:val="clear"/>
        <w:spacing w:line="560" w:lineRule="exact"/>
        <w:ind w:firstLine="482" w:firstLineChars="200"/>
        <w:outlineLvl w:val="0"/>
        <w:rPr>
          <w:rFonts w:hint="eastAsia" w:ascii="宋体" w:hAnsi="宋体" w:eastAsia="宋体" w:cs="宋体"/>
          <w:b/>
          <w:color w:val="auto"/>
          <w:sz w:val="24"/>
          <w:highlight w:val="none"/>
        </w:rPr>
      </w:pPr>
      <w:bookmarkStart w:id="498" w:name="_Toc7315"/>
      <w:bookmarkStart w:id="499" w:name="_Toc14814"/>
      <w:bookmarkStart w:id="500" w:name="_Toc30105"/>
      <w:bookmarkStart w:id="501" w:name="_Toc26883"/>
      <w:bookmarkStart w:id="502" w:name="_Toc25525"/>
      <w:r>
        <w:rPr>
          <w:rFonts w:hint="eastAsia" w:ascii="宋体" w:hAnsi="宋体" w:eastAsia="宋体" w:cs="宋体"/>
          <w:b/>
          <w:color w:val="auto"/>
          <w:sz w:val="24"/>
          <w:highlight w:val="none"/>
        </w:rPr>
        <w:t>2.13 乙方破产</w:t>
      </w:r>
      <w:bookmarkEnd w:id="498"/>
      <w:bookmarkEnd w:id="499"/>
      <w:bookmarkEnd w:id="500"/>
      <w:bookmarkEnd w:id="501"/>
      <w:bookmarkEnd w:id="502"/>
    </w:p>
    <w:p w14:paraId="091ADBB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2A9676">
      <w:pPr>
        <w:shd w:val="clear"/>
        <w:spacing w:line="560" w:lineRule="exact"/>
        <w:ind w:firstLine="482" w:firstLineChars="200"/>
        <w:outlineLvl w:val="0"/>
        <w:rPr>
          <w:rFonts w:hint="eastAsia" w:ascii="宋体" w:hAnsi="宋体" w:eastAsia="宋体" w:cs="宋体"/>
          <w:b/>
          <w:color w:val="auto"/>
          <w:sz w:val="24"/>
          <w:highlight w:val="none"/>
        </w:rPr>
      </w:pPr>
      <w:bookmarkStart w:id="503" w:name="_Toc1123"/>
      <w:bookmarkStart w:id="504" w:name="_Toc23323"/>
      <w:bookmarkStart w:id="505" w:name="_Toc2016"/>
      <w:r>
        <w:rPr>
          <w:rFonts w:hint="eastAsia" w:ascii="宋体" w:hAnsi="宋体" w:eastAsia="宋体" w:cs="宋体"/>
          <w:b/>
          <w:color w:val="auto"/>
          <w:sz w:val="24"/>
          <w:highlight w:val="none"/>
        </w:rPr>
        <w:t>2.14 合同中止、终止</w:t>
      </w:r>
      <w:bookmarkEnd w:id="503"/>
      <w:bookmarkEnd w:id="504"/>
      <w:bookmarkEnd w:id="505"/>
    </w:p>
    <w:p w14:paraId="3F57EDE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97187B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6BD1BA">
      <w:pPr>
        <w:shd w:val="clear"/>
        <w:spacing w:line="560" w:lineRule="exact"/>
        <w:ind w:firstLine="482" w:firstLineChars="200"/>
        <w:outlineLvl w:val="0"/>
        <w:rPr>
          <w:rFonts w:hint="eastAsia" w:ascii="宋体" w:hAnsi="宋体" w:eastAsia="宋体" w:cs="宋体"/>
          <w:b/>
          <w:color w:val="auto"/>
          <w:sz w:val="24"/>
          <w:highlight w:val="none"/>
        </w:rPr>
      </w:pPr>
      <w:bookmarkStart w:id="506" w:name="_Toc14525"/>
      <w:bookmarkStart w:id="507" w:name="_Toc17363"/>
      <w:bookmarkStart w:id="508" w:name="_Toc1969"/>
      <w:r>
        <w:rPr>
          <w:rFonts w:hint="eastAsia" w:ascii="宋体" w:hAnsi="宋体" w:eastAsia="宋体" w:cs="宋体"/>
          <w:b/>
          <w:color w:val="auto"/>
          <w:sz w:val="24"/>
          <w:highlight w:val="none"/>
        </w:rPr>
        <w:t>2.15 检验和验收</w:t>
      </w:r>
      <w:bookmarkEnd w:id="506"/>
      <w:bookmarkEnd w:id="507"/>
      <w:bookmarkEnd w:id="508"/>
    </w:p>
    <w:p w14:paraId="3D5CA6C5">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1AC1730">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50A412">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4D284A9">
      <w:pPr>
        <w:shd w:val="clear"/>
        <w:spacing w:line="560" w:lineRule="exact"/>
        <w:ind w:firstLine="482" w:firstLineChars="200"/>
        <w:outlineLvl w:val="0"/>
        <w:rPr>
          <w:rFonts w:hint="eastAsia" w:ascii="宋体" w:hAnsi="宋体" w:eastAsia="宋体" w:cs="宋体"/>
          <w:b/>
          <w:color w:val="auto"/>
          <w:sz w:val="24"/>
          <w:highlight w:val="none"/>
        </w:rPr>
      </w:pPr>
      <w:bookmarkStart w:id="509" w:name="_Toc25198"/>
      <w:bookmarkStart w:id="510" w:name="_Toc12666"/>
      <w:bookmarkStart w:id="511" w:name="_Toc31892"/>
      <w:bookmarkStart w:id="512" w:name="_Toc2308"/>
      <w:bookmarkStart w:id="513" w:name="_Toc9808"/>
      <w:r>
        <w:rPr>
          <w:rFonts w:hint="eastAsia" w:ascii="宋体" w:hAnsi="宋体" w:eastAsia="宋体" w:cs="宋体"/>
          <w:b/>
          <w:color w:val="auto"/>
          <w:sz w:val="24"/>
          <w:highlight w:val="none"/>
        </w:rPr>
        <w:t>2.16 通知和送达</w:t>
      </w:r>
      <w:bookmarkEnd w:id="509"/>
      <w:bookmarkEnd w:id="510"/>
      <w:bookmarkEnd w:id="511"/>
      <w:bookmarkEnd w:id="512"/>
      <w:bookmarkEnd w:id="513"/>
    </w:p>
    <w:p w14:paraId="1C98B840">
      <w:pPr>
        <w:shd w:val="clear"/>
        <w:spacing w:line="560" w:lineRule="exact"/>
        <w:ind w:firstLine="480" w:firstLineChars="200"/>
        <w:rPr>
          <w:rFonts w:hint="eastAsia" w:ascii="宋体" w:hAnsi="宋体" w:eastAsia="宋体" w:cs="宋体"/>
          <w:color w:val="auto"/>
          <w:sz w:val="24"/>
          <w:highlight w:val="none"/>
        </w:rPr>
      </w:pPr>
      <w:bookmarkStart w:id="514" w:name="_Toc27674"/>
      <w:bookmarkStart w:id="515"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AF61B2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85BFE9C">
      <w:pPr>
        <w:shd w:val="clear"/>
        <w:spacing w:line="560" w:lineRule="exact"/>
        <w:ind w:firstLine="482" w:firstLineChars="200"/>
        <w:outlineLvl w:val="0"/>
        <w:rPr>
          <w:rFonts w:hint="eastAsia" w:ascii="宋体" w:hAnsi="宋体" w:eastAsia="宋体" w:cs="宋体"/>
          <w:b/>
          <w:color w:val="auto"/>
          <w:sz w:val="24"/>
          <w:highlight w:val="none"/>
        </w:rPr>
      </w:pPr>
      <w:bookmarkStart w:id="516" w:name="_Toc5063"/>
      <w:bookmarkStart w:id="517" w:name="_Toc20808"/>
      <w:bookmarkStart w:id="518" w:name="_Toc12254"/>
      <w:bookmarkStart w:id="519" w:name="_Toc28906"/>
      <w:bookmarkStart w:id="520" w:name="_Toc27644"/>
      <w:r>
        <w:rPr>
          <w:rFonts w:hint="eastAsia" w:ascii="宋体" w:hAnsi="宋体" w:eastAsia="宋体" w:cs="宋体"/>
          <w:b/>
          <w:color w:val="auto"/>
          <w:sz w:val="24"/>
          <w:highlight w:val="none"/>
        </w:rPr>
        <w:t>2.17 合同使用的文字和适用的法律</w:t>
      </w:r>
      <w:bookmarkEnd w:id="516"/>
      <w:bookmarkEnd w:id="517"/>
      <w:bookmarkEnd w:id="518"/>
      <w:bookmarkEnd w:id="519"/>
      <w:bookmarkEnd w:id="520"/>
    </w:p>
    <w:p w14:paraId="3EFF436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合同使用汉语书写、变更和解释；</w:t>
      </w:r>
    </w:p>
    <w:p w14:paraId="0C4F99B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2E74E01">
      <w:pPr>
        <w:shd w:val="clear"/>
        <w:spacing w:line="560" w:lineRule="exact"/>
        <w:ind w:firstLine="482" w:firstLineChars="200"/>
        <w:outlineLvl w:val="0"/>
        <w:rPr>
          <w:rFonts w:hint="eastAsia" w:ascii="宋体" w:hAnsi="宋体" w:eastAsia="宋体" w:cs="宋体"/>
          <w:b/>
          <w:color w:val="auto"/>
          <w:sz w:val="24"/>
          <w:highlight w:val="none"/>
        </w:rPr>
      </w:pPr>
      <w:bookmarkStart w:id="521" w:name="_Toc18540"/>
      <w:bookmarkStart w:id="522" w:name="_Toc4355"/>
      <w:bookmarkStart w:id="523" w:name="_Toc30599"/>
      <w:r>
        <w:rPr>
          <w:rFonts w:hint="eastAsia" w:ascii="宋体" w:hAnsi="宋体" w:eastAsia="宋体" w:cs="宋体"/>
          <w:b/>
          <w:color w:val="auto"/>
          <w:sz w:val="24"/>
          <w:highlight w:val="none"/>
        </w:rPr>
        <w:t>2.18 计量单位</w:t>
      </w:r>
      <w:bookmarkEnd w:id="521"/>
      <w:bookmarkEnd w:id="522"/>
      <w:bookmarkEnd w:id="523"/>
    </w:p>
    <w:p w14:paraId="354B629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6E4531D3">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80A0B4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4FBEF5E">
      <w:pPr>
        <w:shd w:val="clear"/>
        <w:jc w:val="center"/>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4" w:name="_Toc97390131"/>
      <w:r>
        <w:rPr>
          <w:rFonts w:hint="eastAsia" w:ascii="宋体" w:hAnsi="宋体" w:eastAsia="宋体" w:cs="宋体"/>
          <w:b/>
          <w:color w:val="auto"/>
          <w:sz w:val="24"/>
          <w:highlight w:val="none"/>
        </w:rPr>
        <w:t>第三部分 合同专用条款</w:t>
      </w:r>
      <w:bookmarkEnd w:id="524"/>
    </w:p>
    <w:p w14:paraId="61782CE3">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25" w:name="_Toc94869439"/>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bookmarkEnd w:id="525"/>
    </w:p>
    <w:p w14:paraId="2D8FACD9">
      <w:pPr>
        <w:shd w:val="clea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1.3.2详见附件三：合同价格清单。</w:t>
      </w:r>
    </w:p>
    <w:p w14:paraId="20EADC0A">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1.4.2</w:t>
      </w:r>
      <w:r>
        <w:rPr>
          <w:rFonts w:hint="eastAsia" w:ascii="宋体" w:hAnsi="宋体" w:eastAsia="宋体" w:cs="宋体"/>
          <w:color w:val="auto"/>
          <w:kern w:val="0"/>
          <w:sz w:val="24"/>
          <w:highlight w:val="none"/>
        </w:rPr>
        <w:t>履约保证金支付方式：</w:t>
      </w:r>
      <w:r>
        <w:rPr>
          <w:rFonts w:hint="eastAsia" w:ascii="宋体" w:hAnsi="宋体" w:eastAsia="宋体" w:cs="宋体"/>
          <w:bCs/>
          <w:color w:val="auto"/>
          <w:sz w:val="24"/>
          <w:highlight w:val="none"/>
        </w:rPr>
        <w:t>合</w:t>
      </w:r>
      <w:r>
        <w:rPr>
          <w:rFonts w:hint="eastAsia" w:ascii="宋体" w:hAnsi="宋体" w:eastAsia="宋体" w:cs="宋体"/>
          <w:bCs/>
          <w:color w:val="auto"/>
          <w:sz w:val="24"/>
          <w:highlight w:val="none"/>
          <w:lang w:val="zh-CN"/>
        </w:rPr>
        <w:t>同</w:t>
      </w:r>
      <w:r>
        <w:rPr>
          <w:rFonts w:hint="eastAsia" w:ascii="宋体" w:hAnsi="宋体" w:eastAsia="宋体" w:cs="宋体"/>
          <w:color w:val="auto"/>
          <w:sz w:val="24"/>
          <w:highlight w:val="none"/>
          <w:lang w:val="zh-CN"/>
        </w:rPr>
        <w:t>签订后5个工作日内，</w:t>
      </w:r>
      <w:r>
        <w:rPr>
          <w:rFonts w:hint="eastAsia" w:ascii="宋体" w:hAnsi="宋体" w:eastAsia="宋体" w:cs="宋体"/>
          <w:color w:val="auto"/>
          <w:sz w:val="24"/>
          <w:highlight w:val="none"/>
        </w:rPr>
        <w:t>待</w:t>
      </w:r>
      <w:r>
        <w:rPr>
          <w:rFonts w:hint="eastAsia" w:ascii="宋体" w:hAnsi="宋体" w:eastAsia="宋体" w:cs="宋体"/>
          <w:color w:val="auto"/>
          <w:sz w:val="24"/>
          <w:highlight w:val="none"/>
          <w:lang w:val="zh-CN"/>
        </w:rPr>
        <w:t>项目具备实施条件后，乙方缴纳合同总价1%的履约保证金(鼓励和支持乙方以银行、保险公司出具的保函形式提供履约保证金)。</w:t>
      </w:r>
    </w:p>
    <w:p w14:paraId="5381E516">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1.5.1预付款比例、支付方式、时间：</w:t>
      </w:r>
      <w:r>
        <w:rPr>
          <w:rFonts w:hint="eastAsia" w:ascii="宋体" w:hAnsi="宋体" w:eastAsia="宋体" w:cs="宋体"/>
          <w:color w:val="auto"/>
          <w:sz w:val="24"/>
          <w:highlight w:val="none"/>
          <w:lang w:val="zh-CN"/>
        </w:rPr>
        <w:t>合同签订后5个工作日内，待项目具备实施条件后，</w:t>
      </w:r>
      <w:r>
        <w:rPr>
          <w:rFonts w:hint="eastAsia" w:ascii="宋体" w:hAnsi="宋体" w:eastAsia="宋体" w:cs="宋体"/>
          <w:color w:val="auto"/>
          <w:sz w:val="24"/>
          <w:highlight w:val="none"/>
        </w:rPr>
        <w:t>甲方支付合同总价的40%</w:t>
      </w:r>
      <w:r>
        <w:rPr>
          <w:rFonts w:hint="eastAsia" w:ascii="宋体" w:hAnsi="宋体" w:eastAsia="宋体" w:cs="宋体"/>
          <w:color w:val="auto"/>
          <w:sz w:val="24"/>
          <w:highlight w:val="none"/>
          <w:lang w:val="zh-CN"/>
        </w:rPr>
        <w:t>。</w:t>
      </w:r>
    </w:p>
    <w:p w14:paraId="0C66E156">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1.5.2预付款的扣回方式：</w:t>
      </w:r>
      <w:r>
        <w:rPr>
          <w:rFonts w:hint="eastAsia" w:ascii="宋体" w:hAnsi="宋体" w:eastAsia="宋体" w:cs="宋体"/>
          <w:color w:val="auto"/>
          <w:sz w:val="24"/>
          <w:highlight w:val="none"/>
          <w:u w:val="single"/>
        </w:rPr>
        <w:t>预付款不扣回，包含在第二期合同款支付内</w:t>
      </w:r>
      <w:r>
        <w:rPr>
          <w:rFonts w:hint="eastAsia" w:ascii="宋体" w:hAnsi="宋体" w:eastAsia="宋体" w:cs="宋体"/>
          <w:color w:val="auto"/>
          <w:sz w:val="24"/>
          <w:highlight w:val="none"/>
        </w:rPr>
        <w:t>。</w:t>
      </w:r>
    </w:p>
    <w:p w14:paraId="7F5A0A73">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1.5.3预付款的担保措施：</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514969A">
      <w:pPr>
        <w:shd w:val="clear"/>
        <w:adjustRightInd w:val="0"/>
        <w:snapToGrid w:val="0"/>
        <w:spacing w:line="36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w:t>
      </w:r>
    </w:p>
    <w:tbl>
      <w:tblPr>
        <w:tblStyle w:val="1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792"/>
        <w:gridCol w:w="1322"/>
      </w:tblGrid>
      <w:tr w14:paraId="786A40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1171" w:type="dxa"/>
            <w:shd w:val="clear" w:color="auto" w:fill="auto"/>
            <w:vAlign w:val="center"/>
          </w:tcPr>
          <w:p w14:paraId="31731ACE">
            <w:pPr>
              <w:shd w:val="clear"/>
              <w:spacing w:line="360" w:lineRule="auto"/>
              <w:jc w:val="center"/>
              <w:rPr>
                <w:rFonts w:hint="eastAsia" w:ascii="宋体" w:hAnsi="宋体" w:eastAsia="宋体" w:cs="宋体"/>
                <w:color w:val="auto"/>
                <w:sz w:val="24"/>
                <w:highlight w:val="none"/>
              </w:rPr>
            </w:pPr>
            <w:bookmarkStart w:id="526" w:name="_Toc94869444"/>
            <w:r>
              <w:rPr>
                <w:rFonts w:hint="eastAsia" w:ascii="宋体" w:hAnsi="宋体" w:eastAsia="宋体" w:cs="宋体"/>
                <w:color w:val="auto"/>
                <w:sz w:val="24"/>
                <w:highlight w:val="none"/>
              </w:rPr>
              <w:t>序号</w:t>
            </w:r>
          </w:p>
        </w:tc>
        <w:tc>
          <w:tcPr>
            <w:tcW w:w="5792" w:type="dxa"/>
            <w:shd w:val="clear" w:color="auto" w:fill="auto"/>
            <w:vAlign w:val="center"/>
          </w:tcPr>
          <w:p w14:paraId="7A2D848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1322" w:type="dxa"/>
            <w:shd w:val="clear" w:color="auto" w:fill="auto"/>
            <w:vAlign w:val="center"/>
          </w:tcPr>
          <w:p w14:paraId="44BF353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14:paraId="379DA0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49E1937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792" w:type="dxa"/>
            <w:tcBorders>
              <w:left w:val="single" w:color="808080" w:sz="4" w:space="0"/>
            </w:tcBorders>
            <w:shd w:val="clear" w:color="auto" w:fill="auto"/>
            <w:vAlign w:val="center"/>
          </w:tcPr>
          <w:p w14:paraId="007DF045">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第一期付款：合同签订后5个工作日内，项目具备实施条件后，甲方支付合同总价的40%，同时，乙方缴纳合同总价1%的履约保证金</w:t>
            </w:r>
            <w:r>
              <w:rPr>
                <w:rFonts w:hint="eastAsia" w:ascii="宋体" w:hAnsi="宋体" w:eastAsia="宋体" w:cs="宋体"/>
                <w:color w:val="auto"/>
                <w:sz w:val="24"/>
                <w:highlight w:val="none"/>
                <w:lang w:val="zh-CN"/>
              </w:rPr>
              <w:t>(鼓励和支持</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zh-CN"/>
              </w:rPr>
              <w:t>以银行、保险公司出具的保函形式提供履约保证金)</w:t>
            </w:r>
            <w:r>
              <w:rPr>
                <w:rFonts w:hint="eastAsia" w:ascii="宋体" w:hAnsi="宋体" w:eastAsia="宋体" w:cs="宋体"/>
                <w:color w:val="auto"/>
                <w:sz w:val="24"/>
                <w:highlight w:val="none"/>
              </w:rPr>
              <w:t>。</w:t>
            </w:r>
          </w:p>
        </w:tc>
        <w:tc>
          <w:tcPr>
            <w:tcW w:w="1322" w:type="dxa"/>
            <w:tcBorders>
              <w:left w:val="single" w:color="808080" w:sz="4" w:space="0"/>
            </w:tcBorders>
            <w:shd w:val="clear" w:color="auto" w:fill="auto"/>
            <w:vAlign w:val="center"/>
          </w:tcPr>
          <w:p w14:paraId="353E678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79B21C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70CB5F1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792" w:type="dxa"/>
            <w:tcBorders>
              <w:left w:val="single" w:color="808080" w:sz="4" w:space="0"/>
            </w:tcBorders>
            <w:shd w:val="clear" w:color="auto" w:fill="auto"/>
            <w:vAlign w:val="center"/>
          </w:tcPr>
          <w:p w14:paraId="2EF8C88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付款：服务至2025年11月30日，无任何服务问题,凭双方签字盖章的验收意见、验收小组签字的验收报告、人员清单、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网络安全风险书面报告（如有）、软件测试方案/计划、测试报告/用例、系统配置手册、操作手册/维护手册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第三方检测报告</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等保测评报告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商用密码应用测评报告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满足信创要求的检测材料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验收报审表、信息化项目变更审批表（如有）、个人保密承诺、单位保密协议、日常保密教育台账、培训材料、分包协议（如有），最多支付至444.645万元（已含甲方向乙方支付的第一期合同价款）</w:t>
            </w:r>
          </w:p>
        </w:tc>
        <w:tc>
          <w:tcPr>
            <w:tcW w:w="1322" w:type="dxa"/>
            <w:tcBorders>
              <w:left w:val="single" w:color="808080" w:sz="4" w:space="0"/>
            </w:tcBorders>
            <w:shd w:val="clear" w:color="auto" w:fill="auto"/>
          </w:tcPr>
          <w:p w14:paraId="4D15D9E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71FE10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3C8DEEA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792" w:type="dxa"/>
            <w:tcBorders>
              <w:left w:val="single" w:color="808080" w:sz="4" w:space="0"/>
            </w:tcBorders>
            <w:shd w:val="clear" w:color="auto" w:fill="auto"/>
            <w:vAlign w:val="center"/>
          </w:tcPr>
          <w:p w14:paraId="680C79A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第三期付款：服务期结束，无任何服务问题，凭双方签字盖章的验收意见、验收小组签字的验收报告、人员清单、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w:t>
            </w:r>
            <w:r>
              <w:rPr>
                <w:rFonts w:hint="eastAsia" w:ascii="宋体" w:hAnsi="宋体" w:cs="宋体"/>
                <w:color w:val="auto"/>
                <w:sz w:val="24"/>
                <w:highlight w:val="none"/>
                <w:lang w:val="en-US" w:eastAsia="zh-CN"/>
              </w:rPr>
              <w:t>软件</w:t>
            </w:r>
            <w:r>
              <w:rPr>
                <w:rFonts w:hint="eastAsia" w:ascii="宋体" w:hAnsi="宋体" w:eastAsia="宋体" w:cs="宋体"/>
                <w:color w:val="auto"/>
                <w:sz w:val="24"/>
                <w:highlight w:val="none"/>
              </w:rPr>
              <w:t>测试方案/计划、测试报告/用例、系统配置手册、操作手册/维护手册、第三方检测报告、</w:t>
            </w:r>
            <w:r>
              <w:rPr>
                <w:rFonts w:hint="eastAsia" w:ascii="宋体" w:hAnsi="宋体" w:eastAsia="宋体" w:cs="宋体"/>
                <w:color w:val="auto"/>
                <w:kern w:val="0"/>
                <w:sz w:val="24"/>
                <w:highlight w:val="none"/>
              </w:rPr>
              <w:t>等保测评报告、</w:t>
            </w:r>
            <w:r>
              <w:rPr>
                <w:rFonts w:hint="eastAsia" w:ascii="宋体" w:hAnsi="宋体" w:eastAsia="宋体" w:cs="宋体"/>
                <w:color w:val="auto"/>
                <w:sz w:val="24"/>
                <w:highlight w:val="none"/>
              </w:rPr>
              <w:t>商用密码应用测评报告、信创测评报告、验收报审表、信息化项目变更审批表（如有）、</w:t>
            </w:r>
            <w:r>
              <w:rPr>
                <w:rFonts w:hint="eastAsia" w:ascii="宋体" w:hAnsi="宋体" w:eastAsia="宋体" w:cs="宋体"/>
                <w:color w:val="auto"/>
                <w:sz w:val="24"/>
                <w:highlight w:val="none"/>
                <w:lang w:val="en-US" w:eastAsia="zh-CN"/>
              </w:rPr>
              <w:t>网络安全报告、</w:t>
            </w:r>
            <w:r>
              <w:rPr>
                <w:rFonts w:hint="eastAsia" w:ascii="宋体" w:hAnsi="宋体" w:eastAsia="宋体" w:cs="宋体"/>
                <w:color w:val="auto"/>
                <w:sz w:val="24"/>
                <w:highlight w:val="none"/>
              </w:rPr>
              <w:t>个人保密承诺、单位保密协议、日常保密教育台账、培训材料、分包协议（如有）及公示截图等相关资料，经审计确认后（若有），根据合同单价、服务内容、服务天数按实结算剩余应付的合同款项，同时扣除乙方应向甲方支付的违约金。</w:t>
            </w:r>
          </w:p>
        </w:tc>
        <w:tc>
          <w:tcPr>
            <w:tcW w:w="1322" w:type="dxa"/>
            <w:tcBorders>
              <w:left w:val="single" w:color="808080" w:sz="4" w:space="0"/>
            </w:tcBorders>
            <w:shd w:val="clear" w:color="auto" w:fill="auto"/>
          </w:tcPr>
          <w:p w14:paraId="2F74578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bl>
    <w:p w14:paraId="70589949">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双方确认，甲方按前款结算并向乙方支付的款项总额不超过合同总价。</w:t>
      </w:r>
    </w:p>
    <w:p w14:paraId="65A16CF8">
      <w:pPr>
        <w:shd w:val="clea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zh-CN"/>
        </w:rPr>
        <w:t>前述甲方按乙方实际履行情况结算付款的方式不影响甲方向乙方再行收取因乙方未全面按照合同约定履行而产生的违约金。</w:t>
      </w:r>
    </w:p>
    <w:p w14:paraId="14CC902B">
      <w:pPr>
        <w:shd w:val="clea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1.7.1 服务交付（实施）的时间（期限）：</w:t>
      </w:r>
      <w:r>
        <w:rPr>
          <w:rFonts w:hint="eastAsia" w:ascii="宋体" w:hAnsi="宋体" w:eastAsia="宋体" w:cs="宋体"/>
          <w:color w:val="auto"/>
          <w:sz w:val="24"/>
          <w:highlight w:val="none"/>
        </w:rPr>
        <w:t>12个月（2025年8月1日-2026年7月31日</w:t>
      </w:r>
    </w:p>
    <w:p w14:paraId="39671D39">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2025年8月1日至合同签订前由该项目原合同单位按照2025年需求继续提供履约，期间产生的费用由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按照实际履约时间及 2025 年合同单价与原合同单位按实结算,同时扣除考核违约金(交还</w:t>
      </w:r>
      <w:r>
        <w:rPr>
          <w:rFonts w:hint="eastAsia" w:ascii="宋体" w:hAnsi="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需在合同签订之日起7日内完成各项工作的转换、衔接工作。</w:t>
      </w:r>
    </w:p>
    <w:p w14:paraId="2E037262">
      <w:pPr>
        <w:shd w:val="clear"/>
        <w:spacing w:line="360" w:lineRule="auto"/>
        <w:ind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1.7.2 服务交付（实施）的地点（地域范围）：</w:t>
      </w:r>
      <w:r>
        <w:rPr>
          <w:rFonts w:hint="eastAsia" w:ascii="宋体" w:hAnsi="宋体" w:eastAsia="宋体" w:cs="宋体"/>
          <w:color w:val="auto"/>
          <w:sz w:val="24"/>
          <w:highlight w:val="none"/>
        </w:rPr>
        <w:t>杭州市公安局交通警察支队（杭州市拱墅区文晖路336号）</w:t>
      </w:r>
      <w:r>
        <w:rPr>
          <w:rFonts w:hint="eastAsia" w:ascii="宋体" w:hAnsi="宋体" w:eastAsia="宋体" w:cs="宋体"/>
          <w:b/>
          <w:bCs/>
          <w:color w:val="auto"/>
          <w:sz w:val="24"/>
          <w:highlight w:val="none"/>
        </w:rPr>
        <w:t>或指定地点。</w:t>
      </w:r>
    </w:p>
    <w:p w14:paraId="3C4199D4">
      <w:pPr>
        <w:shd w:val="clea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1.7.3 </w:t>
      </w:r>
      <w:r>
        <w:rPr>
          <w:rFonts w:hint="eastAsia" w:ascii="宋体" w:hAnsi="宋体" w:eastAsia="宋体" w:cs="宋体"/>
          <w:b/>
          <w:bCs/>
          <w:color w:val="auto"/>
          <w:kern w:val="0"/>
          <w:sz w:val="24"/>
          <w:highlight w:val="none"/>
        </w:rPr>
        <w:t>服务</w:t>
      </w:r>
      <w:r>
        <w:rPr>
          <w:rFonts w:hint="eastAsia" w:ascii="宋体" w:hAnsi="宋体" w:eastAsia="宋体" w:cs="宋体"/>
          <w:b/>
          <w:bCs/>
          <w:color w:val="auto"/>
          <w:sz w:val="24"/>
          <w:highlight w:val="none"/>
        </w:rPr>
        <w:t>交付（实施）的方式：</w:t>
      </w:r>
      <w:bookmarkEnd w:id="526"/>
      <w:bookmarkStart w:id="527" w:name="_Toc94869454"/>
      <w:r>
        <w:rPr>
          <w:rFonts w:hint="eastAsia" w:ascii="宋体" w:hAnsi="宋体" w:eastAsia="宋体" w:cs="宋体"/>
          <w:bCs/>
          <w:iCs/>
          <w:color w:val="auto"/>
          <w:sz w:val="24"/>
          <w:highlight w:val="none"/>
          <w:u w:val="single"/>
        </w:rPr>
        <w:t>按项目服务要求及现场实施需求提供服务。</w:t>
      </w:r>
    </w:p>
    <w:p w14:paraId="7DA63884">
      <w:pPr>
        <w:shd w:val="clear"/>
        <w:adjustRightInd w:val="0"/>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1.8.7违约责任：</w:t>
      </w:r>
    </w:p>
    <w:bookmarkEnd w:id="527"/>
    <w:p w14:paraId="30FB0208">
      <w:pPr>
        <w:shd w:val="clear"/>
        <w:spacing w:line="360" w:lineRule="auto"/>
        <w:ind w:firstLine="480" w:firstLineChars="200"/>
        <w:jc w:val="left"/>
        <w:rPr>
          <w:rFonts w:hint="eastAsia" w:ascii="宋体" w:hAnsi="宋体" w:eastAsia="宋体" w:cs="宋体"/>
          <w:iCs/>
          <w:color w:val="auto"/>
          <w:sz w:val="24"/>
          <w:highlight w:val="none"/>
        </w:rPr>
      </w:pPr>
      <w:bookmarkStart w:id="528" w:name="_Toc94869458"/>
      <w:r>
        <w:rPr>
          <w:rFonts w:hint="eastAsia" w:ascii="宋体" w:hAnsi="宋体" w:eastAsia="宋体" w:cs="宋体"/>
          <w:iCs/>
          <w:color w:val="auto"/>
          <w:sz w:val="24"/>
          <w:highlight w:val="none"/>
        </w:rPr>
        <w:t>1）履约保证金在约定期间内（合同签订之日起至项目通过验收，乙方递交退还履约保证金申请前）不予退还。乙方在前述约定期间届满前能履行完合同约定义务事项的，甲方在前述约定期间届满之日起5个工作日内，按乙方缴纳履约保证金的方式将履约保证金无息退还乙方，逾期退还的，乙方可要求甲方支付违约金，违约金按每迟延退还一日的应退还而未退还金额的0.05%计算，最高限额为本合同履约保证金的20%；</w:t>
      </w:r>
    </w:p>
    <w:p w14:paraId="70141379">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14:paraId="1347ECC1">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3）除不可抗力外，因甲方原因导致变更、中止或者终止政府采购合同的，甲方应当依照合同约定对乙方受到的损失予以赔偿或者补偿。</w:t>
      </w:r>
    </w:p>
    <w:p w14:paraId="0A61D8DC">
      <w:pPr>
        <w:shd w:val="clear"/>
        <w:spacing w:line="360" w:lineRule="auto"/>
        <w:ind w:firstLine="482" w:firstLineChars="200"/>
        <w:jc w:val="left"/>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乙方的违约责任：</w:t>
      </w:r>
    </w:p>
    <w:p w14:paraId="790B7568">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14:paraId="6702BE8B">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2）除不可抗力外，如果乙方没有按照本合同约定的期限、地点和方式提供服务，那么甲方可要求乙方支付违约金，违约金按每迟延提供服务一日的应提供服务而未提供服务价格的0.05%计算，最高限额为本合同总价的20%；迟延提供服务的违约金计算数额达到前述最高限额之日起，甲方有权在要求乙方支付违约金的同时，书面通知乙方解除本合同；</w:t>
      </w:r>
    </w:p>
    <w:p w14:paraId="7728AF81">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3）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合同实施过程中如发生，未办理变更手续的擅自变更，发现一次乙方应向甲方支付5000元违约金，且甲方有权在要求乙方支付违约金的同时，单方面解除合同，并就由此造成的一切损失均由乙方负责赔偿。</w:t>
      </w:r>
    </w:p>
    <w:p w14:paraId="5F212A3B">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4）乙方擅自将本合同的全部或部分事务转由第三人承担，（经甲方书面同意的分包人除外），甲方可解除本合同，且乙方应按合同总价的30％向甲方支付违约金。如发生损失的，乙方还应赔偿甲方损失。</w:t>
      </w:r>
    </w:p>
    <w:p w14:paraId="46A3EC5B">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5）</w:t>
      </w:r>
      <w:bookmarkStart w:id="529" w:name="_Hlk105445564"/>
      <w:r>
        <w:rPr>
          <w:rFonts w:hint="eastAsia" w:ascii="宋体" w:hAnsi="宋体" w:eastAsia="宋体" w:cs="宋体"/>
          <w:iCs/>
          <w:color w:val="auto"/>
          <w:sz w:val="24"/>
          <w:highlight w:val="none"/>
        </w:rPr>
        <w:t>乙方在服务期内提供的服务未达到合同要求的，甲方将根据考核办法（详见附件一）对乙方处以违约金，直至解除合同</w:t>
      </w:r>
      <w:bookmarkEnd w:id="529"/>
      <w:r>
        <w:rPr>
          <w:rFonts w:hint="eastAsia" w:ascii="宋体" w:hAnsi="宋体" w:eastAsia="宋体" w:cs="宋体"/>
          <w:iCs/>
          <w:color w:val="auto"/>
          <w:sz w:val="24"/>
          <w:highlight w:val="none"/>
        </w:rPr>
        <w:t>；</w:t>
      </w:r>
    </w:p>
    <w:p w14:paraId="1B4697D7">
      <w:pPr>
        <w:shd w:val="clear"/>
        <w:spacing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6）</w:t>
      </w:r>
      <w:r>
        <w:rPr>
          <w:rFonts w:hint="eastAsia" w:ascii="宋体" w:hAnsi="宋体" w:eastAsia="宋体" w:cs="宋体"/>
          <w:color w:val="auto"/>
          <w:sz w:val="24"/>
          <w:highlight w:val="none"/>
        </w:rPr>
        <w:t>因乙方或乙方派遣人员工作过错造成的安全管理事故，乙方负全部责任及相关费用。</w:t>
      </w:r>
    </w:p>
    <w:p w14:paraId="594F6492">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7)乙方未按保密管理条款规定执行的，每发现一次处违约金10000元，如发生泄密事件，除赔偿甲方损失外，还应承担全部法律责任。</w:t>
      </w:r>
    </w:p>
    <w:p w14:paraId="02B87DD9">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8）乙方未按网络安全履行责任和义务的，每发生一次扣除违约金10000元。</w:t>
      </w:r>
    </w:p>
    <w:p w14:paraId="21D782A7">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9）违约金在结算合同尾款时一次性扣除。</w:t>
      </w:r>
    </w:p>
    <w:p w14:paraId="6B0DF9E0">
      <w:pPr>
        <w:shd w:val="clea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5CF7B769">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30" w:name="_Toc8740"/>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4"/>
          <w:highlight w:val="none"/>
          <w:u w:val="single"/>
        </w:rPr>
        <w:t xml:space="preserve"> 1.9.2条</w:t>
      </w:r>
      <w:r>
        <w:rPr>
          <w:rFonts w:hint="eastAsia" w:ascii="宋体" w:hAnsi="宋体" w:eastAsia="宋体" w:cs="宋体"/>
          <w:color w:val="auto"/>
          <w:sz w:val="24"/>
          <w:highlight w:val="none"/>
        </w:rPr>
        <w:t>款规定的方式解决：</w:t>
      </w:r>
      <w:bookmarkEnd w:id="530"/>
    </w:p>
    <w:p w14:paraId="4571B7F2">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31" w:name="_Toc32719"/>
      <w:r>
        <w:rPr>
          <w:rFonts w:hint="eastAsia" w:ascii="宋体" w:hAnsi="宋体" w:eastAsia="宋体" w:cs="宋体"/>
          <w:color w:val="auto"/>
          <w:sz w:val="24"/>
          <w:highlight w:val="none"/>
        </w:rPr>
        <w:t>1.9.1 将争议提交/仲裁委员会依申请仲裁时其现行有效的仲裁规则裁决；</w:t>
      </w:r>
      <w:bookmarkEnd w:id="531"/>
    </w:p>
    <w:p w14:paraId="6F5FF7DE">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32" w:name="_Toc8953"/>
      <w:r>
        <w:rPr>
          <w:rFonts w:hint="eastAsia" w:ascii="宋体" w:hAnsi="宋体" w:eastAsia="宋体" w:cs="宋体"/>
          <w:color w:val="auto"/>
          <w:sz w:val="24"/>
          <w:highlight w:val="none"/>
        </w:rPr>
        <w:t>1.9.2 向甲方所在地人民法院起诉。</w:t>
      </w:r>
      <w:bookmarkEnd w:id="532"/>
    </w:p>
    <w:bookmarkEnd w:id="528"/>
    <w:p w14:paraId="7EC65583">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2.5结算方式和付款条件：见1.6.2条款。</w:t>
      </w:r>
    </w:p>
    <w:p w14:paraId="03F411D4">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15个工作日</w:t>
      </w:r>
      <w:r>
        <w:rPr>
          <w:rFonts w:hint="eastAsia" w:ascii="宋体" w:hAnsi="宋体" w:eastAsia="宋体" w:cs="宋体"/>
          <w:color w:val="auto"/>
          <w:sz w:val="24"/>
          <w:highlight w:val="none"/>
        </w:rPr>
        <w:t>内以书面形式变更合同；</w:t>
      </w:r>
    </w:p>
    <w:p w14:paraId="15F4074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7个工作日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i/>
          <w:color w:val="auto"/>
          <w:sz w:val="24"/>
          <w:highlight w:val="none"/>
          <w:u w:val="single"/>
        </w:rPr>
        <w:t>10个工作日</w:t>
      </w:r>
      <w:r>
        <w:rPr>
          <w:rFonts w:hint="eastAsia" w:ascii="宋体" w:hAnsi="宋体" w:eastAsia="宋体" w:cs="宋体"/>
          <w:color w:val="auto"/>
          <w:sz w:val="24"/>
          <w:highlight w:val="none"/>
        </w:rPr>
        <w:t>内，将有关部门出具的证明文件送达对方当事人。</w:t>
      </w:r>
    </w:p>
    <w:p w14:paraId="6B48F901">
      <w:pPr>
        <w:shd w:val="clear"/>
        <w:spacing w:line="360" w:lineRule="auto"/>
        <w:jc w:val="left"/>
        <w:rPr>
          <w:rFonts w:hint="eastAsia" w:ascii="宋体" w:hAnsi="宋体" w:eastAsia="宋体" w:cs="宋体"/>
          <w:b/>
          <w:bCs/>
          <w:color w:val="auto"/>
          <w:sz w:val="24"/>
          <w:highlight w:val="none"/>
        </w:rPr>
      </w:pPr>
      <w:bookmarkStart w:id="533" w:name="_Toc94869459"/>
      <w:r>
        <w:rPr>
          <w:rFonts w:hint="eastAsia" w:ascii="宋体" w:hAnsi="宋体" w:eastAsia="宋体" w:cs="宋体"/>
          <w:b/>
          <w:color w:val="auto"/>
          <w:sz w:val="24"/>
          <w:highlight w:val="none"/>
        </w:rPr>
        <w:t>2.15.1履约验收时间：</w:t>
      </w:r>
      <w:bookmarkEnd w:id="533"/>
      <w:bookmarkStart w:id="534" w:name="_Toc94869460"/>
      <w:r>
        <w:rPr>
          <w:rFonts w:hint="eastAsia" w:ascii="宋体" w:hAnsi="宋体" w:eastAsia="宋体" w:cs="宋体"/>
          <w:color w:val="auto"/>
          <w:sz w:val="24"/>
          <w:highlight w:val="none"/>
        </w:rPr>
        <w:t>第一次验收时间2025年11月30日后，第二次验收时间2026年7月31日服务结束后。（具体验收时间由甲方最终确定并以通知乙方时间为准）。</w:t>
      </w:r>
    </w:p>
    <w:p w14:paraId="176B557D">
      <w:pPr>
        <w:shd w:val="clear"/>
        <w:adjustRightInd w:val="0"/>
        <w:snapToGrid w:val="0"/>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验收主体：</w:t>
      </w:r>
      <w:r>
        <w:rPr>
          <w:rFonts w:hint="eastAsia" w:ascii="宋体" w:hAnsi="宋体" w:eastAsia="宋体" w:cs="宋体"/>
          <w:color w:val="auto"/>
          <w:sz w:val="24"/>
          <w:szCs w:val="21"/>
          <w:highlight w:val="none"/>
        </w:rPr>
        <w:t>杭州市公安局交通警察支队。</w:t>
      </w:r>
    </w:p>
    <w:p w14:paraId="00E25B82">
      <w:pPr>
        <w:shd w:val="clea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2.15.3检验和验收标准、程序</w:t>
      </w:r>
      <w:bookmarkEnd w:id="534"/>
    </w:p>
    <w:p w14:paraId="23793F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76870B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为信息化项目，根据甲方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6D3307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严格按照采购合同开展履约验收。甲方委托第三方机构组织验收，成立验收小组（验收小组由5人组成：其中甲方1名，专家4名（第三方机构从乐采云专家库服务平台随机抽取相关专业）），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4351CB7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14:paraId="47B2B5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5）验收产生的费用首次验收费用由甲方承担，如首次验收不合格，后续验收费用由乙方支付。</w:t>
      </w:r>
    </w:p>
    <w:p w14:paraId="5C54AC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6）验收内容</w:t>
      </w:r>
    </w:p>
    <w:p w14:paraId="2A9B55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6.1第一期验收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6214"/>
      </w:tblGrid>
      <w:tr w14:paraId="0B9E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F0700E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5" w:type="pct"/>
            <w:noWrap/>
            <w:vAlign w:val="center"/>
          </w:tcPr>
          <w:p w14:paraId="7B13256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721" w:type="pct"/>
            <w:vAlign w:val="center"/>
          </w:tcPr>
          <w:p w14:paraId="1B4E17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4FD8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noWrap/>
            <w:vAlign w:val="center"/>
          </w:tcPr>
          <w:p w14:paraId="2CC65B3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5" w:type="pct"/>
            <w:tcBorders>
              <w:left w:val="single" w:color="auto" w:sz="4" w:space="0"/>
            </w:tcBorders>
            <w:noWrap/>
            <w:vAlign w:val="center"/>
          </w:tcPr>
          <w:p w14:paraId="66A23A3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721" w:type="pct"/>
            <w:tcBorders>
              <w:left w:val="single" w:color="auto" w:sz="4" w:space="0"/>
            </w:tcBorders>
            <w:vAlign w:val="center"/>
          </w:tcPr>
          <w:p w14:paraId="34B36DE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乙方保证其提供的技术手段安全成熟，硬件、软件均有安全保障。租赁硬件满足采购需求要求。</w:t>
            </w:r>
          </w:p>
        </w:tc>
      </w:tr>
      <w:tr w14:paraId="3F8E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023300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05" w:type="pct"/>
            <w:tcBorders>
              <w:left w:val="single" w:color="auto" w:sz="4" w:space="0"/>
            </w:tcBorders>
            <w:noWrap/>
            <w:vAlign w:val="center"/>
          </w:tcPr>
          <w:p w14:paraId="017C7E5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721" w:type="pct"/>
            <w:tcBorders>
              <w:left w:val="single" w:color="auto" w:sz="4" w:space="0"/>
            </w:tcBorders>
            <w:vAlign w:val="center"/>
          </w:tcPr>
          <w:p w14:paraId="6AF604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786E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12ACBB3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05" w:type="pct"/>
            <w:vMerge w:val="restart"/>
            <w:tcBorders>
              <w:left w:val="single" w:color="auto" w:sz="4" w:space="0"/>
            </w:tcBorders>
            <w:noWrap/>
            <w:vAlign w:val="center"/>
          </w:tcPr>
          <w:p w14:paraId="458C5DE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721" w:type="pct"/>
            <w:tcBorders>
              <w:left w:val="single" w:color="auto" w:sz="4" w:space="0"/>
            </w:tcBorders>
            <w:vAlign w:val="center"/>
          </w:tcPr>
          <w:p w14:paraId="0A1018B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0F51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75" w:type="pct"/>
            <w:vMerge w:val="continue"/>
            <w:noWrap/>
            <w:vAlign w:val="center"/>
          </w:tcPr>
          <w:p w14:paraId="0123C332">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614ADB8B">
            <w:pPr>
              <w:shd w:val="clear"/>
              <w:rPr>
                <w:rFonts w:hint="eastAsia" w:ascii="宋体" w:hAnsi="宋体" w:eastAsia="宋体" w:cs="宋体"/>
                <w:color w:val="auto"/>
                <w:highlight w:val="none"/>
              </w:rPr>
            </w:pPr>
          </w:p>
        </w:tc>
        <w:tc>
          <w:tcPr>
            <w:tcW w:w="3721" w:type="pct"/>
            <w:tcBorders>
              <w:left w:val="single" w:color="auto" w:sz="4" w:space="0"/>
            </w:tcBorders>
            <w:vAlign w:val="center"/>
          </w:tcPr>
          <w:p w14:paraId="337ACB7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53AC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0EF091F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76" w:type="dxa"/>
            <w:tcBorders>
              <w:left w:val="single" w:color="auto" w:sz="4" w:space="0"/>
            </w:tcBorders>
            <w:noWrap/>
            <w:vAlign w:val="center"/>
          </w:tcPr>
          <w:p w14:paraId="7EE34C0F">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6214" w:type="dxa"/>
            <w:tcBorders>
              <w:left w:val="single" w:color="auto" w:sz="4" w:space="0"/>
            </w:tcBorders>
            <w:vAlign w:val="center"/>
          </w:tcPr>
          <w:p w14:paraId="55DEE16F">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，需根据信创要求，完成信创测评，如因投</w:t>
            </w:r>
            <w:r>
              <w:rPr>
                <w:rFonts w:hint="eastAsia" w:ascii="宋体" w:hAnsi="宋体" w:cs="宋体"/>
                <w:color w:val="auto"/>
                <w:sz w:val="24"/>
                <w:highlight w:val="none"/>
                <w:lang w:val="en-US" w:eastAsia="zh-CN" w:bidi="ar-SA"/>
              </w:rPr>
              <w:t>乙方</w:t>
            </w:r>
            <w:r>
              <w:rPr>
                <w:rFonts w:hint="eastAsia" w:ascii="宋体" w:hAnsi="宋体" w:eastAsia="宋体" w:cs="宋体"/>
                <w:color w:val="auto"/>
                <w:sz w:val="24"/>
                <w:highlight w:val="none"/>
                <w:lang w:bidi="ar-SA"/>
              </w:rPr>
              <w:t>原因未符合要求的，需负责整改到位。</w:t>
            </w:r>
          </w:p>
        </w:tc>
      </w:tr>
      <w:tr w14:paraId="725D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31862CF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905" w:type="pct"/>
            <w:vMerge w:val="restart"/>
            <w:tcBorders>
              <w:left w:val="single" w:color="auto" w:sz="4" w:space="0"/>
            </w:tcBorders>
            <w:noWrap/>
            <w:vAlign w:val="center"/>
          </w:tcPr>
          <w:p w14:paraId="4575C18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721" w:type="pct"/>
            <w:tcBorders>
              <w:left w:val="single" w:color="auto" w:sz="4" w:space="0"/>
            </w:tcBorders>
            <w:vAlign w:val="center"/>
          </w:tcPr>
          <w:p w14:paraId="164927B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591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5" w:type="pct"/>
            <w:vMerge w:val="continue"/>
            <w:noWrap/>
            <w:vAlign w:val="center"/>
          </w:tcPr>
          <w:p w14:paraId="1E6FBBD9">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691EE06E">
            <w:pPr>
              <w:shd w:val="clear"/>
              <w:rPr>
                <w:rFonts w:hint="eastAsia" w:ascii="宋体" w:hAnsi="宋体" w:eastAsia="宋体" w:cs="宋体"/>
                <w:color w:val="auto"/>
                <w:highlight w:val="none"/>
              </w:rPr>
            </w:pPr>
          </w:p>
        </w:tc>
        <w:tc>
          <w:tcPr>
            <w:tcW w:w="3721" w:type="pct"/>
            <w:tcBorders>
              <w:left w:val="single" w:color="auto" w:sz="4" w:space="0"/>
            </w:tcBorders>
            <w:vAlign w:val="center"/>
          </w:tcPr>
          <w:p w14:paraId="4780457E">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在服务期间，乙方的项目组人员对系统运行情况每天进行巡检，并建立巡检台账。</w:t>
            </w:r>
          </w:p>
        </w:tc>
      </w:tr>
      <w:tr w14:paraId="35CB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38E4CD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905" w:type="pct"/>
            <w:tcBorders>
              <w:left w:val="single" w:color="auto" w:sz="4" w:space="0"/>
            </w:tcBorders>
            <w:noWrap/>
            <w:vAlign w:val="center"/>
          </w:tcPr>
          <w:p w14:paraId="6987A47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721" w:type="pct"/>
            <w:tcBorders>
              <w:left w:val="single" w:color="auto" w:sz="4" w:space="0"/>
            </w:tcBorders>
            <w:vAlign w:val="center"/>
          </w:tcPr>
          <w:p w14:paraId="717E843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7CB6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188CE5A">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905" w:type="pct"/>
            <w:tcBorders>
              <w:left w:val="single" w:color="auto" w:sz="4" w:space="0"/>
            </w:tcBorders>
            <w:noWrap/>
            <w:vAlign w:val="center"/>
          </w:tcPr>
          <w:p w14:paraId="48D33EB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721" w:type="pct"/>
            <w:tcBorders>
              <w:left w:val="single" w:color="auto" w:sz="4" w:space="0"/>
            </w:tcBorders>
            <w:vAlign w:val="center"/>
          </w:tcPr>
          <w:p w14:paraId="190EB76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按合同要求对甲方系统操作人员、系统管理人员、系统运维人员进行培训，形成相应培训记录。</w:t>
            </w:r>
          </w:p>
        </w:tc>
      </w:tr>
      <w:tr w14:paraId="7C8D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5DC078DC">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905" w:type="pct"/>
            <w:tcBorders>
              <w:left w:val="single" w:color="auto" w:sz="4" w:space="0"/>
            </w:tcBorders>
            <w:noWrap/>
            <w:vAlign w:val="center"/>
          </w:tcPr>
          <w:p w14:paraId="21BCBBD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721" w:type="pct"/>
            <w:tcBorders>
              <w:left w:val="single" w:color="auto" w:sz="4" w:space="0"/>
            </w:tcBorders>
            <w:vAlign w:val="center"/>
          </w:tcPr>
          <w:p w14:paraId="34187B0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6FD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6CF2E38A">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905" w:type="pct"/>
            <w:tcBorders>
              <w:left w:val="single" w:color="auto" w:sz="4" w:space="0"/>
            </w:tcBorders>
            <w:vAlign w:val="center"/>
          </w:tcPr>
          <w:p w14:paraId="1090519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721" w:type="pct"/>
            <w:tcBorders>
              <w:left w:val="single" w:color="auto" w:sz="4" w:space="0"/>
            </w:tcBorders>
            <w:vAlign w:val="center"/>
          </w:tcPr>
          <w:p w14:paraId="04D446E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43D1A45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第一期验收资料清单：</w:t>
      </w:r>
    </w:p>
    <w:p w14:paraId="5840C5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验收资料和文件是项目验收的重要依据，乙方从项目实施开始就应完整地积累和保管，验收时在职能部门的指导、配合下按照甲方有关要求编目建档。</w:t>
      </w:r>
    </w:p>
    <w:p w14:paraId="7702B03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4926DF2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2D9EAE8D">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7D6DCE4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681185F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（5）驻点人员每日钉钉考勤签到表：需甲方经办人、复核人、乙方签字并盖章；</w:t>
      </w:r>
    </w:p>
    <w:p w14:paraId="2E52E663">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（6）租赁设备清单、产品合格证、质保承诺书；</w:t>
      </w:r>
    </w:p>
    <w:p w14:paraId="2360D42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（7）服务方案；</w:t>
      </w:r>
    </w:p>
    <w:p w14:paraId="6AE553A1">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（8）专网云平台监测报告、巡检报告；</w:t>
      </w:r>
    </w:p>
    <w:p w14:paraId="65C4ABF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（9）每月考核材料；</w:t>
      </w:r>
    </w:p>
    <w:p w14:paraId="73268F42">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（10）数据接入清单；</w:t>
      </w:r>
    </w:p>
    <w:p w14:paraId="05483F7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（11）验收报审表、信息化项目变更审批表（如有）；</w:t>
      </w:r>
    </w:p>
    <w:p w14:paraId="20B6BBB1">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（12）系统渗透测试报告；</w:t>
      </w:r>
    </w:p>
    <w:p w14:paraId="4023675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（13）应急响应报告；</w:t>
      </w:r>
    </w:p>
    <w:p w14:paraId="49BAEA7A">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（14）网络安全事件应急预案；</w:t>
      </w:r>
    </w:p>
    <w:p w14:paraId="20BAC7D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（15）网络安全事件应急演练报告；</w:t>
      </w:r>
    </w:p>
    <w:p w14:paraId="4D546F62">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（16）重保期间安全日报；</w:t>
      </w:r>
    </w:p>
    <w:p w14:paraId="0B4ECE1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（17）网络安全保障方案、网络安全风险书面报告（如有）、网络安全重大事项书面报告（如有）；</w:t>
      </w:r>
    </w:p>
    <w:p w14:paraId="5B2F95B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（18）第三方检测报告</w:t>
      </w:r>
    </w:p>
    <w:p w14:paraId="6B689D0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172BEEAF">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（20）满足信创要求的检测材料；</w:t>
      </w:r>
    </w:p>
    <w:p w14:paraId="2802004D">
      <w:pPr>
        <w:shd w:val="clear"/>
        <w:tabs>
          <w:tab w:val="left" w:pos="904"/>
        </w:tabs>
        <w:adjustRightInd w:val="0"/>
        <w:snapToGrid w:val="0"/>
        <w:spacing w:line="360" w:lineRule="auto"/>
        <w:ind w:left="1200" w:hanging="720"/>
        <w:jc w:val="left"/>
        <w:rPr>
          <w:rFonts w:hint="eastAsia" w:ascii="宋体" w:hAnsi="宋体" w:eastAsia="宋体" w:cs="宋体"/>
          <w:color w:val="auto"/>
          <w:highlight w:val="none"/>
        </w:rPr>
      </w:pPr>
      <w:r>
        <w:rPr>
          <w:rFonts w:hint="eastAsia" w:ascii="宋体" w:hAnsi="宋体" w:eastAsia="宋体" w:cs="宋体"/>
          <w:color w:val="auto"/>
          <w:sz w:val="24"/>
          <w:highlight w:val="none"/>
        </w:rPr>
        <w:t>（21）软件测试方案/计划、测试报告/用例、系统配置手册、操作手册/维护手册；</w:t>
      </w:r>
    </w:p>
    <w:p w14:paraId="2B63B1C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（22）其他相关材料：培训材料、单位保密协议、个人保密承诺、日常保密教育台账、分包协议（如有）等。</w:t>
      </w:r>
    </w:p>
    <w:p w14:paraId="161459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6.2最终验收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6214"/>
      </w:tblGrid>
      <w:tr w14:paraId="683B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7509208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9" w:type="pct"/>
            <w:noWrap/>
            <w:vAlign w:val="center"/>
          </w:tcPr>
          <w:p w14:paraId="1CDE5BC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797" w:type="pct"/>
            <w:vAlign w:val="center"/>
          </w:tcPr>
          <w:p w14:paraId="3C263AA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64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noWrap/>
            <w:vAlign w:val="center"/>
          </w:tcPr>
          <w:p w14:paraId="221454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29" w:type="pct"/>
            <w:tcBorders>
              <w:left w:val="single" w:color="auto" w:sz="4" w:space="0"/>
            </w:tcBorders>
            <w:noWrap/>
            <w:vAlign w:val="center"/>
          </w:tcPr>
          <w:p w14:paraId="437B83B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797" w:type="pct"/>
            <w:tcBorders>
              <w:left w:val="single" w:color="auto" w:sz="4" w:space="0"/>
            </w:tcBorders>
            <w:vAlign w:val="center"/>
          </w:tcPr>
          <w:p w14:paraId="7052545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乙方保证其提供的技术手段安全成熟，硬件、软件均有安全保障。租赁硬件满足采购需求要求。</w:t>
            </w:r>
          </w:p>
        </w:tc>
      </w:tr>
      <w:tr w14:paraId="5C26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4B83BC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29" w:type="pct"/>
            <w:tcBorders>
              <w:left w:val="single" w:color="auto" w:sz="4" w:space="0"/>
            </w:tcBorders>
            <w:noWrap/>
            <w:vAlign w:val="center"/>
          </w:tcPr>
          <w:p w14:paraId="3F3B322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797" w:type="pct"/>
            <w:tcBorders>
              <w:left w:val="single" w:color="auto" w:sz="4" w:space="0"/>
            </w:tcBorders>
            <w:vAlign w:val="center"/>
          </w:tcPr>
          <w:p w14:paraId="59DF8A9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456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7D0751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29" w:type="pct"/>
            <w:vMerge w:val="restart"/>
            <w:tcBorders>
              <w:left w:val="single" w:color="auto" w:sz="4" w:space="0"/>
            </w:tcBorders>
            <w:noWrap/>
            <w:vAlign w:val="center"/>
          </w:tcPr>
          <w:p w14:paraId="02185BF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797" w:type="pct"/>
            <w:tcBorders>
              <w:left w:val="single" w:color="auto" w:sz="4" w:space="0"/>
            </w:tcBorders>
            <w:vAlign w:val="center"/>
          </w:tcPr>
          <w:p w14:paraId="2A22B36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2296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75" w:type="pct"/>
            <w:vMerge w:val="continue"/>
            <w:noWrap/>
            <w:vAlign w:val="center"/>
          </w:tcPr>
          <w:p w14:paraId="05304C7F">
            <w:pPr>
              <w:shd w:val="clear"/>
              <w:rPr>
                <w:rFonts w:hint="eastAsia" w:ascii="宋体" w:hAnsi="宋体" w:eastAsia="宋体" w:cs="宋体"/>
                <w:color w:val="auto"/>
                <w:highlight w:val="none"/>
              </w:rPr>
            </w:pPr>
          </w:p>
        </w:tc>
        <w:tc>
          <w:tcPr>
            <w:tcW w:w="829" w:type="pct"/>
            <w:vMerge w:val="continue"/>
            <w:tcBorders>
              <w:left w:val="single" w:color="auto" w:sz="4" w:space="0"/>
            </w:tcBorders>
            <w:noWrap/>
            <w:vAlign w:val="center"/>
          </w:tcPr>
          <w:p w14:paraId="50D32453">
            <w:pPr>
              <w:shd w:val="clear"/>
              <w:rPr>
                <w:rFonts w:hint="eastAsia" w:ascii="宋体" w:hAnsi="宋体" w:eastAsia="宋体" w:cs="宋体"/>
                <w:color w:val="auto"/>
                <w:highlight w:val="none"/>
              </w:rPr>
            </w:pPr>
          </w:p>
        </w:tc>
        <w:tc>
          <w:tcPr>
            <w:tcW w:w="3797" w:type="pct"/>
            <w:tcBorders>
              <w:left w:val="single" w:color="auto" w:sz="4" w:space="0"/>
            </w:tcBorders>
            <w:vAlign w:val="center"/>
          </w:tcPr>
          <w:p w14:paraId="56A0935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07BB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0820F56C">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76" w:type="dxa"/>
            <w:tcBorders>
              <w:left w:val="single" w:color="auto" w:sz="4" w:space="0"/>
            </w:tcBorders>
            <w:noWrap/>
            <w:vAlign w:val="center"/>
          </w:tcPr>
          <w:p w14:paraId="77A6F868">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6214" w:type="dxa"/>
            <w:tcBorders>
              <w:left w:val="single" w:color="auto" w:sz="4" w:space="0"/>
            </w:tcBorders>
            <w:vAlign w:val="center"/>
          </w:tcPr>
          <w:p w14:paraId="0E5BF857">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w:t>
            </w:r>
            <w:r>
              <w:rPr>
                <w:rFonts w:hint="eastAsia" w:ascii="宋体" w:hAnsi="宋体" w:cs="宋体"/>
                <w:color w:val="auto"/>
                <w:sz w:val="24"/>
                <w:highlight w:val="none"/>
                <w:lang w:val="en-US" w:eastAsia="zh-CN" w:bidi="ar-SA"/>
              </w:rPr>
              <w:t>乙方</w:t>
            </w:r>
            <w:r>
              <w:rPr>
                <w:rFonts w:hint="eastAsia" w:ascii="宋体" w:hAnsi="宋体" w:eastAsia="宋体" w:cs="宋体"/>
                <w:color w:val="auto"/>
                <w:sz w:val="24"/>
                <w:highlight w:val="none"/>
                <w:lang w:bidi="ar-SA"/>
              </w:rPr>
              <w:t>原因未符合要求的，需负责整改到位。</w:t>
            </w:r>
          </w:p>
        </w:tc>
      </w:tr>
      <w:tr w14:paraId="5FD9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4C45A88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829" w:type="pct"/>
            <w:vMerge w:val="restart"/>
            <w:tcBorders>
              <w:left w:val="single" w:color="auto" w:sz="4" w:space="0"/>
            </w:tcBorders>
            <w:noWrap/>
            <w:vAlign w:val="center"/>
          </w:tcPr>
          <w:p w14:paraId="4AA86A3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797" w:type="pct"/>
            <w:tcBorders>
              <w:left w:val="single" w:color="auto" w:sz="4" w:space="0"/>
            </w:tcBorders>
            <w:vAlign w:val="center"/>
          </w:tcPr>
          <w:p w14:paraId="555C5D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18E9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5" w:type="pct"/>
            <w:vMerge w:val="continue"/>
            <w:noWrap/>
            <w:vAlign w:val="center"/>
          </w:tcPr>
          <w:p w14:paraId="764DCB45">
            <w:pPr>
              <w:shd w:val="clear"/>
              <w:rPr>
                <w:rFonts w:hint="eastAsia" w:ascii="宋体" w:hAnsi="宋体" w:eastAsia="宋体" w:cs="宋体"/>
                <w:color w:val="auto"/>
                <w:highlight w:val="none"/>
              </w:rPr>
            </w:pPr>
          </w:p>
        </w:tc>
        <w:tc>
          <w:tcPr>
            <w:tcW w:w="829" w:type="pct"/>
            <w:vMerge w:val="continue"/>
            <w:tcBorders>
              <w:left w:val="single" w:color="auto" w:sz="4" w:space="0"/>
            </w:tcBorders>
            <w:noWrap/>
            <w:vAlign w:val="center"/>
          </w:tcPr>
          <w:p w14:paraId="62568952">
            <w:pPr>
              <w:shd w:val="clear"/>
              <w:rPr>
                <w:rFonts w:hint="eastAsia" w:ascii="宋体" w:hAnsi="宋体" w:eastAsia="宋体" w:cs="宋体"/>
                <w:color w:val="auto"/>
                <w:highlight w:val="none"/>
              </w:rPr>
            </w:pPr>
          </w:p>
        </w:tc>
        <w:tc>
          <w:tcPr>
            <w:tcW w:w="3797" w:type="pct"/>
            <w:tcBorders>
              <w:left w:val="single" w:color="auto" w:sz="4" w:space="0"/>
            </w:tcBorders>
            <w:vAlign w:val="center"/>
          </w:tcPr>
          <w:p w14:paraId="00716B58">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在服务期间，乙方的项目组人员对系统运行情况每天进行巡检，并建立巡检台账。</w:t>
            </w:r>
          </w:p>
        </w:tc>
      </w:tr>
      <w:tr w14:paraId="4893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2DA559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829" w:type="pct"/>
            <w:tcBorders>
              <w:left w:val="single" w:color="auto" w:sz="4" w:space="0"/>
            </w:tcBorders>
            <w:noWrap/>
            <w:vAlign w:val="center"/>
          </w:tcPr>
          <w:p w14:paraId="203A36E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797" w:type="pct"/>
            <w:tcBorders>
              <w:left w:val="single" w:color="auto" w:sz="4" w:space="0"/>
            </w:tcBorders>
            <w:vAlign w:val="center"/>
          </w:tcPr>
          <w:p w14:paraId="3D62BB6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30BE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5F44B7F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829" w:type="pct"/>
            <w:tcBorders>
              <w:left w:val="single" w:color="auto" w:sz="4" w:space="0"/>
            </w:tcBorders>
            <w:noWrap/>
            <w:vAlign w:val="center"/>
          </w:tcPr>
          <w:p w14:paraId="5AADCF2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797" w:type="pct"/>
            <w:tcBorders>
              <w:left w:val="single" w:color="auto" w:sz="4" w:space="0"/>
            </w:tcBorders>
            <w:vAlign w:val="center"/>
          </w:tcPr>
          <w:p w14:paraId="28944BF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按合同要求对甲方系统操作人员、系统管理人员、系统运维人员进行培训，形成相应培训记录。</w:t>
            </w:r>
          </w:p>
        </w:tc>
      </w:tr>
      <w:tr w14:paraId="60DC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46D61EA5">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829" w:type="pct"/>
            <w:tcBorders>
              <w:left w:val="single" w:color="auto" w:sz="4" w:space="0"/>
            </w:tcBorders>
            <w:noWrap/>
            <w:vAlign w:val="center"/>
          </w:tcPr>
          <w:p w14:paraId="4046F6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797" w:type="pct"/>
            <w:tcBorders>
              <w:left w:val="single" w:color="auto" w:sz="4" w:space="0"/>
            </w:tcBorders>
            <w:vAlign w:val="center"/>
          </w:tcPr>
          <w:p w14:paraId="4FC89AD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6FDD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2A3E2806">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829" w:type="pct"/>
            <w:tcBorders>
              <w:left w:val="single" w:color="auto" w:sz="4" w:space="0"/>
            </w:tcBorders>
            <w:vAlign w:val="center"/>
          </w:tcPr>
          <w:p w14:paraId="7C11936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797" w:type="pct"/>
            <w:tcBorders>
              <w:left w:val="single" w:color="auto" w:sz="4" w:space="0"/>
            </w:tcBorders>
            <w:vAlign w:val="center"/>
          </w:tcPr>
          <w:p w14:paraId="0B7DC61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36F4DC5F">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验收资料和文件是项目验收的重要依据，乙方从项目实施开始就应完整地积累和保管，验收时在职能部门的指导、配合下按照甲方有关要求编目建档。</w:t>
      </w:r>
    </w:p>
    <w:p w14:paraId="148A08A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最终验收资料清单：</w:t>
      </w:r>
    </w:p>
    <w:p w14:paraId="2BDABEBF">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w:t>
      </w:r>
    </w:p>
    <w:p w14:paraId="49C24E09">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630F17F2">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w:t>
      </w:r>
    </w:p>
    <w:p w14:paraId="00866C63">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7D9D0EDE">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驻点人员每日钉钉考勤签到表：需甲方经办人、复核人、</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签字并盖章；</w:t>
      </w:r>
    </w:p>
    <w:p w14:paraId="4853F269">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租赁设备清单、产品合格证、质保承诺书；</w:t>
      </w:r>
    </w:p>
    <w:p w14:paraId="18D8DD22">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服务方案；</w:t>
      </w:r>
    </w:p>
    <w:p w14:paraId="37D825CF">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专网云平台监测报告、巡检报告；</w:t>
      </w:r>
    </w:p>
    <w:p w14:paraId="2DD0F04B">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每月考核材料；</w:t>
      </w:r>
    </w:p>
    <w:p w14:paraId="3704FD7B">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数据接入清单；</w:t>
      </w:r>
    </w:p>
    <w:p w14:paraId="500D68FF">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验收报审表、信息化项目变更审批表（如有）；</w:t>
      </w:r>
    </w:p>
    <w:p w14:paraId="609934B5">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系统渗透测试报告；</w:t>
      </w:r>
    </w:p>
    <w:p w14:paraId="5210A9C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应急响应报告；</w:t>
      </w:r>
    </w:p>
    <w:p w14:paraId="5F36EF8C">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网络安全事件应急预案；</w:t>
      </w:r>
    </w:p>
    <w:p w14:paraId="6C93577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网络安全事件应急演练报告；</w:t>
      </w:r>
    </w:p>
    <w:p w14:paraId="306D210C">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重保期间安全日报；</w:t>
      </w:r>
    </w:p>
    <w:p w14:paraId="6DEF6B7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网络安全保障方案、网络安全风险书面报告（如有）、网络安全重大事项书面报告（如有）、网络安全报告；</w:t>
      </w:r>
    </w:p>
    <w:p w14:paraId="7FDED238">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第三方检测报告；</w:t>
      </w:r>
    </w:p>
    <w:p w14:paraId="5A517AC9">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5439C3A1">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信创测评报告；</w:t>
      </w:r>
    </w:p>
    <w:p w14:paraId="3E9207C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软件测试方案/计划、测试报告/用例、系统配置手册、操作手册/维护手册；</w:t>
      </w:r>
    </w:p>
    <w:p w14:paraId="5913B57D">
      <w:pPr>
        <w:numPr>
          <w:ilvl w:val="0"/>
          <w:numId w:val="4"/>
        </w:numPr>
        <w:shd w:val="clear"/>
        <w:tabs>
          <w:tab w:val="left" w:pos="904"/>
        </w:tabs>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其他相关材料：培训材料、单位保密协议、个人保密承诺、日常保密教育台账、分包协议（如有）、第一期验收资料等。</w:t>
      </w:r>
    </w:p>
    <w:p w14:paraId="4823C7C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p>
    <w:p w14:paraId="436FC445">
      <w:pPr>
        <w:shd w:val="clear"/>
        <w:adjustRightInd w:val="0"/>
        <w:snapToGrid w:val="0"/>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2.19 本合同正本壹式陆份，具有同等法律效力，甲乙双方各执叁份。</w:t>
      </w:r>
    </w:p>
    <w:p w14:paraId="71B0A3CE">
      <w:pPr>
        <w:widowControl/>
        <w:shd w:val="clear"/>
        <w:adjustRightInd/>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1758C8FF">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3.1服务要求</w:t>
      </w:r>
    </w:p>
    <w:p w14:paraId="50A42ED2">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一）项目服务内容</w:t>
      </w:r>
    </w:p>
    <w:p w14:paraId="3D24D5AB">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（一）交通管理数据全生命周期运营服务</w:t>
      </w:r>
    </w:p>
    <w:p w14:paraId="5BEDE1A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服务期内完成交通管理数据全生命周期运营服务，包括专网云平台系统运行及数据治理、公安网数据治理等内容。</w:t>
      </w:r>
    </w:p>
    <w:p w14:paraId="0D99F37A">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1、专网云平台系统运行及数据治理</w:t>
      </w:r>
    </w:p>
    <w:p w14:paraId="58457B9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（1）数据接入</w:t>
      </w:r>
    </w:p>
    <w:p w14:paraId="4EE09DD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将各类信息化系统的结构化、半结构化、非结构化多种类型数据统一接入和预处理，预计接入30多张相关数据库表，每日接入数据量在5亿条左右，每日约70GB。具体如下：</w:t>
      </w:r>
    </w:p>
    <w:p w14:paraId="1A1D4A9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1）接入杭州市机动车卡口过车数据；</w:t>
      </w:r>
    </w:p>
    <w:p w14:paraId="7B3AE7D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2）接入互联网实时交通数据，包含交通事件、网约车司机；</w:t>
      </w:r>
    </w:p>
    <w:p w14:paraId="6BAA50D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3）数据接入清单提供，根据要完成表单的接入工作，每月底提供机动车卡口数据接入清单、互联网实时交通数据接入清单和其它数据接入清单；</w:t>
      </w:r>
    </w:p>
    <w:p w14:paraId="70F82C8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4）接入聚力etc数据、可变车道数据；</w:t>
      </w:r>
    </w:p>
    <w:p w14:paraId="3759DDE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5）接入高德速度数据、延误指数数据、高德异常速度预警数据、临时停车预警数据；</w:t>
      </w:r>
    </w:p>
    <w:p w14:paraId="5258391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（2）数据治理</w:t>
      </w:r>
    </w:p>
    <w:p w14:paraId="66C0504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探查服务：对杭州市机动车卡口过车、交通工程、互联网实时交通源等30张库表数据进行打标。通过对来源数据存储位置、提供方式、总量和更新情况、业务含义、字段格式和取值分布、数据结构、数据质量等属性进行多维度探查，完成数据识别工作，为数据定义提供依据。</w:t>
      </w:r>
    </w:p>
    <w:p w14:paraId="4A1E76A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读取服务：在完成数据探查工作后，将杭州市机动车卡口过车、交通工程、互联网实时交通等30张库表数据与数据定义进行对比核验，确保数据质量和准确性。同时，对各种异构数据进行解密、解压、适配等多个环节操作，并对数据进行字符集转换、半结构化数据转换等其他转换，使数据符合数据处理要求的格式，供下一步处理。</w:t>
      </w:r>
    </w:p>
    <w:p w14:paraId="7491194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清洗服务：按照数据清洗标准进行杭州市机动车卡口过车、交通工程、互联网实时交通等30张库表数据过滤、去重、格转、校验等数据清洗操作，从而实现数据标准化，包括数据对标、数据去重、数据转换以及数据完整性校验、规范性校验、一致性校验等。</w:t>
      </w:r>
    </w:p>
    <w:p w14:paraId="01A9067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共享服务：以专网云平台数据资源池为数据底座，通过数据共享打通公安部、交管局和交警支队各业务系统数据壁垒，加速数据资源由业务需求驱动和聚集，在业务协同上起到数据融合和共用的作用。为交通局日常业务、市局浙警智治驾驶舱、路网运行等场景提供杭州市机动车卡口过车、交通工程、互联网实时交通数据支撑。</w:t>
      </w:r>
    </w:p>
    <w:p w14:paraId="14B3FE6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5）数据传输服务：在数据共享和分发过程中，将涉及到一条或多条链路，数据传输将维护数据传输链路安全畅通，保障数据在传输过程中不错、不重、不丢。</w:t>
      </w:r>
    </w:p>
    <w:p w14:paraId="76E7331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模型标准化：使用标准化标签设计模型，包括杭州市机动车卡口过车、交通工程、互联网实时交通等众多的数据统计模型、分析模型、监控模型均具备管理和维护标识，便于模型运行维护过程中的统一化和规范化。</w:t>
      </w:r>
    </w:p>
    <w:p w14:paraId="0853FC8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7）任务管理：对数据接入过程进行可视化管理，浏览数据接入任务，修改接入任务配置、实时调配任务的资源，设定任务通知等相关内容，保障接入任务顺畅进行。</w:t>
      </w:r>
    </w:p>
    <w:p w14:paraId="306F2A8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断点传续保障：通过断点记录、断点标识、断点恢复，保障数据在下载或上传时,将下载或上传任务进行切分,每一个部分采用一个线程进行上传或下载,如果碰到网络故障,保障从已经上传或下载的部分开始继续上传下载未完成的部分，确保数据不重复、不缺失，从而提升数据传输效率、提高数据传输稳定性、减少网络带宽占用。</w:t>
      </w:r>
    </w:p>
    <w:p w14:paraId="117A570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（3）数据透出</w:t>
      </w:r>
    </w:p>
    <w:p w14:paraId="54C1E4B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透出开发：按照业务场景的数据需求，提供对应的数据开发，实现数据的共享。完成接口透出的开发，包括路网运行数据、勤务管理数据、视频巡查数据、交通绿波数据、延误指数、交通量数据、非杭牌照急事通数据、交通态势数据、货运导航非现场违法数据、交通事件数据这些类型数据透出开发。</w:t>
      </w:r>
    </w:p>
    <w:p w14:paraId="63D930F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（4）数据统计</w:t>
      </w:r>
    </w:p>
    <w:p w14:paraId="5543C6C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统计类数据开发：满足支队日常统计类业务保障，包括拥堵统计、事故统计、警情统计，并实现数字、excel、word等多样式统计结果呈现。</w:t>
      </w:r>
    </w:p>
    <w:p w14:paraId="3CB7E4C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（5）数据迁移</w:t>
      </w:r>
    </w:p>
    <w:p w14:paraId="4C22F16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在专网云平台信创改造后，进行数据迁移、数据治理、模型迁移等相关工作。</w:t>
      </w:r>
    </w:p>
    <w:p w14:paraId="4FD937B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（6）专网云平台运行保障</w:t>
      </w:r>
    </w:p>
    <w:p w14:paraId="642693E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城市大脑云平台运维服务支撑、平台软件服务支撑、平台云资源管理、云平台升级、云平台的日常监测等日常运维服务，保障平日系统云资源的规划、开通、监测和运营保障。为提高响应效率，通过钉钉针对各应用资源高水位情况触发告警通知，保障视频专网各系统的稳定性。</w:t>
      </w:r>
    </w:p>
    <w:p w14:paraId="19F7C59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2）提供应急响应、应急保障、每日巡检等服务，有效保障云平台的稳定、安全运行。</w:t>
      </w:r>
    </w:p>
    <w:p w14:paraId="116FB1E6">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2、公安网数据治理</w:t>
      </w:r>
    </w:p>
    <w:p w14:paraId="2498B2A3">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（1）数据接入</w:t>
      </w:r>
    </w:p>
    <w:p w14:paraId="4306E06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实现多源数据接入，接入的数据源如下：</w:t>
      </w:r>
    </w:p>
    <w:p w14:paraId="3E8E185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1）网约车车辆数据、司机数据、事件数据接入</w:t>
      </w:r>
    </w:p>
    <w:p w14:paraId="50D8B28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2）重点车GPS数据接入</w:t>
      </w:r>
    </w:p>
    <w:p w14:paraId="2CB85CE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3）浙里快处数据22张表接入</w:t>
      </w:r>
    </w:p>
    <w:p w14:paraId="7B66580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4）云申领数据接入</w:t>
      </w:r>
    </w:p>
    <w:p w14:paraId="0411EC1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5）清障车数据云上重新接入</w:t>
      </w:r>
    </w:p>
    <w:p w14:paraId="2136FE0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6）六合一违法事故及车辆数据接入</w:t>
      </w:r>
    </w:p>
    <w:p w14:paraId="054DC0B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7）智安通宣教及纳管数据接入</w:t>
      </w:r>
    </w:p>
    <w:p w14:paraId="5650D6AA">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（2）数据上云</w:t>
      </w:r>
    </w:p>
    <w:p w14:paraId="786D691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多源数据上云：将各类信息化系统的结构化、半结构化、非结构化多种类型数据统一接入和预处理，预计接入60多张相关数据库表。包括网约车车辆数据、司机数据、事件数据，浙里快处数据，云申领数据，电动车智控数据上云。</w:t>
      </w:r>
    </w:p>
    <w:p w14:paraId="64D7B9B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2）数据源管理：对数据接入的源端和目的端进行基本信息维护，提供对接入组件内数据源统一操作管理的能力，支持根据数据源名称搜索数据源，支持各种异构数据源的新增、编辑、删除操作。</w:t>
      </w:r>
    </w:p>
    <w:p w14:paraId="73492D2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探查：包括专网经过初步治理后的数据探查和大数据平台中和交警业务强相关的部分数据探查，包括数据接入方式探查、业务探查、字段探查、数据项集探查、问题数据探查等，可用于对来源数据存储位置、提供方式、总量和更新情况、取值分布、数据质量等进行多维度探查，以达到认识数据的目的，共计需完成200张表的数据探查工作。</w:t>
      </w:r>
    </w:p>
    <w:p w14:paraId="608476C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4）数据定义：包括数据分级分类定义、数据提取策略定义等步骤。按照部标GA/DSJ 230-2019和GA/DSJ 231-2019规范，定义数据项的字段性质分类和字段敏感度分类；对结构化/半结构化数据提取策略进行定义，实现来源数据资源/数据项到目的数据资源/数据项的提取映射关系，为数据治理提供依据。</w:t>
      </w:r>
    </w:p>
    <w:p w14:paraId="1F93F0B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读取：建立跨网络、跨平台的数据安全接入通道，为交警内部及存在信息共享的部门间数据抽取汇聚提供通道，支持多源异构数据的源系统读取数据，包括文件读取、数据库读取等，共计需完成200张表的数据读取工作。</w:t>
      </w:r>
    </w:p>
    <w:p w14:paraId="520784B6">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（3）数据治理</w:t>
      </w:r>
    </w:p>
    <w:p w14:paraId="78721AF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1）数据清洗：按照数据清洗标准进行数据过滤、去重、格转、校验等数据清洗操作，从而实现数据标准化，包括数据对标、数据去重、数据格转、数据校验等，完成200张表的数据清洗工作。</w:t>
      </w:r>
    </w:p>
    <w:p w14:paraId="7D89729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2）数据关联：根据数据定义中的关联规则或算法，将数据和其它知识数据、业务数据等进行关联，并输出关联信息，包括关联回填、关联提取。完成200张表的数据关联工作。</w:t>
      </w:r>
    </w:p>
    <w:p w14:paraId="42A328F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提取：按照数据标准进行字段映射提取和处理函数配置，实现对源数据中各类数据的关键信息提取，包括确定数据源、确定提取字段、编写提取脚本、执行提取脚本、数据清洗和整理、数据存储，共计需完成200张表的数据提取工作。</w:t>
      </w:r>
    </w:p>
    <w:p w14:paraId="72D3EA7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4）数据分发：通过数据分发，实现对提取、清洗、关联、比对和标识后的数据进行分发处理（如：将结果数据对应分发到原始库、资源库等），预计完成约200张表的数据分发工作。</w:t>
      </w:r>
    </w:p>
    <w:p w14:paraId="4CCE330A">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（4）数据开发</w:t>
      </w:r>
    </w:p>
    <w:p w14:paraId="452BCC7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1）数据指标服务：包括指标计算、指标推送、指标采集；</w:t>
      </w:r>
    </w:p>
    <w:p w14:paraId="5F73DED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2）指标计算：基于甲方需求完成指标内容的开发，整体流程包括：指标数据对接、指标详细设计、指标代码实现等，共计需完成60类的指标计算工作。</w:t>
      </w:r>
    </w:p>
    <w:p w14:paraId="758A0DD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3）指标推送：基于指标注册的更新频率要求将指标结果推送到指标中心，以可视化配置的形式对指标推送任务进行管理，同时支持以查看日志的形式对历史推送情况进行验证，共计需完成60类的指标推送工作。</w:t>
      </w:r>
    </w:p>
    <w:p w14:paraId="2330CAB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指标采集：指标推送是从指标中心推送指标结果，而指标采集是从指标中心将指标结果进行采集，采集的范围可以根据交警的实际使用需求进行申请；将指标结果从指标中心进行采集之后可以用于交警相关业务系统的应用，共计需完成30类的指标采集工作。</w:t>
      </w:r>
    </w:p>
    <w:p w14:paraId="1B044E8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融合服务：支撑甲方特殊的数据使用需求，包括：数据关联、数据融合等，生成特定的结果表数据可以用于后续数据建模、数据查询、数据透出等数据使用需求，方便业务使用的同时也可以在数据安全层面进行把控，共计需完成30项的数据融合工作。</w:t>
      </w:r>
    </w:p>
    <w:p w14:paraId="231D6E3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6）计算分析服务：基于特定需求完成计算逻辑设计，针对云上已交付的数据治理成果开展统计分析并产出计算结果，满足甲方数据分析需求，完成30项的计算分析工作</w:t>
      </w:r>
    </w:p>
    <w:p w14:paraId="6328455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7）新增多类数据开发：包括政务网IRS资源编目&amp;数据开发、PDT警力数据开发、警力排班数据开发、开发智安通依赖相关数据、网约车三宣数据新增企业宣教数据开发。</w:t>
      </w:r>
    </w:p>
    <w:p w14:paraId="0DFB19F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进行现有120类数据魔方业务模型的梳理工作；在数据域进行120类数据魔方模型的重新设计、重新构建等工作（由于视频专网上的数据魔方模型不能直接迁移到数据域，故需要在数据域中将视频专网的里面的魔方重新在进行搭建并维护；因视频专网和数据中的数据存在一定的差距，且为了提升模型的多用途、计算等能力，故进行重构），涉及到的模型包括每日交通量、道路速度统计查询、高峰延误指数、道路早晚高峰速度模型；实现重构120类数据魔方模型的测试、运行、优化等工作</w:t>
      </w:r>
    </w:p>
    <w:p w14:paraId="6E57702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9）新增数据魔方开发，包括数据注册至数据资源平台并且注册到数据魔方30个和数据魔方算子更新升级30个</w:t>
      </w:r>
    </w:p>
    <w:p w14:paraId="51B4A50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10）根据业务发展以及云上数据治理需要，新增60个以上业务类、服务类等相关模型的设计、开发、测试、运营、优化等工作。涵盖业务类模型、服务类模型</w:t>
      </w:r>
    </w:p>
    <w:p w14:paraId="45D0688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11）新增接口开发，包括PDT警力数据推送接口开发、警力排班数据推送省局接口开发、老年人宣教数据推送省局接口开发、推送市局指标中心数据接口开发</w:t>
      </w:r>
    </w:p>
    <w:p w14:paraId="71E85F40">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（5）数据能力支撑</w:t>
      </w:r>
    </w:p>
    <w:p w14:paraId="46F8FF7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1）数据资源管理：包括资源市场、资源档案、资源审批；</w:t>
      </w:r>
    </w:p>
    <w:p w14:paraId="33DFE79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2）资源市场：按照统一的标准规范对数据资源进行管理，实现数据资源科学、有序、安全使用。</w:t>
      </w:r>
    </w:p>
    <w:p w14:paraId="73BABE5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3）资源档案：对数据资源进行档案式管理，使的用户更方便地了解和使用数据资源，简化用户认知数据表的难度，提高数据易用性。</w:t>
      </w:r>
    </w:p>
    <w:p w14:paraId="3805A44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4）资源审批：提供资源审批功能供民警进行合理性验证，同时，以线上资源审批工单的形式进行管理，方便后续进行溯源管理。</w:t>
      </w:r>
    </w:p>
    <w:p w14:paraId="3C7DF88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共计需完成200张表的资源的注册与管理工作。</w:t>
      </w:r>
    </w:p>
    <w:p w14:paraId="51B68DB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5）服务资源管理：包括服务市场、服务安全。</w:t>
      </w:r>
    </w:p>
    <w:p w14:paraId="6778E90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6）服务市场：以界面化的形式进行表转服务的注册，已发布的数据服务将展示在服务市场中供业务方申请使用。</w:t>
      </w:r>
    </w:p>
    <w:p w14:paraId="48D8236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7）服务安全：以数据应用的身份对服务接口进行白名单权限认证，支持对服务接口进行调用限额，避免单应用的异常调用影响整体系统。</w:t>
      </w:r>
    </w:p>
    <w:p w14:paraId="4747EA5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共计需完成30个服务的注册与管理工作。</w:t>
      </w:r>
    </w:p>
    <w:p w14:paraId="5560CB5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8）数据推送服务：数据推送服务主要用于支撑交警内部系统在云上的数据使用需求，包括离线数据推送、实时数据推送；</w:t>
      </w:r>
    </w:p>
    <w:p w14:paraId="4790154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9）离线数据推送：离线数据推送指的是将上云或治理完成的结果表推送到应用方特定的关系型数据库，共计需完成50张表的离线数据推送。</w:t>
      </w:r>
    </w:p>
    <w:p w14:paraId="26B6A26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10）实时数据推送：实时数据指的是将实时数据推送到应用方的datahub，用于满足应用方的实时数据使用需求，预计完成30张表的实时数据推送。</w:t>
      </w:r>
    </w:p>
    <w:p w14:paraId="17330C0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11）数据透出：数据透出用于支撑交警对外的数据共享需求，主要针对历史共享数据清单的数据链路进行梳理与切换，共计需完成50张表的数据透出工作。</w:t>
      </w:r>
    </w:p>
    <w:p w14:paraId="77385F5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数据问题排查，包括多次排查数据魔方算子无数据产出并解决、多次排查各应用开发公司反馈云上数据缺失情况并解决、多次排查交通舱指标不一致情况并解决、排查网约车企业宣教情况、排查外卖骑手数据情况</w:t>
      </w:r>
    </w:p>
    <w:p w14:paraId="0CD1735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13）能力中心对接，包括指标中心对接、IT服务平台对接。</w:t>
      </w:r>
    </w:p>
    <w:p w14:paraId="430FD40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指标中心对接：包括指标推送与指标采集：指标推送是将交警的相关系统、模型的成果转化为指标服务，发布到指标中心；指标采集是将指标中心各个业务系统和大屏已经开发好的指标成果进行采集共享，避免重复开发。</w:t>
      </w:r>
    </w:p>
    <w:p w14:paraId="0F08D34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15）IT服务平台对接：对接IT服务平台注册的相关服务接口，通过服务接口可以查询其它部门共享的业务系统数据，满足交警特定的数据使用需求。</w:t>
      </w:r>
    </w:p>
    <w:p w14:paraId="66D3E50F">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（6）数据预警运营</w:t>
      </w:r>
    </w:p>
    <w:p w14:paraId="052F1F2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监测类数据工作：满足支队日常监测类业务保障，如在途量监测、拥堵指数监测、平均速度监测及某重点路段、重点路口拥堵监测等。同时，结合监测类数据接口开发，为交警支队大脑2.0各应用平台提供监测运营保障，每天巡检，每周出具运行监测报告一份。并构建运营服务规范体系，从而有效保障数据运营服务的高效、高质。</w:t>
      </w:r>
    </w:p>
    <w:p w14:paraId="3486CE4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上云任务监控运营：对接入组件的运行状况做一个整体的监控、包括任务监控、事件通知以及节点监控，通过监控中心发现任务或者执行节点的异常信息，及时预警通知运营人员，及时解决，共计需要完成300+个接入任务的运营管理。</w:t>
      </w:r>
    </w:p>
    <w:p w14:paraId="4A0DAD2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治理任务监控运营：对当前数据治理中的周期任务和周期实例进行展示，周期任务包含查看上下游节点、查看节点详情、查看代码、编辑节点、查看实例、补数据等功能，周期实例包含查看上下游节点、查看运行日志、查看代码、编辑节点、查看血缘、重跑等功能。方便运营人员快速定位并修复数据治理问题，保障数据稳定性。</w:t>
      </w:r>
    </w:p>
    <w:p w14:paraId="6905596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4）针对已经完成的200+数据模型和魔方算子进行维护、升级、运营等工作。</w:t>
      </w:r>
    </w:p>
    <w:p w14:paraId="6C94C49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5）指标中心指标保障：提供指标中心的多维保障工作，包括指标的上架、下架、修改、删除以及指标的查询</w:t>
      </w:r>
    </w:p>
    <w:p w14:paraId="511D3D98">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6）网约车数据保障：实现网约车数据的多维保障工作，包括数据的上传、修改、删除、接口开发维护等。</w:t>
      </w:r>
      <w:r>
        <w:rPr>
          <w:rFonts w:hint="eastAsia" w:ascii="宋体" w:hAnsi="宋体" w:eastAsia="宋体" w:cs="宋体"/>
          <w:color w:val="auto"/>
          <w:sz w:val="24"/>
          <w:highlight w:val="none"/>
        </w:rPr>
        <w:tab/>
      </w:r>
    </w:p>
    <w:p w14:paraId="3AD6175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（二）安全加固及应用迁移改造服务</w:t>
      </w:r>
    </w:p>
    <w:p w14:paraId="501E7859">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服务期内完成安全加固及应用迁移改造服务，包括网络安全服务、非现场执法平台迁移改造服务等内容。</w:t>
      </w:r>
    </w:p>
    <w:p w14:paraId="07B6389F">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1、网络安全服务</w:t>
      </w:r>
    </w:p>
    <w:p w14:paraId="23920A5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针对公安网、车管专网与视频专网的现状，公安网的网络安全性能尚能满足现有业务的安全保障工作。视频专网内仅建设有网络安全网关与大量的边界防护设备，网络内部安全隐患较大，着重针对视频专网进行安全保障服务。</w:t>
      </w:r>
    </w:p>
    <w:p w14:paraId="6AE8DD9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（1）漏洞扫描服务</w:t>
      </w:r>
    </w:p>
    <w:p w14:paraId="23DAFC7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安全漏洞检测是脆弱性识别的重要手段，能够帮助甲方发现设备和系统中存在的风险点，帮助甲方分析技术措施的有效执行，了解漏洞的危害，通过及时修补完善，避免对信息系统造成严重影响。</w:t>
      </w:r>
    </w:p>
    <w:p w14:paraId="142C606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甲方进行解决。</w:t>
      </w:r>
    </w:p>
    <w:p w14:paraId="5992155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（2）数据库审计服务</w:t>
      </w:r>
    </w:p>
    <w:p w14:paraId="60C27A6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以安全为核心的审计服务，以全面审计和精确审计为基础，通过全面管理手段贯穿安全事件处理生命周期，致力于全面降低安全风险。通过全面审计，深入了解安全事件的多层次方面，包括对潜在威胁的深入分析和对系统漏洞的详尽检查，确保系统在安全方面的高度韧性。强调精确审计，通过高度精细的审计过程，发现并识别任何异常活动，包括微小的安全漏洞和未经授权的访问，有效地防范潜在风险。全面管理贯穿整个安全事件处理生命周期，建立起强大而可持续的安全框架，包括对安全策略的不断优化和更新，以适应不断演变的威胁环境。通过构建的审计服务，实现了全面降低安全风险的目标，为甲方提供持久而可靠的安全保障。</w:t>
      </w:r>
    </w:p>
    <w:p w14:paraId="44CE7E8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（3）日志审计服务</w:t>
      </w:r>
    </w:p>
    <w:p w14:paraId="348E27D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网络设备、安全设备、主机和应用系统日志进行全面标准化处理，实现一个高效的安全监控体系。通过及时发现各类安全威胁和异常行为事件，以保障甲方业务的持续、安全运营。通过标准化处理各种日志信息，建立一个有机的关联体系，使得甲方能够从全局的视角深入了解系统运行状态，确保任何潜在威胁都不会对业务造成中断。</w:t>
      </w:r>
    </w:p>
    <w:p w14:paraId="03B4DA1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基于国际标准的关联分析引擎服务工具，提供全维度、跨设备、细粒度的关联分析，通过透过事件表象还原事件背后的信息，提供真正可信赖的事件追责依据，为业务运行的深度安全提供坚实支持。实现信息资产的统一管理和监控资产的运行状况，提供集中化的统一管理平台工具。完成所有的日志信息集中收集与处理。</w:t>
      </w:r>
    </w:p>
    <w:p w14:paraId="5B4A6D0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整体安全状况的全面审计，在第一时间发现潜在的问题并采取相应的措施。服务通过标准化处理日志信息，确保系统中的各类信息得到规范、统一的管理。通过关联分析引擎服务工具，深入挖掘事件背后的信息，为甲方提供更为全面的安全视角。</w:t>
      </w:r>
    </w:p>
    <w:p w14:paraId="2EA3A16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（4）安全运营服务</w:t>
      </w:r>
    </w:p>
    <w:p w14:paraId="05CB513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1名专业安全服务人员配合甲方开展安全运营管理工作，提供5*8小时服务，负责公安信息网、视频专网、电子政务外网等相关网络的安全运营管理工作。协助开展网络安全主管部门安全检查，协助开展等级保护定级、备案、建设整改、测评和监督检查等。</w:t>
      </w:r>
    </w:p>
    <w:p w14:paraId="64B3BE47">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技术防护策略持续改进主要针对日常安全监测和安全风险检查的结果进行综合分析研判，识别网络安全威胁和脆弱性，从整体网络安全技术防护策略的角度提出准确、有效的改进措施，协助开展策略配置调优，并定期开展策略配置备份、系统软件、特征库升级等操作。</w:t>
      </w:r>
    </w:p>
    <w:p w14:paraId="27AE99B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针对日常安全监测和安全风险检查的结果进行综合分析研判，识别网络安全威胁、脆弱性和不合规配置项，从整体网络安全技术防护策略的角度提出准确、有效的改进措施，协助开展策略配置调优，以持续提升安全运行和防护能力。</w:t>
      </w:r>
    </w:p>
    <w:p w14:paraId="4239CCC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（5）应急响应服务</w:t>
      </w:r>
    </w:p>
    <w:p w14:paraId="25D486B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应急响应服务通常包括采取远程、现场等紧急措施和行动，恢复业务到正常服务状态；调查安全事件发生的原因，避免同类安全事件再次发生；在需要司法机关介入时，提供法律认可的数字证据等。</w:t>
      </w:r>
    </w:p>
    <w:p w14:paraId="0C0B6D4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取远程、现场等方式应对甲方突发的安全事件和安全问题。专家通过事件分析、原因查找、事件处置、证据保留、及事件溯源等方式，快速解决甲方信息安全事件及问题，恢复业务及系统的安全运行，并确保所有事件应急处置过程得到有效控制和记录。</w:t>
      </w:r>
    </w:p>
    <w:p w14:paraId="5037F77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当需要应急响应协助交警针对应用系统发生安全事件，并产生重大影响时，提供应急资源支持和应急人员支持，评估影响范围、事件抑制、溯源分析和复盘安全事件，协助开展业务恢复工作，并针对安全事件提供有效的整改意见。每年提供不少于4次应急响应服务。</w:t>
      </w:r>
    </w:p>
    <w:p w14:paraId="005E313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（6）高级渗透测试服务</w:t>
      </w:r>
    </w:p>
    <w:p w14:paraId="6BB7BB7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渗透测试服务是利用目标应用系统的安全弱点，模拟黑客可能使用的攻击方法和漏洞发现技术，以人工渗透为主，漏洞扫描工具为辅，在保证整个渗透测试过程都在可以控制和调整的范围之内，尽可能的获取目标信息系统的管理权限以及敏感信息的过程。</w:t>
      </w:r>
    </w:p>
    <w:p w14:paraId="305903D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真实模拟黑客使用的工具和分析方法对交警指定的信息系统进行模拟攻击，结合智能工具扫描结果，进行深入的手工测试和分析，旨在识别工具弱点扫描无法发现的问题。这一过程包括先进的渗透测试工具的运用，模拟各类攻击场景，全面评估系统对于潜在威胁的抵抗能力。手工测试和分析与智能工具扫描相结合，通过深入的测试，发现那些仅依靠工具难以察觉的问题，提高对系统安全性的全面把控。服务注重发现系统中存在的潜在问题，如未经授权的访问、敏感数据的泄漏等，并为每个问题提供详尽的反馈和加固建议，确保信息系统能够在未来面对各类安全挑战时更为坚固和可靠。通过全面的、深度的渗透测试将为甲方信息系统提供实用而有效的安全加固方向，确保其在不断演进的网络威胁环境中保持最佳的安全状态。</w:t>
      </w:r>
    </w:p>
    <w:p w14:paraId="327DD29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（7）应急预案服务</w:t>
      </w:r>
    </w:p>
    <w:p w14:paraId="4F5E95F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保障应急响应的服务质量，提供修订、完善应急预案服务。协助建立健全应急响应组织以及预防、预警机制，针对信息系统特点和可能的突发性安全事件拟制规范的应急处理流程，落实物质条件、人力和技术支撑等保障措施，制定出规范、全面、体系化的应急预案。</w:t>
      </w:r>
    </w:p>
    <w:p w14:paraId="0C88161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应急预案的制定和完善将规范应急处理行为，避免应急处理过程中出现混乱、无序状况，减少处理过程中错误的发生，从而避免不必要的损失。</w:t>
      </w:r>
    </w:p>
    <w:p w14:paraId="278083D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（8）应急演练服务</w:t>
      </w:r>
    </w:p>
    <w:p w14:paraId="6B85007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演练服务根据国家、行业等相关规章和标准，结合近年发生的安全事件和面临的安全风险，对甲方的网络安全应急预案进行全面评估与修订。基于符合甲方自身组织架构的网络安全应急预案服务，明确各个部门的责任，准备措施以及应对突发事件的配合机制，提供特定场景的安全演练。</w:t>
      </w:r>
    </w:p>
    <w:p w14:paraId="2895727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甲方需求提供特定场景的演练，可选形式：桌面演练、现场演练。桌面推演服务包括：演练场景分析、演练剧本编写、现场调研、人员组织等。现场演练服务内容包括：现状调研、演练方案编制、演练流程编制、现场演练组织、演练总结等。通过应急演练有效检验并完善应急预案、应急流程，提升甲方人员整体应急能力。</w:t>
      </w:r>
    </w:p>
    <w:p w14:paraId="533A331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（9）重要时期保障服务</w:t>
      </w:r>
    </w:p>
    <w:p w14:paraId="76B0618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在重要时期，网络安全保障服务在重大活动的前、中、后阶段发挥着至关重要的作用。服务涵盖活动前的安全自查和运维，活动中的日志分析、安全值守、应急响应等，以及活动后的复盘总结。通过真实模拟黑客攻击手段，结合智能工具扫描和深入的手工测试与分析，专业团队识别工具弱点扫描难以发现的问题。这一全方位的服务体系致力于全面提升活动相关网络的安全性，增强网络的防御能力，以为甲方提供安全、快速、有效的安全服务。早期的安全自查和运维消除潜在隐患，实时的分析和值守保障网络安全，而活动后的复盘总结提供宝贵经验教训，不断优化服务流程。这一综合性的服务策略为重要时期的活动提供了强有力的网络支持，确保其在安全、稳定的网络环境中顺利展开，最大程度地降低潜在风险。</w:t>
      </w:r>
    </w:p>
    <w:p w14:paraId="47394F4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（10）跨网数据安全交换服务 </w:t>
      </w:r>
    </w:p>
    <w:p w14:paraId="63B4A1D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跨网数据安全交换服务，实现数据在视频专网与公安网之间的跨网数据安全交换，在交换过程中提供实时审计与监控能力，确保数据交换过程的安全合规。灵活的安全交换策略管理能力可以根据业务需求调整交换规则，满足公安网业务系统的各类交换需求。跨网数据安全交换服务集成了多种安全技术能力，诸如:身份认证、数字水印、敏感数据过滤、内容过滤、流量控制、格式检查、签名验签等能力，保护数据在跨网交换过程中的安全，通过实现路由访问控制ACL，将来自不同接入对象或不同外部链路的数据流按照接入平台的安全策略加以区分，从而实现安全、可靠、稳定的数据交换。</w:t>
      </w:r>
    </w:p>
    <w:p w14:paraId="504D0F0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（11）违规外联监测服务</w:t>
      </w:r>
    </w:p>
    <w:p w14:paraId="231A671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引入先进的监测技术和安全审计工具，实时监测网络流量、检测异常访问和识别不寻常的数据传输模式，以主动发现违规外联行为，提高对潜在威胁的感知。建立快速响应机制，一旦检测到异常行为，立即向甲方报告，以便迅速采取应对措施，增强甲方对整个网络系统的掌控。完成监测系统的定期检查和更新，修复系统漏洞，升级防护机制，保持系统的健康状态。采用智能化的边界安全防护系统，通过深度学习和行为分析，系统能够学习并识别正常的网络活动模式，实现对异常行为的自动识别和响应。</w:t>
      </w:r>
    </w:p>
    <w:p w14:paraId="1EE2EF8E">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2、非现场执法平台迁移改造服务</w:t>
      </w:r>
    </w:p>
    <w:p w14:paraId="7A8108A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（1）软硬件部分</w:t>
      </w:r>
    </w:p>
    <w:p w14:paraId="54D24ED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提供</w:t>
      </w:r>
      <w:r>
        <w:rPr>
          <w:rFonts w:hint="eastAsia" w:ascii="宋体" w:hAnsi="宋体" w:eastAsia="宋体" w:cs="宋体"/>
          <w:color w:val="auto"/>
          <w:sz w:val="24"/>
          <w:highlight w:val="none"/>
        </w:rPr>
        <w:t>支队非现场执法平台</w:t>
      </w:r>
      <w:r>
        <w:rPr>
          <w:rFonts w:hint="eastAsia" w:ascii="宋体" w:hAnsi="宋体" w:eastAsia="宋体" w:cs="宋体"/>
          <w:color w:val="auto"/>
          <w:sz w:val="24"/>
          <w:szCs w:val="22"/>
          <w:highlight w:val="none"/>
        </w:rPr>
        <w:t>国产化信创基础软硬件运行环境</w:t>
      </w:r>
      <w:r>
        <w:rPr>
          <w:rFonts w:hint="eastAsia" w:ascii="宋体" w:hAnsi="宋体" w:eastAsia="宋体" w:cs="宋体"/>
          <w:color w:val="auto"/>
          <w:sz w:val="24"/>
          <w:highlight w:val="none"/>
        </w:rPr>
        <w:t>，项目服务期结束后设备处置权归甲方所有。</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0"/>
        <w:gridCol w:w="5736"/>
      </w:tblGrid>
      <w:tr w14:paraId="736B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66EDB5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66FC1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0F6872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221E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4B29D2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222D59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支队非现场执法平台硬件支撑环境搭建服务，包括非现场视频专网一体机4台</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76B30E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处理器：≥16核 2.5G*1</w:t>
            </w:r>
          </w:p>
          <w:p w14:paraId="336A7E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内存：≥DDR4 32G*2</w:t>
            </w:r>
          </w:p>
          <w:p w14:paraId="4C6EE5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硬盘：≥960G  SSD硬盘*2 +4×600G SAS硬盘</w:t>
            </w:r>
          </w:p>
          <w:p w14:paraId="6DF19E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网络：≥双口万兆网卡（含模块）</w:t>
            </w:r>
          </w:p>
          <w:p w14:paraId="6703D0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电源：≥550W电源模块*2</w:t>
            </w:r>
          </w:p>
          <w:p w14:paraId="6F62AA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详细参数见“非现场视频专网一体机单台服务器详细参数要求”</w:t>
            </w:r>
          </w:p>
        </w:tc>
      </w:tr>
    </w:tbl>
    <w:p w14:paraId="7CC868E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非现场视频专网一体机单台服务器详细参数如下：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8"/>
        <w:gridCol w:w="1453"/>
        <w:gridCol w:w="5786"/>
      </w:tblGrid>
      <w:tr w14:paraId="1950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4D7C8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603BA1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418" w:type="dxa"/>
            <w:tcBorders>
              <w:tl2br w:val="nil"/>
              <w:tr2bl w:val="nil"/>
            </w:tcBorders>
            <w:shd w:val="clear" w:color="000000" w:fill="auto"/>
            <w:vAlign w:val="center"/>
          </w:tcPr>
          <w:p w14:paraId="367DF8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645" w:type="dxa"/>
            <w:tcBorders>
              <w:tl2br w:val="nil"/>
              <w:tr2bl w:val="nil"/>
            </w:tcBorders>
            <w:shd w:val="clear" w:color="000000" w:fill="auto"/>
            <w:vAlign w:val="center"/>
          </w:tcPr>
          <w:p w14:paraId="01AEBE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7B4E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0EFC97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3F809C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418" w:type="dxa"/>
            <w:vMerge w:val="restart"/>
            <w:tcBorders>
              <w:tl2br w:val="nil"/>
              <w:tr2bl w:val="nil"/>
            </w:tcBorders>
            <w:vAlign w:val="center"/>
          </w:tcPr>
          <w:p w14:paraId="51C623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645" w:type="dxa"/>
            <w:tcBorders>
              <w:tl2br w:val="nil"/>
              <w:tr2bl w:val="nil"/>
            </w:tcBorders>
            <w:vAlign w:val="center"/>
          </w:tcPr>
          <w:p w14:paraId="603B48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（1）配置国产架构处理器，支持超线程技术和睿频技术；</w:t>
            </w:r>
          </w:p>
        </w:tc>
      </w:tr>
      <w:tr w14:paraId="42F5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vMerge w:val="continue"/>
            <w:tcBorders>
              <w:tl2br w:val="nil"/>
              <w:tr2bl w:val="nil"/>
            </w:tcBorders>
            <w:vAlign w:val="center"/>
          </w:tcPr>
          <w:p w14:paraId="3CAC7402">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53FDFE4">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ED35BC9">
            <w:pPr>
              <w:shd w:val="clear"/>
              <w:rPr>
                <w:rFonts w:hint="eastAsia" w:ascii="宋体" w:hAnsi="宋体" w:eastAsia="宋体" w:cs="宋体"/>
                <w:color w:val="auto"/>
                <w:highlight w:val="none"/>
              </w:rPr>
            </w:pPr>
          </w:p>
        </w:tc>
        <w:tc>
          <w:tcPr>
            <w:tcW w:w="5645" w:type="dxa"/>
            <w:tcBorders>
              <w:tl2br w:val="nil"/>
              <w:tr2bl w:val="nil"/>
            </w:tcBorders>
            <w:vAlign w:val="center"/>
          </w:tcPr>
          <w:p w14:paraId="1F68B2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单颗CPU物理核心数≥16核、主频≥2.5GHz、末级缓存容量≥32MB、线程数≥32、热设计功耗≥135W、支持内存的最高速率≥3200MHz、通道数≥4、位宽≥64位；</w:t>
            </w:r>
          </w:p>
          <w:p w14:paraId="23F3AA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乙方应在投标时给出CPU型号；</w:t>
            </w:r>
          </w:p>
        </w:tc>
      </w:tr>
      <w:tr w14:paraId="5B10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1F16E6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71DEB1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418" w:type="dxa"/>
            <w:tcBorders>
              <w:tl2br w:val="nil"/>
              <w:tr2bl w:val="nil"/>
            </w:tcBorders>
            <w:vAlign w:val="center"/>
          </w:tcPr>
          <w:p w14:paraId="376F52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主板支持的CPU和内存情况</w:t>
            </w:r>
          </w:p>
        </w:tc>
        <w:tc>
          <w:tcPr>
            <w:tcW w:w="5645" w:type="dxa"/>
            <w:tcBorders>
              <w:tl2br w:val="nil"/>
              <w:tr2bl w:val="nil"/>
            </w:tcBorders>
            <w:vAlign w:val="center"/>
          </w:tcPr>
          <w:p w14:paraId="2DB608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 16个；</w:t>
            </w:r>
          </w:p>
          <w:p w14:paraId="5958AD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乙方应在投标时给出主板支持的CPU型号；</w:t>
            </w:r>
          </w:p>
        </w:tc>
      </w:tr>
      <w:tr w14:paraId="0E7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C03E9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6066E250">
            <w:pPr>
              <w:shd w:val="clear"/>
              <w:rPr>
                <w:rFonts w:hint="eastAsia" w:ascii="宋体" w:hAnsi="宋体" w:eastAsia="宋体" w:cs="宋体"/>
                <w:color w:val="auto"/>
                <w:highlight w:val="none"/>
              </w:rPr>
            </w:pPr>
          </w:p>
        </w:tc>
        <w:tc>
          <w:tcPr>
            <w:tcW w:w="1418" w:type="dxa"/>
            <w:tcBorders>
              <w:tl2br w:val="nil"/>
              <w:tr2bl w:val="nil"/>
            </w:tcBorders>
            <w:vAlign w:val="center"/>
          </w:tcPr>
          <w:p w14:paraId="3F332C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645" w:type="dxa"/>
            <w:tcBorders>
              <w:tl2br w:val="nil"/>
              <w:tr2bl w:val="nil"/>
            </w:tcBorders>
            <w:vAlign w:val="center"/>
          </w:tcPr>
          <w:p w14:paraId="52D0AD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主板内存槽数量≥16个</w:t>
            </w:r>
          </w:p>
        </w:tc>
      </w:tr>
      <w:tr w14:paraId="2AA6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2C2AC0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184A0457">
            <w:pPr>
              <w:shd w:val="clear"/>
              <w:rPr>
                <w:rFonts w:hint="eastAsia" w:ascii="宋体" w:hAnsi="宋体" w:eastAsia="宋体" w:cs="宋体"/>
                <w:color w:val="auto"/>
                <w:highlight w:val="none"/>
              </w:rPr>
            </w:pPr>
          </w:p>
        </w:tc>
        <w:tc>
          <w:tcPr>
            <w:tcW w:w="1418" w:type="dxa"/>
            <w:vMerge w:val="restart"/>
            <w:tcBorders>
              <w:tl2br w:val="nil"/>
              <w:tr2bl w:val="nil"/>
            </w:tcBorders>
            <w:vAlign w:val="center"/>
          </w:tcPr>
          <w:p w14:paraId="519AB6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645" w:type="dxa"/>
            <w:tcBorders>
              <w:tl2br w:val="nil"/>
              <w:tr2bl w:val="nil"/>
            </w:tcBorders>
            <w:vAlign w:val="center"/>
          </w:tcPr>
          <w:p w14:paraId="62C6AB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（1）前置可支持≥12个SATA/SAS/NVME盘；后置可支持 2 SATA/SAS</w:t>
            </w:r>
          </w:p>
        </w:tc>
      </w:tr>
      <w:tr w14:paraId="5056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3120FA6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82C9C7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2DC10CB4">
            <w:pPr>
              <w:shd w:val="clear"/>
              <w:rPr>
                <w:rFonts w:hint="eastAsia" w:ascii="宋体" w:hAnsi="宋体" w:eastAsia="宋体" w:cs="宋体"/>
                <w:color w:val="auto"/>
                <w:highlight w:val="none"/>
              </w:rPr>
            </w:pPr>
          </w:p>
        </w:tc>
        <w:tc>
          <w:tcPr>
            <w:tcW w:w="5645" w:type="dxa"/>
            <w:tcBorders>
              <w:tl2br w:val="nil"/>
              <w:tr2bl w:val="nil"/>
            </w:tcBorders>
            <w:vAlign w:val="center"/>
          </w:tcPr>
          <w:p w14:paraId="28A853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（2）板载内置≥1个M.2 SATA插槽；</w:t>
            </w:r>
          </w:p>
        </w:tc>
      </w:tr>
      <w:tr w14:paraId="4309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C2BF2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29738E71">
            <w:pPr>
              <w:shd w:val="clear"/>
              <w:rPr>
                <w:rFonts w:hint="eastAsia" w:ascii="宋体" w:hAnsi="宋体" w:eastAsia="宋体" w:cs="宋体"/>
                <w:color w:val="auto"/>
                <w:highlight w:val="none"/>
              </w:rPr>
            </w:pPr>
          </w:p>
        </w:tc>
        <w:tc>
          <w:tcPr>
            <w:tcW w:w="1418" w:type="dxa"/>
            <w:tcBorders>
              <w:tl2br w:val="nil"/>
              <w:tr2bl w:val="nil"/>
            </w:tcBorders>
            <w:vAlign w:val="center"/>
          </w:tcPr>
          <w:p w14:paraId="1293B0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PCIe插槽接口</w:t>
            </w:r>
          </w:p>
        </w:tc>
        <w:tc>
          <w:tcPr>
            <w:tcW w:w="5645" w:type="dxa"/>
            <w:tcBorders>
              <w:tl2br w:val="nil"/>
              <w:tr2bl w:val="nil"/>
            </w:tcBorders>
            <w:vAlign w:val="center"/>
          </w:tcPr>
          <w:p w14:paraId="4221C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482A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07A06A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6550B1D0">
            <w:pPr>
              <w:shd w:val="clear"/>
              <w:rPr>
                <w:rFonts w:hint="eastAsia" w:ascii="宋体" w:hAnsi="宋体" w:eastAsia="宋体" w:cs="宋体"/>
                <w:color w:val="auto"/>
                <w:highlight w:val="none"/>
              </w:rPr>
            </w:pPr>
          </w:p>
        </w:tc>
        <w:tc>
          <w:tcPr>
            <w:tcW w:w="1418" w:type="dxa"/>
            <w:tcBorders>
              <w:tl2br w:val="nil"/>
              <w:tr2bl w:val="nil"/>
            </w:tcBorders>
            <w:vAlign w:val="center"/>
          </w:tcPr>
          <w:p w14:paraId="4078EE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645" w:type="dxa"/>
            <w:tcBorders>
              <w:tl2br w:val="nil"/>
              <w:tr2bl w:val="nil"/>
            </w:tcBorders>
            <w:vAlign w:val="center"/>
          </w:tcPr>
          <w:p w14:paraId="156C45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插槽数量≥5个,</w:t>
            </w:r>
          </w:p>
          <w:p w14:paraId="1526D2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x16插槽 (x16 Lane)</w:t>
            </w:r>
          </w:p>
          <w:p w14:paraId="151E5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3个PCle4.0 x8插槽 (x8 Lane)</w:t>
            </w:r>
          </w:p>
          <w:p w14:paraId="745480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x4插槽 (x4 Lane)</w:t>
            </w:r>
          </w:p>
          <w:p w14:paraId="73192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可通过扩展卡进行插槽扩展</w:t>
            </w:r>
          </w:p>
        </w:tc>
      </w:tr>
      <w:tr w14:paraId="4434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708F1F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shd w:val="clear" w:color="000000" w:fill="auto"/>
            <w:vAlign w:val="center"/>
          </w:tcPr>
          <w:p w14:paraId="018081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418" w:type="dxa"/>
            <w:tcBorders>
              <w:tl2br w:val="nil"/>
              <w:tr2bl w:val="nil"/>
            </w:tcBorders>
            <w:shd w:val="clear" w:color="000000" w:fill="auto"/>
            <w:vAlign w:val="center"/>
          </w:tcPr>
          <w:p w14:paraId="0CC207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645" w:type="dxa"/>
            <w:tcBorders>
              <w:tl2br w:val="nil"/>
              <w:tr2bl w:val="nil"/>
            </w:tcBorders>
            <w:shd w:val="clear" w:color="000000" w:fill="auto"/>
            <w:vAlign w:val="center"/>
          </w:tcPr>
          <w:p w14:paraId="311669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内存数量≥4</w:t>
            </w:r>
          </w:p>
        </w:tc>
      </w:tr>
      <w:tr w14:paraId="5AA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AA864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shd w:val="clear" w:color="000000" w:fill="auto"/>
            <w:vAlign w:val="center"/>
          </w:tcPr>
          <w:p w14:paraId="0B056085">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42B4CF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645" w:type="dxa"/>
            <w:tcBorders>
              <w:tl2br w:val="nil"/>
              <w:tr2bl w:val="nil"/>
            </w:tcBorders>
            <w:shd w:val="clear" w:color="000000" w:fill="auto"/>
            <w:vAlign w:val="center"/>
          </w:tcPr>
          <w:p w14:paraId="1698D9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实配≥64GB DDR4</w:t>
            </w:r>
          </w:p>
        </w:tc>
      </w:tr>
      <w:tr w14:paraId="5EF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A38C8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shd w:val="clear" w:color="000000" w:fill="auto"/>
            <w:vAlign w:val="center"/>
          </w:tcPr>
          <w:p w14:paraId="56FF12BC">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21CDD5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645" w:type="dxa"/>
            <w:tcBorders>
              <w:tl2br w:val="nil"/>
              <w:tr2bl w:val="nil"/>
            </w:tcBorders>
            <w:shd w:val="clear" w:color="000000" w:fill="auto"/>
            <w:vAlign w:val="center"/>
          </w:tcPr>
          <w:p w14:paraId="36CF51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支持≥4个内存接口通道</w:t>
            </w:r>
          </w:p>
        </w:tc>
      </w:tr>
      <w:tr w14:paraId="54E2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2DB65B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shd w:val="clear" w:color="000000" w:fill="auto"/>
            <w:vAlign w:val="center"/>
          </w:tcPr>
          <w:p w14:paraId="4A2837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418" w:type="dxa"/>
            <w:tcBorders>
              <w:tl2br w:val="nil"/>
              <w:tr2bl w:val="nil"/>
            </w:tcBorders>
            <w:shd w:val="clear" w:color="000000" w:fill="auto"/>
            <w:vAlign w:val="center"/>
          </w:tcPr>
          <w:p w14:paraId="41315F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645" w:type="dxa"/>
            <w:tcBorders>
              <w:tl2br w:val="nil"/>
              <w:tr2bl w:val="nil"/>
            </w:tcBorders>
            <w:shd w:val="clear" w:color="000000" w:fill="auto"/>
            <w:vAlign w:val="center"/>
          </w:tcPr>
          <w:p w14:paraId="4E72D6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实配硬磁盘≥2.4T，实配固态盘≥1.92T；</w:t>
            </w:r>
          </w:p>
        </w:tc>
      </w:tr>
      <w:tr w14:paraId="2A9C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29DAD9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shd w:val="clear" w:color="000000" w:fill="auto"/>
            <w:vAlign w:val="center"/>
          </w:tcPr>
          <w:p w14:paraId="5F32D18A">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112E1D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645" w:type="dxa"/>
            <w:tcBorders>
              <w:tl2br w:val="nil"/>
              <w:tr2bl w:val="nil"/>
            </w:tcBorders>
            <w:shd w:val="clear" w:color="000000" w:fill="auto"/>
            <w:vAlign w:val="center"/>
          </w:tcPr>
          <w:p w14:paraId="53605B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实配硬磁盘≥4块600G 2.5寸 10K 12Gb SAS硬盘，实配固态盘≥2块960G 2.5寸 SATA 6Gb R SSD；</w:t>
            </w:r>
          </w:p>
        </w:tc>
      </w:tr>
      <w:tr w14:paraId="4CEE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shd w:val="clear" w:color="000000" w:fill="auto"/>
            <w:vAlign w:val="center"/>
          </w:tcPr>
          <w:p w14:paraId="06646D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shd w:val="clear" w:color="000000" w:fill="auto"/>
            <w:vAlign w:val="center"/>
          </w:tcPr>
          <w:p w14:paraId="039DA555">
            <w:pPr>
              <w:shd w:val="clear"/>
              <w:rPr>
                <w:rFonts w:hint="eastAsia" w:ascii="宋体" w:hAnsi="宋体" w:eastAsia="宋体" w:cs="宋体"/>
                <w:color w:val="auto"/>
                <w:highlight w:val="none"/>
              </w:rPr>
            </w:pPr>
          </w:p>
        </w:tc>
        <w:tc>
          <w:tcPr>
            <w:tcW w:w="1418" w:type="dxa"/>
            <w:vMerge w:val="restart"/>
            <w:tcBorders>
              <w:tl2br w:val="nil"/>
              <w:tr2bl w:val="nil"/>
            </w:tcBorders>
            <w:shd w:val="clear" w:color="000000" w:fill="auto"/>
            <w:vAlign w:val="center"/>
          </w:tcPr>
          <w:p w14:paraId="63A506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645" w:type="dxa"/>
            <w:tcBorders>
              <w:tl2br w:val="nil"/>
              <w:tr2bl w:val="nil"/>
            </w:tcBorders>
            <w:shd w:val="clear" w:color="000000" w:fill="auto"/>
            <w:vAlign w:val="center"/>
          </w:tcPr>
          <w:p w14:paraId="7A52C2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（1）最高支持≥12个SATA/SAS/NVME 3.5寸/2.5寸硬盘</w:t>
            </w:r>
          </w:p>
        </w:tc>
      </w:tr>
      <w:tr w14:paraId="31A4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shd w:val="clear" w:color="000000" w:fill="auto"/>
            <w:vAlign w:val="center"/>
          </w:tcPr>
          <w:p w14:paraId="5977AE12">
            <w:pPr>
              <w:shd w:val="clear"/>
              <w:rPr>
                <w:rFonts w:hint="eastAsia" w:ascii="宋体" w:hAnsi="宋体" w:eastAsia="宋体" w:cs="宋体"/>
                <w:color w:val="auto"/>
                <w:highlight w:val="none"/>
              </w:rPr>
            </w:pPr>
          </w:p>
        </w:tc>
        <w:tc>
          <w:tcPr>
            <w:tcW w:w="1276" w:type="dxa"/>
            <w:vMerge w:val="continue"/>
            <w:tcBorders>
              <w:tl2br w:val="nil"/>
              <w:tr2bl w:val="nil"/>
            </w:tcBorders>
            <w:shd w:val="clear" w:color="000000" w:fill="auto"/>
            <w:vAlign w:val="center"/>
          </w:tcPr>
          <w:p w14:paraId="6A78B5F5">
            <w:pPr>
              <w:shd w:val="clear"/>
              <w:rPr>
                <w:rFonts w:hint="eastAsia" w:ascii="宋体" w:hAnsi="宋体" w:eastAsia="宋体" w:cs="宋体"/>
                <w:color w:val="auto"/>
                <w:highlight w:val="none"/>
              </w:rPr>
            </w:pPr>
          </w:p>
        </w:tc>
        <w:tc>
          <w:tcPr>
            <w:tcW w:w="1418" w:type="dxa"/>
            <w:vMerge w:val="continue"/>
            <w:tcBorders>
              <w:tl2br w:val="nil"/>
              <w:tr2bl w:val="nil"/>
            </w:tcBorders>
            <w:shd w:val="clear" w:color="000000" w:fill="auto"/>
            <w:vAlign w:val="center"/>
          </w:tcPr>
          <w:p w14:paraId="6E684585">
            <w:pPr>
              <w:shd w:val="clear"/>
              <w:rPr>
                <w:rFonts w:hint="eastAsia" w:ascii="宋体" w:hAnsi="宋体" w:eastAsia="宋体" w:cs="宋体"/>
                <w:color w:val="auto"/>
                <w:highlight w:val="none"/>
              </w:rPr>
            </w:pPr>
          </w:p>
        </w:tc>
        <w:tc>
          <w:tcPr>
            <w:tcW w:w="5645" w:type="dxa"/>
            <w:tcBorders>
              <w:tl2br w:val="nil"/>
              <w:tr2bl w:val="nil"/>
            </w:tcBorders>
            <w:shd w:val="clear" w:color="000000" w:fill="auto"/>
            <w:vAlign w:val="center"/>
          </w:tcPr>
          <w:p w14:paraId="2F285D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（2）后置可支持≥2个SATA/SAS 2.5寸硬盘/3.5寸硬盘；</w:t>
            </w:r>
          </w:p>
        </w:tc>
      </w:tr>
      <w:tr w14:paraId="33A9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359C45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214009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418" w:type="dxa"/>
            <w:tcBorders>
              <w:tl2br w:val="nil"/>
              <w:tr2bl w:val="nil"/>
            </w:tcBorders>
            <w:vAlign w:val="center"/>
          </w:tcPr>
          <w:p w14:paraId="2A05C0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645" w:type="dxa"/>
            <w:tcBorders>
              <w:tl2br w:val="nil"/>
              <w:tr2bl w:val="nil"/>
            </w:tcBorders>
            <w:vAlign w:val="center"/>
          </w:tcPr>
          <w:p w14:paraId="02650E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≥1个双口万兆网卡（含模块）</w:t>
            </w:r>
          </w:p>
        </w:tc>
      </w:tr>
      <w:tr w14:paraId="4764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E0A19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56B952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418" w:type="dxa"/>
            <w:tcBorders>
              <w:tl2br w:val="nil"/>
              <w:tr2bl w:val="nil"/>
            </w:tcBorders>
            <w:vAlign w:val="center"/>
          </w:tcPr>
          <w:p w14:paraId="56D69C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645" w:type="dxa"/>
            <w:tcBorders>
              <w:tl2br w:val="nil"/>
              <w:tr2bl w:val="nil"/>
            </w:tcBorders>
            <w:vAlign w:val="center"/>
          </w:tcPr>
          <w:p w14:paraId="7150BC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0354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D23EB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326A8D8E">
            <w:pPr>
              <w:shd w:val="clear"/>
              <w:rPr>
                <w:rFonts w:hint="eastAsia" w:ascii="宋体" w:hAnsi="宋体" w:eastAsia="宋体" w:cs="宋体"/>
                <w:color w:val="auto"/>
                <w:highlight w:val="none"/>
              </w:rPr>
            </w:pPr>
          </w:p>
        </w:tc>
        <w:tc>
          <w:tcPr>
            <w:tcW w:w="1418" w:type="dxa"/>
            <w:tcBorders>
              <w:tl2br w:val="nil"/>
              <w:tr2bl w:val="nil"/>
            </w:tcBorders>
            <w:vAlign w:val="center"/>
          </w:tcPr>
          <w:p w14:paraId="1CC7B9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645" w:type="dxa"/>
            <w:tcBorders>
              <w:tl2br w:val="nil"/>
              <w:tr2bl w:val="nil"/>
            </w:tcBorders>
            <w:vAlign w:val="center"/>
          </w:tcPr>
          <w:p w14:paraId="4BCBF8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配置≥4个USB3.0接口，2个位于机箱后部，2</w:t>
            </w:r>
            <w:r>
              <w:rPr>
                <w:rFonts w:hint="eastAsia" w:ascii="宋体" w:hAnsi="宋体" w:eastAsia="宋体" w:cs="宋体"/>
                <w:b/>
                <w:bCs/>
                <w:color w:val="auto"/>
                <w:szCs w:val="21"/>
                <w:highlight w:val="none"/>
              </w:rPr>
              <w:t>个</w:t>
            </w:r>
            <w:r>
              <w:rPr>
                <w:rFonts w:hint="eastAsia" w:ascii="宋体" w:hAnsi="宋体" w:eastAsia="宋体" w:cs="宋体"/>
                <w:color w:val="auto"/>
                <w:szCs w:val="21"/>
                <w:highlight w:val="none"/>
              </w:rPr>
              <w:t>位于机箱前部。</w:t>
            </w:r>
          </w:p>
        </w:tc>
      </w:tr>
      <w:tr w14:paraId="6248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0D5A9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13DE4B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418" w:type="dxa"/>
            <w:tcBorders>
              <w:tl2br w:val="nil"/>
              <w:tr2bl w:val="nil"/>
            </w:tcBorders>
            <w:vAlign w:val="center"/>
          </w:tcPr>
          <w:p w14:paraId="1E0DA9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645" w:type="dxa"/>
            <w:tcBorders>
              <w:tl2br w:val="nil"/>
              <w:tr2bl w:val="nil"/>
            </w:tcBorders>
            <w:vAlign w:val="center"/>
          </w:tcPr>
          <w:p w14:paraId="4D94CB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37B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85D6D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37C97D0B">
            <w:pPr>
              <w:shd w:val="clear"/>
              <w:rPr>
                <w:rFonts w:hint="eastAsia" w:ascii="宋体" w:hAnsi="宋体" w:eastAsia="宋体" w:cs="宋体"/>
                <w:color w:val="auto"/>
                <w:highlight w:val="none"/>
              </w:rPr>
            </w:pPr>
          </w:p>
        </w:tc>
        <w:tc>
          <w:tcPr>
            <w:tcW w:w="1418" w:type="dxa"/>
            <w:tcBorders>
              <w:tl2br w:val="nil"/>
              <w:tr2bl w:val="nil"/>
            </w:tcBorders>
            <w:vAlign w:val="center"/>
          </w:tcPr>
          <w:p w14:paraId="302BAF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645" w:type="dxa"/>
            <w:tcBorders>
              <w:tl2br w:val="nil"/>
              <w:tr2bl w:val="nil"/>
            </w:tcBorders>
            <w:vAlign w:val="center"/>
          </w:tcPr>
          <w:p w14:paraId="0BB6F2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≥550W，电源模块功率应有一定冗余，满足处理器满载时的需求</w:t>
            </w:r>
          </w:p>
        </w:tc>
      </w:tr>
      <w:tr w14:paraId="37EC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4BD6C5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519EC5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418" w:type="dxa"/>
            <w:vMerge w:val="restart"/>
            <w:tcBorders>
              <w:tl2br w:val="nil"/>
              <w:tr2bl w:val="nil"/>
            </w:tcBorders>
            <w:vAlign w:val="center"/>
          </w:tcPr>
          <w:p w14:paraId="60A3CE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645" w:type="dxa"/>
            <w:tcBorders>
              <w:tl2br w:val="nil"/>
              <w:tr2bl w:val="nil"/>
            </w:tcBorders>
            <w:vAlign w:val="center"/>
          </w:tcPr>
          <w:p w14:paraId="173F14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1A2A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36DC5419">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895A80B">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62F1C9FB">
            <w:pPr>
              <w:shd w:val="clear"/>
              <w:rPr>
                <w:rFonts w:hint="eastAsia" w:ascii="宋体" w:hAnsi="宋体" w:eastAsia="宋体" w:cs="宋体"/>
                <w:color w:val="auto"/>
                <w:highlight w:val="none"/>
              </w:rPr>
            </w:pPr>
          </w:p>
        </w:tc>
        <w:tc>
          <w:tcPr>
            <w:tcW w:w="5645" w:type="dxa"/>
            <w:tcBorders>
              <w:tl2br w:val="nil"/>
              <w:tr2bl w:val="nil"/>
            </w:tcBorders>
            <w:vAlign w:val="center"/>
          </w:tcPr>
          <w:p w14:paraId="49A46D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450C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56300E1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8E6BB78">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3F44267">
            <w:pPr>
              <w:shd w:val="clear"/>
              <w:rPr>
                <w:rFonts w:hint="eastAsia" w:ascii="宋体" w:hAnsi="宋体" w:eastAsia="宋体" w:cs="宋体"/>
                <w:color w:val="auto"/>
                <w:highlight w:val="none"/>
              </w:rPr>
            </w:pPr>
          </w:p>
        </w:tc>
        <w:tc>
          <w:tcPr>
            <w:tcW w:w="5645" w:type="dxa"/>
            <w:tcBorders>
              <w:tl2br w:val="nil"/>
              <w:tr2bl w:val="nil"/>
            </w:tcBorders>
            <w:vAlign w:val="center"/>
          </w:tcPr>
          <w:p w14:paraId="2B7DFD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082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3EFD9A5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1C1B39E">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027E2CD">
            <w:pPr>
              <w:shd w:val="clear"/>
              <w:rPr>
                <w:rFonts w:hint="eastAsia" w:ascii="宋体" w:hAnsi="宋体" w:eastAsia="宋体" w:cs="宋体"/>
                <w:color w:val="auto"/>
                <w:highlight w:val="none"/>
              </w:rPr>
            </w:pPr>
          </w:p>
        </w:tc>
        <w:tc>
          <w:tcPr>
            <w:tcW w:w="5645" w:type="dxa"/>
            <w:tcBorders>
              <w:tl2br w:val="nil"/>
              <w:tr2bl w:val="nil"/>
            </w:tcBorders>
            <w:vAlign w:val="center"/>
          </w:tcPr>
          <w:p w14:paraId="2B39CB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61B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3541C59E">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E3EFCE4">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22975675">
            <w:pPr>
              <w:shd w:val="clear"/>
              <w:rPr>
                <w:rFonts w:hint="eastAsia" w:ascii="宋体" w:hAnsi="宋体" w:eastAsia="宋体" w:cs="宋体"/>
                <w:color w:val="auto"/>
                <w:highlight w:val="none"/>
              </w:rPr>
            </w:pPr>
          </w:p>
        </w:tc>
        <w:tc>
          <w:tcPr>
            <w:tcW w:w="5645" w:type="dxa"/>
            <w:tcBorders>
              <w:tl2br w:val="nil"/>
              <w:tr2bl w:val="nil"/>
            </w:tcBorders>
            <w:vAlign w:val="center"/>
          </w:tcPr>
          <w:p w14:paraId="2D9702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60ED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52E65B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34ECB42">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6FF6F4EE">
            <w:pPr>
              <w:shd w:val="clear"/>
              <w:rPr>
                <w:rFonts w:hint="eastAsia" w:ascii="宋体" w:hAnsi="宋体" w:eastAsia="宋体" w:cs="宋体"/>
                <w:color w:val="auto"/>
                <w:highlight w:val="none"/>
              </w:rPr>
            </w:pPr>
          </w:p>
        </w:tc>
        <w:tc>
          <w:tcPr>
            <w:tcW w:w="5645" w:type="dxa"/>
            <w:tcBorders>
              <w:tl2br w:val="nil"/>
              <w:tr2bl w:val="nil"/>
            </w:tcBorders>
            <w:vAlign w:val="center"/>
          </w:tcPr>
          <w:p w14:paraId="44861B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4A5C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43E1811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FEA5EAF">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97A0200">
            <w:pPr>
              <w:shd w:val="clear"/>
              <w:rPr>
                <w:rFonts w:hint="eastAsia" w:ascii="宋体" w:hAnsi="宋体" w:eastAsia="宋体" w:cs="宋体"/>
                <w:color w:val="auto"/>
                <w:highlight w:val="none"/>
              </w:rPr>
            </w:pPr>
          </w:p>
        </w:tc>
        <w:tc>
          <w:tcPr>
            <w:tcW w:w="5645" w:type="dxa"/>
            <w:tcBorders>
              <w:tl2br w:val="nil"/>
              <w:tr2bl w:val="nil"/>
            </w:tcBorders>
            <w:vAlign w:val="center"/>
          </w:tcPr>
          <w:p w14:paraId="63390E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5384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7526C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67412520">
            <w:pPr>
              <w:shd w:val="clear"/>
              <w:rPr>
                <w:rFonts w:hint="eastAsia" w:ascii="宋体" w:hAnsi="宋体" w:eastAsia="宋体" w:cs="宋体"/>
                <w:color w:val="auto"/>
                <w:highlight w:val="none"/>
              </w:rPr>
            </w:pPr>
          </w:p>
        </w:tc>
        <w:tc>
          <w:tcPr>
            <w:tcW w:w="1418" w:type="dxa"/>
            <w:tcBorders>
              <w:tl2br w:val="nil"/>
              <w:tr2bl w:val="nil"/>
            </w:tcBorders>
            <w:vAlign w:val="center"/>
          </w:tcPr>
          <w:p w14:paraId="4BAF5A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645" w:type="dxa"/>
            <w:tcBorders>
              <w:tl2br w:val="nil"/>
              <w:tr2bl w:val="nil"/>
            </w:tcBorders>
            <w:vAlign w:val="center"/>
          </w:tcPr>
          <w:p w14:paraId="1FECFB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乙方应在投标时给出产品尺寸；设计应遵循标准化、系列化的要求，机箱的内部结构符合通用部件的安装需要。</w:t>
            </w:r>
          </w:p>
        </w:tc>
      </w:tr>
      <w:tr w14:paraId="14C2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13014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4D117EF7">
            <w:pPr>
              <w:shd w:val="clear"/>
              <w:rPr>
                <w:rFonts w:hint="eastAsia" w:ascii="宋体" w:hAnsi="宋体" w:eastAsia="宋体" w:cs="宋体"/>
                <w:color w:val="auto"/>
                <w:highlight w:val="none"/>
              </w:rPr>
            </w:pPr>
          </w:p>
        </w:tc>
        <w:tc>
          <w:tcPr>
            <w:tcW w:w="1418" w:type="dxa"/>
            <w:tcBorders>
              <w:tl2br w:val="nil"/>
              <w:tr2bl w:val="nil"/>
            </w:tcBorders>
            <w:vAlign w:val="center"/>
          </w:tcPr>
          <w:p w14:paraId="0D1119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645" w:type="dxa"/>
            <w:tcBorders>
              <w:tl2br w:val="nil"/>
              <w:tr2bl w:val="nil"/>
            </w:tcBorders>
            <w:vAlign w:val="center"/>
          </w:tcPr>
          <w:p w14:paraId="15D7AE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6C31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D0DFF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3584B5A5">
            <w:pPr>
              <w:shd w:val="clear"/>
              <w:rPr>
                <w:rFonts w:hint="eastAsia" w:ascii="宋体" w:hAnsi="宋体" w:eastAsia="宋体" w:cs="宋体"/>
                <w:color w:val="auto"/>
                <w:highlight w:val="none"/>
              </w:rPr>
            </w:pPr>
          </w:p>
        </w:tc>
        <w:tc>
          <w:tcPr>
            <w:tcW w:w="1418" w:type="dxa"/>
            <w:tcBorders>
              <w:tl2br w:val="nil"/>
              <w:tr2bl w:val="nil"/>
            </w:tcBorders>
            <w:vAlign w:val="center"/>
          </w:tcPr>
          <w:p w14:paraId="16CEA6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645" w:type="dxa"/>
            <w:tcBorders>
              <w:tl2br w:val="nil"/>
              <w:tr2bl w:val="nil"/>
            </w:tcBorders>
            <w:vAlign w:val="center"/>
          </w:tcPr>
          <w:p w14:paraId="16E04F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机械环境适应性应符合GB/T9813.3 的有关规定</w:t>
            </w:r>
          </w:p>
        </w:tc>
      </w:tr>
      <w:tr w14:paraId="0461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tcBorders>
              <w:tl2br w:val="nil"/>
              <w:tr2bl w:val="nil"/>
            </w:tcBorders>
            <w:vAlign w:val="center"/>
          </w:tcPr>
          <w:p w14:paraId="0EB661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0B3F33F2">
            <w:pPr>
              <w:shd w:val="clear"/>
              <w:rPr>
                <w:rFonts w:hint="eastAsia" w:ascii="宋体" w:hAnsi="宋体" w:eastAsia="宋体" w:cs="宋体"/>
                <w:color w:val="auto"/>
                <w:highlight w:val="none"/>
              </w:rPr>
            </w:pPr>
          </w:p>
        </w:tc>
        <w:tc>
          <w:tcPr>
            <w:tcW w:w="1418" w:type="dxa"/>
            <w:tcBorders>
              <w:tl2br w:val="nil"/>
              <w:tr2bl w:val="nil"/>
            </w:tcBorders>
            <w:vAlign w:val="center"/>
          </w:tcPr>
          <w:p w14:paraId="592F4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645" w:type="dxa"/>
            <w:tcBorders>
              <w:tl2br w:val="nil"/>
              <w:tr2bl w:val="nil"/>
            </w:tcBorders>
            <w:vAlign w:val="center"/>
          </w:tcPr>
          <w:p w14:paraId="3BF1C6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的有关规定，在产品说明中给出具体测试值塔式服务器噪声在空闲状态下不大于50dB</w:t>
            </w:r>
          </w:p>
        </w:tc>
      </w:tr>
      <w:tr w14:paraId="2426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ED79F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7B9DE0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418" w:type="dxa"/>
            <w:tcBorders>
              <w:tl2br w:val="nil"/>
              <w:tr2bl w:val="nil"/>
            </w:tcBorders>
            <w:vAlign w:val="center"/>
          </w:tcPr>
          <w:p w14:paraId="0F445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645" w:type="dxa"/>
            <w:tcBorders>
              <w:tl2br w:val="nil"/>
              <w:tr2bl w:val="nil"/>
            </w:tcBorders>
            <w:vAlign w:val="center"/>
          </w:tcPr>
          <w:p w14:paraId="7E1E19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乙方在投标时给出长度、高度和深度；</w:t>
            </w:r>
          </w:p>
        </w:tc>
      </w:tr>
      <w:tr w14:paraId="1E8E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8D916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2EA4A0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418" w:type="dxa"/>
            <w:tcBorders>
              <w:tl2br w:val="nil"/>
              <w:tr2bl w:val="nil"/>
            </w:tcBorders>
            <w:vAlign w:val="center"/>
          </w:tcPr>
          <w:p w14:paraId="0345B7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645" w:type="dxa"/>
            <w:tcBorders>
              <w:tl2br w:val="nil"/>
              <w:tr2bl w:val="nil"/>
            </w:tcBorders>
            <w:vAlign w:val="center"/>
          </w:tcPr>
          <w:p w14:paraId="32766D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4F22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0A7E5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4E20B1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418" w:type="dxa"/>
            <w:tcBorders>
              <w:tl2br w:val="nil"/>
              <w:tr2bl w:val="nil"/>
            </w:tcBorders>
            <w:vAlign w:val="center"/>
          </w:tcPr>
          <w:p w14:paraId="4DCB86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645" w:type="dxa"/>
            <w:tcBorders>
              <w:tl2br w:val="nil"/>
              <w:tr2bl w:val="nil"/>
            </w:tcBorders>
            <w:vAlign w:val="center"/>
          </w:tcPr>
          <w:p w14:paraId="4E829F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5395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5EC1C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0188D7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418" w:type="dxa"/>
            <w:tcBorders>
              <w:tl2br w:val="nil"/>
              <w:tr2bl w:val="nil"/>
            </w:tcBorders>
            <w:vAlign w:val="center"/>
          </w:tcPr>
          <w:p w14:paraId="295AC3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645" w:type="dxa"/>
            <w:tcBorders>
              <w:tl2br w:val="nil"/>
              <w:tr2bl w:val="nil"/>
            </w:tcBorders>
            <w:vAlign w:val="center"/>
          </w:tcPr>
          <w:p w14:paraId="2466CE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A0F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626EC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737F0C0D">
            <w:pPr>
              <w:shd w:val="clear"/>
              <w:rPr>
                <w:rFonts w:hint="eastAsia" w:ascii="宋体" w:hAnsi="宋体" w:eastAsia="宋体" w:cs="宋体"/>
                <w:color w:val="auto"/>
                <w:highlight w:val="none"/>
              </w:rPr>
            </w:pPr>
          </w:p>
        </w:tc>
        <w:tc>
          <w:tcPr>
            <w:tcW w:w="1418" w:type="dxa"/>
            <w:tcBorders>
              <w:tl2br w:val="nil"/>
              <w:tr2bl w:val="nil"/>
            </w:tcBorders>
            <w:vAlign w:val="center"/>
          </w:tcPr>
          <w:p w14:paraId="267D1E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645" w:type="dxa"/>
            <w:tcBorders>
              <w:tl2br w:val="nil"/>
              <w:tr2bl w:val="nil"/>
            </w:tcBorders>
            <w:vAlign w:val="center"/>
          </w:tcPr>
          <w:p w14:paraId="39E46E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5097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72C4C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2E30AB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418" w:type="dxa"/>
            <w:tcBorders>
              <w:tl2br w:val="nil"/>
              <w:tr2bl w:val="nil"/>
            </w:tcBorders>
            <w:vAlign w:val="center"/>
          </w:tcPr>
          <w:p w14:paraId="20683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645" w:type="dxa"/>
            <w:tcBorders>
              <w:tl2br w:val="nil"/>
              <w:tr2bl w:val="nil"/>
            </w:tcBorders>
            <w:vAlign w:val="center"/>
          </w:tcPr>
          <w:p w14:paraId="3CB500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40C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5C5C7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29156758">
            <w:pPr>
              <w:shd w:val="clear"/>
              <w:rPr>
                <w:rFonts w:hint="eastAsia" w:ascii="宋体" w:hAnsi="宋体" w:eastAsia="宋体" w:cs="宋体"/>
                <w:color w:val="auto"/>
                <w:highlight w:val="none"/>
              </w:rPr>
            </w:pPr>
          </w:p>
        </w:tc>
        <w:tc>
          <w:tcPr>
            <w:tcW w:w="1418" w:type="dxa"/>
            <w:tcBorders>
              <w:tl2br w:val="nil"/>
              <w:tr2bl w:val="nil"/>
            </w:tcBorders>
            <w:vAlign w:val="center"/>
          </w:tcPr>
          <w:p w14:paraId="59C1C3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645" w:type="dxa"/>
            <w:tcBorders>
              <w:tl2br w:val="nil"/>
              <w:tr2bl w:val="nil"/>
            </w:tcBorders>
            <w:vAlign w:val="center"/>
          </w:tcPr>
          <w:p w14:paraId="283FFD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3D04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CA7CA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44620D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418" w:type="dxa"/>
            <w:tcBorders>
              <w:tl2br w:val="nil"/>
              <w:tr2bl w:val="nil"/>
            </w:tcBorders>
            <w:vAlign w:val="center"/>
          </w:tcPr>
          <w:p w14:paraId="3C01D4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645" w:type="dxa"/>
            <w:tcBorders>
              <w:tl2br w:val="nil"/>
              <w:tr2bl w:val="nil"/>
            </w:tcBorders>
            <w:vAlign w:val="center"/>
          </w:tcPr>
          <w:p w14:paraId="172BD6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支持风冷散热或液冷等散热方式</w:t>
            </w:r>
          </w:p>
        </w:tc>
      </w:tr>
      <w:tr w14:paraId="7D05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30" w:type="dxa"/>
            <w:tcBorders>
              <w:tl2br w:val="nil"/>
              <w:tr2bl w:val="nil"/>
            </w:tcBorders>
            <w:vAlign w:val="center"/>
          </w:tcPr>
          <w:p w14:paraId="450AC4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64264E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418" w:type="dxa"/>
            <w:tcBorders>
              <w:tl2br w:val="nil"/>
              <w:tr2bl w:val="nil"/>
            </w:tcBorders>
            <w:vAlign w:val="center"/>
          </w:tcPr>
          <w:p w14:paraId="43892D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BMC固件基础功能</w:t>
            </w:r>
          </w:p>
        </w:tc>
        <w:tc>
          <w:tcPr>
            <w:tcW w:w="5645" w:type="dxa"/>
            <w:tcBorders>
              <w:tl2br w:val="nil"/>
              <w:tr2bl w:val="nil"/>
            </w:tcBorders>
            <w:vAlign w:val="center"/>
          </w:tcPr>
          <w:p w14:paraId="00CF45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14F68C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220EF8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65CDD1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02A255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52D1A9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01E47C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Redfish等接口功能；</w:t>
            </w:r>
          </w:p>
          <w:p w14:paraId="36AE2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7FD25B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488F68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078E2D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53DA9B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2C507B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02144A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6F5E23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1824E9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171A75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771DBA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761BF4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284060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68DA74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4FB698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74C766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7B9CFD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34AC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630" w:type="dxa"/>
            <w:tcBorders>
              <w:tl2br w:val="nil"/>
              <w:tr2bl w:val="nil"/>
            </w:tcBorders>
            <w:vAlign w:val="center"/>
          </w:tcPr>
          <w:p w14:paraId="55ED61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7AEB764E">
            <w:pPr>
              <w:shd w:val="clear"/>
              <w:rPr>
                <w:rFonts w:hint="eastAsia" w:ascii="宋体" w:hAnsi="宋体" w:eastAsia="宋体" w:cs="宋体"/>
                <w:color w:val="auto"/>
                <w:highlight w:val="none"/>
              </w:rPr>
            </w:pPr>
          </w:p>
        </w:tc>
        <w:tc>
          <w:tcPr>
            <w:tcW w:w="1418" w:type="dxa"/>
            <w:tcBorders>
              <w:tl2br w:val="nil"/>
              <w:tr2bl w:val="nil"/>
            </w:tcBorders>
            <w:vAlign w:val="center"/>
          </w:tcPr>
          <w:p w14:paraId="18A356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645" w:type="dxa"/>
            <w:tcBorders>
              <w:tl2br w:val="nil"/>
              <w:tr2bl w:val="nil"/>
            </w:tcBorders>
            <w:vAlign w:val="center"/>
          </w:tcPr>
          <w:p w14:paraId="37F23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36076E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526B9E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33DCC2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339277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487357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5BA033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4DE2F9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0439A4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22C40B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识别和启动功能；k）支持串口重定向功能；</w:t>
            </w:r>
          </w:p>
          <w:p w14:paraId="602022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638AFB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484D19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659A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B0D73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4D524712">
            <w:pPr>
              <w:shd w:val="clear"/>
              <w:rPr>
                <w:rFonts w:hint="eastAsia" w:ascii="宋体" w:hAnsi="宋体" w:eastAsia="宋体" w:cs="宋体"/>
                <w:color w:val="auto"/>
                <w:highlight w:val="none"/>
              </w:rPr>
            </w:pPr>
          </w:p>
        </w:tc>
        <w:tc>
          <w:tcPr>
            <w:tcW w:w="1418" w:type="dxa"/>
            <w:tcBorders>
              <w:tl2br w:val="nil"/>
              <w:tr2bl w:val="nil"/>
            </w:tcBorders>
            <w:vAlign w:val="center"/>
          </w:tcPr>
          <w:p w14:paraId="0DFBC6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645" w:type="dxa"/>
            <w:tcBorders>
              <w:tl2br w:val="nil"/>
              <w:tr2bl w:val="nil"/>
            </w:tcBorders>
            <w:vAlign w:val="center"/>
          </w:tcPr>
          <w:p w14:paraId="7F2D0B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7691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FE55B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08CAD0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418" w:type="dxa"/>
            <w:tcBorders>
              <w:tl2br w:val="nil"/>
              <w:tr2bl w:val="nil"/>
            </w:tcBorders>
            <w:vAlign w:val="center"/>
          </w:tcPr>
          <w:p w14:paraId="2F75C5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645" w:type="dxa"/>
            <w:tcBorders>
              <w:tl2br w:val="nil"/>
              <w:tr2bl w:val="nil"/>
            </w:tcBorders>
            <w:vAlign w:val="center"/>
          </w:tcPr>
          <w:p w14:paraId="62B001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2AC6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04321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15FB92EF">
            <w:pPr>
              <w:shd w:val="clear"/>
              <w:rPr>
                <w:rFonts w:hint="eastAsia" w:ascii="宋体" w:hAnsi="宋体" w:eastAsia="宋体" w:cs="宋体"/>
                <w:color w:val="auto"/>
                <w:highlight w:val="none"/>
              </w:rPr>
            </w:pPr>
          </w:p>
        </w:tc>
        <w:tc>
          <w:tcPr>
            <w:tcW w:w="1418" w:type="dxa"/>
            <w:tcBorders>
              <w:tl2br w:val="nil"/>
              <w:tr2bl w:val="nil"/>
            </w:tcBorders>
            <w:vAlign w:val="center"/>
          </w:tcPr>
          <w:p w14:paraId="422206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645" w:type="dxa"/>
            <w:tcBorders>
              <w:tl2br w:val="nil"/>
              <w:tr2bl w:val="nil"/>
            </w:tcBorders>
            <w:vAlign w:val="center"/>
          </w:tcPr>
          <w:p w14:paraId="1CED32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67E929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操作系统其他功能满足操作系统政府采购需求标准中加*的指标要求</w:t>
            </w:r>
          </w:p>
        </w:tc>
      </w:tr>
      <w:tr w14:paraId="0BD9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B3A58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35672F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418" w:type="dxa"/>
            <w:tcBorders>
              <w:tl2br w:val="nil"/>
              <w:tr2bl w:val="nil"/>
            </w:tcBorders>
            <w:vAlign w:val="center"/>
          </w:tcPr>
          <w:p w14:paraId="51C26B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645" w:type="dxa"/>
            <w:tcBorders>
              <w:tl2br w:val="nil"/>
              <w:tr2bl w:val="nil"/>
            </w:tcBorders>
            <w:vAlign w:val="center"/>
          </w:tcPr>
          <w:p w14:paraId="1389A1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0BEA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B838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0E20A3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418" w:type="dxa"/>
            <w:tcBorders>
              <w:tl2br w:val="nil"/>
              <w:tr2bl w:val="nil"/>
            </w:tcBorders>
            <w:vAlign w:val="center"/>
          </w:tcPr>
          <w:p w14:paraId="7850F0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645" w:type="dxa"/>
            <w:tcBorders>
              <w:tl2br w:val="nil"/>
              <w:tr2bl w:val="nil"/>
            </w:tcBorders>
            <w:vAlign w:val="center"/>
          </w:tcPr>
          <w:p w14:paraId="6D2FA9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660B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6ABAD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23CF72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418" w:type="dxa"/>
            <w:tcBorders>
              <w:tl2br w:val="nil"/>
              <w:tr2bl w:val="nil"/>
            </w:tcBorders>
            <w:vAlign w:val="center"/>
          </w:tcPr>
          <w:p w14:paraId="3CF068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645" w:type="dxa"/>
            <w:tcBorders>
              <w:tl2br w:val="nil"/>
              <w:tr2bl w:val="nil"/>
            </w:tcBorders>
            <w:vAlign w:val="center"/>
          </w:tcPr>
          <w:p w14:paraId="39137D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6D58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BDCA3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29ABA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418" w:type="dxa"/>
            <w:tcBorders>
              <w:tl2br w:val="nil"/>
              <w:tr2bl w:val="nil"/>
            </w:tcBorders>
            <w:vAlign w:val="center"/>
          </w:tcPr>
          <w:p w14:paraId="230594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645" w:type="dxa"/>
            <w:tcBorders>
              <w:tl2br w:val="nil"/>
              <w:tr2bl w:val="nil"/>
            </w:tcBorders>
            <w:vAlign w:val="center"/>
          </w:tcPr>
          <w:p w14:paraId="5F4697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1250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45D70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04486A71">
            <w:pPr>
              <w:shd w:val="clear"/>
              <w:rPr>
                <w:rFonts w:hint="eastAsia" w:ascii="宋体" w:hAnsi="宋体" w:eastAsia="宋体" w:cs="宋体"/>
                <w:color w:val="auto"/>
                <w:highlight w:val="none"/>
              </w:rPr>
            </w:pPr>
          </w:p>
        </w:tc>
        <w:tc>
          <w:tcPr>
            <w:tcW w:w="1418" w:type="dxa"/>
            <w:tcBorders>
              <w:tl2br w:val="nil"/>
              <w:tr2bl w:val="nil"/>
            </w:tcBorders>
            <w:vAlign w:val="center"/>
          </w:tcPr>
          <w:p w14:paraId="7583F4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645" w:type="dxa"/>
            <w:tcBorders>
              <w:tl2br w:val="nil"/>
              <w:tr2bl w:val="nil"/>
            </w:tcBorders>
            <w:vAlign w:val="center"/>
          </w:tcPr>
          <w:p w14:paraId="2B109B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6223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6469A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7C98425C">
            <w:pPr>
              <w:shd w:val="clear"/>
              <w:rPr>
                <w:rFonts w:hint="eastAsia" w:ascii="宋体" w:hAnsi="宋体" w:eastAsia="宋体" w:cs="宋体"/>
                <w:color w:val="auto"/>
                <w:highlight w:val="none"/>
              </w:rPr>
            </w:pPr>
          </w:p>
        </w:tc>
        <w:tc>
          <w:tcPr>
            <w:tcW w:w="1418" w:type="dxa"/>
            <w:tcBorders>
              <w:tl2br w:val="nil"/>
              <w:tr2bl w:val="nil"/>
            </w:tcBorders>
            <w:vAlign w:val="center"/>
          </w:tcPr>
          <w:p w14:paraId="2DC58D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645" w:type="dxa"/>
            <w:tcBorders>
              <w:tl2br w:val="nil"/>
              <w:tr2bl w:val="nil"/>
            </w:tcBorders>
            <w:vAlign w:val="center"/>
          </w:tcPr>
          <w:p w14:paraId="5BDB88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311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710FDE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219F60AA">
            <w:pPr>
              <w:shd w:val="clear"/>
              <w:rPr>
                <w:rFonts w:hint="eastAsia" w:ascii="宋体" w:hAnsi="宋体" w:eastAsia="宋体" w:cs="宋体"/>
                <w:color w:val="auto"/>
                <w:highlight w:val="none"/>
              </w:rPr>
            </w:pPr>
          </w:p>
        </w:tc>
        <w:tc>
          <w:tcPr>
            <w:tcW w:w="1418" w:type="dxa"/>
            <w:tcBorders>
              <w:tl2br w:val="nil"/>
              <w:tr2bl w:val="nil"/>
            </w:tcBorders>
            <w:vAlign w:val="center"/>
          </w:tcPr>
          <w:p w14:paraId="065DB1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645" w:type="dxa"/>
            <w:tcBorders>
              <w:tl2br w:val="nil"/>
              <w:tr2bl w:val="nil"/>
            </w:tcBorders>
            <w:vAlign w:val="center"/>
          </w:tcPr>
          <w:p w14:paraId="15701A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21DB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CA2DB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33C0AFE8">
            <w:pPr>
              <w:shd w:val="clear"/>
              <w:rPr>
                <w:rFonts w:hint="eastAsia" w:ascii="宋体" w:hAnsi="宋体" w:eastAsia="宋体" w:cs="宋体"/>
                <w:color w:val="auto"/>
                <w:highlight w:val="none"/>
              </w:rPr>
            </w:pPr>
          </w:p>
        </w:tc>
        <w:tc>
          <w:tcPr>
            <w:tcW w:w="1418" w:type="dxa"/>
            <w:tcBorders>
              <w:tl2br w:val="nil"/>
              <w:tr2bl w:val="nil"/>
            </w:tcBorders>
            <w:vAlign w:val="center"/>
          </w:tcPr>
          <w:p w14:paraId="2C7CF9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645" w:type="dxa"/>
            <w:tcBorders>
              <w:tl2br w:val="nil"/>
              <w:tr2bl w:val="nil"/>
            </w:tcBorders>
            <w:vAlign w:val="center"/>
          </w:tcPr>
          <w:p w14:paraId="59D338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47BD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30" w:type="dxa"/>
            <w:tcBorders>
              <w:tl2br w:val="nil"/>
              <w:tr2bl w:val="nil"/>
            </w:tcBorders>
            <w:vAlign w:val="center"/>
          </w:tcPr>
          <w:p w14:paraId="749625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092B83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418" w:type="dxa"/>
            <w:tcBorders>
              <w:tl2br w:val="nil"/>
              <w:tr2bl w:val="nil"/>
            </w:tcBorders>
            <w:vAlign w:val="center"/>
          </w:tcPr>
          <w:p w14:paraId="2E8E9C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645" w:type="dxa"/>
            <w:tcBorders>
              <w:tl2br w:val="nil"/>
              <w:tr2bl w:val="nil"/>
            </w:tcBorders>
            <w:vAlign w:val="center"/>
          </w:tcPr>
          <w:p w14:paraId="2B2AA2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2B27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3A0DE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0A75B8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418" w:type="dxa"/>
            <w:tcBorders>
              <w:tl2br w:val="nil"/>
              <w:tr2bl w:val="nil"/>
            </w:tcBorders>
            <w:vAlign w:val="center"/>
          </w:tcPr>
          <w:p w14:paraId="2747E9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645" w:type="dxa"/>
            <w:tcBorders>
              <w:tl2br w:val="nil"/>
              <w:tr2bl w:val="nil"/>
            </w:tcBorders>
            <w:vAlign w:val="center"/>
          </w:tcPr>
          <w:p w14:paraId="0AB69F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444C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9F677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539ABA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418" w:type="dxa"/>
            <w:tcBorders>
              <w:tl2br w:val="nil"/>
              <w:tr2bl w:val="nil"/>
            </w:tcBorders>
            <w:vAlign w:val="center"/>
          </w:tcPr>
          <w:p w14:paraId="060717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645" w:type="dxa"/>
            <w:tcBorders>
              <w:tl2br w:val="nil"/>
              <w:tr2bl w:val="nil"/>
            </w:tcBorders>
            <w:vAlign w:val="center"/>
          </w:tcPr>
          <w:p w14:paraId="7CED3C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0615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AA9A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52FCA3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418" w:type="dxa"/>
            <w:tcBorders>
              <w:tl2br w:val="nil"/>
              <w:tr2bl w:val="nil"/>
            </w:tcBorders>
            <w:vAlign w:val="center"/>
          </w:tcPr>
          <w:p w14:paraId="34F8F6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645" w:type="dxa"/>
            <w:tcBorders>
              <w:tl2br w:val="nil"/>
              <w:tr2bl w:val="nil"/>
            </w:tcBorders>
            <w:vAlign w:val="center"/>
          </w:tcPr>
          <w:p w14:paraId="2C94A9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≥2.5GHz</w:t>
            </w:r>
          </w:p>
        </w:tc>
      </w:tr>
      <w:tr w14:paraId="2654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688A2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217FB27C">
            <w:pPr>
              <w:shd w:val="clear"/>
              <w:rPr>
                <w:rFonts w:hint="eastAsia" w:ascii="宋体" w:hAnsi="宋体" w:eastAsia="宋体" w:cs="宋体"/>
                <w:color w:val="auto"/>
                <w:highlight w:val="none"/>
              </w:rPr>
            </w:pPr>
          </w:p>
        </w:tc>
        <w:tc>
          <w:tcPr>
            <w:tcW w:w="1418" w:type="dxa"/>
            <w:tcBorders>
              <w:tl2br w:val="nil"/>
              <w:tr2bl w:val="nil"/>
            </w:tcBorders>
            <w:vAlign w:val="center"/>
          </w:tcPr>
          <w:p w14:paraId="613158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645" w:type="dxa"/>
            <w:tcBorders>
              <w:tl2br w:val="nil"/>
              <w:tr2bl w:val="nil"/>
            </w:tcBorders>
            <w:vAlign w:val="center"/>
          </w:tcPr>
          <w:p w14:paraId="172145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r>
      <w:tr w14:paraId="3952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5BAE3B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4AEC48AF">
            <w:pPr>
              <w:shd w:val="clear"/>
              <w:rPr>
                <w:rFonts w:hint="eastAsia" w:ascii="宋体" w:hAnsi="宋体" w:eastAsia="宋体" w:cs="宋体"/>
                <w:color w:val="auto"/>
                <w:highlight w:val="none"/>
              </w:rPr>
            </w:pPr>
          </w:p>
        </w:tc>
        <w:tc>
          <w:tcPr>
            <w:tcW w:w="1418" w:type="dxa"/>
            <w:tcBorders>
              <w:tl2br w:val="nil"/>
              <w:tr2bl w:val="nil"/>
            </w:tcBorders>
            <w:vAlign w:val="center"/>
          </w:tcPr>
          <w:p w14:paraId="06282A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645" w:type="dxa"/>
            <w:tcBorders>
              <w:tl2br w:val="nil"/>
              <w:tr2bl w:val="nil"/>
            </w:tcBorders>
            <w:vAlign w:val="center"/>
          </w:tcPr>
          <w:p w14:paraId="182221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≥32MB</w:t>
            </w:r>
          </w:p>
        </w:tc>
      </w:tr>
      <w:tr w14:paraId="0B47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56E76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0A3F39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418" w:type="dxa"/>
            <w:tcBorders>
              <w:tl2br w:val="nil"/>
              <w:tr2bl w:val="nil"/>
            </w:tcBorders>
            <w:vAlign w:val="center"/>
          </w:tcPr>
          <w:p w14:paraId="478D1D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645" w:type="dxa"/>
            <w:tcBorders>
              <w:tl2br w:val="nil"/>
              <w:tr2bl w:val="nil"/>
            </w:tcBorders>
            <w:vAlign w:val="center"/>
          </w:tcPr>
          <w:p w14:paraId="6CD246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44D0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B203C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44A369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418" w:type="dxa"/>
            <w:tcBorders>
              <w:tl2br w:val="nil"/>
              <w:tr2bl w:val="nil"/>
            </w:tcBorders>
            <w:vAlign w:val="center"/>
          </w:tcPr>
          <w:p w14:paraId="2D2886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645" w:type="dxa"/>
            <w:tcBorders>
              <w:tl2br w:val="nil"/>
              <w:tr2bl w:val="nil"/>
            </w:tcBorders>
            <w:vAlign w:val="center"/>
          </w:tcPr>
          <w:p w14:paraId="0B0918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3496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3122C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7D8C42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418" w:type="dxa"/>
            <w:tcBorders>
              <w:tl2br w:val="nil"/>
              <w:tr2bl w:val="nil"/>
            </w:tcBorders>
            <w:vAlign w:val="center"/>
          </w:tcPr>
          <w:p w14:paraId="29E350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内存兼容性</w:t>
            </w:r>
          </w:p>
        </w:tc>
        <w:tc>
          <w:tcPr>
            <w:tcW w:w="5645" w:type="dxa"/>
            <w:tcBorders>
              <w:tl2br w:val="nil"/>
              <w:tr2bl w:val="nil"/>
            </w:tcBorders>
            <w:vAlign w:val="center"/>
          </w:tcPr>
          <w:p w14:paraId="214A0B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种及以上厂商的内存产品，且均不低于产品支持的内存规格</w:t>
            </w:r>
          </w:p>
        </w:tc>
      </w:tr>
      <w:tr w14:paraId="3B2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5E109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70067B51">
            <w:pPr>
              <w:shd w:val="clear"/>
              <w:rPr>
                <w:rFonts w:hint="eastAsia" w:ascii="宋体" w:hAnsi="宋体" w:eastAsia="宋体" w:cs="宋体"/>
                <w:color w:val="auto"/>
                <w:highlight w:val="none"/>
              </w:rPr>
            </w:pPr>
          </w:p>
        </w:tc>
        <w:tc>
          <w:tcPr>
            <w:tcW w:w="1418" w:type="dxa"/>
            <w:tcBorders>
              <w:tl2br w:val="nil"/>
              <w:tr2bl w:val="nil"/>
            </w:tcBorders>
            <w:vAlign w:val="center"/>
          </w:tcPr>
          <w:p w14:paraId="6720BD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645" w:type="dxa"/>
            <w:tcBorders>
              <w:tl2br w:val="nil"/>
              <w:tr2bl w:val="nil"/>
            </w:tcBorders>
            <w:vAlign w:val="center"/>
          </w:tcPr>
          <w:p w14:paraId="5C2B9E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种或以上厂商的固态存储产品，且均不低于产品支持的固态存储设备规格</w:t>
            </w:r>
          </w:p>
        </w:tc>
      </w:tr>
      <w:tr w14:paraId="7B67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02565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6FBF75A">
            <w:pPr>
              <w:shd w:val="clear"/>
              <w:rPr>
                <w:rFonts w:hint="eastAsia" w:ascii="宋体" w:hAnsi="宋体" w:eastAsia="宋体" w:cs="宋体"/>
                <w:color w:val="auto"/>
                <w:highlight w:val="none"/>
              </w:rPr>
            </w:pPr>
          </w:p>
        </w:tc>
        <w:tc>
          <w:tcPr>
            <w:tcW w:w="1418" w:type="dxa"/>
            <w:tcBorders>
              <w:tl2br w:val="nil"/>
              <w:tr2bl w:val="nil"/>
            </w:tcBorders>
            <w:vAlign w:val="center"/>
          </w:tcPr>
          <w:p w14:paraId="48A222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645" w:type="dxa"/>
            <w:tcBorders>
              <w:tl2br w:val="nil"/>
              <w:tr2bl w:val="nil"/>
            </w:tcBorders>
            <w:vAlign w:val="center"/>
          </w:tcPr>
          <w:p w14:paraId="2FC8BE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5843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9DFA1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504B4D45">
            <w:pPr>
              <w:shd w:val="clear"/>
              <w:rPr>
                <w:rFonts w:hint="eastAsia" w:ascii="宋体" w:hAnsi="宋体" w:eastAsia="宋体" w:cs="宋体"/>
                <w:color w:val="auto"/>
                <w:highlight w:val="none"/>
              </w:rPr>
            </w:pPr>
          </w:p>
        </w:tc>
        <w:tc>
          <w:tcPr>
            <w:tcW w:w="1418" w:type="dxa"/>
            <w:tcBorders>
              <w:tl2br w:val="nil"/>
              <w:tr2bl w:val="nil"/>
            </w:tcBorders>
            <w:vAlign w:val="center"/>
          </w:tcPr>
          <w:p w14:paraId="010FC3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645" w:type="dxa"/>
            <w:tcBorders>
              <w:tl2br w:val="nil"/>
              <w:tr2bl w:val="nil"/>
            </w:tcBorders>
            <w:vAlign w:val="center"/>
          </w:tcPr>
          <w:p w14:paraId="09992E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 PCIe 的功能卡，如：网络功能卡、存储功能卡及图形显示功能卡</w:t>
            </w:r>
          </w:p>
        </w:tc>
      </w:tr>
      <w:tr w14:paraId="2158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726F7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690C2D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418" w:type="dxa"/>
            <w:tcBorders>
              <w:tl2br w:val="nil"/>
              <w:tr2bl w:val="nil"/>
            </w:tcBorders>
            <w:vAlign w:val="center"/>
          </w:tcPr>
          <w:p w14:paraId="200079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645" w:type="dxa"/>
            <w:tcBorders>
              <w:tl2br w:val="nil"/>
              <w:tr2bl w:val="nil"/>
            </w:tcBorders>
            <w:vAlign w:val="center"/>
          </w:tcPr>
          <w:p w14:paraId="4573DA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23C2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21208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30DAEE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418" w:type="dxa"/>
            <w:tcBorders>
              <w:tl2br w:val="nil"/>
              <w:tr2bl w:val="nil"/>
            </w:tcBorders>
            <w:vAlign w:val="center"/>
          </w:tcPr>
          <w:p w14:paraId="10A36C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645" w:type="dxa"/>
            <w:tcBorders>
              <w:tl2br w:val="nil"/>
              <w:tr2bl w:val="nil"/>
            </w:tcBorders>
            <w:vAlign w:val="center"/>
          </w:tcPr>
          <w:p w14:paraId="27B967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5F5D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7C792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4DC7485C">
            <w:pPr>
              <w:shd w:val="clear"/>
              <w:rPr>
                <w:rFonts w:hint="eastAsia" w:ascii="宋体" w:hAnsi="宋体" w:eastAsia="宋体" w:cs="宋体"/>
                <w:color w:val="auto"/>
                <w:highlight w:val="none"/>
              </w:rPr>
            </w:pPr>
          </w:p>
        </w:tc>
        <w:tc>
          <w:tcPr>
            <w:tcW w:w="1418" w:type="dxa"/>
            <w:tcBorders>
              <w:tl2br w:val="nil"/>
              <w:tr2bl w:val="nil"/>
            </w:tcBorders>
            <w:vAlign w:val="center"/>
          </w:tcPr>
          <w:p w14:paraId="6DD134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645" w:type="dxa"/>
            <w:tcBorders>
              <w:tl2br w:val="nil"/>
              <w:tr2bl w:val="nil"/>
            </w:tcBorders>
            <w:vAlign w:val="center"/>
          </w:tcPr>
          <w:p w14:paraId="52DFBB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4C62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2EEBD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18E3A8FF">
            <w:pPr>
              <w:shd w:val="clear"/>
              <w:rPr>
                <w:rFonts w:hint="eastAsia" w:ascii="宋体" w:hAnsi="宋体" w:eastAsia="宋体" w:cs="宋体"/>
                <w:color w:val="auto"/>
                <w:highlight w:val="none"/>
              </w:rPr>
            </w:pPr>
          </w:p>
        </w:tc>
        <w:tc>
          <w:tcPr>
            <w:tcW w:w="1418" w:type="dxa"/>
            <w:tcBorders>
              <w:tl2br w:val="nil"/>
              <w:tr2bl w:val="nil"/>
            </w:tcBorders>
            <w:vAlign w:val="center"/>
          </w:tcPr>
          <w:p w14:paraId="0DB8FE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645" w:type="dxa"/>
            <w:tcBorders>
              <w:tl2br w:val="nil"/>
              <w:tr2bl w:val="nil"/>
            </w:tcBorders>
            <w:vAlign w:val="center"/>
          </w:tcPr>
          <w:p w14:paraId="5C8108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140B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3479C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6C5458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整机可靠性要求</w:t>
            </w:r>
          </w:p>
        </w:tc>
        <w:tc>
          <w:tcPr>
            <w:tcW w:w="1418" w:type="dxa"/>
            <w:tcBorders>
              <w:tl2br w:val="nil"/>
              <w:tr2bl w:val="nil"/>
            </w:tcBorders>
            <w:vAlign w:val="center"/>
          </w:tcPr>
          <w:p w14:paraId="7B7B4D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645" w:type="dxa"/>
            <w:tcBorders>
              <w:tl2br w:val="nil"/>
              <w:tr2bl w:val="nil"/>
            </w:tcBorders>
            <w:vAlign w:val="center"/>
          </w:tcPr>
          <w:p w14:paraId="2DB3C0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3BC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09FCB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0200222E">
            <w:pPr>
              <w:shd w:val="clear"/>
              <w:rPr>
                <w:rFonts w:hint="eastAsia" w:ascii="宋体" w:hAnsi="宋体" w:eastAsia="宋体" w:cs="宋体"/>
                <w:color w:val="auto"/>
                <w:highlight w:val="none"/>
              </w:rPr>
            </w:pPr>
          </w:p>
        </w:tc>
        <w:tc>
          <w:tcPr>
            <w:tcW w:w="1418" w:type="dxa"/>
            <w:tcBorders>
              <w:tl2br w:val="nil"/>
              <w:tr2bl w:val="nil"/>
            </w:tcBorders>
            <w:vAlign w:val="center"/>
          </w:tcPr>
          <w:p w14:paraId="67F3F9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645" w:type="dxa"/>
            <w:tcBorders>
              <w:tl2br w:val="nil"/>
              <w:tr2bl w:val="nil"/>
            </w:tcBorders>
            <w:vAlign w:val="center"/>
          </w:tcPr>
          <w:p w14:paraId="186C02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7E8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B892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7AC1E490">
            <w:pPr>
              <w:shd w:val="clear"/>
              <w:rPr>
                <w:rFonts w:hint="eastAsia" w:ascii="宋体" w:hAnsi="宋体" w:eastAsia="宋体" w:cs="宋体"/>
                <w:color w:val="auto"/>
                <w:highlight w:val="none"/>
              </w:rPr>
            </w:pPr>
          </w:p>
        </w:tc>
        <w:tc>
          <w:tcPr>
            <w:tcW w:w="1418" w:type="dxa"/>
            <w:tcBorders>
              <w:tl2br w:val="nil"/>
              <w:tr2bl w:val="nil"/>
            </w:tcBorders>
            <w:vAlign w:val="center"/>
          </w:tcPr>
          <w:p w14:paraId="4CA059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部件可靠性</w:t>
            </w:r>
          </w:p>
        </w:tc>
        <w:tc>
          <w:tcPr>
            <w:tcW w:w="5645" w:type="dxa"/>
            <w:tcBorders>
              <w:tl2br w:val="nil"/>
              <w:tr2bl w:val="nil"/>
            </w:tcBorders>
            <w:vAlign w:val="center"/>
          </w:tcPr>
          <w:p w14:paraId="0269C1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7BA3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E89B6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397E0C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418" w:type="dxa"/>
            <w:tcBorders>
              <w:tl2br w:val="nil"/>
              <w:tr2bl w:val="nil"/>
            </w:tcBorders>
            <w:vAlign w:val="center"/>
          </w:tcPr>
          <w:p w14:paraId="1AD377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645" w:type="dxa"/>
            <w:tcBorders>
              <w:tl2br w:val="nil"/>
              <w:tr2bl w:val="nil"/>
            </w:tcBorders>
            <w:vAlign w:val="center"/>
          </w:tcPr>
          <w:p w14:paraId="46208F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3FD8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9783E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6CD9AF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418" w:type="dxa"/>
            <w:tcBorders>
              <w:tl2br w:val="nil"/>
              <w:tr2bl w:val="nil"/>
            </w:tcBorders>
            <w:vAlign w:val="center"/>
          </w:tcPr>
          <w:p w14:paraId="2553F9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645" w:type="dxa"/>
            <w:tcBorders>
              <w:tl2br w:val="nil"/>
              <w:tr2bl w:val="nil"/>
            </w:tcBorders>
            <w:vAlign w:val="center"/>
          </w:tcPr>
          <w:p w14:paraId="1FF9E2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7DE1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B4F6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1625872A">
            <w:pPr>
              <w:shd w:val="clear"/>
              <w:rPr>
                <w:rFonts w:hint="eastAsia" w:ascii="宋体" w:hAnsi="宋体" w:eastAsia="宋体" w:cs="宋体"/>
                <w:color w:val="auto"/>
                <w:highlight w:val="none"/>
              </w:rPr>
            </w:pPr>
          </w:p>
        </w:tc>
        <w:tc>
          <w:tcPr>
            <w:tcW w:w="1418" w:type="dxa"/>
            <w:tcBorders>
              <w:tl2br w:val="nil"/>
              <w:tr2bl w:val="nil"/>
            </w:tcBorders>
            <w:vAlign w:val="center"/>
          </w:tcPr>
          <w:p w14:paraId="10196E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645" w:type="dxa"/>
            <w:tcBorders>
              <w:tl2br w:val="nil"/>
              <w:tr2bl w:val="nil"/>
            </w:tcBorders>
            <w:vAlign w:val="center"/>
          </w:tcPr>
          <w:p w14:paraId="6AF67D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乙方提供培训材料、产品手册、培训视频等培训相关内容</w:t>
            </w:r>
          </w:p>
        </w:tc>
      </w:tr>
      <w:tr w14:paraId="7F88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637777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2B1BC2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418" w:type="dxa"/>
            <w:vMerge w:val="restart"/>
            <w:tcBorders>
              <w:tl2br w:val="nil"/>
              <w:tr2bl w:val="nil"/>
            </w:tcBorders>
            <w:vAlign w:val="center"/>
          </w:tcPr>
          <w:p w14:paraId="7F2AC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645" w:type="dxa"/>
            <w:tcBorders>
              <w:tl2br w:val="nil"/>
              <w:tr2bl w:val="nil"/>
            </w:tcBorders>
            <w:vAlign w:val="center"/>
          </w:tcPr>
          <w:p w14:paraId="19D29B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363C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CED700D">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5FF05A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1F20950">
            <w:pPr>
              <w:shd w:val="clear"/>
              <w:rPr>
                <w:rFonts w:hint="eastAsia" w:ascii="宋体" w:hAnsi="宋体" w:eastAsia="宋体" w:cs="宋体"/>
                <w:color w:val="auto"/>
                <w:highlight w:val="none"/>
              </w:rPr>
            </w:pPr>
          </w:p>
        </w:tc>
        <w:tc>
          <w:tcPr>
            <w:tcW w:w="5645" w:type="dxa"/>
            <w:tcBorders>
              <w:tl2br w:val="nil"/>
              <w:tr2bl w:val="nil"/>
            </w:tcBorders>
            <w:vAlign w:val="center"/>
          </w:tcPr>
          <w:p w14:paraId="3E112F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设备停产后继续提供质量保障服务（含备品备件），服务终止时间与最后一批设备交付时间间隔不低于6 年；</w:t>
            </w:r>
          </w:p>
        </w:tc>
      </w:tr>
      <w:tr w14:paraId="4402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56AFBB8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2CDE5430">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3A706380">
            <w:pPr>
              <w:shd w:val="clear"/>
              <w:rPr>
                <w:rFonts w:hint="eastAsia" w:ascii="宋体" w:hAnsi="宋体" w:eastAsia="宋体" w:cs="宋体"/>
                <w:color w:val="auto"/>
                <w:highlight w:val="none"/>
              </w:rPr>
            </w:pPr>
          </w:p>
        </w:tc>
        <w:tc>
          <w:tcPr>
            <w:tcW w:w="5645" w:type="dxa"/>
            <w:tcBorders>
              <w:tl2br w:val="nil"/>
              <w:tr2bl w:val="nil"/>
            </w:tcBorders>
            <w:vAlign w:val="center"/>
          </w:tcPr>
          <w:p w14:paraId="3C76EF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年告知甲方；</w:t>
            </w:r>
          </w:p>
        </w:tc>
      </w:tr>
      <w:tr w14:paraId="1E37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4C33D636">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ADF8EB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28E3D57">
            <w:pPr>
              <w:shd w:val="clear"/>
              <w:rPr>
                <w:rFonts w:hint="eastAsia" w:ascii="宋体" w:hAnsi="宋体" w:eastAsia="宋体" w:cs="宋体"/>
                <w:color w:val="auto"/>
                <w:highlight w:val="none"/>
              </w:rPr>
            </w:pPr>
          </w:p>
        </w:tc>
        <w:tc>
          <w:tcPr>
            <w:tcW w:w="5645" w:type="dxa"/>
            <w:tcBorders>
              <w:tl2br w:val="nil"/>
              <w:tr2bl w:val="nil"/>
            </w:tcBorders>
            <w:vAlign w:val="center"/>
          </w:tcPr>
          <w:p w14:paraId="4C3A6F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3FAF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6CB8F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4ADA74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418" w:type="dxa"/>
            <w:tcBorders>
              <w:tl2br w:val="nil"/>
              <w:tr2bl w:val="nil"/>
            </w:tcBorders>
            <w:vAlign w:val="center"/>
          </w:tcPr>
          <w:p w14:paraId="061F08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645" w:type="dxa"/>
            <w:tcBorders>
              <w:tl2br w:val="nil"/>
              <w:tr2bl w:val="nil"/>
            </w:tcBorders>
            <w:vAlign w:val="center"/>
          </w:tcPr>
          <w:p w14:paraId="109603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5436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83AA3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759CD7BB">
            <w:pPr>
              <w:shd w:val="clear"/>
              <w:rPr>
                <w:rFonts w:hint="eastAsia" w:ascii="宋体" w:hAnsi="宋体" w:eastAsia="宋体" w:cs="宋体"/>
                <w:color w:val="auto"/>
                <w:highlight w:val="none"/>
              </w:rPr>
            </w:pPr>
          </w:p>
        </w:tc>
        <w:tc>
          <w:tcPr>
            <w:tcW w:w="1418" w:type="dxa"/>
            <w:tcBorders>
              <w:tl2br w:val="nil"/>
              <w:tr2bl w:val="nil"/>
            </w:tcBorders>
            <w:vAlign w:val="center"/>
          </w:tcPr>
          <w:p w14:paraId="32E816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645" w:type="dxa"/>
            <w:tcBorders>
              <w:tl2br w:val="nil"/>
              <w:tr2bl w:val="nil"/>
            </w:tcBorders>
            <w:vAlign w:val="center"/>
          </w:tcPr>
          <w:p w14:paraId="38F3B7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093E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27E8D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40321575">
            <w:pPr>
              <w:shd w:val="clear"/>
              <w:rPr>
                <w:rFonts w:hint="eastAsia" w:ascii="宋体" w:hAnsi="宋体" w:eastAsia="宋体" w:cs="宋体"/>
                <w:color w:val="auto"/>
                <w:highlight w:val="none"/>
              </w:rPr>
            </w:pPr>
          </w:p>
        </w:tc>
        <w:tc>
          <w:tcPr>
            <w:tcW w:w="1418" w:type="dxa"/>
            <w:tcBorders>
              <w:tl2br w:val="nil"/>
              <w:tr2bl w:val="nil"/>
            </w:tcBorders>
            <w:vAlign w:val="center"/>
          </w:tcPr>
          <w:p w14:paraId="0390DC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645" w:type="dxa"/>
            <w:tcBorders>
              <w:tl2br w:val="nil"/>
              <w:tr2bl w:val="nil"/>
            </w:tcBorders>
            <w:vAlign w:val="center"/>
          </w:tcPr>
          <w:p w14:paraId="425451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5AEB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39B7B2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0E6731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418" w:type="dxa"/>
            <w:tcBorders>
              <w:tl2br w:val="nil"/>
              <w:tr2bl w:val="nil"/>
            </w:tcBorders>
            <w:vAlign w:val="center"/>
          </w:tcPr>
          <w:p w14:paraId="64A8A7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645" w:type="dxa"/>
            <w:tcBorders>
              <w:tl2br w:val="nil"/>
              <w:tr2bl w:val="nil"/>
            </w:tcBorders>
            <w:vAlign w:val="center"/>
          </w:tcPr>
          <w:p w14:paraId="323EC9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17C7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5149A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7A16C408">
            <w:pPr>
              <w:shd w:val="clear"/>
              <w:rPr>
                <w:rFonts w:hint="eastAsia" w:ascii="宋体" w:hAnsi="宋体" w:eastAsia="宋体" w:cs="宋体"/>
                <w:color w:val="auto"/>
                <w:highlight w:val="none"/>
              </w:rPr>
            </w:pPr>
          </w:p>
        </w:tc>
        <w:tc>
          <w:tcPr>
            <w:tcW w:w="1418" w:type="dxa"/>
            <w:tcBorders>
              <w:tl2br w:val="nil"/>
              <w:tr2bl w:val="nil"/>
            </w:tcBorders>
            <w:vAlign w:val="center"/>
          </w:tcPr>
          <w:p w14:paraId="15742F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645" w:type="dxa"/>
            <w:tcBorders>
              <w:tl2br w:val="nil"/>
              <w:tr2bl w:val="nil"/>
            </w:tcBorders>
            <w:vAlign w:val="center"/>
          </w:tcPr>
          <w:p w14:paraId="3C01A2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3492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C87E1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579667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418" w:type="dxa"/>
            <w:tcBorders>
              <w:tl2br w:val="nil"/>
              <w:tr2bl w:val="nil"/>
            </w:tcBorders>
            <w:vAlign w:val="center"/>
          </w:tcPr>
          <w:p w14:paraId="657E03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645" w:type="dxa"/>
            <w:tcBorders>
              <w:tl2br w:val="nil"/>
              <w:tr2bl w:val="nil"/>
            </w:tcBorders>
            <w:vAlign w:val="center"/>
          </w:tcPr>
          <w:p w14:paraId="3347AD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当产品部件出现供应风险时，应通知甲方并提供风险应对方案确保产品的服务保障，必要时应停止相关受影响产品的销售</w:t>
            </w:r>
          </w:p>
        </w:tc>
      </w:tr>
      <w:tr w14:paraId="70DC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DE268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647481FE">
            <w:pPr>
              <w:shd w:val="clear"/>
              <w:rPr>
                <w:rFonts w:hint="eastAsia" w:ascii="宋体" w:hAnsi="宋体" w:eastAsia="宋体" w:cs="宋体"/>
                <w:color w:val="auto"/>
                <w:highlight w:val="none"/>
              </w:rPr>
            </w:pPr>
          </w:p>
        </w:tc>
        <w:tc>
          <w:tcPr>
            <w:tcW w:w="1418" w:type="dxa"/>
            <w:tcBorders>
              <w:tl2br w:val="nil"/>
              <w:tr2bl w:val="nil"/>
            </w:tcBorders>
            <w:vAlign w:val="center"/>
          </w:tcPr>
          <w:p w14:paraId="364A8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645" w:type="dxa"/>
            <w:tcBorders>
              <w:tl2br w:val="nil"/>
              <w:tr2bl w:val="nil"/>
            </w:tcBorders>
            <w:vAlign w:val="center"/>
          </w:tcPr>
          <w:p w14:paraId="6DF1EA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乙方需提供供应链稳定承诺书，确保产品的部件在产品服务周期内稳定供货</w:t>
            </w:r>
          </w:p>
        </w:tc>
      </w:tr>
    </w:tbl>
    <w:p w14:paraId="552301F2">
      <w:pPr>
        <w:shd w:val="clear"/>
        <w:spacing w:line="360" w:lineRule="auto"/>
        <w:rPr>
          <w:rFonts w:hint="eastAsia" w:ascii="宋体" w:hAnsi="宋体" w:eastAsia="宋体" w:cs="宋体"/>
          <w:color w:val="auto"/>
          <w:sz w:val="24"/>
          <w:highlight w:val="none"/>
        </w:rPr>
      </w:pP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69"/>
        <w:gridCol w:w="6159"/>
      </w:tblGrid>
      <w:tr w14:paraId="7631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2C8951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1DE345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3E8A13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540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7A9E12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8558E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非现场公安网高性能一体机4台</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5C27D7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处理器：≥2.2G 32C *2；</w:t>
            </w:r>
          </w:p>
          <w:p w14:paraId="051AAE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内存：≥32GB DDR4 3200 RDIMM *12；</w:t>
            </w:r>
          </w:p>
          <w:p w14:paraId="322CCB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硬盘：≥4TB 7.2k 6Gb *4 + 960GB  6Gb R SSD *3 + 960GB  6Gb M SSD *1 + 480GB 6Gb R SSD *2；</w:t>
            </w:r>
          </w:p>
          <w:p w14:paraId="08202A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业务网口≥双口万兆网卡*2（含模块）；</w:t>
            </w:r>
          </w:p>
          <w:p w14:paraId="61137D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电源：≥800W电源模块*2</w:t>
            </w:r>
          </w:p>
          <w:p w14:paraId="414EA6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详细参数见“非现场公安网高性能一体机详细参数要求”</w:t>
            </w:r>
          </w:p>
        </w:tc>
      </w:tr>
    </w:tbl>
    <w:p w14:paraId="5B94152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非现场公安网高性能一体机单台详细参数如下：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8"/>
        <w:gridCol w:w="1889"/>
        <w:gridCol w:w="5350"/>
      </w:tblGrid>
      <w:tr w14:paraId="1F6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shd w:val="clear" w:color="000000" w:fill="auto"/>
            <w:vAlign w:val="center"/>
          </w:tcPr>
          <w:p w14:paraId="222C75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794881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843" w:type="dxa"/>
            <w:tcBorders>
              <w:tl2br w:val="nil"/>
              <w:tr2bl w:val="nil"/>
            </w:tcBorders>
            <w:shd w:val="clear" w:color="000000" w:fill="auto"/>
            <w:vAlign w:val="center"/>
          </w:tcPr>
          <w:p w14:paraId="0B8C73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220" w:type="dxa"/>
            <w:tcBorders>
              <w:tl2br w:val="nil"/>
              <w:tr2bl w:val="nil"/>
            </w:tcBorders>
            <w:shd w:val="clear" w:color="000000" w:fill="auto"/>
            <w:vAlign w:val="center"/>
          </w:tcPr>
          <w:p w14:paraId="7926CE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26D1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restart"/>
            <w:tcBorders>
              <w:tl2br w:val="nil"/>
              <w:tr2bl w:val="nil"/>
            </w:tcBorders>
            <w:vAlign w:val="center"/>
          </w:tcPr>
          <w:p w14:paraId="30D97B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721DEF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843" w:type="dxa"/>
            <w:vMerge w:val="restart"/>
            <w:tcBorders>
              <w:tl2br w:val="nil"/>
              <w:tr2bl w:val="nil"/>
            </w:tcBorders>
            <w:vAlign w:val="center"/>
          </w:tcPr>
          <w:p w14:paraId="001ED7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220" w:type="dxa"/>
            <w:tcBorders>
              <w:tl2br w:val="nil"/>
              <w:tr2bl w:val="nil"/>
            </w:tcBorders>
            <w:vAlign w:val="center"/>
          </w:tcPr>
          <w:p w14:paraId="757EBE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（1）配置2颗国产架构处理器，支持超线程技术和睿频技术；</w:t>
            </w:r>
          </w:p>
        </w:tc>
      </w:tr>
      <w:tr w14:paraId="754D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0E1C2DA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55CA21A">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1EEFAAAA">
            <w:pPr>
              <w:shd w:val="clear"/>
              <w:rPr>
                <w:rFonts w:hint="eastAsia" w:ascii="宋体" w:hAnsi="宋体" w:eastAsia="宋体" w:cs="宋体"/>
                <w:color w:val="auto"/>
                <w:highlight w:val="none"/>
              </w:rPr>
            </w:pPr>
          </w:p>
        </w:tc>
        <w:tc>
          <w:tcPr>
            <w:tcW w:w="5220" w:type="dxa"/>
            <w:tcBorders>
              <w:tl2br w:val="nil"/>
              <w:tr2bl w:val="nil"/>
            </w:tcBorders>
            <w:vAlign w:val="center"/>
          </w:tcPr>
          <w:p w14:paraId="7572C6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（2）单颗CPU物理核心数≥32核、主频≥2.2GHz、末级缓存容量≥64MB、线程数≥64、热设计功耗≥220W、支持内存的最高速率≥3200MHz、通道数≥8、位宽≥64位；</w:t>
            </w:r>
          </w:p>
          <w:p w14:paraId="575A22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乙方应在投标时给出CPU型号；</w:t>
            </w:r>
          </w:p>
        </w:tc>
      </w:tr>
      <w:tr w14:paraId="1AF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794A95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3FA279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843" w:type="dxa"/>
            <w:tcBorders>
              <w:tl2br w:val="nil"/>
              <w:tr2bl w:val="nil"/>
            </w:tcBorders>
            <w:vAlign w:val="center"/>
          </w:tcPr>
          <w:p w14:paraId="41B3BA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 和内存情况</w:t>
            </w:r>
          </w:p>
        </w:tc>
        <w:tc>
          <w:tcPr>
            <w:tcW w:w="5220" w:type="dxa"/>
            <w:tcBorders>
              <w:tl2br w:val="nil"/>
              <w:tr2bl w:val="nil"/>
            </w:tcBorders>
            <w:vAlign w:val="center"/>
          </w:tcPr>
          <w:p w14:paraId="12AA25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≥2颗，内存数量支持≥32个；</w:t>
            </w:r>
          </w:p>
          <w:p w14:paraId="4BBCF4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乙方应在投标时给出主板支持的CPU型号；</w:t>
            </w:r>
          </w:p>
        </w:tc>
      </w:tr>
      <w:tr w14:paraId="0F82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81ADF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5E5CC7B9">
            <w:pPr>
              <w:shd w:val="clear"/>
              <w:rPr>
                <w:rFonts w:hint="eastAsia" w:ascii="宋体" w:hAnsi="宋体" w:eastAsia="宋体" w:cs="宋体"/>
                <w:color w:val="auto"/>
                <w:highlight w:val="none"/>
              </w:rPr>
            </w:pPr>
          </w:p>
        </w:tc>
        <w:tc>
          <w:tcPr>
            <w:tcW w:w="1843" w:type="dxa"/>
            <w:tcBorders>
              <w:tl2br w:val="nil"/>
              <w:tr2bl w:val="nil"/>
            </w:tcBorders>
            <w:vAlign w:val="center"/>
          </w:tcPr>
          <w:p w14:paraId="09CB90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220" w:type="dxa"/>
            <w:tcBorders>
              <w:tl2br w:val="nil"/>
              <w:tr2bl w:val="nil"/>
            </w:tcBorders>
            <w:vAlign w:val="center"/>
          </w:tcPr>
          <w:p w14:paraId="660E65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主板内存槽数量≥32个</w:t>
            </w:r>
          </w:p>
        </w:tc>
      </w:tr>
      <w:tr w14:paraId="2FDA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630" w:type="dxa"/>
            <w:tcBorders>
              <w:tl2br w:val="nil"/>
              <w:tr2bl w:val="nil"/>
            </w:tcBorders>
            <w:vAlign w:val="center"/>
          </w:tcPr>
          <w:p w14:paraId="065DED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40472249">
            <w:pPr>
              <w:shd w:val="clear"/>
              <w:rPr>
                <w:rFonts w:hint="eastAsia" w:ascii="宋体" w:hAnsi="宋体" w:eastAsia="宋体" w:cs="宋体"/>
                <w:color w:val="auto"/>
                <w:highlight w:val="none"/>
              </w:rPr>
            </w:pPr>
          </w:p>
        </w:tc>
        <w:tc>
          <w:tcPr>
            <w:tcW w:w="1843" w:type="dxa"/>
            <w:tcBorders>
              <w:tl2br w:val="nil"/>
              <w:tr2bl w:val="nil"/>
            </w:tcBorders>
            <w:vAlign w:val="center"/>
          </w:tcPr>
          <w:p w14:paraId="428150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220" w:type="dxa"/>
            <w:tcBorders>
              <w:tl2br w:val="nil"/>
              <w:tr2bl w:val="nil"/>
            </w:tcBorders>
            <w:vAlign w:val="center"/>
          </w:tcPr>
          <w:p w14:paraId="0ECCD1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（1）前置可支持≥12个前置热插拔3.5硬盘或24个2.5硬盘，支持SAS/SATA/NVMe SSD</w:t>
            </w:r>
          </w:p>
          <w:p w14:paraId="41E9C9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（2）板载可支持≥8个U.2 NVMe SSD</w:t>
            </w:r>
          </w:p>
          <w:p w14:paraId="1C74A1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（3）板载可支持2个内置M.2 SSD，兼容PCIe 和SATA规格，支持2个SATA M.2组RAID</w:t>
            </w:r>
          </w:p>
          <w:p w14:paraId="71F940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（4）后置可支持≥4个2.5寸硬盘，支持anybay</w:t>
            </w:r>
          </w:p>
          <w:p w14:paraId="703A79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（5）后置可支持≥4个3.5寸硬盘，支持SAS/SATA/SSD</w:t>
            </w:r>
          </w:p>
        </w:tc>
      </w:tr>
      <w:tr w14:paraId="0E8D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0" w:type="dxa"/>
            <w:tcBorders>
              <w:tl2br w:val="nil"/>
              <w:tr2bl w:val="nil"/>
            </w:tcBorders>
            <w:vAlign w:val="center"/>
          </w:tcPr>
          <w:p w14:paraId="2EE49F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399A921C">
            <w:pPr>
              <w:shd w:val="clear"/>
              <w:rPr>
                <w:rFonts w:hint="eastAsia" w:ascii="宋体" w:hAnsi="宋体" w:eastAsia="宋体" w:cs="宋体"/>
                <w:color w:val="auto"/>
                <w:highlight w:val="none"/>
              </w:rPr>
            </w:pPr>
          </w:p>
        </w:tc>
        <w:tc>
          <w:tcPr>
            <w:tcW w:w="1843" w:type="dxa"/>
            <w:tcBorders>
              <w:tl2br w:val="nil"/>
              <w:tr2bl w:val="nil"/>
            </w:tcBorders>
            <w:vAlign w:val="center"/>
          </w:tcPr>
          <w:p w14:paraId="0B004E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插槽接口</w:t>
            </w:r>
          </w:p>
        </w:tc>
        <w:tc>
          <w:tcPr>
            <w:tcW w:w="5220" w:type="dxa"/>
            <w:tcBorders>
              <w:tl2br w:val="nil"/>
              <w:tr2bl w:val="nil"/>
            </w:tcBorders>
            <w:vAlign w:val="center"/>
          </w:tcPr>
          <w:p w14:paraId="3ECFD6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0805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D85B2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58E59060">
            <w:pPr>
              <w:shd w:val="clear"/>
              <w:rPr>
                <w:rFonts w:hint="eastAsia" w:ascii="宋体" w:hAnsi="宋体" w:eastAsia="宋体" w:cs="宋体"/>
                <w:color w:val="auto"/>
                <w:highlight w:val="none"/>
              </w:rPr>
            </w:pPr>
          </w:p>
        </w:tc>
        <w:tc>
          <w:tcPr>
            <w:tcW w:w="1843" w:type="dxa"/>
            <w:tcBorders>
              <w:tl2br w:val="nil"/>
              <w:tr2bl w:val="nil"/>
            </w:tcBorders>
            <w:vAlign w:val="center"/>
          </w:tcPr>
          <w:p w14:paraId="56D40D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220" w:type="dxa"/>
            <w:tcBorders>
              <w:tl2br w:val="nil"/>
              <w:tr2bl w:val="nil"/>
            </w:tcBorders>
            <w:vAlign w:val="center"/>
          </w:tcPr>
          <w:p w14:paraId="05B6C0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支持直插主板的riser方式扩展≥8个全高PCIe 4.0标准卡支持1个直插主板的内置RAID卡PCIe标准插槽，不使用线缆连接，不占用后置PCIe标准卡槽位，可通过扩展卡进行插槽扩展</w:t>
            </w:r>
          </w:p>
        </w:tc>
      </w:tr>
      <w:tr w14:paraId="5352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6BD55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vAlign w:val="center"/>
          </w:tcPr>
          <w:p w14:paraId="30F437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843" w:type="dxa"/>
            <w:tcBorders>
              <w:tl2br w:val="nil"/>
              <w:tr2bl w:val="nil"/>
            </w:tcBorders>
            <w:vAlign w:val="center"/>
          </w:tcPr>
          <w:p w14:paraId="7E33CE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220" w:type="dxa"/>
            <w:tcBorders>
              <w:tl2br w:val="nil"/>
              <w:tr2bl w:val="nil"/>
            </w:tcBorders>
            <w:vAlign w:val="center"/>
          </w:tcPr>
          <w:p w14:paraId="4AF714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内存数量≥12</w:t>
            </w:r>
          </w:p>
        </w:tc>
      </w:tr>
      <w:tr w14:paraId="6083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1E0473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3FA05C10">
            <w:pPr>
              <w:shd w:val="clear"/>
              <w:rPr>
                <w:rFonts w:hint="eastAsia" w:ascii="宋体" w:hAnsi="宋体" w:eastAsia="宋体" w:cs="宋体"/>
                <w:color w:val="auto"/>
                <w:highlight w:val="none"/>
              </w:rPr>
            </w:pPr>
          </w:p>
        </w:tc>
        <w:tc>
          <w:tcPr>
            <w:tcW w:w="1843" w:type="dxa"/>
            <w:tcBorders>
              <w:tl2br w:val="nil"/>
              <w:tr2bl w:val="nil"/>
            </w:tcBorders>
            <w:vAlign w:val="center"/>
          </w:tcPr>
          <w:p w14:paraId="148EA1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220" w:type="dxa"/>
            <w:tcBorders>
              <w:tl2br w:val="nil"/>
              <w:tr2bl w:val="nil"/>
            </w:tcBorders>
            <w:vAlign w:val="center"/>
          </w:tcPr>
          <w:p w14:paraId="0839AF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实配≥384GB DDR4</w:t>
            </w:r>
          </w:p>
        </w:tc>
      </w:tr>
      <w:tr w14:paraId="6F72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31AD4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4CAC9C27">
            <w:pPr>
              <w:shd w:val="clear"/>
              <w:rPr>
                <w:rFonts w:hint="eastAsia" w:ascii="宋体" w:hAnsi="宋体" w:eastAsia="宋体" w:cs="宋体"/>
                <w:color w:val="auto"/>
                <w:highlight w:val="none"/>
              </w:rPr>
            </w:pPr>
          </w:p>
        </w:tc>
        <w:tc>
          <w:tcPr>
            <w:tcW w:w="1843" w:type="dxa"/>
            <w:tcBorders>
              <w:tl2br w:val="nil"/>
              <w:tr2bl w:val="nil"/>
            </w:tcBorders>
            <w:vAlign w:val="center"/>
          </w:tcPr>
          <w:p w14:paraId="7E437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220" w:type="dxa"/>
            <w:tcBorders>
              <w:tl2br w:val="nil"/>
              <w:tr2bl w:val="nil"/>
            </w:tcBorders>
            <w:vAlign w:val="center"/>
          </w:tcPr>
          <w:p w14:paraId="6D2275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支持≥8个内存接口通道</w:t>
            </w:r>
          </w:p>
        </w:tc>
      </w:tr>
      <w:tr w14:paraId="0676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E28A1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vAlign w:val="center"/>
          </w:tcPr>
          <w:p w14:paraId="553B1C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843" w:type="dxa"/>
            <w:tcBorders>
              <w:tl2br w:val="nil"/>
              <w:tr2bl w:val="nil"/>
            </w:tcBorders>
            <w:vAlign w:val="center"/>
          </w:tcPr>
          <w:p w14:paraId="65E645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220" w:type="dxa"/>
            <w:tcBorders>
              <w:tl2br w:val="nil"/>
              <w:tr2bl w:val="nil"/>
            </w:tcBorders>
            <w:vAlign w:val="center"/>
          </w:tcPr>
          <w:p w14:paraId="39ACB8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实配硬磁盘≥16T，实配固态盘≥4.8T；</w:t>
            </w:r>
          </w:p>
        </w:tc>
      </w:tr>
      <w:tr w14:paraId="1F66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3A327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02AE1416">
            <w:pPr>
              <w:shd w:val="clear"/>
              <w:rPr>
                <w:rFonts w:hint="eastAsia" w:ascii="宋体" w:hAnsi="宋体" w:eastAsia="宋体" w:cs="宋体"/>
                <w:color w:val="auto"/>
                <w:highlight w:val="none"/>
              </w:rPr>
            </w:pPr>
          </w:p>
        </w:tc>
        <w:tc>
          <w:tcPr>
            <w:tcW w:w="1843" w:type="dxa"/>
            <w:tcBorders>
              <w:tl2br w:val="nil"/>
              <w:tr2bl w:val="nil"/>
            </w:tcBorders>
            <w:vAlign w:val="center"/>
          </w:tcPr>
          <w:p w14:paraId="2545B8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220" w:type="dxa"/>
            <w:tcBorders>
              <w:tl2br w:val="nil"/>
              <w:tr2bl w:val="nil"/>
            </w:tcBorders>
            <w:vAlign w:val="center"/>
          </w:tcPr>
          <w:p w14:paraId="5531C4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实配硬磁盘≥4块4TB 3.5寸 7.2K 12Gb SAS硬盘，实配固态盘≥3块960G 2.5寸 SATA 6Gb R SSD，≥2块480G 2.5寸 SATA 6Gb R SSD,≥1块960G 2.5寸 SATA 6Gb M SSD；</w:t>
            </w:r>
          </w:p>
        </w:tc>
      </w:tr>
      <w:tr w14:paraId="3C62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02C8FC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7198C9B0">
            <w:pPr>
              <w:shd w:val="clear"/>
              <w:rPr>
                <w:rFonts w:hint="eastAsia" w:ascii="宋体" w:hAnsi="宋体" w:eastAsia="宋体" w:cs="宋体"/>
                <w:color w:val="auto"/>
                <w:highlight w:val="none"/>
              </w:rPr>
            </w:pPr>
          </w:p>
        </w:tc>
        <w:tc>
          <w:tcPr>
            <w:tcW w:w="1843" w:type="dxa"/>
            <w:vMerge w:val="restart"/>
            <w:tcBorders>
              <w:tl2br w:val="nil"/>
              <w:tr2bl w:val="nil"/>
            </w:tcBorders>
            <w:vAlign w:val="center"/>
          </w:tcPr>
          <w:p w14:paraId="61AC48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220" w:type="dxa"/>
            <w:tcBorders>
              <w:tl2br w:val="nil"/>
              <w:tr2bl w:val="nil"/>
            </w:tcBorders>
            <w:vAlign w:val="center"/>
          </w:tcPr>
          <w:p w14:paraId="082130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（1）最高支持≥12个前置热插拔3.5硬盘或24个2.5硬盘，支持SAS/SATA/NVMe SSD</w:t>
            </w:r>
          </w:p>
        </w:tc>
      </w:tr>
      <w:tr w14:paraId="4A0E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continue"/>
            <w:tcBorders>
              <w:tl2br w:val="nil"/>
              <w:tr2bl w:val="nil"/>
            </w:tcBorders>
            <w:vAlign w:val="center"/>
          </w:tcPr>
          <w:p w14:paraId="266A1CE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EA18C38">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2423D9C6">
            <w:pPr>
              <w:shd w:val="clear"/>
              <w:rPr>
                <w:rFonts w:hint="eastAsia" w:ascii="宋体" w:hAnsi="宋体" w:eastAsia="宋体" w:cs="宋体"/>
                <w:color w:val="auto"/>
                <w:highlight w:val="none"/>
              </w:rPr>
            </w:pPr>
          </w:p>
        </w:tc>
        <w:tc>
          <w:tcPr>
            <w:tcW w:w="5220" w:type="dxa"/>
            <w:tcBorders>
              <w:tl2br w:val="nil"/>
              <w:tr2bl w:val="nil"/>
            </w:tcBorders>
            <w:vAlign w:val="center"/>
          </w:tcPr>
          <w:p w14:paraId="1FE7CF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（2）后置支持≥4个2.5寸硬盘，支持anybay或后置支持≥4个3.5寸硬盘，支持SAS/SATA/SSD</w:t>
            </w:r>
          </w:p>
        </w:tc>
      </w:tr>
      <w:tr w14:paraId="02C7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55F1D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03B07E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843" w:type="dxa"/>
            <w:tcBorders>
              <w:tl2br w:val="nil"/>
              <w:tr2bl w:val="nil"/>
            </w:tcBorders>
            <w:vAlign w:val="center"/>
          </w:tcPr>
          <w:p w14:paraId="2F72B5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220" w:type="dxa"/>
            <w:tcBorders>
              <w:tl2br w:val="nil"/>
              <w:tr2bl w:val="nil"/>
            </w:tcBorders>
            <w:vAlign w:val="center"/>
          </w:tcPr>
          <w:p w14:paraId="4B1F4A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≥2个万兆双口光纤网卡（含模块）</w:t>
            </w:r>
          </w:p>
        </w:tc>
      </w:tr>
      <w:tr w14:paraId="00C1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4CBD0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6267D9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843" w:type="dxa"/>
            <w:tcBorders>
              <w:tl2br w:val="nil"/>
              <w:tr2bl w:val="nil"/>
            </w:tcBorders>
            <w:vAlign w:val="center"/>
          </w:tcPr>
          <w:p w14:paraId="2502D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220" w:type="dxa"/>
            <w:tcBorders>
              <w:tl2br w:val="nil"/>
              <w:tr2bl w:val="nil"/>
            </w:tcBorders>
            <w:vAlign w:val="center"/>
          </w:tcPr>
          <w:p w14:paraId="2E927D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7359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7EB22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612C1067">
            <w:pPr>
              <w:shd w:val="clear"/>
              <w:rPr>
                <w:rFonts w:hint="eastAsia" w:ascii="宋体" w:hAnsi="宋体" w:eastAsia="宋体" w:cs="宋体"/>
                <w:color w:val="auto"/>
                <w:highlight w:val="none"/>
              </w:rPr>
            </w:pPr>
          </w:p>
        </w:tc>
        <w:tc>
          <w:tcPr>
            <w:tcW w:w="1843" w:type="dxa"/>
            <w:tcBorders>
              <w:tl2br w:val="nil"/>
              <w:tr2bl w:val="nil"/>
            </w:tcBorders>
            <w:vAlign w:val="center"/>
          </w:tcPr>
          <w:p w14:paraId="39173B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220" w:type="dxa"/>
            <w:tcBorders>
              <w:tl2br w:val="nil"/>
              <w:tr2bl w:val="nil"/>
            </w:tcBorders>
            <w:vAlign w:val="center"/>
          </w:tcPr>
          <w:p w14:paraId="634D94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配置≥4个USB3.0接口，2个位于机箱后部，2个位于机箱前部。</w:t>
            </w:r>
          </w:p>
        </w:tc>
      </w:tr>
      <w:tr w14:paraId="3A8D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091D5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0C417B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843" w:type="dxa"/>
            <w:tcBorders>
              <w:tl2br w:val="nil"/>
              <w:tr2bl w:val="nil"/>
            </w:tcBorders>
            <w:vAlign w:val="center"/>
          </w:tcPr>
          <w:p w14:paraId="333BDD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220" w:type="dxa"/>
            <w:tcBorders>
              <w:tl2br w:val="nil"/>
              <w:tr2bl w:val="nil"/>
            </w:tcBorders>
            <w:vAlign w:val="center"/>
          </w:tcPr>
          <w:p w14:paraId="19EE34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56D2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0" w:type="dxa"/>
            <w:tcBorders>
              <w:tl2br w:val="nil"/>
              <w:tr2bl w:val="nil"/>
            </w:tcBorders>
            <w:vAlign w:val="center"/>
          </w:tcPr>
          <w:p w14:paraId="0FA96B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58A1F6B7">
            <w:pPr>
              <w:shd w:val="clear"/>
              <w:rPr>
                <w:rFonts w:hint="eastAsia" w:ascii="宋体" w:hAnsi="宋体" w:eastAsia="宋体" w:cs="宋体"/>
                <w:color w:val="auto"/>
                <w:highlight w:val="none"/>
              </w:rPr>
            </w:pPr>
          </w:p>
        </w:tc>
        <w:tc>
          <w:tcPr>
            <w:tcW w:w="1843" w:type="dxa"/>
            <w:tcBorders>
              <w:tl2br w:val="nil"/>
              <w:tr2bl w:val="nil"/>
            </w:tcBorders>
            <w:vAlign w:val="center"/>
          </w:tcPr>
          <w:p w14:paraId="7D8AB6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220" w:type="dxa"/>
            <w:tcBorders>
              <w:tl2br w:val="nil"/>
              <w:tr2bl w:val="nil"/>
            </w:tcBorders>
            <w:vAlign w:val="center"/>
          </w:tcPr>
          <w:p w14:paraId="04517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≥800W，电源模块功率应有一定冗余， 满足处理器满载时的需求</w:t>
            </w:r>
          </w:p>
        </w:tc>
      </w:tr>
      <w:tr w14:paraId="45A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restart"/>
            <w:tcBorders>
              <w:tl2br w:val="nil"/>
              <w:tr2bl w:val="nil"/>
            </w:tcBorders>
            <w:vAlign w:val="center"/>
          </w:tcPr>
          <w:p w14:paraId="137927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3C8AEF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843" w:type="dxa"/>
            <w:vMerge w:val="restart"/>
            <w:tcBorders>
              <w:tl2br w:val="nil"/>
              <w:tr2bl w:val="nil"/>
            </w:tcBorders>
            <w:vAlign w:val="center"/>
          </w:tcPr>
          <w:p w14:paraId="51B90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220" w:type="dxa"/>
            <w:tcBorders>
              <w:tl2br w:val="nil"/>
              <w:tr2bl w:val="nil"/>
            </w:tcBorders>
            <w:vAlign w:val="center"/>
          </w:tcPr>
          <w:p w14:paraId="69C371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4E8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vMerge w:val="continue"/>
            <w:tcBorders>
              <w:tl2br w:val="nil"/>
              <w:tr2bl w:val="nil"/>
            </w:tcBorders>
            <w:vAlign w:val="center"/>
          </w:tcPr>
          <w:p w14:paraId="02FB64C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F329A10">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9D45506">
            <w:pPr>
              <w:shd w:val="clear"/>
              <w:rPr>
                <w:rFonts w:hint="eastAsia" w:ascii="宋体" w:hAnsi="宋体" w:eastAsia="宋体" w:cs="宋体"/>
                <w:color w:val="auto"/>
                <w:highlight w:val="none"/>
              </w:rPr>
            </w:pPr>
          </w:p>
        </w:tc>
        <w:tc>
          <w:tcPr>
            <w:tcW w:w="5220" w:type="dxa"/>
            <w:tcBorders>
              <w:tl2br w:val="nil"/>
              <w:tr2bl w:val="nil"/>
            </w:tcBorders>
            <w:vAlign w:val="center"/>
          </w:tcPr>
          <w:p w14:paraId="3516B4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0A98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2B42D26D">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2356372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26CB440">
            <w:pPr>
              <w:shd w:val="clear"/>
              <w:rPr>
                <w:rFonts w:hint="eastAsia" w:ascii="宋体" w:hAnsi="宋体" w:eastAsia="宋体" w:cs="宋体"/>
                <w:color w:val="auto"/>
                <w:highlight w:val="none"/>
              </w:rPr>
            </w:pPr>
          </w:p>
        </w:tc>
        <w:tc>
          <w:tcPr>
            <w:tcW w:w="5220" w:type="dxa"/>
            <w:tcBorders>
              <w:tl2br w:val="nil"/>
              <w:tr2bl w:val="nil"/>
            </w:tcBorders>
            <w:vAlign w:val="center"/>
          </w:tcPr>
          <w:p w14:paraId="71AB22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098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7ECB1741">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45837F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3D49E528">
            <w:pPr>
              <w:shd w:val="clear"/>
              <w:rPr>
                <w:rFonts w:hint="eastAsia" w:ascii="宋体" w:hAnsi="宋体" w:eastAsia="宋体" w:cs="宋体"/>
                <w:color w:val="auto"/>
                <w:highlight w:val="none"/>
              </w:rPr>
            </w:pPr>
          </w:p>
        </w:tc>
        <w:tc>
          <w:tcPr>
            <w:tcW w:w="5220" w:type="dxa"/>
            <w:tcBorders>
              <w:tl2br w:val="nil"/>
              <w:tr2bl w:val="nil"/>
            </w:tcBorders>
            <w:vAlign w:val="center"/>
          </w:tcPr>
          <w:p w14:paraId="38AA9A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310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18BABF32">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6715789">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D3174A1">
            <w:pPr>
              <w:shd w:val="clear"/>
              <w:rPr>
                <w:rFonts w:hint="eastAsia" w:ascii="宋体" w:hAnsi="宋体" w:eastAsia="宋体" w:cs="宋体"/>
                <w:color w:val="auto"/>
                <w:highlight w:val="none"/>
              </w:rPr>
            </w:pPr>
          </w:p>
        </w:tc>
        <w:tc>
          <w:tcPr>
            <w:tcW w:w="5220" w:type="dxa"/>
            <w:tcBorders>
              <w:tl2br w:val="nil"/>
              <w:tr2bl w:val="nil"/>
            </w:tcBorders>
            <w:vAlign w:val="center"/>
          </w:tcPr>
          <w:p w14:paraId="09D7FE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1C22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C9AC26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2F51189">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3C29E273">
            <w:pPr>
              <w:shd w:val="clear"/>
              <w:rPr>
                <w:rFonts w:hint="eastAsia" w:ascii="宋体" w:hAnsi="宋体" w:eastAsia="宋体" w:cs="宋体"/>
                <w:color w:val="auto"/>
                <w:highlight w:val="none"/>
              </w:rPr>
            </w:pPr>
          </w:p>
        </w:tc>
        <w:tc>
          <w:tcPr>
            <w:tcW w:w="5220" w:type="dxa"/>
            <w:tcBorders>
              <w:tl2br w:val="nil"/>
              <w:tr2bl w:val="nil"/>
            </w:tcBorders>
            <w:vAlign w:val="center"/>
          </w:tcPr>
          <w:p w14:paraId="346C08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19D2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3D46632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4D0816D">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7A089FDF">
            <w:pPr>
              <w:shd w:val="clear"/>
              <w:rPr>
                <w:rFonts w:hint="eastAsia" w:ascii="宋体" w:hAnsi="宋体" w:eastAsia="宋体" w:cs="宋体"/>
                <w:color w:val="auto"/>
                <w:highlight w:val="none"/>
              </w:rPr>
            </w:pPr>
          </w:p>
        </w:tc>
        <w:tc>
          <w:tcPr>
            <w:tcW w:w="5220" w:type="dxa"/>
            <w:tcBorders>
              <w:tl2br w:val="nil"/>
              <w:tr2bl w:val="nil"/>
            </w:tcBorders>
            <w:vAlign w:val="center"/>
          </w:tcPr>
          <w:p w14:paraId="6314BB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0AC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24F7A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6DC1B2F5">
            <w:pPr>
              <w:shd w:val="clear"/>
              <w:rPr>
                <w:rFonts w:hint="eastAsia" w:ascii="宋体" w:hAnsi="宋体" w:eastAsia="宋体" w:cs="宋体"/>
                <w:color w:val="auto"/>
                <w:highlight w:val="none"/>
              </w:rPr>
            </w:pPr>
          </w:p>
        </w:tc>
        <w:tc>
          <w:tcPr>
            <w:tcW w:w="1843" w:type="dxa"/>
            <w:tcBorders>
              <w:tl2br w:val="nil"/>
              <w:tr2bl w:val="nil"/>
            </w:tcBorders>
            <w:vAlign w:val="center"/>
          </w:tcPr>
          <w:p w14:paraId="035D81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220" w:type="dxa"/>
            <w:tcBorders>
              <w:tl2br w:val="nil"/>
              <w:tr2bl w:val="nil"/>
            </w:tcBorders>
            <w:vAlign w:val="center"/>
          </w:tcPr>
          <w:p w14:paraId="1722C8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乙方应在投标时给出产品尺寸；设计应遵循标准化、系列化的要求，机箱的内部结构符合通用部件的安装需要。</w:t>
            </w:r>
          </w:p>
        </w:tc>
      </w:tr>
      <w:tr w14:paraId="1F8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62F6E0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415EDEB5">
            <w:pPr>
              <w:shd w:val="clear"/>
              <w:rPr>
                <w:rFonts w:hint="eastAsia" w:ascii="宋体" w:hAnsi="宋体" w:eastAsia="宋体" w:cs="宋体"/>
                <w:color w:val="auto"/>
                <w:highlight w:val="none"/>
              </w:rPr>
            </w:pPr>
          </w:p>
        </w:tc>
        <w:tc>
          <w:tcPr>
            <w:tcW w:w="1843" w:type="dxa"/>
            <w:tcBorders>
              <w:tl2br w:val="nil"/>
              <w:tr2bl w:val="nil"/>
            </w:tcBorders>
            <w:vAlign w:val="center"/>
          </w:tcPr>
          <w:p w14:paraId="3AC3D2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220" w:type="dxa"/>
            <w:tcBorders>
              <w:tl2br w:val="nil"/>
              <w:tr2bl w:val="nil"/>
            </w:tcBorders>
            <w:vAlign w:val="center"/>
          </w:tcPr>
          <w:p w14:paraId="4A2D3D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10FA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F1256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35237EBD">
            <w:pPr>
              <w:shd w:val="clear"/>
              <w:rPr>
                <w:rFonts w:hint="eastAsia" w:ascii="宋体" w:hAnsi="宋体" w:eastAsia="宋体" w:cs="宋体"/>
                <w:color w:val="auto"/>
                <w:highlight w:val="none"/>
              </w:rPr>
            </w:pPr>
          </w:p>
        </w:tc>
        <w:tc>
          <w:tcPr>
            <w:tcW w:w="1843" w:type="dxa"/>
            <w:tcBorders>
              <w:tl2br w:val="nil"/>
              <w:tr2bl w:val="nil"/>
            </w:tcBorders>
            <w:vAlign w:val="center"/>
          </w:tcPr>
          <w:p w14:paraId="5CC45A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220" w:type="dxa"/>
            <w:tcBorders>
              <w:tl2br w:val="nil"/>
              <w:tr2bl w:val="nil"/>
            </w:tcBorders>
            <w:vAlign w:val="center"/>
          </w:tcPr>
          <w:p w14:paraId="08D55C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 GB/T9813.3 的有关规定</w:t>
            </w:r>
          </w:p>
        </w:tc>
      </w:tr>
      <w:tr w14:paraId="5C7C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D840E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36949E37">
            <w:pPr>
              <w:shd w:val="clear"/>
              <w:rPr>
                <w:rFonts w:hint="eastAsia" w:ascii="宋体" w:hAnsi="宋体" w:eastAsia="宋体" w:cs="宋体"/>
                <w:color w:val="auto"/>
                <w:highlight w:val="none"/>
              </w:rPr>
            </w:pPr>
          </w:p>
        </w:tc>
        <w:tc>
          <w:tcPr>
            <w:tcW w:w="1843" w:type="dxa"/>
            <w:tcBorders>
              <w:tl2br w:val="nil"/>
              <w:tr2bl w:val="nil"/>
            </w:tcBorders>
            <w:vAlign w:val="center"/>
          </w:tcPr>
          <w:p w14:paraId="6F70DA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220" w:type="dxa"/>
            <w:tcBorders>
              <w:tl2br w:val="nil"/>
              <w:tr2bl w:val="nil"/>
            </w:tcBorders>
            <w:vAlign w:val="center"/>
          </w:tcPr>
          <w:p w14:paraId="72824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 50dB</w:t>
            </w:r>
          </w:p>
        </w:tc>
      </w:tr>
      <w:tr w14:paraId="3BDF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0" w:type="dxa"/>
            <w:tcBorders>
              <w:tl2br w:val="nil"/>
              <w:tr2bl w:val="nil"/>
            </w:tcBorders>
            <w:vAlign w:val="center"/>
          </w:tcPr>
          <w:p w14:paraId="4155FA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60D940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843" w:type="dxa"/>
            <w:tcBorders>
              <w:tl2br w:val="nil"/>
              <w:tr2bl w:val="nil"/>
            </w:tcBorders>
            <w:vAlign w:val="center"/>
          </w:tcPr>
          <w:p w14:paraId="77A8B1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220" w:type="dxa"/>
            <w:tcBorders>
              <w:tl2br w:val="nil"/>
              <w:tr2bl w:val="nil"/>
            </w:tcBorders>
            <w:vAlign w:val="center"/>
          </w:tcPr>
          <w:p w14:paraId="773ADC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乙方在投标时给出长度、高度和深度；</w:t>
            </w:r>
          </w:p>
        </w:tc>
      </w:tr>
      <w:tr w14:paraId="0C4B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2D91B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3EE4EF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843" w:type="dxa"/>
            <w:tcBorders>
              <w:tl2br w:val="nil"/>
              <w:tr2bl w:val="nil"/>
            </w:tcBorders>
            <w:vAlign w:val="center"/>
          </w:tcPr>
          <w:p w14:paraId="01AD1A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220" w:type="dxa"/>
            <w:tcBorders>
              <w:tl2br w:val="nil"/>
              <w:tr2bl w:val="nil"/>
            </w:tcBorders>
            <w:vAlign w:val="center"/>
          </w:tcPr>
          <w:p w14:paraId="37B91F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2D3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3800C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529435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843" w:type="dxa"/>
            <w:tcBorders>
              <w:tl2br w:val="nil"/>
              <w:tr2bl w:val="nil"/>
            </w:tcBorders>
            <w:vAlign w:val="center"/>
          </w:tcPr>
          <w:p w14:paraId="67DA70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220" w:type="dxa"/>
            <w:tcBorders>
              <w:tl2br w:val="nil"/>
              <w:tr2bl w:val="nil"/>
            </w:tcBorders>
            <w:vAlign w:val="center"/>
          </w:tcPr>
          <w:p w14:paraId="26C3A8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360D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3FD1A3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724F60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843" w:type="dxa"/>
            <w:tcBorders>
              <w:tl2br w:val="nil"/>
              <w:tr2bl w:val="nil"/>
            </w:tcBorders>
            <w:vAlign w:val="center"/>
          </w:tcPr>
          <w:p w14:paraId="41483F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220" w:type="dxa"/>
            <w:tcBorders>
              <w:tl2br w:val="nil"/>
              <w:tr2bl w:val="nil"/>
            </w:tcBorders>
            <w:vAlign w:val="center"/>
          </w:tcPr>
          <w:p w14:paraId="6445C4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7DE1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7DA45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7147D6CD">
            <w:pPr>
              <w:shd w:val="clear"/>
              <w:rPr>
                <w:rFonts w:hint="eastAsia" w:ascii="宋体" w:hAnsi="宋体" w:eastAsia="宋体" w:cs="宋体"/>
                <w:color w:val="auto"/>
                <w:highlight w:val="none"/>
              </w:rPr>
            </w:pPr>
          </w:p>
        </w:tc>
        <w:tc>
          <w:tcPr>
            <w:tcW w:w="1843" w:type="dxa"/>
            <w:tcBorders>
              <w:tl2br w:val="nil"/>
              <w:tr2bl w:val="nil"/>
            </w:tcBorders>
            <w:vAlign w:val="center"/>
          </w:tcPr>
          <w:p w14:paraId="39F703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220" w:type="dxa"/>
            <w:tcBorders>
              <w:tl2br w:val="nil"/>
              <w:tr2bl w:val="nil"/>
            </w:tcBorders>
            <w:vAlign w:val="center"/>
          </w:tcPr>
          <w:p w14:paraId="19DEC0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4EAD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60B5DC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5136E1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843" w:type="dxa"/>
            <w:tcBorders>
              <w:tl2br w:val="nil"/>
              <w:tr2bl w:val="nil"/>
            </w:tcBorders>
            <w:vAlign w:val="center"/>
          </w:tcPr>
          <w:p w14:paraId="6A878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220" w:type="dxa"/>
            <w:tcBorders>
              <w:tl2br w:val="nil"/>
              <w:tr2bl w:val="nil"/>
            </w:tcBorders>
            <w:vAlign w:val="center"/>
          </w:tcPr>
          <w:p w14:paraId="1917CA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4828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3F99C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1DD47A68">
            <w:pPr>
              <w:shd w:val="clear"/>
              <w:rPr>
                <w:rFonts w:hint="eastAsia" w:ascii="宋体" w:hAnsi="宋体" w:eastAsia="宋体" w:cs="宋体"/>
                <w:color w:val="auto"/>
                <w:highlight w:val="none"/>
              </w:rPr>
            </w:pPr>
          </w:p>
        </w:tc>
        <w:tc>
          <w:tcPr>
            <w:tcW w:w="1843" w:type="dxa"/>
            <w:tcBorders>
              <w:tl2br w:val="nil"/>
              <w:tr2bl w:val="nil"/>
            </w:tcBorders>
            <w:vAlign w:val="center"/>
          </w:tcPr>
          <w:p w14:paraId="10F320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220" w:type="dxa"/>
            <w:tcBorders>
              <w:tl2br w:val="nil"/>
              <w:tr2bl w:val="nil"/>
            </w:tcBorders>
            <w:vAlign w:val="center"/>
          </w:tcPr>
          <w:p w14:paraId="1A6431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4F09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B78EE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7215CA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843" w:type="dxa"/>
            <w:tcBorders>
              <w:tl2br w:val="nil"/>
              <w:tr2bl w:val="nil"/>
            </w:tcBorders>
            <w:vAlign w:val="center"/>
          </w:tcPr>
          <w:p w14:paraId="5E6C8D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220" w:type="dxa"/>
            <w:tcBorders>
              <w:tl2br w:val="nil"/>
              <w:tr2bl w:val="nil"/>
            </w:tcBorders>
            <w:vAlign w:val="center"/>
          </w:tcPr>
          <w:p w14:paraId="5D370E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支持风冷或液冷等散热方式</w:t>
            </w:r>
          </w:p>
        </w:tc>
      </w:tr>
      <w:tr w14:paraId="6D6F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0" w:type="dxa"/>
            <w:tcBorders>
              <w:tl2br w:val="nil"/>
              <w:tr2bl w:val="nil"/>
            </w:tcBorders>
            <w:vAlign w:val="center"/>
          </w:tcPr>
          <w:p w14:paraId="39A272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3570C6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843" w:type="dxa"/>
            <w:tcBorders>
              <w:tl2br w:val="nil"/>
              <w:tr2bl w:val="nil"/>
            </w:tcBorders>
            <w:vAlign w:val="center"/>
          </w:tcPr>
          <w:p w14:paraId="1EE4EC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 固件基础功能</w:t>
            </w:r>
          </w:p>
        </w:tc>
        <w:tc>
          <w:tcPr>
            <w:tcW w:w="5220" w:type="dxa"/>
            <w:tcBorders>
              <w:tl2br w:val="nil"/>
              <w:tr2bl w:val="nil"/>
            </w:tcBorders>
            <w:vAlign w:val="center"/>
          </w:tcPr>
          <w:p w14:paraId="74CB71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3708E9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316831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71A68C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0730BC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39A5DE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4D3B5B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w:t>
            </w:r>
          </w:p>
          <w:p w14:paraId="10561C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等接口功能；</w:t>
            </w:r>
          </w:p>
          <w:p w14:paraId="7C96EA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552AE9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12B236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365186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422AB1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452C48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622C7C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291110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1732AF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338032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19E88A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195EB0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74E4EC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7297C7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2A95F4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36CC9C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7ED934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7A69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jc w:val="center"/>
        </w:trPr>
        <w:tc>
          <w:tcPr>
            <w:tcW w:w="630" w:type="dxa"/>
            <w:tcBorders>
              <w:tl2br w:val="nil"/>
              <w:tr2bl w:val="nil"/>
            </w:tcBorders>
            <w:vAlign w:val="center"/>
          </w:tcPr>
          <w:p w14:paraId="56D1C8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3A1D924A">
            <w:pPr>
              <w:shd w:val="clear"/>
              <w:rPr>
                <w:rFonts w:hint="eastAsia" w:ascii="宋体" w:hAnsi="宋体" w:eastAsia="宋体" w:cs="宋体"/>
                <w:color w:val="auto"/>
                <w:highlight w:val="none"/>
              </w:rPr>
            </w:pPr>
          </w:p>
        </w:tc>
        <w:tc>
          <w:tcPr>
            <w:tcW w:w="1843" w:type="dxa"/>
            <w:tcBorders>
              <w:tl2br w:val="nil"/>
              <w:tr2bl w:val="nil"/>
            </w:tcBorders>
            <w:vAlign w:val="center"/>
          </w:tcPr>
          <w:p w14:paraId="465CE6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220" w:type="dxa"/>
            <w:tcBorders>
              <w:tl2br w:val="nil"/>
              <w:tr2bl w:val="nil"/>
            </w:tcBorders>
            <w:vAlign w:val="center"/>
          </w:tcPr>
          <w:p w14:paraId="4DF845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2A7FDC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2C7633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7B627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5A069C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1E2432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6FAFC4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4EA7AE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3870B9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3249E9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w:t>
            </w:r>
          </w:p>
          <w:p w14:paraId="26EC64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k）支持串口重定向功能；</w:t>
            </w:r>
          </w:p>
          <w:p w14:paraId="5C3671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6DD8E7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3B007A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522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01EE4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51189023">
            <w:pPr>
              <w:shd w:val="clear"/>
              <w:rPr>
                <w:rFonts w:hint="eastAsia" w:ascii="宋体" w:hAnsi="宋体" w:eastAsia="宋体" w:cs="宋体"/>
                <w:color w:val="auto"/>
                <w:highlight w:val="none"/>
              </w:rPr>
            </w:pPr>
          </w:p>
        </w:tc>
        <w:tc>
          <w:tcPr>
            <w:tcW w:w="1843" w:type="dxa"/>
            <w:tcBorders>
              <w:tl2br w:val="nil"/>
              <w:tr2bl w:val="nil"/>
            </w:tcBorders>
            <w:vAlign w:val="center"/>
          </w:tcPr>
          <w:p w14:paraId="47B187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220" w:type="dxa"/>
            <w:tcBorders>
              <w:tl2br w:val="nil"/>
              <w:tr2bl w:val="nil"/>
            </w:tcBorders>
            <w:vAlign w:val="center"/>
          </w:tcPr>
          <w:p w14:paraId="20E9D7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77B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9B3D9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2AF8B3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843" w:type="dxa"/>
            <w:tcBorders>
              <w:tl2br w:val="nil"/>
              <w:tr2bl w:val="nil"/>
            </w:tcBorders>
            <w:vAlign w:val="center"/>
          </w:tcPr>
          <w:p w14:paraId="1839F4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220" w:type="dxa"/>
            <w:tcBorders>
              <w:tl2br w:val="nil"/>
              <w:tr2bl w:val="nil"/>
            </w:tcBorders>
            <w:vAlign w:val="center"/>
          </w:tcPr>
          <w:p w14:paraId="62ACB5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0029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6CB41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74546EE8">
            <w:pPr>
              <w:shd w:val="clear"/>
              <w:rPr>
                <w:rFonts w:hint="eastAsia" w:ascii="宋体" w:hAnsi="宋体" w:eastAsia="宋体" w:cs="宋体"/>
                <w:color w:val="auto"/>
                <w:highlight w:val="none"/>
              </w:rPr>
            </w:pPr>
          </w:p>
        </w:tc>
        <w:tc>
          <w:tcPr>
            <w:tcW w:w="1843" w:type="dxa"/>
            <w:tcBorders>
              <w:tl2br w:val="nil"/>
              <w:tr2bl w:val="nil"/>
            </w:tcBorders>
            <w:vAlign w:val="center"/>
          </w:tcPr>
          <w:p w14:paraId="0863C3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220" w:type="dxa"/>
            <w:tcBorders>
              <w:tl2br w:val="nil"/>
              <w:tr2bl w:val="nil"/>
            </w:tcBorders>
            <w:vAlign w:val="center"/>
          </w:tcPr>
          <w:p w14:paraId="5D3B61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3D7D00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操作系统其他功能满足操作系统政府采购需求标准中加*的指标要求</w:t>
            </w:r>
          </w:p>
        </w:tc>
      </w:tr>
      <w:tr w14:paraId="670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991AC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34A8D3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843" w:type="dxa"/>
            <w:tcBorders>
              <w:tl2br w:val="nil"/>
              <w:tr2bl w:val="nil"/>
            </w:tcBorders>
            <w:vAlign w:val="center"/>
          </w:tcPr>
          <w:p w14:paraId="41877E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220" w:type="dxa"/>
            <w:tcBorders>
              <w:tl2br w:val="nil"/>
              <w:tr2bl w:val="nil"/>
            </w:tcBorders>
            <w:vAlign w:val="center"/>
          </w:tcPr>
          <w:p w14:paraId="29C11F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5A26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70055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495CB3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843" w:type="dxa"/>
            <w:tcBorders>
              <w:tl2br w:val="nil"/>
              <w:tr2bl w:val="nil"/>
            </w:tcBorders>
            <w:vAlign w:val="center"/>
          </w:tcPr>
          <w:p w14:paraId="73FB05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220" w:type="dxa"/>
            <w:tcBorders>
              <w:tl2br w:val="nil"/>
              <w:tr2bl w:val="nil"/>
            </w:tcBorders>
            <w:vAlign w:val="center"/>
          </w:tcPr>
          <w:p w14:paraId="775D4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0D1B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075FB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7CD9BD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843" w:type="dxa"/>
            <w:tcBorders>
              <w:tl2br w:val="nil"/>
              <w:tr2bl w:val="nil"/>
            </w:tcBorders>
            <w:vAlign w:val="center"/>
          </w:tcPr>
          <w:p w14:paraId="349BFF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220" w:type="dxa"/>
            <w:tcBorders>
              <w:tl2br w:val="nil"/>
              <w:tr2bl w:val="nil"/>
            </w:tcBorders>
            <w:vAlign w:val="center"/>
          </w:tcPr>
          <w:p w14:paraId="74BA7A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4BBC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C4A66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58C549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843" w:type="dxa"/>
            <w:tcBorders>
              <w:tl2br w:val="nil"/>
              <w:tr2bl w:val="nil"/>
            </w:tcBorders>
            <w:vAlign w:val="center"/>
          </w:tcPr>
          <w:p w14:paraId="250C9E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220" w:type="dxa"/>
            <w:tcBorders>
              <w:tl2br w:val="nil"/>
              <w:tr2bl w:val="nil"/>
            </w:tcBorders>
            <w:vAlign w:val="center"/>
          </w:tcPr>
          <w:p w14:paraId="6B687E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5E1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5BF1A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1D5E065C">
            <w:pPr>
              <w:shd w:val="clear"/>
              <w:rPr>
                <w:rFonts w:hint="eastAsia" w:ascii="宋体" w:hAnsi="宋体" w:eastAsia="宋体" w:cs="宋体"/>
                <w:color w:val="auto"/>
                <w:highlight w:val="none"/>
              </w:rPr>
            </w:pPr>
          </w:p>
        </w:tc>
        <w:tc>
          <w:tcPr>
            <w:tcW w:w="1843" w:type="dxa"/>
            <w:tcBorders>
              <w:tl2br w:val="nil"/>
              <w:tr2bl w:val="nil"/>
            </w:tcBorders>
            <w:vAlign w:val="center"/>
          </w:tcPr>
          <w:p w14:paraId="777491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220" w:type="dxa"/>
            <w:tcBorders>
              <w:tl2br w:val="nil"/>
              <w:tr2bl w:val="nil"/>
            </w:tcBorders>
            <w:vAlign w:val="center"/>
          </w:tcPr>
          <w:p w14:paraId="16C7A0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32E3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19065D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2795723E">
            <w:pPr>
              <w:shd w:val="clear"/>
              <w:rPr>
                <w:rFonts w:hint="eastAsia" w:ascii="宋体" w:hAnsi="宋体" w:eastAsia="宋体" w:cs="宋体"/>
                <w:color w:val="auto"/>
                <w:highlight w:val="none"/>
              </w:rPr>
            </w:pPr>
          </w:p>
        </w:tc>
        <w:tc>
          <w:tcPr>
            <w:tcW w:w="1843" w:type="dxa"/>
            <w:tcBorders>
              <w:tl2br w:val="nil"/>
              <w:tr2bl w:val="nil"/>
            </w:tcBorders>
            <w:vAlign w:val="center"/>
          </w:tcPr>
          <w:p w14:paraId="2C2356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220" w:type="dxa"/>
            <w:tcBorders>
              <w:tl2br w:val="nil"/>
              <w:tr2bl w:val="nil"/>
            </w:tcBorders>
            <w:vAlign w:val="center"/>
          </w:tcPr>
          <w:p w14:paraId="32EAB1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504A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486187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3D7F6259">
            <w:pPr>
              <w:shd w:val="clear"/>
              <w:rPr>
                <w:rFonts w:hint="eastAsia" w:ascii="宋体" w:hAnsi="宋体" w:eastAsia="宋体" w:cs="宋体"/>
                <w:color w:val="auto"/>
                <w:highlight w:val="none"/>
              </w:rPr>
            </w:pPr>
          </w:p>
        </w:tc>
        <w:tc>
          <w:tcPr>
            <w:tcW w:w="1843" w:type="dxa"/>
            <w:tcBorders>
              <w:tl2br w:val="nil"/>
              <w:tr2bl w:val="nil"/>
            </w:tcBorders>
            <w:vAlign w:val="center"/>
          </w:tcPr>
          <w:p w14:paraId="6ACDB0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220" w:type="dxa"/>
            <w:tcBorders>
              <w:tl2br w:val="nil"/>
              <w:tr2bl w:val="nil"/>
            </w:tcBorders>
            <w:vAlign w:val="center"/>
          </w:tcPr>
          <w:p w14:paraId="568B5F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5C68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0F0EB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3AB9D575">
            <w:pPr>
              <w:shd w:val="clear"/>
              <w:rPr>
                <w:rFonts w:hint="eastAsia" w:ascii="宋体" w:hAnsi="宋体" w:eastAsia="宋体" w:cs="宋体"/>
                <w:color w:val="auto"/>
                <w:highlight w:val="none"/>
              </w:rPr>
            </w:pPr>
          </w:p>
        </w:tc>
        <w:tc>
          <w:tcPr>
            <w:tcW w:w="1843" w:type="dxa"/>
            <w:tcBorders>
              <w:tl2br w:val="nil"/>
              <w:tr2bl w:val="nil"/>
            </w:tcBorders>
            <w:vAlign w:val="center"/>
          </w:tcPr>
          <w:p w14:paraId="51A734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220" w:type="dxa"/>
            <w:tcBorders>
              <w:tl2br w:val="nil"/>
              <w:tr2bl w:val="nil"/>
            </w:tcBorders>
            <w:vAlign w:val="center"/>
          </w:tcPr>
          <w:p w14:paraId="7952E2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76DA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30" w:type="dxa"/>
            <w:tcBorders>
              <w:tl2br w:val="nil"/>
              <w:tr2bl w:val="nil"/>
            </w:tcBorders>
            <w:vAlign w:val="center"/>
          </w:tcPr>
          <w:p w14:paraId="39C26E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7494C3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843" w:type="dxa"/>
            <w:tcBorders>
              <w:tl2br w:val="nil"/>
              <w:tr2bl w:val="nil"/>
            </w:tcBorders>
            <w:vAlign w:val="center"/>
          </w:tcPr>
          <w:p w14:paraId="6B3000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220" w:type="dxa"/>
            <w:tcBorders>
              <w:tl2br w:val="nil"/>
              <w:tr2bl w:val="nil"/>
            </w:tcBorders>
            <w:vAlign w:val="center"/>
          </w:tcPr>
          <w:p w14:paraId="5F5E38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1954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30" w:type="dxa"/>
            <w:tcBorders>
              <w:tl2br w:val="nil"/>
              <w:tr2bl w:val="nil"/>
            </w:tcBorders>
            <w:vAlign w:val="center"/>
          </w:tcPr>
          <w:p w14:paraId="066390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061D4E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843" w:type="dxa"/>
            <w:tcBorders>
              <w:tl2br w:val="nil"/>
              <w:tr2bl w:val="nil"/>
            </w:tcBorders>
            <w:vAlign w:val="center"/>
          </w:tcPr>
          <w:p w14:paraId="340E1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220" w:type="dxa"/>
            <w:tcBorders>
              <w:tl2br w:val="nil"/>
              <w:tr2bl w:val="nil"/>
            </w:tcBorders>
            <w:vAlign w:val="center"/>
          </w:tcPr>
          <w:p w14:paraId="1785FD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6E06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30" w:type="dxa"/>
            <w:tcBorders>
              <w:tl2br w:val="nil"/>
              <w:tr2bl w:val="nil"/>
            </w:tcBorders>
            <w:vAlign w:val="center"/>
          </w:tcPr>
          <w:p w14:paraId="71B65C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5B377D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843" w:type="dxa"/>
            <w:tcBorders>
              <w:tl2br w:val="nil"/>
              <w:tr2bl w:val="nil"/>
            </w:tcBorders>
            <w:vAlign w:val="center"/>
          </w:tcPr>
          <w:p w14:paraId="118354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220" w:type="dxa"/>
            <w:tcBorders>
              <w:tl2br w:val="nil"/>
              <w:tr2bl w:val="nil"/>
            </w:tcBorders>
            <w:vAlign w:val="center"/>
          </w:tcPr>
          <w:p w14:paraId="378080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46BC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775F8B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7619C9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843" w:type="dxa"/>
            <w:tcBorders>
              <w:tl2br w:val="nil"/>
              <w:tr2bl w:val="nil"/>
            </w:tcBorders>
            <w:vAlign w:val="center"/>
          </w:tcPr>
          <w:p w14:paraId="7606B0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220" w:type="dxa"/>
            <w:tcBorders>
              <w:tl2br w:val="nil"/>
              <w:tr2bl w:val="nil"/>
            </w:tcBorders>
            <w:vAlign w:val="center"/>
          </w:tcPr>
          <w:p w14:paraId="766DDD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≥2.2GHz</w:t>
            </w:r>
          </w:p>
        </w:tc>
      </w:tr>
      <w:tr w14:paraId="029A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281A7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5BD27ACE">
            <w:pPr>
              <w:shd w:val="clear"/>
              <w:rPr>
                <w:rFonts w:hint="eastAsia" w:ascii="宋体" w:hAnsi="宋体" w:eastAsia="宋体" w:cs="宋体"/>
                <w:color w:val="auto"/>
                <w:highlight w:val="none"/>
              </w:rPr>
            </w:pPr>
          </w:p>
        </w:tc>
        <w:tc>
          <w:tcPr>
            <w:tcW w:w="1843" w:type="dxa"/>
            <w:tcBorders>
              <w:tl2br w:val="nil"/>
              <w:tr2bl w:val="nil"/>
            </w:tcBorders>
            <w:vAlign w:val="center"/>
          </w:tcPr>
          <w:p w14:paraId="6782C6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220" w:type="dxa"/>
            <w:tcBorders>
              <w:tl2br w:val="nil"/>
              <w:tr2bl w:val="nil"/>
            </w:tcBorders>
            <w:vAlign w:val="center"/>
          </w:tcPr>
          <w:p w14:paraId="3705F2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r>
      <w:tr w14:paraId="380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30" w:type="dxa"/>
            <w:tcBorders>
              <w:tl2br w:val="nil"/>
              <w:tr2bl w:val="nil"/>
            </w:tcBorders>
            <w:vAlign w:val="center"/>
          </w:tcPr>
          <w:p w14:paraId="118B5C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265BF0CB">
            <w:pPr>
              <w:shd w:val="clear"/>
              <w:rPr>
                <w:rFonts w:hint="eastAsia" w:ascii="宋体" w:hAnsi="宋体" w:eastAsia="宋体" w:cs="宋体"/>
                <w:color w:val="auto"/>
                <w:highlight w:val="none"/>
              </w:rPr>
            </w:pPr>
          </w:p>
        </w:tc>
        <w:tc>
          <w:tcPr>
            <w:tcW w:w="1843" w:type="dxa"/>
            <w:tcBorders>
              <w:tl2br w:val="nil"/>
              <w:tr2bl w:val="nil"/>
            </w:tcBorders>
            <w:vAlign w:val="center"/>
          </w:tcPr>
          <w:p w14:paraId="1DC357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220" w:type="dxa"/>
            <w:tcBorders>
              <w:tl2br w:val="nil"/>
              <w:tr2bl w:val="nil"/>
            </w:tcBorders>
            <w:vAlign w:val="center"/>
          </w:tcPr>
          <w:p w14:paraId="48CBC7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≥64MB</w:t>
            </w:r>
          </w:p>
        </w:tc>
      </w:tr>
      <w:tr w14:paraId="7D3B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D877F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2872EE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843" w:type="dxa"/>
            <w:tcBorders>
              <w:tl2br w:val="nil"/>
              <w:tr2bl w:val="nil"/>
            </w:tcBorders>
            <w:vAlign w:val="center"/>
          </w:tcPr>
          <w:p w14:paraId="7E01F8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220" w:type="dxa"/>
            <w:tcBorders>
              <w:tl2br w:val="nil"/>
              <w:tr2bl w:val="nil"/>
            </w:tcBorders>
            <w:vAlign w:val="center"/>
          </w:tcPr>
          <w:p w14:paraId="26C0B7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0902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2279E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1F4E4A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843" w:type="dxa"/>
            <w:tcBorders>
              <w:tl2br w:val="nil"/>
              <w:tr2bl w:val="nil"/>
            </w:tcBorders>
            <w:vAlign w:val="center"/>
          </w:tcPr>
          <w:p w14:paraId="2361C1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220" w:type="dxa"/>
            <w:tcBorders>
              <w:tl2br w:val="nil"/>
              <w:tr2bl w:val="nil"/>
            </w:tcBorders>
            <w:vAlign w:val="center"/>
          </w:tcPr>
          <w:p w14:paraId="5FC5EC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3389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1837E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7FC544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843" w:type="dxa"/>
            <w:tcBorders>
              <w:tl2br w:val="nil"/>
              <w:tr2bl w:val="nil"/>
            </w:tcBorders>
            <w:vAlign w:val="center"/>
          </w:tcPr>
          <w:p w14:paraId="7B388E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内存兼容性</w:t>
            </w:r>
          </w:p>
        </w:tc>
        <w:tc>
          <w:tcPr>
            <w:tcW w:w="5220" w:type="dxa"/>
            <w:tcBorders>
              <w:tl2br w:val="nil"/>
              <w:tr2bl w:val="nil"/>
            </w:tcBorders>
            <w:vAlign w:val="center"/>
          </w:tcPr>
          <w:p w14:paraId="511941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适配3种及以上厂商的内存产品，且均不低于产品支持的内存规格</w:t>
            </w:r>
          </w:p>
        </w:tc>
      </w:tr>
      <w:tr w14:paraId="4F3A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C3692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5757BC92">
            <w:pPr>
              <w:shd w:val="clear"/>
              <w:rPr>
                <w:rFonts w:hint="eastAsia" w:ascii="宋体" w:hAnsi="宋体" w:eastAsia="宋体" w:cs="宋体"/>
                <w:color w:val="auto"/>
                <w:highlight w:val="none"/>
              </w:rPr>
            </w:pPr>
          </w:p>
        </w:tc>
        <w:tc>
          <w:tcPr>
            <w:tcW w:w="1843" w:type="dxa"/>
            <w:tcBorders>
              <w:tl2br w:val="nil"/>
              <w:tr2bl w:val="nil"/>
            </w:tcBorders>
            <w:vAlign w:val="center"/>
          </w:tcPr>
          <w:p w14:paraId="11B3CB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220" w:type="dxa"/>
            <w:tcBorders>
              <w:tl2br w:val="nil"/>
              <w:tr2bl w:val="nil"/>
            </w:tcBorders>
            <w:vAlign w:val="center"/>
          </w:tcPr>
          <w:p w14:paraId="05D82E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适配3种或以上厂商的固态存储产品，且均不低于产品支持的固态存储设备规格</w:t>
            </w:r>
          </w:p>
        </w:tc>
      </w:tr>
      <w:tr w14:paraId="0F7E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11DE39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853AC75">
            <w:pPr>
              <w:shd w:val="clear"/>
              <w:rPr>
                <w:rFonts w:hint="eastAsia" w:ascii="宋体" w:hAnsi="宋体" w:eastAsia="宋体" w:cs="宋体"/>
                <w:color w:val="auto"/>
                <w:highlight w:val="none"/>
              </w:rPr>
            </w:pPr>
          </w:p>
        </w:tc>
        <w:tc>
          <w:tcPr>
            <w:tcW w:w="1843" w:type="dxa"/>
            <w:tcBorders>
              <w:tl2br w:val="nil"/>
              <w:tr2bl w:val="nil"/>
            </w:tcBorders>
            <w:vAlign w:val="center"/>
          </w:tcPr>
          <w:p w14:paraId="067C24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220" w:type="dxa"/>
            <w:tcBorders>
              <w:tl2br w:val="nil"/>
              <w:tr2bl w:val="nil"/>
            </w:tcBorders>
            <w:vAlign w:val="center"/>
          </w:tcPr>
          <w:p w14:paraId="0235D1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7268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023D2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68E8FDD7">
            <w:pPr>
              <w:shd w:val="clear"/>
              <w:rPr>
                <w:rFonts w:hint="eastAsia" w:ascii="宋体" w:hAnsi="宋体" w:eastAsia="宋体" w:cs="宋体"/>
                <w:color w:val="auto"/>
                <w:highlight w:val="none"/>
              </w:rPr>
            </w:pPr>
          </w:p>
        </w:tc>
        <w:tc>
          <w:tcPr>
            <w:tcW w:w="1843" w:type="dxa"/>
            <w:tcBorders>
              <w:tl2br w:val="nil"/>
              <w:tr2bl w:val="nil"/>
            </w:tcBorders>
            <w:vAlign w:val="center"/>
          </w:tcPr>
          <w:p w14:paraId="24623D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220" w:type="dxa"/>
            <w:tcBorders>
              <w:tl2br w:val="nil"/>
              <w:tr2bl w:val="nil"/>
            </w:tcBorders>
            <w:vAlign w:val="center"/>
          </w:tcPr>
          <w:p w14:paraId="4673C1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内置或适配符合PCIe的功能卡，如：网络功能卡、存储功能卡及图形显示功能卡</w:t>
            </w:r>
          </w:p>
        </w:tc>
      </w:tr>
      <w:tr w14:paraId="6129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8EDA0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5BE660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843" w:type="dxa"/>
            <w:tcBorders>
              <w:tl2br w:val="nil"/>
              <w:tr2bl w:val="nil"/>
            </w:tcBorders>
            <w:vAlign w:val="center"/>
          </w:tcPr>
          <w:p w14:paraId="5B0CEB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220" w:type="dxa"/>
            <w:tcBorders>
              <w:tl2br w:val="nil"/>
              <w:tr2bl w:val="nil"/>
            </w:tcBorders>
            <w:vAlign w:val="center"/>
          </w:tcPr>
          <w:p w14:paraId="6CDCED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4FC0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7D531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009F18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843" w:type="dxa"/>
            <w:tcBorders>
              <w:tl2br w:val="nil"/>
              <w:tr2bl w:val="nil"/>
            </w:tcBorders>
            <w:vAlign w:val="center"/>
          </w:tcPr>
          <w:p w14:paraId="6B1A4C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220" w:type="dxa"/>
            <w:tcBorders>
              <w:tl2br w:val="nil"/>
              <w:tr2bl w:val="nil"/>
            </w:tcBorders>
            <w:vAlign w:val="center"/>
          </w:tcPr>
          <w:p w14:paraId="78BA06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656A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DD1BE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56E5EBF5">
            <w:pPr>
              <w:shd w:val="clear"/>
              <w:rPr>
                <w:rFonts w:hint="eastAsia" w:ascii="宋体" w:hAnsi="宋体" w:eastAsia="宋体" w:cs="宋体"/>
                <w:color w:val="auto"/>
                <w:highlight w:val="none"/>
              </w:rPr>
            </w:pPr>
          </w:p>
        </w:tc>
        <w:tc>
          <w:tcPr>
            <w:tcW w:w="1843" w:type="dxa"/>
            <w:tcBorders>
              <w:tl2br w:val="nil"/>
              <w:tr2bl w:val="nil"/>
            </w:tcBorders>
            <w:vAlign w:val="center"/>
          </w:tcPr>
          <w:p w14:paraId="68D6F8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220" w:type="dxa"/>
            <w:tcBorders>
              <w:tl2br w:val="nil"/>
              <w:tr2bl w:val="nil"/>
            </w:tcBorders>
            <w:vAlign w:val="center"/>
          </w:tcPr>
          <w:p w14:paraId="0A7BD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458D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053EA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07AD7E5D">
            <w:pPr>
              <w:shd w:val="clear"/>
              <w:rPr>
                <w:rFonts w:hint="eastAsia" w:ascii="宋体" w:hAnsi="宋体" w:eastAsia="宋体" w:cs="宋体"/>
                <w:color w:val="auto"/>
                <w:highlight w:val="none"/>
              </w:rPr>
            </w:pPr>
          </w:p>
        </w:tc>
        <w:tc>
          <w:tcPr>
            <w:tcW w:w="1843" w:type="dxa"/>
            <w:tcBorders>
              <w:tl2br w:val="nil"/>
              <w:tr2bl w:val="nil"/>
            </w:tcBorders>
            <w:vAlign w:val="center"/>
          </w:tcPr>
          <w:p w14:paraId="1E3C39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220" w:type="dxa"/>
            <w:tcBorders>
              <w:tl2br w:val="nil"/>
              <w:tr2bl w:val="nil"/>
            </w:tcBorders>
            <w:vAlign w:val="center"/>
          </w:tcPr>
          <w:p w14:paraId="794B1B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12C6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95889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72FC87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整机可靠性要求</w:t>
            </w:r>
          </w:p>
        </w:tc>
        <w:tc>
          <w:tcPr>
            <w:tcW w:w="1843" w:type="dxa"/>
            <w:tcBorders>
              <w:tl2br w:val="nil"/>
              <w:tr2bl w:val="nil"/>
            </w:tcBorders>
            <w:vAlign w:val="center"/>
          </w:tcPr>
          <w:p w14:paraId="08393B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220" w:type="dxa"/>
            <w:tcBorders>
              <w:tl2br w:val="nil"/>
              <w:tr2bl w:val="nil"/>
            </w:tcBorders>
            <w:vAlign w:val="center"/>
          </w:tcPr>
          <w:p w14:paraId="27264A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105D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741DB0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74414178">
            <w:pPr>
              <w:shd w:val="clear"/>
              <w:rPr>
                <w:rFonts w:hint="eastAsia" w:ascii="宋体" w:hAnsi="宋体" w:eastAsia="宋体" w:cs="宋体"/>
                <w:color w:val="auto"/>
                <w:highlight w:val="none"/>
              </w:rPr>
            </w:pPr>
          </w:p>
        </w:tc>
        <w:tc>
          <w:tcPr>
            <w:tcW w:w="1843" w:type="dxa"/>
            <w:tcBorders>
              <w:tl2br w:val="nil"/>
              <w:tr2bl w:val="nil"/>
            </w:tcBorders>
            <w:vAlign w:val="center"/>
          </w:tcPr>
          <w:p w14:paraId="1F9AF2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220" w:type="dxa"/>
            <w:tcBorders>
              <w:tl2br w:val="nil"/>
              <w:tr2bl w:val="nil"/>
            </w:tcBorders>
            <w:vAlign w:val="center"/>
          </w:tcPr>
          <w:p w14:paraId="25ABD9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19C7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329961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1983458C">
            <w:pPr>
              <w:shd w:val="clear"/>
              <w:rPr>
                <w:rFonts w:hint="eastAsia" w:ascii="宋体" w:hAnsi="宋体" w:eastAsia="宋体" w:cs="宋体"/>
                <w:color w:val="auto"/>
                <w:highlight w:val="none"/>
              </w:rPr>
            </w:pPr>
          </w:p>
        </w:tc>
        <w:tc>
          <w:tcPr>
            <w:tcW w:w="1843" w:type="dxa"/>
            <w:tcBorders>
              <w:tl2br w:val="nil"/>
              <w:tr2bl w:val="nil"/>
            </w:tcBorders>
            <w:vAlign w:val="center"/>
          </w:tcPr>
          <w:p w14:paraId="42382D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部件可靠性</w:t>
            </w:r>
          </w:p>
        </w:tc>
        <w:tc>
          <w:tcPr>
            <w:tcW w:w="5220" w:type="dxa"/>
            <w:tcBorders>
              <w:tl2br w:val="nil"/>
              <w:tr2bl w:val="nil"/>
            </w:tcBorders>
            <w:vAlign w:val="center"/>
          </w:tcPr>
          <w:p w14:paraId="1DB7FA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37E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70331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2561F8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843" w:type="dxa"/>
            <w:tcBorders>
              <w:tl2br w:val="nil"/>
              <w:tr2bl w:val="nil"/>
            </w:tcBorders>
            <w:vAlign w:val="center"/>
          </w:tcPr>
          <w:p w14:paraId="19C727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220" w:type="dxa"/>
            <w:tcBorders>
              <w:tl2br w:val="nil"/>
              <w:tr2bl w:val="nil"/>
            </w:tcBorders>
            <w:vAlign w:val="center"/>
          </w:tcPr>
          <w:p w14:paraId="58CCE0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5848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630" w:type="dxa"/>
            <w:tcBorders>
              <w:tl2br w:val="nil"/>
              <w:tr2bl w:val="nil"/>
            </w:tcBorders>
            <w:vAlign w:val="center"/>
          </w:tcPr>
          <w:p w14:paraId="55B9D3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6FFD05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843" w:type="dxa"/>
            <w:tcBorders>
              <w:tl2br w:val="nil"/>
              <w:tr2bl w:val="nil"/>
            </w:tcBorders>
            <w:vAlign w:val="center"/>
          </w:tcPr>
          <w:p w14:paraId="69D1AD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220" w:type="dxa"/>
            <w:tcBorders>
              <w:tl2br w:val="nil"/>
              <w:tr2bl w:val="nil"/>
            </w:tcBorders>
            <w:vAlign w:val="center"/>
          </w:tcPr>
          <w:p w14:paraId="1DDF8D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提供同城4h、异地12h技术响应服务，2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51F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8A486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12463F21">
            <w:pPr>
              <w:shd w:val="clear"/>
              <w:rPr>
                <w:rFonts w:hint="eastAsia" w:ascii="宋体" w:hAnsi="宋体" w:eastAsia="宋体" w:cs="宋体"/>
                <w:color w:val="auto"/>
                <w:highlight w:val="none"/>
              </w:rPr>
            </w:pPr>
          </w:p>
        </w:tc>
        <w:tc>
          <w:tcPr>
            <w:tcW w:w="1843" w:type="dxa"/>
            <w:tcBorders>
              <w:tl2br w:val="nil"/>
              <w:tr2bl w:val="nil"/>
            </w:tcBorders>
            <w:vAlign w:val="center"/>
          </w:tcPr>
          <w:p w14:paraId="2EF2E6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220" w:type="dxa"/>
            <w:tcBorders>
              <w:tl2br w:val="nil"/>
              <w:tr2bl w:val="nil"/>
            </w:tcBorders>
            <w:vAlign w:val="center"/>
          </w:tcPr>
          <w:p w14:paraId="005754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乙方提供培训材料、产品手册、培训视频等培训相关内容</w:t>
            </w:r>
          </w:p>
        </w:tc>
      </w:tr>
      <w:tr w14:paraId="2506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2CE82E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751951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843" w:type="dxa"/>
            <w:vMerge w:val="restart"/>
            <w:tcBorders>
              <w:tl2br w:val="nil"/>
              <w:tr2bl w:val="nil"/>
            </w:tcBorders>
            <w:vAlign w:val="center"/>
          </w:tcPr>
          <w:p w14:paraId="740F5C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220" w:type="dxa"/>
            <w:tcBorders>
              <w:tl2br w:val="nil"/>
              <w:tr2bl w:val="nil"/>
            </w:tcBorders>
            <w:vAlign w:val="center"/>
          </w:tcPr>
          <w:p w14:paraId="681D6B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7B13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30" w:type="dxa"/>
            <w:vMerge w:val="continue"/>
            <w:tcBorders>
              <w:tl2br w:val="nil"/>
              <w:tr2bl w:val="nil"/>
            </w:tcBorders>
            <w:vAlign w:val="center"/>
          </w:tcPr>
          <w:p w14:paraId="7DE376C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71E5ECB">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43729BE">
            <w:pPr>
              <w:shd w:val="clear"/>
              <w:rPr>
                <w:rFonts w:hint="eastAsia" w:ascii="宋体" w:hAnsi="宋体" w:eastAsia="宋体" w:cs="宋体"/>
                <w:color w:val="auto"/>
                <w:highlight w:val="none"/>
              </w:rPr>
            </w:pPr>
          </w:p>
        </w:tc>
        <w:tc>
          <w:tcPr>
            <w:tcW w:w="5220" w:type="dxa"/>
            <w:tcBorders>
              <w:tl2br w:val="nil"/>
              <w:tr2bl w:val="nil"/>
            </w:tcBorders>
            <w:vAlign w:val="center"/>
          </w:tcPr>
          <w:p w14:paraId="4FB544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 6 年；</w:t>
            </w:r>
          </w:p>
        </w:tc>
      </w:tr>
      <w:tr w14:paraId="6466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893606D">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FB3CCAB">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2298F39">
            <w:pPr>
              <w:shd w:val="clear"/>
              <w:rPr>
                <w:rFonts w:hint="eastAsia" w:ascii="宋体" w:hAnsi="宋体" w:eastAsia="宋体" w:cs="宋体"/>
                <w:color w:val="auto"/>
                <w:highlight w:val="none"/>
              </w:rPr>
            </w:pPr>
          </w:p>
        </w:tc>
        <w:tc>
          <w:tcPr>
            <w:tcW w:w="5220" w:type="dxa"/>
            <w:tcBorders>
              <w:tl2br w:val="nil"/>
              <w:tr2bl w:val="nil"/>
            </w:tcBorders>
            <w:vAlign w:val="center"/>
          </w:tcPr>
          <w:p w14:paraId="680818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年告知甲方；</w:t>
            </w:r>
          </w:p>
        </w:tc>
      </w:tr>
      <w:tr w14:paraId="4EF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5764746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4294D6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1C45069D">
            <w:pPr>
              <w:shd w:val="clear"/>
              <w:rPr>
                <w:rFonts w:hint="eastAsia" w:ascii="宋体" w:hAnsi="宋体" w:eastAsia="宋体" w:cs="宋体"/>
                <w:color w:val="auto"/>
                <w:highlight w:val="none"/>
              </w:rPr>
            </w:pPr>
          </w:p>
        </w:tc>
        <w:tc>
          <w:tcPr>
            <w:tcW w:w="5220" w:type="dxa"/>
            <w:tcBorders>
              <w:tl2br w:val="nil"/>
              <w:tr2bl w:val="nil"/>
            </w:tcBorders>
            <w:vAlign w:val="center"/>
          </w:tcPr>
          <w:p w14:paraId="038706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3B45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6D069B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6D366A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843" w:type="dxa"/>
            <w:tcBorders>
              <w:tl2br w:val="nil"/>
              <w:tr2bl w:val="nil"/>
            </w:tcBorders>
            <w:vAlign w:val="center"/>
          </w:tcPr>
          <w:p w14:paraId="6F1CA4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220" w:type="dxa"/>
            <w:tcBorders>
              <w:tl2br w:val="nil"/>
              <w:tr2bl w:val="nil"/>
            </w:tcBorders>
            <w:vAlign w:val="center"/>
          </w:tcPr>
          <w:p w14:paraId="64547A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72BA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1FDAA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455050AE">
            <w:pPr>
              <w:shd w:val="clear"/>
              <w:rPr>
                <w:rFonts w:hint="eastAsia" w:ascii="宋体" w:hAnsi="宋体" w:eastAsia="宋体" w:cs="宋体"/>
                <w:color w:val="auto"/>
                <w:highlight w:val="none"/>
              </w:rPr>
            </w:pPr>
          </w:p>
        </w:tc>
        <w:tc>
          <w:tcPr>
            <w:tcW w:w="1843" w:type="dxa"/>
            <w:tcBorders>
              <w:tl2br w:val="nil"/>
              <w:tr2bl w:val="nil"/>
            </w:tcBorders>
            <w:vAlign w:val="center"/>
          </w:tcPr>
          <w:p w14:paraId="36E5C0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220" w:type="dxa"/>
            <w:tcBorders>
              <w:tl2br w:val="nil"/>
              <w:tr2bl w:val="nil"/>
            </w:tcBorders>
            <w:vAlign w:val="center"/>
          </w:tcPr>
          <w:p w14:paraId="45C5E5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5A75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3D2A8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3022A464">
            <w:pPr>
              <w:shd w:val="clear"/>
              <w:rPr>
                <w:rFonts w:hint="eastAsia" w:ascii="宋体" w:hAnsi="宋体" w:eastAsia="宋体" w:cs="宋体"/>
                <w:color w:val="auto"/>
                <w:highlight w:val="none"/>
              </w:rPr>
            </w:pPr>
          </w:p>
        </w:tc>
        <w:tc>
          <w:tcPr>
            <w:tcW w:w="1843" w:type="dxa"/>
            <w:tcBorders>
              <w:tl2br w:val="nil"/>
              <w:tr2bl w:val="nil"/>
            </w:tcBorders>
            <w:vAlign w:val="center"/>
          </w:tcPr>
          <w:p w14:paraId="738958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220" w:type="dxa"/>
            <w:tcBorders>
              <w:tl2br w:val="nil"/>
              <w:tr2bl w:val="nil"/>
            </w:tcBorders>
            <w:vAlign w:val="center"/>
          </w:tcPr>
          <w:p w14:paraId="15D6FF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79B6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D2EA1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13AF5C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843" w:type="dxa"/>
            <w:tcBorders>
              <w:tl2br w:val="nil"/>
              <w:tr2bl w:val="nil"/>
            </w:tcBorders>
            <w:vAlign w:val="center"/>
          </w:tcPr>
          <w:p w14:paraId="35B73E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220" w:type="dxa"/>
            <w:tcBorders>
              <w:tl2br w:val="nil"/>
              <w:tr2bl w:val="nil"/>
            </w:tcBorders>
            <w:vAlign w:val="center"/>
          </w:tcPr>
          <w:p w14:paraId="45321F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038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C020A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194C9C0E">
            <w:pPr>
              <w:shd w:val="clear"/>
              <w:rPr>
                <w:rFonts w:hint="eastAsia" w:ascii="宋体" w:hAnsi="宋体" w:eastAsia="宋体" w:cs="宋体"/>
                <w:color w:val="auto"/>
                <w:highlight w:val="none"/>
              </w:rPr>
            </w:pPr>
          </w:p>
        </w:tc>
        <w:tc>
          <w:tcPr>
            <w:tcW w:w="1843" w:type="dxa"/>
            <w:tcBorders>
              <w:tl2br w:val="nil"/>
              <w:tr2bl w:val="nil"/>
            </w:tcBorders>
            <w:vAlign w:val="center"/>
          </w:tcPr>
          <w:p w14:paraId="5A3D2F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220" w:type="dxa"/>
            <w:tcBorders>
              <w:tl2br w:val="nil"/>
              <w:tr2bl w:val="nil"/>
            </w:tcBorders>
            <w:vAlign w:val="center"/>
          </w:tcPr>
          <w:p w14:paraId="6CC09C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1BFE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0EF2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25E2AE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843" w:type="dxa"/>
            <w:tcBorders>
              <w:tl2br w:val="nil"/>
              <w:tr2bl w:val="nil"/>
            </w:tcBorders>
            <w:vAlign w:val="center"/>
          </w:tcPr>
          <w:p w14:paraId="403831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220" w:type="dxa"/>
            <w:tcBorders>
              <w:tl2br w:val="nil"/>
              <w:tr2bl w:val="nil"/>
            </w:tcBorders>
            <w:vAlign w:val="center"/>
          </w:tcPr>
          <w:p w14:paraId="688A9E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当产品部件出现供应风险时，应通知甲方并提供风险应对方案确保产品的服务保障，必要时应停止相关受影响产品的销售</w:t>
            </w:r>
          </w:p>
        </w:tc>
      </w:tr>
      <w:tr w14:paraId="209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1D096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18FD2F5E">
            <w:pPr>
              <w:shd w:val="clear"/>
              <w:rPr>
                <w:rFonts w:hint="eastAsia" w:ascii="宋体" w:hAnsi="宋体" w:eastAsia="宋体" w:cs="宋体"/>
                <w:color w:val="auto"/>
                <w:highlight w:val="none"/>
              </w:rPr>
            </w:pPr>
          </w:p>
        </w:tc>
        <w:tc>
          <w:tcPr>
            <w:tcW w:w="1843" w:type="dxa"/>
            <w:tcBorders>
              <w:tl2br w:val="nil"/>
              <w:tr2bl w:val="nil"/>
            </w:tcBorders>
            <w:vAlign w:val="center"/>
          </w:tcPr>
          <w:p w14:paraId="6ADB11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220" w:type="dxa"/>
            <w:tcBorders>
              <w:tl2br w:val="nil"/>
              <w:tr2bl w:val="nil"/>
            </w:tcBorders>
            <w:vAlign w:val="center"/>
          </w:tcPr>
          <w:p w14:paraId="15C427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乙方需提供供应链稳定承诺书，确保产品的部件在产品服务周期内稳定供货</w:t>
            </w:r>
          </w:p>
        </w:tc>
      </w:tr>
    </w:tbl>
    <w:p w14:paraId="50E5F223">
      <w:pPr>
        <w:shd w:val="clear"/>
        <w:spacing w:line="360" w:lineRule="auto"/>
        <w:rPr>
          <w:rFonts w:hint="eastAsia" w:ascii="宋体" w:hAnsi="宋体" w:eastAsia="宋体" w:cs="宋体"/>
          <w:color w:val="auto"/>
          <w:sz w:val="24"/>
          <w:highlight w:val="none"/>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34"/>
        <w:gridCol w:w="6558"/>
      </w:tblGrid>
      <w:tr w14:paraId="5F39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059E53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DF130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629209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6CE1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2B63AA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002FC4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部署4节点非现场公安网云存储一体机4台（含16T存储硬盘120块）</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3C95A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1）分布式存储参数：</w:t>
            </w:r>
          </w:p>
          <w:p w14:paraId="3BA3E6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（数据控制器）内嵌高性能数据存取引擎，用于并行处理所有客户端的数据访问请求，内嵌高性能数据恢复引擎，支持节点间replication（多副本）/N+M（纠删码）数据冗余方式；</w:t>
            </w:r>
          </w:p>
          <w:p w14:paraId="52349B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存储支持SMB/CIFS、NFS、FTP/FTPS、HTTP/HTTPS、POSIX （MPI-IO）S3、.CSI、HDFS、ISCSI、FC、LocalSCSI、Lidrbd、XBD多种访问协议。支持文件、对象及HDFS协议互通，避免因访问协议不同造成的数据拷贝POSIX协议访问延时在10ms以内，支持多套集群挂载和数据一致性。；</w:t>
            </w:r>
          </w:p>
          <w:p w14:paraId="41CB52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单目录支持存放大于1000亿文件；单桶支持存放大于1000亿对象；文件系统数量大于4096个，单个文件大小大于256TB；</w:t>
            </w:r>
          </w:p>
          <w:p w14:paraId="23363B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存储支持多租户特性，单个集群内可以划分为多个节点池，不同节点池可设置不同的数据保护策略（动态EC，支持双副本、三副本、4+2、8+2、10+2、12+2、22+2数据保护策略），实现节点池之间数据隔离；对节点池设置不同访问分区，为不同用户或应用提供不同的存储服务，实现数据访问的相互隔离；</w:t>
            </w:r>
          </w:p>
          <w:p w14:paraId="2DC49A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szCs w:val="21"/>
                <w:highlight w:val="none"/>
              </w:rPr>
              <w:t>分布式存储支持分级存储和数据生命周期管理功能。文件接口分级存储和生命周期管理支持文件名过滤规则、文件大小、元数据的创建时间/修改时间；块接口分级存储支持IO监控策略（周期性/定时监控）；桶的生命周期作用于桶内特定对象、桶内所有对象和应用到整个桶，可设置分级存储策略、过期删除策略和过期删除未合并的多段任务策略。分级存储支持四级存储介质，各层级容量均可作为实际容量使用；</w:t>
            </w:r>
          </w:p>
          <w:p w14:paraId="0AAD6D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rPr>
              <w:t>分布式存储支持目录级的远程复制功能，过滤条件包括文件名、文件大小、文件的访问时间/修改时间/元数据修改时间，支持主从切换、分裂和取消分裂操作以及最大带宽限制；分布式存储支持块接口的远程复制功能，支持可选一致性组复制和LUN复制，支持异步和同步远程复制。分布式存储支持对象接口的远程复制功能，支持桶内所有对象和按照条件筛选（对象名称前缀、对象标签、对象名称前缀及对象标签），支持同步QoS策略（设置传输带宽及TPS上限）以及主从切换；</w:t>
            </w:r>
          </w:p>
          <w:p w14:paraId="247023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rPr>
              <w:t>分布式存储系统支持多版本、WORM、对象锁定、追加写、对象加密、重删及压缩、文件迁移至对象特性；</w:t>
            </w:r>
          </w:p>
          <w:p w14:paraId="0E2707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szCs w:val="21"/>
                <w:highlight w:val="none"/>
              </w:rPr>
              <w:t>分布式存储磁盘或节点故障后，自动触发数据重建修复，1TB数据修复时间小于10分钟；支持调整数据重建QoS策略；</w:t>
            </w:r>
          </w:p>
          <w:p w14:paraId="442F9B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szCs w:val="21"/>
                <w:highlight w:val="none"/>
              </w:rPr>
              <w:t>分布式存储系统支持文件回收站、块回收站、对象回收站功能，支持文件/对象/存储卷删除后自动保存一段时间，可以从回收站恢复，支持文件过期后自动删除。</w:t>
            </w:r>
          </w:p>
          <w:p w14:paraId="0C118B0A">
            <w:pPr>
              <w:pStyle w:val="14"/>
              <w:shd w:val="clea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sz w:val="21"/>
                <w:szCs w:val="21"/>
                <w:highlight w:val="none"/>
              </w:rPr>
              <w:t>分布式存储支持原生HDFS接口语义，可对接Hadoop大数据平台并提供存储空间，支持接管Hadoop已有HDFS存储资源。</w:t>
            </w:r>
          </w:p>
          <w:p w14:paraId="37ED4C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10、硬件要求：不低于板载双口千兆RJ45网卡/128G缓存/600G 2.5吋10K 12Gb SAS硬盘*2 /3.84T 2.5 SATA 6G R SSD*2 /双口万兆网卡（含模块）*2 /冗余电源</w:t>
            </w:r>
          </w:p>
          <w:p w14:paraId="477FB2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11、存储硬盘：不低于16TB 3.5吋7.2k 6Gb SATA硬盘*30</w:t>
            </w:r>
          </w:p>
          <w:p w14:paraId="3A5ECF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总容量16T*120。</w:t>
            </w:r>
          </w:p>
        </w:tc>
      </w:tr>
      <w:tr w14:paraId="7EA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77EA14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01D86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光交换机2台</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7C881B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2）光交换机参数：</w:t>
            </w:r>
          </w:p>
          <w:p w14:paraId="45F702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不低于48个万兆光口（含光模块）+8个100G端口交换机</w:t>
            </w:r>
          </w:p>
        </w:tc>
      </w:tr>
    </w:tbl>
    <w:p w14:paraId="5FE8E7DE">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035"/>
        <w:gridCol w:w="6558"/>
      </w:tblGrid>
      <w:tr w14:paraId="5825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16C38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1C03C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130FB4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7E3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6353EF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6A294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国产化数据库1套</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173FDE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信创国产关系型数据库软件，产品需兼容主流信创CPU芯片和主流信创操作系统。</w:t>
            </w:r>
          </w:p>
          <w:p w14:paraId="346AE8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提供联机交易处理能力，能够通过TPC-C基准测试，测试中3000仓数据量性能达到200万tpmC以上。</w:t>
            </w:r>
          </w:p>
          <w:p w14:paraId="69F98C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数据库在两亿条数据场景下，执行三次前后模糊查询操作，平均查询时间小于0.2毫秒。支持按照全库、用户(模式)和数据表多级的备份和恢复方式。</w:t>
            </w:r>
          </w:p>
          <w:p w14:paraId="16A9C4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支持位图索引，索引中存储了表中各列值的位图信息。当列取值少时，位图索引的占用空间要比B树索引更小。</w:t>
            </w:r>
          </w:p>
          <w:p w14:paraId="4A3142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支持RANGE数据类型、表继承、Listen、Notify、混合分区等功能。</w:t>
            </w:r>
          </w:p>
          <w:p w14:paraId="71BA30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护业务的连续性，数据库支持高可用集群部署架构，高可用组件，支持双机热备、读写分离、级联复制等数据可靠性的多重保障，对运行态实时保护，健康检查运行监控，一致性校验，控制文件多副本等多重保障；</w:t>
            </w:r>
          </w:p>
          <w:p w14:paraId="78234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详细参数见“国产化数据库详细参数要求”</w:t>
            </w:r>
          </w:p>
        </w:tc>
      </w:tr>
    </w:tbl>
    <w:p w14:paraId="2CB3457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国产化数据库详细参数如下：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08"/>
        <w:gridCol w:w="1743"/>
        <w:gridCol w:w="5351"/>
      </w:tblGrid>
      <w:tr w14:paraId="43B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5DBE5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vAlign w:val="center"/>
          </w:tcPr>
          <w:p w14:paraId="6F3EE9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一级指标</w:t>
            </w:r>
          </w:p>
        </w:tc>
        <w:tc>
          <w:tcPr>
            <w:tcW w:w="1701" w:type="dxa"/>
            <w:tcBorders>
              <w:tl2br w:val="nil"/>
              <w:tr2bl w:val="nil"/>
            </w:tcBorders>
            <w:vAlign w:val="center"/>
          </w:tcPr>
          <w:p w14:paraId="4FDD96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二级指标</w:t>
            </w:r>
          </w:p>
        </w:tc>
        <w:tc>
          <w:tcPr>
            <w:tcW w:w="5220" w:type="dxa"/>
            <w:tcBorders>
              <w:tl2br w:val="nil"/>
              <w:tr2bl w:val="nil"/>
            </w:tcBorders>
            <w:vAlign w:val="center"/>
          </w:tcPr>
          <w:p w14:paraId="5467AB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17A9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3D0DBF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261179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安装与升级</w:t>
            </w:r>
          </w:p>
        </w:tc>
        <w:tc>
          <w:tcPr>
            <w:tcW w:w="1701" w:type="dxa"/>
            <w:tcBorders>
              <w:tl2br w:val="nil"/>
              <w:tr2bl w:val="nil"/>
            </w:tcBorders>
            <w:vAlign w:val="center"/>
          </w:tcPr>
          <w:p w14:paraId="42AFBB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数据库安装</w:t>
            </w:r>
          </w:p>
        </w:tc>
        <w:tc>
          <w:tcPr>
            <w:tcW w:w="5220" w:type="dxa"/>
            <w:tcBorders>
              <w:tl2br w:val="nil"/>
              <w:tr2bl w:val="nil"/>
            </w:tcBorders>
            <w:vAlign w:val="center"/>
          </w:tcPr>
          <w:p w14:paraId="6E127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支持命令行或图形化的安装；</w:t>
            </w:r>
          </w:p>
          <w:p w14:paraId="10D4ED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支持命令行或图形化的可配置安装能力；</w:t>
            </w:r>
          </w:p>
          <w:p w14:paraId="268BB7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依据安装环境提供相应的初始化参数配置值；</w:t>
            </w:r>
          </w:p>
          <w:p w14:paraId="161102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提供图形化软件组件管理向导工具；</w:t>
            </w:r>
          </w:p>
        </w:tc>
      </w:tr>
      <w:tr w14:paraId="016E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B2CBB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continue"/>
            <w:tcBorders>
              <w:tl2br w:val="nil"/>
              <w:tr2bl w:val="nil"/>
            </w:tcBorders>
            <w:vAlign w:val="center"/>
          </w:tcPr>
          <w:p w14:paraId="23DAD2CF">
            <w:pPr>
              <w:shd w:val="clear"/>
              <w:rPr>
                <w:rFonts w:hint="eastAsia" w:ascii="宋体" w:hAnsi="宋体" w:eastAsia="宋体" w:cs="宋体"/>
                <w:color w:val="auto"/>
                <w:highlight w:val="none"/>
              </w:rPr>
            </w:pPr>
          </w:p>
        </w:tc>
        <w:tc>
          <w:tcPr>
            <w:tcW w:w="1701" w:type="dxa"/>
            <w:tcBorders>
              <w:tl2br w:val="nil"/>
              <w:tr2bl w:val="nil"/>
            </w:tcBorders>
            <w:vAlign w:val="center"/>
          </w:tcPr>
          <w:p w14:paraId="2DC741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数据库重启</w:t>
            </w:r>
          </w:p>
        </w:tc>
        <w:tc>
          <w:tcPr>
            <w:tcW w:w="5220" w:type="dxa"/>
            <w:tcBorders>
              <w:tl2br w:val="nil"/>
              <w:tr2bl w:val="nil"/>
            </w:tcBorders>
            <w:vAlign w:val="center"/>
          </w:tcPr>
          <w:p w14:paraId="2E0A64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支持命令行或图形化的方式关闭和启动服务；</w:t>
            </w:r>
          </w:p>
          <w:p w14:paraId="2C5EBB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关闭服务后，再启动服务，服务正常；</w:t>
            </w:r>
          </w:p>
        </w:tc>
      </w:tr>
      <w:tr w14:paraId="0B9B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2B20A2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41A103FB">
            <w:pPr>
              <w:shd w:val="clear"/>
              <w:rPr>
                <w:rFonts w:hint="eastAsia" w:ascii="宋体" w:hAnsi="宋体" w:eastAsia="宋体" w:cs="宋体"/>
                <w:color w:val="auto"/>
                <w:highlight w:val="none"/>
              </w:rPr>
            </w:pPr>
          </w:p>
        </w:tc>
        <w:tc>
          <w:tcPr>
            <w:tcW w:w="1701" w:type="dxa"/>
            <w:tcBorders>
              <w:tl2br w:val="nil"/>
              <w:tr2bl w:val="nil"/>
            </w:tcBorders>
            <w:vAlign w:val="center"/>
          </w:tcPr>
          <w:p w14:paraId="7FEFE0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安装配置日志</w:t>
            </w:r>
          </w:p>
        </w:tc>
        <w:tc>
          <w:tcPr>
            <w:tcW w:w="5220" w:type="dxa"/>
            <w:tcBorders>
              <w:tl2br w:val="nil"/>
              <w:tr2bl w:val="nil"/>
            </w:tcBorders>
            <w:vAlign w:val="center"/>
          </w:tcPr>
          <w:p w14:paraId="335383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提供软件安装的日志记录功能； </w:t>
            </w:r>
          </w:p>
          <w:p w14:paraId="265C04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记录的软件安装信息完整正确；</w:t>
            </w:r>
          </w:p>
          <w:p w14:paraId="324B5B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提供安装配置操作的日志记录功能；</w:t>
            </w:r>
          </w:p>
          <w:p w14:paraId="0CA3B3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记录的配置操作信息完整正确；</w:t>
            </w:r>
          </w:p>
        </w:tc>
      </w:tr>
      <w:tr w14:paraId="25EB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7E70FA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13DEC2BA">
            <w:pPr>
              <w:shd w:val="clear"/>
              <w:rPr>
                <w:rFonts w:hint="eastAsia" w:ascii="宋体" w:hAnsi="宋体" w:eastAsia="宋体" w:cs="宋体"/>
                <w:color w:val="auto"/>
                <w:highlight w:val="none"/>
              </w:rPr>
            </w:pPr>
          </w:p>
        </w:tc>
        <w:tc>
          <w:tcPr>
            <w:tcW w:w="1701" w:type="dxa"/>
            <w:tcBorders>
              <w:tl2br w:val="nil"/>
              <w:tr2bl w:val="nil"/>
            </w:tcBorders>
            <w:vAlign w:val="center"/>
          </w:tcPr>
          <w:p w14:paraId="234B95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升级维护</w:t>
            </w:r>
          </w:p>
        </w:tc>
        <w:tc>
          <w:tcPr>
            <w:tcW w:w="5220" w:type="dxa"/>
            <w:tcBorders>
              <w:tl2br w:val="nil"/>
              <w:tr2bl w:val="nil"/>
            </w:tcBorders>
            <w:vAlign w:val="center"/>
          </w:tcPr>
          <w:p w14:paraId="42B742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支持版本升级，保证版本间功能和数据的兼容性；</w:t>
            </w:r>
          </w:p>
          <w:p w14:paraId="555D23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厂商提供当前版本与历史版本的差异说明文档，包含新版本对软件和硬件的支持情况</w:t>
            </w:r>
          </w:p>
        </w:tc>
      </w:tr>
      <w:tr w14:paraId="577D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6C5CCB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l2br w:val="nil"/>
              <w:tr2bl w:val="nil"/>
            </w:tcBorders>
            <w:vAlign w:val="center"/>
          </w:tcPr>
          <w:p w14:paraId="14AA8B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数据配置</w:t>
            </w:r>
          </w:p>
        </w:tc>
        <w:tc>
          <w:tcPr>
            <w:tcW w:w="1701" w:type="dxa"/>
            <w:tcBorders>
              <w:tl2br w:val="nil"/>
              <w:tr2bl w:val="nil"/>
            </w:tcBorders>
            <w:vAlign w:val="center"/>
          </w:tcPr>
          <w:p w14:paraId="190E53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参数配置</w:t>
            </w:r>
          </w:p>
        </w:tc>
        <w:tc>
          <w:tcPr>
            <w:tcW w:w="5220" w:type="dxa"/>
            <w:tcBorders>
              <w:tl2br w:val="nil"/>
              <w:tr2bl w:val="nil"/>
            </w:tcBorders>
            <w:vAlign w:val="center"/>
          </w:tcPr>
          <w:p w14:paraId="68BC43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依据工作负载和运行环境，提供配置参数修改的能力</w:t>
            </w:r>
          </w:p>
          <w:p w14:paraId="22BD6B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修改数据库配置参数后，配置参数立即生效或数据库重新启动生效，立即生效的配置参数和需要数据库重新启动方可生效的配置参数在相关文档中明确；</w:t>
            </w:r>
          </w:p>
        </w:tc>
      </w:tr>
      <w:tr w14:paraId="00D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426D37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restart"/>
            <w:tcBorders>
              <w:tl2br w:val="nil"/>
              <w:tr2bl w:val="nil"/>
            </w:tcBorders>
            <w:vAlign w:val="center"/>
          </w:tcPr>
          <w:p w14:paraId="0EE087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 功能</w:t>
            </w:r>
          </w:p>
        </w:tc>
        <w:tc>
          <w:tcPr>
            <w:tcW w:w="1701" w:type="dxa"/>
            <w:tcBorders>
              <w:tl2br w:val="nil"/>
              <w:tr2bl w:val="nil"/>
            </w:tcBorders>
            <w:vAlign w:val="center"/>
          </w:tcPr>
          <w:p w14:paraId="5FDD4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基础数据类型</w:t>
            </w:r>
          </w:p>
        </w:tc>
        <w:tc>
          <w:tcPr>
            <w:tcW w:w="5220" w:type="dxa"/>
            <w:tcBorders>
              <w:tl2br w:val="nil"/>
              <w:tr2bl w:val="nil"/>
            </w:tcBorders>
            <w:vAlign w:val="center"/>
          </w:tcPr>
          <w:p w14:paraId="447A9F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支持数值类型； </w:t>
            </w:r>
          </w:p>
          <w:p w14:paraId="3D90A7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支持字符类型；</w:t>
            </w:r>
          </w:p>
          <w:p w14:paraId="020D81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支持二进制类型；</w:t>
            </w:r>
          </w:p>
          <w:p w14:paraId="12D16B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支持日期和时间类型；</w:t>
            </w:r>
          </w:p>
          <w:p w14:paraId="17E6AF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支持布尔类型；</w:t>
            </w:r>
          </w:p>
          <w:p w14:paraId="3A8E58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支持（大）文本类型；</w:t>
            </w:r>
          </w:p>
          <w:p w14:paraId="28004F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支持大对象类型</w:t>
            </w:r>
          </w:p>
        </w:tc>
      </w:tr>
      <w:tr w14:paraId="4502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3477E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continue"/>
            <w:tcBorders>
              <w:tl2br w:val="nil"/>
              <w:tr2bl w:val="nil"/>
            </w:tcBorders>
            <w:vAlign w:val="center"/>
          </w:tcPr>
          <w:p w14:paraId="15C7EFDE">
            <w:pPr>
              <w:shd w:val="clear"/>
              <w:rPr>
                <w:rFonts w:hint="eastAsia" w:ascii="宋体" w:hAnsi="宋体" w:eastAsia="宋体" w:cs="宋体"/>
                <w:color w:val="auto"/>
                <w:highlight w:val="none"/>
              </w:rPr>
            </w:pPr>
          </w:p>
        </w:tc>
        <w:tc>
          <w:tcPr>
            <w:tcW w:w="1701" w:type="dxa"/>
            <w:tcBorders>
              <w:tl2br w:val="nil"/>
              <w:tr2bl w:val="nil"/>
            </w:tcBorders>
            <w:vAlign w:val="center"/>
          </w:tcPr>
          <w:p w14:paraId="10C2EF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数据存储基础功能</w:t>
            </w:r>
          </w:p>
        </w:tc>
        <w:tc>
          <w:tcPr>
            <w:tcW w:w="5220" w:type="dxa"/>
            <w:tcBorders>
              <w:tl2br w:val="nil"/>
              <w:tr2bl w:val="nil"/>
            </w:tcBorders>
            <w:vAlign w:val="center"/>
          </w:tcPr>
          <w:p w14:paraId="00D832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0198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BF8D5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75A51140">
            <w:pPr>
              <w:shd w:val="clear"/>
              <w:rPr>
                <w:rFonts w:hint="eastAsia" w:ascii="宋体" w:hAnsi="宋体" w:eastAsia="宋体" w:cs="宋体"/>
                <w:color w:val="auto"/>
                <w:highlight w:val="none"/>
              </w:rPr>
            </w:pPr>
          </w:p>
        </w:tc>
        <w:tc>
          <w:tcPr>
            <w:tcW w:w="1701" w:type="dxa"/>
            <w:tcBorders>
              <w:tl2br w:val="nil"/>
              <w:tr2bl w:val="nil"/>
            </w:tcBorders>
            <w:vAlign w:val="center"/>
          </w:tcPr>
          <w:p w14:paraId="4636EF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数据检索基础功能</w:t>
            </w:r>
          </w:p>
        </w:tc>
        <w:tc>
          <w:tcPr>
            <w:tcW w:w="5220" w:type="dxa"/>
            <w:tcBorders>
              <w:tl2br w:val="nil"/>
              <w:tr2bl w:val="nil"/>
            </w:tcBorders>
            <w:vAlign w:val="center"/>
          </w:tcPr>
          <w:p w14:paraId="7BC98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0BA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2" w:type="dxa"/>
            <w:tcBorders>
              <w:tl2br w:val="nil"/>
              <w:tr2bl w:val="nil"/>
            </w:tcBorders>
            <w:vAlign w:val="center"/>
          </w:tcPr>
          <w:p w14:paraId="79AFB4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742EF810">
            <w:pPr>
              <w:shd w:val="clear"/>
              <w:rPr>
                <w:rFonts w:hint="eastAsia" w:ascii="宋体" w:hAnsi="宋体" w:eastAsia="宋体" w:cs="宋体"/>
                <w:color w:val="auto"/>
                <w:highlight w:val="none"/>
              </w:rPr>
            </w:pPr>
          </w:p>
        </w:tc>
        <w:tc>
          <w:tcPr>
            <w:tcW w:w="1701" w:type="dxa"/>
            <w:tcBorders>
              <w:tl2br w:val="nil"/>
              <w:tr2bl w:val="nil"/>
            </w:tcBorders>
            <w:vAlign w:val="center"/>
          </w:tcPr>
          <w:p w14:paraId="35C64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核心SQL能力</w:t>
            </w:r>
          </w:p>
        </w:tc>
        <w:tc>
          <w:tcPr>
            <w:tcW w:w="5220" w:type="dxa"/>
            <w:tcBorders>
              <w:tl2br w:val="nil"/>
              <w:tr2bl w:val="nil"/>
            </w:tcBorders>
            <w:vAlign w:val="center"/>
          </w:tcPr>
          <w:p w14:paraId="7EB5C5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支持左外连接；</w:t>
            </w:r>
          </w:p>
          <w:p w14:paraId="3326EB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支持右外连接；</w:t>
            </w:r>
          </w:p>
          <w:p w14:paraId="08388B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支持内连接；</w:t>
            </w:r>
          </w:p>
          <w:p w14:paraId="59B1BE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支持全连接</w:t>
            </w:r>
          </w:p>
        </w:tc>
      </w:tr>
      <w:tr w14:paraId="61DA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0EC84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continue"/>
            <w:tcBorders>
              <w:tl2br w:val="nil"/>
              <w:tr2bl w:val="nil"/>
            </w:tcBorders>
            <w:vAlign w:val="center"/>
          </w:tcPr>
          <w:p w14:paraId="3A811139">
            <w:pPr>
              <w:shd w:val="clear"/>
              <w:rPr>
                <w:rFonts w:hint="eastAsia" w:ascii="宋体" w:hAnsi="宋体" w:eastAsia="宋体" w:cs="宋体"/>
                <w:color w:val="auto"/>
                <w:highlight w:val="none"/>
              </w:rPr>
            </w:pPr>
          </w:p>
        </w:tc>
        <w:tc>
          <w:tcPr>
            <w:tcW w:w="1701" w:type="dxa"/>
            <w:tcBorders>
              <w:tl2br w:val="nil"/>
              <w:tr2bl w:val="nil"/>
            </w:tcBorders>
            <w:vAlign w:val="center"/>
          </w:tcPr>
          <w:p w14:paraId="14047C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字符集</w:t>
            </w:r>
          </w:p>
        </w:tc>
        <w:tc>
          <w:tcPr>
            <w:tcW w:w="5220" w:type="dxa"/>
            <w:tcBorders>
              <w:tl2br w:val="nil"/>
              <w:tr2bl w:val="nil"/>
            </w:tcBorders>
            <w:vAlign w:val="center"/>
          </w:tcPr>
          <w:p w14:paraId="1CE81C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中文字符集符合 GB 18030 的要求</w:t>
            </w:r>
          </w:p>
        </w:tc>
      </w:tr>
      <w:tr w14:paraId="2680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74B8B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2436C386">
            <w:pPr>
              <w:shd w:val="clear"/>
              <w:rPr>
                <w:rFonts w:hint="eastAsia" w:ascii="宋体" w:hAnsi="宋体" w:eastAsia="宋体" w:cs="宋体"/>
                <w:color w:val="auto"/>
                <w:highlight w:val="none"/>
              </w:rPr>
            </w:pPr>
          </w:p>
        </w:tc>
        <w:tc>
          <w:tcPr>
            <w:tcW w:w="1701" w:type="dxa"/>
            <w:tcBorders>
              <w:tl2br w:val="nil"/>
              <w:tr2bl w:val="nil"/>
            </w:tcBorders>
            <w:vAlign w:val="center"/>
          </w:tcPr>
          <w:p w14:paraId="0DED53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常用操作符</w:t>
            </w:r>
          </w:p>
        </w:tc>
        <w:tc>
          <w:tcPr>
            <w:tcW w:w="5220" w:type="dxa"/>
            <w:tcBorders>
              <w:tl2br w:val="nil"/>
              <w:tr2bl w:val="nil"/>
            </w:tcBorders>
            <w:vAlign w:val="center"/>
          </w:tcPr>
          <w:p w14:paraId="04A791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支持逻辑操作符及相关运算； </w:t>
            </w:r>
          </w:p>
          <w:p w14:paraId="268D65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支持比较操作符及相关运算；</w:t>
            </w:r>
          </w:p>
          <w:p w14:paraId="58419C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支持算术运算符及相关运算；</w:t>
            </w:r>
          </w:p>
        </w:tc>
      </w:tr>
      <w:tr w14:paraId="1506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165B96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4275BFFE">
            <w:pPr>
              <w:shd w:val="clear"/>
              <w:rPr>
                <w:rFonts w:hint="eastAsia" w:ascii="宋体" w:hAnsi="宋体" w:eastAsia="宋体" w:cs="宋体"/>
                <w:color w:val="auto"/>
                <w:highlight w:val="none"/>
              </w:rPr>
            </w:pPr>
          </w:p>
        </w:tc>
        <w:tc>
          <w:tcPr>
            <w:tcW w:w="1701" w:type="dxa"/>
            <w:tcBorders>
              <w:tl2br w:val="nil"/>
              <w:tr2bl w:val="nil"/>
            </w:tcBorders>
            <w:vAlign w:val="center"/>
          </w:tcPr>
          <w:p w14:paraId="2D6F60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条件表达式</w:t>
            </w:r>
          </w:p>
        </w:tc>
        <w:tc>
          <w:tcPr>
            <w:tcW w:w="5220" w:type="dxa"/>
            <w:tcBorders>
              <w:tl2br w:val="nil"/>
              <w:tr2bl w:val="nil"/>
            </w:tcBorders>
            <w:vAlign w:val="center"/>
          </w:tcPr>
          <w:p w14:paraId="7E397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支持对比条件表达式； </w:t>
            </w:r>
          </w:p>
          <w:p w14:paraId="150B33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支持逻辑条件表达式；</w:t>
            </w:r>
          </w:p>
          <w:p w14:paraId="7C58BB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 支持空值条件表达式； </w:t>
            </w:r>
          </w:p>
          <w:p w14:paraId="2A5727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支持等于条件表达式；</w:t>
            </w:r>
          </w:p>
          <w:p w14:paraId="0D3327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支持模式匹配条件表达式；</w:t>
            </w:r>
          </w:p>
          <w:p w14:paraId="2913A2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支持区间条件表达式；</w:t>
            </w:r>
          </w:p>
          <w:p w14:paraId="566A19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支持IN条件表达式；</w:t>
            </w:r>
          </w:p>
          <w:p w14:paraId="7CD476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支持存在条件表达式；</w:t>
            </w:r>
          </w:p>
          <w:p w14:paraId="7C9756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支持以上条件表达式的复合表达式；</w:t>
            </w:r>
          </w:p>
        </w:tc>
      </w:tr>
      <w:tr w14:paraId="7AEF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5F0FF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vMerge w:val="continue"/>
            <w:tcBorders>
              <w:tl2br w:val="nil"/>
              <w:tr2bl w:val="nil"/>
            </w:tcBorders>
            <w:vAlign w:val="center"/>
          </w:tcPr>
          <w:p w14:paraId="3CD58E92">
            <w:pPr>
              <w:shd w:val="clear"/>
              <w:rPr>
                <w:rFonts w:hint="eastAsia" w:ascii="宋体" w:hAnsi="宋体" w:eastAsia="宋体" w:cs="宋体"/>
                <w:color w:val="auto"/>
                <w:highlight w:val="none"/>
              </w:rPr>
            </w:pPr>
          </w:p>
        </w:tc>
        <w:tc>
          <w:tcPr>
            <w:tcW w:w="1701" w:type="dxa"/>
            <w:tcBorders>
              <w:tl2br w:val="nil"/>
              <w:tr2bl w:val="nil"/>
            </w:tcBorders>
            <w:vAlign w:val="center"/>
          </w:tcPr>
          <w:p w14:paraId="2F8FD8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w:t>
            </w:r>
          </w:p>
        </w:tc>
        <w:tc>
          <w:tcPr>
            <w:tcW w:w="5220" w:type="dxa"/>
            <w:tcBorders>
              <w:tl2br w:val="nil"/>
              <w:tr2bl w:val="nil"/>
            </w:tcBorders>
            <w:vAlign w:val="center"/>
          </w:tcPr>
          <w:p w14:paraId="1F77E8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支持SQL计划，使SQL按照指定的语句执行，并实现预期结果</w:t>
            </w:r>
          </w:p>
        </w:tc>
      </w:tr>
      <w:tr w14:paraId="0871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773FAB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3128A0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w:t>
            </w:r>
          </w:p>
        </w:tc>
        <w:tc>
          <w:tcPr>
            <w:tcW w:w="1701" w:type="dxa"/>
            <w:tcBorders>
              <w:tl2br w:val="nil"/>
              <w:tr2bl w:val="nil"/>
            </w:tcBorders>
            <w:vAlign w:val="center"/>
          </w:tcPr>
          <w:p w14:paraId="464197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基础对象类型</w:t>
            </w:r>
          </w:p>
        </w:tc>
        <w:tc>
          <w:tcPr>
            <w:tcW w:w="5220" w:type="dxa"/>
            <w:tcBorders>
              <w:tl2br w:val="nil"/>
              <w:tr2bl w:val="nil"/>
            </w:tcBorders>
            <w:vAlign w:val="center"/>
          </w:tcPr>
          <w:p w14:paraId="011EBE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支持用户的创建、删除、修改；</w:t>
            </w:r>
          </w:p>
          <w:p w14:paraId="0F30B4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支持角色的创建、删除、修改；</w:t>
            </w:r>
          </w:p>
          <w:p w14:paraId="6A6105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支持存储过程的创建、删除、修改；</w:t>
            </w:r>
          </w:p>
          <w:p w14:paraId="7F1414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支持表操作功能；</w:t>
            </w:r>
          </w:p>
          <w:p w14:paraId="56B06C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支持自增序列；</w:t>
            </w:r>
          </w:p>
          <w:p w14:paraId="553826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支持主键约束、外键约束、唯一性约束、检查约束和联合主键约束；</w:t>
            </w:r>
          </w:p>
          <w:p w14:paraId="70F942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支持游标功能；</w:t>
            </w:r>
          </w:p>
          <w:p w14:paraId="460650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支持视图的创建、删除、修改；</w:t>
            </w:r>
          </w:p>
          <w:p w14:paraId="06675F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支持数值计算函数、字符处理函数、日期时间值函数、间隔函数、类型转换 函数、位运算函数、聚合函数、格式化、系统信息等常用函数</w:t>
            </w:r>
          </w:p>
        </w:tc>
      </w:tr>
      <w:tr w14:paraId="7C6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73CB5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0184D52C">
            <w:pPr>
              <w:shd w:val="clear"/>
              <w:rPr>
                <w:rFonts w:hint="eastAsia" w:ascii="宋体" w:hAnsi="宋体" w:eastAsia="宋体" w:cs="宋体"/>
                <w:color w:val="auto"/>
                <w:highlight w:val="none"/>
              </w:rPr>
            </w:pPr>
          </w:p>
        </w:tc>
        <w:tc>
          <w:tcPr>
            <w:tcW w:w="1701" w:type="dxa"/>
            <w:tcBorders>
              <w:tl2br w:val="nil"/>
              <w:tr2bl w:val="nil"/>
            </w:tcBorders>
            <w:vAlign w:val="center"/>
          </w:tcPr>
          <w:p w14:paraId="631C2E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基础表分区管理</w:t>
            </w:r>
          </w:p>
        </w:tc>
        <w:tc>
          <w:tcPr>
            <w:tcW w:w="5220" w:type="dxa"/>
            <w:tcBorders>
              <w:tl2br w:val="nil"/>
              <w:tr2bl w:val="nil"/>
            </w:tcBorders>
            <w:vAlign w:val="center"/>
          </w:tcPr>
          <w:p w14:paraId="77DB86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a)哈希分区方式；b)范围分区方式； c)列表分区方式</w:t>
            </w:r>
          </w:p>
        </w:tc>
      </w:tr>
      <w:tr w14:paraId="252B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4578C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continue"/>
            <w:tcBorders>
              <w:tl2br w:val="nil"/>
              <w:tr2bl w:val="nil"/>
            </w:tcBorders>
            <w:vAlign w:val="center"/>
          </w:tcPr>
          <w:p w14:paraId="77531643">
            <w:pPr>
              <w:shd w:val="clear"/>
              <w:rPr>
                <w:rFonts w:hint="eastAsia" w:ascii="宋体" w:hAnsi="宋体" w:eastAsia="宋体" w:cs="宋体"/>
                <w:color w:val="auto"/>
                <w:highlight w:val="none"/>
              </w:rPr>
            </w:pPr>
          </w:p>
        </w:tc>
        <w:tc>
          <w:tcPr>
            <w:tcW w:w="1701" w:type="dxa"/>
            <w:tcBorders>
              <w:tl2br w:val="nil"/>
              <w:tr2bl w:val="nil"/>
            </w:tcBorders>
            <w:vAlign w:val="center"/>
          </w:tcPr>
          <w:p w14:paraId="5CD337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对象变更</w:t>
            </w:r>
          </w:p>
        </w:tc>
        <w:tc>
          <w:tcPr>
            <w:tcW w:w="5220" w:type="dxa"/>
            <w:tcBorders>
              <w:tl2br w:val="nil"/>
              <w:tr2bl w:val="nil"/>
            </w:tcBorders>
            <w:vAlign w:val="center"/>
          </w:tcPr>
          <w:p w14:paraId="6CB891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a)支持数据库的创建、删除、更新以及数据库属性的查询；b)支持在线变更表结构、索引；c)支持数据的增加、删除、修改和查询</w:t>
            </w:r>
          </w:p>
        </w:tc>
      </w:tr>
      <w:tr w14:paraId="13EE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16826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restart"/>
            <w:tcBorders>
              <w:tl2br w:val="nil"/>
              <w:tr2bl w:val="nil"/>
            </w:tcBorders>
            <w:vAlign w:val="center"/>
          </w:tcPr>
          <w:p w14:paraId="181A73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事务能力</w:t>
            </w:r>
          </w:p>
        </w:tc>
        <w:tc>
          <w:tcPr>
            <w:tcW w:w="1701" w:type="dxa"/>
            <w:tcBorders>
              <w:tl2br w:val="nil"/>
              <w:tr2bl w:val="nil"/>
            </w:tcBorders>
            <w:vAlign w:val="center"/>
          </w:tcPr>
          <w:p w14:paraId="522242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事务基础特性</w:t>
            </w:r>
          </w:p>
        </w:tc>
        <w:tc>
          <w:tcPr>
            <w:tcW w:w="5220" w:type="dxa"/>
            <w:tcBorders>
              <w:tl2br w:val="nil"/>
              <w:tr2bl w:val="nil"/>
            </w:tcBorders>
            <w:vAlign w:val="center"/>
          </w:tcPr>
          <w:p w14:paraId="058352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支持事务的ACID</w:t>
            </w:r>
          </w:p>
        </w:tc>
      </w:tr>
      <w:tr w14:paraId="6154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7D86DE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continue"/>
            <w:tcBorders>
              <w:tl2br w:val="nil"/>
              <w:tr2bl w:val="nil"/>
            </w:tcBorders>
            <w:vAlign w:val="center"/>
          </w:tcPr>
          <w:p w14:paraId="5AE1C626">
            <w:pPr>
              <w:shd w:val="clear"/>
              <w:rPr>
                <w:rFonts w:hint="eastAsia" w:ascii="宋体" w:hAnsi="宋体" w:eastAsia="宋体" w:cs="宋体"/>
                <w:color w:val="auto"/>
                <w:highlight w:val="none"/>
              </w:rPr>
            </w:pPr>
          </w:p>
        </w:tc>
        <w:tc>
          <w:tcPr>
            <w:tcW w:w="1701" w:type="dxa"/>
            <w:tcBorders>
              <w:tl2br w:val="nil"/>
              <w:tr2bl w:val="nil"/>
            </w:tcBorders>
            <w:vAlign w:val="center"/>
          </w:tcPr>
          <w:p w14:paraId="1B6D21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死锁检测与处理</w:t>
            </w:r>
          </w:p>
        </w:tc>
        <w:tc>
          <w:tcPr>
            <w:tcW w:w="5220" w:type="dxa"/>
            <w:tcBorders>
              <w:tl2br w:val="nil"/>
              <w:tr2bl w:val="nil"/>
            </w:tcBorders>
            <w:vAlign w:val="center"/>
          </w:tcPr>
          <w:p w14:paraId="06EE5D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在并发执行过程中，能检测到死锁；</w:t>
            </w:r>
          </w:p>
          <w:p w14:paraId="45C960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提供解决全局死锁的机制；</w:t>
            </w:r>
          </w:p>
          <w:p w14:paraId="39ACE0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具备死锁处理能力；</w:t>
            </w:r>
          </w:p>
          <w:p w14:paraId="4D3C6F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具备死锁超时回滚的能力；</w:t>
            </w:r>
          </w:p>
          <w:p w14:paraId="4C6F34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具备死锁检测与处理记录功能</w:t>
            </w:r>
          </w:p>
        </w:tc>
      </w:tr>
      <w:tr w14:paraId="0A0F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59848F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restart"/>
            <w:tcBorders>
              <w:tl2br w:val="nil"/>
              <w:tr2bl w:val="nil"/>
            </w:tcBorders>
            <w:vAlign w:val="center"/>
          </w:tcPr>
          <w:p w14:paraId="5CF406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w:t>
            </w:r>
          </w:p>
        </w:tc>
        <w:tc>
          <w:tcPr>
            <w:tcW w:w="1701" w:type="dxa"/>
            <w:tcBorders>
              <w:tl2br w:val="nil"/>
              <w:tr2bl w:val="nil"/>
            </w:tcBorders>
            <w:vAlign w:val="center"/>
          </w:tcPr>
          <w:p w14:paraId="03E1F6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运行时统计信息基础 功能</w:t>
            </w:r>
          </w:p>
        </w:tc>
        <w:tc>
          <w:tcPr>
            <w:tcW w:w="5220" w:type="dxa"/>
            <w:tcBorders>
              <w:tl2br w:val="nil"/>
              <w:tr2bl w:val="nil"/>
            </w:tcBorders>
            <w:vAlign w:val="center"/>
          </w:tcPr>
          <w:p w14:paraId="18F449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a）数据库慢SQL统计：</w:t>
            </w:r>
          </w:p>
          <w:p w14:paraId="132E27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 SQL 语句；</w:t>
            </w:r>
          </w:p>
          <w:p w14:paraId="7FBB8B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2）支持统计用户名；</w:t>
            </w:r>
          </w:p>
          <w:p w14:paraId="749CC4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3）支持统计数据库名；</w:t>
            </w:r>
          </w:p>
          <w:p w14:paraId="6D6457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4）支持统计执行时长；</w:t>
            </w:r>
          </w:p>
          <w:p w14:paraId="668ED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b）数据库性能状态统计：</w:t>
            </w:r>
          </w:p>
          <w:p w14:paraId="57C802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1）支持统计每秒事务数和查询数；</w:t>
            </w:r>
          </w:p>
          <w:p w14:paraId="55D193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 SQL 平均响应时间；</w:t>
            </w:r>
          </w:p>
          <w:p w14:paraId="3CB03A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3）支持统计高频 SQL</w:t>
            </w:r>
          </w:p>
        </w:tc>
      </w:tr>
      <w:tr w14:paraId="196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0DF275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417846E4">
            <w:pPr>
              <w:shd w:val="clear"/>
              <w:rPr>
                <w:rFonts w:hint="eastAsia" w:ascii="宋体" w:hAnsi="宋体" w:eastAsia="宋体" w:cs="宋体"/>
                <w:color w:val="auto"/>
                <w:highlight w:val="none"/>
              </w:rPr>
            </w:pPr>
          </w:p>
        </w:tc>
        <w:tc>
          <w:tcPr>
            <w:tcW w:w="1701" w:type="dxa"/>
            <w:tcBorders>
              <w:tl2br w:val="nil"/>
              <w:tr2bl w:val="nil"/>
            </w:tcBorders>
            <w:vAlign w:val="center"/>
          </w:tcPr>
          <w:p w14:paraId="2BF83F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w:t>
            </w:r>
          </w:p>
        </w:tc>
        <w:tc>
          <w:tcPr>
            <w:tcW w:w="5220" w:type="dxa"/>
            <w:tcBorders>
              <w:tl2br w:val="nil"/>
              <w:tr2bl w:val="nil"/>
            </w:tcBorders>
            <w:vAlign w:val="center"/>
          </w:tcPr>
          <w:p w14:paraId="62FC6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具备对各类事件进行日志记录的功能，可通过日志查看操作内容、执行过程和结果；</w:t>
            </w:r>
          </w:p>
          <w:p w14:paraId="2036E4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具备提示和警告功能，提示或警告数据库结构修改、数据库运行配置修改等重要操作；</w:t>
            </w:r>
          </w:p>
          <w:p w14:paraId="6B3423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日志完整正确，并且提供可读文本的形式；</w:t>
            </w:r>
          </w:p>
          <w:p w14:paraId="05A61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支持中文日志</w:t>
            </w:r>
          </w:p>
        </w:tc>
      </w:tr>
      <w:tr w14:paraId="7CC2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C7DC9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20CDD126">
            <w:pPr>
              <w:shd w:val="clear"/>
              <w:rPr>
                <w:rFonts w:hint="eastAsia" w:ascii="宋体" w:hAnsi="宋体" w:eastAsia="宋体" w:cs="宋体"/>
                <w:color w:val="auto"/>
                <w:highlight w:val="none"/>
              </w:rPr>
            </w:pPr>
          </w:p>
        </w:tc>
        <w:tc>
          <w:tcPr>
            <w:tcW w:w="1701" w:type="dxa"/>
            <w:tcBorders>
              <w:tl2br w:val="nil"/>
              <w:tr2bl w:val="nil"/>
            </w:tcBorders>
            <w:vAlign w:val="center"/>
          </w:tcPr>
          <w:p w14:paraId="556C63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远程运维</w:t>
            </w:r>
          </w:p>
        </w:tc>
        <w:tc>
          <w:tcPr>
            <w:tcW w:w="5220" w:type="dxa"/>
            <w:tcBorders>
              <w:tl2br w:val="nil"/>
              <w:tr2bl w:val="nil"/>
            </w:tcBorders>
            <w:vAlign w:val="center"/>
          </w:tcPr>
          <w:p w14:paraId="1C3734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具备远程维护功能</w:t>
            </w:r>
          </w:p>
        </w:tc>
      </w:tr>
      <w:tr w14:paraId="5867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4AB7C8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49607E91">
            <w:pPr>
              <w:shd w:val="clear"/>
              <w:rPr>
                <w:rFonts w:hint="eastAsia" w:ascii="宋体" w:hAnsi="宋体" w:eastAsia="宋体" w:cs="宋体"/>
                <w:color w:val="auto"/>
                <w:highlight w:val="none"/>
              </w:rPr>
            </w:pPr>
          </w:p>
        </w:tc>
        <w:tc>
          <w:tcPr>
            <w:tcW w:w="1701" w:type="dxa"/>
            <w:tcBorders>
              <w:tl2br w:val="nil"/>
              <w:tr2bl w:val="nil"/>
            </w:tcBorders>
            <w:vAlign w:val="center"/>
          </w:tcPr>
          <w:p w14:paraId="3B9AF8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报警</w:t>
            </w:r>
          </w:p>
        </w:tc>
        <w:tc>
          <w:tcPr>
            <w:tcW w:w="5220" w:type="dxa"/>
            <w:tcBorders>
              <w:tl2br w:val="nil"/>
              <w:tr2bl w:val="nil"/>
            </w:tcBorders>
            <w:vAlign w:val="center"/>
          </w:tcPr>
          <w:p w14:paraId="7218AE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厂商提供通知管理员的方法或工具；</w:t>
            </w:r>
          </w:p>
          <w:p w14:paraId="21B108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支持设置报警基线，数据库运行中遇到重要事件、异常事件和状态、超过报警阈值等情况时，通知管理员；</w:t>
            </w:r>
          </w:p>
          <w:p w14:paraId="3A7568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提供报警API；</w:t>
            </w:r>
          </w:p>
          <w:p w14:paraId="7FD710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报警发生时，支持报警信息的实时展示</w:t>
            </w:r>
          </w:p>
        </w:tc>
      </w:tr>
      <w:tr w14:paraId="2971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772" w:type="dxa"/>
            <w:tcBorders>
              <w:tl2br w:val="nil"/>
              <w:tr2bl w:val="nil"/>
            </w:tcBorders>
            <w:vAlign w:val="center"/>
          </w:tcPr>
          <w:p w14:paraId="6ABCF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vMerge w:val="restart"/>
            <w:tcBorders>
              <w:tl2br w:val="nil"/>
              <w:tr2bl w:val="nil"/>
            </w:tcBorders>
            <w:vAlign w:val="center"/>
          </w:tcPr>
          <w:p w14:paraId="1446EE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迁移</w:t>
            </w:r>
          </w:p>
        </w:tc>
        <w:tc>
          <w:tcPr>
            <w:tcW w:w="1701" w:type="dxa"/>
            <w:tcBorders>
              <w:tl2br w:val="nil"/>
              <w:tr2bl w:val="nil"/>
            </w:tcBorders>
            <w:vAlign w:val="center"/>
          </w:tcPr>
          <w:p w14:paraId="21557C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数据迁移</w:t>
            </w:r>
          </w:p>
        </w:tc>
        <w:tc>
          <w:tcPr>
            <w:tcW w:w="5220" w:type="dxa"/>
            <w:tcBorders>
              <w:tl2br w:val="nil"/>
              <w:tr2bl w:val="nil"/>
            </w:tcBorders>
            <w:vAlign w:val="center"/>
          </w:tcPr>
          <w:p w14:paraId="295BA1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提供元数据、数据库、数据库对象、表数据快速迁移的功能；</w:t>
            </w:r>
          </w:p>
          <w:p w14:paraId="667921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支持数据迁移工具实现同构或异构数据库之间的数据迁移；</w:t>
            </w:r>
          </w:p>
          <w:p w14:paraId="5EE4CE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支持全量数据迁移、增量数据持续同步等迁移模式；</w:t>
            </w:r>
          </w:p>
          <w:p w14:paraId="3A80FE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在数据迁移过程中具备应对传输异常的能力，保障数据迁移的稳定性、连续性和一致性；</w:t>
            </w:r>
          </w:p>
          <w:p w14:paraId="5414F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支持存量数据的一次性迁移和增量数据库的持续同步；</w:t>
            </w:r>
          </w:p>
          <w:p w14:paraId="7B383C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支持多种不同类型的源数据库和目标数据库之间的数据迁移；</w:t>
            </w:r>
          </w:p>
        </w:tc>
      </w:tr>
      <w:tr w14:paraId="0381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54452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vMerge w:val="continue"/>
            <w:tcBorders>
              <w:tl2br w:val="nil"/>
              <w:tr2bl w:val="nil"/>
            </w:tcBorders>
            <w:vAlign w:val="center"/>
          </w:tcPr>
          <w:p w14:paraId="74AF0B38">
            <w:pPr>
              <w:shd w:val="clear"/>
              <w:rPr>
                <w:rFonts w:hint="eastAsia" w:ascii="宋体" w:hAnsi="宋体" w:eastAsia="宋体" w:cs="宋体"/>
                <w:color w:val="auto"/>
                <w:highlight w:val="none"/>
              </w:rPr>
            </w:pPr>
          </w:p>
        </w:tc>
        <w:tc>
          <w:tcPr>
            <w:tcW w:w="1701" w:type="dxa"/>
            <w:tcBorders>
              <w:tl2br w:val="nil"/>
              <w:tr2bl w:val="nil"/>
            </w:tcBorders>
            <w:vAlign w:val="center"/>
          </w:tcPr>
          <w:p w14:paraId="2E0336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数据比对基础功能</w:t>
            </w:r>
          </w:p>
        </w:tc>
        <w:tc>
          <w:tcPr>
            <w:tcW w:w="5220" w:type="dxa"/>
            <w:tcBorders>
              <w:tl2br w:val="nil"/>
              <w:tr2bl w:val="nil"/>
            </w:tcBorders>
            <w:vAlign w:val="center"/>
          </w:tcPr>
          <w:p w14:paraId="7BC335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对源数据库和目标数据库之间的数据进行比对，支持数据一致性，并提供一致性比对报告</w:t>
            </w:r>
          </w:p>
        </w:tc>
      </w:tr>
      <w:tr w14:paraId="422C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2" w:type="dxa"/>
            <w:tcBorders>
              <w:tl2br w:val="nil"/>
              <w:tr2bl w:val="nil"/>
            </w:tcBorders>
            <w:vAlign w:val="center"/>
          </w:tcPr>
          <w:p w14:paraId="6B0763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vMerge w:val="restart"/>
            <w:tcBorders>
              <w:tl2br w:val="nil"/>
              <w:tr2bl w:val="nil"/>
            </w:tcBorders>
            <w:vAlign w:val="center"/>
          </w:tcPr>
          <w:p w14:paraId="213BD6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备份恢复</w:t>
            </w:r>
          </w:p>
        </w:tc>
        <w:tc>
          <w:tcPr>
            <w:tcW w:w="1701" w:type="dxa"/>
            <w:tcBorders>
              <w:tl2br w:val="nil"/>
              <w:tr2bl w:val="nil"/>
            </w:tcBorders>
            <w:vAlign w:val="center"/>
          </w:tcPr>
          <w:p w14:paraId="566021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数据备份</w:t>
            </w:r>
          </w:p>
        </w:tc>
        <w:tc>
          <w:tcPr>
            <w:tcW w:w="5220" w:type="dxa"/>
            <w:tcBorders>
              <w:tl2br w:val="nil"/>
              <w:tr2bl w:val="nil"/>
            </w:tcBorders>
            <w:vAlign w:val="center"/>
          </w:tcPr>
          <w:p w14:paraId="3168A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运行状态下支持对数据库进行全库备份；</w:t>
            </w:r>
          </w:p>
          <w:p w14:paraId="37EDF5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运行状态下支持对数据库进行部分备份；</w:t>
            </w:r>
          </w:p>
          <w:p w14:paraId="65B8B6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运行状态下支持对数据库进行增量备份；</w:t>
            </w:r>
          </w:p>
        </w:tc>
      </w:tr>
      <w:tr w14:paraId="688D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D4663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continue"/>
            <w:tcBorders>
              <w:tl2br w:val="nil"/>
              <w:tr2bl w:val="nil"/>
            </w:tcBorders>
            <w:vAlign w:val="center"/>
          </w:tcPr>
          <w:p w14:paraId="7D83D107">
            <w:pPr>
              <w:shd w:val="clear"/>
              <w:rPr>
                <w:rFonts w:hint="eastAsia" w:ascii="宋体" w:hAnsi="宋体" w:eastAsia="宋体" w:cs="宋体"/>
                <w:color w:val="auto"/>
                <w:highlight w:val="none"/>
              </w:rPr>
            </w:pPr>
          </w:p>
        </w:tc>
        <w:tc>
          <w:tcPr>
            <w:tcW w:w="1701" w:type="dxa"/>
            <w:tcBorders>
              <w:tl2br w:val="nil"/>
              <w:tr2bl w:val="nil"/>
            </w:tcBorders>
            <w:vAlign w:val="center"/>
          </w:tcPr>
          <w:p w14:paraId="33A7F7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多种存储媒体备份、还原</w:t>
            </w:r>
          </w:p>
        </w:tc>
        <w:tc>
          <w:tcPr>
            <w:tcW w:w="5220" w:type="dxa"/>
            <w:tcBorders>
              <w:tl2br w:val="nil"/>
              <w:tr2bl w:val="nil"/>
            </w:tcBorders>
            <w:vAlign w:val="center"/>
          </w:tcPr>
          <w:p w14:paraId="7182EE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支持多种备份存储媒体，支持多种存储 媒体的部分、完整数据库数据还原处理 能力</w:t>
            </w:r>
          </w:p>
        </w:tc>
      </w:tr>
      <w:tr w14:paraId="4BAC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47BA1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231F5FCC">
            <w:pPr>
              <w:shd w:val="clear"/>
              <w:rPr>
                <w:rFonts w:hint="eastAsia" w:ascii="宋体" w:hAnsi="宋体" w:eastAsia="宋体" w:cs="宋体"/>
                <w:color w:val="auto"/>
                <w:highlight w:val="none"/>
              </w:rPr>
            </w:pPr>
          </w:p>
        </w:tc>
        <w:tc>
          <w:tcPr>
            <w:tcW w:w="1701" w:type="dxa"/>
            <w:tcBorders>
              <w:tl2br w:val="nil"/>
              <w:tr2bl w:val="nil"/>
            </w:tcBorders>
            <w:vAlign w:val="center"/>
          </w:tcPr>
          <w:p w14:paraId="5478B6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备份还原的一致性校验</w:t>
            </w:r>
          </w:p>
        </w:tc>
        <w:tc>
          <w:tcPr>
            <w:tcW w:w="5220" w:type="dxa"/>
            <w:tcBorders>
              <w:tl2br w:val="nil"/>
              <w:tr2bl w:val="nil"/>
            </w:tcBorders>
            <w:vAlign w:val="center"/>
          </w:tcPr>
          <w:p w14:paraId="60D150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提供数据库备份数据一致性校验的命令或工具</w:t>
            </w:r>
          </w:p>
        </w:tc>
      </w:tr>
      <w:tr w14:paraId="1EE5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0EE77B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tcBorders>
              <w:tl2br w:val="nil"/>
              <w:tr2bl w:val="nil"/>
            </w:tcBorders>
            <w:vAlign w:val="center"/>
          </w:tcPr>
          <w:p w14:paraId="3D1646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集群管理</w:t>
            </w:r>
          </w:p>
        </w:tc>
        <w:tc>
          <w:tcPr>
            <w:tcW w:w="1701" w:type="dxa"/>
            <w:tcBorders>
              <w:tl2br w:val="nil"/>
              <w:tr2bl w:val="nil"/>
            </w:tcBorders>
            <w:vAlign w:val="center"/>
          </w:tcPr>
          <w:p w14:paraId="51A592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集群构建与管理</w:t>
            </w:r>
          </w:p>
        </w:tc>
        <w:tc>
          <w:tcPr>
            <w:tcW w:w="5220" w:type="dxa"/>
            <w:tcBorders>
              <w:tl2br w:val="nil"/>
              <w:tr2bl w:val="nil"/>
            </w:tcBorders>
            <w:vAlign w:val="center"/>
          </w:tcPr>
          <w:p w14:paraId="33700B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支持集群的运行环境；</w:t>
            </w:r>
          </w:p>
          <w:p w14:paraId="79528F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支持创建并配置数据库集群；</w:t>
            </w:r>
          </w:p>
          <w:p w14:paraId="0E3806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配置信息至少包括日常运维管理、容灾管理、日志管理、备份管理、监控等；</w:t>
            </w:r>
          </w:p>
        </w:tc>
      </w:tr>
      <w:tr w14:paraId="133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502FE7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restart"/>
            <w:tcBorders>
              <w:tl2br w:val="nil"/>
              <w:tr2bl w:val="nil"/>
            </w:tcBorders>
            <w:vAlign w:val="center"/>
          </w:tcPr>
          <w:p w14:paraId="56C448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w:t>
            </w:r>
          </w:p>
        </w:tc>
        <w:tc>
          <w:tcPr>
            <w:tcW w:w="1701" w:type="dxa"/>
            <w:tcBorders>
              <w:tl2br w:val="nil"/>
              <w:tr2bl w:val="nil"/>
            </w:tcBorders>
            <w:vAlign w:val="center"/>
          </w:tcPr>
          <w:p w14:paraId="3532D2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数据库开发调试工具</w:t>
            </w:r>
          </w:p>
        </w:tc>
        <w:tc>
          <w:tcPr>
            <w:tcW w:w="5220" w:type="dxa"/>
            <w:tcBorders>
              <w:tl2br w:val="nil"/>
              <w:tr2bl w:val="nil"/>
            </w:tcBorders>
            <w:vAlign w:val="center"/>
          </w:tcPr>
          <w:p w14:paraId="0462A6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具备图形化功能，提高易用性；</w:t>
            </w:r>
          </w:p>
          <w:p w14:paraId="380626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具备导入、编辑、保存、执行 SQL语句和SQL脚本功能；</w:t>
            </w:r>
          </w:p>
          <w:p w14:paraId="0F5062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具备复制、编辑现有数据库对象功能；</w:t>
            </w:r>
          </w:p>
          <w:p w14:paraId="27BC1F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具备关键词显示标记、动态语法提示的SQL编辑器功能；</w:t>
            </w:r>
          </w:p>
        </w:tc>
      </w:tr>
      <w:tr w14:paraId="475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3C133D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vMerge w:val="continue"/>
            <w:tcBorders>
              <w:tl2br w:val="nil"/>
              <w:tr2bl w:val="nil"/>
            </w:tcBorders>
            <w:vAlign w:val="center"/>
          </w:tcPr>
          <w:p w14:paraId="16C2E683">
            <w:pPr>
              <w:shd w:val="clear"/>
              <w:rPr>
                <w:rFonts w:hint="eastAsia" w:ascii="宋体" w:hAnsi="宋体" w:eastAsia="宋体" w:cs="宋体"/>
                <w:color w:val="auto"/>
                <w:highlight w:val="none"/>
              </w:rPr>
            </w:pPr>
          </w:p>
        </w:tc>
        <w:tc>
          <w:tcPr>
            <w:tcW w:w="1701" w:type="dxa"/>
            <w:tcBorders>
              <w:tl2br w:val="nil"/>
              <w:tr2bl w:val="nil"/>
            </w:tcBorders>
            <w:vAlign w:val="center"/>
          </w:tcPr>
          <w:p w14:paraId="4FB219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用户、角色管理工具</w:t>
            </w:r>
          </w:p>
        </w:tc>
        <w:tc>
          <w:tcPr>
            <w:tcW w:w="5220" w:type="dxa"/>
            <w:tcBorders>
              <w:tl2br w:val="nil"/>
              <w:tr2bl w:val="nil"/>
            </w:tcBorders>
            <w:vAlign w:val="center"/>
          </w:tcPr>
          <w:p w14:paraId="53F066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支持创建、修改、删除用户的功能；</w:t>
            </w:r>
          </w:p>
          <w:p w14:paraId="708C5F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b）提供定义用户的功能；</w:t>
            </w:r>
          </w:p>
          <w:p w14:paraId="269A9D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支持创建、修改、删除角色的功能，且提供用户自定义角色的功能；</w:t>
            </w:r>
          </w:p>
        </w:tc>
      </w:tr>
      <w:tr w14:paraId="65C5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4F9843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continue"/>
            <w:tcBorders>
              <w:tl2br w:val="nil"/>
              <w:tr2bl w:val="nil"/>
            </w:tcBorders>
            <w:vAlign w:val="center"/>
          </w:tcPr>
          <w:p w14:paraId="5AAB42E6">
            <w:pPr>
              <w:shd w:val="clear"/>
              <w:rPr>
                <w:rFonts w:hint="eastAsia" w:ascii="宋体" w:hAnsi="宋体" w:eastAsia="宋体" w:cs="宋体"/>
                <w:color w:val="auto"/>
                <w:highlight w:val="none"/>
              </w:rPr>
            </w:pPr>
          </w:p>
        </w:tc>
        <w:tc>
          <w:tcPr>
            <w:tcW w:w="1701" w:type="dxa"/>
            <w:tcBorders>
              <w:tl2br w:val="nil"/>
              <w:tr2bl w:val="nil"/>
            </w:tcBorders>
            <w:vAlign w:val="center"/>
          </w:tcPr>
          <w:p w14:paraId="76D86C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SQL执行计划查看工具</w:t>
            </w:r>
          </w:p>
        </w:tc>
        <w:tc>
          <w:tcPr>
            <w:tcW w:w="5220" w:type="dxa"/>
            <w:tcBorders>
              <w:tl2br w:val="nil"/>
              <w:tr2bl w:val="nil"/>
            </w:tcBorders>
            <w:vAlign w:val="center"/>
          </w:tcPr>
          <w:p w14:paraId="62A68E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a)提供与数据库管理系统进行SQL交互的工具，方便运维工作；</w:t>
            </w:r>
          </w:p>
          <w:p w14:paraId="3F279D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b)支持查看SQL语句查询执行计划与统计信息；</w:t>
            </w:r>
          </w:p>
        </w:tc>
      </w:tr>
      <w:tr w14:paraId="3A2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7A5E87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06CEAC1A">
            <w:pPr>
              <w:shd w:val="clear"/>
              <w:rPr>
                <w:rFonts w:hint="eastAsia" w:ascii="宋体" w:hAnsi="宋体" w:eastAsia="宋体" w:cs="宋体"/>
                <w:color w:val="auto"/>
                <w:highlight w:val="none"/>
              </w:rPr>
            </w:pPr>
          </w:p>
        </w:tc>
        <w:tc>
          <w:tcPr>
            <w:tcW w:w="1701" w:type="dxa"/>
            <w:tcBorders>
              <w:tl2br w:val="nil"/>
              <w:tr2bl w:val="nil"/>
            </w:tcBorders>
            <w:vAlign w:val="center"/>
          </w:tcPr>
          <w:p w14:paraId="572208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数据库对象工具</w:t>
            </w:r>
          </w:p>
        </w:tc>
        <w:tc>
          <w:tcPr>
            <w:tcW w:w="5220" w:type="dxa"/>
            <w:tcBorders>
              <w:tl2br w:val="nil"/>
              <w:tr2bl w:val="nil"/>
            </w:tcBorders>
            <w:vAlign w:val="center"/>
          </w:tcPr>
          <w:p w14:paraId="0A9D66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支持创建、修改、删除表的功能，支持定义表结构、约束、存储配置管理的功能；</w:t>
            </w:r>
          </w:p>
          <w:p w14:paraId="16AFE4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支持创建、修改、删除索引的功能，支持定义索引结构、类型、存储配置管理的功能；</w:t>
            </w:r>
          </w:p>
          <w:p w14:paraId="31246F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支持创建、修改、删除视图的功能，支持视图定义的功能；</w:t>
            </w:r>
          </w:p>
          <w:p w14:paraId="3B1EF1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支持创建、修改、删除约束的功能，支持约束定义的功能</w:t>
            </w:r>
          </w:p>
        </w:tc>
      </w:tr>
      <w:tr w14:paraId="2143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3B860C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40C0E384">
            <w:pPr>
              <w:shd w:val="clear"/>
              <w:rPr>
                <w:rFonts w:hint="eastAsia" w:ascii="宋体" w:hAnsi="宋体" w:eastAsia="宋体" w:cs="宋体"/>
                <w:color w:val="auto"/>
                <w:highlight w:val="none"/>
              </w:rPr>
            </w:pPr>
          </w:p>
        </w:tc>
        <w:tc>
          <w:tcPr>
            <w:tcW w:w="1701" w:type="dxa"/>
            <w:tcBorders>
              <w:tl2br w:val="nil"/>
              <w:tr2bl w:val="nil"/>
            </w:tcBorders>
            <w:vAlign w:val="center"/>
          </w:tcPr>
          <w:p w14:paraId="2D3785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导入导出工具</w:t>
            </w:r>
          </w:p>
        </w:tc>
        <w:tc>
          <w:tcPr>
            <w:tcW w:w="5220" w:type="dxa"/>
            <w:tcBorders>
              <w:tl2br w:val="nil"/>
              <w:tr2bl w:val="nil"/>
            </w:tcBorders>
            <w:vAlign w:val="center"/>
          </w:tcPr>
          <w:p w14:paraId="1E40C7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支持导出不同格式，可以将不同格式数据导入到数据库中；</w:t>
            </w:r>
          </w:p>
          <w:p w14:paraId="4BCC2D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支持不同级别和不同数据库对象的导入/导出功能；</w:t>
            </w:r>
          </w:p>
          <w:p w14:paraId="090CAB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支持从文本文件或者其他上游数据源将数据导入；</w:t>
            </w:r>
          </w:p>
          <w:p w14:paraId="6D7EC5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 SQL 脚本进行导入导出；</w:t>
            </w:r>
          </w:p>
        </w:tc>
      </w:tr>
      <w:tr w14:paraId="0B32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3ACACD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continue"/>
            <w:tcBorders>
              <w:tl2br w:val="nil"/>
              <w:tr2bl w:val="nil"/>
            </w:tcBorders>
            <w:vAlign w:val="center"/>
          </w:tcPr>
          <w:p w14:paraId="56EDCDB6">
            <w:pPr>
              <w:shd w:val="clear"/>
              <w:rPr>
                <w:rFonts w:hint="eastAsia" w:ascii="宋体" w:hAnsi="宋体" w:eastAsia="宋体" w:cs="宋体"/>
                <w:color w:val="auto"/>
                <w:highlight w:val="none"/>
              </w:rPr>
            </w:pPr>
          </w:p>
        </w:tc>
        <w:tc>
          <w:tcPr>
            <w:tcW w:w="1701" w:type="dxa"/>
            <w:tcBorders>
              <w:tl2br w:val="nil"/>
              <w:tr2bl w:val="nil"/>
            </w:tcBorders>
            <w:vAlign w:val="center"/>
          </w:tcPr>
          <w:p w14:paraId="26FD5F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数据库运维工具</w:t>
            </w:r>
          </w:p>
        </w:tc>
        <w:tc>
          <w:tcPr>
            <w:tcW w:w="5220" w:type="dxa"/>
            <w:tcBorders>
              <w:tl2br w:val="nil"/>
              <w:tr2bl w:val="nil"/>
            </w:tcBorders>
            <w:vAlign w:val="center"/>
          </w:tcPr>
          <w:p w14:paraId="67C1B9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支持数据库、数据库存储对象结构、数据、统计信息更新维护；</w:t>
            </w:r>
          </w:p>
          <w:p w14:paraId="3389C6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支持数据库创建、数据库修改、数据库删除、数据库模板维护；</w:t>
            </w:r>
          </w:p>
          <w:p w14:paraId="716908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支持数据库任务自动化调度作业管理；</w:t>
            </w:r>
          </w:p>
          <w:p w14:paraId="2C2D15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支持图形化展示数据库管理的各种元数据界面，展示的内容具有层次性，包括模式、非模式数据字典信息</w:t>
            </w:r>
          </w:p>
        </w:tc>
      </w:tr>
      <w:tr w14:paraId="0326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AB443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44DA7FC1">
            <w:pPr>
              <w:shd w:val="clear"/>
              <w:rPr>
                <w:rFonts w:hint="eastAsia" w:ascii="宋体" w:hAnsi="宋体" w:eastAsia="宋体" w:cs="宋体"/>
                <w:color w:val="auto"/>
                <w:highlight w:val="none"/>
              </w:rPr>
            </w:pPr>
          </w:p>
        </w:tc>
        <w:tc>
          <w:tcPr>
            <w:tcW w:w="1701" w:type="dxa"/>
            <w:tcBorders>
              <w:tl2br w:val="nil"/>
              <w:tr2bl w:val="nil"/>
            </w:tcBorders>
            <w:vAlign w:val="center"/>
          </w:tcPr>
          <w:p w14:paraId="053B7A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图形化的开发工具</w:t>
            </w:r>
          </w:p>
        </w:tc>
        <w:tc>
          <w:tcPr>
            <w:tcW w:w="5220" w:type="dxa"/>
            <w:tcBorders>
              <w:tl2br w:val="nil"/>
              <w:tr2bl w:val="nil"/>
            </w:tcBorders>
            <w:vAlign w:val="center"/>
          </w:tcPr>
          <w:p w14:paraId="06DD2D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厂商提供图形化的开发工具</w:t>
            </w:r>
          </w:p>
        </w:tc>
      </w:tr>
      <w:tr w14:paraId="5D23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65AA6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vMerge w:val="continue"/>
            <w:tcBorders>
              <w:tl2br w:val="nil"/>
              <w:tr2bl w:val="nil"/>
            </w:tcBorders>
            <w:vAlign w:val="center"/>
          </w:tcPr>
          <w:p w14:paraId="17D000ED">
            <w:pPr>
              <w:shd w:val="clear"/>
              <w:rPr>
                <w:rFonts w:hint="eastAsia" w:ascii="宋体" w:hAnsi="宋体" w:eastAsia="宋体" w:cs="宋体"/>
                <w:color w:val="auto"/>
                <w:highlight w:val="none"/>
              </w:rPr>
            </w:pPr>
          </w:p>
        </w:tc>
        <w:tc>
          <w:tcPr>
            <w:tcW w:w="1701" w:type="dxa"/>
            <w:tcBorders>
              <w:tl2br w:val="nil"/>
              <w:tr2bl w:val="nil"/>
            </w:tcBorders>
            <w:vAlign w:val="center"/>
          </w:tcPr>
          <w:p w14:paraId="39DE27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图形化运维工具</w:t>
            </w:r>
          </w:p>
        </w:tc>
        <w:tc>
          <w:tcPr>
            <w:tcW w:w="5220" w:type="dxa"/>
            <w:tcBorders>
              <w:tl2br w:val="nil"/>
              <w:tr2bl w:val="nil"/>
            </w:tcBorders>
            <w:vAlign w:val="center"/>
          </w:tcPr>
          <w:p w14:paraId="143AD2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厂商提供图形化的运维工具</w:t>
            </w:r>
          </w:p>
        </w:tc>
      </w:tr>
      <w:tr w14:paraId="2CD4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A8551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486A19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1701" w:type="dxa"/>
            <w:tcBorders>
              <w:tl2br w:val="nil"/>
              <w:tr2bl w:val="nil"/>
            </w:tcBorders>
            <w:vAlign w:val="center"/>
          </w:tcPr>
          <w:p w14:paraId="0B3CA4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5220" w:type="dxa"/>
            <w:tcBorders>
              <w:tl2br w:val="nil"/>
              <w:tr2bl w:val="nil"/>
            </w:tcBorders>
            <w:vAlign w:val="center"/>
          </w:tcPr>
          <w:p w14:paraId="37734A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支持连续稳定运行；</w:t>
            </w:r>
          </w:p>
          <w:p w14:paraId="0112D8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支持数据库管理系统运行风险的报警能力；</w:t>
            </w:r>
          </w:p>
        </w:tc>
      </w:tr>
      <w:tr w14:paraId="0AA1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89FDB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vMerge w:val="restart"/>
            <w:tcBorders>
              <w:tl2br w:val="nil"/>
              <w:tr2bl w:val="nil"/>
            </w:tcBorders>
            <w:vAlign w:val="center"/>
          </w:tcPr>
          <w:p w14:paraId="098751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故障切换</w:t>
            </w:r>
          </w:p>
        </w:tc>
        <w:tc>
          <w:tcPr>
            <w:tcW w:w="1701" w:type="dxa"/>
            <w:tcBorders>
              <w:tl2br w:val="nil"/>
              <w:tr2bl w:val="nil"/>
            </w:tcBorders>
            <w:vAlign w:val="center"/>
          </w:tcPr>
          <w:p w14:paraId="37179E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快速切换</w:t>
            </w:r>
          </w:p>
        </w:tc>
        <w:tc>
          <w:tcPr>
            <w:tcW w:w="5220" w:type="dxa"/>
            <w:tcBorders>
              <w:tl2br w:val="nil"/>
              <w:tr2bl w:val="nil"/>
            </w:tcBorders>
            <w:vAlign w:val="center"/>
          </w:tcPr>
          <w:p w14:paraId="56F857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支持快速切换，在主数据库出现故障时，能够快速切换到备用数据库，保障业务正常运行；</w:t>
            </w:r>
          </w:p>
        </w:tc>
      </w:tr>
      <w:tr w14:paraId="6B13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6BF2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continue"/>
            <w:tcBorders>
              <w:tl2br w:val="nil"/>
              <w:tr2bl w:val="nil"/>
            </w:tcBorders>
            <w:vAlign w:val="center"/>
          </w:tcPr>
          <w:p w14:paraId="177729B9">
            <w:pPr>
              <w:shd w:val="clear"/>
              <w:rPr>
                <w:rFonts w:hint="eastAsia" w:ascii="宋体" w:hAnsi="宋体" w:eastAsia="宋体" w:cs="宋体"/>
                <w:color w:val="auto"/>
                <w:highlight w:val="none"/>
              </w:rPr>
            </w:pPr>
          </w:p>
        </w:tc>
        <w:tc>
          <w:tcPr>
            <w:tcW w:w="1701" w:type="dxa"/>
            <w:tcBorders>
              <w:tl2br w:val="nil"/>
              <w:tr2bl w:val="nil"/>
            </w:tcBorders>
            <w:vAlign w:val="center"/>
          </w:tcPr>
          <w:p w14:paraId="7D3746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恢复无断点</w:t>
            </w:r>
          </w:p>
        </w:tc>
        <w:tc>
          <w:tcPr>
            <w:tcW w:w="5220" w:type="dxa"/>
            <w:tcBorders>
              <w:tl2br w:val="nil"/>
              <w:tr2bl w:val="nil"/>
            </w:tcBorders>
            <w:vAlign w:val="center"/>
          </w:tcPr>
          <w:p w14:paraId="4E57C6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支持无断点恢复能力</w:t>
            </w:r>
          </w:p>
        </w:tc>
      </w:tr>
      <w:tr w14:paraId="2C84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72" w:type="dxa"/>
            <w:tcBorders>
              <w:tl2br w:val="nil"/>
              <w:tr2bl w:val="nil"/>
            </w:tcBorders>
            <w:vAlign w:val="center"/>
          </w:tcPr>
          <w:p w14:paraId="6D8174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restart"/>
            <w:tcBorders>
              <w:tl2br w:val="nil"/>
              <w:tr2bl w:val="nil"/>
            </w:tcBorders>
            <w:vAlign w:val="center"/>
          </w:tcPr>
          <w:p w14:paraId="7BDB4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容灾能力</w:t>
            </w:r>
          </w:p>
        </w:tc>
        <w:tc>
          <w:tcPr>
            <w:tcW w:w="1701" w:type="dxa"/>
            <w:tcBorders>
              <w:tl2br w:val="nil"/>
              <w:tr2bl w:val="nil"/>
            </w:tcBorders>
            <w:vAlign w:val="center"/>
          </w:tcPr>
          <w:p w14:paraId="3950CB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主备备份</w:t>
            </w:r>
          </w:p>
        </w:tc>
        <w:tc>
          <w:tcPr>
            <w:tcW w:w="5220" w:type="dxa"/>
            <w:tcBorders>
              <w:tl2br w:val="nil"/>
              <w:tr2bl w:val="nil"/>
            </w:tcBorders>
            <w:vAlign w:val="center"/>
          </w:tcPr>
          <w:p w14:paraId="708015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支持多副本，支持主副本与从副本之间的数据同步，最低时延由生产厂商提供；</w:t>
            </w:r>
          </w:p>
          <w:p w14:paraId="3C447B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提供基于主机的数据库复制技术，包括基于日志的备用数据库远程数据库备份技术，并具备数据副本间的复制能力；</w:t>
            </w:r>
          </w:p>
        </w:tc>
      </w:tr>
      <w:tr w14:paraId="186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3AD70C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39CB0AD5">
            <w:pPr>
              <w:shd w:val="clear"/>
              <w:rPr>
                <w:rFonts w:hint="eastAsia" w:ascii="宋体" w:hAnsi="宋体" w:eastAsia="宋体" w:cs="宋体"/>
                <w:color w:val="auto"/>
                <w:highlight w:val="none"/>
              </w:rPr>
            </w:pPr>
          </w:p>
        </w:tc>
        <w:tc>
          <w:tcPr>
            <w:tcW w:w="1701" w:type="dxa"/>
            <w:tcBorders>
              <w:tl2br w:val="nil"/>
              <w:tr2bl w:val="nil"/>
            </w:tcBorders>
            <w:vAlign w:val="center"/>
          </w:tcPr>
          <w:p w14:paraId="4BB80C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实例容灾</w:t>
            </w:r>
          </w:p>
        </w:tc>
        <w:tc>
          <w:tcPr>
            <w:tcW w:w="5220" w:type="dxa"/>
            <w:tcBorders>
              <w:tl2br w:val="nil"/>
              <w:tr2bl w:val="nil"/>
            </w:tcBorders>
            <w:vAlign w:val="center"/>
          </w:tcPr>
          <w:p w14:paraId="452F6B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在任意数据库实例出现故障时，集群内服务正常运行，数据不丢失，集群整体业务可用；</w:t>
            </w:r>
          </w:p>
          <w:p w14:paraId="1A34A9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在实例故障、节点故障等单数据库实例故障时，RPO 时间等于0，RTO时间小于30s</w:t>
            </w:r>
          </w:p>
        </w:tc>
      </w:tr>
      <w:tr w14:paraId="1045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F1ADA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2484F8C5">
            <w:pPr>
              <w:shd w:val="clear"/>
              <w:rPr>
                <w:rFonts w:hint="eastAsia" w:ascii="宋体" w:hAnsi="宋体" w:eastAsia="宋体" w:cs="宋体"/>
                <w:color w:val="auto"/>
                <w:highlight w:val="none"/>
              </w:rPr>
            </w:pPr>
          </w:p>
        </w:tc>
        <w:tc>
          <w:tcPr>
            <w:tcW w:w="1701" w:type="dxa"/>
            <w:tcBorders>
              <w:tl2br w:val="nil"/>
              <w:tr2bl w:val="nil"/>
            </w:tcBorders>
            <w:vAlign w:val="center"/>
          </w:tcPr>
          <w:p w14:paraId="63032E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容灾部署</w:t>
            </w:r>
          </w:p>
        </w:tc>
        <w:tc>
          <w:tcPr>
            <w:tcW w:w="5220" w:type="dxa"/>
            <w:tcBorders>
              <w:tl2br w:val="nil"/>
              <w:tr2bl w:val="nil"/>
            </w:tcBorders>
            <w:vAlign w:val="center"/>
          </w:tcPr>
          <w:p w14:paraId="0CF70E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a)提供远程容灾部署与管理功能；</w:t>
            </w:r>
          </w:p>
          <w:p w14:paraId="771A59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b)提供生产中心与备份中心之间的容灾部署与管理功能；</w:t>
            </w:r>
          </w:p>
        </w:tc>
      </w:tr>
      <w:tr w14:paraId="2E2A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17880B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4D91CCEB">
            <w:pPr>
              <w:shd w:val="clear"/>
              <w:rPr>
                <w:rFonts w:hint="eastAsia" w:ascii="宋体" w:hAnsi="宋体" w:eastAsia="宋体" w:cs="宋体"/>
                <w:color w:val="auto"/>
                <w:highlight w:val="none"/>
              </w:rPr>
            </w:pPr>
          </w:p>
        </w:tc>
        <w:tc>
          <w:tcPr>
            <w:tcW w:w="1701" w:type="dxa"/>
            <w:tcBorders>
              <w:tl2br w:val="nil"/>
              <w:tr2bl w:val="nil"/>
            </w:tcBorders>
            <w:vAlign w:val="center"/>
          </w:tcPr>
          <w:p w14:paraId="262C20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同城容灾</w:t>
            </w:r>
          </w:p>
        </w:tc>
        <w:tc>
          <w:tcPr>
            <w:tcW w:w="5220" w:type="dxa"/>
            <w:tcBorders>
              <w:tl2br w:val="nil"/>
              <w:tr2bl w:val="nil"/>
            </w:tcBorders>
            <w:vAlign w:val="center"/>
          </w:tcPr>
          <w:p w14:paraId="73DD91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支持同城双中心部署，当主中心故障时，业务切换到备中心；</w:t>
            </w:r>
          </w:p>
          <w:p w14:paraId="728741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由于网络、供电等原因造成的可用区级故障，触发集群计划外停机，在同城多可用区场景下，RPO时间等于0，RTO 时间小于1分钟；</w:t>
            </w:r>
          </w:p>
        </w:tc>
      </w:tr>
      <w:tr w14:paraId="2ECC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0F462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vMerge w:val="restart"/>
            <w:tcBorders>
              <w:tl2br w:val="nil"/>
              <w:tr2bl w:val="nil"/>
            </w:tcBorders>
            <w:vAlign w:val="center"/>
          </w:tcPr>
          <w:p w14:paraId="38717A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容错性</w:t>
            </w:r>
          </w:p>
        </w:tc>
        <w:tc>
          <w:tcPr>
            <w:tcW w:w="1701" w:type="dxa"/>
            <w:tcBorders>
              <w:tl2br w:val="nil"/>
              <w:tr2bl w:val="nil"/>
            </w:tcBorders>
            <w:vAlign w:val="center"/>
          </w:tcPr>
          <w:p w14:paraId="096EA6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服务端编程稳定性</w:t>
            </w:r>
          </w:p>
        </w:tc>
        <w:tc>
          <w:tcPr>
            <w:tcW w:w="5220" w:type="dxa"/>
            <w:tcBorders>
              <w:tl2br w:val="nil"/>
              <w:tr2bl w:val="nil"/>
            </w:tcBorders>
            <w:vAlign w:val="center"/>
          </w:tcPr>
          <w:p w14:paraId="57EA32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支持当用户自定义的存储过程、函数运行异常时，数据库稳定运行；</w:t>
            </w:r>
          </w:p>
        </w:tc>
      </w:tr>
      <w:tr w14:paraId="304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CF83B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vMerge w:val="continue"/>
            <w:tcBorders>
              <w:tl2br w:val="nil"/>
              <w:tr2bl w:val="nil"/>
            </w:tcBorders>
            <w:vAlign w:val="center"/>
          </w:tcPr>
          <w:p w14:paraId="0FCFEA08">
            <w:pPr>
              <w:shd w:val="clear"/>
              <w:rPr>
                <w:rFonts w:hint="eastAsia" w:ascii="宋体" w:hAnsi="宋体" w:eastAsia="宋体" w:cs="宋体"/>
                <w:color w:val="auto"/>
                <w:highlight w:val="none"/>
              </w:rPr>
            </w:pPr>
          </w:p>
        </w:tc>
        <w:tc>
          <w:tcPr>
            <w:tcW w:w="1701" w:type="dxa"/>
            <w:tcBorders>
              <w:tl2br w:val="nil"/>
              <w:tr2bl w:val="nil"/>
            </w:tcBorders>
            <w:vAlign w:val="center"/>
          </w:tcPr>
          <w:p w14:paraId="1F9107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网络容错</w:t>
            </w:r>
          </w:p>
        </w:tc>
        <w:tc>
          <w:tcPr>
            <w:tcW w:w="5220" w:type="dxa"/>
            <w:tcBorders>
              <w:tl2br w:val="nil"/>
              <w:tr2bl w:val="nil"/>
            </w:tcBorders>
            <w:vAlign w:val="center"/>
          </w:tcPr>
          <w:p w14:paraId="365F99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支持网络中断时，保障事务一致性；</w:t>
            </w:r>
          </w:p>
        </w:tc>
      </w:tr>
      <w:tr w14:paraId="1F4D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2F9D9A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vMerge w:val="continue"/>
            <w:tcBorders>
              <w:tl2br w:val="nil"/>
              <w:tr2bl w:val="nil"/>
            </w:tcBorders>
            <w:vAlign w:val="center"/>
          </w:tcPr>
          <w:p w14:paraId="2EF7DB79">
            <w:pPr>
              <w:shd w:val="clear"/>
              <w:rPr>
                <w:rFonts w:hint="eastAsia" w:ascii="宋体" w:hAnsi="宋体" w:eastAsia="宋体" w:cs="宋体"/>
                <w:color w:val="auto"/>
                <w:highlight w:val="none"/>
              </w:rPr>
            </w:pPr>
          </w:p>
        </w:tc>
        <w:tc>
          <w:tcPr>
            <w:tcW w:w="1701" w:type="dxa"/>
            <w:tcBorders>
              <w:tl2br w:val="nil"/>
              <w:tr2bl w:val="nil"/>
            </w:tcBorders>
            <w:vAlign w:val="center"/>
          </w:tcPr>
          <w:p w14:paraId="79DA11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检测报警</w:t>
            </w:r>
          </w:p>
        </w:tc>
        <w:tc>
          <w:tcPr>
            <w:tcW w:w="5220" w:type="dxa"/>
            <w:tcBorders>
              <w:tl2br w:val="nil"/>
              <w:tr2bl w:val="nil"/>
            </w:tcBorders>
            <w:vAlign w:val="center"/>
          </w:tcPr>
          <w:p w14:paraId="3B055B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支持数据库实例启动时错误检测能力；</w:t>
            </w:r>
          </w:p>
          <w:p w14:paraId="52CDA7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支持加载不同文件格式、不同大小数据出现错误时的故障检测和处理能力；</w:t>
            </w:r>
          </w:p>
          <w:p w14:paraId="7E1E51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支持数据库备份执行过程中发生故障时报错或者报警能力；</w:t>
            </w:r>
          </w:p>
          <w:p w14:paraId="1BF52C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支持数据库恢复发生故障时报错或者报警能力；</w:t>
            </w:r>
          </w:p>
        </w:tc>
      </w:tr>
      <w:tr w14:paraId="69DD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5FDDE7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continue"/>
            <w:tcBorders>
              <w:tl2br w:val="nil"/>
              <w:tr2bl w:val="nil"/>
            </w:tcBorders>
            <w:vAlign w:val="center"/>
          </w:tcPr>
          <w:p w14:paraId="376BADD0">
            <w:pPr>
              <w:shd w:val="clear"/>
              <w:rPr>
                <w:rFonts w:hint="eastAsia" w:ascii="宋体" w:hAnsi="宋体" w:eastAsia="宋体" w:cs="宋体"/>
                <w:color w:val="auto"/>
                <w:highlight w:val="none"/>
              </w:rPr>
            </w:pPr>
          </w:p>
        </w:tc>
        <w:tc>
          <w:tcPr>
            <w:tcW w:w="1701" w:type="dxa"/>
            <w:tcBorders>
              <w:tl2br w:val="nil"/>
              <w:tr2bl w:val="nil"/>
            </w:tcBorders>
            <w:vAlign w:val="center"/>
          </w:tcPr>
          <w:p w14:paraId="218F33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故障恢复</w:t>
            </w:r>
          </w:p>
        </w:tc>
        <w:tc>
          <w:tcPr>
            <w:tcW w:w="5220" w:type="dxa"/>
            <w:tcBorders>
              <w:tl2br w:val="nil"/>
              <w:tr2bl w:val="nil"/>
            </w:tcBorders>
            <w:vAlign w:val="center"/>
          </w:tcPr>
          <w:p w14:paraId="6860D2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系统故障重启后能正常运行且支持数据一致性；</w:t>
            </w:r>
          </w:p>
          <w:p w14:paraId="63591B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支持完全媒体故障恢复的能力；</w:t>
            </w:r>
          </w:p>
          <w:p w14:paraId="73328F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提供基于时间点故障恢复功能</w:t>
            </w:r>
          </w:p>
        </w:tc>
      </w:tr>
      <w:tr w14:paraId="568B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42C64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44702688">
            <w:pPr>
              <w:shd w:val="clear"/>
              <w:rPr>
                <w:rFonts w:hint="eastAsia" w:ascii="宋体" w:hAnsi="宋体" w:eastAsia="宋体" w:cs="宋体"/>
                <w:color w:val="auto"/>
                <w:highlight w:val="none"/>
              </w:rPr>
            </w:pPr>
          </w:p>
        </w:tc>
        <w:tc>
          <w:tcPr>
            <w:tcW w:w="1701" w:type="dxa"/>
            <w:tcBorders>
              <w:tl2br w:val="nil"/>
              <w:tr2bl w:val="nil"/>
            </w:tcBorders>
            <w:vAlign w:val="center"/>
          </w:tcPr>
          <w:p w14:paraId="7890C0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不同级别故障可恢复</w:t>
            </w:r>
          </w:p>
        </w:tc>
        <w:tc>
          <w:tcPr>
            <w:tcW w:w="5220" w:type="dxa"/>
            <w:tcBorders>
              <w:tl2br w:val="nil"/>
              <w:tr2bl w:val="nil"/>
            </w:tcBorders>
            <w:vAlign w:val="center"/>
          </w:tcPr>
          <w:p w14:paraId="3891EE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支持数据库事务故障、系统故障、存储 媒体故障不同级别的可恢复能力；</w:t>
            </w:r>
          </w:p>
        </w:tc>
      </w:tr>
      <w:tr w14:paraId="4A4F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050291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tcBorders>
              <w:tl2br w:val="nil"/>
              <w:tr2bl w:val="nil"/>
            </w:tcBorders>
            <w:vAlign w:val="center"/>
          </w:tcPr>
          <w:p w14:paraId="3DE4D0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硬件兼容</w:t>
            </w:r>
          </w:p>
        </w:tc>
        <w:tc>
          <w:tcPr>
            <w:tcW w:w="1701" w:type="dxa"/>
            <w:tcBorders>
              <w:tl2br w:val="nil"/>
              <w:tr2bl w:val="nil"/>
            </w:tcBorders>
            <w:vAlign w:val="center"/>
          </w:tcPr>
          <w:p w14:paraId="6C17EA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硬件平台兼容</w:t>
            </w:r>
          </w:p>
        </w:tc>
        <w:tc>
          <w:tcPr>
            <w:tcW w:w="5220" w:type="dxa"/>
            <w:tcBorders>
              <w:tl2br w:val="nil"/>
              <w:tr2bl w:val="nil"/>
            </w:tcBorders>
            <w:vAlign w:val="center"/>
          </w:tcPr>
          <w:p w14:paraId="5E9040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同源支持以下至少三种 CPU 平台架构：</w:t>
            </w:r>
          </w:p>
          <w:p w14:paraId="5A670C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ARM；</w:t>
            </w:r>
          </w:p>
          <w:p w14:paraId="1388C4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LoongArch；</w:t>
            </w:r>
          </w:p>
          <w:p w14:paraId="46B23A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MIPS； </w:t>
            </w:r>
          </w:p>
          <w:p w14:paraId="0BB534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SW64；</w:t>
            </w:r>
          </w:p>
          <w:p w14:paraId="2DBFAF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x86；</w:t>
            </w:r>
          </w:p>
          <w:p w14:paraId="29EDE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支持SMP和NUMA的运行环境</w:t>
            </w:r>
          </w:p>
        </w:tc>
      </w:tr>
      <w:tr w14:paraId="186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5FA03A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vMerge w:val="restart"/>
            <w:tcBorders>
              <w:tl2br w:val="nil"/>
              <w:tr2bl w:val="nil"/>
            </w:tcBorders>
            <w:vAlign w:val="center"/>
          </w:tcPr>
          <w:p w14:paraId="3F8106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标准兼容</w:t>
            </w:r>
          </w:p>
        </w:tc>
        <w:tc>
          <w:tcPr>
            <w:tcW w:w="1701" w:type="dxa"/>
            <w:tcBorders>
              <w:tl2br w:val="nil"/>
              <w:tr2bl w:val="nil"/>
            </w:tcBorders>
            <w:vAlign w:val="center"/>
          </w:tcPr>
          <w:p w14:paraId="44922F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ODBC</w:t>
            </w:r>
          </w:p>
        </w:tc>
        <w:tc>
          <w:tcPr>
            <w:tcW w:w="5220" w:type="dxa"/>
            <w:tcBorders>
              <w:tl2br w:val="nil"/>
              <w:tr2bl w:val="nil"/>
            </w:tcBorders>
            <w:vAlign w:val="center"/>
          </w:tcPr>
          <w:p w14:paraId="30F4D5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支持ODBC</w:t>
            </w:r>
          </w:p>
        </w:tc>
      </w:tr>
      <w:tr w14:paraId="46FD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973BC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vMerge w:val="continue"/>
            <w:tcBorders>
              <w:tl2br w:val="nil"/>
              <w:tr2bl w:val="nil"/>
            </w:tcBorders>
            <w:vAlign w:val="center"/>
          </w:tcPr>
          <w:p w14:paraId="2A3BBE7E">
            <w:pPr>
              <w:shd w:val="clear"/>
              <w:rPr>
                <w:rFonts w:hint="eastAsia" w:ascii="宋体" w:hAnsi="宋体" w:eastAsia="宋体" w:cs="宋体"/>
                <w:color w:val="auto"/>
                <w:highlight w:val="none"/>
              </w:rPr>
            </w:pPr>
          </w:p>
        </w:tc>
        <w:tc>
          <w:tcPr>
            <w:tcW w:w="1701" w:type="dxa"/>
            <w:tcBorders>
              <w:tl2br w:val="nil"/>
              <w:tr2bl w:val="nil"/>
            </w:tcBorders>
            <w:vAlign w:val="center"/>
          </w:tcPr>
          <w:p w14:paraId="71E8EC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JDBC</w:t>
            </w:r>
          </w:p>
        </w:tc>
        <w:tc>
          <w:tcPr>
            <w:tcW w:w="5220" w:type="dxa"/>
            <w:tcBorders>
              <w:tl2br w:val="nil"/>
              <w:tr2bl w:val="nil"/>
            </w:tcBorders>
            <w:vAlign w:val="center"/>
          </w:tcPr>
          <w:p w14:paraId="080083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支持JDBC</w:t>
            </w:r>
          </w:p>
        </w:tc>
      </w:tr>
      <w:tr w14:paraId="4D43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17AE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tcBorders>
              <w:tl2br w:val="nil"/>
              <w:tr2bl w:val="nil"/>
            </w:tcBorders>
            <w:vAlign w:val="center"/>
          </w:tcPr>
          <w:p w14:paraId="4C0D20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701" w:type="dxa"/>
            <w:tcBorders>
              <w:tl2br w:val="nil"/>
              <w:tr2bl w:val="nil"/>
            </w:tcBorders>
            <w:vAlign w:val="center"/>
          </w:tcPr>
          <w:p w14:paraId="58B5E3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5220" w:type="dxa"/>
            <w:tcBorders>
              <w:tl2br w:val="nil"/>
              <w:tr2bl w:val="nil"/>
            </w:tcBorders>
            <w:vAlign w:val="center"/>
          </w:tcPr>
          <w:p w14:paraId="3726B1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以光盘、便携式移动设备、镜像文件、在线下载等交付方式提供产品交付物</w:t>
            </w:r>
          </w:p>
        </w:tc>
      </w:tr>
      <w:tr w14:paraId="6CB4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A3E32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restart"/>
            <w:tcBorders>
              <w:tl2br w:val="nil"/>
              <w:tr2bl w:val="nil"/>
            </w:tcBorders>
            <w:vAlign w:val="center"/>
          </w:tcPr>
          <w:p w14:paraId="3AF9FA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701" w:type="dxa"/>
            <w:tcBorders>
              <w:tl2br w:val="nil"/>
              <w:tr2bl w:val="nil"/>
            </w:tcBorders>
            <w:vAlign w:val="center"/>
          </w:tcPr>
          <w:p w14:paraId="1D11A9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5220" w:type="dxa"/>
            <w:tcBorders>
              <w:tl2br w:val="nil"/>
              <w:tr2bl w:val="nil"/>
            </w:tcBorders>
            <w:vAlign w:val="center"/>
          </w:tcPr>
          <w:p w14:paraId="65D752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产品自发布之日起至产品停止功能升 级（包含不限于新特性、新硬件支持、 问题修复、安全补丁等）之日止≥5 年</w:t>
            </w:r>
          </w:p>
        </w:tc>
      </w:tr>
      <w:tr w14:paraId="184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3147D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5C631889">
            <w:pPr>
              <w:shd w:val="clear"/>
              <w:rPr>
                <w:rFonts w:hint="eastAsia" w:ascii="宋体" w:hAnsi="宋体" w:eastAsia="宋体" w:cs="宋体"/>
                <w:color w:val="auto"/>
                <w:highlight w:val="none"/>
              </w:rPr>
            </w:pPr>
          </w:p>
        </w:tc>
        <w:tc>
          <w:tcPr>
            <w:tcW w:w="1701" w:type="dxa"/>
            <w:tcBorders>
              <w:tl2br w:val="nil"/>
              <w:tr2bl w:val="nil"/>
            </w:tcBorders>
            <w:vAlign w:val="center"/>
          </w:tcPr>
          <w:p w14:paraId="470468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5220" w:type="dxa"/>
            <w:tcBorders>
              <w:tl2br w:val="nil"/>
              <w:tr2bl w:val="nil"/>
            </w:tcBorders>
            <w:vAlign w:val="center"/>
          </w:tcPr>
          <w:p w14:paraId="14585D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产品停止功能升级之日起至产品停止 功能维护（包括问题修复、安全补丁等）之日止≥4 年</w:t>
            </w:r>
          </w:p>
        </w:tc>
      </w:tr>
      <w:tr w14:paraId="2C57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C9470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340A029E">
            <w:pPr>
              <w:shd w:val="clear"/>
              <w:rPr>
                <w:rFonts w:hint="eastAsia" w:ascii="宋体" w:hAnsi="宋体" w:eastAsia="宋体" w:cs="宋体"/>
                <w:color w:val="auto"/>
                <w:highlight w:val="none"/>
              </w:rPr>
            </w:pPr>
          </w:p>
        </w:tc>
        <w:tc>
          <w:tcPr>
            <w:tcW w:w="1701" w:type="dxa"/>
            <w:tcBorders>
              <w:tl2br w:val="nil"/>
              <w:tr2bl w:val="nil"/>
            </w:tcBorders>
            <w:vAlign w:val="center"/>
          </w:tcPr>
          <w:p w14:paraId="185F69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5220" w:type="dxa"/>
            <w:tcBorders>
              <w:tl2br w:val="nil"/>
              <w:tr2bl w:val="nil"/>
            </w:tcBorders>
            <w:vAlign w:val="center"/>
          </w:tcPr>
          <w:p w14:paraId="2ECEF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产品功能维护停止之日起至产品停止 安全维护（包括中高风险漏洞修复）之日止≥2 年</w:t>
            </w:r>
          </w:p>
        </w:tc>
      </w:tr>
      <w:tr w14:paraId="275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F525D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vMerge w:val="continue"/>
            <w:tcBorders>
              <w:tl2br w:val="nil"/>
              <w:tr2bl w:val="nil"/>
            </w:tcBorders>
            <w:vAlign w:val="center"/>
          </w:tcPr>
          <w:p w14:paraId="2E540523">
            <w:pPr>
              <w:shd w:val="clear"/>
              <w:rPr>
                <w:rFonts w:hint="eastAsia" w:ascii="宋体" w:hAnsi="宋体" w:eastAsia="宋体" w:cs="宋体"/>
                <w:color w:val="auto"/>
                <w:highlight w:val="none"/>
              </w:rPr>
            </w:pPr>
          </w:p>
        </w:tc>
        <w:tc>
          <w:tcPr>
            <w:tcW w:w="1701" w:type="dxa"/>
            <w:tcBorders>
              <w:tl2br w:val="nil"/>
              <w:tr2bl w:val="nil"/>
            </w:tcBorders>
            <w:vAlign w:val="center"/>
          </w:tcPr>
          <w:p w14:paraId="5C53BE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5220" w:type="dxa"/>
            <w:tcBorders>
              <w:tl2br w:val="nil"/>
              <w:tr2bl w:val="nil"/>
            </w:tcBorders>
            <w:vAlign w:val="center"/>
          </w:tcPr>
          <w:p w14:paraId="5375AF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7404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772" w:type="dxa"/>
            <w:tcBorders>
              <w:tl2br w:val="nil"/>
              <w:tr2bl w:val="nil"/>
            </w:tcBorders>
            <w:vAlign w:val="center"/>
          </w:tcPr>
          <w:p w14:paraId="50937B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tcBorders>
              <w:tl2br w:val="nil"/>
              <w:tr2bl w:val="nil"/>
            </w:tcBorders>
            <w:vAlign w:val="center"/>
          </w:tcPr>
          <w:p w14:paraId="3BE48F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w:t>
            </w:r>
          </w:p>
        </w:tc>
        <w:tc>
          <w:tcPr>
            <w:tcW w:w="1701" w:type="dxa"/>
            <w:tcBorders>
              <w:tl2br w:val="nil"/>
              <w:tr2bl w:val="nil"/>
            </w:tcBorders>
            <w:vAlign w:val="center"/>
          </w:tcPr>
          <w:p w14:paraId="7FC96F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供应链与服务保障基础要求</w:t>
            </w:r>
          </w:p>
        </w:tc>
        <w:tc>
          <w:tcPr>
            <w:tcW w:w="5220" w:type="dxa"/>
            <w:tcBorders>
              <w:tl2br w:val="nil"/>
              <w:tr2bl w:val="nil"/>
            </w:tcBorders>
            <w:vAlign w:val="center"/>
          </w:tcPr>
          <w:p w14:paraId="2B75EA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提供多种形式支持服务，包含电话、电子邮件、远程连接等；</w:t>
            </w:r>
          </w:p>
          <w:p w14:paraId="12E602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提供技术支持服务，支持同城 4h、异地 12h 响应要求，两个工作日解决问题，对于未能解决的问题和故障提供可行的升级方案；</w:t>
            </w:r>
          </w:p>
          <w:p w14:paraId="62692E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提供培训材料、产品手册、培训视频等培训相关内容；</w:t>
            </w:r>
          </w:p>
          <w:p w14:paraId="5FBCB8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建立全国技术服务体系和服务团队，符合专业服务体系标准要求，提供原厂中文服务；</w:t>
            </w:r>
          </w:p>
          <w:p w14:paraId="1CEEAA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服务周期内支持版本升级；</w:t>
            </w:r>
          </w:p>
          <w:p w14:paraId="77E49A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开源产品对获得的社区源代码进行 安全性和知识产权审查与管理；</w:t>
            </w:r>
          </w:p>
          <w:p w14:paraId="363860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提供数据库参数、慢SQL语句的性能优化指南，包含性能优化的具体措施、技巧、案例及建议等</w:t>
            </w:r>
          </w:p>
        </w:tc>
      </w:tr>
      <w:tr w14:paraId="2E5C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FFF4E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tcBorders>
              <w:tl2br w:val="nil"/>
              <w:tr2bl w:val="nil"/>
            </w:tcBorders>
            <w:vAlign w:val="center"/>
          </w:tcPr>
          <w:p w14:paraId="539BC0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701" w:type="dxa"/>
            <w:tcBorders>
              <w:tl2br w:val="nil"/>
              <w:tr2bl w:val="nil"/>
            </w:tcBorders>
            <w:vAlign w:val="center"/>
          </w:tcPr>
          <w:p w14:paraId="14259F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5220" w:type="dxa"/>
            <w:tcBorders>
              <w:tl2br w:val="nil"/>
              <w:tr2bl w:val="nil"/>
            </w:tcBorders>
            <w:vAlign w:val="center"/>
          </w:tcPr>
          <w:p w14:paraId="5516CA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数据库应当符合安全可靠测评要求；</w:t>
            </w:r>
          </w:p>
        </w:tc>
      </w:tr>
      <w:tr w14:paraId="7BB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022EE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restart"/>
            <w:tcBorders>
              <w:tl2br w:val="nil"/>
              <w:tr2bl w:val="nil"/>
            </w:tcBorders>
            <w:vAlign w:val="center"/>
          </w:tcPr>
          <w:p w14:paraId="76A199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基础安全</w:t>
            </w:r>
          </w:p>
        </w:tc>
        <w:tc>
          <w:tcPr>
            <w:tcW w:w="1701" w:type="dxa"/>
            <w:tcBorders>
              <w:tl2br w:val="nil"/>
              <w:tr2bl w:val="nil"/>
            </w:tcBorders>
            <w:vAlign w:val="center"/>
          </w:tcPr>
          <w:p w14:paraId="1E3679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5220" w:type="dxa"/>
            <w:tcBorders>
              <w:tl2br w:val="nil"/>
              <w:tr2bl w:val="nil"/>
            </w:tcBorders>
            <w:vAlign w:val="center"/>
          </w:tcPr>
          <w:p w14:paraId="3C031B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建立漏洞管理机制，及时通过邮件、网站等方式将安全漏洞告知用户，并提供 安全补丁对漏洞进行修复</w:t>
            </w:r>
          </w:p>
        </w:tc>
      </w:tr>
      <w:tr w14:paraId="0CB9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10AE4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continue"/>
            <w:tcBorders>
              <w:tl2br w:val="nil"/>
              <w:tr2bl w:val="nil"/>
            </w:tcBorders>
            <w:vAlign w:val="center"/>
          </w:tcPr>
          <w:p w14:paraId="1A10B3F4">
            <w:pPr>
              <w:shd w:val="clear"/>
              <w:rPr>
                <w:rFonts w:hint="eastAsia" w:ascii="宋体" w:hAnsi="宋体" w:eastAsia="宋体" w:cs="宋体"/>
                <w:color w:val="auto"/>
                <w:highlight w:val="none"/>
              </w:rPr>
            </w:pPr>
          </w:p>
        </w:tc>
        <w:tc>
          <w:tcPr>
            <w:tcW w:w="1701" w:type="dxa"/>
            <w:tcBorders>
              <w:tl2br w:val="nil"/>
              <w:tr2bl w:val="nil"/>
            </w:tcBorders>
            <w:vAlign w:val="center"/>
          </w:tcPr>
          <w:p w14:paraId="60A52A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身份鉴别及访问控制</w:t>
            </w:r>
          </w:p>
        </w:tc>
        <w:tc>
          <w:tcPr>
            <w:tcW w:w="5220" w:type="dxa"/>
            <w:tcBorders>
              <w:tl2br w:val="nil"/>
              <w:tr2bl w:val="nil"/>
            </w:tcBorders>
            <w:vAlign w:val="center"/>
          </w:tcPr>
          <w:p w14:paraId="237B41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提供身份鉴别及访问控制，加解密的密码要求符合GM/T0028 的相关规定</w:t>
            </w:r>
          </w:p>
        </w:tc>
      </w:tr>
    </w:tbl>
    <w:p w14:paraId="28686F1F">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190"/>
        <w:gridCol w:w="6222"/>
      </w:tblGrid>
      <w:tr w14:paraId="4145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40C7C2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09423F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05415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00E7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2A5FCC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599722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服务器国产操作系统5套，支撑甲方非现场执法业务平台正常运转。</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3DD18D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信创国产服务器操作系统，支持龙芯、兆芯、飞腾、鲲鹏、海光、申威等主流国产芯片；</w:t>
            </w:r>
          </w:p>
          <w:p w14:paraId="7B270B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支持以中文引导的图形化界面安装，支持光盘、网络、U盘等多种安装途径安装系统，支持最小化安装；</w:t>
            </w:r>
          </w:p>
          <w:p w14:paraId="560FBB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基础环境：集成Qt等开发框架；</w:t>
            </w:r>
          </w:p>
          <w:p w14:paraId="40A310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GCC 包含的 C、C++、Objective C、Objective C++ 和 Fortran等相应支持库（libstdc++、libgcj等）；</w:t>
            </w:r>
          </w:p>
          <w:p w14:paraId="31D03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Python， Perl，Shell，Ruby，PHP 等脚本语言；</w:t>
            </w:r>
          </w:p>
          <w:p w14:paraId="470C41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java 1.7 、1.8、11 等；</w:t>
            </w:r>
          </w:p>
          <w:p w14:paraId="7F2852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文件系统：默认使用 XFS，支持 EXT3、EXT4、GFS、GFS2 等；</w:t>
            </w:r>
          </w:p>
          <w:p w14:paraId="57E12C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存储支持：内置支持快速块设备作为慢速块设备缓存以加速 IO 支持 swap 压缩以减少 IO 并提高性能支持 FCOE、iSCSI，支持将 Ceph 块设备视为常规磁盘设备条目，挂载 到某个目录并使用标准文件系统格式化，比如 XFS 或者 EXT4；</w:t>
            </w:r>
          </w:p>
          <w:p w14:paraId="7C47A4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虚拟化支持：支持KVM 虚拟化内置单机虚拟化管理程序支持作为KVM、Xen、Hyper-V、ESXi 虚拟机；</w:t>
            </w:r>
          </w:p>
          <w:p w14:paraId="117580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常用应用支持：默认提供 apache http、ftp、DNS、DHCP、MariaDB、PostgreSQL、NFS、 Samba、LDAP 等应用；</w:t>
            </w:r>
          </w:p>
          <w:p w14:paraId="502F84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含远程服务；5*8小时电话、邮件等远程支持服务；</w:t>
            </w:r>
          </w:p>
          <w:p w14:paraId="2F476B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详细参数见“国产操作系统单套详细参数要求”</w:t>
            </w:r>
          </w:p>
        </w:tc>
      </w:tr>
    </w:tbl>
    <w:p w14:paraId="75CE0E48">
      <w:pPr>
        <w:shd w:val="clear"/>
        <w:spacing w:line="360" w:lineRule="auto"/>
        <w:rPr>
          <w:rFonts w:hint="eastAsia" w:ascii="宋体" w:hAnsi="宋体" w:eastAsia="宋体" w:cs="宋体"/>
          <w:color w:val="auto"/>
          <w:sz w:val="24"/>
          <w:highlight w:val="none"/>
        </w:rPr>
      </w:pPr>
    </w:p>
    <w:p w14:paraId="0C8C1A4A">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国产操作系统单套详细参数如下：</w:t>
      </w:r>
    </w:p>
    <w:tbl>
      <w:tblPr>
        <w:tblStyle w:val="16"/>
        <w:tblW w:w="49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1598"/>
        <w:gridCol w:w="2035"/>
        <w:gridCol w:w="4769"/>
      </w:tblGrid>
      <w:tr w14:paraId="720E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vAlign w:val="center"/>
          </w:tcPr>
          <w:p w14:paraId="5CD52F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59" w:type="dxa"/>
            <w:tcBorders>
              <w:top w:val="single" w:color="auto" w:sz="4" w:space="0"/>
              <w:left w:val="nil"/>
              <w:bottom w:val="single" w:color="auto" w:sz="4" w:space="0"/>
              <w:right w:val="single" w:color="auto" w:sz="4" w:space="0"/>
              <w:tl2br w:val="nil"/>
              <w:tr2bl w:val="nil"/>
            </w:tcBorders>
            <w:vAlign w:val="center"/>
          </w:tcPr>
          <w:p w14:paraId="5E1750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一级参数指标</w:t>
            </w:r>
          </w:p>
        </w:tc>
        <w:tc>
          <w:tcPr>
            <w:tcW w:w="1985" w:type="dxa"/>
            <w:tcBorders>
              <w:top w:val="single" w:color="auto" w:sz="4" w:space="0"/>
              <w:left w:val="nil"/>
              <w:bottom w:val="single" w:color="auto" w:sz="4" w:space="0"/>
              <w:right w:val="single" w:color="auto" w:sz="4" w:space="0"/>
              <w:tl2br w:val="nil"/>
              <w:tr2bl w:val="nil"/>
            </w:tcBorders>
            <w:vAlign w:val="center"/>
          </w:tcPr>
          <w:p w14:paraId="57E00B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二级参数指标</w:t>
            </w:r>
          </w:p>
        </w:tc>
        <w:tc>
          <w:tcPr>
            <w:tcW w:w="4653" w:type="dxa"/>
            <w:tcBorders>
              <w:top w:val="single" w:color="auto" w:sz="4" w:space="0"/>
              <w:left w:val="nil"/>
              <w:bottom w:val="single" w:color="auto" w:sz="4" w:space="0"/>
              <w:right w:val="single" w:color="auto" w:sz="4" w:space="0"/>
              <w:tl2br w:val="nil"/>
              <w:tr2bl w:val="nil"/>
            </w:tcBorders>
            <w:vAlign w:val="center"/>
          </w:tcPr>
          <w:p w14:paraId="7D9AE5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3601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F93CB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59" w:type="dxa"/>
            <w:tcBorders>
              <w:top w:val="nil"/>
              <w:left w:val="nil"/>
              <w:bottom w:val="single" w:color="auto" w:sz="4" w:space="0"/>
              <w:right w:val="single" w:color="auto" w:sz="4" w:space="0"/>
              <w:tl2br w:val="nil"/>
              <w:tr2bl w:val="nil"/>
            </w:tcBorders>
            <w:vAlign w:val="center"/>
          </w:tcPr>
          <w:p w14:paraId="0BB7A1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操作系统支持多CPU架构</w:t>
            </w:r>
          </w:p>
        </w:tc>
        <w:tc>
          <w:tcPr>
            <w:tcW w:w="1985" w:type="dxa"/>
            <w:tcBorders>
              <w:top w:val="nil"/>
              <w:left w:val="nil"/>
              <w:bottom w:val="single" w:color="auto" w:sz="4" w:space="0"/>
              <w:right w:val="single" w:color="auto" w:sz="4" w:space="0"/>
              <w:tl2br w:val="nil"/>
              <w:tr2bl w:val="nil"/>
            </w:tcBorders>
            <w:vAlign w:val="center"/>
          </w:tcPr>
          <w:p w14:paraId="303FF8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同源兼容多CPU平台架构</w:t>
            </w:r>
          </w:p>
        </w:tc>
        <w:tc>
          <w:tcPr>
            <w:tcW w:w="4653" w:type="dxa"/>
            <w:tcBorders>
              <w:top w:val="nil"/>
              <w:left w:val="nil"/>
              <w:bottom w:val="single" w:color="auto" w:sz="4" w:space="0"/>
              <w:right w:val="single" w:color="auto" w:sz="4" w:space="0"/>
              <w:tl2br w:val="nil"/>
              <w:tr2bl w:val="nil"/>
            </w:tcBorders>
            <w:vAlign w:val="center"/>
          </w:tcPr>
          <w:p w14:paraId="3193EB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操作系统支持同源兼容ARM、LoongArch、MIPS、SW64、x86架构的CPU</w:t>
            </w:r>
          </w:p>
        </w:tc>
      </w:tr>
      <w:tr w14:paraId="548D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6C3EF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66BC4B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操作系统支持CPU内置功能</w:t>
            </w:r>
          </w:p>
        </w:tc>
        <w:tc>
          <w:tcPr>
            <w:tcW w:w="1985" w:type="dxa"/>
            <w:tcBorders>
              <w:top w:val="nil"/>
              <w:left w:val="nil"/>
              <w:bottom w:val="single" w:color="auto" w:sz="4" w:space="0"/>
              <w:right w:val="single" w:color="auto" w:sz="4" w:space="0"/>
              <w:tl2br w:val="nil"/>
              <w:tr2bl w:val="nil"/>
            </w:tcBorders>
            <w:vAlign w:val="center"/>
          </w:tcPr>
          <w:p w14:paraId="47F50C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多核支持</w:t>
            </w:r>
          </w:p>
        </w:tc>
        <w:tc>
          <w:tcPr>
            <w:tcW w:w="4653" w:type="dxa"/>
            <w:tcBorders>
              <w:top w:val="nil"/>
              <w:left w:val="nil"/>
              <w:bottom w:val="single" w:color="auto" w:sz="4" w:space="0"/>
              <w:right w:val="single" w:color="auto" w:sz="4" w:space="0"/>
              <w:tl2br w:val="nil"/>
              <w:tr2bl w:val="nil"/>
            </w:tcBorders>
            <w:vAlign w:val="center"/>
          </w:tcPr>
          <w:p w14:paraId="140429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操作系统支持双核及多核处理器，包括核间负载均衡、线程绑定等，并提供接口，通过访问接口获取运行状态和控制多核调度</w:t>
            </w:r>
          </w:p>
        </w:tc>
      </w:tr>
      <w:tr w14:paraId="1440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E972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A64070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D5813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CPU虚拟化支持</w:t>
            </w:r>
          </w:p>
        </w:tc>
        <w:tc>
          <w:tcPr>
            <w:tcW w:w="4653" w:type="dxa"/>
            <w:tcBorders>
              <w:top w:val="nil"/>
              <w:left w:val="nil"/>
              <w:bottom w:val="single" w:color="auto" w:sz="4" w:space="0"/>
              <w:right w:val="single" w:color="auto" w:sz="4" w:space="0"/>
              <w:tl2br w:val="nil"/>
              <w:tr2bl w:val="nil"/>
            </w:tcBorders>
            <w:vAlign w:val="center"/>
          </w:tcPr>
          <w:p w14:paraId="5B62FD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操作系统支持CPU虚拟化技术</w:t>
            </w:r>
          </w:p>
        </w:tc>
      </w:tr>
      <w:tr w14:paraId="1743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D4C1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C30952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B0FBD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动态调节CPU运行频率</w:t>
            </w:r>
          </w:p>
        </w:tc>
        <w:tc>
          <w:tcPr>
            <w:tcW w:w="4653" w:type="dxa"/>
            <w:tcBorders>
              <w:top w:val="nil"/>
              <w:left w:val="nil"/>
              <w:bottom w:val="single" w:color="auto" w:sz="4" w:space="0"/>
              <w:right w:val="single" w:color="auto" w:sz="4" w:space="0"/>
              <w:tl2br w:val="nil"/>
              <w:tr2bl w:val="nil"/>
            </w:tcBorders>
            <w:vAlign w:val="center"/>
          </w:tcPr>
          <w:p w14:paraId="5D4BF0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操作系统根据负载情况，自动调节CPU的运行频率</w:t>
            </w:r>
          </w:p>
        </w:tc>
      </w:tr>
      <w:tr w14:paraId="5E98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7DBA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05B3AE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DA7A2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支持多CPU</w:t>
            </w:r>
          </w:p>
        </w:tc>
        <w:tc>
          <w:tcPr>
            <w:tcW w:w="4653" w:type="dxa"/>
            <w:tcBorders>
              <w:top w:val="nil"/>
              <w:left w:val="nil"/>
              <w:bottom w:val="single" w:color="auto" w:sz="4" w:space="0"/>
              <w:right w:val="single" w:color="auto" w:sz="4" w:space="0"/>
              <w:tl2br w:val="nil"/>
              <w:tr2bl w:val="nil"/>
            </w:tcBorders>
            <w:vAlign w:val="center"/>
          </w:tcPr>
          <w:p w14:paraId="50DD1A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支持跨路内存访问，支持CPU间负载均衡，支持并优化NUMA体系架构</w:t>
            </w:r>
          </w:p>
        </w:tc>
      </w:tr>
      <w:tr w14:paraId="05A0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D6900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B1A785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ABCF7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支持CPU内置安全功能</w:t>
            </w:r>
          </w:p>
        </w:tc>
        <w:tc>
          <w:tcPr>
            <w:tcW w:w="4653" w:type="dxa"/>
            <w:tcBorders>
              <w:top w:val="nil"/>
              <w:left w:val="nil"/>
              <w:bottom w:val="single" w:color="auto" w:sz="4" w:space="0"/>
              <w:right w:val="single" w:color="auto" w:sz="4" w:space="0"/>
              <w:tl2br w:val="nil"/>
              <w:tr2bl w:val="nil"/>
            </w:tcBorders>
            <w:vAlign w:val="center"/>
          </w:tcPr>
          <w:p w14:paraId="6BE130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操作系统支持CPU硬件密码运算与随机数生成等功能；提供编程接口供应用程序调用；支持通过硬件指令判别临界区冲突；支持调用CPU指令，实现自旋锁</w:t>
            </w:r>
          </w:p>
        </w:tc>
      </w:tr>
      <w:tr w14:paraId="6173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23CEB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263C7E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安装部署</w:t>
            </w:r>
          </w:p>
        </w:tc>
        <w:tc>
          <w:tcPr>
            <w:tcW w:w="1985" w:type="dxa"/>
            <w:tcBorders>
              <w:top w:val="nil"/>
              <w:left w:val="nil"/>
              <w:bottom w:val="single" w:color="auto" w:sz="4" w:space="0"/>
              <w:right w:val="single" w:color="auto" w:sz="4" w:space="0"/>
              <w:tl2br w:val="nil"/>
              <w:tr2bl w:val="nil"/>
            </w:tcBorders>
            <w:vAlign w:val="center"/>
          </w:tcPr>
          <w:p w14:paraId="482DA7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p>
        </w:tc>
        <w:tc>
          <w:tcPr>
            <w:tcW w:w="4653" w:type="dxa"/>
            <w:tcBorders>
              <w:top w:val="nil"/>
              <w:left w:val="nil"/>
              <w:bottom w:val="single" w:color="auto" w:sz="4" w:space="0"/>
              <w:right w:val="single" w:color="auto" w:sz="4" w:space="0"/>
              <w:tl2br w:val="nil"/>
              <w:tr2bl w:val="nil"/>
            </w:tcBorders>
            <w:vAlign w:val="center"/>
          </w:tcPr>
          <w:p w14:paraId="749E20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操作系统支持光盘安装、USB闪存盘安装、网络安装和无人值守安装</w:t>
            </w:r>
          </w:p>
        </w:tc>
      </w:tr>
      <w:tr w14:paraId="08C3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61265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8D1284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0495A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安装模式</w:t>
            </w:r>
          </w:p>
        </w:tc>
        <w:tc>
          <w:tcPr>
            <w:tcW w:w="4653" w:type="dxa"/>
            <w:tcBorders>
              <w:top w:val="nil"/>
              <w:left w:val="nil"/>
              <w:bottom w:val="single" w:color="auto" w:sz="4" w:space="0"/>
              <w:right w:val="single" w:color="auto" w:sz="4" w:space="0"/>
              <w:tl2br w:val="nil"/>
              <w:tr2bl w:val="nil"/>
            </w:tcBorders>
            <w:vAlign w:val="center"/>
          </w:tcPr>
          <w:p w14:paraId="3AA86B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操作系统支持图形或文本安装模式</w:t>
            </w:r>
          </w:p>
        </w:tc>
      </w:tr>
      <w:tr w14:paraId="0DCE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64CC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25B5C0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6C4BD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安装过程配置</w:t>
            </w:r>
          </w:p>
        </w:tc>
        <w:tc>
          <w:tcPr>
            <w:tcW w:w="4653" w:type="dxa"/>
            <w:tcBorders>
              <w:top w:val="nil"/>
              <w:left w:val="nil"/>
              <w:bottom w:val="single" w:color="auto" w:sz="4" w:space="0"/>
              <w:right w:val="single" w:color="auto" w:sz="4" w:space="0"/>
              <w:tl2br w:val="nil"/>
              <w:tr2bl w:val="nil"/>
            </w:tcBorders>
            <w:vAlign w:val="center"/>
          </w:tcPr>
          <w:p w14:paraId="0C6ABF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64C6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B300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6F6AF4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7C9F5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系统引导</w:t>
            </w:r>
          </w:p>
        </w:tc>
        <w:tc>
          <w:tcPr>
            <w:tcW w:w="4653" w:type="dxa"/>
            <w:tcBorders>
              <w:top w:val="nil"/>
              <w:left w:val="nil"/>
              <w:bottom w:val="single" w:color="auto" w:sz="4" w:space="0"/>
              <w:right w:val="single" w:color="auto" w:sz="4" w:space="0"/>
              <w:tl2br w:val="nil"/>
              <w:tr2bl w:val="nil"/>
            </w:tcBorders>
            <w:vAlign w:val="center"/>
          </w:tcPr>
          <w:p w14:paraId="6708D0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a)操作系统应支持UEFI2.0及以上规范固件引导，当计算机以UEFI模式启动安装时，安装程序应分配ESP，并在ESP中放置启动引导文件，使系统能以UEFI模式引导；</w:t>
            </w:r>
          </w:p>
          <w:p w14:paraId="52CF6F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b)支持bootloader引导，支持MBR及GPT</w:t>
            </w:r>
          </w:p>
        </w:tc>
      </w:tr>
      <w:tr w14:paraId="3772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C60F0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E9230C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A03B4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引导修复</w:t>
            </w:r>
          </w:p>
        </w:tc>
        <w:tc>
          <w:tcPr>
            <w:tcW w:w="4653" w:type="dxa"/>
            <w:tcBorders>
              <w:top w:val="nil"/>
              <w:left w:val="nil"/>
              <w:bottom w:val="single" w:color="auto" w:sz="4" w:space="0"/>
              <w:right w:val="single" w:color="auto" w:sz="4" w:space="0"/>
              <w:tl2br w:val="nil"/>
              <w:tr2bl w:val="nil"/>
            </w:tcBorders>
            <w:vAlign w:val="center"/>
          </w:tcPr>
          <w:p w14:paraId="4C26DB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操作系统安装媒体提供系统引导修复功能，当已安装的系统引导被破坏时，可重建系统引导</w:t>
            </w:r>
          </w:p>
        </w:tc>
      </w:tr>
      <w:tr w14:paraId="4848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7EDF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140E07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903C6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引导参数编辑</w:t>
            </w:r>
          </w:p>
        </w:tc>
        <w:tc>
          <w:tcPr>
            <w:tcW w:w="4653" w:type="dxa"/>
            <w:tcBorders>
              <w:top w:val="nil"/>
              <w:left w:val="nil"/>
              <w:bottom w:val="single" w:color="auto" w:sz="4" w:space="0"/>
              <w:right w:val="single" w:color="auto" w:sz="4" w:space="0"/>
              <w:tl2br w:val="nil"/>
              <w:tr2bl w:val="nil"/>
            </w:tcBorders>
            <w:vAlign w:val="center"/>
          </w:tcPr>
          <w:p w14:paraId="136F03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操作系统支持用户编辑引导参数，支持GRUB口令保护</w:t>
            </w:r>
          </w:p>
        </w:tc>
      </w:tr>
      <w:tr w14:paraId="17FD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19382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27E18C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E525E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op w:val="nil"/>
              <w:left w:val="nil"/>
              <w:bottom w:val="single" w:color="auto" w:sz="4" w:space="0"/>
              <w:right w:val="single" w:color="auto" w:sz="4" w:space="0"/>
              <w:tl2br w:val="nil"/>
              <w:tr2bl w:val="nil"/>
            </w:tcBorders>
            <w:vAlign w:val="center"/>
          </w:tcPr>
          <w:p w14:paraId="4E685D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安装程序在安装执行前明确提示用户可能会删除已有数据，并提供退出/取消功能，当用户取消安装时，不改变硬盘上已有数据</w:t>
            </w:r>
          </w:p>
        </w:tc>
      </w:tr>
      <w:tr w14:paraId="2796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F9A7A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8CF2A3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99D4F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分辨率自适应</w:t>
            </w:r>
          </w:p>
        </w:tc>
        <w:tc>
          <w:tcPr>
            <w:tcW w:w="4653" w:type="dxa"/>
            <w:tcBorders>
              <w:top w:val="nil"/>
              <w:left w:val="nil"/>
              <w:bottom w:val="single" w:color="auto" w:sz="4" w:space="0"/>
              <w:right w:val="single" w:color="auto" w:sz="4" w:space="0"/>
              <w:tl2br w:val="nil"/>
              <w:tr2bl w:val="nil"/>
            </w:tcBorders>
            <w:vAlign w:val="center"/>
          </w:tcPr>
          <w:p w14:paraId="20D424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操作系统安装完成后应自动适配显示器最佳分辨率(文本模式除外)</w:t>
            </w:r>
          </w:p>
        </w:tc>
      </w:tr>
      <w:tr w14:paraId="56B7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A8BA1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EFEFBA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4D076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安装配置正确性校验</w:t>
            </w:r>
          </w:p>
        </w:tc>
        <w:tc>
          <w:tcPr>
            <w:tcW w:w="4653" w:type="dxa"/>
            <w:tcBorders>
              <w:top w:val="nil"/>
              <w:left w:val="nil"/>
              <w:bottom w:val="single" w:color="auto" w:sz="4" w:space="0"/>
              <w:right w:val="single" w:color="auto" w:sz="4" w:space="0"/>
              <w:tl2br w:val="nil"/>
              <w:tr2bl w:val="nil"/>
            </w:tcBorders>
            <w:vAlign w:val="center"/>
          </w:tcPr>
          <w:p w14:paraId="546B6E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操作系统安装和配置过程中，如用户自定义的某些配置可能会影响系统启动或正常使用，予以明确提示</w:t>
            </w:r>
          </w:p>
        </w:tc>
      </w:tr>
      <w:tr w14:paraId="14CB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C9241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59" w:type="dxa"/>
            <w:tcBorders>
              <w:top w:val="nil"/>
              <w:left w:val="nil"/>
              <w:bottom w:val="single" w:color="auto" w:sz="4" w:space="0"/>
              <w:right w:val="single" w:color="auto" w:sz="4" w:space="0"/>
              <w:tl2br w:val="nil"/>
              <w:tr2bl w:val="nil"/>
            </w:tcBorders>
            <w:vAlign w:val="center"/>
          </w:tcPr>
          <w:p w14:paraId="3E1F5C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系统内核</w:t>
            </w:r>
          </w:p>
        </w:tc>
        <w:tc>
          <w:tcPr>
            <w:tcW w:w="1985" w:type="dxa"/>
            <w:tcBorders>
              <w:top w:val="nil"/>
              <w:left w:val="nil"/>
              <w:bottom w:val="single" w:color="auto" w:sz="4" w:space="0"/>
              <w:right w:val="single" w:color="auto" w:sz="4" w:space="0"/>
              <w:tl2br w:val="nil"/>
              <w:tr2bl w:val="nil"/>
            </w:tcBorders>
            <w:vAlign w:val="center"/>
          </w:tcPr>
          <w:p w14:paraId="7DCF3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内核要求</w:t>
            </w:r>
          </w:p>
        </w:tc>
        <w:tc>
          <w:tcPr>
            <w:tcW w:w="4653" w:type="dxa"/>
            <w:tcBorders>
              <w:top w:val="nil"/>
              <w:left w:val="nil"/>
              <w:bottom w:val="single" w:color="auto" w:sz="4" w:space="0"/>
              <w:right w:val="single" w:color="auto" w:sz="4" w:space="0"/>
              <w:tl2br w:val="nil"/>
              <w:tr2bl w:val="nil"/>
            </w:tcBorders>
            <w:vAlign w:val="center"/>
          </w:tcPr>
          <w:p w14:paraId="11920C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a)若操作系统是基于Linux内核的服务器操作系统应兼容4.19版内核</w:t>
            </w:r>
          </w:p>
          <w:p w14:paraId="3AEE73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b)若操作系统属于其他类型内核不做要求</w:t>
            </w:r>
          </w:p>
        </w:tc>
      </w:tr>
      <w:tr w14:paraId="3B67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3C841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221C8A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进程、线程调度</w:t>
            </w:r>
          </w:p>
        </w:tc>
        <w:tc>
          <w:tcPr>
            <w:tcW w:w="1985" w:type="dxa"/>
            <w:tcBorders>
              <w:top w:val="nil"/>
              <w:left w:val="nil"/>
              <w:bottom w:val="single" w:color="auto" w:sz="4" w:space="0"/>
              <w:right w:val="single" w:color="auto" w:sz="4" w:space="0"/>
              <w:tl2br w:val="nil"/>
              <w:tr2bl w:val="nil"/>
            </w:tcBorders>
            <w:vAlign w:val="center"/>
          </w:tcPr>
          <w:p w14:paraId="6DDA7B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op w:val="nil"/>
              <w:left w:val="nil"/>
              <w:bottom w:val="single" w:color="auto" w:sz="4" w:space="0"/>
              <w:right w:val="single" w:color="auto" w:sz="4" w:space="0"/>
              <w:tl2br w:val="nil"/>
              <w:tr2bl w:val="nil"/>
            </w:tcBorders>
            <w:vAlign w:val="center"/>
          </w:tcPr>
          <w:p w14:paraId="1D68F9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操作系统支持基于NUMA的亲和调度</w:t>
            </w:r>
          </w:p>
        </w:tc>
      </w:tr>
      <w:tr w14:paraId="19F1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39635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ACACF3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A6F4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多核轮询</w:t>
            </w:r>
          </w:p>
        </w:tc>
        <w:tc>
          <w:tcPr>
            <w:tcW w:w="4653" w:type="dxa"/>
            <w:tcBorders>
              <w:top w:val="nil"/>
              <w:left w:val="nil"/>
              <w:bottom w:val="single" w:color="auto" w:sz="4" w:space="0"/>
              <w:right w:val="single" w:color="auto" w:sz="4" w:space="0"/>
              <w:tl2br w:val="nil"/>
              <w:tr2bl w:val="nil"/>
            </w:tcBorders>
            <w:vAlign w:val="center"/>
          </w:tcPr>
          <w:p w14:paraId="3D56A5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操作系统支持CPU多核轮询调度</w:t>
            </w:r>
          </w:p>
        </w:tc>
      </w:tr>
      <w:tr w14:paraId="0FA3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C96C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A3C3EA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F7C76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进程调度</w:t>
            </w:r>
          </w:p>
        </w:tc>
        <w:tc>
          <w:tcPr>
            <w:tcW w:w="4653" w:type="dxa"/>
            <w:tcBorders>
              <w:top w:val="nil"/>
              <w:left w:val="nil"/>
              <w:bottom w:val="single" w:color="auto" w:sz="4" w:space="0"/>
              <w:right w:val="single" w:color="auto" w:sz="4" w:space="0"/>
              <w:tl2br w:val="nil"/>
              <w:tr2bl w:val="nil"/>
            </w:tcBorders>
            <w:vAlign w:val="center"/>
          </w:tcPr>
          <w:p w14:paraId="429960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操作系统具备进程优先级动态调整能力，允许在进程运行时对优先级进行调整；区分实时进程与非实时进程，分别进行调度；支持进程运行状态检查</w:t>
            </w:r>
          </w:p>
        </w:tc>
      </w:tr>
      <w:tr w14:paraId="7EC5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777F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59" w:type="dxa"/>
            <w:vMerge w:val="restart"/>
            <w:tcBorders>
              <w:top w:val="nil"/>
              <w:left w:val="single" w:color="auto" w:sz="4" w:space="0"/>
              <w:bottom w:val="nil"/>
              <w:right w:val="single" w:color="auto" w:sz="4" w:space="0"/>
              <w:tl2br w:val="nil"/>
              <w:tr2bl w:val="nil"/>
            </w:tcBorders>
            <w:vAlign w:val="center"/>
          </w:tcPr>
          <w:p w14:paraId="7A69AC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内存管理</w:t>
            </w:r>
          </w:p>
        </w:tc>
        <w:tc>
          <w:tcPr>
            <w:tcW w:w="1985" w:type="dxa"/>
            <w:tcBorders>
              <w:top w:val="nil"/>
              <w:left w:val="nil"/>
              <w:bottom w:val="single" w:color="auto" w:sz="4" w:space="0"/>
              <w:right w:val="single" w:color="auto" w:sz="4" w:space="0"/>
              <w:tl2br w:val="nil"/>
              <w:tr2bl w:val="nil"/>
            </w:tcBorders>
            <w:vAlign w:val="center"/>
          </w:tcPr>
          <w:p w14:paraId="5B93AC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内存容量</w:t>
            </w:r>
          </w:p>
        </w:tc>
        <w:tc>
          <w:tcPr>
            <w:tcW w:w="4653" w:type="dxa"/>
            <w:tcBorders>
              <w:top w:val="nil"/>
              <w:left w:val="nil"/>
              <w:bottom w:val="single" w:color="auto" w:sz="4" w:space="0"/>
              <w:right w:val="single" w:color="auto" w:sz="4" w:space="0"/>
              <w:tl2br w:val="nil"/>
              <w:tr2bl w:val="nil"/>
            </w:tcBorders>
            <w:vAlign w:val="center"/>
          </w:tcPr>
          <w:p w14:paraId="201A88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操作系统支持最大内存不小于4TB</w:t>
            </w:r>
          </w:p>
        </w:tc>
      </w:tr>
      <w:tr w14:paraId="2251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C65B1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59" w:type="dxa"/>
            <w:vMerge w:val="continue"/>
            <w:tcBorders>
              <w:top w:val="nil"/>
              <w:left w:val="single" w:color="auto" w:sz="4" w:space="0"/>
              <w:bottom w:val="nil"/>
              <w:right w:val="single" w:color="auto" w:sz="4" w:space="0"/>
              <w:tl2br w:val="nil"/>
              <w:tr2bl w:val="nil"/>
            </w:tcBorders>
            <w:vAlign w:val="center"/>
          </w:tcPr>
          <w:p w14:paraId="3B3ABF8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A0AFB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内存大页管理</w:t>
            </w:r>
          </w:p>
        </w:tc>
        <w:tc>
          <w:tcPr>
            <w:tcW w:w="4653" w:type="dxa"/>
            <w:tcBorders>
              <w:top w:val="nil"/>
              <w:left w:val="nil"/>
              <w:bottom w:val="single" w:color="auto" w:sz="4" w:space="0"/>
              <w:right w:val="single" w:color="auto" w:sz="4" w:space="0"/>
              <w:tl2br w:val="nil"/>
              <w:tr2bl w:val="nil"/>
            </w:tcBorders>
            <w:vAlign w:val="center"/>
          </w:tcPr>
          <w:p w14:paraId="4EA12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操作系统允许应用申请内存大页降低页表转换</w:t>
            </w:r>
          </w:p>
        </w:tc>
      </w:tr>
      <w:tr w14:paraId="515F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93E7A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59" w:type="dxa"/>
            <w:vMerge w:val="continue"/>
            <w:tcBorders>
              <w:top w:val="nil"/>
              <w:left w:val="single" w:color="auto" w:sz="4" w:space="0"/>
              <w:bottom w:val="nil"/>
              <w:right w:val="single" w:color="auto" w:sz="4" w:space="0"/>
              <w:tl2br w:val="nil"/>
              <w:tr2bl w:val="nil"/>
            </w:tcBorders>
            <w:vAlign w:val="center"/>
          </w:tcPr>
          <w:p w14:paraId="47987F3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BFDD8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op w:val="nil"/>
              <w:left w:val="nil"/>
              <w:bottom w:val="single" w:color="auto" w:sz="4" w:space="0"/>
              <w:right w:val="single" w:color="auto" w:sz="4" w:space="0"/>
              <w:tl2br w:val="nil"/>
              <w:tr2bl w:val="nil"/>
            </w:tcBorders>
            <w:vAlign w:val="center"/>
          </w:tcPr>
          <w:p w14:paraId="520FB8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操作系统支持NUMA近节点优化</w:t>
            </w:r>
          </w:p>
        </w:tc>
      </w:tr>
      <w:tr w14:paraId="424E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2DC50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559" w:type="dxa"/>
            <w:vMerge w:val="restart"/>
            <w:tcBorders>
              <w:top w:val="single" w:color="auto" w:sz="4" w:space="0"/>
              <w:left w:val="single" w:color="auto" w:sz="4" w:space="0"/>
              <w:bottom w:val="nil"/>
              <w:right w:val="single" w:color="auto" w:sz="4" w:space="0"/>
              <w:tl2br w:val="nil"/>
              <w:tr2bl w:val="nil"/>
            </w:tcBorders>
            <w:vAlign w:val="center"/>
          </w:tcPr>
          <w:p w14:paraId="22A1D4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w:t>
            </w:r>
          </w:p>
        </w:tc>
        <w:tc>
          <w:tcPr>
            <w:tcW w:w="1985" w:type="dxa"/>
            <w:tcBorders>
              <w:top w:val="nil"/>
              <w:left w:val="nil"/>
              <w:bottom w:val="single" w:color="auto" w:sz="4" w:space="0"/>
              <w:right w:val="single" w:color="auto" w:sz="4" w:space="0"/>
              <w:tl2br w:val="nil"/>
              <w:tr2bl w:val="nil"/>
            </w:tcBorders>
            <w:vAlign w:val="center"/>
          </w:tcPr>
          <w:p w14:paraId="3FD8D9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RAID支持</w:t>
            </w:r>
          </w:p>
        </w:tc>
        <w:tc>
          <w:tcPr>
            <w:tcW w:w="4653" w:type="dxa"/>
            <w:tcBorders>
              <w:top w:val="nil"/>
              <w:left w:val="nil"/>
              <w:bottom w:val="single" w:color="auto" w:sz="4" w:space="0"/>
              <w:right w:val="single" w:color="auto" w:sz="4" w:space="0"/>
              <w:tl2br w:val="nil"/>
              <w:tr2bl w:val="nil"/>
            </w:tcBorders>
            <w:vAlign w:val="center"/>
          </w:tcPr>
          <w:p w14:paraId="5842FF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操作系统支持硬RAID和软RAID，支持软RAID级别0、1、5、6、10</w:t>
            </w:r>
          </w:p>
        </w:tc>
      </w:tr>
      <w:tr w14:paraId="7AC7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E0F0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C75A90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A7F08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虚拟文件系统</w:t>
            </w:r>
          </w:p>
        </w:tc>
        <w:tc>
          <w:tcPr>
            <w:tcW w:w="4653" w:type="dxa"/>
            <w:tcBorders>
              <w:top w:val="nil"/>
              <w:left w:val="nil"/>
              <w:bottom w:val="single" w:color="auto" w:sz="4" w:space="0"/>
              <w:right w:val="single" w:color="auto" w:sz="4" w:space="0"/>
              <w:tl2br w:val="nil"/>
              <w:tr2bl w:val="nil"/>
            </w:tcBorders>
            <w:vAlign w:val="center"/>
          </w:tcPr>
          <w:p w14:paraId="06ECF7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操作系统支持将不同功能的外部设备抽象为统一的文件操作接口，包括存储、输入输出设备</w:t>
            </w:r>
          </w:p>
        </w:tc>
      </w:tr>
      <w:tr w14:paraId="4168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74B51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05E0B29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E3C30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文件管理</w:t>
            </w:r>
          </w:p>
        </w:tc>
        <w:tc>
          <w:tcPr>
            <w:tcW w:w="4653" w:type="dxa"/>
            <w:tcBorders>
              <w:top w:val="nil"/>
              <w:left w:val="nil"/>
              <w:bottom w:val="single" w:color="auto" w:sz="4" w:space="0"/>
              <w:right w:val="single" w:color="auto" w:sz="4" w:space="0"/>
              <w:tl2br w:val="nil"/>
              <w:tr2bl w:val="nil"/>
            </w:tcBorders>
            <w:vAlign w:val="center"/>
          </w:tcPr>
          <w:p w14:paraId="0CDE34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操作系统支持文件存储、检索和共享</w:t>
            </w:r>
          </w:p>
        </w:tc>
      </w:tr>
      <w:tr w14:paraId="5681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5E35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0834285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82C87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可移动存储</w:t>
            </w:r>
          </w:p>
        </w:tc>
        <w:tc>
          <w:tcPr>
            <w:tcW w:w="4653" w:type="dxa"/>
            <w:tcBorders>
              <w:top w:val="nil"/>
              <w:left w:val="nil"/>
              <w:bottom w:val="single" w:color="auto" w:sz="4" w:space="0"/>
              <w:right w:val="single" w:color="auto" w:sz="4" w:space="0"/>
              <w:tl2br w:val="nil"/>
              <w:tr2bl w:val="nil"/>
            </w:tcBorders>
            <w:vAlign w:val="center"/>
          </w:tcPr>
          <w:p w14:paraId="459DAE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操作系统支持对可移动外部存储的管理，包括启停、禁用、恢复等</w:t>
            </w:r>
          </w:p>
        </w:tc>
      </w:tr>
      <w:tr w14:paraId="5F55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67D85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634F82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2A423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外部独立存储</w:t>
            </w:r>
          </w:p>
        </w:tc>
        <w:tc>
          <w:tcPr>
            <w:tcW w:w="4653" w:type="dxa"/>
            <w:tcBorders>
              <w:top w:val="nil"/>
              <w:left w:val="nil"/>
              <w:bottom w:val="single" w:color="auto" w:sz="4" w:space="0"/>
              <w:right w:val="single" w:color="auto" w:sz="4" w:space="0"/>
              <w:tl2br w:val="nil"/>
              <w:tr2bl w:val="nil"/>
            </w:tcBorders>
            <w:vAlign w:val="center"/>
          </w:tcPr>
          <w:p w14:paraId="1B7794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操作系统支持使用外部独立存储设备</w:t>
            </w:r>
          </w:p>
        </w:tc>
      </w:tr>
      <w:tr w14:paraId="76B0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F23B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41E139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9384A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多路径聚合</w:t>
            </w:r>
          </w:p>
        </w:tc>
        <w:tc>
          <w:tcPr>
            <w:tcW w:w="4653" w:type="dxa"/>
            <w:tcBorders>
              <w:top w:val="nil"/>
              <w:left w:val="nil"/>
              <w:bottom w:val="single" w:color="auto" w:sz="4" w:space="0"/>
              <w:right w:val="single" w:color="auto" w:sz="4" w:space="0"/>
              <w:tl2br w:val="nil"/>
              <w:tr2bl w:val="nil"/>
            </w:tcBorders>
            <w:vAlign w:val="center"/>
          </w:tcPr>
          <w:p w14:paraId="53194F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操作系统支持存储多路径聚合及I/O动态负载均衡</w:t>
            </w:r>
          </w:p>
        </w:tc>
      </w:tr>
      <w:tr w14:paraId="4B70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09503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7365F3F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4174A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4653" w:type="dxa"/>
            <w:tcBorders>
              <w:top w:val="nil"/>
              <w:left w:val="nil"/>
              <w:bottom w:val="single" w:color="auto" w:sz="4" w:space="0"/>
              <w:right w:val="single" w:color="auto" w:sz="4" w:space="0"/>
              <w:tl2br w:val="nil"/>
              <w:tr2bl w:val="nil"/>
            </w:tcBorders>
            <w:vAlign w:val="center"/>
          </w:tcPr>
          <w:p w14:paraId="22EF7D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操作系统支持硬盘损坏或老化检测及信息收集</w:t>
            </w:r>
          </w:p>
        </w:tc>
      </w:tr>
      <w:tr w14:paraId="3610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CBCE0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E74139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4CA37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虚拟内存</w:t>
            </w:r>
          </w:p>
        </w:tc>
        <w:tc>
          <w:tcPr>
            <w:tcW w:w="4653" w:type="dxa"/>
            <w:tcBorders>
              <w:top w:val="nil"/>
              <w:left w:val="nil"/>
              <w:bottom w:val="single" w:color="auto" w:sz="4" w:space="0"/>
              <w:right w:val="single" w:color="auto" w:sz="4" w:space="0"/>
              <w:tl2br w:val="nil"/>
              <w:tr2bl w:val="nil"/>
            </w:tcBorders>
            <w:vAlign w:val="center"/>
          </w:tcPr>
          <w:p w14:paraId="0DC139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操作系统支持将硬盘的特定分区或文件作为虚拟扩展内存用于存放内存数据，支持虚拟内存压缩</w:t>
            </w:r>
          </w:p>
        </w:tc>
      </w:tr>
      <w:tr w14:paraId="221F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ACA52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0E9E4AB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8EF8B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网络块设备挂载</w:t>
            </w:r>
          </w:p>
        </w:tc>
        <w:tc>
          <w:tcPr>
            <w:tcW w:w="4653" w:type="dxa"/>
            <w:tcBorders>
              <w:top w:val="nil"/>
              <w:left w:val="nil"/>
              <w:bottom w:val="single" w:color="auto" w:sz="4" w:space="0"/>
              <w:right w:val="single" w:color="auto" w:sz="4" w:space="0"/>
              <w:tl2br w:val="nil"/>
              <w:tr2bl w:val="nil"/>
            </w:tcBorders>
            <w:vAlign w:val="center"/>
          </w:tcPr>
          <w:p w14:paraId="7932A2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操作系统支持FCoE、iSCSI，支持将Ceph块设备视为常规存储设备挂载到某个目录并作为标准文件系统使用</w:t>
            </w:r>
          </w:p>
        </w:tc>
      </w:tr>
      <w:tr w14:paraId="6370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8407B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559" w:type="dxa"/>
            <w:vMerge w:val="restart"/>
            <w:tcBorders>
              <w:top w:val="single" w:color="auto" w:sz="4" w:space="0"/>
              <w:left w:val="single" w:color="auto" w:sz="4" w:space="0"/>
              <w:bottom w:val="nil"/>
              <w:right w:val="single" w:color="auto" w:sz="4" w:space="0"/>
              <w:tl2br w:val="nil"/>
              <w:tr2bl w:val="nil"/>
            </w:tcBorders>
            <w:vAlign w:val="center"/>
          </w:tcPr>
          <w:p w14:paraId="37F6F3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w:t>
            </w:r>
          </w:p>
        </w:tc>
        <w:tc>
          <w:tcPr>
            <w:tcW w:w="1985" w:type="dxa"/>
            <w:tcBorders>
              <w:top w:val="nil"/>
              <w:left w:val="nil"/>
              <w:bottom w:val="single" w:color="auto" w:sz="4" w:space="0"/>
              <w:right w:val="single" w:color="auto" w:sz="4" w:space="0"/>
              <w:tl2br w:val="nil"/>
              <w:tr2bl w:val="nil"/>
            </w:tcBorders>
            <w:vAlign w:val="center"/>
          </w:tcPr>
          <w:p w14:paraId="7C7ADA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网络链路检测</w:t>
            </w:r>
          </w:p>
        </w:tc>
        <w:tc>
          <w:tcPr>
            <w:tcW w:w="4653" w:type="dxa"/>
            <w:tcBorders>
              <w:top w:val="nil"/>
              <w:left w:val="nil"/>
              <w:bottom w:val="single" w:color="auto" w:sz="4" w:space="0"/>
              <w:right w:val="single" w:color="auto" w:sz="4" w:space="0"/>
              <w:tl2br w:val="nil"/>
              <w:tr2bl w:val="nil"/>
            </w:tcBorders>
            <w:vAlign w:val="center"/>
          </w:tcPr>
          <w:p w14:paraId="6C248E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操作系统支持网络链路故障检测、链路事件通知和链路状态查询</w:t>
            </w:r>
          </w:p>
        </w:tc>
      </w:tr>
      <w:tr w14:paraId="569C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2BE4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69A985B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6B574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TCP卸载引擎</w:t>
            </w:r>
          </w:p>
        </w:tc>
        <w:tc>
          <w:tcPr>
            <w:tcW w:w="4653" w:type="dxa"/>
            <w:tcBorders>
              <w:top w:val="nil"/>
              <w:left w:val="nil"/>
              <w:bottom w:val="single" w:color="auto" w:sz="4" w:space="0"/>
              <w:right w:val="single" w:color="auto" w:sz="4" w:space="0"/>
              <w:tl2br w:val="nil"/>
              <w:tr2bl w:val="nil"/>
            </w:tcBorders>
            <w:vAlign w:val="center"/>
          </w:tcPr>
          <w:p w14:paraId="268727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操作系统支持运行TCP协议卸载引擎的网卡</w:t>
            </w:r>
          </w:p>
        </w:tc>
      </w:tr>
      <w:tr w14:paraId="6369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28D8B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7E3E534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882D1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网络协议</w:t>
            </w:r>
          </w:p>
        </w:tc>
        <w:tc>
          <w:tcPr>
            <w:tcW w:w="4653" w:type="dxa"/>
            <w:tcBorders>
              <w:top w:val="nil"/>
              <w:left w:val="nil"/>
              <w:bottom w:val="single" w:color="auto" w:sz="4" w:space="0"/>
              <w:right w:val="single" w:color="auto" w:sz="4" w:space="0"/>
              <w:tl2br w:val="nil"/>
              <w:tr2bl w:val="nil"/>
            </w:tcBorders>
            <w:vAlign w:val="center"/>
          </w:tcPr>
          <w:p w14:paraId="49056B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操作系统支持IPv4、IPv6</w:t>
            </w:r>
          </w:p>
        </w:tc>
      </w:tr>
      <w:tr w14:paraId="4AC1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B8382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3C1D7E2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60A67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多网卡绑定</w:t>
            </w:r>
          </w:p>
        </w:tc>
        <w:tc>
          <w:tcPr>
            <w:tcW w:w="4653" w:type="dxa"/>
            <w:tcBorders>
              <w:top w:val="nil"/>
              <w:left w:val="nil"/>
              <w:bottom w:val="single" w:color="auto" w:sz="4" w:space="0"/>
              <w:right w:val="single" w:color="auto" w:sz="4" w:space="0"/>
              <w:tl2br w:val="nil"/>
              <w:tr2bl w:val="nil"/>
            </w:tcBorders>
            <w:vAlign w:val="center"/>
          </w:tcPr>
          <w:p w14:paraId="341BE1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操作系统支持多网卡绑定</w:t>
            </w:r>
          </w:p>
        </w:tc>
      </w:tr>
      <w:tr w14:paraId="7E0F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4A0F1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559"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869F3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w:t>
            </w:r>
          </w:p>
        </w:tc>
        <w:tc>
          <w:tcPr>
            <w:tcW w:w="1985" w:type="dxa"/>
            <w:tcBorders>
              <w:top w:val="nil"/>
              <w:left w:val="nil"/>
              <w:bottom w:val="single" w:color="auto" w:sz="4" w:space="0"/>
              <w:right w:val="single" w:color="auto" w:sz="4" w:space="0"/>
              <w:tl2br w:val="nil"/>
              <w:tr2bl w:val="nil"/>
            </w:tcBorders>
            <w:vAlign w:val="center"/>
          </w:tcPr>
          <w:p w14:paraId="27F422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文件系统支持</w:t>
            </w:r>
          </w:p>
        </w:tc>
        <w:tc>
          <w:tcPr>
            <w:tcW w:w="4653" w:type="dxa"/>
            <w:tcBorders>
              <w:top w:val="nil"/>
              <w:left w:val="nil"/>
              <w:bottom w:val="single" w:color="auto" w:sz="4" w:space="0"/>
              <w:right w:val="single" w:color="auto" w:sz="4" w:space="0"/>
              <w:tl2br w:val="nil"/>
              <w:tr2bl w:val="nil"/>
            </w:tcBorders>
            <w:vAlign w:val="center"/>
          </w:tcPr>
          <w:p w14:paraId="11DE93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操作系统支持XFS、EXT3、EXT4、NTFS、FAT32等文件系统，支持相应格式分区创建、删除、格式化等</w:t>
            </w:r>
          </w:p>
        </w:tc>
      </w:tr>
      <w:tr w14:paraId="68C2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87949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7D99B8E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5EFA3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日志式文件系统</w:t>
            </w:r>
          </w:p>
        </w:tc>
        <w:tc>
          <w:tcPr>
            <w:tcW w:w="4653" w:type="dxa"/>
            <w:tcBorders>
              <w:top w:val="nil"/>
              <w:left w:val="nil"/>
              <w:bottom w:val="single" w:color="auto" w:sz="4" w:space="0"/>
              <w:right w:val="single" w:color="auto" w:sz="4" w:space="0"/>
              <w:tl2br w:val="nil"/>
              <w:tr2bl w:val="nil"/>
            </w:tcBorders>
            <w:vAlign w:val="center"/>
          </w:tcPr>
          <w:p w14:paraId="2DAC25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操作系统支持日志式文件系统</w:t>
            </w:r>
          </w:p>
        </w:tc>
      </w:tr>
      <w:tr w14:paraId="0889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DA7C9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510DF08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63C4F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文件处理能力</w:t>
            </w:r>
          </w:p>
        </w:tc>
        <w:tc>
          <w:tcPr>
            <w:tcW w:w="4653" w:type="dxa"/>
            <w:tcBorders>
              <w:top w:val="nil"/>
              <w:left w:val="nil"/>
              <w:bottom w:val="single" w:color="auto" w:sz="4" w:space="0"/>
              <w:right w:val="single" w:color="auto" w:sz="4" w:space="0"/>
              <w:tl2br w:val="nil"/>
              <w:tr2bl w:val="nil"/>
            </w:tcBorders>
            <w:vAlign w:val="center"/>
          </w:tcPr>
          <w:p w14:paraId="0CD8DB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操作系统支持最大文件不小于4TB，最大分区与文件系统不小于10PB，最大文件名长度不小于255字节</w:t>
            </w:r>
          </w:p>
        </w:tc>
      </w:tr>
      <w:tr w14:paraId="04A3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12F92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0AB4EDAA">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2E97F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分区大小调整</w:t>
            </w:r>
          </w:p>
        </w:tc>
        <w:tc>
          <w:tcPr>
            <w:tcW w:w="4653" w:type="dxa"/>
            <w:tcBorders>
              <w:top w:val="nil"/>
              <w:left w:val="nil"/>
              <w:bottom w:val="single" w:color="auto" w:sz="4" w:space="0"/>
              <w:right w:val="single" w:color="auto" w:sz="4" w:space="0"/>
              <w:tl2br w:val="nil"/>
              <w:tr2bl w:val="nil"/>
            </w:tcBorders>
            <w:vAlign w:val="center"/>
          </w:tcPr>
          <w:p w14:paraId="664FFA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操作系统支持动态调整分区大小，对系统分区容量进行改变</w:t>
            </w:r>
          </w:p>
        </w:tc>
      </w:tr>
      <w:tr w14:paraId="2E14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6217E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0CCB4A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应用开发运行环境</w:t>
            </w:r>
          </w:p>
        </w:tc>
        <w:tc>
          <w:tcPr>
            <w:tcW w:w="1985" w:type="dxa"/>
            <w:tcBorders>
              <w:top w:val="nil"/>
              <w:left w:val="nil"/>
              <w:bottom w:val="single" w:color="auto" w:sz="4" w:space="0"/>
              <w:right w:val="single" w:color="auto" w:sz="4" w:space="0"/>
              <w:tl2br w:val="nil"/>
              <w:tr2bl w:val="nil"/>
            </w:tcBorders>
            <w:vAlign w:val="center"/>
          </w:tcPr>
          <w:p w14:paraId="207907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集成开发环境/开发框架</w:t>
            </w:r>
          </w:p>
        </w:tc>
        <w:tc>
          <w:tcPr>
            <w:tcW w:w="4653" w:type="dxa"/>
            <w:tcBorders>
              <w:top w:val="nil"/>
              <w:left w:val="nil"/>
              <w:bottom w:val="single" w:color="auto" w:sz="4" w:space="0"/>
              <w:right w:val="single" w:color="auto" w:sz="4" w:space="0"/>
              <w:tl2br w:val="nil"/>
              <w:tr2bl w:val="nil"/>
            </w:tcBorders>
            <w:vAlign w:val="center"/>
          </w:tcPr>
          <w:p w14:paraId="78B169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操作系统通过内置、软件仓库或附加光盘等方式提供开发环境，包括Qt、Eclipse、VSCode等</w:t>
            </w:r>
          </w:p>
        </w:tc>
      </w:tr>
      <w:tr w14:paraId="3A67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A4C10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7EF35D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EC36B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开发工具库</w:t>
            </w:r>
          </w:p>
        </w:tc>
        <w:tc>
          <w:tcPr>
            <w:tcW w:w="4653" w:type="dxa"/>
            <w:tcBorders>
              <w:top w:val="nil"/>
              <w:left w:val="nil"/>
              <w:bottom w:val="single" w:color="auto" w:sz="4" w:space="0"/>
              <w:right w:val="single" w:color="auto" w:sz="4" w:space="0"/>
              <w:tl2br w:val="nil"/>
              <w:tr2bl w:val="nil"/>
            </w:tcBorders>
            <w:vAlign w:val="center"/>
          </w:tcPr>
          <w:p w14:paraId="1F59F5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操作系统通过内置、软件仓库或附加光盘等方式提供开发库，包括GNUC、GNUC++、Java、Qt、Gtk+、Cairo、OpenGL、Perl、Python、Ruby、Rust、Golang、JS等</w:t>
            </w:r>
          </w:p>
        </w:tc>
      </w:tr>
      <w:tr w14:paraId="2DB3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D382F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936E07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E1954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编译器开发工具</w:t>
            </w:r>
          </w:p>
        </w:tc>
        <w:tc>
          <w:tcPr>
            <w:tcW w:w="4653" w:type="dxa"/>
            <w:tcBorders>
              <w:top w:val="nil"/>
              <w:left w:val="nil"/>
              <w:bottom w:val="single" w:color="auto" w:sz="4" w:space="0"/>
              <w:right w:val="single" w:color="auto" w:sz="4" w:space="0"/>
              <w:tl2br w:val="nil"/>
              <w:tr2bl w:val="nil"/>
            </w:tcBorders>
            <w:vAlign w:val="center"/>
          </w:tcPr>
          <w:p w14:paraId="36C7B2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操作系统通过内置、软件仓库或附加光盘等方式提供编译开发工具，包括GCC、G++、Binutils、GDB、Make、CMake等</w:t>
            </w:r>
          </w:p>
        </w:tc>
      </w:tr>
      <w:tr w14:paraId="0758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E31F7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A2FE5B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360A6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文本编辑工具</w:t>
            </w:r>
          </w:p>
        </w:tc>
        <w:tc>
          <w:tcPr>
            <w:tcW w:w="4653" w:type="dxa"/>
            <w:tcBorders>
              <w:top w:val="nil"/>
              <w:left w:val="nil"/>
              <w:bottom w:val="single" w:color="auto" w:sz="4" w:space="0"/>
              <w:right w:val="single" w:color="auto" w:sz="4" w:space="0"/>
              <w:tl2br w:val="nil"/>
              <w:tr2bl w:val="nil"/>
            </w:tcBorders>
            <w:vAlign w:val="center"/>
          </w:tcPr>
          <w:p w14:paraId="6CD897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操作系统通过内置、软件仓库或附加光盘等方式提供文本编辑工具，包括Emacs、Vim等</w:t>
            </w:r>
          </w:p>
        </w:tc>
      </w:tr>
      <w:tr w14:paraId="251D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F1C4F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87789D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5B905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软件包管理</w:t>
            </w:r>
          </w:p>
        </w:tc>
        <w:tc>
          <w:tcPr>
            <w:tcW w:w="4653" w:type="dxa"/>
            <w:tcBorders>
              <w:top w:val="nil"/>
              <w:left w:val="nil"/>
              <w:bottom w:val="single" w:color="auto" w:sz="4" w:space="0"/>
              <w:right w:val="single" w:color="auto" w:sz="4" w:space="0"/>
              <w:tl2br w:val="nil"/>
              <w:tr2bl w:val="nil"/>
            </w:tcBorders>
            <w:vAlign w:val="center"/>
          </w:tcPr>
          <w:p w14:paraId="544906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操作系统支持查询软件包描述和包含文件，以及软件包依赖；支持在安装时自动提示并下载安装缺失的依赖软件包</w:t>
            </w:r>
          </w:p>
        </w:tc>
      </w:tr>
      <w:tr w14:paraId="34B1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6564E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65C036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EC7CE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开发文档</w:t>
            </w:r>
          </w:p>
        </w:tc>
        <w:tc>
          <w:tcPr>
            <w:tcW w:w="4653" w:type="dxa"/>
            <w:tcBorders>
              <w:top w:val="nil"/>
              <w:left w:val="nil"/>
              <w:bottom w:val="single" w:color="auto" w:sz="4" w:space="0"/>
              <w:right w:val="single" w:color="auto" w:sz="4" w:space="0"/>
              <w:tl2br w:val="nil"/>
              <w:tr2bl w:val="nil"/>
            </w:tcBorders>
            <w:vAlign w:val="center"/>
          </w:tcPr>
          <w:p w14:paraId="75A673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乙方应提供软件开发参考文档、驱动开发参考文档、应用移植开发文档、API文档</w:t>
            </w:r>
          </w:p>
        </w:tc>
      </w:tr>
      <w:tr w14:paraId="29DA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D0A63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3A4F18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服务支持</w:t>
            </w:r>
          </w:p>
        </w:tc>
        <w:tc>
          <w:tcPr>
            <w:tcW w:w="1985" w:type="dxa"/>
            <w:tcBorders>
              <w:top w:val="nil"/>
              <w:left w:val="nil"/>
              <w:bottom w:val="single" w:color="auto" w:sz="4" w:space="0"/>
              <w:right w:val="single" w:color="auto" w:sz="4" w:space="0"/>
              <w:tl2br w:val="nil"/>
              <w:tr2bl w:val="nil"/>
            </w:tcBorders>
            <w:vAlign w:val="center"/>
          </w:tcPr>
          <w:p w14:paraId="00D038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网络服务</w:t>
            </w:r>
          </w:p>
        </w:tc>
        <w:tc>
          <w:tcPr>
            <w:tcW w:w="4653" w:type="dxa"/>
            <w:tcBorders>
              <w:top w:val="nil"/>
              <w:left w:val="nil"/>
              <w:bottom w:val="single" w:color="auto" w:sz="4" w:space="0"/>
              <w:right w:val="single" w:color="auto" w:sz="4" w:space="0"/>
              <w:tl2br w:val="nil"/>
              <w:tr2bl w:val="nil"/>
            </w:tcBorders>
            <w:vAlign w:val="center"/>
          </w:tcPr>
          <w:p w14:paraId="458B7E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操作系统支持TCP/UDP</w:t>
            </w:r>
          </w:p>
        </w:tc>
      </w:tr>
      <w:tr w14:paraId="517A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CBDF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4C671F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AE99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网络共享</w:t>
            </w:r>
          </w:p>
        </w:tc>
        <w:tc>
          <w:tcPr>
            <w:tcW w:w="4653" w:type="dxa"/>
            <w:tcBorders>
              <w:top w:val="nil"/>
              <w:left w:val="nil"/>
              <w:bottom w:val="single" w:color="auto" w:sz="4" w:space="0"/>
              <w:right w:val="single" w:color="auto" w:sz="4" w:space="0"/>
              <w:tl2br w:val="nil"/>
              <w:tr2bl w:val="nil"/>
            </w:tcBorders>
            <w:vAlign w:val="center"/>
          </w:tcPr>
          <w:p w14:paraId="687D64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操作系统支持基于NFS、SMB、FTP、CIFS等协议的数据网络共享服务</w:t>
            </w:r>
          </w:p>
        </w:tc>
      </w:tr>
      <w:tr w14:paraId="30C2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2A1D4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27DF0F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77862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WEB服务</w:t>
            </w:r>
          </w:p>
        </w:tc>
        <w:tc>
          <w:tcPr>
            <w:tcW w:w="4653" w:type="dxa"/>
            <w:tcBorders>
              <w:top w:val="nil"/>
              <w:left w:val="nil"/>
              <w:bottom w:val="single" w:color="auto" w:sz="4" w:space="0"/>
              <w:right w:val="single" w:color="auto" w:sz="4" w:space="0"/>
              <w:tl2br w:val="nil"/>
              <w:tr2bl w:val="nil"/>
            </w:tcBorders>
            <w:vAlign w:val="center"/>
          </w:tcPr>
          <w:p w14:paraId="632C5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操作系统支持基于HTTP、HTTPS、FastCGI等协议WEB服务</w:t>
            </w:r>
          </w:p>
        </w:tc>
      </w:tr>
      <w:tr w14:paraId="4BFE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74B7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000361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6F2F5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加密传输服务</w:t>
            </w:r>
          </w:p>
        </w:tc>
        <w:tc>
          <w:tcPr>
            <w:tcW w:w="4653" w:type="dxa"/>
            <w:tcBorders>
              <w:top w:val="nil"/>
              <w:left w:val="nil"/>
              <w:bottom w:val="single" w:color="auto" w:sz="4" w:space="0"/>
              <w:right w:val="single" w:color="auto" w:sz="4" w:space="0"/>
              <w:tl2br w:val="nil"/>
              <w:tr2bl w:val="nil"/>
            </w:tcBorders>
            <w:vAlign w:val="center"/>
          </w:tcPr>
          <w:p w14:paraId="0F71B7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操作系统支持基于IPSec和SSL协议的隧道加密传输服务</w:t>
            </w:r>
          </w:p>
        </w:tc>
      </w:tr>
      <w:tr w14:paraId="23DD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4D765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48B700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568F9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数字证书服务</w:t>
            </w:r>
          </w:p>
        </w:tc>
        <w:tc>
          <w:tcPr>
            <w:tcW w:w="4653" w:type="dxa"/>
            <w:tcBorders>
              <w:top w:val="nil"/>
              <w:left w:val="nil"/>
              <w:bottom w:val="single" w:color="auto" w:sz="4" w:space="0"/>
              <w:right w:val="single" w:color="auto" w:sz="4" w:space="0"/>
              <w:tl2br w:val="nil"/>
              <w:tr2bl w:val="nil"/>
            </w:tcBorders>
            <w:vAlign w:val="center"/>
          </w:tcPr>
          <w:p w14:paraId="1EBB1B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操作系统支持基于PKI体系的数字证书服务</w:t>
            </w:r>
          </w:p>
        </w:tc>
      </w:tr>
      <w:tr w14:paraId="1046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E634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A1194C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7FB64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访问控制服务</w:t>
            </w:r>
          </w:p>
        </w:tc>
        <w:tc>
          <w:tcPr>
            <w:tcW w:w="4653" w:type="dxa"/>
            <w:tcBorders>
              <w:top w:val="nil"/>
              <w:left w:val="nil"/>
              <w:bottom w:val="single" w:color="auto" w:sz="4" w:space="0"/>
              <w:right w:val="single" w:color="auto" w:sz="4" w:space="0"/>
              <w:tl2br w:val="nil"/>
              <w:tr2bl w:val="nil"/>
            </w:tcBorders>
            <w:vAlign w:val="center"/>
          </w:tcPr>
          <w:p w14:paraId="69796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操作系统支持基于RBAC(基于角色的访问控制)机制的访问控制服务</w:t>
            </w:r>
          </w:p>
        </w:tc>
      </w:tr>
      <w:tr w14:paraId="234C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6EBF0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CDE514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65365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网络管理服务</w:t>
            </w:r>
          </w:p>
        </w:tc>
        <w:tc>
          <w:tcPr>
            <w:tcW w:w="4653" w:type="dxa"/>
            <w:tcBorders>
              <w:top w:val="nil"/>
              <w:left w:val="nil"/>
              <w:bottom w:val="single" w:color="auto" w:sz="4" w:space="0"/>
              <w:right w:val="single" w:color="auto" w:sz="4" w:space="0"/>
              <w:tl2br w:val="nil"/>
              <w:tr2bl w:val="nil"/>
            </w:tcBorders>
            <w:vAlign w:val="center"/>
          </w:tcPr>
          <w:p w14:paraId="35A7C9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操作系统支持基于SNMP、NETCONF、RESTCONF等协议的网络管理服务</w:t>
            </w:r>
          </w:p>
        </w:tc>
      </w:tr>
      <w:tr w14:paraId="7888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295FB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A66AAB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E4696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时间同步服务</w:t>
            </w:r>
          </w:p>
        </w:tc>
        <w:tc>
          <w:tcPr>
            <w:tcW w:w="4653" w:type="dxa"/>
            <w:tcBorders>
              <w:top w:val="nil"/>
              <w:left w:val="nil"/>
              <w:bottom w:val="single" w:color="auto" w:sz="4" w:space="0"/>
              <w:right w:val="single" w:color="auto" w:sz="4" w:space="0"/>
              <w:tl2br w:val="nil"/>
              <w:tr2bl w:val="nil"/>
            </w:tcBorders>
            <w:vAlign w:val="center"/>
          </w:tcPr>
          <w:p w14:paraId="1E0FC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操作系统支持基于NTP协议网络时间同步服务</w:t>
            </w:r>
          </w:p>
        </w:tc>
      </w:tr>
      <w:tr w14:paraId="6BE8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B59AE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ADD0C4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0BD9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远程连接服务</w:t>
            </w:r>
          </w:p>
        </w:tc>
        <w:tc>
          <w:tcPr>
            <w:tcW w:w="4653" w:type="dxa"/>
            <w:tcBorders>
              <w:top w:val="nil"/>
              <w:left w:val="nil"/>
              <w:bottom w:val="single" w:color="auto" w:sz="4" w:space="0"/>
              <w:right w:val="single" w:color="auto" w:sz="4" w:space="0"/>
              <w:tl2br w:val="nil"/>
              <w:tr2bl w:val="nil"/>
            </w:tcBorders>
            <w:vAlign w:val="center"/>
          </w:tcPr>
          <w:p w14:paraId="58B6EE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操作系统支持RPC、rsync、SSH等远程服务</w:t>
            </w:r>
          </w:p>
        </w:tc>
      </w:tr>
      <w:tr w14:paraId="510B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CC860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05B60C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E78C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邮件服务</w:t>
            </w:r>
          </w:p>
        </w:tc>
        <w:tc>
          <w:tcPr>
            <w:tcW w:w="4653" w:type="dxa"/>
            <w:tcBorders>
              <w:top w:val="nil"/>
              <w:left w:val="nil"/>
              <w:bottom w:val="single" w:color="auto" w:sz="4" w:space="0"/>
              <w:right w:val="single" w:color="auto" w:sz="4" w:space="0"/>
              <w:tl2br w:val="nil"/>
              <w:tr2bl w:val="nil"/>
            </w:tcBorders>
            <w:vAlign w:val="center"/>
          </w:tcPr>
          <w:p w14:paraId="7887FB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操作系统支持基于SMTP、POP3、IMAP等的邮件服务</w:t>
            </w:r>
          </w:p>
        </w:tc>
      </w:tr>
      <w:tr w14:paraId="4E7A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8C051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C135B2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931CA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op w:val="nil"/>
              <w:left w:val="nil"/>
              <w:bottom w:val="single" w:color="auto" w:sz="4" w:space="0"/>
              <w:right w:val="single" w:color="auto" w:sz="4" w:space="0"/>
              <w:tl2br w:val="nil"/>
              <w:tr2bl w:val="nil"/>
            </w:tcBorders>
            <w:vAlign w:val="center"/>
          </w:tcPr>
          <w:p w14:paraId="147560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操作系统支持基于轻量级目录访问协议的统一身份鉴别服务</w:t>
            </w:r>
          </w:p>
        </w:tc>
      </w:tr>
      <w:tr w14:paraId="1190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8B8AD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CD5412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6B502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op w:val="nil"/>
              <w:left w:val="nil"/>
              <w:bottom w:val="single" w:color="auto" w:sz="4" w:space="0"/>
              <w:right w:val="single" w:color="auto" w:sz="4" w:space="0"/>
              <w:tl2br w:val="nil"/>
              <w:tr2bl w:val="nil"/>
            </w:tcBorders>
            <w:vAlign w:val="center"/>
          </w:tcPr>
          <w:p w14:paraId="0AE33F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操作系统支持结构化和非结构化格式数据的存储和查询服务</w:t>
            </w:r>
          </w:p>
        </w:tc>
      </w:tr>
      <w:tr w14:paraId="3AA5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9E5A6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42A186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38BE8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op w:val="nil"/>
              <w:left w:val="nil"/>
              <w:bottom w:val="single" w:color="auto" w:sz="4" w:space="0"/>
              <w:right w:val="single" w:color="auto" w:sz="4" w:space="0"/>
              <w:tl2br w:val="nil"/>
              <w:tr2bl w:val="nil"/>
            </w:tcBorders>
            <w:vAlign w:val="center"/>
          </w:tcPr>
          <w:p w14:paraId="65E762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操作系统支持块、文件、对象等类型的数据存储服务</w:t>
            </w:r>
          </w:p>
        </w:tc>
      </w:tr>
      <w:tr w14:paraId="3396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6D282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E0A2FA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99BE6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op w:val="nil"/>
              <w:left w:val="nil"/>
              <w:bottom w:val="single" w:color="auto" w:sz="4" w:space="0"/>
              <w:right w:val="single" w:color="auto" w:sz="4" w:space="0"/>
              <w:tl2br w:val="nil"/>
              <w:tr2bl w:val="nil"/>
            </w:tcBorders>
            <w:vAlign w:val="center"/>
          </w:tcPr>
          <w:p w14:paraId="30DC70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操作系统支持SQL、NoSQL、键值等类型的数据库</w:t>
            </w:r>
          </w:p>
        </w:tc>
      </w:tr>
      <w:tr w14:paraId="57CB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8F35B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BFB8B1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A9D52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存储服务</w:t>
            </w:r>
          </w:p>
        </w:tc>
        <w:tc>
          <w:tcPr>
            <w:tcW w:w="4653" w:type="dxa"/>
            <w:tcBorders>
              <w:top w:val="nil"/>
              <w:left w:val="nil"/>
              <w:bottom w:val="single" w:color="auto" w:sz="4" w:space="0"/>
              <w:right w:val="single" w:color="auto" w:sz="4" w:space="0"/>
              <w:tl2br w:val="nil"/>
              <w:tr2bl w:val="nil"/>
            </w:tcBorders>
            <w:vAlign w:val="center"/>
          </w:tcPr>
          <w:p w14:paraId="7286EE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操作系统支持多种传输速率和存储协议的SAN和NAS存储</w:t>
            </w:r>
          </w:p>
        </w:tc>
      </w:tr>
      <w:tr w14:paraId="5B5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EA44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3217CC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C365F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op w:val="nil"/>
              <w:left w:val="nil"/>
              <w:bottom w:val="single" w:color="auto" w:sz="4" w:space="0"/>
              <w:right w:val="single" w:color="auto" w:sz="4" w:space="0"/>
              <w:tl2br w:val="nil"/>
              <w:tr2bl w:val="nil"/>
            </w:tcBorders>
            <w:vAlign w:val="center"/>
          </w:tcPr>
          <w:p w14:paraId="4E75BF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操作系统支持服务基于主备机制的分布式集群、高可用集群的部署模式</w:t>
            </w:r>
          </w:p>
        </w:tc>
      </w:tr>
      <w:tr w14:paraId="5305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E4096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95489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97A91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op w:val="nil"/>
              <w:left w:val="nil"/>
              <w:bottom w:val="single" w:color="auto" w:sz="4" w:space="0"/>
              <w:right w:val="single" w:color="auto" w:sz="4" w:space="0"/>
              <w:tl2br w:val="nil"/>
              <w:tr2bl w:val="nil"/>
            </w:tcBorders>
            <w:vAlign w:val="center"/>
          </w:tcPr>
          <w:p w14:paraId="2FB268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操作系统支持服务基于分布式通信协议的分布式集群、高可用集群的部署模式</w:t>
            </w:r>
          </w:p>
        </w:tc>
      </w:tr>
      <w:tr w14:paraId="6F53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4AA8F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1125CB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45993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op w:val="nil"/>
              <w:left w:val="nil"/>
              <w:bottom w:val="single" w:color="auto" w:sz="4" w:space="0"/>
              <w:right w:val="single" w:color="auto" w:sz="4" w:space="0"/>
              <w:tl2br w:val="nil"/>
              <w:tr2bl w:val="nil"/>
            </w:tcBorders>
            <w:vAlign w:val="center"/>
          </w:tcPr>
          <w:p w14:paraId="2B4B71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操作系统支持基于虚拟路由器冗余协议的高可用集群部署模式</w:t>
            </w:r>
          </w:p>
        </w:tc>
      </w:tr>
      <w:tr w14:paraId="71CB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CE51F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ED6784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0AD39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分布式服务</w:t>
            </w:r>
          </w:p>
        </w:tc>
        <w:tc>
          <w:tcPr>
            <w:tcW w:w="4653" w:type="dxa"/>
            <w:tcBorders>
              <w:top w:val="nil"/>
              <w:left w:val="nil"/>
              <w:bottom w:val="single" w:color="auto" w:sz="4" w:space="0"/>
              <w:right w:val="single" w:color="auto" w:sz="4" w:space="0"/>
              <w:tl2br w:val="nil"/>
              <w:tr2bl w:val="nil"/>
            </w:tcBorders>
            <w:vAlign w:val="center"/>
          </w:tcPr>
          <w:p w14:paraId="7EDDB3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操作系统支持基于同步、异步请求处理机制的分布式服务</w:t>
            </w:r>
          </w:p>
        </w:tc>
      </w:tr>
      <w:tr w14:paraId="250C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640EA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5F27B9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98F76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op w:val="nil"/>
              <w:left w:val="nil"/>
              <w:bottom w:val="single" w:color="auto" w:sz="4" w:space="0"/>
              <w:right w:val="single" w:color="auto" w:sz="4" w:space="0"/>
              <w:tl2br w:val="nil"/>
              <w:tr2bl w:val="nil"/>
            </w:tcBorders>
            <w:vAlign w:val="center"/>
          </w:tcPr>
          <w:p w14:paraId="7DBA72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操作系统支持基于OSI模型的4/7层和链路层的负载均衡模式</w:t>
            </w:r>
          </w:p>
        </w:tc>
      </w:tr>
      <w:tr w14:paraId="4F92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50D69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5349ED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774B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op w:val="nil"/>
              <w:left w:val="nil"/>
              <w:bottom w:val="single" w:color="auto" w:sz="4" w:space="0"/>
              <w:right w:val="single" w:color="auto" w:sz="4" w:space="0"/>
              <w:tl2br w:val="nil"/>
              <w:tr2bl w:val="nil"/>
            </w:tcBorders>
            <w:vAlign w:val="center"/>
          </w:tcPr>
          <w:p w14:paraId="76B078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操作系统支持基于不同调度算法的负载均衡模式</w:t>
            </w:r>
          </w:p>
        </w:tc>
      </w:tr>
      <w:tr w14:paraId="69E4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4F916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BEC811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5012D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高可用服务</w:t>
            </w:r>
          </w:p>
        </w:tc>
        <w:tc>
          <w:tcPr>
            <w:tcW w:w="4653" w:type="dxa"/>
            <w:tcBorders>
              <w:top w:val="nil"/>
              <w:left w:val="nil"/>
              <w:bottom w:val="single" w:color="auto" w:sz="4" w:space="0"/>
              <w:right w:val="single" w:color="auto" w:sz="4" w:space="0"/>
              <w:tl2br w:val="nil"/>
              <w:tr2bl w:val="nil"/>
            </w:tcBorders>
            <w:vAlign w:val="center"/>
          </w:tcPr>
          <w:p w14:paraId="61B7FC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操作系统提供对HA的支持，支持多种集群配置模式，包括主主模式、主备模式、N+1模式和N+M模式，支持资源及节点故障检测</w:t>
            </w:r>
          </w:p>
        </w:tc>
      </w:tr>
      <w:tr w14:paraId="0340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96BBB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11D3D4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w:t>
            </w:r>
          </w:p>
        </w:tc>
        <w:tc>
          <w:tcPr>
            <w:tcW w:w="1985" w:type="dxa"/>
            <w:tcBorders>
              <w:top w:val="nil"/>
              <w:left w:val="nil"/>
              <w:bottom w:val="single" w:color="auto" w:sz="4" w:space="0"/>
              <w:right w:val="single" w:color="auto" w:sz="4" w:space="0"/>
              <w:tl2br w:val="nil"/>
              <w:tr2bl w:val="nil"/>
            </w:tcBorders>
            <w:vAlign w:val="center"/>
          </w:tcPr>
          <w:p w14:paraId="68FB14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虚拟化部署</w:t>
            </w:r>
          </w:p>
        </w:tc>
        <w:tc>
          <w:tcPr>
            <w:tcW w:w="4653" w:type="dxa"/>
            <w:tcBorders>
              <w:top w:val="nil"/>
              <w:left w:val="nil"/>
              <w:bottom w:val="single" w:color="auto" w:sz="4" w:space="0"/>
              <w:right w:val="single" w:color="auto" w:sz="4" w:space="0"/>
              <w:tl2br w:val="nil"/>
              <w:tr2bl w:val="nil"/>
            </w:tcBorders>
            <w:vAlign w:val="center"/>
          </w:tcPr>
          <w:p w14:paraId="0E7F13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操作系统支持在KVM、Xen、Hyper-V虚拟机上安装部署操作系统</w:t>
            </w:r>
          </w:p>
        </w:tc>
      </w:tr>
      <w:tr w14:paraId="60F7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DFA25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D31B96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C4F10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内核虚拟化(KVM)</w:t>
            </w:r>
          </w:p>
        </w:tc>
        <w:tc>
          <w:tcPr>
            <w:tcW w:w="4653" w:type="dxa"/>
            <w:tcBorders>
              <w:top w:val="nil"/>
              <w:left w:val="nil"/>
              <w:bottom w:val="single" w:color="auto" w:sz="4" w:space="0"/>
              <w:right w:val="single" w:color="auto" w:sz="4" w:space="0"/>
              <w:tl2br w:val="nil"/>
              <w:tr2bl w:val="nil"/>
            </w:tcBorders>
            <w:vAlign w:val="center"/>
          </w:tcPr>
          <w:p w14:paraId="68C236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操作系统支持KVM虚拟化：对虚拟机进行启、停等管理操作；对虚拟机硬盘做快照并从快照恢复；兼容qemu、libvirt标准接口；</w:t>
            </w:r>
          </w:p>
          <w:p w14:paraId="26B3D6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支持UEFI或legacyBIOS方式启动；</w:t>
            </w:r>
          </w:p>
          <w:p w14:paraId="640635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支持虚拟时钟arch-timer；</w:t>
            </w:r>
          </w:p>
          <w:p w14:paraId="486182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支持虚拟鼠标、键盘、触控板、声卡、显卡、硬盘、CDROM、串口pty/pipe/file等设备；</w:t>
            </w:r>
          </w:p>
          <w:p w14:paraId="5EADA6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支持Virtio协议下的虚拟设备，包括串口、blk驱动硬盘、SCSI驱动硬盘、不同后端控制器类型的Virtio网卡(包括内核态、用户态、qemu)、GPU、vsock设备等；</w:t>
            </w:r>
          </w:p>
          <w:p w14:paraId="6A9BFA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支持硬盘和网卡选择类型VFIO设备；</w:t>
            </w:r>
          </w:p>
          <w:p w14:paraId="20A6FD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支持虚拟机CPU、内存、网卡、硬盘等离线调整；</w:t>
            </w:r>
          </w:p>
          <w:p w14:paraId="111990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支持虚拟机网卡、硬盘、USB设备热插拔；</w:t>
            </w:r>
          </w:p>
          <w:p w14:paraId="241FC7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支持PCI/PCIE设备直通；</w:t>
            </w:r>
          </w:p>
          <w:p w14:paraId="1F9E12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支持虚拟机热迁移和加密传输；</w:t>
            </w:r>
          </w:p>
          <w:p w14:paraId="4117B2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支持虚拟机远程访问；支持虚拟机CPU和I/O线程绑定</w:t>
            </w:r>
          </w:p>
        </w:tc>
      </w:tr>
      <w:tr w14:paraId="7BCB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2A46C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320AD7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0A773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KVM虚拟机管理</w:t>
            </w:r>
          </w:p>
        </w:tc>
        <w:tc>
          <w:tcPr>
            <w:tcW w:w="4653" w:type="dxa"/>
            <w:tcBorders>
              <w:top w:val="nil"/>
              <w:left w:val="nil"/>
              <w:bottom w:val="single" w:color="auto" w:sz="4" w:space="0"/>
              <w:right w:val="single" w:color="auto" w:sz="4" w:space="0"/>
              <w:tl2br w:val="nil"/>
              <w:tr2bl w:val="nil"/>
            </w:tcBorders>
            <w:vAlign w:val="center"/>
          </w:tcPr>
          <w:p w14:paraId="551E1A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1CD0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805DD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559" w:type="dxa"/>
            <w:tcBorders>
              <w:top w:val="nil"/>
              <w:left w:val="nil"/>
              <w:bottom w:val="single" w:color="auto" w:sz="4" w:space="0"/>
              <w:right w:val="single" w:color="auto" w:sz="4" w:space="0"/>
              <w:tl2br w:val="nil"/>
              <w:tr2bl w:val="nil"/>
            </w:tcBorders>
            <w:vAlign w:val="center"/>
          </w:tcPr>
          <w:p w14:paraId="055CC0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op w:val="nil"/>
              <w:left w:val="nil"/>
              <w:bottom w:val="single" w:color="auto" w:sz="4" w:space="0"/>
              <w:right w:val="single" w:color="auto" w:sz="4" w:space="0"/>
              <w:tl2br w:val="nil"/>
              <w:tr2bl w:val="nil"/>
            </w:tcBorders>
            <w:vAlign w:val="center"/>
          </w:tcPr>
          <w:p w14:paraId="1AF52C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容器虚拟化</w:t>
            </w:r>
          </w:p>
        </w:tc>
        <w:tc>
          <w:tcPr>
            <w:tcW w:w="4653" w:type="dxa"/>
            <w:tcBorders>
              <w:top w:val="nil"/>
              <w:left w:val="nil"/>
              <w:bottom w:val="single" w:color="auto" w:sz="4" w:space="0"/>
              <w:right w:val="single" w:color="auto" w:sz="4" w:space="0"/>
              <w:tl2br w:val="nil"/>
              <w:tr2bl w:val="nil"/>
            </w:tcBorders>
            <w:vAlign w:val="center"/>
          </w:tcPr>
          <w:p w14:paraId="2D55AA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6C9D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BC61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559" w:type="dxa"/>
            <w:tcBorders>
              <w:top w:val="nil"/>
              <w:left w:val="nil"/>
              <w:bottom w:val="single" w:color="auto" w:sz="4" w:space="0"/>
              <w:right w:val="single" w:color="auto" w:sz="4" w:space="0"/>
              <w:tl2br w:val="nil"/>
              <w:tr2bl w:val="nil"/>
            </w:tcBorders>
            <w:vAlign w:val="center"/>
          </w:tcPr>
          <w:p w14:paraId="360FFF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op w:val="nil"/>
              <w:left w:val="nil"/>
              <w:bottom w:val="single" w:color="auto" w:sz="4" w:space="0"/>
              <w:right w:val="single" w:color="auto" w:sz="4" w:space="0"/>
              <w:tl2br w:val="nil"/>
              <w:tr2bl w:val="nil"/>
            </w:tcBorders>
            <w:vAlign w:val="center"/>
          </w:tcPr>
          <w:p w14:paraId="75D29E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容器镜像和存储管理</w:t>
            </w:r>
          </w:p>
        </w:tc>
        <w:tc>
          <w:tcPr>
            <w:tcW w:w="4653" w:type="dxa"/>
            <w:tcBorders>
              <w:top w:val="nil"/>
              <w:left w:val="nil"/>
              <w:bottom w:val="single" w:color="auto" w:sz="4" w:space="0"/>
              <w:right w:val="single" w:color="auto" w:sz="4" w:space="0"/>
              <w:tl2br w:val="nil"/>
              <w:tr2bl w:val="nil"/>
            </w:tcBorders>
            <w:vAlign w:val="center"/>
          </w:tcPr>
          <w:p w14:paraId="15B03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操作系统支持容器镜像导入、导出；支持容器镜像分层保存、导入</w:t>
            </w:r>
          </w:p>
        </w:tc>
      </w:tr>
      <w:tr w14:paraId="4FFD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78BB1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559" w:type="dxa"/>
            <w:tcBorders>
              <w:top w:val="nil"/>
              <w:left w:val="nil"/>
              <w:bottom w:val="single" w:color="auto" w:sz="4" w:space="0"/>
              <w:right w:val="single" w:color="auto" w:sz="4" w:space="0"/>
              <w:tl2br w:val="nil"/>
              <w:tr2bl w:val="nil"/>
            </w:tcBorders>
            <w:vAlign w:val="center"/>
          </w:tcPr>
          <w:p w14:paraId="082EC9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op w:val="nil"/>
              <w:left w:val="nil"/>
              <w:bottom w:val="single" w:color="auto" w:sz="4" w:space="0"/>
              <w:right w:val="single" w:color="auto" w:sz="4" w:space="0"/>
              <w:tl2br w:val="nil"/>
              <w:tr2bl w:val="nil"/>
            </w:tcBorders>
            <w:vAlign w:val="center"/>
          </w:tcPr>
          <w:p w14:paraId="5CC38B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容器资源隔离和调配</w:t>
            </w:r>
          </w:p>
        </w:tc>
        <w:tc>
          <w:tcPr>
            <w:tcW w:w="4653" w:type="dxa"/>
            <w:tcBorders>
              <w:top w:val="nil"/>
              <w:left w:val="nil"/>
              <w:bottom w:val="single" w:color="auto" w:sz="4" w:space="0"/>
              <w:right w:val="single" w:color="auto" w:sz="4" w:space="0"/>
              <w:tl2br w:val="nil"/>
              <w:tr2bl w:val="nil"/>
            </w:tcBorders>
            <w:vAlign w:val="center"/>
          </w:tcPr>
          <w:p w14:paraId="4B11E3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3A64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34FB6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70F4B9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中文支持</w:t>
            </w:r>
          </w:p>
        </w:tc>
        <w:tc>
          <w:tcPr>
            <w:tcW w:w="1985" w:type="dxa"/>
            <w:tcBorders>
              <w:top w:val="nil"/>
              <w:left w:val="nil"/>
              <w:bottom w:val="single" w:color="auto" w:sz="4" w:space="0"/>
              <w:right w:val="single" w:color="auto" w:sz="4" w:space="0"/>
              <w:tl2br w:val="nil"/>
              <w:tr2bl w:val="nil"/>
            </w:tcBorders>
            <w:vAlign w:val="center"/>
          </w:tcPr>
          <w:p w14:paraId="148EAD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字符编码集</w:t>
            </w:r>
          </w:p>
        </w:tc>
        <w:tc>
          <w:tcPr>
            <w:tcW w:w="4653" w:type="dxa"/>
            <w:tcBorders>
              <w:top w:val="nil"/>
              <w:left w:val="nil"/>
              <w:bottom w:val="single" w:color="auto" w:sz="4" w:space="0"/>
              <w:right w:val="single" w:color="auto" w:sz="4" w:space="0"/>
              <w:tl2br w:val="nil"/>
              <w:tr2bl w:val="nil"/>
            </w:tcBorders>
            <w:vAlign w:val="center"/>
          </w:tcPr>
          <w:p w14:paraId="14EA1F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操作系统应符合GB18030的要求</w:t>
            </w:r>
          </w:p>
        </w:tc>
      </w:tr>
      <w:tr w14:paraId="512F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08204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B8D99B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CE6B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中文帮助文档</w:t>
            </w:r>
          </w:p>
        </w:tc>
        <w:tc>
          <w:tcPr>
            <w:tcW w:w="4653" w:type="dxa"/>
            <w:tcBorders>
              <w:top w:val="nil"/>
              <w:left w:val="nil"/>
              <w:bottom w:val="single" w:color="auto" w:sz="4" w:space="0"/>
              <w:right w:val="single" w:color="auto" w:sz="4" w:space="0"/>
              <w:tl2br w:val="nil"/>
              <w:tr2bl w:val="nil"/>
            </w:tcBorders>
            <w:vAlign w:val="center"/>
          </w:tcPr>
          <w:p w14:paraId="2F33F8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操作系统内置中文帮助文档</w:t>
            </w:r>
          </w:p>
        </w:tc>
      </w:tr>
      <w:tr w14:paraId="4DC2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ABDCF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4DE49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0A933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系统信息查看工具</w:t>
            </w:r>
          </w:p>
        </w:tc>
        <w:tc>
          <w:tcPr>
            <w:tcW w:w="4653" w:type="dxa"/>
            <w:tcBorders>
              <w:top w:val="nil"/>
              <w:left w:val="nil"/>
              <w:bottom w:val="single" w:color="auto" w:sz="4" w:space="0"/>
              <w:right w:val="single" w:color="auto" w:sz="4" w:space="0"/>
              <w:tl2br w:val="nil"/>
              <w:tr2bl w:val="nil"/>
            </w:tcBorders>
            <w:vAlign w:val="center"/>
          </w:tcPr>
          <w:p w14:paraId="385BF2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操作系统支持查看系统版本、内核版本、内存容量、CPU型号等信息</w:t>
            </w:r>
          </w:p>
        </w:tc>
      </w:tr>
      <w:tr w14:paraId="404C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F8CD1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58A3AC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管理工具</w:t>
            </w:r>
          </w:p>
        </w:tc>
        <w:tc>
          <w:tcPr>
            <w:tcW w:w="1985" w:type="dxa"/>
            <w:tcBorders>
              <w:top w:val="nil"/>
              <w:left w:val="nil"/>
              <w:bottom w:val="single" w:color="auto" w:sz="4" w:space="0"/>
              <w:right w:val="single" w:color="auto" w:sz="4" w:space="0"/>
              <w:tl2br w:val="nil"/>
              <w:tr2bl w:val="nil"/>
            </w:tcBorders>
            <w:vAlign w:val="center"/>
          </w:tcPr>
          <w:p w14:paraId="3EFBB7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网络管理工具</w:t>
            </w:r>
          </w:p>
        </w:tc>
        <w:tc>
          <w:tcPr>
            <w:tcW w:w="4653" w:type="dxa"/>
            <w:tcBorders>
              <w:top w:val="nil"/>
              <w:left w:val="nil"/>
              <w:bottom w:val="single" w:color="auto" w:sz="4" w:space="0"/>
              <w:right w:val="single" w:color="auto" w:sz="4" w:space="0"/>
              <w:tl2br w:val="nil"/>
              <w:tr2bl w:val="nil"/>
            </w:tcBorders>
            <w:vAlign w:val="center"/>
          </w:tcPr>
          <w:p w14:paraId="1F9D27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操作系统支持多网口自动连接、网络地址（常被称为“IP地址”）设置、DNS设置、路由设置；支持多网卡链路聚合，模式类型包括但不仅限于轮询、主备、802.3AD动态链路聚合</w:t>
            </w:r>
          </w:p>
        </w:tc>
      </w:tr>
      <w:tr w14:paraId="5308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EB098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0FD75F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3F80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日期和时间管理工具</w:t>
            </w:r>
          </w:p>
        </w:tc>
        <w:tc>
          <w:tcPr>
            <w:tcW w:w="4653" w:type="dxa"/>
            <w:tcBorders>
              <w:top w:val="nil"/>
              <w:left w:val="nil"/>
              <w:bottom w:val="single" w:color="auto" w:sz="4" w:space="0"/>
              <w:right w:val="single" w:color="auto" w:sz="4" w:space="0"/>
              <w:tl2br w:val="nil"/>
              <w:tr2bl w:val="nil"/>
            </w:tcBorders>
            <w:vAlign w:val="center"/>
          </w:tcPr>
          <w:p w14:paraId="337A64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操作系统可设置时间同步服务器地址，支持局域网和广域网的同步设置</w:t>
            </w:r>
          </w:p>
        </w:tc>
      </w:tr>
      <w:tr w14:paraId="392E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A3B5A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064A6A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83E1B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日志服务管理工具</w:t>
            </w:r>
          </w:p>
        </w:tc>
        <w:tc>
          <w:tcPr>
            <w:tcW w:w="4653" w:type="dxa"/>
            <w:tcBorders>
              <w:top w:val="nil"/>
              <w:left w:val="nil"/>
              <w:bottom w:val="single" w:color="auto" w:sz="4" w:space="0"/>
              <w:right w:val="single" w:color="auto" w:sz="4" w:space="0"/>
              <w:tl2br w:val="nil"/>
              <w:tr2bl w:val="nil"/>
            </w:tcBorders>
            <w:vAlign w:val="center"/>
          </w:tcPr>
          <w:p w14:paraId="5CE0D0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操作系统支持收集系统日志</w:t>
            </w:r>
          </w:p>
        </w:tc>
      </w:tr>
      <w:tr w14:paraId="33BB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A6F9B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141C3A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42D26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帐户管理工具</w:t>
            </w:r>
          </w:p>
        </w:tc>
        <w:tc>
          <w:tcPr>
            <w:tcW w:w="4653" w:type="dxa"/>
            <w:tcBorders>
              <w:top w:val="nil"/>
              <w:left w:val="nil"/>
              <w:bottom w:val="single" w:color="auto" w:sz="4" w:space="0"/>
              <w:right w:val="single" w:color="auto" w:sz="4" w:space="0"/>
              <w:tl2br w:val="nil"/>
              <w:tr2bl w:val="nil"/>
            </w:tcBorders>
            <w:vAlign w:val="center"/>
          </w:tcPr>
          <w:p w14:paraId="12C596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操作系统支持帐户添加、删除、属性修改等</w:t>
            </w:r>
          </w:p>
        </w:tc>
      </w:tr>
      <w:tr w14:paraId="10E5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82488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2217AF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1426F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用户操作审计工具</w:t>
            </w:r>
          </w:p>
        </w:tc>
        <w:tc>
          <w:tcPr>
            <w:tcW w:w="4653" w:type="dxa"/>
            <w:tcBorders>
              <w:top w:val="nil"/>
              <w:left w:val="nil"/>
              <w:bottom w:val="single" w:color="auto" w:sz="4" w:space="0"/>
              <w:right w:val="single" w:color="auto" w:sz="4" w:space="0"/>
              <w:tl2br w:val="nil"/>
              <w:tr2bl w:val="nil"/>
            </w:tcBorders>
            <w:vAlign w:val="center"/>
          </w:tcPr>
          <w:p w14:paraId="66B469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操作系统支持用户操作痕迹查询</w:t>
            </w:r>
          </w:p>
        </w:tc>
      </w:tr>
      <w:tr w14:paraId="1D12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6D819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E47FC0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A6D32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存储管理工具</w:t>
            </w:r>
          </w:p>
        </w:tc>
        <w:tc>
          <w:tcPr>
            <w:tcW w:w="4653" w:type="dxa"/>
            <w:tcBorders>
              <w:top w:val="nil"/>
              <w:left w:val="nil"/>
              <w:bottom w:val="single" w:color="auto" w:sz="4" w:space="0"/>
              <w:right w:val="single" w:color="auto" w:sz="4" w:space="0"/>
              <w:tl2br w:val="nil"/>
              <w:tr2bl w:val="nil"/>
            </w:tcBorders>
            <w:vAlign w:val="center"/>
          </w:tcPr>
          <w:p w14:paraId="61A363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操作系统支持EXT、XFS、NTFS、FAT、SWAP等多种格式的分区管理</w:t>
            </w:r>
          </w:p>
        </w:tc>
      </w:tr>
      <w:tr w14:paraId="2CD2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F373C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BD1AD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EEB77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SNMP协议工具包</w:t>
            </w:r>
          </w:p>
        </w:tc>
        <w:tc>
          <w:tcPr>
            <w:tcW w:w="4653" w:type="dxa"/>
            <w:tcBorders>
              <w:top w:val="nil"/>
              <w:left w:val="nil"/>
              <w:bottom w:val="single" w:color="auto" w:sz="4" w:space="0"/>
              <w:right w:val="single" w:color="auto" w:sz="4" w:space="0"/>
              <w:tl2br w:val="nil"/>
              <w:tr2bl w:val="nil"/>
            </w:tcBorders>
            <w:vAlign w:val="center"/>
          </w:tcPr>
          <w:p w14:paraId="59AE48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操作系统支持SNMP设备和操作信息检索</w:t>
            </w:r>
          </w:p>
        </w:tc>
      </w:tr>
      <w:tr w14:paraId="040A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9FCF4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2EFDA5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C2DB6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文本终端连接工具</w:t>
            </w:r>
          </w:p>
        </w:tc>
        <w:tc>
          <w:tcPr>
            <w:tcW w:w="4653" w:type="dxa"/>
            <w:tcBorders>
              <w:top w:val="nil"/>
              <w:left w:val="nil"/>
              <w:bottom w:val="single" w:color="auto" w:sz="4" w:space="0"/>
              <w:right w:val="single" w:color="auto" w:sz="4" w:space="0"/>
              <w:tl2br w:val="nil"/>
              <w:tr2bl w:val="nil"/>
            </w:tcBorders>
            <w:vAlign w:val="center"/>
          </w:tcPr>
          <w:p w14:paraId="117706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操作系统支持多终端协同管理</w:t>
            </w:r>
          </w:p>
        </w:tc>
      </w:tr>
      <w:tr w14:paraId="47F8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106D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A8188D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FB0AE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服务管理工具集</w:t>
            </w:r>
          </w:p>
        </w:tc>
        <w:tc>
          <w:tcPr>
            <w:tcW w:w="4653" w:type="dxa"/>
            <w:tcBorders>
              <w:top w:val="nil"/>
              <w:left w:val="nil"/>
              <w:bottom w:val="single" w:color="auto" w:sz="4" w:space="0"/>
              <w:right w:val="single" w:color="auto" w:sz="4" w:space="0"/>
              <w:tl2br w:val="nil"/>
              <w:tr2bl w:val="nil"/>
            </w:tcBorders>
            <w:vAlign w:val="center"/>
          </w:tcPr>
          <w:p w14:paraId="2F59D3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操作系统支持服务启动与停止，查看服务状态及日志，查询服务启动顺序及依赖关系</w:t>
            </w:r>
          </w:p>
        </w:tc>
      </w:tr>
      <w:tr w14:paraId="05B4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DDCEA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0FB082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D44DE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配置管理工具</w:t>
            </w:r>
          </w:p>
        </w:tc>
        <w:tc>
          <w:tcPr>
            <w:tcW w:w="4653" w:type="dxa"/>
            <w:tcBorders>
              <w:top w:val="nil"/>
              <w:left w:val="nil"/>
              <w:bottom w:val="single" w:color="auto" w:sz="4" w:space="0"/>
              <w:right w:val="single" w:color="auto" w:sz="4" w:space="0"/>
              <w:tl2br w:val="nil"/>
              <w:tr2bl w:val="nil"/>
            </w:tcBorders>
            <w:vAlign w:val="center"/>
          </w:tcPr>
          <w:p w14:paraId="3B2922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操作系统提供配置管理工具，可以简化任务配置及服务管理</w:t>
            </w:r>
          </w:p>
        </w:tc>
      </w:tr>
      <w:tr w14:paraId="1546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25C2D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C8B63E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15894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监控管理工具</w:t>
            </w:r>
          </w:p>
        </w:tc>
        <w:tc>
          <w:tcPr>
            <w:tcW w:w="4653" w:type="dxa"/>
            <w:tcBorders>
              <w:top w:val="nil"/>
              <w:left w:val="nil"/>
              <w:bottom w:val="single" w:color="auto" w:sz="4" w:space="0"/>
              <w:right w:val="single" w:color="auto" w:sz="4" w:space="0"/>
              <w:tl2br w:val="nil"/>
              <w:tr2bl w:val="nil"/>
            </w:tcBorders>
            <w:vAlign w:val="center"/>
          </w:tcPr>
          <w:p w14:paraId="4CB2EF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操作系统支持监控系统资源使用情况，包含CPU、内存、存储I/O、网络I/O等</w:t>
            </w:r>
          </w:p>
        </w:tc>
      </w:tr>
      <w:tr w14:paraId="6D6C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1A1A3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A1B03E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5B25C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守护进程</w:t>
            </w:r>
          </w:p>
        </w:tc>
        <w:tc>
          <w:tcPr>
            <w:tcW w:w="4653" w:type="dxa"/>
            <w:tcBorders>
              <w:top w:val="nil"/>
              <w:left w:val="nil"/>
              <w:bottom w:val="single" w:color="auto" w:sz="4" w:space="0"/>
              <w:right w:val="single" w:color="auto" w:sz="4" w:space="0"/>
              <w:tl2br w:val="nil"/>
              <w:tr2bl w:val="nil"/>
            </w:tcBorders>
            <w:vAlign w:val="center"/>
          </w:tcPr>
          <w:p w14:paraId="28420F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操作系统支持按需启动守护进程，用户可自定义设定需求守护的进程，如遇异常可重新加载，实现应用持续运行</w:t>
            </w:r>
          </w:p>
        </w:tc>
      </w:tr>
      <w:tr w14:paraId="7D24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4CF3E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89</w:t>
            </w:r>
          </w:p>
        </w:tc>
        <w:tc>
          <w:tcPr>
            <w:tcW w:w="1559" w:type="dxa"/>
            <w:vMerge w:val="restart"/>
            <w:tcBorders>
              <w:top w:val="nil"/>
              <w:left w:val="single" w:color="auto" w:sz="4" w:space="0"/>
              <w:bottom w:val="nil"/>
              <w:right w:val="single" w:color="auto" w:sz="4" w:space="0"/>
              <w:tl2br w:val="nil"/>
              <w:tr2bl w:val="nil"/>
            </w:tcBorders>
            <w:vAlign w:val="center"/>
          </w:tcPr>
          <w:p w14:paraId="017809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基础组件兼容</w:t>
            </w:r>
          </w:p>
        </w:tc>
        <w:tc>
          <w:tcPr>
            <w:tcW w:w="1985" w:type="dxa"/>
            <w:tcBorders>
              <w:top w:val="nil"/>
              <w:left w:val="nil"/>
              <w:bottom w:val="single" w:color="auto" w:sz="4" w:space="0"/>
              <w:right w:val="single" w:color="auto" w:sz="4" w:space="0"/>
              <w:tl2br w:val="nil"/>
              <w:tr2bl w:val="nil"/>
            </w:tcBorders>
            <w:vAlign w:val="center"/>
          </w:tcPr>
          <w:p w14:paraId="4024C1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版本兼容</w:t>
            </w:r>
          </w:p>
        </w:tc>
        <w:tc>
          <w:tcPr>
            <w:tcW w:w="4653" w:type="dxa"/>
            <w:tcBorders>
              <w:top w:val="nil"/>
              <w:left w:val="nil"/>
              <w:bottom w:val="single" w:color="auto" w:sz="4" w:space="0"/>
              <w:right w:val="single" w:color="auto" w:sz="4" w:space="0"/>
              <w:tl2br w:val="nil"/>
              <w:tr2bl w:val="nil"/>
            </w:tcBorders>
            <w:vAlign w:val="center"/>
          </w:tcPr>
          <w:p w14:paraId="6262A0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操作系统基础运行库或开发环境向后（向下）兼容，即系统版本升级后，能兼容上一版本所运行的软件与设备</w:t>
            </w:r>
          </w:p>
        </w:tc>
      </w:tr>
      <w:tr w14:paraId="70D6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6B03E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90</w:t>
            </w:r>
          </w:p>
        </w:tc>
        <w:tc>
          <w:tcPr>
            <w:tcW w:w="1559" w:type="dxa"/>
            <w:vMerge w:val="continue"/>
            <w:tcBorders>
              <w:top w:val="nil"/>
              <w:left w:val="single" w:color="auto" w:sz="4" w:space="0"/>
              <w:bottom w:val="nil"/>
              <w:right w:val="single" w:color="auto" w:sz="4" w:space="0"/>
              <w:tl2br w:val="nil"/>
              <w:tr2bl w:val="nil"/>
            </w:tcBorders>
            <w:vAlign w:val="center"/>
          </w:tcPr>
          <w:p w14:paraId="319A3C3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0AF68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兼容周期</w:t>
            </w:r>
          </w:p>
        </w:tc>
        <w:tc>
          <w:tcPr>
            <w:tcW w:w="4653" w:type="dxa"/>
            <w:tcBorders>
              <w:top w:val="nil"/>
              <w:left w:val="nil"/>
              <w:bottom w:val="single" w:color="auto" w:sz="4" w:space="0"/>
              <w:right w:val="single" w:color="auto" w:sz="4" w:space="0"/>
              <w:tl2br w:val="nil"/>
              <w:tr2bl w:val="nil"/>
            </w:tcBorders>
            <w:vAlign w:val="center"/>
          </w:tcPr>
          <w:p w14:paraId="3F685C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操作系统主版本兼容维护时间自发布之日起不低于5年，包括但不限于安全修复、功能升级、新硬件支持等</w:t>
            </w:r>
          </w:p>
        </w:tc>
      </w:tr>
      <w:tr w14:paraId="7857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652F8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1559"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EC5BA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运行环境</w:t>
            </w:r>
          </w:p>
        </w:tc>
        <w:tc>
          <w:tcPr>
            <w:tcW w:w="1985" w:type="dxa"/>
            <w:tcBorders>
              <w:top w:val="nil"/>
              <w:left w:val="nil"/>
              <w:bottom w:val="single" w:color="auto" w:sz="4" w:space="0"/>
              <w:right w:val="single" w:color="auto" w:sz="4" w:space="0"/>
              <w:tl2br w:val="nil"/>
              <w:tr2bl w:val="nil"/>
            </w:tcBorders>
            <w:vAlign w:val="center"/>
          </w:tcPr>
          <w:p w14:paraId="375F16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文件系统层次结构</w:t>
            </w:r>
          </w:p>
        </w:tc>
        <w:tc>
          <w:tcPr>
            <w:tcW w:w="4653" w:type="dxa"/>
            <w:tcBorders>
              <w:top w:val="nil"/>
              <w:left w:val="nil"/>
              <w:bottom w:val="single" w:color="auto" w:sz="4" w:space="0"/>
              <w:right w:val="single" w:color="auto" w:sz="4" w:space="0"/>
              <w:tl2br w:val="nil"/>
              <w:tr2bl w:val="nil"/>
            </w:tcBorders>
            <w:vAlign w:val="center"/>
          </w:tcPr>
          <w:p w14:paraId="2D0597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乙方应给出长期兼容支持的文件系统层次结构</w:t>
            </w:r>
          </w:p>
        </w:tc>
      </w:tr>
      <w:tr w14:paraId="7FE5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EB2C9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77666F8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8B3B5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运行库</w:t>
            </w:r>
          </w:p>
        </w:tc>
        <w:tc>
          <w:tcPr>
            <w:tcW w:w="4653" w:type="dxa"/>
            <w:tcBorders>
              <w:top w:val="nil"/>
              <w:left w:val="nil"/>
              <w:bottom w:val="single" w:color="auto" w:sz="4" w:space="0"/>
              <w:right w:val="single" w:color="auto" w:sz="4" w:space="0"/>
              <w:tl2br w:val="nil"/>
              <w:tr2bl w:val="nil"/>
            </w:tcBorders>
            <w:vAlign w:val="center"/>
          </w:tcPr>
          <w:p w14:paraId="283329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乙方应给出长期兼容支持的运行库</w:t>
            </w:r>
          </w:p>
        </w:tc>
      </w:tr>
      <w:tr w14:paraId="1C17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4539B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93</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22AC466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71543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命令</w:t>
            </w:r>
          </w:p>
        </w:tc>
        <w:tc>
          <w:tcPr>
            <w:tcW w:w="4653" w:type="dxa"/>
            <w:tcBorders>
              <w:top w:val="nil"/>
              <w:left w:val="nil"/>
              <w:bottom w:val="single" w:color="auto" w:sz="4" w:space="0"/>
              <w:right w:val="single" w:color="auto" w:sz="4" w:space="0"/>
              <w:tl2br w:val="nil"/>
              <w:tr2bl w:val="nil"/>
            </w:tcBorders>
            <w:vAlign w:val="center"/>
          </w:tcPr>
          <w:p w14:paraId="52CA52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乙方应给出长期兼容支持的常用命令</w:t>
            </w:r>
          </w:p>
        </w:tc>
      </w:tr>
      <w:tr w14:paraId="55B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95476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94</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584A30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w:t>
            </w:r>
          </w:p>
        </w:tc>
        <w:tc>
          <w:tcPr>
            <w:tcW w:w="1985" w:type="dxa"/>
            <w:tcBorders>
              <w:top w:val="nil"/>
              <w:left w:val="nil"/>
              <w:bottom w:val="single" w:color="auto" w:sz="4" w:space="0"/>
              <w:right w:val="single" w:color="auto" w:sz="4" w:space="0"/>
              <w:tl2br w:val="nil"/>
              <w:tr2bl w:val="nil"/>
            </w:tcBorders>
            <w:vAlign w:val="center"/>
          </w:tcPr>
          <w:p w14:paraId="24BC30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集群软件</w:t>
            </w:r>
          </w:p>
        </w:tc>
        <w:tc>
          <w:tcPr>
            <w:tcW w:w="4653" w:type="dxa"/>
            <w:tcBorders>
              <w:top w:val="nil"/>
              <w:left w:val="nil"/>
              <w:bottom w:val="single" w:color="auto" w:sz="4" w:space="0"/>
              <w:right w:val="single" w:color="auto" w:sz="4" w:space="0"/>
              <w:tl2br w:val="nil"/>
              <w:tr2bl w:val="nil"/>
            </w:tcBorders>
            <w:vAlign w:val="center"/>
          </w:tcPr>
          <w:p w14:paraId="560902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乙方提供兼容的集群软件清单，且至少兼容一款产品</w:t>
            </w:r>
          </w:p>
        </w:tc>
      </w:tr>
      <w:tr w14:paraId="2929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7C8ED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D75824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BCAEC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虚拟化云平台</w:t>
            </w:r>
          </w:p>
        </w:tc>
        <w:tc>
          <w:tcPr>
            <w:tcW w:w="4653" w:type="dxa"/>
            <w:tcBorders>
              <w:top w:val="nil"/>
              <w:left w:val="nil"/>
              <w:bottom w:val="single" w:color="auto" w:sz="4" w:space="0"/>
              <w:right w:val="single" w:color="auto" w:sz="4" w:space="0"/>
              <w:tl2br w:val="nil"/>
              <w:tr2bl w:val="nil"/>
            </w:tcBorders>
            <w:vAlign w:val="center"/>
          </w:tcPr>
          <w:p w14:paraId="51FE72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乙方提供兼容的虚拟化平台软件清单，且至少兼容三款产品</w:t>
            </w:r>
          </w:p>
        </w:tc>
      </w:tr>
      <w:tr w14:paraId="1D34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2B549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1663D4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2663D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容器云</w:t>
            </w:r>
          </w:p>
        </w:tc>
        <w:tc>
          <w:tcPr>
            <w:tcW w:w="4653" w:type="dxa"/>
            <w:tcBorders>
              <w:top w:val="nil"/>
              <w:left w:val="nil"/>
              <w:bottom w:val="single" w:color="auto" w:sz="4" w:space="0"/>
              <w:right w:val="single" w:color="auto" w:sz="4" w:space="0"/>
              <w:tl2br w:val="nil"/>
              <w:tr2bl w:val="nil"/>
            </w:tcBorders>
            <w:vAlign w:val="center"/>
          </w:tcPr>
          <w:p w14:paraId="13D893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乙方提供兼容的容器云软件清单，且至少兼容三款产品</w:t>
            </w:r>
          </w:p>
        </w:tc>
      </w:tr>
      <w:tr w14:paraId="092A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74996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551E2B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C6896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存储软件</w:t>
            </w:r>
          </w:p>
        </w:tc>
        <w:tc>
          <w:tcPr>
            <w:tcW w:w="4653" w:type="dxa"/>
            <w:tcBorders>
              <w:top w:val="nil"/>
              <w:left w:val="nil"/>
              <w:bottom w:val="single" w:color="auto" w:sz="4" w:space="0"/>
              <w:right w:val="single" w:color="auto" w:sz="4" w:space="0"/>
              <w:tl2br w:val="nil"/>
              <w:tr2bl w:val="nil"/>
            </w:tcBorders>
            <w:vAlign w:val="center"/>
          </w:tcPr>
          <w:p w14:paraId="621169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乙方提供兼容的存储软件清单，且至少兼容一款产品</w:t>
            </w:r>
          </w:p>
        </w:tc>
      </w:tr>
      <w:tr w14:paraId="588B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8FA1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2766A0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578F1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数据库管理系统</w:t>
            </w:r>
          </w:p>
        </w:tc>
        <w:tc>
          <w:tcPr>
            <w:tcW w:w="4653" w:type="dxa"/>
            <w:tcBorders>
              <w:top w:val="nil"/>
              <w:left w:val="nil"/>
              <w:bottom w:val="single" w:color="auto" w:sz="4" w:space="0"/>
              <w:right w:val="single" w:color="auto" w:sz="4" w:space="0"/>
              <w:tl2br w:val="nil"/>
              <w:tr2bl w:val="nil"/>
            </w:tcBorders>
            <w:vAlign w:val="center"/>
          </w:tcPr>
          <w:p w14:paraId="5B20C2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乙方提供兼容的数据库软件清单，且至少兼容三款产品</w:t>
            </w:r>
          </w:p>
        </w:tc>
      </w:tr>
      <w:tr w14:paraId="193E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4B837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6E112D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FA2FE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w:t>
            </w:r>
          </w:p>
        </w:tc>
        <w:tc>
          <w:tcPr>
            <w:tcW w:w="4653" w:type="dxa"/>
            <w:tcBorders>
              <w:top w:val="nil"/>
              <w:left w:val="nil"/>
              <w:bottom w:val="single" w:color="auto" w:sz="4" w:space="0"/>
              <w:right w:val="single" w:color="auto" w:sz="4" w:space="0"/>
              <w:tl2br w:val="nil"/>
              <w:tr2bl w:val="nil"/>
            </w:tcBorders>
            <w:vAlign w:val="center"/>
          </w:tcPr>
          <w:p w14:paraId="7BDBD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乙方提供兼容的中间件软件清单，且至少兼容三款产品</w:t>
            </w:r>
          </w:p>
        </w:tc>
      </w:tr>
      <w:tr w14:paraId="1FCF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B7B02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3962C6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7E0A2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运维平台</w:t>
            </w:r>
          </w:p>
        </w:tc>
        <w:tc>
          <w:tcPr>
            <w:tcW w:w="4653" w:type="dxa"/>
            <w:tcBorders>
              <w:top w:val="nil"/>
              <w:left w:val="nil"/>
              <w:bottom w:val="single" w:color="auto" w:sz="4" w:space="0"/>
              <w:right w:val="single" w:color="auto" w:sz="4" w:space="0"/>
              <w:tl2br w:val="nil"/>
              <w:tr2bl w:val="nil"/>
            </w:tcBorders>
            <w:vAlign w:val="center"/>
          </w:tcPr>
          <w:p w14:paraId="6D7E42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乙方提供兼容的运维平台软件清单，且至少兼容一款产品</w:t>
            </w:r>
          </w:p>
        </w:tc>
      </w:tr>
      <w:tr w14:paraId="309E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A53CF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4E43FB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75D2E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备份软件</w:t>
            </w:r>
          </w:p>
        </w:tc>
        <w:tc>
          <w:tcPr>
            <w:tcW w:w="4653" w:type="dxa"/>
            <w:tcBorders>
              <w:top w:val="nil"/>
              <w:left w:val="nil"/>
              <w:bottom w:val="single" w:color="auto" w:sz="4" w:space="0"/>
              <w:right w:val="single" w:color="auto" w:sz="4" w:space="0"/>
              <w:tl2br w:val="nil"/>
              <w:tr2bl w:val="nil"/>
            </w:tcBorders>
            <w:vAlign w:val="center"/>
          </w:tcPr>
          <w:p w14:paraId="4E6BDD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乙方提供兼容的备份恢复软件清单，且至少兼容一款产品</w:t>
            </w:r>
          </w:p>
        </w:tc>
      </w:tr>
      <w:tr w14:paraId="2EE9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DA3DE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3D5EB0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D532E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大数据平台</w:t>
            </w:r>
          </w:p>
        </w:tc>
        <w:tc>
          <w:tcPr>
            <w:tcW w:w="4653" w:type="dxa"/>
            <w:tcBorders>
              <w:top w:val="nil"/>
              <w:left w:val="nil"/>
              <w:bottom w:val="single" w:color="auto" w:sz="4" w:space="0"/>
              <w:right w:val="single" w:color="auto" w:sz="4" w:space="0"/>
              <w:tl2br w:val="nil"/>
              <w:tr2bl w:val="nil"/>
            </w:tcBorders>
            <w:vAlign w:val="center"/>
          </w:tcPr>
          <w:p w14:paraId="4E03CE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乙方提供兼容的大数据平台软件清单，且至少兼容一款产品</w:t>
            </w:r>
          </w:p>
        </w:tc>
      </w:tr>
      <w:tr w14:paraId="6122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1F59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36A247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31951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终端防护及杀毒</w:t>
            </w:r>
          </w:p>
        </w:tc>
        <w:tc>
          <w:tcPr>
            <w:tcW w:w="4653" w:type="dxa"/>
            <w:tcBorders>
              <w:top w:val="nil"/>
              <w:left w:val="nil"/>
              <w:bottom w:val="single" w:color="auto" w:sz="4" w:space="0"/>
              <w:right w:val="single" w:color="auto" w:sz="4" w:space="0"/>
              <w:tl2br w:val="nil"/>
              <w:tr2bl w:val="nil"/>
            </w:tcBorders>
            <w:vAlign w:val="center"/>
          </w:tcPr>
          <w:p w14:paraId="30AF5D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乙方提供兼容的终端防护及杀毒软件清单，且至少兼容一款产品</w:t>
            </w:r>
          </w:p>
        </w:tc>
      </w:tr>
      <w:tr w14:paraId="6056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DACC7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DB397E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B3834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网络防护</w:t>
            </w:r>
          </w:p>
        </w:tc>
        <w:tc>
          <w:tcPr>
            <w:tcW w:w="4653" w:type="dxa"/>
            <w:tcBorders>
              <w:top w:val="nil"/>
              <w:left w:val="nil"/>
              <w:bottom w:val="single" w:color="auto" w:sz="4" w:space="0"/>
              <w:right w:val="single" w:color="auto" w:sz="4" w:space="0"/>
              <w:tl2br w:val="nil"/>
              <w:tr2bl w:val="nil"/>
            </w:tcBorders>
            <w:vAlign w:val="center"/>
          </w:tcPr>
          <w:p w14:paraId="2AEF34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乙方提供兼容的网络防护软件清单，且至少兼容一款产品</w:t>
            </w:r>
          </w:p>
        </w:tc>
      </w:tr>
      <w:tr w14:paraId="512B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BA5A2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4D5256A">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79EE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身份认证</w:t>
            </w:r>
          </w:p>
        </w:tc>
        <w:tc>
          <w:tcPr>
            <w:tcW w:w="4653" w:type="dxa"/>
            <w:tcBorders>
              <w:top w:val="nil"/>
              <w:left w:val="nil"/>
              <w:bottom w:val="single" w:color="auto" w:sz="4" w:space="0"/>
              <w:right w:val="single" w:color="auto" w:sz="4" w:space="0"/>
              <w:tl2br w:val="nil"/>
              <w:tr2bl w:val="nil"/>
            </w:tcBorders>
            <w:vAlign w:val="center"/>
          </w:tcPr>
          <w:p w14:paraId="03060F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乙方提供兼容的身份认证软件清单，且至少兼容一款产品</w:t>
            </w:r>
          </w:p>
        </w:tc>
      </w:tr>
      <w:tr w14:paraId="7922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C0B69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39B960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EC3C0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服务器整机</w:t>
            </w:r>
          </w:p>
        </w:tc>
        <w:tc>
          <w:tcPr>
            <w:tcW w:w="4653" w:type="dxa"/>
            <w:tcBorders>
              <w:top w:val="nil"/>
              <w:left w:val="nil"/>
              <w:bottom w:val="single" w:color="auto" w:sz="4" w:space="0"/>
              <w:right w:val="single" w:color="auto" w:sz="4" w:space="0"/>
              <w:tl2br w:val="nil"/>
              <w:tr2bl w:val="nil"/>
            </w:tcBorders>
            <w:vAlign w:val="center"/>
          </w:tcPr>
          <w:p w14:paraId="48CEB5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乙方提供兼容的服务器整机品牌及型号清单，且至少兼容一款产品</w:t>
            </w:r>
          </w:p>
        </w:tc>
      </w:tr>
      <w:tr w14:paraId="3416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6A2C6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1DD031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82A5D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AI服务器</w:t>
            </w:r>
          </w:p>
        </w:tc>
        <w:tc>
          <w:tcPr>
            <w:tcW w:w="4653" w:type="dxa"/>
            <w:tcBorders>
              <w:top w:val="nil"/>
              <w:left w:val="nil"/>
              <w:bottom w:val="single" w:color="auto" w:sz="4" w:space="0"/>
              <w:right w:val="single" w:color="auto" w:sz="4" w:space="0"/>
              <w:tl2br w:val="nil"/>
              <w:tr2bl w:val="nil"/>
            </w:tcBorders>
            <w:vAlign w:val="center"/>
          </w:tcPr>
          <w:p w14:paraId="6892D4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乙方提供兼容的AI服务器整机品牌及型号清单，且至少兼容一款产品</w:t>
            </w:r>
          </w:p>
        </w:tc>
      </w:tr>
      <w:tr w14:paraId="7B05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8CDCA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8F2751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CA268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w:t>
            </w:r>
          </w:p>
        </w:tc>
        <w:tc>
          <w:tcPr>
            <w:tcW w:w="4653" w:type="dxa"/>
            <w:tcBorders>
              <w:top w:val="nil"/>
              <w:left w:val="nil"/>
              <w:bottom w:val="single" w:color="auto" w:sz="4" w:space="0"/>
              <w:right w:val="single" w:color="auto" w:sz="4" w:space="0"/>
              <w:tl2br w:val="nil"/>
              <w:tr2bl w:val="nil"/>
            </w:tcBorders>
            <w:vAlign w:val="center"/>
          </w:tcPr>
          <w:p w14:paraId="32F083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乙方提供兼容的存储服务器整机品牌及型号清单，且至少兼容一款产品</w:t>
            </w:r>
          </w:p>
        </w:tc>
      </w:tr>
      <w:tr w14:paraId="777C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6F717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0D9BB1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6E6F8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w:t>
            </w:r>
          </w:p>
        </w:tc>
        <w:tc>
          <w:tcPr>
            <w:tcW w:w="4653" w:type="dxa"/>
            <w:tcBorders>
              <w:top w:val="nil"/>
              <w:left w:val="nil"/>
              <w:bottom w:val="single" w:color="auto" w:sz="4" w:space="0"/>
              <w:right w:val="single" w:color="auto" w:sz="4" w:space="0"/>
              <w:tl2br w:val="nil"/>
              <w:tr2bl w:val="nil"/>
            </w:tcBorders>
            <w:vAlign w:val="center"/>
          </w:tcPr>
          <w:p w14:paraId="64F41A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乙方提供兼容的系统总线、HBA卡、RAID卡、网卡、光纤卡、AI加速卡、GPU、NPU等品牌及型号清单</w:t>
            </w:r>
          </w:p>
        </w:tc>
      </w:tr>
      <w:tr w14:paraId="412C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58834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1559" w:type="dxa"/>
            <w:tcBorders>
              <w:top w:val="nil"/>
              <w:left w:val="nil"/>
              <w:bottom w:val="single" w:color="auto" w:sz="4" w:space="0"/>
              <w:right w:val="single" w:color="auto" w:sz="4" w:space="0"/>
              <w:tl2br w:val="nil"/>
              <w:tr2bl w:val="nil"/>
            </w:tcBorders>
            <w:vAlign w:val="center"/>
          </w:tcPr>
          <w:p w14:paraId="06AF37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w:t>
            </w:r>
          </w:p>
        </w:tc>
        <w:tc>
          <w:tcPr>
            <w:tcW w:w="1985" w:type="dxa"/>
            <w:tcBorders>
              <w:top w:val="nil"/>
              <w:left w:val="nil"/>
              <w:bottom w:val="single" w:color="auto" w:sz="4" w:space="0"/>
              <w:right w:val="single" w:color="auto" w:sz="4" w:space="0"/>
              <w:tl2br w:val="nil"/>
              <w:tr2bl w:val="nil"/>
            </w:tcBorders>
            <w:vAlign w:val="center"/>
          </w:tcPr>
          <w:p w14:paraId="3B31E8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操作系统连续运行168小时</w:t>
            </w:r>
          </w:p>
        </w:tc>
        <w:tc>
          <w:tcPr>
            <w:tcW w:w="4653" w:type="dxa"/>
            <w:tcBorders>
              <w:top w:val="nil"/>
              <w:left w:val="nil"/>
              <w:bottom w:val="single" w:color="auto" w:sz="4" w:space="0"/>
              <w:right w:val="single" w:color="auto" w:sz="4" w:space="0"/>
              <w:tl2br w:val="nil"/>
              <w:tr2bl w:val="nil"/>
            </w:tcBorders>
            <w:vAlign w:val="center"/>
          </w:tcPr>
          <w:p w14:paraId="699C5A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操作系统高负载下连续常态运行≥168小时无故障</w:t>
            </w:r>
          </w:p>
        </w:tc>
      </w:tr>
      <w:tr w14:paraId="6DFF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05A17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559" w:type="dxa"/>
            <w:tcBorders>
              <w:top w:val="nil"/>
              <w:left w:val="nil"/>
              <w:bottom w:val="single" w:color="auto" w:sz="4" w:space="0"/>
              <w:right w:val="single" w:color="auto" w:sz="4" w:space="0"/>
              <w:tl2br w:val="nil"/>
              <w:tr2bl w:val="nil"/>
            </w:tcBorders>
            <w:vAlign w:val="center"/>
          </w:tcPr>
          <w:p w14:paraId="5F295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1985" w:type="dxa"/>
            <w:tcBorders>
              <w:top w:val="nil"/>
              <w:left w:val="nil"/>
              <w:bottom w:val="single" w:color="auto" w:sz="4" w:space="0"/>
              <w:right w:val="single" w:color="auto" w:sz="4" w:space="0"/>
              <w:tl2br w:val="nil"/>
              <w:tr2bl w:val="nil"/>
            </w:tcBorders>
            <w:vAlign w:val="center"/>
          </w:tcPr>
          <w:p w14:paraId="561075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4653" w:type="dxa"/>
            <w:tcBorders>
              <w:top w:val="nil"/>
              <w:left w:val="nil"/>
              <w:bottom w:val="single" w:color="auto" w:sz="4" w:space="0"/>
              <w:right w:val="single" w:color="auto" w:sz="4" w:space="0"/>
              <w:tl2br w:val="nil"/>
              <w:tr2bl w:val="nil"/>
            </w:tcBorders>
            <w:vAlign w:val="center"/>
          </w:tcPr>
          <w:p w14:paraId="019CA4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操作系统提供备份还原功能，支持生成系统状态快照及恢复系统状态</w:t>
            </w:r>
          </w:p>
        </w:tc>
      </w:tr>
      <w:tr w14:paraId="4556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80FF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559" w:type="dxa"/>
            <w:tcBorders>
              <w:top w:val="nil"/>
              <w:left w:val="nil"/>
              <w:bottom w:val="single" w:color="auto" w:sz="4" w:space="0"/>
              <w:right w:val="single" w:color="auto" w:sz="4" w:space="0"/>
              <w:tl2br w:val="nil"/>
              <w:tr2bl w:val="nil"/>
            </w:tcBorders>
            <w:vAlign w:val="center"/>
          </w:tcPr>
          <w:p w14:paraId="21A1F7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1985" w:type="dxa"/>
            <w:tcBorders>
              <w:top w:val="nil"/>
              <w:left w:val="nil"/>
              <w:bottom w:val="single" w:color="auto" w:sz="4" w:space="0"/>
              <w:right w:val="single" w:color="auto" w:sz="4" w:space="0"/>
              <w:tl2br w:val="nil"/>
              <w:tr2bl w:val="nil"/>
            </w:tcBorders>
            <w:vAlign w:val="center"/>
          </w:tcPr>
          <w:p w14:paraId="66FEBA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4653" w:type="dxa"/>
            <w:tcBorders>
              <w:top w:val="nil"/>
              <w:left w:val="nil"/>
              <w:bottom w:val="single" w:color="auto" w:sz="4" w:space="0"/>
              <w:right w:val="single" w:color="auto" w:sz="4" w:space="0"/>
              <w:tl2br w:val="nil"/>
              <w:tr2bl w:val="nil"/>
            </w:tcBorders>
            <w:vAlign w:val="center"/>
          </w:tcPr>
          <w:p w14:paraId="2AD012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操作系统支持DDR3、DDR4等内存上的ECC查错、纠错</w:t>
            </w:r>
          </w:p>
        </w:tc>
      </w:tr>
      <w:tr w14:paraId="26E1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CE4CA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559" w:type="dxa"/>
            <w:tcBorders>
              <w:top w:val="nil"/>
              <w:left w:val="nil"/>
              <w:bottom w:val="single" w:color="auto" w:sz="4" w:space="0"/>
              <w:right w:val="single" w:color="auto" w:sz="4" w:space="0"/>
              <w:tl2br w:val="nil"/>
              <w:tr2bl w:val="nil"/>
            </w:tcBorders>
            <w:vAlign w:val="center"/>
          </w:tcPr>
          <w:p w14:paraId="159EAA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5" w:type="dxa"/>
            <w:tcBorders>
              <w:top w:val="nil"/>
              <w:left w:val="nil"/>
              <w:bottom w:val="single" w:color="auto" w:sz="4" w:space="0"/>
              <w:right w:val="single" w:color="auto" w:sz="4" w:space="0"/>
              <w:tl2br w:val="nil"/>
              <w:tr2bl w:val="nil"/>
            </w:tcBorders>
            <w:vAlign w:val="center"/>
          </w:tcPr>
          <w:p w14:paraId="58FF8F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硬盘热插拔</w:t>
            </w:r>
          </w:p>
        </w:tc>
        <w:tc>
          <w:tcPr>
            <w:tcW w:w="4653" w:type="dxa"/>
            <w:tcBorders>
              <w:top w:val="nil"/>
              <w:left w:val="nil"/>
              <w:bottom w:val="single" w:color="auto" w:sz="4" w:space="0"/>
              <w:right w:val="single" w:color="auto" w:sz="4" w:space="0"/>
              <w:tl2br w:val="nil"/>
              <w:tr2bl w:val="nil"/>
            </w:tcBorders>
            <w:vAlign w:val="center"/>
          </w:tcPr>
          <w:p w14:paraId="690F9A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硬件支持时，操作系统支持硬盘热插拔</w:t>
            </w:r>
          </w:p>
        </w:tc>
      </w:tr>
      <w:tr w14:paraId="5821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22E7D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559" w:type="dxa"/>
            <w:vMerge w:val="restart"/>
            <w:tcBorders>
              <w:top w:val="nil"/>
              <w:left w:val="single" w:color="auto" w:sz="4" w:space="0"/>
              <w:bottom w:val="nil"/>
              <w:right w:val="single" w:color="auto" w:sz="4" w:space="0"/>
              <w:tl2br w:val="nil"/>
              <w:tr2bl w:val="nil"/>
            </w:tcBorders>
            <w:vAlign w:val="center"/>
          </w:tcPr>
          <w:p w14:paraId="30D5A8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维护工具</w:t>
            </w:r>
          </w:p>
        </w:tc>
        <w:tc>
          <w:tcPr>
            <w:tcW w:w="1985" w:type="dxa"/>
            <w:tcBorders>
              <w:top w:val="nil"/>
              <w:left w:val="nil"/>
              <w:bottom w:val="single" w:color="auto" w:sz="4" w:space="0"/>
              <w:right w:val="single" w:color="auto" w:sz="4" w:space="0"/>
              <w:tl2br w:val="nil"/>
              <w:tr2bl w:val="nil"/>
            </w:tcBorders>
            <w:vAlign w:val="center"/>
          </w:tcPr>
          <w:p w14:paraId="50A063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远程维护</w:t>
            </w:r>
          </w:p>
        </w:tc>
        <w:tc>
          <w:tcPr>
            <w:tcW w:w="4653" w:type="dxa"/>
            <w:tcBorders>
              <w:top w:val="nil"/>
              <w:left w:val="nil"/>
              <w:bottom w:val="single" w:color="auto" w:sz="4" w:space="0"/>
              <w:right w:val="single" w:color="auto" w:sz="4" w:space="0"/>
              <w:tl2br w:val="nil"/>
              <w:tr2bl w:val="nil"/>
            </w:tcBorders>
            <w:vAlign w:val="center"/>
          </w:tcPr>
          <w:p w14:paraId="6809A5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操作系统提供远程控制管理工具，支持RDP、SSH、SPICE、VNC等协议，方便用户进行文本或图形化形式的远程连接及维护</w:t>
            </w:r>
          </w:p>
        </w:tc>
      </w:tr>
      <w:tr w14:paraId="097F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4DD6D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559" w:type="dxa"/>
            <w:vMerge w:val="continue"/>
            <w:tcBorders>
              <w:top w:val="nil"/>
              <w:left w:val="single" w:color="auto" w:sz="4" w:space="0"/>
              <w:bottom w:val="nil"/>
              <w:right w:val="single" w:color="auto" w:sz="4" w:space="0"/>
              <w:tl2br w:val="nil"/>
              <w:tr2bl w:val="nil"/>
            </w:tcBorders>
            <w:vAlign w:val="center"/>
          </w:tcPr>
          <w:p w14:paraId="6D1387A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3ED6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文件完整检查</w:t>
            </w:r>
          </w:p>
        </w:tc>
        <w:tc>
          <w:tcPr>
            <w:tcW w:w="4653" w:type="dxa"/>
            <w:tcBorders>
              <w:top w:val="nil"/>
              <w:left w:val="nil"/>
              <w:bottom w:val="single" w:color="auto" w:sz="4" w:space="0"/>
              <w:right w:val="single" w:color="auto" w:sz="4" w:space="0"/>
              <w:tl2br w:val="nil"/>
              <w:tr2bl w:val="nil"/>
            </w:tcBorders>
            <w:vAlign w:val="center"/>
          </w:tcPr>
          <w:p w14:paraId="7F79E9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操作系统提供文件系统检查工具，对文件系统完整性进行检测和修复</w:t>
            </w:r>
          </w:p>
        </w:tc>
      </w:tr>
      <w:tr w14:paraId="6ECE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6DA3B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1559" w:type="dxa"/>
            <w:vMerge w:val="continue"/>
            <w:tcBorders>
              <w:top w:val="nil"/>
              <w:left w:val="single" w:color="auto" w:sz="4" w:space="0"/>
              <w:bottom w:val="nil"/>
              <w:right w:val="single" w:color="auto" w:sz="4" w:space="0"/>
              <w:tl2br w:val="nil"/>
              <w:tr2bl w:val="nil"/>
            </w:tcBorders>
            <w:vAlign w:val="center"/>
          </w:tcPr>
          <w:p w14:paraId="786A8B5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1F1F4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内核分析</w:t>
            </w:r>
          </w:p>
        </w:tc>
        <w:tc>
          <w:tcPr>
            <w:tcW w:w="4653" w:type="dxa"/>
            <w:tcBorders>
              <w:top w:val="nil"/>
              <w:left w:val="nil"/>
              <w:bottom w:val="single" w:color="auto" w:sz="4" w:space="0"/>
              <w:right w:val="single" w:color="auto" w:sz="4" w:space="0"/>
              <w:tl2br w:val="nil"/>
              <w:tr2bl w:val="nil"/>
            </w:tcBorders>
            <w:vAlign w:val="center"/>
          </w:tcPr>
          <w:p w14:paraId="0EDDA0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操作系统提供内核性能分析工具，提供性能分析框架，支持对内核函数层面进行分析；提供内核探测工具，支持对内核及用户态程序动态追踪</w:t>
            </w:r>
          </w:p>
        </w:tc>
      </w:tr>
      <w:tr w14:paraId="2C15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548E5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w:t>
            </w:r>
          </w:p>
        </w:tc>
        <w:tc>
          <w:tcPr>
            <w:tcW w:w="1559"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B0B2E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日志管理</w:t>
            </w:r>
          </w:p>
        </w:tc>
        <w:tc>
          <w:tcPr>
            <w:tcW w:w="1985" w:type="dxa"/>
            <w:tcBorders>
              <w:top w:val="nil"/>
              <w:left w:val="nil"/>
              <w:bottom w:val="single" w:color="auto" w:sz="4" w:space="0"/>
              <w:right w:val="single" w:color="auto" w:sz="4" w:space="0"/>
              <w:tl2br w:val="nil"/>
              <w:tr2bl w:val="nil"/>
            </w:tcBorders>
            <w:vAlign w:val="center"/>
          </w:tcPr>
          <w:p w14:paraId="14F13B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日志记录与存储</w:t>
            </w:r>
          </w:p>
        </w:tc>
        <w:tc>
          <w:tcPr>
            <w:tcW w:w="4653" w:type="dxa"/>
            <w:tcBorders>
              <w:top w:val="nil"/>
              <w:left w:val="nil"/>
              <w:bottom w:val="single" w:color="auto" w:sz="4" w:space="0"/>
              <w:right w:val="single" w:color="auto" w:sz="4" w:space="0"/>
              <w:tl2br w:val="nil"/>
              <w:tr2bl w:val="nil"/>
            </w:tcBorders>
            <w:vAlign w:val="center"/>
          </w:tcPr>
          <w:p w14:paraId="195D2A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操作系统支持对安全事件的日志记录，包括帐户增删改、成功登录、失败登录、敏感服务开启关闭、配置修改等，日志信息详实，包括所属用户、访问时间、访问地址等；</w:t>
            </w:r>
          </w:p>
          <w:p w14:paraId="407653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支持内核异常日志信息的记录和存储；</w:t>
            </w:r>
          </w:p>
          <w:p w14:paraId="6C5627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支持内核崩溃转储机制，系统崩溃时可收集整个内存信息；</w:t>
            </w:r>
          </w:p>
          <w:p w14:paraId="332492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支持配置远程日志功能，可将指定日志内容归档到日志服务器；</w:t>
            </w:r>
          </w:p>
          <w:p w14:paraId="4B7C00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支持对日志功能进行访问控制，防止未经授权的访问</w:t>
            </w:r>
          </w:p>
        </w:tc>
      </w:tr>
      <w:tr w14:paraId="41CC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66C0F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0F72201A">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0C2A1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日志处理与分析</w:t>
            </w:r>
          </w:p>
        </w:tc>
        <w:tc>
          <w:tcPr>
            <w:tcW w:w="4653" w:type="dxa"/>
            <w:tcBorders>
              <w:top w:val="nil"/>
              <w:left w:val="nil"/>
              <w:bottom w:val="single" w:color="auto" w:sz="4" w:space="0"/>
              <w:right w:val="single" w:color="auto" w:sz="4" w:space="0"/>
              <w:tl2br w:val="nil"/>
              <w:tr2bl w:val="nil"/>
            </w:tcBorders>
            <w:vAlign w:val="center"/>
          </w:tcPr>
          <w:p w14:paraId="11817A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操作系统提供系统错误问题回溯分析工具，对系统崩溃问题及错误问题进行回溯；支持日志切分、一键收集、转储、同步机制</w:t>
            </w:r>
          </w:p>
        </w:tc>
      </w:tr>
      <w:tr w14:paraId="7A15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3123B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w:t>
            </w:r>
          </w:p>
        </w:tc>
        <w:tc>
          <w:tcPr>
            <w:tcW w:w="1559" w:type="dxa"/>
            <w:tcBorders>
              <w:top w:val="nil"/>
              <w:left w:val="nil"/>
              <w:bottom w:val="single" w:color="auto" w:sz="4" w:space="0"/>
              <w:right w:val="single" w:color="auto" w:sz="4" w:space="0"/>
              <w:tl2br w:val="nil"/>
              <w:tr2bl w:val="nil"/>
            </w:tcBorders>
            <w:vAlign w:val="center"/>
          </w:tcPr>
          <w:p w14:paraId="4B3013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1985" w:type="dxa"/>
            <w:tcBorders>
              <w:top w:val="nil"/>
              <w:left w:val="nil"/>
              <w:bottom w:val="single" w:color="auto" w:sz="4" w:space="0"/>
              <w:right w:val="single" w:color="auto" w:sz="4" w:space="0"/>
              <w:tl2br w:val="nil"/>
              <w:tr2bl w:val="nil"/>
            </w:tcBorders>
            <w:vAlign w:val="center"/>
          </w:tcPr>
          <w:p w14:paraId="33861F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4653" w:type="dxa"/>
            <w:tcBorders>
              <w:top w:val="nil"/>
              <w:left w:val="nil"/>
              <w:bottom w:val="single" w:color="auto" w:sz="4" w:space="0"/>
              <w:right w:val="single" w:color="auto" w:sz="4" w:space="0"/>
              <w:tl2br w:val="nil"/>
              <w:tr2bl w:val="nil"/>
            </w:tcBorders>
            <w:vAlign w:val="center"/>
          </w:tcPr>
          <w:p w14:paraId="7C5743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53CD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5CAF1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w:t>
            </w:r>
          </w:p>
        </w:tc>
        <w:tc>
          <w:tcPr>
            <w:tcW w:w="1559" w:type="dxa"/>
            <w:tcBorders>
              <w:top w:val="nil"/>
              <w:left w:val="nil"/>
              <w:bottom w:val="single" w:color="auto" w:sz="4" w:space="0"/>
              <w:right w:val="single" w:color="auto" w:sz="4" w:space="0"/>
              <w:tl2br w:val="nil"/>
              <w:tr2bl w:val="nil"/>
            </w:tcBorders>
            <w:vAlign w:val="center"/>
          </w:tcPr>
          <w:p w14:paraId="7F4A09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1985" w:type="dxa"/>
            <w:tcBorders>
              <w:top w:val="nil"/>
              <w:left w:val="nil"/>
              <w:bottom w:val="single" w:color="auto" w:sz="4" w:space="0"/>
              <w:right w:val="single" w:color="auto" w:sz="4" w:space="0"/>
              <w:tl2br w:val="nil"/>
              <w:tr2bl w:val="nil"/>
            </w:tcBorders>
            <w:vAlign w:val="center"/>
          </w:tcPr>
          <w:p w14:paraId="7CB2FF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4653" w:type="dxa"/>
            <w:tcBorders>
              <w:top w:val="nil"/>
              <w:left w:val="nil"/>
              <w:bottom w:val="single" w:color="auto" w:sz="4" w:space="0"/>
              <w:right w:val="single" w:color="auto" w:sz="4" w:space="0"/>
              <w:tl2br w:val="nil"/>
              <w:tr2bl w:val="nil"/>
            </w:tcBorders>
            <w:vAlign w:val="center"/>
          </w:tcPr>
          <w:p w14:paraId="43EBC1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021D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4FBF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0B8DA4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系统升级</w:t>
            </w:r>
          </w:p>
        </w:tc>
        <w:tc>
          <w:tcPr>
            <w:tcW w:w="1985" w:type="dxa"/>
            <w:tcBorders>
              <w:top w:val="nil"/>
              <w:left w:val="nil"/>
              <w:bottom w:val="single" w:color="auto" w:sz="4" w:space="0"/>
              <w:right w:val="single" w:color="auto" w:sz="4" w:space="0"/>
              <w:tl2br w:val="nil"/>
              <w:tr2bl w:val="nil"/>
            </w:tcBorders>
            <w:vAlign w:val="center"/>
          </w:tcPr>
          <w:p w14:paraId="509B51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升级内容</w:t>
            </w:r>
          </w:p>
        </w:tc>
        <w:tc>
          <w:tcPr>
            <w:tcW w:w="4653" w:type="dxa"/>
            <w:tcBorders>
              <w:top w:val="nil"/>
              <w:left w:val="nil"/>
              <w:bottom w:val="single" w:color="auto" w:sz="4" w:space="0"/>
              <w:right w:val="single" w:color="auto" w:sz="4" w:space="0"/>
              <w:tl2br w:val="nil"/>
              <w:tr2bl w:val="nil"/>
            </w:tcBorders>
            <w:vAlign w:val="center"/>
          </w:tcPr>
          <w:p w14:paraId="67A8AF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操作系统支持系统增量升级功能，对系统部件、安全补丁等升级</w:t>
            </w:r>
          </w:p>
        </w:tc>
      </w:tr>
      <w:tr w14:paraId="335F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FAA97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99222A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BAF06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升级方式</w:t>
            </w:r>
          </w:p>
        </w:tc>
        <w:tc>
          <w:tcPr>
            <w:tcW w:w="4653" w:type="dxa"/>
            <w:tcBorders>
              <w:top w:val="nil"/>
              <w:left w:val="nil"/>
              <w:bottom w:val="single" w:color="auto" w:sz="4" w:space="0"/>
              <w:right w:val="single" w:color="auto" w:sz="4" w:space="0"/>
              <w:tl2br w:val="nil"/>
              <w:tr2bl w:val="nil"/>
            </w:tcBorders>
            <w:vAlign w:val="center"/>
          </w:tcPr>
          <w:p w14:paraId="5E3E00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操作系统支持在线升级和离线升级</w:t>
            </w:r>
          </w:p>
        </w:tc>
      </w:tr>
      <w:tr w14:paraId="57BC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B2576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8C25FB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7E7C5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op w:val="nil"/>
              <w:left w:val="nil"/>
              <w:bottom w:val="single" w:color="auto" w:sz="4" w:space="0"/>
              <w:right w:val="single" w:color="auto" w:sz="4" w:space="0"/>
              <w:tl2br w:val="nil"/>
              <w:tr2bl w:val="nil"/>
            </w:tcBorders>
            <w:vAlign w:val="center"/>
          </w:tcPr>
          <w:p w14:paraId="2EBF6E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操作系统升级不得修改破坏用户数据</w:t>
            </w:r>
          </w:p>
        </w:tc>
      </w:tr>
      <w:tr w14:paraId="669F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E164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452CC1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19DD3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兼容性</w:t>
            </w:r>
          </w:p>
        </w:tc>
        <w:tc>
          <w:tcPr>
            <w:tcW w:w="4653" w:type="dxa"/>
            <w:tcBorders>
              <w:top w:val="nil"/>
              <w:left w:val="nil"/>
              <w:bottom w:val="single" w:color="auto" w:sz="4" w:space="0"/>
              <w:right w:val="single" w:color="auto" w:sz="4" w:space="0"/>
              <w:tl2br w:val="nil"/>
              <w:tr2bl w:val="nil"/>
            </w:tcBorders>
            <w:vAlign w:val="center"/>
          </w:tcPr>
          <w:p w14:paraId="617D56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操作系统升级不得影响原有软硬件兼容性，如有影响应显式的提示告知用户</w:t>
            </w:r>
          </w:p>
        </w:tc>
      </w:tr>
      <w:tr w14:paraId="5FAB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C9B46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274A10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8102E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回退</w:t>
            </w:r>
          </w:p>
        </w:tc>
        <w:tc>
          <w:tcPr>
            <w:tcW w:w="4653" w:type="dxa"/>
            <w:tcBorders>
              <w:top w:val="nil"/>
              <w:left w:val="nil"/>
              <w:bottom w:val="single" w:color="auto" w:sz="4" w:space="0"/>
              <w:right w:val="single" w:color="auto" w:sz="4" w:space="0"/>
              <w:tl2br w:val="nil"/>
              <w:tr2bl w:val="nil"/>
            </w:tcBorders>
            <w:vAlign w:val="center"/>
          </w:tcPr>
          <w:p w14:paraId="28F55A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操作系统提供升级回退机制，能卸载已升级的软件包，恢复系统原有状态，如升级为不可回退，则系统升级前以显式的提示告知用户</w:t>
            </w:r>
          </w:p>
        </w:tc>
      </w:tr>
      <w:tr w14:paraId="260A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547E8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w:t>
            </w:r>
          </w:p>
        </w:tc>
        <w:tc>
          <w:tcPr>
            <w:tcW w:w="1559" w:type="dxa"/>
            <w:tcBorders>
              <w:top w:val="nil"/>
              <w:left w:val="nil"/>
              <w:bottom w:val="single" w:color="auto" w:sz="4" w:space="0"/>
              <w:right w:val="single" w:color="auto" w:sz="4" w:space="0"/>
              <w:tl2br w:val="nil"/>
              <w:tr2bl w:val="nil"/>
            </w:tcBorders>
            <w:vAlign w:val="center"/>
          </w:tcPr>
          <w:p w14:paraId="40FD9A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985" w:type="dxa"/>
            <w:tcBorders>
              <w:top w:val="nil"/>
              <w:left w:val="nil"/>
              <w:bottom w:val="single" w:color="auto" w:sz="4" w:space="0"/>
              <w:right w:val="single" w:color="auto" w:sz="4" w:space="0"/>
              <w:tl2br w:val="nil"/>
              <w:tr2bl w:val="nil"/>
            </w:tcBorders>
            <w:vAlign w:val="center"/>
          </w:tcPr>
          <w:p w14:paraId="142B7D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4653" w:type="dxa"/>
            <w:tcBorders>
              <w:top w:val="nil"/>
              <w:left w:val="nil"/>
              <w:bottom w:val="single" w:color="auto" w:sz="4" w:space="0"/>
              <w:right w:val="single" w:color="auto" w:sz="4" w:space="0"/>
              <w:tl2br w:val="nil"/>
              <w:tr2bl w:val="nil"/>
            </w:tcBorders>
            <w:vAlign w:val="center"/>
          </w:tcPr>
          <w:p w14:paraId="7051E5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乙方提供光盘、USB闪存盘、镜像文件（下载）等交付方式</w:t>
            </w:r>
          </w:p>
        </w:tc>
      </w:tr>
      <w:tr w14:paraId="1CF1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47077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04B127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985" w:type="dxa"/>
            <w:tcBorders>
              <w:top w:val="nil"/>
              <w:left w:val="nil"/>
              <w:bottom w:val="single" w:color="auto" w:sz="4" w:space="0"/>
              <w:right w:val="single" w:color="auto" w:sz="4" w:space="0"/>
              <w:tl2br w:val="nil"/>
              <w:tr2bl w:val="nil"/>
            </w:tcBorders>
            <w:vAlign w:val="center"/>
          </w:tcPr>
          <w:p w14:paraId="0DBD14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4653" w:type="dxa"/>
            <w:tcBorders>
              <w:top w:val="nil"/>
              <w:left w:val="nil"/>
              <w:bottom w:val="single" w:color="auto" w:sz="4" w:space="0"/>
              <w:right w:val="single" w:color="auto" w:sz="4" w:space="0"/>
              <w:tl2br w:val="nil"/>
              <w:tr2bl w:val="nil"/>
            </w:tcBorders>
            <w:vAlign w:val="center"/>
          </w:tcPr>
          <w:p w14:paraId="257F2B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90F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09C44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1346A2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96B25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4653" w:type="dxa"/>
            <w:tcBorders>
              <w:top w:val="nil"/>
              <w:left w:val="nil"/>
              <w:bottom w:val="single" w:color="auto" w:sz="4" w:space="0"/>
              <w:right w:val="single" w:color="auto" w:sz="4" w:space="0"/>
              <w:tl2br w:val="nil"/>
              <w:tr2bl w:val="nil"/>
            </w:tcBorders>
            <w:vAlign w:val="center"/>
          </w:tcPr>
          <w:p w14:paraId="0BFC9D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A7D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39024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661FA8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E646B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4653" w:type="dxa"/>
            <w:tcBorders>
              <w:top w:val="nil"/>
              <w:left w:val="nil"/>
              <w:bottom w:val="single" w:color="auto" w:sz="4" w:space="0"/>
              <w:right w:val="single" w:color="auto" w:sz="4" w:space="0"/>
              <w:tl2br w:val="nil"/>
              <w:tr2bl w:val="nil"/>
            </w:tcBorders>
            <w:vAlign w:val="center"/>
          </w:tcPr>
          <w:p w14:paraId="1A19FC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4F09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D61A1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CC9540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D2C48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4653" w:type="dxa"/>
            <w:tcBorders>
              <w:top w:val="nil"/>
              <w:left w:val="nil"/>
              <w:bottom w:val="single" w:color="auto" w:sz="4" w:space="0"/>
              <w:right w:val="single" w:color="auto" w:sz="4" w:space="0"/>
              <w:tl2br w:val="nil"/>
              <w:tr2bl w:val="nil"/>
            </w:tcBorders>
            <w:vAlign w:val="center"/>
          </w:tcPr>
          <w:p w14:paraId="0896CF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16A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449A9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5BDF4A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85" w:type="dxa"/>
            <w:tcBorders>
              <w:top w:val="nil"/>
              <w:left w:val="nil"/>
              <w:bottom w:val="single" w:color="auto" w:sz="4" w:space="0"/>
              <w:right w:val="single" w:color="auto" w:sz="4" w:space="0"/>
              <w:tl2br w:val="nil"/>
              <w:tr2bl w:val="nil"/>
            </w:tcBorders>
            <w:vAlign w:val="center"/>
          </w:tcPr>
          <w:p w14:paraId="22E0D2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原厂服务</w:t>
            </w:r>
          </w:p>
        </w:tc>
        <w:tc>
          <w:tcPr>
            <w:tcW w:w="4653" w:type="dxa"/>
            <w:tcBorders>
              <w:top w:val="nil"/>
              <w:left w:val="nil"/>
              <w:bottom w:val="single" w:color="auto" w:sz="4" w:space="0"/>
              <w:right w:val="single" w:color="auto" w:sz="4" w:space="0"/>
              <w:tl2br w:val="nil"/>
              <w:tr2bl w:val="nil"/>
            </w:tcBorders>
            <w:vAlign w:val="center"/>
          </w:tcPr>
          <w:p w14:paraId="774A8E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服务由操作系统厂商的正式员工提供，不由代理商提供</w:t>
            </w:r>
          </w:p>
        </w:tc>
      </w:tr>
      <w:tr w14:paraId="462A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1668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0E2255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00C6B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服务热线电话</w:t>
            </w:r>
          </w:p>
        </w:tc>
        <w:tc>
          <w:tcPr>
            <w:tcW w:w="4653" w:type="dxa"/>
            <w:tcBorders>
              <w:top w:val="nil"/>
              <w:left w:val="nil"/>
              <w:bottom w:val="single" w:color="auto" w:sz="4" w:space="0"/>
              <w:right w:val="single" w:color="auto" w:sz="4" w:space="0"/>
              <w:tl2br w:val="nil"/>
              <w:tr2bl w:val="nil"/>
            </w:tcBorders>
            <w:vAlign w:val="center"/>
          </w:tcPr>
          <w:p w14:paraId="2485D8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操作系统厂商为最终用户提供工作日，每日不少于8h（覆盖一般工作时间，具体时间由企业标准给出）中文技术服务热线</w:t>
            </w:r>
          </w:p>
        </w:tc>
      </w:tr>
      <w:tr w14:paraId="20AB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086F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3B6E10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94AE7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技术服务标准</w:t>
            </w:r>
          </w:p>
        </w:tc>
        <w:tc>
          <w:tcPr>
            <w:tcW w:w="4653" w:type="dxa"/>
            <w:tcBorders>
              <w:top w:val="nil"/>
              <w:left w:val="nil"/>
              <w:bottom w:val="single" w:color="auto" w:sz="4" w:space="0"/>
              <w:right w:val="single" w:color="auto" w:sz="4" w:space="0"/>
              <w:tl2br w:val="nil"/>
              <w:tr2bl w:val="nil"/>
            </w:tcBorders>
            <w:vAlign w:val="center"/>
          </w:tcPr>
          <w:p w14:paraId="54B3DB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操作系统厂商提供工作日每日不少于8h技术支持服务</w:t>
            </w:r>
          </w:p>
        </w:tc>
      </w:tr>
      <w:tr w14:paraId="18A6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82752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8E65AB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9E2CC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技术服务时效</w:t>
            </w:r>
          </w:p>
        </w:tc>
        <w:tc>
          <w:tcPr>
            <w:tcW w:w="4653" w:type="dxa"/>
            <w:tcBorders>
              <w:top w:val="nil"/>
              <w:left w:val="nil"/>
              <w:bottom w:val="single" w:color="auto" w:sz="4" w:space="0"/>
              <w:right w:val="single" w:color="auto" w:sz="4" w:space="0"/>
              <w:tl2br w:val="nil"/>
              <w:tr2bl w:val="nil"/>
            </w:tcBorders>
            <w:vAlign w:val="center"/>
          </w:tcPr>
          <w:p w14:paraId="364CDF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操作系统厂商满足同城4h、异地12h响应要求，两个工作日解决问题，对于未能解决的问题和故障提供可行的升级方案</w:t>
            </w:r>
          </w:p>
        </w:tc>
      </w:tr>
      <w:tr w14:paraId="3B8A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C2511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DEEEB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5A6AE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技术服务保障</w:t>
            </w:r>
          </w:p>
        </w:tc>
        <w:tc>
          <w:tcPr>
            <w:tcW w:w="4653" w:type="dxa"/>
            <w:tcBorders>
              <w:top w:val="nil"/>
              <w:left w:val="nil"/>
              <w:bottom w:val="single" w:color="auto" w:sz="4" w:space="0"/>
              <w:right w:val="single" w:color="auto" w:sz="4" w:space="0"/>
              <w:tl2br w:val="nil"/>
              <w:tr2bl w:val="nil"/>
            </w:tcBorders>
            <w:vAlign w:val="center"/>
          </w:tcPr>
          <w:p w14:paraId="122867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发生非人为因素故障，在七日内由操作系统厂商原厂人员对产品进行补充或更换</w:t>
            </w:r>
          </w:p>
        </w:tc>
      </w:tr>
      <w:tr w14:paraId="10FB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E652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4DE0AE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现场交付与安装调试</w:t>
            </w:r>
          </w:p>
        </w:tc>
        <w:tc>
          <w:tcPr>
            <w:tcW w:w="1985" w:type="dxa"/>
            <w:tcBorders>
              <w:top w:val="nil"/>
              <w:left w:val="nil"/>
              <w:bottom w:val="single" w:color="auto" w:sz="4" w:space="0"/>
              <w:right w:val="single" w:color="auto" w:sz="4" w:space="0"/>
              <w:tl2br w:val="nil"/>
              <w:tr2bl w:val="nil"/>
            </w:tcBorders>
            <w:vAlign w:val="center"/>
          </w:tcPr>
          <w:p w14:paraId="03A56A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现场安装调试</w:t>
            </w:r>
          </w:p>
        </w:tc>
        <w:tc>
          <w:tcPr>
            <w:tcW w:w="4653" w:type="dxa"/>
            <w:tcBorders>
              <w:top w:val="nil"/>
              <w:left w:val="nil"/>
              <w:bottom w:val="single" w:color="auto" w:sz="4" w:space="0"/>
              <w:right w:val="single" w:color="auto" w:sz="4" w:space="0"/>
              <w:tl2br w:val="nil"/>
              <w:tr2bl w:val="nil"/>
            </w:tcBorders>
            <w:vAlign w:val="center"/>
          </w:tcPr>
          <w:p w14:paraId="73D254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操作系统厂商提供产品安装与现场调试，并提供安装与调试所需的工具和设备</w:t>
            </w:r>
          </w:p>
        </w:tc>
      </w:tr>
      <w:tr w14:paraId="2FC1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862F2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3780C5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F401C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配套资料</w:t>
            </w:r>
          </w:p>
        </w:tc>
        <w:tc>
          <w:tcPr>
            <w:tcW w:w="4653" w:type="dxa"/>
            <w:tcBorders>
              <w:top w:val="nil"/>
              <w:left w:val="nil"/>
              <w:bottom w:val="single" w:color="auto" w:sz="4" w:space="0"/>
              <w:right w:val="single" w:color="auto" w:sz="4" w:space="0"/>
              <w:tl2br w:val="nil"/>
              <w:tr2bl w:val="nil"/>
            </w:tcBorders>
            <w:vAlign w:val="center"/>
          </w:tcPr>
          <w:p w14:paraId="27CF5B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交付产品时操作系统厂商提供配套的技术资料，包括但不限于系统说明文件、用户手册（用户安装、操作、维护、故障排除）等</w:t>
            </w:r>
          </w:p>
        </w:tc>
      </w:tr>
      <w:tr w14:paraId="662C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A02B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w:t>
            </w:r>
          </w:p>
        </w:tc>
        <w:tc>
          <w:tcPr>
            <w:tcW w:w="1559" w:type="dxa"/>
            <w:tcBorders>
              <w:top w:val="nil"/>
              <w:left w:val="nil"/>
              <w:bottom w:val="single" w:color="auto" w:sz="4" w:space="0"/>
              <w:right w:val="single" w:color="auto" w:sz="4" w:space="0"/>
              <w:tl2br w:val="nil"/>
              <w:tr2bl w:val="nil"/>
            </w:tcBorders>
            <w:vAlign w:val="center"/>
          </w:tcPr>
          <w:p w14:paraId="2B700B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1985" w:type="dxa"/>
            <w:tcBorders>
              <w:top w:val="nil"/>
              <w:left w:val="nil"/>
              <w:bottom w:val="single" w:color="auto" w:sz="4" w:space="0"/>
              <w:right w:val="single" w:color="auto" w:sz="4" w:space="0"/>
              <w:tl2br w:val="nil"/>
              <w:tr2bl w:val="nil"/>
            </w:tcBorders>
            <w:vAlign w:val="center"/>
          </w:tcPr>
          <w:p w14:paraId="35D17A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4653" w:type="dxa"/>
            <w:tcBorders>
              <w:top w:val="nil"/>
              <w:left w:val="nil"/>
              <w:bottom w:val="single" w:color="auto" w:sz="4" w:space="0"/>
              <w:right w:val="single" w:color="auto" w:sz="4" w:space="0"/>
              <w:tl2br w:val="nil"/>
              <w:tr2bl w:val="nil"/>
            </w:tcBorders>
            <w:vAlign w:val="center"/>
          </w:tcPr>
          <w:p w14:paraId="1EA4DE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服务期内，操作系统厂商支持版本更换（注：更换后不延长服务期）</w:t>
            </w:r>
          </w:p>
        </w:tc>
      </w:tr>
      <w:tr w14:paraId="3ABF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38A46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w:t>
            </w:r>
          </w:p>
        </w:tc>
        <w:tc>
          <w:tcPr>
            <w:tcW w:w="1559" w:type="dxa"/>
            <w:tcBorders>
              <w:top w:val="nil"/>
              <w:left w:val="nil"/>
              <w:bottom w:val="single" w:color="auto" w:sz="4" w:space="0"/>
              <w:right w:val="single" w:color="auto" w:sz="4" w:space="0"/>
              <w:tl2br w:val="nil"/>
              <w:tr2bl w:val="nil"/>
            </w:tcBorders>
            <w:vAlign w:val="center"/>
          </w:tcPr>
          <w:p w14:paraId="0E093A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厂商能力要求</w:t>
            </w:r>
          </w:p>
        </w:tc>
        <w:tc>
          <w:tcPr>
            <w:tcW w:w="1985" w:type="dxa"/>
            <w:tcBorders>
              <w:top w:val="nil"/>
              <w:left w:val="nil"/>
              <w:bottom w:val="single" w:color="auto" w:sz="4" w:space="0"/>
              <w:right w:val="single" w:color="auto" w:sz="4" w:space="0"/>
              <w:tl2br w:val="nil"/>
              <w:tr2bl w:val="nil"/>
            </w:tcBorders>
            <w:vAlign w:val="center"/>
          </w:tcPr>
          <w:p w14:paraId="44C2DB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服务团队</w:t>
            </w:r>
          </w:p>
        </w:tc>
        <w:tc>
          <w:tcPr>
            <w:tcW w:w="4653" w:type="dxa"/>
            <w:tcBorders>
              <w:top w:val="nil"/>
              <w:left w:val="nil"/>
              <w:bottom w:val="single" w:color="auto" w:sz="4" w:space="0"/>
              <w:right w:val="single" w:color="auto" w:sz="4" w:space="0"/>
              <w:tl2br w:val="nil"/>
              <w:tr2bl w:val="nil"/>
            </w:tcBorders>
            <w:vAlign w:val="center"/>
          </w:tcPr>
          <w:p w14:paraId="1F01F6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操作系统厂商建立全国技术服务体系和服务团队，为甲方提供专业的原厂中文服务</w:t>
            </w:r>
          </w:p>
        </w:tc>
      </w:tr>
      <w:tr w14:paraId="418C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BF4A6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140</w:t>
            </w:r>
          </w:p>
        </w:tc>
        <w:tc>
          <w:tcPr>
            <w:tcW w:w="1559" w:type="dxa"/>
            <w:tcBorders>
              <w:top w:val="nil"/>
              <w:left w:val="nil"/>
              <w:bottom w:val="single" w:color="auto" w:sz="4" w:space="0"/>
              <w:right w:val="single" w:color="auto" w:sz="4" w:space="0"/>
              <w:tl2br w:val="nil"/>
              <w:tr2bl w:val="nil"/>
            </w:tcBorders>
            <w:vAlign w:val="center"/>
          </w:tcPr>
          <w:p w14:paraId="0B9B72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op w:val="nil"/>
              <w:left w:val="nil"/>
              <w:bottom w:val="single" w:color="auto" w:sz="4" w:space="0"/>
              <w:right w:val="single" w:color="auto" w:sz="4" w:space="0"/>
              <w:tl2br w:val="nil"/>
              <w:tr2bl w:val="nil"/>
            </w:tcBorders>
            <w:vAlign w:val="center"/>
          </w:tcPr>
          <w:p w14:paraId="7B948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数据收集安全保障</w:t>
            </w:r>
          </w:p>
        </w:tc>
        <w:tc>
          <w:tcPr>
            <w:tcW w:w="4653" w:type="dxa"/>
            <w:tcBorders>
              <w:top w:val="nil"/>
              <w:left w:val="nil"/>
              <w:bottom w:val="single" w:color="auto" w:sz="4" w:space="0"/>
              <w:right w:val="single" w:color="auto" w:sz="4" w:space="0"/>
              <w:tl2br w:val="nil"/>
              <w:tr2bl w:val="nil"/>
            </w:tcBorders>
            <w:vAlign w:val="center"/>
          </w:tcPr>
          <w:p w14:paraId="49FB50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除用户授权采集的信息外不采集其他数据，相关信息采集无安全风险，相关数据存储在大陆境内</w:t>
            </w:r>
          </w:p>
        </w:tc>
      </w:tr>
      <w:tr w14:paraId="16C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46FC4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559" w:type="dxa"/>
            <w:tcBorders>
              <w:top w:val="nil"/>
              <w:left w:val="nil"/>
              <w:bottom w:val="single" w:color="auto" w:sz="4" w:space="0"/>
              <w:right w:val="single" w:color="auto" w:sz="4" w:space="0"/>
              <w:tl2br w:val="nil"/>
              <w:tr2bl w:val="nil"/>
            </w:tcBorders>
            <w:vAlign w:val="center"/>
          </w:tcPr>
          <w:p w14:paraId="2C1010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op w:val="nil"/>
              <w:left w:val="nil"/>
              <w:bottom w:val="single" w:color="auto" w:sz="4" w:space="0"/>
              <w:right w:val="single" w:color="auto" w:sz="4" w:space="0"/>
              <w:tl2br w:val="nil"/>
              <w:tr2bl w:val="nil"/>
            </w:tcBorders>
            <w:vAlign w:val="center"/>
          </w:tcPr>
          <w:p w14:paraId="5F5526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数据供给安全保障</w:t>
            </w:r>
          </w:p>
        </w:tc>
        <w:tc>
          <w:tcPr>
            <w:tcW w:w="4653" w:type="dxa"/>
            <w:tcBorders>
              <w:top w:val="nil"/>
              <w:left w:val="nil"/>
              <w:bottom w:val="single" w:color="auto" w:sz="4" w:space="0"/>
              <w:right w:val="single" w:color="auto" w:sz="4" w:space="0"/>
              <w:tl2br w:val="nil"/>
              <w:tr2bl w:val="nil"/>
            </w:tcBorders>
            <w:vAlign w:val="center"/>
          </w:tcPr>
          <w:p w14:paraId="45A0B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涉及数据下载的线上服务物理服务器不出境，包括代码仓库、系统补丁、安全补丁、服务网站等</w:t>
            </w:r>
          </w:p>
        </w:tc>
      </w:tr>
      <w:tr w14:paraId="367C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33A0C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559" w:type="dxa"/>
            <w:tcBorders>
              <w:top w:val="nil"/>
              <w:left w:val="nil"/>
              <w:bottom w:val="single" w:color="auto" w:sz="4" w:space="0"/>
              <w:right w:val="single" w:color="auto" w:sz="4" w:space="0"/>
              <w:tl2br w:val="nil"/>
              <w:tr2bl w:val="nil"/>
            </w:tcBorders>
            <w:vAlign w:val="center"/>
          </w:tcPr>
          <w:p w14:paraId="75E4AE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1985" w:type="dxa"/>
            <w:tcBorders>
              <w:top w:val="nil"/>
              <w:left w:val="nil"/>
              <w:bottom w:val="single" w:color="auto" w:sz="4" w:space="0"/>
              <w:right w:val="single" w:color="auto" w:sz="4" w:space="0"/>
              <w:tl2br w:val="nil"/>
              <w:tr2bl w:val="nil"/>
            </w:tcBorders>
            <w:vAlign w:val="center"/>
          </w:tcPr>
          <w:p w14:paraId="629C67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4653" w:type="dxa"/>
            <w:tcBorders>
              <w:top w:val="nil"/>
              <w:left w:val="nil"/>
              <w:bottom w:val="single" w:color="auto" w:sz="4" w:space="0"/>
              <w:right w:val="single" w:color="auto" w:sz="4" w:space="0"/>
              <w:tl2br w:val="nil"/>
              <w:tr2bl w:val="nil"/>
            </w:tcBorders>
            <w:vAlign w:val="center"/>
          </w:tcPr>
          <w:p w14:paraId="0CCF92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操作系统厂商提供源代码，源代码可供第三方机构审查，开源许可合规，代码知识产权无风险，无恶意安全漏洞或后门，代码可追溯、可重构</w:t>
            </w:r>
          </w:p>
        </w:tc>
      </w:tr>
      <w:tr w14:paraId="5D57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CA658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w:t>
            </w:r>
          </w:p>
        </w:tc>
        <w:tc>
          <w:tcPr>
            <w:tcW w:w="1559" w:type="dxa"/>
            <w:tcBorders>
              <w:top w:val="nil"/>
              <w:left w:val="nil"/>
              <w:bottom w:val="single" w:color="auto" w:sz="4" w:space="0"/>
              <w:right w:val="single" w:color="auto" w:sz="4" w:space="0"/>
              <w:tl2br w:val="nil"/>
              <w:tr2bl w:val="nil"/>
            </w:tcBorders>
            <w:vAlign w:val="center"/>
          </w:tcPr>
          <w:p w14:paraId="3F4BCB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985" w:type="dxa"/>
            <w:tcBorders>
              <w:top w:val="nil"/>
              <w:left w:val="nil"/>
              <w:bottom w:val="single" w:color="auto" w:sz="4" w:space="0"/>
              <w:right w:val="single" w:color="auto" w:sz="4" w:space="0"/>
              <w:tl2br w:val="nil"/>
              <w:tr2bl w:val="nil"/>
            </w:tcBorders>
            <w:vAlign w:val="center"/>
          </w:tcPr>
          <w:p w14:paraId="5C4757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4653" w:type="dxa"/>
            <w:tcBorders>
              <w:top w:val="nil"/>
              <w:left w:val="nil"/>
              <w:bottom w:val="single" w:color="auto" w:sz="4" w:space="0"/>
              <w:right w:val="single" w:color="auto" w:sz="4" w:space="0"/>
              <w:tl2br w:val="nil"/>
              <w:tr2bl w:val="nil"/>
            </w:tcBorders>
            <w:vAlign w:val="center"/>
          </w:tcPr>
          <w:p w14:paraId="43E6EA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操作系统应当符合安全可靠测评要求</w:t>
            </w:r>
          </w:p>
        </w:tc>
      </w:tr>
      <w:tr w14:paraId="6EEE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6AF97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7A8B63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密码算法支持</w:t>
            </w:r>
          </w:p>
        </w:tc>
        <w:tc>
          <w:tcPr>
            <w:tcW w:w="1985" w:type="dxa"/>
            <w:tcBorders>
              <w:top w:val="nil"/>
              <w:left w:val="nil"/>
              <w:bottom w:val="single" w:color="auto" w:sz="4" w:space="0"/>
              <w:right w:val="single" w:color="auto" w:sz="4" w:space="0"/>
              <w:tl2br w:val="nil"/>
              <w:tr2bl w:val="nil"/>
            </w:tcBorders>
            <w:vAlign w:val="center"/>
          </w:tcPr>
          <w:p w14:paraId="7081B0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4653" w:type="dxa"/>
            <w:tcBorders>
              <w:top w:val="nil"/>
              <w:left w:val="nil"/>
              <w:bottom w:val="single" w:color="auto" w:sz="4" w:space="0"/>
              <w:right w:val="single" w:color="auto" w:sz="4" w:space="0"/>
              <w:tl2br w:val="nil"/>
              <w:tr2bl w:val="nil"/>
            </w:tcBorders>
            <w:vAlign w:val="center"/>
          </w:tcPr>
          <w:p w14:paraId="1DFB36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操作系统支持GM/T0002、GM/T0003和GM/T0004规定的密码算法运算</w:t>
            </w:r>
          </w:p>
        </w:tc>
      </w:tr>
      <w:tr w14:paraId="14C9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46263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B7FBB2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A84A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随机数生成</w:t>
            </w:r>
          </w:p>
        </w:tc>
        <w:tc>
          <w:tcPr>
            <w:tcW w:w="4653" w:type="dxa"/>
            <w:tcBorders>
              <w:top w:val="nil"/>
              <w:left w:val="nil"/>
              <w:bottom w:val="single" w:color="auto" w:sz="4" w:space="0"/>
              <w:right w:val="single" w:color="auto" w:sz="4" w:space="0"/>
              <w:tl2br w:val="nil"/>
              <w:tr2bl w:val="nil"/>
            </w:tcBorders>
            <w:vAlign w:val="center"/>
          </w:tcPr>
          <w:p w14:paraId="496026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操作系统随机数质量符合GM/T0005《随机性检测规范》或GB/T32915《信息安全技术二元序列随机性检测方法》</w:t>
            </w:r>
          </w:p>
        </w:tc>
      </w:tr>
      <w:tr w14:paraId="2E57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819A7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1524A0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E4604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内置数字证书</w:t>
            </w:r>
          </w:p>
        </w:tc>
        <w:tc>
          <w:tcPr>
            <w:tcW w:w="4653" w:type="dxa"/>
            <w:tcBorders>
              <w:top w:val="nil"/>
              <w:left w:val="nil"/>
              <w:bottom w:val="single" w:color="auto" w:sz="4" w:space="0"/>
              <w:right w:val="single" w:color="auto" w:sz="4" w:space="0"/>
              <w:tl2br w:val="nil"/>
              <w:tr2bl w:val="nil"/>
            </w:tcBorders>
            <w:vAlign w:val="center"/>
          </w:tcPr>
          <w:p w14:paraId="5D6FA5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操作系统内置国家电子认证根CA的根证书</w:t>
            </w:r>
          </w:p>
        </w:tc>
      </w:tr>
      <w:tr w14:paraId="445D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29429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BBAF44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E388D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密码协议实现</w:t>
            </w:r>
          </w:p>
        </w:tc>
        <w:tc>
          <w:tcPr>
            <w:tcW w:w="4653" w:type="dxa"/>
            <w:tcBorders>
              <w:top w:val="nil"/>
              <w:left w:val="nil"/>
              <w:bottom w:val="single" w:color="auto" w:sz="4" w:space="0"/>
              <w:right w:val="single" w:color="auto" w:sz="4" w:space="0"/>
              <w:tl2br w:val="nil"/>
              <w:tr2bl w:val="nil"/>
            </w:tcBorders>
            <w:vAlign w:val="center"/>
          </w:tcPr>
          <w:p w14:paraId="552E2D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操作系统支持符合GB/T38636—2020的TLCP</w:t>
            </w:r>
          </w:p>
        </w:tc>
      </w:tr>
      <w:tr w14:paraId="5611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8DDB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w:t>
            </w:r>
          </w:p>
        </w:tc>
        <w:tc>
          <w:tcPr>
            <w:tcW w:w="1559" w:type="dxa"/>
            <w:vMerge w:val="restart"/>
            <w:tcBorders>
              <w:top w:val="nil"/>
              <w:left w:val="single" w:color="auto" w:sz="4" w:space="0"/>
              <w:bottom w:val="nil"/>
              <w:right w:val="single" w:color="auto" w:sz="4" w:space="0"/>
              <w:tl2br w:val="nil"/>
              <w:tr2bl w:val="nil"/>
            </w:tcBorders>
            <w:vAlign w:val="center"/>
          </w:tcPr>
          <w:p w14:paraId="51771C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985" w:type="dxa"/>
            <w:tcBorders>
              <w:top w:val="nil"/>
              <w:left w:val="nil"/>
              <w:bottom w:val="single" w:color="auto" w:sz="4" w:space="0"/>
              <w:right w:val="single" w:color="auto" w:sz="4" w:space="0"/>
              <w:tl2br w:val="nil"/>
              <w:tr2bl w:val="nil"/>
            </w:tcBorders>
            <w:vAlign w:val="center"/>
          </w:tcPr>
          <w:p w14:paraId="2510A9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防火墙</w:t>
            </w:r>
          </w:p>
        </w:tc>
        <w:tc>
          <w:tcPr>
            <w:tcW w:w="4653" w:type="dxa"/>
            <w:tcBorders>
              <w:top w:val="nil"/>
              <w:left w:val="nil"/>
              <w:bottom w:val="single" w:color="auto" w:sz="4" w:space="0"/>
              <w:right w:val="single" w:color="auto" w:sz="4" w:space="0"/>
              <w:tl2br w:val="nil"/>
              <w:tr2bl w:val="nil"/>
            </w:tcBorders>
            <w:vAlign w:val="center"/>
          </w:tcPr>
          <w:p w14:paraId="7832C7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操作系统提供防火墙配置管理工具，支持基于协议、网络地址、端口的访问控制规则配置，规则修改后立即生效；</w:t>
            </w:r>
          </w:p>
          <w:p w14:paraId="56A2AD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支持关闭指定服务和端口，包括但不限于关闭远程访问、共享访问等；</w:t>
            </w:r>
          </w:p>
          <w:p w14:paraId="415810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支持防止ARP欺骗攻击</w:t>
            </w:r>
          </w:p>
        </w:tc>
      </w:tr>
      <w:tr w14:paraId="06B2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546D0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149</w:t>
            </w:r>
          </w:p>
        </w:tc>
        <w:tc>
          <w:tcPr>
            <w:tcW w:w="1559" w:type="dxa"/>
            <w:vMerge w:val="continue"/>
            <w:tcBorders>
              <w:top w:val="nil"/>
              <w:left w:val="single" w:color="auto" w:sz="4" w:space="0"/>
              <w:bottom w:val="nil"/>
              <w:right w:val="single" w:color="auto" w:sz="4" w:space="0"/>
              <w:tl2br w:val="nil"/>
              <w:tr2bl w:val="nil"/>
            </w:tcBorders>
            <w:vAlign w:val="center"/>
          </w:tcPr>
          <w:p w14:paraId="5222219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93ACF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安全框架</w:t>
            </w:r>
          </w:p>
        </w:tc>
        <w:tc>
          <w:tcPr>
            <w:tcW w:w="4653" w:type="dxa"/>
            <w:tcBorders>
              <w:top w:val="nil"/>
              <w:left w:val="nil"/>
              <w:bottom w:val="single" w:color="auto" w:sz="4" w:space="0"/>
              <w:right w:val="single" w:color="auto" w:sz="4" w:space="0"/>
              <w:tl2br w:val="nil"/>
              <w:tr2bl w:val="nil"/>
            </w:tcBorders>
            <w:vAlign w:val="center"/>
          </w:tcPr>
          <w:p w14:paraId="7E137C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操作系统提供统一访问控制安全框架</w:t>
            </w:r>
          </w:p>
        </w:tc>
      </w:tr>
      <w:tr w14:paraId="2D25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6DFC8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w:t>
            </w:r>
          </w:p>
        </w:tc>
        <w:tc>
          <w:tcPr>
            <w:tcW w:w="1559" w:type="dxa"/>
            <w:tcBorders>
              <w:top w:val="single" w:color="auto" w:sz="4" w:space="0"/>
              <w:left w:val="nil"/>
              <w:bottom w:val="single" w:color="auto" w:sz="4" w:space="0"/>
              <w:right w:val="single" w:color="auto" w:sz="4" w:space="0"/>
              <w:tl2br w:val="nil"/>
              <w:tr2bl w:val="nil"/>
            </w:tcBorders>
            <w:vAlign w:val="center"/>
          </w:tcPr>
          <w:p w14:paraId="5158E8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w:t>
            </w:r>
          </w:p>
        </w:tc>
        <w:tc>
          <w:tcPr>
            <w:tcW w:w="1985" w:type="dxa"/>
            <w:tcBorders>
              <w:top w:val="nil"/>
              <w:left w:val="nil"/>
              <w:bottom w:val="single" w:color="auto" w:sz="4" w:space="0"/>
              <w:right w:val="single" w:color="auto" w:sz="4" w:space="0"/>
              <w:tl2br w:val="nil"/>
              <w:tr2bl w:val="nil"/>
            </w:tcBorders>
            <w:vAlign w:val="center"/>
          </w:tcPr>
          <w:p w14:paraId="376903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op w:val="nil"/>
              <w:left w:val="nil"/>
              <w:bottom w:val="single" w:color="auto" w:sz="4" w:space="0"/>
              <w:right w:val="single" w:color="auto" w:sz="4" w:space="0"/>
              <w:tl2br w:val="nil"/>
              <w:tr2bl w:val="nil"/>
            </w:tcBorders>
            <w:vAlign w:val="center"/>
          </w:tcPr>
          <w:p w14:paraId="133EBF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用户标识使用帐户名和帐户ID，在操作系统的整个生存周期内用户标识具有唯一性；</w:t>
            </w:r>
          </w:p>
          <w:p w14:paraId="29F66B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支持用户口令复杂度校验及强口令管理；</w:t>
            </w:r>
          </w:p>
          <w:p w14:paraId="55000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支持用户口令有效期配置；支持口令鉴别失败控制；</w:t>
            </w:r>
          </w:p>
          <w:p w14:paraId="3599C9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支持口令加密算法配置，用户口令进行加密后以不可逆的密文形式保存；支持禁止根帐户（root）远程登录设置</w:t>
            </w:r>
          </w:p>
        </w:tc>
      </w:tr>
      <w:tr w14:paraId="2DDE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D0A99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62192E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w:t>
            </w:r>
          </w:p>
        </w:tc>
        <w:tc>
          <w:tcPr>
            <w:tcW w:w="1985" w:type="dxa"/>
            <w:tcBorders>
              <w:top w:val="nil"/>
              <w:left w:val="nil"/>
              <w:bottom w:val="single" w:color="auto" w:sz="4" w:space="0"/>
              <w:right w:val="single" w:color="auto" w:sz="4" w:space="0"/>
              <w:tl2br w:val="nil"/>
              <w:tr2bl w:val="nil"/>
            </w:tcBorders>
            <w:vAlign w:val="center"/>
          </w:tcPr>
          <w:p w14:paraId="77756B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自主访问控制</w:t>
            </w:r>
          </w:p>
        </w:tc>
        <w:tc>
          <w:tcPr>
            <w:tcW w:w="4653" w:type="dxa"/>
            <w:tcBorders>
              <w:top w:val="nil"/>
              <w:left w:val="nil"/>
              <w:bottom w:val="single" w:color="auto" w:sz="4" w:space="0"/>
              <w:right w:val="single" w:color="auto" w:sz="4" w:space="0"/>
              <w:tl2br w:val="nil"/>
              <w:tr2bl w:val="nil"/>
            </w:tcBorders>
            <w:vAlign w:val="center"/>
          </w:tcPr>
          <w:p w14:paraId="47BED6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18EC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78191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ED0F07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0F768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强制访问控制</w:t>
            </w:r>
          </w:p>
        </w:tc>
        <w:tc>
          <w:tcPr>
            <w:tcW w:w="4653" w:type="dxa"/>
            <w:tcBorders>
              <w:top w:val="nil"/>
              <w:left w:val="nil"/>
              <w:bottom w:val="single" w:color="auto" w:sz="4" w:space="0"/>
              <w:right w:val="single" w:color="auto" w:sz="4" w:space="0"/>
              <w:tl2br w:val="nil"/>
              <w:tr2bl w:val="nil"/>
            </w:tcBorders>
            <w:vAlign w:val="center"/>
          </w:tcPr>
          <w:p w14:paraId="0C2B6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操作系统支持对应用程序的访问控制与资源限制，包括对文件、网络等客体的访问控制；支持应用安装控制、应用执行控制</w:t>
            </w:r>
          </w:p>
        </w:tc>
      </w:tr>
      <w:tr w14:paraId="66F2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A6744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3AF64C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E9342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安全审计</w:t>
            </w:r>
          </w:p>
        </w:tc>
        <w:tc>
          <w:tcPr>
            <w:tcW w:w="4653" w:type="dxa"/>
            <w:tcBorders>
              <w:top w:val="nil"/>
              <w:left w:val="nil"/>
              <w:bottom w:val="single" w:color="auto" w:sz="4" w:space="0"/>
              <w:right w:val="single" w:color="auto" w:sz="4" w:space="0"/>
              <w:tl2br w:val="nil"/>
              <w:tr2bl w:val="nil"/>
            </w:tcBorders>
            <w:vAlign w:val="center"/>
          </w:tcPr>
          <w:p w14:paraId="337CD1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06D0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33307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w:t>
            </w:r>
          </w:p>
        </w:tc>
        <w:tc>
          <w:tcPr>
            <w:tcW w:w="1559" w:type="dxa"/>
            <w:tcBorders>
              <w:top w:val="nil"/>
              <w:left w:val="nil"/>
              <w:bottom w:val="single" w:color="auto" w:sz="4" w:space="0"/>
              <w:right w:val="single" w:color="auto" w:sz="4" w:space="0"/>
              <w:tl2br w:val="nil"/>
              <w:tr2bl w:val="nil"/>
            </w:tcBorders>
            <w:vAlign w:val="center"/>
          </w:tcPr>
          <w:p w14:paraId="27F4EC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1985" w:type="dxa"/>
            <w:tcBorders>
              <w:top w:val="nil"/>
              <w:left w:val="nil"/>
              <w:bottom w:val="single" w:color="auto" w:sz="4" w:space="0"/>
              <w:right w:val="single" w:color="auto" w:sz="4" w:space="0"/>
              <w:tl2br w:val="nil"/>
              <w:tr2bl w:val="nil"/>
            </w:tcBorders>
            <w:vAlign w:val="center"/>
          </w:tcPr>
          <w:p w14:paraId="678E74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4653" w:type="dxa"/>
            <w:tcBorders>
              <w:top w:val="nil"/>
              <w:left w:val="nil"/>
              <w:bottom w:val="single" w:color="auto" w:sz="4" w:space="0"/>
              <w:right w:val="single" w:color="auto" w:sz="4" w:space="0"/>
              <w:tl2br w:val="nil"/>
              <w:tr2bl w:val="nil"/>
            </w:tcBorders>
            <w:vAlign w:val="center"/>
          </w:tcPr>
          <w:p w14:paraId="0F28FE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操作系统支持漏洞编号，每个漏洞独立编号，可直接使用NVDB、CNVD或CVE编号；</w:t>
            </w:r>
          </w:p>
          <w:p w14:paraId="508C33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漏洞提醒，发现或获悉漏洞信息时，通过系统推送、电子邮件或官方网站等方式通知用户；漏洞修复，对已发现的安全漏洞通过补丁等方式对系统漏洞进行修复；</w:t>
            </w:r>
          </w:p>
          <w:p w14:paraId="2457F9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漏洞列表，提供每个版本已修复的漏洞列表，提供命令或网页等方式方便用户查询漏洞及其修复情况</w:t>
            </w:r>
          </w:p>
        </w:tc>
      </w:tr>
    </w:tbl>
    <w:p w14:paraId="30F961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（2）非现场执法平台运营保障服务</w:t>
      </w:r>
    </w:p>
    <w:p w14:paraId="7E9C78B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一）基础信息对接服务</w:t>
      </w:r>
    </w:p>
    <w:p w14:paraId="58CABCE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64FC3D8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1）道路路段代码信息定期更新服务：结合城市道路新建、改扩建工程及交通标识调整等情况，定期对道路路段代码信息进行梳理与更新，确保系统内路段代码与实际道路情况精准匹配；</w:t>
      </w:r>
    </w:p>
    <w:p w14:paraId="5F04601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2）违法行为代码信息定期更新服务：依据最新交通法律法规及执法标准的变动，及时更新违法行为代码及对应处罚标准，保障代码信息与执法依据同步；</w:t>
      </w:r>
    </w:p>
    <w:p w14:paraId="5B75D5D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3）部门组织信息及人员用户信息定期更新服务：针对部门架构调整、人员岗位变动、用户权限变更等情况，定期更新相关信息，确保系统内组织与人员数据的准确性和时效性；</w:t>
      </w:r>
    </w:p>
    <w:p w14:paraId="7A32373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4）违法采集设备台账信息新增及现有设备管理：对新增的违法采集设备及时完成参数录入、位置标注等台账信息登记，同时对现有设备的运行状态、维护记录等进行动态跟踪管理；</w:t>
      </w:r>
    </w:p>
    <w:p w14:paraId="3459116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5）监控球机设备台账信息新增及现有设备管理：为新增监控球机建立完整台账，记录设备点位、对接通道号等信息，对在用设备定期进行信息核查与更新；</w:t>
      </w:r>
    </w:p>
    <w:p w14:paraId="056B4FE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6）货运导航路线数据对接更新服务：对接货运导航系统的最新路线数据，结合货运限行政策、道路施工等情况，及时更新系统内货运导航路线信息；</w:t>
      </w:r>
    </w:p>
    <w:p w14:paraId="2F03D72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7）人员关联设备组定期更新服务：根据人员工作职责的调整，定期调整其关联的设备组，确保人员操作权限与负责的设备组相匹配；</w:t>
      </w:r>
    </w:p>
    <w:p w14:paraId="5383E9E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8）部门关联人员定期更新服务：依据部门职能划分及人员隶属关系的变化，及时更新部门与人员的关联信息，保障组织管理架构清晰；</w:t>
      </w:r>
    </w:p>
    <w:p w14:paraId="49CFF07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9）警务通系统人员与非现场系统同步更新服务：建立警务通系统与非现场系统的人员信息同步机制，确保人员新增、删除、变更等信息实时同步；</w:t>
      </w:r>
    </w:p>
    <w:p w14:paraId="794BFAD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10）设备及道路路段信息与第三方系统对接共享服务：按照信息共享规范，将设备参数、道路路段等信息与第三方系统进行对接，保障信息共享的及时性和准确性。</w:t>
      </w:r>
    </w:p>
    <w:p w14:paraId="42C1214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二）数据接入运营服务</w:t>
      </w:r>
    </w:p>
    <w:p w14:paraId="6CD6CF0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059B256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1）新建违法采集设备的数据接入：为新建违法采集设备提供从参数配置到数据传输的全流程接入支持，确保设备采集的违法数据顺利进入系统；</w:t>
      </w:r>
    </w:p>
    <w:p w14:paraId="0C8BAF1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2）新增设备厂家接入调试，问题排查：与新增设备厂家密切配合，完成设备与系统的接入调试工作，对调试过程中出现的接口不兼容、数据传输异常等问题及时排查解决；</w:t>
      </w:r>
    </w:p>
    <w:p w14:paraId="5AF52BF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3）各区县系统违法数据对接服务：搭建各区县系统与非现场系统的违法数据传输通道，制定统一的数据格式标准，保障跨区域违法数据高效汇总；</w:t>
      </w:r>
    </w:p>
    <w:p w14:paraId="4E3E96A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4）无人机执法场景的数据对接服务：针对无人机执法采集的数据特点，适配数据传输协议与格式，实现无人机违法抓拍数据的实时接入与解析；</w:t>
      </w:r>
    </w:p>
    <w:p w14:paraId="5D8D1A7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5）违停预警数据接入预警小窗语音提醒及频率配置功能：将违停预警数据接入系统预警模块，配置语音提醒内容及触发频率，确保执法人员及时接收预警信息；</w:t>
      </w:r>
    </w:p>
    <w:p w14:paraId="1A6973D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6）视频球机平台的数据接入服务：对接视频球机平台的监控数据，完成数据格式转换与协议适配，保障视频球机采集的违法及监控数据顺利进入系统；</w:t>
      </w:r>
    </w:p>
    <w:p w14:paraId="49EEFD9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7）其他第三方来源数据调试、接入服务：针对其他第三方平台或设备产生的数据，进行接口调试、格式转换等工作，确保各类外部数据能够有效接入系统并发挥作用。</w:t>
      </w:r>
    </w:p>
    <w:p w14:paraId="5FE6A4E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三）违法过滤规则升级服务</w:t>
      </w:r>
    </w:p>
    <w:p w14:paraId="72097C2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2F920DE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1）超时过滤规则适配升级服务：根据部局不同时间段的执法时效要求，动态调整超时过滤规则，确保对超时违法数据的精准筛选；</w:t>
      </w:r>
    </w:p>
    <w:p w14:paraId="3023554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2）客车、货车限行过滤规则适配升级服务：结合城市区域限行、时段限行等政策变化，优化客车、货车限行过滤规则，准确识别违反限行规定的车辆；</w:t>
      </w:r>
    </w:p>
    <w:p w14:paraId="0F93646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3）车辆违停过滤规则适配升级服务：依据违停认定标准的调整，细化违停过滤规则，区分临时停靠与违法停放，提高违停识别的准确性；</w:t>
      </w:r>
    </w:p>
    <w:p w14:paraId="367FD17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4）国四柴油车过滤规则及短信通知服务适配：针对国四柴油车的限行区域和时段要求，适配过滤规则，并同步优化短信通知的内容与发送机制；</w:t>
      </w:r>
    </w:p>
    <w:p w14:paraId="1428C94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5）西湖通、景区管委会数据过滤规则适配升级服务：对接西湖通及景区管委会的管理数据，调整过滤规则，精准筛选景区范围内的违法车辆信息；</w:t>
      </w:r>
    </w:p>
    <w:p w14:paraId="20CDA74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6）急事通数据过滤规则适配升级服务：根据急事通通行报备的有效期、通行区域等信息，优化过滤规则，确保已报备车辆的合理通行需求得到保障；</w:t>
      </w:r>
    </w:p>
    <w:p w14:paraId="7A68AD6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7）特殊车辆过滤规则适配升级服务：针对警车、救护车、消防车等特殊车辆的通行权限，调整过滤规则，避免对执行任务的特殊车辆误判；</w:t>
      </w:r>
    </w:p>
    <w:p w14:paraId="20BD92F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8）优驾容错过滤规则适配升级服务：结合优驾容错政策的适用范围和条件，细化过滤规则，对符合容错条件的轻微违法行为予以过滤；</w:t>
      </w:r>
    </w:p>
    <w:p w14:paraId="1A7D5C1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9）相同数据重复过滤规则适配升级服务：优化重复数据识别算法，对同一车辆、同一违法行为的重复数据进行精准过滤，避免重复处理；</w:t>
      </w:r>
    </w:p>
    <w:p w14:paraId="4D96F17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10）城市快运车辆过滤规则适配升级服务：根据城市快运车辆的通行许可范围和时间，调整过滤规则，保障合规快运车辆的正常通行；</w:t>
      </w:r>
    </w:p>
    <w:p w14:paraId="4467A12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11）蓝牌新能源车辆过滤规则适配升级服务：依据新能源车辆的通行规定，碰撞蓝牌新能源车辆库，适配过滤规则，准确区分合规行驶的新能源车辆；</w:t>
      </w:r>
    </w:p>
    <w:p w14:paraId="7A85087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12）景区旅游淡旺季过滤规则改造适配升级服务：结合景区淡旺季的不同管理要求，调整过滤规则，适应淡旺季不同的限行、管控标准；</w:t>
      </w:r>
    </w:p>
    <w:p w14:paraId="433B18C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13）接入数据必要性规则校验服务：建立数据校验机制，对接入系统的数据进行必要性审核，确保数据精简且有效；</w:t>
      </w:r>
    </w:p>
    <w:p w14:paraId="78CBA38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14）其它违法行为过滤规则适配升级服务：针对新增的违法行为类型或执法标准变化，及时调整相应的过滤规则，保障系统对各类违法行为的准确识别。</w:t>
      </w:r>
    </w:p>
    <w:p w14:paraId="0D2988D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四）违法上传服务升级服务</w:t>
      </w:r>
    </w:p>
    <w:p w14:paraId="15191E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6D511EA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1）违法上传服务按集成指挥平台要求，对应升级适配：依据集成指挥平台对违法数据的格式、传输协议等要求，升级违法上传服务，确保数据上传符合平台标准；</w:t>
      </w:r>
    </w:p>
    <w:p w14:paraId="3E6BF6C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2）违停预警上传服务按集成指挥平台要求，对应升级适配：按照集成指挥平台对违停预警数据的上传规范，优化上传服务功能，保障预警信息及时、准确上传；</w:t>
      </w:r>
    </w:p>
    <w:p w14:paraId="31DC3E2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3）集成指挥平台、公安交通管理综合应用平台，播放视频的网页更新适配：对两个平台中用于播放违法视频的网页进行技术更新，确保视频播放流畅；</w:t>
      </w:r>
    </w:p>
    <w:p w14:paraId="259277B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4）自动违停球：区分集指预警编号与集指违法编号，上传逻辑适配：明确自动违停球采集数据中两种编号的定义与使用场景，优化数据上传逻辑，确保编号对应的数据准确上传；</w:t>
      </w:r>
    </w:p>
    <w:p w14:paraId="012879B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5）视频监控抓拍：根据视频点位是否在集指平台备案，数据分别上传集指移动设备备案点位与视频点位本身：针对视频点位的备案情况，制定差异化上传策略，确保数据上传至正确的平台点位；</w:t>
      </w:r>
    </w:p>
    <w:p w14:paraId="0F87C1B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6）无牌车数据、乱码车数据判断比对上传过滤服务：通过数据比对技术，对无牌车、乱码车数据进行分析判断，优化上传与过滤逻辑，确保此类数据得到合理处理。</w:t>
      </w:r>
    </w:p>
    <w:p w14:paraId="63DC651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五）第三方数据接口查询适配</w:t>
      </w:r>
    </w:p>
    <w:p w14:paraId="04EC31C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74E0B35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1）景区限行报备车辆 (西湖通) 查询适配服务：适配西湖通平台的数据，实现对景区限行报备车辆信息的实时查询，为过滤规则提供数据支持；</w:t>
      </w:r>
    </w:p>
    <w:p w14:paraId="27F6EB3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2）车辆限行报备 (急事通) 接口查询适配服务：优化与急事通平台的数据对接，确保能够快速、准确查询车辆限行报备信息；</w:t>
      </w:r>
    </w:p>
    <w:p w14:paraId="540B9AC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3）错峰限行客车 (非公务车通行证) 接口查询适配服务：对接错峰限行客车的非公务车通行证管理系统，实现通行证信息的高效查询；</w:t>
      </w:r>
    </w:p>
    <w:p w14:paraId="1A1CF6E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4）错峰限行货车 (大货车限行通行证) 接口查询适配服务：适配大货车限行通行证管理系统，保障对限行区域内货车通行证信息的精准查询；</w:t>
      </w:r>
    </w:p>
    <w:p w14:paraId="2E8C5B0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5）新能源车 (蓝牌) 接口查询适配服务：对接车管所新能源车辆数据，实现对蓝牌新能源车的属性等信息的实时查询；</w:t>
      </w:r>
    </w:p>
    <w:p w14:paraId="6766BB7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6）六合一系统有效违法数据接口查询适配服务：优化与六合一系统的接口对接，确保能够准确查询有效违法数据，为执法数据提供判断依据；</w:t>
      </w:r>
    </w:p>
    <w:p w14:paraId="6D1FD76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7）集指平台有效违法数据接口查询适配服务：适配集成指挥平台的接口规范，实现对有效违法数据的快速查询与获取；</w:t>
      </w:r>
    </w:p>
    <w:p w14:paraId="1180296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8）短信发送接口适配，接口查询适配服务：优化短信发送接口的稳定性与效率，同时确保能够准确查询短信发送状态、记录等信息；</w:t>
      </w:r>
    </w:p>
    <w:p w14:paraId="544623E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9）货运导航系统接口查询适配服务：对接货运导航系统接口，实时查询货运导航路线、限行提示等信息，为货运车辆违法判断提供依据；</w:t>
      </w:r>
    </w:p>
    <w:p w14:paraId="32F860D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10）警务通优驾容错接口查询、写入适配服务：提供优驾容错接口与警务通系统对接，实现优驾容错相关信息的查询与写入，保障数据互通；</w:t>
      </w:r>
    </w:p>
    <w:p w14:paraId="77BC1EC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11）其他接口需求服务：针对新增的第三方系统接口需求，提供接口适配服务，确保系统能够与各类外部系统实现数据交互。</w:t>
      </w:r>
    </w:p>
    <w:p w14:paraId="0F64AA8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六）数据统计</w:t>
      </w:r>
    </w:p>
    <w:p w14:paraId="3BD34B5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473DE60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1）特殊活动与节假日，按需统计计算相关指标数据，形成报表用于查询与导出：在特殊活动及节假日期间，根据执法管理需求，统计违法数量、主要违法类型等指标，按需形成统计报表；</w:t>
      </w:r>
    </w:p>
    <w:p w14:paraId="3421BCB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2）国四柴油车日常接入、处理及短信发送统计服务：对国四柴油车数据的接入量、处理结果、短信发送数量等进行统计，按需形成统计报表</w:t>
      </w:r>
    </w:p>
    <w:p w14:paraId="036C7C8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3）部门违法统计，按部门，按数据来源类型、按日期后台加工计算统计指标：从部门、数据来源类型、日期三个维度，统计违法数据量指标；</w:t>
      </w:r>
    </w:p>
    <w:p w14:paraId="604A753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4）部门工作量统计，按部门、警员、日期，加工计算统计指标：从部门、警员、日期三个维度，统计执法人员的违法处理量、审核量等工作量指标；</w:t>
      </w:r>
    </w:p>
    <w:p w14:paraId="7190070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5）JJ车统计，按部门，日期，加工计算统计指标：针对 JJ 车的违法记录数据，按部门和日期进行统计分析，形成专项统计结果；</w:t>
      </w:r>
    </w:p>
    <w:p w14:paraId="2B3F06B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6）设备组采集统计，按设备组，日期、方向，加工计算统计指标：按设备组划分，结合日期和数据抓拍方向，统计设备的违法采集量、有效采集率等指标；</w:t>
      </w:r>
    </w:p>
    <w:p w14:paraId="5E8CD71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7）设备异常查询统计，按设备组，日期，加工计算统计指标。</w:t>
      </w:r>
    </w:p>
    <w:p w14:paraId="4070755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8）违法行为统计，按部门、日期，加工计算统计指标：按部门、日期，加工计算统计指标：按部门和日期，对各类违法行为的发生数量等进行统计，分析违法趋势；</w:t>
      </w:r>
    </w:p>
    <w:p w14:paraId="28930FE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9）监控抓拍统计，按统计维度、部门、警员、日期，加工计算统计指标；</w:t>
      </w:r>
    </w:p>
    <w:p w14:paraId="136C608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10）上传数据重复监测统计，按部门、设备组、日期，加工计算统计指标：按部门、设备组和日期，统计上传数据的重复次数、重复数据来源等指标，为数据质量优化提供依据；</w:t>
      </w:r>
    </w:p>
    <w:p w14:paraId="6479292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11）其他统计需求服务，按业务需求计算统计指标：针对其他临时性或专项统计需求，按照业务要求计算相应指标，提供定制化统计服务。</w:t>
      </w:r>
    </w:p>
    <w:p w14:paraId="7C08A8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七）数据摆渡升级服务</w:t>
      </w:r>
    </w:p>
    <w:p w14:paraId="25D5503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027A06F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1）违法数据摆渡服务，提供数据、图片、视频摆渡，以及摆渡频率配置：实现违法相关数据、现场图片及视频在不同网络间的摆渡传输，并可根据业务需求配置摆渡频率，保障数据及时流转；</w:t>
      </w:r>
    </w:p>
    <w:p w14:paraId="441CF2F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2）违停预警数据摆渡服务，提供数据、图片、视频摆渡，以及摆渡频率配置：将违停预警的相关数据、图片和视频传输至指定系统，支持根据预警紧急程度调整摆渡频率</w:t>
      </w:r>
    </w:p>
    <w:p w14:paraId="4B2A621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3）监控违法抓拍摆渡服务，提供数据、图片、视频摆渡，以及摆渡频率配置：将监控设备抓拍的违法数据、图片和视频进行跨网络摆渡，根据数据重要性设置不同的摆渡频率；</w:t>
      </w:r>
    </w:p>
    <w:p w14:paraId="5B7BFDF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景区限行报备车辆、车辆限行报备等相关数据摆渡服务，提供数据摆渡，以及摆渡频率配置：以及摆渡频率配置：对景区限行报备车辆、普通车辆限行报备等数据进行系统间摆渡，按报备信息的更新频率配置摆渡周期；</w:t>
      </w:r>
    </w:p>
    <w:p w14:paraId="0C3E522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部门人员信息、道路路段信息、违法采集设备信息等相关数据摆渡服务，提供数据摆渡，以及摆渡频率配置：将部门人员、道路路段、违法采集设备等基础信息在相关系统间进行摆渡，根据信息变更频率设置摆渡频率；</w:t>
      </w:r>
    </w:p>
    <w:p w14:paraId="0318DF9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6）违停短信提醒数据摆渡服务，提供数据、图片摆渡，以及摆渡频率配置：将违停短信提醒的相关数据和图片摆渡对接至部局短信发送系统，配置合理的摆渡频率确保提醒及时发送；</w:t>
      </w:r>
    </w:p>
    <w:p w14:paraId="0CE32E6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7）急事通数据摆渡服务，提供数据摆渡，以及摆渡频率配置：实现急事通通行报备数据在系统间的摆渡，根据报备数据的更新情况配置摆渡频率；</w:t>
      </w:r>
    </w:p>
    <w:p w14:paraId="5D9B6D1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8）西湖通数据摆渡服务，提供数据摆渡，以及摆渡频率配置：将西湖通相关数据在指定系统间进行摆渡，按照数据的时效性要求配置摆渡频率；</w:t>
      </w:r>
    </w:p>
    <w:p w14:paraId="0B7496E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9）货车导航数据摆渡服务，提供数据摆渡，以及摆渡频率配置：对接货运导航系统的数据，在相关系统间进行摆渡，根据导航数据的更新频率设置摆渡周期；</w:t>
      </w:r>
    </w:p>
    <w:p w14:paraId="7C899C4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10）其他信息摆渡服务，提供数据摆渡，以及摆渡频率配置：针对其他需要在系统间流转的信息，提供数据摆渡服务，并根据信息特点配置合适的摆渡频率。</w:t>
      </w:r>
    </w:p>
    <w:p w14:paraId="64E858C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szCs w:val="22"/>
          <w:highlight w:val="none"/>
        </w:rPr>
        <w:t>后台管理运营保障服务</w:t>
      </w:r>
    </w:p>
    <w:p w14:paraId="29D3D6C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69E0EB2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i w:val="0"/>
          <w:iCs w:val="0"/>
          <w:color w:val="auto"/>
          <w:kern w:val="2"/>
          <w:sz w:val="24"/>
          <w:szCs w:val="24"/>
          <w:highlight w:val="none"/>
          <w:u w:val="none"/>
          <w:lang w:val="en-US" w:eastAsia="zh-CN" w:bidi="ar"/>
        </w:rPr>
        <w:t>保障系统的正常运行，通过多维度监测系统的运行状态、数据传输情况、设备连接稳定性等，及时发现潜在问题；开展系统功能的测试、发布与部署工作，确保新功能顺利上线；对后台服务软件进行性能优化，提升系统对新增在线业务请求的解析、处理与转发效率；快速响应并解决系统日常使用中出现的操作故障、数据异常等问题；在重大活动期间，加强系统巡检与应急保障，确保系统在高负载情况下稳定运行，为执法工作提供可靠支撑。</w:t>
      </w:r>
    </w:p>
    <w:p w14:paraId="16F5AF6F">
      <w:pPr>
        <w:numPr>
          <w:ilvl w:val="0"/>
          <w:numId w:val="2"/>
        </w:numPr>
        <w:shd w:val="clear"/>
        <w:spacing w:line="360" w:lineRule="auto"/>
        <w:ind w:lef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货运导航数据及运营保障服务</w:t>
      </w:r>
    </w:p>
    <w:p w14:paraId="2E846B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服务期内完成货运导航数据及运营保障服务，包括互联网地图导航基础服务、城市货运导航数据运营服务等内容。</w:t>
      </w:r>
    </w:p>
    <w:p w14:paraId="2D93B49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1、互联网地图导航基础服务</w:t>
      </w:r>
    </w:p>
    <w:p w14:paraId="089DB4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（1）基于货车长宽高重等整体信息，结合限行政策、限行区内黑白名单等信息，为货车做线路规划；提供每天访问量100w次，并发访问个数100个的能力。</w:t>
      </w:r>
    </w:p>
    <w:p w14:paraId="140682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（2）基于货车长宽高重等整体信息，结合限行政策、限行区内黑白名单等信息，为货车做导航，提供显示、播报等sdk能力；提供每天访问量100w次，并发访问个数100个的能力。</w:t>
      </w:r>
    </w:p>
    <w:p w14:paraId="73F4E7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（3）基于规划的货车通行证线路信息，将其上传到互联网导航平台云端并做持久化保存；提供每天访问量30w次，并发访问个数50个的能力。</w:t>
      </w:r>
    </w:p>
    <w:p w14:paraId="369802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（4）基于互联网导航平台云端增加的线路信息，将其与路网绑定，形成唯一的货车通行证线路；提供每天访问量30w次，并发访问个数50个的能力。</w:t>
      </w:r>
    </w:p>
    <w:p w14:paraId="783502A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（5）基于关键字信息获取周边的POI信息，供货车导航确定起终点；提供每天访问量50w次，并发访问个数100个的能力。</w:t>
      </w:r>
    </w:p>
    <w:p w14:paraId="6392491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（6）基于定线导航id获取其线路规划的信息，供定线导航；提供每天访问量50w次，并发访问个数50个的能力.</w:t>
      </w:r>
    </w:p>
    <w:p w14:paraId="5123B932">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2、城市货运导航数据运营服务</w:t>
      </w:r>
    </w:p>
    <w:p w14:paraId="072243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2.1常态化货运交通组织优化调整服务</w:t>
      </w:r>
    </w:p>
    <w:p w14:paraId="55EE9C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（1）限行区域数据调整、制作、数据测试、数据发布服务；</w:t>
      </w:r>
    </w:p>
    <w:p w14:paraId="5B2B45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（2）禁行区域数据调整、制作、数据测试、数据发布服务；</w:t>
      </w:r>
    </w:p>
    <w:p w14:paraId="3F71CD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（3）黑名单道路调整、数据制作、数据测试、数据发布服务；</w:t>
      </w:r>
    </w:p>
    <w:p w14:paraId="1B610F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（4）避让区域的调整、数据制作、数据测试、数据发布服务；</w:t>
      </w:r>
    </w:p>
    <w:p w14:paraId="2DBECE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2.2新版智安通系统数据接口对接、数据运营服务。</w:t>
      </w:r>
    </w:p>
    <w:p w14:paraId="5AC49955">
      <w:pPr>
        <w:shd w:val="clea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rPr>
        <w:t>工程车基本信息获取接口，货运导航驾驶员服务端车辆绑定模块自动比对车辆类型，如为工程车，无法手动绑定车辆；</w:t>
      </w:r>
    </w:p>
    <w:p w14:paraId="50190C4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运输企业信息获取接口，货运导航工程车路线申请模块，根据企业信息，自动匹配企业名下的车辆信息、运输路线、停保路线、高峰路线信息，支撑工程车路线的申请、续办等功能；</w:t>
      </w:r>
    </w:p>
    <w:p w14:paraId="1BC562D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交治员信息获取接口，新版智安通增加交治员后，货运导航系统自动同步交治员信息，并自动开通货运导航管理账号，整合货运导航角色权限，自动开通运输企业登录货运导航申请路线的权限；</w:t>
      </w:r>
    </w:p>
    <w:p w14:paraId="21932A2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工地信息获取接口，自动同步至货运导航工程车路线申请模块，同时整合互联网地图，实现工地地理信息的地图展示，同时工程车路线申请时选择对应工地后，默认工地为工程车路线起点或终点，并基于互联网地图小客车引擎实现工程车路线的绘制；</w:t>
      </w:r>
    </w:p>
    <w:p w14:paraId="2E5B179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工程车驾驶员信息接口，自动同步驾驶员信息至货运导航后台，自动开通驾驶员账户，实现货运导航工程车驾驶员服务端的登录功能；</w:t>
      </w:r>
    </w:p>
    <w:p w14:paraId="3AA7560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驾驶员、车辆绑定信息获取接口，驾驶员服务端根据驾驶人身份信息和人车绑定关系自动匹配工程车列表，实现车辆列表的展示，如为工程车，展示运输路线、停保路线、高峰路线，供驾驶员选择对应路线类别的往返路线；</w:t>
      </w:r>
    </w:p>
    <w:p w14:paraId="16F0B67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运输企业、工地绑定信息获取接口，货运导航企业管理端路线申请模块，自动根据企业信息匹配企业关联的状态为正常施工状态的工地列表，供交治员申请路线时选择企业关联的有效工地；</w:t>
      </w:r>
    </w:p>
    <w:p w14:paraId="4A36D5C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人、车、企、绑定关系数据定时同步，定时更新人、车、企，驾驶人、车辆绑定关系，企业、车辆绑定关系，企业工地绑定关系，根据企业管理端工程车路线申请实际场景及驾驶员服务端通行报备场景，采用不同同步策略定时同步数据；</w:t>
      </w:r>
    </w:p>
    <w:p w14:paraId="66D221D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工程车定路功能升级、适配，包括运输路线、停保路线、高峰路线路线申请、交警审核审批，驾驶员服务端车辆管理、通行报备等功能的适配改造升级。</w:t>
      </w:r>
    </w:p>
    <w:p w14:paraId="42FF590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2.3车辆管理、业务逻辑控制功能升级、数据运营服务</w:t>
      </w:r>
    </w:p>
    <w:p w14:paraId="5A93B9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（1）车辆基础信息对接，获取车辆参数</w:t>
      </w:r>
    </w:p>
    <w:p w14:paraId="6CC1AF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（2）非现场违法信息对接，统计非现场违法未处理次数</w:t>
      </w:r>
    </w:p>
    <w:p w14:paraId="5D73FD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（3）车辆数据同步，车辆绑定时自动同步车辆参数、判断号牌号码、车型是否合规</w:t>
      </w:r>
    </w:p>
    <w:p w14:paraId="6C72B4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（4）防黄牛功能，按月限制用户车辆绑定、解绑次数，防范业务风险</w:t>
      </w:r>
    </w:p>
    <w:p w14:paraId="2B98F5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2.4工程车定路功能升级服务、数据运营服务</w:t>
      </w:r>
    </w:p>
    <w:p w14:paraId="6711B1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（1）运输路线、高峰路线、停保路线续办功能</w:t>
      </w:r>
    </w:p>
    <w:p w14:paraId="0835B3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（2）工程车路线系统自动化审核功能</w:t>
      </w:r>
    </w:p>
    <w:p w14:paraId="778601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2.5系统迁移改造服务</w:t>
      </w:r>
    </w:p>
    <w:p w14:paraId="7FB994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在服务期内完成政务云城市货运导航应用向信创云迁移改造服务，满足信创要求，具体内容如下：</w:t>
      </w:r>
    </w:p>
    <w:p w14:paraId="68874A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手机端业务服务接口：包括高德小程序及警察叔叔app端车辆管理、通行报备、路线规划、个人中心等功能接口服务。具体工作包括：迁移表及数据的整理、应用前后端架构分离、应用升级改造、安全访问改造、应用配置改造、应用数据链路调整、图片链路调整及保存、整体系统调试及优化。</w:t>
      </w:r>
    </w:p>
    <w:p w14:paraId="4B7803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管理模块：运输路线、停保路线、高峰路线运输企业申请端、交警审核端。具体工作包括：迁移表及数据的整理、应用前后端架构分离、应用升级改造、安全访问改造、应用配置改造、应用数据链路调整、图片链路调整及保存、整体系统调试及优化。</w:t>
      </w:r>
    </w:p>
    <w:p w14:paraId="799E79B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通行规则管理及查询功能：根据货车五要素（号牌颜色、本外埠、核载质量、载货性质、车辆类型）管理通行规则，驾驶员可在移动端根据五要素快速查询限行范围图、限行时段、限行路段、限行规则。具体工作包括：迁移表及数据的整理、应用前后端架构分离、应用升级改造、安全访问改造、应用配置改造、应用数据链路调整、图片链路调整及保存、整体系统调试及优化。</w:t>
      </w:r>
    </w:p>
    <w:p w14:paraId="434248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禁行措施管理及查询功能：对全市域禁行规则进行管理，驾驶员在移动端可根据区域分类查询禁行措施，具体工作包括：迁移表及数据的整理、应用前后端架构分离、应用升级改造、安全访问改造、应用配置改造、应用数据链路调整、图片链路调整及保存、整体系统调试及优化。</w:t>
      </w:r>
    </w:p>
    <w:p w14:paraId="703BA3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运营维护功能：针对大型活动或系统重大升级维护情况，发布相关系统维护页面，具体工作包括：迁移表及数据的整理、应用前后端架构分离、应用升级改造、安全访问改造、应用配置改造、应用数据链路调整、图片链路调整及保存、整体系统调试及优化。</w:t>
      </w:r>
    </w:p>
    <w:p w14:paraId="1B702F2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（四）安全防控治理服务</w:t>
      </w:r>
    </w:p>
    <w:p w14:paraId="35A2C2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安全防控治理建设服务，包括道路隐患分析模块、警情分析模块、安全宣教提升及分析模块、案件管理模块、涉案财务管理模块、违法业务监管模块等内容，支持在信创环境下部署使用。服务期满后，处置权归</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所有。</w:t>
      </w:r>
    </w:p>
    <w:p w14:paraId="6472767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1、道路隐患分析模块</w:t>
      </w:r>
    </w:p>
    <w:p w14:paraId="0A9517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模块以整合隐患治理信息为建设目标，实现道路事故数字化。通过地图可视化建立道路图层，围绕事故量设计规则，展示事故数量、隐患治理等时间空间分布信息。从隐患排查、工作量统计等维度进行隐患分析，协助工作人员更好的完成道路隐患治理工作。</w:t>
      </w:r>
    </w:p>
    <w:p w14:paraId="780C6F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（1）道路隐患地图</w:t>
      </w:r>
    </w:p>
    <w:p w14:paraId="116823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1）基础地理信息展示</w:t>
      </w:r>
    </w:p>
    <w:p w14:paraId="1DB5039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支持交通基础资源的数量、空间位置分布和实时状态的可视功能。实时道路隐患数据动态显示、预警。实现基础资源点位的地理位置标注及上图。</w:t>
      </w:r>
    </w:p>
    <w:p w14:paraId="21B170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2）道路隐患地图跟踪</w:t>
      </w:r>
    </w:p>
    <w:p w14:paraId="76D101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支持道路隐患事件可视化展示，根据隐患事件发生地点经纬度,进行事件上图，可以在地图上查看隐患事件发生地、事件数量等信息。</w:t>
      </w:r>
    </w:p>
    <w:p w14:paraId="3F53BB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地图页面支持提供实时更新的道路隐患事件列表，展示事件状态、处置进度、详细信息等内容。</w:t>
      </w:r>
    </w:p>
    <w:p w14:paraId="5DA09E9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3）道路隐患赋分上图</w:t>
      </w:r>
    </w:p>
    <w:p w14:paraId="678442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支持针对事故溯源的道路隐患进行赋分，在地图上建立道路图层，根据规则设定颜色分级。</w:t>
      </w:r>
    </w:p>
    <w:p w14:paraId="049827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4）隐患弹窗预警</w:t>
      </w:r>
    </w:p>
    <w:p w14:paraId="47F0FE3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支持针对事故多发点位、巡查周期情况等预警，对超出阈值的点段，长时间未巡查道路等进行弹窗预警。</w:t>
      </w:r>
    </w:p>
    <w:p w14:paraId="729AE4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（2）质效监管</w:t>
      </w:r>
    </w:p>
    <w:p w14:paraId="1CB2FF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1）业务流转监测</w:t>
      </w:r>
    </w:p>
    <w:p w14:paraId="6D7587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支持对隐患事件工单处理流程进行监测，避免隐患事件的堆积，流转过程系统监测到改变后及时通知办理人员。</w:t>
      </w:r>
    </w:p>
    <w:p w14:paraId="1C7A47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2）退回操作监测</w:t>
      </w:r>
    </w:p>
    <w:p w14:paraId="097BB2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隐患派发事件回退时，系统及时通知对应人员；系统随时监测数据操作情况，如发现回退操作，且经过分析该事件已经回退过2次及以上（不区分部门）时，将及时预警并通知中队、大队相关管理人员。如出现多次被退回的情况，则系统自动通知上一级管理人员，及时介入分析退回的原因，研判并协同后续的分派工作，保障事件的有序流转。</w:t>
      </w:r>
    </w:p>
    <w:p w14:paraId="58C4B5D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3）延期操作监测</w:t>
      </w:r>
    </w:p>
    <w:p w14:paraId="0BD9A3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支持延期申请、审核的通知功能。</w:t>
      </w:r>
    </w:p>
    <w:p w14:paraId="4B2D7F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4）超期数据监测</w:t>
      </w:r>
    </w:p>
    <w:p w14:paraId="127206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超时、治理超时等情况，根据超时时间，弹窗预警并对相应点位展开着重标记。针对事故溯源、治理不符合规范、治理敷衍等情况，进行巡查预警。如隐患事件超期后较长时间仍未办结，系统可能认定该事件为长期停滞事件，将会及时对大队、中队以及协同处置部门领导发送预警消息。</w:t>
      </w:r>
    </w:p>
    <w:p w14:paraId="230B48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5）长周期隐患事件管理</w:t>
      </w:r>
    </w:p>
    <w:p w14:paraId="3F771B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长周期事件处置周期长，容易发生脱管造成事件超期或其它异常情况，将长周期进行统一聚合管理，时刻关注长周期事件的进度情况，及时跟进催办，保障事件有效处置，允许直接通过列表进行催办等操作。催办操作应具备一键催办、自定义催办功能，同时发送催办信息。</w:t>
      </w:r>
    </w:p>
    <w:p w14:paraId="315C47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6）工作联系单功能（督办单等）</w:t>
      </w:r>
    </w:p>
    <w:p w14:paraId="581B6A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支持提供公文草拟功能，大队领导或具有权限的管理人员可以拟定相应的公文通知内容，并配合附件功能，撰写完成完整的公文通知信息。</w:t>
      </w:r>
    </w:p>
    <w:p w14:paraId="3C52F2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（3）隐患治理分析</w:t>
      </w:r>
    </w:p>
    <w:p w14:paraId="46FE5C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1）隐患排查分析</w:t>
      </w:r>
    </w:p>
    <w:p w14:paraId="520D69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数据碰撞，将异常增加/减少的道路、区域，按趋势进行排名。支持展示高风险减量道路启动数、治理数。点击高风险减量道路，二级弹窗列表形式展示详细的启动明细：包含启动年份、道路名称、大队、中队、启动时间、治理完成情况、勘察报告（含PDF文档与视频）、整改报告（含PDF文档与视频）；支持按道路名称、所属大队、所属中队、启动时间查询对应启动明细；支持展示事故高发道路TOP，滚动展示各区县TOP10，展示大队、道路名称、事故数三个字段。</w:t>
      </w:r>
    </w:p>
    <w:p w14:paraId="4B65DC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2)工作情况统计</w:t>
      </w:r>
    </w:p>
    <w:p w14:paraId="1D140C4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支持将隐患事件总量、治理率等统计指标排名。</w:t>
      </w:r>
    </w:p>
    <w:p w14:paraId="6A8A54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对道路现有的隐患数据进行统计分析，得出溯源道路的隐患情况，为溯源人员提供可能存在的隐患问题。支持展示斑马线事故数、占道施工、有灯不亮、无信号灯路口4个指标的亡人数和同比。支持展示隐患类型发现数、已治理数。</w:t>
      </w:r>
    </w:p>
    <w:p w14:paraId="13EC82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3）溯源分析</w:t>
      </w:r>
    </w:p>
    <w:p w14:paraId="6E4D54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辖区查看事故、隐患溯源信息，按照大队、中队两种辖区划分方式归集，展示累计事故量，隐患累计治理量等统计信息及同比变化情况。点击辖区可进一步查看近期事故数、近期隐患数等详细数据。点击某起事故或隐患可进一步查看事故详情或隐患治理情况。支持展示上群事故、三类事故、自主排查的隐患发现数、已完成数；支持展示专项整改当年启动总数；支持展示交通运输局、综合行政执法局、镇街等协同治理部门已完成数、治理中数；展示典型案例、政策文件、技术规范。</w:t>
      </w:r>
    </w:p>
    <w:p w14:paraId="6C1958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支持对接区县隐患治理一件事平台，获取隐患任务排查数据；支持将区县隐患治理一件事平台数据对接上云。</w:t>
      </w:r>
    </w:p>
    <w:p w14:paraId="42F1D3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4）隐患区域态势分析</w:t>
      </w:r>
    </w:p>
    <w:p w14:paraId="7ACF67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路段、交叉口查看事故，隐患溯源信息，展示累计事故量、累计隐患治理量等统计信息及同比变化情况。点击具体路段或交叉口可进一步查看详细数据，包括道路基础信息、近期事故信息、近期隐患治理信息等。点击某起事故或隐患可进一步查看事故详情或隐患治理情况。点击修改按钮可以对道路、交叉口基础信息进行更新。</w:t>
      </w:r>
    </w:p>
    <w:p w14:paraId="072BAE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支持自定义划区查看。支持自定义绘制关注区，绘制完毕后，系统支持自动归集统计有关数据，包括近期事故信息、近期隐患治理信息等。</w:t>
      </w:r>
    </w:p>
    <w:p w14:paraId="08626F7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2、警情分析模块</w:t>
      </w:r>
    </w:p>
    <w:p w14:paraId="480FD1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以实现“交通警情趋势预测、重大交通风险预警、重点交通违法预防、非交通事故警情预控”为建设目标，面向交警支队和大队指挥中心/指挥室，提供丰富的警情/风险/违法/事故情报线索、便捷的信息查询核实方式、及时的智能预警、数字化的反馈和归档统计，从“大数据”着手，全速提升交通警情治理工作质效。</w:t>
      </w:r>
    </w:p>
    <w:p w14:paraId="37ED5FD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（1）警情趋势分析与预测</w:t>
      </w:r>
    </w:p>
    <w:p w14:paraId="5D51C9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接入杭州城市大脑、杭州交警道路速度管控系统、浙江智慧110大数据应用、接处警APP、六合一平台、民情警务系统等系统提供的警情数据，分析近期一个时间周期和往年同一时间段（含公历和农历）的交通警情情况，综合天气、环境、活动等因素，对交通警情趋势进行数据化、智能化的精准预测。</w:t>
      </w:r>
    </w:p>
    <w:p w14:paraId="240114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（2）重大交通风险预警分析</w:t>
      </w:r>
    </w:p>
    <w:p w14:paraId="62CD439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不同类型重点车辆、不同类型重点群体、不同类型重点区域、不同类型重点时间节点设定不同标准的风险预警阈值；系统支持对事故数据进行多维度分析统计能力，在事故地图综合统计和地点详情分析维度的基础上支持更多类型的图表统计。统计范围可自主选择事故条件、空间条件、标签条件，同时生成图表结果描述文字，支持图表及描述文字的导出，并支持控制统计权限。</w:t>
      </w:r>
    </w:p>
    <w:p w14:paraId="20A976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接入杭州城市大脑交通V2.0、杭州交警道路速度管控系统、浙江智慧110大数据应用、接处警APP、六合一平台、民情警务系统等系统提供的警情数据，分析“两客一危一货”、私家车、网约车、电动车、摩托车等重点车辆，“一老一小”“三保”、外卖员、快递员等重点群体，交通警情高发道路、城市快速路、主干道等重点路段和党政机关、商圈、学校、医院周边等重点区域，“一早一晚”、恶劣天气、节假日等重点时间节点的警情发生情况；系统支持12个维度统计分析能力，分别为各大队事故统计、事故趋势统计、事故时间段统计、事故原因统计、事故形态统计、交通方式统计、事故有责方交通方式统计、事故高发地点统计、道路类型统计、事故天气统计、车辆使用性质统计、外牌车统计。支持按照大队统计事故数量、财损金额以及事故数量的同比、环比趋势，可区分死亡数、受伤数，可通过拖动进度条设定展示的大队数量。支持按照月度统计每月事故数量，分析事故数量的时间变化趋势，可区分受伤数、死亡数。支持按照周一至周日、一天24小时的维度统计每小时内的事故数量，形成事故时间热力图，可快速了解事故的高发时间段。</w:t>
      </w:r>
    </w:p>
    <w:p w14:paraId="386987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结果超过预设阈值时，系统自动触发重大风险预警，提示对应负责部门及时开展隐患治理和源头治理。系统支持关联搜索事故功能，将地点、车辆、人员、事故详情进行关联，通过事故搜索引擎，实现任意关键词搜索，并支持按照时间、辖区、事故类型、事故程序进行筛选。支持检索得到的事故记录可关联查看对应的事故档案，展示更详细的事故信息。</w:t>
      </w:r>
    </w:p>
    <w:p w14:paraId="508DE7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（3）非交通事故警情分析</w:t>
      </w:r>
    </w:p>
    <w:p w14:paraId="64697A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支持对接入警情数据进行细化分类，分析研判不同类别非交通事故警情成因，自动生成分析结果报告，为相关单位开展精准治理提供数据支撑。</w:t>
      </w:r>
    </w:p>
    <w:p w14:paraId="61230B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（4）警情展板</w:t>
      </w:r>
    </w:p>
    <w:p w14:paraId="4FBFCE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支持展示临近风险提示信息，展示最新5条风险提示信息，支持以不同颜色区分展示不同等级风险提示。</w:t>
      </w:r>
    </w:p>
    <w:p w14:paraId="6BA46B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支持展示交通警情、事故警情、其他警情数量，全杭州交通警情走势情况（支持按日、周、月、年时间维度统计、展示），各区县交警大队警情走势情况（支持按日、周、月、年时间维度统计、展示）。</w:t>
      </w:r>
    </w:p>
    <w:p w14:paraId="13E649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周、月、年时间维度统计展示趋势研判结果，包含交通事故类的网约出租群体趋势情况、外卖骑手群体趋势情况、运输企业群体趋势情况、私家车群体趋势情况、热点区域趋势情况、多次事故人员趋势情况，以及交通警情类的重复报警趋势情况。</w:t>
      </w:r>
    </w:p>
    <w:p w14:paraId="42FEB71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（5）风险提示查询</w:t>
      </w:r>
    </w:p>
    <w:p w14:paraId="67E0F5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所有风险提示信息；风险提示信息包含提示日期、提示时刻、警情内容及提示、风险类型、处置单位；支持筛选风险类型与处置单位；支持导出查询出的结果列表。</w:t>
      </w:r>
    </w:p>
    <w:p w14:paraId="335A06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（6）趋势研判</w:t>
      </w:r>
    </w:p>
    <w:p w14:paraId="41EC955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趋势研判情况；支持快捷选择周、月、年统计维度，查询对应周期内的趋势研判情况；包含私家车事故趋势情况、电动车事故趋势情况、大货车事故趋势情况、网约车事故趋势情况、外卖骑手事故趋势情况、热点区域事故趋势情况。</w:t>
      </w:r>
    </w:p>
    <w:p w14:paraId="2CD437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（7）警情地图</w:t>
      </w:r>
    </w:p>
    <w:p w14:paraId="54BAA5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杭州辖区GIS地图；支持选择起止日期、警情时段、警情类型、风险类型、趋势类型、处置单位、报警电话、处置结果8类检索条件，检索警情并在地图撒点展示；支持点击地图撒点后弹窗展示警情信息；支持自定义增加警情时段、报警电话；支持导出查询结果。支持事故热力图，直观的将事故数空间分布通过不同颜色呈现，并将事故数最多的10个地点以标签形式标记出来，与事故地点列表中的地点排名对应。</w:t>
      </w:r>
    </w:p>
    <w:p w14:paraId="78D933A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地图手动添加检索区域，在地图手动框选区域并以撒点形式展示对应区域内的警情分布情况，支持点击撒点后弹窗展示警情信息。支持事故热力图支持按照事故程序、事故类型、所属辖区、交通方式、事故原因、道路类型、地点类型、标签条件、事故详情、天气、碰撞类型、车辆类型进行筛选查询。支持事故标签条件包括事故、人、路、人、时段、环境等六大类。通过事故智能标签功能可以实现自动打标，包括大货车右转、超员超载、渣土车等40种标签。</w:t>
      </w:r>
    </w:p>
    <w:p w14:paraId="026B1FB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手动输入道路、区域名称检索对应区域警情情况，支持以撒点形式展示，支持点击撒点后弹窗展示警情信息。支持事故统计，对所选择时空范围的所有事故数据的全局统计分析，可以辅助掌握宏观事故分布规律，包括事故数统计、事故地点Top5、事故原因统计、事故形态统计、事故交通方式统计、事故列表等六大类。事故数统计支持按事故损害、事故类型、数据来源等维度分别统计。事故地点Top5支持按事故数排名和按死亡数排名，点击某个事故地点，地图可跳转定位至该处。</w:t>
      </w:r>
    </w:p>
    <w:p w14:paraId="778082A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（8）警情统计</w:t>
      </w:r>
    </w:p>
    <w:p w14:paraId="4E2FAA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从三合一、接处警、六合一等系统接入的警情数据关键字段与警情方案关联规则，系统自动分析、将各警情关联至警情方案。警情方案类型包含重复报警、报警五次以上、电动车事故、工程车事故、60岁以上老人事故、本地货运企业车辆事故、亡人事故等。</w:t>
      </w:r>
    </w:p>
    <w:p w14:paraId="15E3178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支持按起止日期、辖区、警情方案类型统计警情信息，支持导出。</w:t>
      </w:r>
    </w:p>
    <w:p w14:paraId="23D48E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（9）警情报告</w:t>
      </w:r>
    </w:p>
    <w:p w14:paraId="40C108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支持配置报告模板，自定义起止时间一键生成对应时间范围的警情报告。支持在线预览、下载报告。</w:t>
      </w:r>
    </w:p>
    <w:p w14:paraId="1D8FC85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3、安全宣教提升及分析模块</w:t>
      </w:r>
    </w:p>
    <w:p w14:paraId="1268AEA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（1）普通单位纳管和预警</w:t>
      </w:r>
    </w:p>
    <w:p w14:paraId="1D0FF0B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杭州市社保缴纳企业单位的纳管，建立对应的主体类型，并可以对企业单位的基本信息、属地管理信息进行查看、编辑，同时自动生成单位账号和单位联络员，后续可根据警察叔叔认证的身份证号和联络员的身份证号自动匹配，实现联络员对单位信息管理；</w:t>
      </w:r>
    </w:p>
    <w:p w14:paraId="067B563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支持普通单位与专业单位的相互转换和各个组织之间的单位迁移、支持全局单位信息的查询、安装组织维度进行企业的各项统计分析、支持企业单位安装属性分类统计等，同时提供普通单位的档案信息查询。</w:t>
      </w:r>
    </w:p>
    <w:p w14:paraId="3D5CA5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档案主要包括4大方面：</w:t>
      </w:r>
    </w:p>
    <w:p w14:paraId="074A637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的整体详情，包括企业的基本详情、企业单位纳管的职员、驾驶员和车辆的近三个月交通事故记录、近三个月交通违法记录、近三个月货导使用记录、驾驶员状态异常信息、车辆状态异常信息、单位检查记录信息以及企业单位的所有历史变更记录；</w:t>
      </w:r>
    </w:p>
    <w:p w14:paraId="419C94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驾驶员总览，包括查看驾驶员基础信息、驾驶员与车辆绑定关系、驾驶员的交安码信息以及各种维度的驾驶员查询/过滤/排序，支持查看驾驶员个人信息的历史操作记录，支持驾驶员入职选、常态宣、重点宣记录查询。</w:t>
      </w:r>
    </w:p>
    <w:p w14:paraId="27BE513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3）支持车辆总览，包括查看车辆的基础信息、人车绑定关系信息、动态分析的车辆属性信息以及各种维度的驾驶员查询/过滤/排序，支持查看车辆历史变更记录，以及车辆的事故、违法记录和货导使用记录；</w:t>
      </w:r>
    </w:p>
    <w:p w14:paraId="54B181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宣教总览，包含货车司机、客车司机、私家车、二轮摩托车、三轮电动(摩托)车、电动自行车、老年人、其他八个维度的宣教总体展示，点击即可详细查看各个维度精确到个人的已宣未宣详情信息，支持修改判断规则，按照六合一数据中的车辆情况进行判断是否是重点货车企业和客运企业。如果符合算法，给企业打上对应的标签：3辆以上营运黄牌货车、10辆以上工商黄牌货车、20辆以上工商蓝牌货车、危化品车等。支持某一些特殊企业需要调整为专业单位时，系统原有企业判断逻辑不变，需要通过手机端先对该企业进行主体转换，然后在PC端进行处理，锁定企业类型自动调整操作（包括企业一二级类型）。PC端在主体管理界面的企业信息中增加锁定升降级的操作按钮。</w:t>
      </w:r>
    </w:p>
    <w:p w14:paraId="2D778D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六合一车辆信息碰撞分析，计算出需要被纳管的单位，并进行预警，由管辖民警进行核录，实现普通单位应录未录自动研判。同时通过货导、事故、违法并结合六合一车辆信息碰撞分析，计算对单位中的应录未录的车辆、职员、驾驶员进行分析并预警，由联络员或者管理员进行核录。通过以上方式，溯清管理源头。</w:t>
      </w:r>
    </w:p>
    <w:p w14:paraId="529BFE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每个普通单位建立唯一的管理员，且管理员能对单位的联络员进行整体管理，包括联络员的添加、修改和删除，其中交警用户可对普通单位的管理员账号进行密码变更、重置等操作。</w:t>
      </w:r>
    </w:p>
    <w:p w14:paraId="513FD3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单位联络员与管理员都具备对驾驶员添加、车辆添加、其他群众添加三大核录功能。驾驶员添加实现驾驶员的手动核录和预警核录，包括驾驶员的基本信息和关联车辆信息的增加、删除、变更等操作；车辆添加实现车辆信息的手动核录和预警核录，包括对车辆基本信息的增加、删除、变更等操作；其他群众添加实现其他群众的手动核录，包括其他群众的基本信息和交通出行方式（包含私家车、二轮摩托车、三轮电动(摩托)车、电动自行车、步行或者公共交通）的增加、删除、变更等操作。交通出行方式。</w:t>
      </w:r>
    </w:p>
    <w:p w14:paraId="000B4F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支持按一定周期向宣教率低的普通单位联络员发送提醒短信，支持更新单位联络员联系方式。</w:t>
      </w:r>
    </w:p>
    <w:p w14:paraId="2C0E4F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（2）专业单位纳管</w:t>
      </w:r>
    </w:p>
    <w:p w14:paraId="52E27B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1）快递企业管理</w:t>
      </w:r>
    </w:p>
    <w:p w14:paraId="44534A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支持添加快递企业，建立对应的主体类型，并可以对快递企业的基本信息进行查看、编辑。</w:t>
      </w:r>
    </w:p>
    <w:p w14:paraId="2CA174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快递企业，由上至下分为一级类型和二级类型；一级类型为“快递企业”，二级类型由上至下分为4个小等级，第一级“品牌”、第二级“企业”、第三级“片区（网格）”、第四级“分支、末端”。支持直接创建二级类型快递企业，通过“上级组织选择”确定上下层级关系、通过“管辖部门”确定对应的属地管理部门。“上级组织选择”时，已选定“分支、末端”的快递企业支持关联选择上级的“企业”“片区（网格）”，不能选择“品牌”；已选定“片区”的快递企业支持关联选择上级的“企业”“品牌”；已选定“企业”的快递企业支持关联选择上级的的“品牌”和下级的“片区（网格）”。管理员可将品牌设为总公司，可按需要将下属公司归集到总公司中，或从总公司中剔除，总公司中的车辆，可以调拨到下属公司中。</w:t>
      </w:r>
    </w:p>
    <w:p w14:paraId="6D5EAB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选择快递企业分层，展示对应层级纳管驾驶员、车辆以及三轮快递数量。支持展示快递企业各类型宣教完成情况，支持从分类统计条跳转进入对应的单位详细列表以及该单位的已宣未宣人数，支持按未宣人数进行排序。支持选择某一个单位可以进入该单位的宣教具体已宣未宣人员名单。支持纳管原快递场站信息。</w:t>
      </w:r>
    </w:p>
    <w:p w14:paraId="041B7B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支持三轮快递员账号查看三宣状态。</w:t>
      </w:r>
    </w:p>
    <w:p w14:paraId="4D6F2A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2）外卖企业分级管理</w:t>
      </w:r>
    </w:p>
    <w:p w14:paraId="0E1B6F7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支持添加外卖企业，建立对应的主体类型，并可以对外卖企业的基本信息进行查看、编辑。支持将外卖骑手分为众包外卖和专送外卖骑手两类。</w:t>
      </w:r>
    </w:p>
    <w:p w14:paraId="74B3E73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外卖企业，由上至下分为一级类型和二级类型；一级类型为“外卖”，二级类型由上至下分为3个小等级，第一级“外卖平台”、第二级“外卖加盟商”、第三级“外卖站点”。支持直接创建二级类型外卖企业，通过“上级组织选择”确定上下层级关系、通过“管辖部门”确定对应的属地管理部门。当且仅当存在上级单位时，可直接限行创建下级单位并关联上级。当外卖企业某一层级已关联下一级企业时，不可删除、变更该层级外卖企业，仅在下级外卖企业均已删除后可删除、变更该层级外卖企业。</w:t>
      </w:r>
    </w:p>
    <w:p w14:paraId="74BD1E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专送骑手、众包骑手、其他群众的数量与宣教完成情况；支持从分类统计条跳转进入对应的企业详细列表以及该企业的已宣未宣人数，按未宣人数进行排序；支持查看某一企业的宣教已宣、未宣人员名单；支持纳管原“小象超市”信息，将原“其他群众”调整为骑手。</w:t>
      </w:r>
    </w:p>
    <w:p w14:paraId="6ABB78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支持限定外卖骑手学习教材类型，限定教材外的学习记录不纳入统计范畴。</w:t>
      </w:r>
    </w:p>
    <w:p w14:paraId="0AFC21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支持人工导入外卖平台和外卖站点信息，同步骑手的数据。</w:t>
      </w:r>
    </w:p>
    <w:p w14:paraId="106DE2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支持专送外卖骑手账号查看三宣状态。</w:t>
      </w:r>
    </w:p>
    <w:p w14:paraId="2AB4BE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3）网约车管理</w:t>
      </w:r>
    </w:p>
    <w:p w14:paraId="30BA26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支持增加网约车类型，将网约车司机学习出租网约车视频纳入常态</w:t>
      </w:r>
      <w:r>
        <w:rPr>
          <w:rFonts w:hint="eastAsia" w:ascii="宋体" w:hAnsi="宋体" w:cs="宋体"/>
          <w:color w:val="auto"/>
          <w:sz w:val="24"/>
          <w:highlight w:val="none"/>
          <w:lang w:val="en-US" w:eastAsia="zh-CN"/>
        </w:rPr>
        <w:t>化</w:t>
      </w:r>
      <w:r>
        <w:rPr>
          <w:rFonts w:hint="eastAsia" w:ascii="宋体" w:hAnsi="宋体" w:eastAsia="宋体" w:cs="宋体"/>
          <w:color w:val="auto"/>
          <w:sz w:val="24"/>
          <w:highlight w:val="none"/>
        </w:rPr>
        <w:t>管理。支持修改网约车驾驶员信息，支持网约车驾驶员身份与是否绑定车辆关联关系解耦。支持人工导入网约车平台主体信息，同步车辆和驾驶员的数据并关联网约车企业。</w:t>
      </w:r>
    </w:p>
    <w:p w14:paraId="2B9F20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4）职员管理</w:t>
      </w:r>
    </w:p>
    <w:p w14:paraId="6CBEFB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支持批量导入单位职工，职工基础信息包含单位共治码、单位名称、姓名、身份证、交通方式、电话号码、详细住址。支持调整已纳管职员的纳管单位。</w:t>
      </w:r>
    </w:p>
    <w:p w14:paraId="0F5156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支持查看其他群众数量和宣教进度，脱敏展示专业单位群众的档案信息。</w:t>
      </w:r>
    </w:p>
    <w:p w14:paraId="67937C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业单位人员选择职业交通方式，包含职业驾驶员、三轮快递员、外卖骑手。支持专业单位人员选择非职业交通方式，包含货车司机、出租网约车司机、客车司机、三轮快递员、外卖骑手、私家车、二轮摩托车、三轮电动(摩托)车、电动自行车、其他。每一类统计均支持点击查看相关企业的已宣、未宣人数以及进入企业查看具体的已宣、未宣人员清单。</w:t>
      </w:r>
    </w:p>
    <w:p w14:paraId="5C7D31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支持宣教周期管理，不同角色宣教周期不同。 </w:t>
      </w:r>
    </w:p>
    <w:p w14:paraId="4FD6A2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（3）宣教任务分析</w:t>
      </w:r>
    </w:p>
    <w:p w14:paraId="60E1852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支持通过单位的主体类型，自动分析其他群众、驾驶员的类型和宣教周期。</w:t>
      </w:r>
    </w:p>
    <w:p w14:paraId="624330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支持通过其他群众的交通出行方式自动分析需要观看的宣教视频，并自动推送对应的视频学习任务，实时展示学习任务的完成情况。</w:t>
      </w:r>
    </w:p>
    <w:p w14:paraId="53919889">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支持通过驾驶员的属性自动分析需要观看的宣教视频，并自动对送对应的宣教视频，展示驾驶员三宣的完成</w:t>
      </w:r>
      <w:r>
        <w:rPr>
          <w:rFonts w:hint="eastAsia" w:ascii="宋体" w:hAnsi="宋体" w:cs="宋体"/>
          <w:color w:val="auto"/>
          <w:sz w:val="24"/>
          <w:highlight w:val="none"/>
          <w:lang w:eastAsia="zh-CN"/>
        </w:rPr>
        <w:t>。</w:t>
      </w:r>
    </w:p>
    <w:p w14:paraId="0254A7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支持通过其他群众的年龄自动分析出老年人类别，并自动推送对应的宣教学习任务。</w:t>
      </w:r>
    </w:p>
    <w:p w14:paraId="60395B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一个其他群众有多种交通出行方式时，后台可以基于不同的出行方式分析出对应的宣教任务，判断是否已进行宣教，实现其他群众精准观看匹配视频，提高宣教质量。当群众同时具有驾驶员身份时，如果以驾驶员的身份完成了相关宣教任务且宣教视频类型满足条件的情况下，群众的宣教任务同步完成，无需重复观看。</w:t>
      </w:r>
    </w:p>
    <w:p w14:paraId="11199F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宣教人员交通出行方式或者人员类型发生变化时，后台会自动调整对应的宣教视频和任务、当周期中历史观看过对应宣教视频在整个宣教人员类型或出行方式变化时实现了周期内有效，宣教人员无需重复观看宣教视频。支持宣教人员自行选择宣教素材，宣教素材与宣教任务相符合时，同样记为宣教完成。管理员可按需要在不同时段将宣教素材置为推荐，推荐的素材会直接显示在宣教人的宣教任务中，实现每段时间宣教内容侧重点的灵活调整</w:t>
      </w:r>
    </w:p>
    <w:p w14:paraId="1C06C2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单位主体类型发生变化时，后台可以动态分析调整纳管人员的宣教周期。支持人员为驾驶员时，驾驶员纳管日期则从主体类型变更时间算，该驾驶员若需要从企业提出，则需要主体类型变更所在周期完成宣教或剔除日完成宣教。</w:t>
      </w:r>
    </w:p>
    <w:p w14:paraId="6520C5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（4）宣教质效管理</w:t>
      </w:r>
    </w:p>
    <w:p w14:paraId="6EB8C8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手机端支持交管人员按照支队、大队和中队维度查看纳管驾驶员、车辆、其他群众三个维度的数量统计和详情信息。</w:t>
      </w:r>
    </w:p>
    <w:p w14:paraId="5D0833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手机端支持交管人员按照交通出行方式查看统计宣教情况，整体查看各个交通出行方式的统计效果。</w:t>
      </w:r>
    </w:p>
    <w:p w14:paraId="34BADA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手机端支持交管人员对老年人查看统计宣教情况。</w:t>
      </w:r>
    </w:p>
    <w:p w14:paraId="08F712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手机端支持交管人员按照货车、客车两个机动车驾驶员维度查看统计宣教情况。 </w:t>
      </w:r>
    </w:p>
    <w:p w14:paraId="00AD7C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支持交管人员通过某一种交通出行方式查看管辖单位的宣教排名情况。</w:t>
      </w:r>
    </w:p>
    <w:p w14:paraId="5DCCDD3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手机端支持联络员和管理员按照查看纳管驾驶员、车辆、其他群众三个维度的数量统计和详情信息。</w:t>
      </w:r>
    </w:p>
    <w:p w14:paraId="1F2B07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交通出行方式查看统计宣教情况，整体查看各个交通出行方式的统计效果。支持联络员查看当前管理企业，支持交治民警查看所属辖区的统计情况，上级可以变更为下级辖区，以查看下属区域的情况。</w:t>
      </w:r>
    </w:p>
    <w:p w14:paraId="7E4055E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手机端支持联络员和管理员对老年人查看统计宣教情况。支持联络员查看当前管理企业，支持交治民警查看所属辖区的统计情况，上级可以变更为下级辖区，以查看下属区域的情况</w:t>
      </w:r>
    </w:p>
    <w:p w14:paraId="2F53D7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手机端支持联络员和管理员按照货车、客车两个机动车驾驶员维度查看统计宣教情况。 </w:t>
      </w:r>
    </w:p>
    <w:p w14:paraId="1F7D899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手机端支持联络员和管理员通过某一种交通出行方式查看具体的已宣未宣人员列表。支持提供人员姓名检索功能。</w:t>
      </w:r>
    </w:p>
    <w:p w14:paraId="76CB43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（5）安全宣教数据看板</w:t>
      </w:r>
    </w:p>
    <w:p w14:paraId="05B959A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支持将全市底数按照专业单位、普通单位、交警聚合三个维度分类；统计分析并展示三个维度底数数量。支持每一类统计下钻，包含重货、客车、网约车、外卖、非营运客车企业等企业数据统计。</w:t>
      </w:r>
    </w:p>
    <w:p w14:paraId="1D2181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并展示专业单位详细信息；包含单位、车辆、驾驶员、其他群众数量，今日已宣、今日观看数量，货车司机、客车司机、网约车司机、三轮快递员、外卖骑手、货运司机纳管数据，其他群众出行方式数据。</w:t>
      </w:r>
    </w:p>
    <w:p w14:paraId="2B2E9C4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4、案件管理模块</w:t>
      </w:r>
    </w:p>
    <w:p w14:paraId="3BC6AE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（1）案件处理</w:t>
      </w:r>
    </w:p>
    <w:p w14:paraId="2AE7E7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1）查询同步</w:t>
      </w:r>
    </w:p>
    <w:p w14:paraId="7300B3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支持案件查询，同步基本数据。</w:t>
      </w:r>
    </w:p>
    <w:p w14:paraId="05E6CD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2）基本信息管理</w:t>
      </w:r>
    </w:p>
    <w:p w14:paraId="5BF38ADC">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案件基本信息同步需要对接六合一平台</w:t>
      </w:r>
      <w:r>
        <w:rPr>
          <w:rFonts w:hint="eastAsia" w:ascii="宋体" w:hAnsi="宋体" w:cs="宋体"/>
          <w:color w:val="auto"/>
          <w:sz w:val="24"/>
          <w:highlight w:val="none"/>
          <w:lang w:eastAsia="zh-CN"/>
        </w:rPr>
        <w:t>。</w:t>
      </w:r>
    </w:p>
    <w:p w14:paraId="13339D34">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支持录入违法基本信息。</w:t>
      </w:r>
    </w:p>
    <w:p w14:paraId="564D2D61">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支持录入人员车辆信息。</w:t>
      </w:r>
    </w:p>
    <w:p w14:paraId="0AF8EB5F">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支持录入违法行为信息。</w:t>
      </w:r>
    </w:p>
    <w:p w14:paraId="5D42059D">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支持录入扣留或缴获物品信息。</w:t>
      </w:r>
    </w:p>
    <w:p w14:paraId="05A04C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3）立案决定书管理</w:t>
      </w:r>
    </w:p>
    <w:p w14:paraId="522A37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支持“立案决定书”、“现场强制审批表”模板生成，内容填充。支持打印下载，签字盖章后回传。</w:t>
      </w:r>
    </w:p>
    <w:p w14:paraId="2B5D77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4）调查取证</w:t>
      </w:r>
    </w:p>
    <w:p w14:paraId="1AA415A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支持核查涉案人信息，核查种类包括驾驶证信息、车辆信息、全国常住人口信息、交通违法涉酒前科信息查询、全国违法犯罪人员信息库等。</w:t>
      </w:r>
    </w:p>
    <w:p w14:paraId="1F442E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支持根据类型上传各种材料图片。</w:t>
      </w:r>
    </w:p>
    <w:p w14:paraId="31F226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上传图片时，支持将文件分片上传，断点续传。并支持批量上传</w:t>
      </w:r>
    </w:p>
    <w:p w14:paraId="06EC02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支持“自述材料”模板生成，内容填充。支持打印下载，签字盖章后回传。</w:t>
      </w:r>
    </w:p>
    <w:p w14:paraId="61C74F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支持“自述材料”模板上传下载、支持在线预览、打印及下载为常用格式（如PDF、Excel等）。支持不同的种类案件自定义不同的“自述材料”模板</w:t>
      </w:r>
    </w:p>
    <w:p w14:paraId="0A4096E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支持添加询问笔录，根据模板文件修改现场笔录，支持打印下载，签字盖章后回传。支持添加音频视频文件。</w:t>
      </w:r>
    </w:p>
    <w:p w14:paraId="74388D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支持音视频文件在线预览，并支持暂停、播放、快进、快退等操作</w:t>
      </w:r>
    </w:p>
    <w:p w14:paraId="0453E30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5）处罚告知管理</w:t>
      </w:r>
    </w:p>
    <w:p w14:paraId="1C86B1C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支持“处罚告知单”模板生成，内容填充；支持打印下载，签字盖章后回传。</w:t>
      </w:r>
    </w:p>
    <w:p w14:paraId="25F2FA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6）处罚审批管理</w:t>
      </w:r>
    </w:p>
    <w:p w14:paraId="253450E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支持“处罚审批单”模板生成、内容填充、逐级审批；支持办案民警提交审批，由大队法制科、大队领导、支队法制处、支队领导逐级审批，可选择下级审批人。</w:t>
      </w:r>
    </w:p>
    <w:p w14:paraId="598EFD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审批流整合工作流中间件，实现流程图绘制、发布等，并支持流程自定义，不同的业务绑定不同的流程。支持会签、或签、依次审批、抄送、驳回、转办、委派、加签、减签、撤销、终止等操作。</w:t>
      </w:r>
    </w:p>
    <w:p w14:paraId="6C0E96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7）处罚决定管理</w:t>
      </w:r>
    </w:p>
    <w:p w14:paraId="3538C0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支持“处罚决定单”模板生成、“收缴清单”模板生成、内容填充、打印下载、签字盖章后回传。</w:t>
      </w:r>
    </w:p>
    <w:p w14:paraId="3BD85F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8）决定后文书管理</w:t>
      </w:r>
    </w:p>
    <w:p w14:paraId="73E506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支持“公安交通管理转递通知书”模板生成、内容填充、打印下载、签字盖章后回传。</w:t>
      </w:r>
    </w:p>
    <w:p w14:paraId="65AB92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7CEB79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“办理注销最高/实习期准驾车型业务通知书” 模板生成、内容填充、打印下载、签字盖章后回传。</w:t>
      </w:r>
    </w:p>
    <w:p w14:paraId="5FB466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5E0BE2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“满分教育通知书”模板生成、内容填充、打印下载、签字盖章后回传。</w:t>
      </w:r>
    </w:p>
    <w:p w14:paraId="4DAF9E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支持“办理注销最高/实习期准驾车型业务通知书”模板上传下载、支持在线预览、打印及下载为常用格式（如Excel、PDF等）</w:t>
      </w:r>
    </w:p>
    <w:p w14:paraId="585AF2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“返还物品凭证”模板生成、内容填充、打印下载、签字盖章后回传。</w:t>
      </w:r>
    </w:p>
    <w:p w14:paraId="4938DC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支持“返还物品凭证”模板上传下载、支持在线预览、打印及下载为常用格式（如Excel、PDF等）</w:t>
      </w:r>
    </w:p>
    <w:p w14:paraId="6207D4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“领取车辆通知书”模板生成、内容填充、打印下载、签字盖章后回传。</w:t>
      </w:r>
    </w:p>
    <w:p w14:paraId="1622221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支持“领取车辆通知书”模板上传下载、支持在线预览、打印及下载为常用格式（如Excel、PDF等）</w:t>
      </w:r>
    </w:p>
    <w:p w14:paraId="22930E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“强制措施凭证”模板生成、内容填充、打印下载、签字盖章后回传。</w:t>
      </w:r>
    </w:p>
    <w:p w14:paraId="39D079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支持“强制措施凭证”模板上传下载、支持在线预览、打印及下载为常用格式（如Excel、PDF等）</w:t>
      </w:r>
    </w:p>
    <w:p w14:paraId="76CE308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“强制措施审批表” 模板生成、内容填充、打印下载、签字盖章后回传。</w:t>
      </w:r>
    </w:p>
    <w:p w14:paraId="0EAEF9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支持“强制措施审批表”模板上传下载、支持在线预览、打印及下载为常用格式（如Excel、PDF等）</w:t>
      </w:r>
    </w:p>
    <w:p w14:paraId="46EE44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“道路安全违法行为处理通知书” 模板生成、内容填充、打印下载、签字盖章后回传。</w:t>
      </w:r>
    </w:p>
    <w:p w14:paraId="7DCA18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支持“道路安全违法行为处理通知书”模板上传下载、支持在线预览、打印及下载为常用格式（如Excel、PDF等）</w:t>
      </w:r>
    </w:p>
    <w:p w14:paraId="5FF1BE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9）结案归档管理</w:t>
      </w:r>
    </w:p>
    <w:p w14:paraId="6B0C0B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支持结案归档操作，将案件进行结案并生成电子组卷。</w:t>
      </w:r>
    </w:p>
    <w:p w14:paraId="55EFEC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（2）案件审批</w:t>
      </w:r>
    </w:p>
    <w:p w14:paraId="474C81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1）待审批单据管理</w:t>
      </w:r>
    </w:p>
    <w:p w14:paraId="7C56B1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支持案件审批、查看案件电子组卷、在线评判案件并录入信息，支持查看、下载本案件关联的语音/视频链接。</w:t>
      </w:r>
    </w:p>
    <w:p w14:paraId="08897E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2）已审批单据管理</w:t>
      </w:r>
    </w:p>
    <w:p w14:paraId="14CE074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支持查看案件电子组卷、撤销已审批通过的案件信息。</w:t>
      </w:r>
    </w:p>
    <w:p w14:paraId="4178365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案件办理统计分析，支持饼状图分析，柱状图分析，多维度可视化分析</w:t>
      </w:r>
      <w:r>
        <w:rPr>
          <w:rFonts w:hint="eastAsia" w:ascii="宋体" w:hAnsi="宋体" w:cs="宋体"/>
          <w:color w:val="auto"/>
          <w:sz w:val="24"/>
          <w:highlight w:val="none"/>
          <w:lang w:eastAsia="zh-CN"/>
        </w:rPr>
        <w:t>。</w:t>
      </w:r>
    </w:p>
    <w:p w14:paraId="0B0262B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预警模型统计分析，支持饼状图分析，柱状图分析，多维度可视化分析</w:t>
      </w:r>
      <w:r>
        <w:rPr>
          <w:rFonts w:hint="eastAsia" w:ascii="宋体" w:hAnsi="宋体" w:cs="宋体"/>
          <w:color w:val="auto"/>
          <w:sz w:val="24"/>
          <w:highlight w:val="none"/>
          <w:lang w:eastAsia="zh-CN"/>
        </w:rPr>
        <w:t>。</w:t>
      </w:r>
    </w:p>
    <w:p w14:paraId="2D80DE1A">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监督模型统计分析，支持饼状图分析，柱状图分析，多维度可视化分析</w:t>
      </w:r>
      <w:r>
        <w:rPr>
          <w:rFonts w:hint="eastAsia" w:ascii="宋体" w:hAnsi="宋体" w:cs="宋体"/>
          <w:color w:val="auto"/>
          <w:sz w:val="24"/>
          <w:highlight w:val="none"/>
          <w:lang w:eastAsia="zh-CN"/>
        </w:rPr>
        <w:t>。</w:t>
      </w:r>
    </w:p>
    <w:p w14:paraId="072F19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3）逾期未处理</w:t>
      </w:r>
    </w:p>
    <w:p w14:paraId="0BE49E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支持查看逾期未处理案件信息。</w:t>
      </w:r>
    </w:p>
    <w:p w14:paraId="6BA9FF8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涉案财务统计分析，支持饼状图分析，柱状图分析，多维度可视化分析</w:t>
      </w:r>
      <w:r>
        <w:rPr>
          <w:rFonts w:hint="eastAsia" w:ascii="宋体" w:hAnsi="宋体" w:cs="宋体"/>
          <w:color w:val="auto"/>
          <w:sz w:val="24"/>
          <w:highlight w:val="none"/>
          <w:lang w:eastAsia="zh-CN"/>
        </w:rPr>
        <w:t>。</w:t>
      </w:r>
    </w:p>
    <w:p w14:paraId="65EC9C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4）评判查询</w:t>
      </w:r>
    </w:p>
    <w:p w14:paraId="01699B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支持查看所有已评判案件信息。</w:t>
      </w:r>
    </w:p>
    <w:p w14:paraId="3FE0D81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复议诉讼统计分析，支持饼状图分析，柱状图分析，多维度可视化分析</w:t>
      </w:r>
      <w:r>
        <w:rPr>
          <w:rFonts w:hint="eastAsia" w:ascii="宋体" w:hAnsi="宋体" w:cs="宋体"/>
          <w:color w:val="auto"/>
          <w:sz w:val="24"/>
          <w:highlight w:val="none"/>
          <w:lang w:eastAsia="zh-CN"/>
        </w:rPr>
        <w:t>。</w:t>
      </w:r>
    </w:p>
    <w:p w14:paraId="5010670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5）案件电子组卷管理</w:t>
      </w:r>
    </w:p>
    <w:p w14:paraId="12CEB4F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支持下载并打印电子组卷、整体页面放大缩小、生成电子组卷的目录并点击进行页面跳转；支持进行翻阅电子组卷，支持单张翻页、整章翻页。</w:t>
      </w:r>
    </w:p>
    <w:p w14:paraId="7E2A07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（3）案件办理总览</w:t>
      </w:r>
    </w:p>
    <w:p w14:paraId="03D20C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支持提供案件办理信息，包含案件办理数量、案件审批数量、归档案卷展示服务。</w:t>
      </w:r>
    </w:p>
    <w:p w14:paraId="496C2843">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5、涉案财务管理模块</w:t>
      </w:r>
    </w:p>
    <w:p w14:paraId="7D1D6C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（1）涉案车辆管理</w:t>
      </w:r>
    </w:p>
    <w:p w14:paraId="395390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1）涉案车辆内网处置</w:t>
      </w:r>
    </w:p>
    <w:p w14:paraId="5C962F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支持以关键词筛选、查询、导出涉案车辆信息，支持查询到结果后补录、修改信息。</w:t>
      </w:r>
    </w:p>
    <w:p w14:paraId="39F0AD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支持根据车辆违法行为信息及涉案车辆的来源，自动匹配四类车型数据。。</w:t>
      </w:r>
    </w:p>
    <w:p w14:paraId="1916B4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支持将车辆违法信息、处理点信息、扣留点信息以短信形式通知当事人。</w:t>
      </w:r>
    </w:p>
    <w:p w14:paraId="7C76B3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支持放车管理、特殊放车管理、放车审核、打印放车单。</w:t>
      </w:r>
    </w:p>
    <w:p w14:paraId="7D225F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2）涉案车辆财产管理</w:t>
      </w:r>
    </w:p>
    <w:p w14:paraId="183F38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支持通过组合条件查询出扣留车辆信息，短信告知当事人。</w:t>
      </w:r>
    </w:p>
    <w:p w14:paraId="335F5B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支持涉案车辆评估/拍卖管理、涉案车辆拍卖查验录入、车辆转运管理、审核管理。</w:t>
      </w:r>
    </w:p>
    <w:p w14:paraId="7E0747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支持涉案车辆书面告知管理、上传书面告知邮寄凭证、上传登报公告证明、公告期满提醒、移交财政管理、报废车处置。</w:t>
      </w:r>
    </w:p>
    <w:p w14:paraId="66E9A1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3）涉案车辆超期预警</w:t>
      </w:r>
    </w:p>
    <w:p w14:paraId="10C920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支持法定时自动预警、入库超期、扣留超期、回收超期管理。</w:t>
      </w:r>
    </w:p>
    <w:p w14:paraId="374496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支持法定时限自动预警。支持快速准确掌握车扣时长，防止出现因告知不及时、不到位，导致扣车超过法定时效，引发群众不满意，根据扣车类型及法定期限不同，设置黄、橙、红三色自动预警。</w:t>
      </w:r>
    </w:p>
    <w:p w14:paraId="34C32D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支持入库超期。车辆被扣留后，如车辆未及时入库到对应停车场的，进行超期预警，系统中超期的数据用鲜艳的颜色标明，同时自动发短信提醒民警；入库时限可以以大队为单位进行自定义。</w:t>
      </w:r>
    </w:p>
    <w:p w14:paraId="6DFE0D6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支持扣留超期。车辆扣留后，当事人逾期未来处理的，进行超期预警，系统中超期的数据用鲜艳的颜色标明，同时自动发短信通知当事人或则车主；逾期时限可以以大队为单位进行自定义。</w:t>
      </w:r>
    </w:p>
    <w:p w14:paraId="53E82F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支持回收超期。车辆回收审核通过后，逾期未进行回收的，进行超期预警，系统中超期的数据用鲜艳的颜色标明，同时自动发短信提醒民警；逾期时限可以以大队为单位进行自定义。</w:t>
      </w:r>
    </w:p>
    <w:p w14:paraId="66E41D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4）涉案车辆统计分析</w:t>
      </w:r>
    </w:p>
    <w:p w14:paraId="60C68F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支持执法清障统计、涉案车辆处置摸底统计、停车场车辆数据统计、停车场车辆预警分析、特殊放车查询与统计。</w:t>
      </w:r>
    </w:p>
    <w:p w14:paraId="1FCA5E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（2）停车场管理</w:t>
      </w:r>
    </w:p>
    <w:p w14:paraId="043149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1）三方系统对接</w:t>
      </w:r>
    </w:p>
    <w:p w14:paraId="77EA02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支持对接三方系统，同步停车场信息。</w:t>
      </w:r>
    </w:p>
    <w:p w14:paraId="1068CF8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2）出入库管理</w:t>
      </w:r>
    </w:p>
    <w:p w14:paraId="664D48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支持出入库状态管理、车辆入库管理、车辆出库管理、车辆转运管理、车辆信息修改、数据导出。</w:t>
      </w:r>
    </w:p>
    <w:p w14:paraId="5E3B3D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3）停车场用户管理</w:t>
      </w:r>
    </w:p>
    <w:p w14:paraId="4BAE42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支持新增停车场用户、修改/重置用户密码。</w:t>
      </w:r>
    </w:p>
    <w:p w14:paraId="666D11CF">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支持使用内置默认修改、重置。密码用户密码加密规则使用国密M4算法，同时支持M1/M2/M3</w:t>
      </w:r>
      <w:r>
        <w:rPr>
          <w:rFonts w:hint="eastAsia" w:ascii="宋体" w:hAnsi="宋体" w:cs="宋体"/>
          <w:color w:val="auto"/>
          <w:sz w:val="24"/>
          <w:highlight w:val="none"/>
          <w:lang w:eastAsia="zh-CN"/>
        </w:rPr>
        <w:t>。</w:t>
      </w:r>
    </w:p>
    <w:p w14:paraId="0F8828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4）停车场信息管理</w:t>
      </w:r>
    </w:p>
    <w:p w14:paraId="21A9486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支持编辑维护停车场相关信息，查看维护记录。</w:t>
      </w:r>
    </w:p>
    <w:p w14:paraId="67F553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5）停车场费用管理</w:t>
      </w:r>
    </w:p>
    <w:p w14:paraId="14531D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支持停车场费用类型管理、绑定，费用明细设置，停车费估算。</w:t>
      </w:r>
    </w:p>
    <w:p w14:paraId="2E8C1F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6）停车场状态管理</w:t>
      </w:r>
    </w:p>
    <w:p w14:paraId="0526B0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支持状态设置、启用状态、关闭状态、状态切换、状态恢复操作。</w:t>
      </w:r>
    </w:p>
    <w:p w14:paraId="5196BC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状态需要同时同步停车场用户小程序端，扫码入场出场；</w:t>
      </w:r>
    </w:p>
    <w:p w14:paraId="22E8B3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入库操作，扫描车辆二维码，生成一条操作记录，并支持上传入库照片。记录相关车辆、停车场、操作人信息及具体操作内容(入库)和时间等。这些信息可以用于入库操作的审计和活动记录查询。</w:t>
      </w:r>
    </w:p>
    <w:p w14:paraId="35A6B0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出库操作，扫描车辆二维码，生成一条操作记录，并支持上传出库照片。记录相关车辆、停车场、操作人信息及具体操作内容(入库)和时间等。这些信息可以用于出库操作的审计和活动记录查询。</w:t>
      </w:r>
    </w:p>
    <w:p w14:paraId="54CDBE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通过对接现有内网停车场管理系统，全量清洗并导入内网停车场信息，实现对接的信息有清障信息、入库信息、放车单信息、出库信息、停车场的用户信息、停车场信息、停车场停放存量车辆信息等。</w:t>
      </w:r>
    </w:p>
    <w:p w14:paraId="4E5B16B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（3）涉案证件管理</w:t>
      </w:r>
    </w:p>
    <w:p w14:paraId="1B72A9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1）涉案证件状态管理</w:t>
      </w:r>
    </w:p>
    <w:p w14:paraId="66F6275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支持对涉案证件的状态进行分类管理。</w:t>
      </w:r>
    </w:p>
    <w:p w14:paraId="477EE4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涉案证件数据需要支持六合一平台同步更新，需要对接六合一平台。</w:t>
      </w:r>
    </w:p>
    <w:p w14:paraId="3AE59E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涉案财务（涉案车辆、涉案证件）超期提醒</w:t>
      </w:r>
    </w:p>
    <w:p w14:paraId="160CC16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2）涉案证件接收管理</w:t>
      </w:r>
    </w:p>
    <w:p w14:paraId="3271C2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支持证件录入、证件接收、证件拒收。</w:t>
      </w:r>
    </w:p>
    <w:p w14:paraId="648AA4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3）涉案证件出入库管理</w:t>
      </w:r>
    </w:p>
    <w:p w14:paraId="5B9CC9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支持证件查询、证件入库、证件返还、证件暂扣、证件吊销、证件移交、证件调用操作。</w:t>
      </w:r>
    </w:p>
    <w:p w14:paraId="098CBD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4）涉案证件超期预警</w:t>
      </w:r>
    </w:p>
    <w:p w14:paraId="251E17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入库超期、超期扣留、暂扣超期预警。</w:t>
      </w:r>
    </w:p>
    <w:p w14:paraId="5D776F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（4）涉案血液/尿样管理</w:t>
      </w:r>
    </w:p>
    <w:p w14:paraId="6DFBBD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1）血液/尿样状态管理</w:t>
      </w:r>
    </w:p>
    <w:p w14:paraId="15A5AA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支持涉案相关血液/尿样状态分类管理，包含待送检、已送检、已检测。</w:t>
      </w:r>
    </w:p>
    <w:p w14:paraId="7464D2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2）血液/尿样接收管理</w:t>
      </w:r>
    </w:p>
    <w:p w14:paraId="7FEAB7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支持在涉案人员的血液/尿样移交到单位后并确认接收后，列表中的相应的数据消失，进入“待送检”状态。</w:t>
      </w:r>
    </w:p>
    <w:p w14:paraId="5E84C8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3）血液/尿样在库管理</w:t>
      </w:r>
    </w:p>
    <w:p w14:paraId="6C141BF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支持委托检验、读取/填写结果管理。</w:t>
      </w:r>
    </w:p>
    <w:p w14:paraId="1B194A5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4）血液/尿样超期管理</w:t>
      </w:r>
    </w:p>
    <w:p w14:paraId="49AA1A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支持送检超期、结果超期预警。</w:t>
      </w:r>
    </w:p>
    <w:p w14:paraId="16FEA2D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6、违法业务监管模块</w:t>
      </w:r>
    </w:p>
    <w:p w14:paraId="5D8844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（1）现场执法监管</w:t>
      </w:r>
    </w:p>
    <w:p w14:paraId="078EE1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1）执法异常风险监管</w:t>
      </w:r>
    </w:p>
    <w:p w14:paraId="271D2A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现场执法数据，支持视频调取查看，结合交管执法过程中的各项数据，通过对现场执法存在的异常数据（部局通报）分析，当发现分析的结果存在异常时，系统及时予以提示，并将异常人员纳入黑名单进行管理。</w:t>
      </w:r>
    </w:p>
    <w:p w14:paraId="7C99C9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（2）非现场执法监管</w:t>
      </w:r>
    </w:p>
    <w:p w14:paraId="494FA1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1）窗口违法处理监管</w:t>
      </w:r>
    </w:p>
    <w:p w14:paraId="37B5F4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合交管执法过程中的各项数据，支持展示以及配置异常的数据模型，通过模型条件分析非现场处罚的异常数据，当发现分析的结果存在异常时，对窗口民警违反部局相关规定处理非现场违法的及时予以预警。</w:t>
      </w:r>
    </w:p>
    <w:p w14:paraId="4855587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2）涉嫌“黄牛”人员监管</w:t>
      </w:r>
    </w:p>
    <w:p w14:paraId="74D55E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支持分析非现场处罚数据，发现疑似“黄牛”情形的进行预警提示。</w:t>
      </w:r>
    </w:p>
    <w:p w14:paraId="15AABA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3）违停开单监管</w:t>
      </w:r>
    </w:p>
    <w:p w14:paraId="64FBE9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未拍照监管。针对违停车辆进行现场违停开单时，对出现违停开单成功但未拍照上传的情况进行监管分析，同时针对该类数据的发生时间、发生地点、开单人等信息进行统计分析，并对高频数据进行预警展示。</w:t>
      </w:r>
    </w:p>
    <w:p w14:paraId="2415CE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拍照数量监管。在针对违停车辆进行现场违停开单时，对出现违停开单成功但拍照上传的数量不符合规范要求情况进行监管分析，同时针对该类数据的发生时间、发生地点、开单人等信息进行统计分析，并对高频数据进行预警展示。</w:t>
      </w:r>
    </w:p>
    <w:p w14:paraId="26ED3E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（3）案事件预警监管</w:t>
      </w:r>
    </w:p>
    <w:p w14:paraId="7C8AF7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1）行政案件监管</w:t>
      </w:r>
    </w:p>
    <w:p w14:paraId="577BAB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行政案件统计。支持统计行政案件总数，实现同比、环比对比统计，图形化展示各办案单位办理情况；按警告、罚款、吊销驾照、暂扣驾照、行政拘留等处罚类型做柱状图和环形图对比。</w:t>
      </w:r>
    </w:p>
    <w:p w14:paraId="40084E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分析。支持对比各办案单位查处行政案件情况；对比行政案件的处罚种类；对比案件查处类型；对比案件查处结案率。支持对行政复议、诉讼案件进行分析，按年份、单位、办案民警进行数据对比展示；对行政复议、诉讼案件中同一违法行为在同一地点以及同一民警反复出现进行分析；对反复出现的复议申请人、复议、诉讼违法地点进行预警并自动生成分析报告。</w:t>
      </w:r>
    </w:p>
    <w:p w14:paraId="08E99D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2）刑事案件监管</w:t>
      </w:r>
    </w:p>
    <w:p w14:paraId="71AA31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刑事案件统计。支持统计刑事案件总数，实现同比、环比对比统计，图形化展示各办案单位办理情况；统计刑事案件立案数据，实现年度对比，统计各办案单位超期立案情况，图形化展示</w:t>
      </w:r>
      <w:r>
        <w:rPr>
          <w:rFonts w:hint="eastAsia" w:ascii="宋体" w:hAnsi="宋体" w:cs="宋体"/>
          <w:color w:val="auto"/>
          <w:sz w:val="24"/>
          <w:highlight w:val="none"/>
          <w:lang w:eastAsia="zh-CN"/>
        </w:rPr>
        <w:t>。</w:t>
      </w:r>
    </w:p>
    <w:p w14:paraId="3BA5AC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统计刑事案件采取强错数据，图形化展示各办案单位办理情况；统计刑事案件执行逮捕案件数据，实现按年度对比，图形化展示；统计刑事案件移送起诉案件数据，实现按年度对比，图形化展示；按受案、立案、强制措施、起诉分类统计刑事案件相关数据。</w:t>
      </w:r>
    </w:p>
    <w:p w14:paraId="520A15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支持刑事案件分析。支持历年刑事案件受理数量和立案数量同比、环比对比分析；刑事强制措施件数、执行逮捕件数、移送起诉件数同比、环比对比分析；受案、立案分析。</w:t>
      </w:r>
    </w:p>
    <w:p w14:paraId="3E70DD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通肇事案件监管。支持监督以下内容：责任认定书或复核决定书作出后7日内是否立案；立案后7日内是否采取强制措施；取保候审一个月、三个月、六个月、九个月分别作办案期限提醒告知，临近十二个月作临近告知，达到十二个月作期满告知、超过十二个月通报超期；刑事拘留三日、七日、三十日前一天作临近告知，达三日、七日未申请延长的、达到三十日未提请逮捕的作期满告知，超过三日、七日、三十日无审批延长、同意提请批准逮捕决定的通报超期；立案日期距侦查终结日期每达到一个月的作期限提醒告知，超过三个月、六个月、九个月、十二个月的作期限预警告知；侦查终结后公安交通管理综合应用平台未作出吊销驾驶证或限制申领驾驶证决定的，一个月作期限提醒告知，两个月后每月作预警告知；亡人交通事故现场勘查之日起，三十日内是否作出责任认定书；交通肇事案件刑事立案之后，三十日内是否办结（移送起诉或撤案）；需要追究刑事责任的亡人交通事故，自现场勘查之日起，六十日内是否办结（移送起诉或撤案）。调取交通事故数据，责任认定书或复核决定书；抽取立案日期、采取取保候审、刑事拘留、延长刑事拘留日期、提请逮捕日期、侦查终结日期。监督案件从立案、采取强制措施、移送起诉情况以及后续吊销机动车驾驶人驾驶证决定或作出限制申领驾驶证措施落实情况，消除事故责任认定生效后久拖不立、怠于办案和取消、限制驾驶人驾驶资格不及时的执法隐患。</w:t>
      </w:r>
    </w:p>
    <w:p w14:paraId="49572E0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危险驾驶案件（醉驾）监管。支持监管以下内容：刑事立案后三十日内是否办结（其中路查案件是否十日内办结）；立案后7日内是否采取强制措施；取保候审一个月、三个月、六个月、九个月分别作办案期限提醒告知，临近十二个月作临近告知，达到十二个月作期满告知、超过十二个月通报超期；刑事拘留三日、七日前一天作临近告知，达三日未申请延长的作期满告知，超过三日无审批延长、超过七日未呈请取保候审或侦查终结的通报超期；立案日期距侦查终结日期每达到一个月的作期限提醒告知，超过一个月的每月作期限预警告知；在警综系统中，受理为危险驾驶案的案件是否及时立案或不予立案，按照三日、七日、三十日分别作办案期限提醒告知；警综平台作出移送意见书或不予立案决定书前，公安交通管理综合应用平台未作出吊销驾驶证或限制申领驾驶证决定的，预警告知；案件受理后十五日内作出吊销驾驶证或限制申领驾驶证决定，临近五日作期限提醒告知，超过十五日后每周作预警告知。抽取立案日期、采取取保候审、刑事拘留、延长刑事拘留日期、侦查终结日期、现场抽血试管编号、日期、当事人身份证、强制凭证编号；送检日期、检验机构作出检验结论日期。监督酒醉驾案件的血样抽取、送检时限以及案件及时办理以及后续吊销机动车驾驶人驾驶证决定或作出限制申领驾驶证措施落实情况，消除送检、不规范引发的执法风险和取消、限制驾驶人驾驶资格不及时的执法隐患。</w:t>
      </w:r>
    </w:p>
    <w:p w14:paraId="749769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（4）涉案财物监管</w:t>
      </w:r>
    </w:p>
    <w:p w14:paraId="4836A7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1）涉案车辆监管</w:t>
      </w:r>
    </w:p>
    <w:p w14:paraId="0BF28E6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支持违规扣车监管、未入库监管、扣车后未及时鉴定监管、鉴定后未及时返还、超期未通知公告/未回收监管、超期未出库监管、违法未处理车辆出库监管。</w:t>
      </w:r>
    </w:p>
    <w:p w14:paraId="474931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2）涉案证件监管</w:t>
      </w:r>
    </w:p>
    <w:p w14:paraId="6329F9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支持证件未入库监管、证件暂扣未处理监管、证件未转递监管。</w:t>
      </w:r>
    </w:p>
    <w:p w14:paraId="72A1D7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3）涉案血液/尿样监管</w:t>
      </w:r>
    </w:p>
    <w:p w14:paraId="0921A0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支持监管“涉案血液/尿样管理”模块功能。通过关联强制措施数据，接入机构的血液、尿样等检验结果数据，并对结果进行展示</w:t>
      </w:r>
    </w:p>
    <w:p w14:paraId="77C826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4）收缴物品监管</w:t>
      </w:r>
    </w:p>
    <w:p w14:paraId="7AF097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获取并分析强制措施的数据，对相关物品未及时入库进行监管，对已入库且保存一定时间后未及时履约处置手续的物品进行监管。</w:t>
      </w:r>
    </w:p>
    <w:p w14:paraId="38746D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5）涉案财物动态跟踪</w:t>
      </w:r>
    </w:p>
    <w:p w14:paraId="560FA5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行政案件、刑事案件、事故处理中扣留或扣押涉案财物进行动态跟踪。自动抓取涉及扣留强制措施违法代码和本地平台中抓取采取刑事取保措施信息，并结合“停车场管理系统”对行政、刑事案件、事故处理中扣留或扣押涉案财物（涉案机动车、非机动车、涉案驾驶证、行驶证及其他涉案财物管理）进行动态跟踪。</w:t>
      </w:r>
    </w:p>
    <w:p w14:paraId="081D27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实现对相关涉案财物的扣留或扣押、入库、移交、调用、返还、出库等整个流程中不同时间节点，以及规定时限等质态分析。</w:t>
      </w:r>
    </w:p>
    <w:p w14:paraId="1BD8D28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6）涉案财物处置预警</w:t>
      </w:r>
    </w:p>
    <w:p w14:paraId="4E6DBD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支持涉案财物处置预警。对行政案件办案完毕或刑事案件移送起诉或事故处理完毕，未对扣留或扣押涉案财物进行处置的进行预警。</w:t>
      </w:r>
    </w:p>
    <w:p w14:paraId="51CD80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7）涉案财物超期预警</w:t>
      </w:r>
    </w:p>
    <w:p w14:paraId="4CD1B8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支持涉案财物超期预警。涉案财物被扣留或扣押，已经达到暂扣期限的，系统中超期的数据用鲜艳的颜色标明。</w:t>
      </w:r>
    </w:p>
    <w:p w14:paraId="76BDA4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并提醒民警要将涉案财物超期未返还的信息，通过短信服务，发送短信提醒当事人。</w:t>
      </w:r>
    </w:p>
    <w:p w14:paraId="342EF8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（5）执法画像</w:t>
      </w:r>
    </w:p>
    <w:p w14:paraId="27F7D9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民警画像。针对不同岗位的民警制定对应的考评模型，系统获取其执法数据，通过对执法总量、时段、区域、类型、异常执法数据、撤销处罚等情况自动分析评分，形成个人执法画像，为调整勤务、管理队伍提供参考。</w:t>
      </w:r>
    </w:p>
    <w:p w14:paraId="2E7A52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单位画像。根据各大队办理行政处罚案件种类、时间和空间分布、是否被投诉、复议、是否被撤销、是否败诉等进行分析，并结合办理的刑事案件时间和空间分布等对大队评定执法规范化模型指数，形成评分排名，并依据排名环比情况，及时整改执法短板弱项。</w:t>
      </w:r>
    </w:p>
    <w:p w14:paraId="51D2AE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人群画像。通过分析机动车驾驶人、非机动车驾驶人、行人等不同人群的违法行为种类和交通事故形态，以及违法行为人和事故当事人的年龄、住所地、职业、身份情况数据分布，形成对违法和事故重点人群针对性的延伸监管。</w:t>
      </w:r>
    </w:p>
    <w:p w14:paraId="0BB156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支持分析生成执法行为画像。通过对违法行为和交通事故的人群、形态、时间、地点分布情况进行分析画像，指导违法查处和事故隐患排查，路面交通组织工作。</w:t>
      </w:r>
    </w:p>
    <w:p w14:paraId="09729C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支持分析生成电子警察画像。根据电子警察分布情况，梳理抓拍违法行为的种类、数量等数据，对各处罚时段、交通违法行为占比及环比增减量情况进行画像，推动辖区大队对路面交安设施进行调整。</w:t>
      </w:r>
    </w:p>
    <w:p w14:paraId="7941DF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（6）业务评估</w:t>
      </w:r>
    </w:p>
    <w:p w14:paraId="4567CF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1）执法监督数据</w:t>
      </w:r>
    </w:p>
    <w:p w14:paraId="564A46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支持管理执法监督数据，生成民警个人数据、单位数据，并对数据进行审核。</w:t>
      </w:r>
    </w:p>
    <w:p w14:paraId="1EE3F5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个人数据：系统根据部局、总队考核方案、考核指标设置的规则，对系统中获取的各种原始数据进行处理，生成各民警的、各考核指标考核数据。</w:t>
      </w:r>
    </w:p>
    <w:p w14:paraId="50A07C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单位数据：系统根据部局、总队考核方案、考核指标设置的规则，对系统中获取的各种原始数据进行处理，生成各单位的、各指标考核数据。</w:t>
      </w:r>
    </w:p>
    <w:p w14:paraId="276AF8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数据审核：对系统自动考核形成的各单位、人员的指标考核数据进行审核，审核通过则成为正式的本次指标考核结果。系统提供数据修正、查询、汇总等功能。</w:t>
      </w:r>
    </w:p>
    <w:p w14:paraId="0E727C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2）个人成绩管理</w:t>
      </w:r>
    </w:p>
    <w:p w14:paraId="7DAD26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警号、姓名、时间范围等信息检索，并对其个人月度、年度成绩进行数据统计、结果分析展示，点击具体数据项时，支持跳转查看其对应的数据组成，包括但不限于监管类型、发生时间、情况简述等原始数据。</w:t>
      </w:r>
    </w:p>
    <w:p w14:paraId="4D741C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个人月成绩管理：对个人的月度考核成绩进行管理，包括：个人考核成绩展示：根据个人对应的月考核方案，查询、展示当月或指定月度的各指标考核成绩；点击某项指标成绩，可以查看统计的原始指标数据。</w:t>
      </w:r>
    </w:p>
    <w:p w14:paraId="1F8B81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年成绩管理：对个人的年度考核成绩进行管理，包括：个人考核成绩展示（根据个人对应的年度考核方案，查询、展示当年或指定年度的各指标考核成绩）；点击某项指标成绩，可以查看统计的原始指标数据。</w:t>
      </w:r>
    </w:p>
    <w:p w14:paraId="788E99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3）单位成绩管理</w:t>
      </w:r>
    </w:p>
    <w:p w14:paraId="19C6FF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部门、时间范围等信息检索，支持单位月度、年度成绩进行数据统计、结果分析展示，点击具体数据项时，支持跳转查看其对应的数据组成，包括但不限于人员信息、监管类型、发生时间、情况简述等原始数据。</w:t>
      </w:r>
    </w:p>
    <w:p w14:paraId="035BE7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单位月成绩管理：对单位的月度考核成绩进行管理，包括单位考核成绩展示（根据单位对应的月考核方案，查询、展示当月或指定月度的各指标考核成绩），点击某项指标成绩可以查看统计的原始指标数据。</w:t>
      </w:r>
    </w:p>
    <w:p w14:paraId="0AFC15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单位年成绩管理：对单位的年度考核成绩进行管理，包括单位考核成绩展示（根据单位对应的年考核方案，查询、展示当年或指定年度的各指标考核成绩），点击某项指标成绩可以查看统计的原始指标数据。</w:t>
      </w:r>
    </w:p>
    <w:p w14:paraId="11C00B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4）工作结果展示</w:t>
      </w:r>
    </w:p>
    <w:p w14:paraId="0D2815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支持对各单位、个人的指标完成情况按数据模型进行综合得分计算并分类排名，系统自动发布考评结果。</w:t>
      </w:r>
    </w:p>
    <w:p w14:paraId="0EF8425E">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二）服务要求</w:t>
      </w:r>
    </w:p>
    <w:p w14:paraId="6E94FF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1、具有较强的云计算及大数据开发、运维及服务能力，应具备网络安全技术、运维及服务能力； </w:t>
      </w:r>
    </w:p>
    <w:p w14:paraId="52EE96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2、为本项目投入必要安全硬件专业设备进行服务，以成熟技术进行必要的安全保障； </w:t>
      </w:r>
    </w:p>
    <w:p w14:paraId="6BAD8A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3、具备云平台和大数据建设能力、安全保障能力和丰富的项目经验。本项目服务期结束后，服务器存储硬盘内所存储数据需根据</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要求做好迁移及清理工作。</w:t>
      </w:r>
    </w:p>
    <w:p w14:paraId="110D16F3">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三）安全要求</w:t>
      </w:r>
    </w:p>
    <w:p w14:paraId="5888407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通过第三方检测（安全防控治理）及网络安全等级保护三级；根据商用密码应用安全管理要求，项目服务期结束前完成测评。乙方需做好相关检测和测评的配合工作，如因乙方原因未符合要求的，需负责整改到位。</w:t>
      </w:r>
    </w:p>
    <w:p w14:paraId="68D609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对于本项目中的安全防控治理，需根据信创要求，完成信创测评，如因乙方原因未符合要求的，需负责整改到位。</w:t>
      </w:r>
    </w:p>
    <w:p w14:paraId="158F145E">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四）服务响应时间</w:t>
      </w:r>
    </w:p>
    <w:p w14:paraId="0C2D34B7">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乙方提供7*24小时响应服务。接到甲方通知后应于15分钟内响应，4小时内解决问题；如现场驻点人员无法解决需乙方公司提供技术支持的，技术支持人员需3小时内到达现场，48小时内解决问题。</w:t>
      </w:r>
    </w:p>
    <w:p w14:paraId="0F0B9B3A">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五）人员要求</w:t>
      </w:r>
    </w:p>
    <w:p w14:paraId="2014699D">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1、人员配置</w:t>
      </w:r>
    </w:p>
    <w:p w14:paraId="304DF401">
      <w:pPr>
        <w:shd w:val="clear"/>
        <w:tabs>
          <w:tab w:val="left" w:pos="432"/>
        </w:tabs>
        <w:spacing w:line="360" w:lineRule="auto"/>
        <w:ind w:firstLine="480" w:firstLineChars="200"/>
        <w:outlineLvl w:val="1"/>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本项目将提供11名驻场人员和1名项目负责人的项目团队。其中：</w:t>
      </w:r>
    </w:p>
    <w:p w14:paraId="54C60DE0">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1）项目负责人（1名）配备标准：年龄55周岁（含）以下，本科及以上学历，具有信息化软硬件运维工作服务经验，主要负责项目整体实施管理、驻点人员管理，及与甲方的沟通协调等工作。</w:t>
      </w:r>
    </w:p>
    <w:p w14:paraId="095FB3F2">
      <w:pPr>
        <w:shd w:val="clear"/>
        <w:tabs>
          <w:tab w:val="left" w:pos="432"/>
        </w:tabs>
        <w:spacing w:line="360" w:lineRule="auto"/>
        <w:ind w:firstLine="480" w:firstLineChars="200"/>
        <w:jc w:val="left"/>
        <w:outlineLvl w:val="1"/>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2）驻点人员（11名）配备标准：年龄55周岁（含）以下，大专及以上学历，具有信息化软硬件运维工作服务经验，主要负责项目的具体实施工作，接受甲方统一管理，配合甲方工作。</w:t>
      </w:r>
    </w:p>
    <w:p w14:paraId="3425B7D5">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2、工作时间及地点</w:t>
      </w:r>
    </w:p>
    <w:p w14:paraId="7035A8AA">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1）项目负责人服务时间：7*24小时；</w:t>
      </w:r>
    </w:p>
    <w:p w14:paraId="6EA23C3B">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bCs/>
          <w:color w:val="auto"/>
          <w:sz w:val="24"/>
          <w:highlight w:val="none"/>
        </w:rPr>
        <w:t>2）驻点</w:t>
      </w:r>
      <w:r>
        <w:rPr>
          <w:rFonts w:hint="eastAsia" w:ascii="宋体" w:hAnsi="宋体" w:eastAsia="宋体" w:cs="宋体"/>
          <w:color w:val="auto"/>
          <w:sz w:val="24"/>
          <w:highlight w:val="none"/>
        </w:rPr>
        <w:t>人员服务时间：5*8小时，工作时间9：00-17：30；</w:t>
      </w:r>
    </w:p>
    <w:p w14:paraId="1AF8C511">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3）工作地点：杭州市公安局交通警察支队（杭州市文晖路336号）或指定地点。</w:t>
      </w:r>
    </w:p>
    <w:p w14:paraId="0B130FB6">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3、驻场人员工作内容</w:t>
      </w:r>
    </w:p>
    <w:p w14:paraId="13197718">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（1）专网云平台系统运行及数据治理、公安网数据治理，驻点人员7人，主要工作：</w:t>
      </w:r>
    </w:p>
    <w:p w14:paraId="495C136D">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1）日常维护杭州日常数据服务工作，常态化技术支持，完成数据接入及透出、数据开发和技术支持服务。</w:t>
      </w:r>
    </w:p>
    <w:p w14:paraId="01FD483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2）按要求完成每日平台巡查、数据服务链路维护和数据统计分析工作，检查系统运行情况，每周一上报并出具上周的巡检报告，确保系统的稳定运行，在服务期间驻点人员电话应保持畅通。</w:t>
      </w:r>
    </w:p>
    <w:p w14:paraId="6C616D9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3）完善数据上云申请流程，完成公安网数据资源的汇聚整合，实现数据统一汇聚。</w:t>
      </w:r>
    </w:p>
    <w:p w14:paraId="4DCDAB2B">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4）汇聚的数据进行标准化处理，根据公安大数据处理标准要求对数据进行重新整合。</w:t>
      </w:r>
    </w:p>
    <w:p w14:paraId="2BF23FF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5）以数据应用为导向，提升数据价值密度。</w:t>
      </w:r>
    </w:p>
    <w:p w14:paraId="6F874E7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6）保障上云数据链路，负责维护云上链路新建、维护等。</w:t>
      </w:r>
    </w:p>
    <w:p w14:paraId="14F0BE46">
      <w:pPr>
        <w:shd w:val="clear"/>
        <w:spacing w:line="360" w:lineRule="auto"/>
        <w:ind w:firstLine="42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（2）网络安全服务，驻场人员1人，主要工作：</w:t>
      </w:r>
    </w:p>
    <w:p w14:paraId="725FBDB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1）配合</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开展安全运营管理工作，提供5*8小时服务，负责公安信息网、视频专网、电子政务外网等相关网络的安全运营管理工作。</w:t>
      </w:r>
    </w:p>
    <w:p w14:paraId="286DF22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2）提供漏洞扫描的运行与维护。发现设备和系统中存在的风险点，帮助甲方分析技术措施的有效执行，了解漏洞的危害，通过及时修补完善，避免对信息系统造成严重影响。</w:t>
      </w:r>
    </w:p>
    <w:p w14:paraId="758C38BE">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3）提供对数据库审计系统的运行与维护，对业务的数据库进行审计。</w:t>
      </w:r>
    </w:p>
    <w:p w14:paraId="52DC79D1">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对日志审计系统的运行与维护，对各种网络、安全产品、服务器的日志以syslog协议发送到日志审计系统中，通过日志审计进行收集处理，日志存储和查询，提升对安全事件的追溯能力及手段，方便进行事件跟踪和定位，并为事件的还原提供有力证据。</w:t>
      </w:r>
    </w:p>
    <w:p w14:paraId="38F200D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5）在</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视频专网与公安网业务进行数据交换过程中，提供数据的机密性、完整性和可用性的服务，保护数据在跨网传输和通信过程中的安全。</w:t>
      </w:r>
    </w:p>
    <w:p w14:paraId="64D2D6B2">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6）采用边界防护工具对2条边界提供安全防护服务，服务包括基本网络防火墙功能、访问控制、入侵防御、病毒防护、用户认证、负载均衡、流量控制、资产识别、IPSec VPN，SSL VPN等服务。</w:t>
      </w:r>
    </w:p>
    <w:p w14:paraId="52BF0B5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当需要应急响应协助交警针对应用系统发生安全事件，并产生重大影响时，协调应急资源支持和应急人员支持，评估影响范围、事件抑制、溯源分析和复盘安全事件，协助开展业务恢复工作，并针对安全事件提供有效的整改意见</w:t>
      </w:r>
    </w:p>
    <w:p w14:paraId="4F43E6E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通过真实模拟黑客使用的工具、分析方法来对交警指定的信息系统进行模拟攻击，并结合智能工具扫描结果，进行深入的手工测试和分析，识别工具弱点扫描无法发现的问题。并对相关问题进行反馈提供加固建议。</w:t>
      </w:r>
    </w:p>
    <w:p w14:paraId="6A2D190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9）通过专业化的网络安全应急咨询服务，帮助建立健全应急响应组织以及预防、预警机制，制定出规范、全面、体系化的应急预案。</w:t>
      </w:r>
    </w:p>
    <w:p w14:paraId="53D210C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10）根据实际环境情况，提供多个场景下的演练方案，以模拟演练或者桌面推演的方式检验应急预案的完整性、可行性，提高应急处理能力。</w:t>
      </w:r>
    </w:p>
    <w:p w14:paraId="5A2E029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针对两会、国庆等重要时期协调人员现场保障服务，确保重要业务操作行为的可审计，抵御黑客、恶意代码、病毒等对用户信息系统的攻击与破坏，防止对用户信息系统的非法、非授权访问、恶意篡改、挂马等</w:t>
      </w:r>
    </w:p>
    <w:p w14:paraId="34FEEB4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12）强化主动发现并查处</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视频专网各类违规外联行为的能力，对发生的违规外联行为立即向甲方报告该行为，全面提升边界安全风险监管及发现能力，有效保障甲方内网安全、稳定、高效运行。</w:t>
      </w:r>
    </w:p>
    <w:p w14:paraId="4E4F56D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协助开展网络安全主管部门安全检查，协助开展等级保护定级、备案、建设整改、测评和监督检查等。</w:t>
      </w:r>
    </w:p>
    <w:p w14:paraId="5DF09D6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（3）货运导航数据及运营保障服务，驻点人员2人,主要工作：</w:t>
      </w:r>
    </w:p>
    <w:p w14:paraId="67CFE9EE">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1）提供常态化货运交通组织优化调整数据服务。</w:t>
      </w:r>
    </w:p>
    <w:p w14:paraId="077DEB5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2）提供城市货运导航推广运营服务，包括运输企业、货车驾驶员系统使用、信息咨询服务等。</w:t>
      </w:r>
    </w:p>
    <w:p w14:paraId="6F807A5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大型活动保障服务，在大型活动、会议期间，负责货运交通组织调整数据服务。不限于1、限行区域数据调整、制作、数据测试、数据发布服务；2、禁行区域数据调整、制作、数据测试、数据发布服务；3、黑名单道路调整、数据制作、数据测试、数据发布服务；4、避让区域的调整、数据制作、数据测试、数据发布服务等</w:t>
      </w:r>
    </w:p>
    <w:p w14:paraId="7118C55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4）提供系统开发和对接服务，完成常态化的系统正常运行保障和需求实现，包括省厅行政审批系统、货车通行证系统数据接口对接、数据运维服务。</w:t>
      </w:r>
    </w:p>
    <w:p w14:paraId="2654EF1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（4）非现场执法平台运营保障服务，驻场人员1人,主要工作：</w:t>
      </w:r>
    </w:p>
    <w:p w14:paraId="5A8D28F6">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根据部局六合一系统、集成指挥平台系统升级适配优化服务，对接部局平台，非现场平台报表统计服务，提供数据生命周期全流程监管服务；</w:t>
      </w:r>
    </w:p>
    <w:p w14:paraId="4C63434A">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4、其他要求：</w:t>
      </w:r>
    </w:p>
    <w:p w14:paraId="1A6673C3">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1）乙方应派驻固定的驻点人员，合同期内人员不得随意变动，因</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工作存在即时性和突发性，能够随时响应配合甲方的工作，利于合作的顺利开展；人员如需发生变更，乙方应提前1个月通知甲方，经甲方书面同意后方可更换，更换人员需在24小时内到位，确保任何时间都不得出现人员缺位现象，更换人员素质应不低于投标时的承诺。</w:t>
      </w:r>
    </w:p>
    <w:p w14:paraId="2F55BC41">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kern w:val="0"/>
          <w:sz w:val="24"/>
          <w:szCs w:val="20"/>
          <w:highlight w:val="none"/>
        </w:rPr>
        <w:t>对于本项目中提供的软硬件，需根据信创要求，完成信创测评，如因乙方原因未符合要求的，需负责整改到位</w:t>
      </w:r>
      <w:r>
        <w:rPr>
          <w:rFonts w:hint="eastAsia" w:ascii="宋体" w:hAnsi="宋体" w:eastAsia="宋体" w:cs="宋体"/>
          <w:bCs/>
          <w:color w:val="auto"/>
          <w:sz w:val="24"/>
          <w:highlight w:val="none"/>
        </w:rPr>
        <w:t>。</w:t>
      </w:r>
    </w:p>
    <w:p w14:paraId="6A29EF36">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5.培训要求：</w:t>
      </w:r>
    </w:p>
    <w:p w14:paraId="78C528FB">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培训对象：</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相关处室人员。培训人数根据甲方要求确定（不少于5人）。</w:t>
      </w:r>
    </w:p>
    <w:p w14:paraId="3EF3DEE2">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培训方式：主要为集中授课和现场操作应用指导培训，提供至少一年一次的培训。</w:t>
      </w:r>
    </w:p>
    <w:p w14:paraId="02FEDEF4">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培训地点：培训地点由项目乙方与甲方共同协商确定。</w:t>
      </w:r>
    </w:p>
    <w:p w14:paraId="2CE425EC">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培训内容：培训包括安全体系、视频专网数据体系、公安网数据体系以及应用改造流程普及。</w:t>
      </w:r>
    </w:p>
    <w:p w14:paraId="78784B86">
      <w:pPr>
        <w:shd w:val="clear"/>
        <w:tabs>
          <w:tab w:val="left" w:pos="432"/>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zh-CN"/>
        </w:rPr>
        <w:t>培训师资：由乙方提供1名技术人员或工程师。</w:t>
      </w:r>
    </w:p>
    <w:p w14:paraId="0CD7C354">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五）乙方网络安全责任和义务</w:t>
      </w:r>
    </w:p>
    <w:p w14:paraId="38B5342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（1）明确乙方法定代表人为合作事项网络安全第一责任人，具体承担合作事项的部门主要负责人为直接责任人。</w:t>
      </w:r>
    </w:p>
    <w:p w14:paraId="294A306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（2）乙方不得转包合同任务，未经甲方书面同意不得分包。</w:t>
      </w:r>
    </w:p>
    <w:p w14:paraId="6ED5D28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（3）乙方应制订与合作事项相关的网络安全保障方案和网络安全事件应急预案。</w:t>
      </w:r>
    </w:p>
    <w:p w14:paraId="75E0228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（4）乙方发现网络安全漏洞、缺陷或者其他严重网络安全风险，应10分钟内向甲方报告。</w:t>
      </w:r>
    </w:p>
    <w:p w14:paraId="76FD228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（5）处理合作事项的信息平台应当优先采用符合安全可靠测评要求的硬件和软件产品。</w:t>
      </w:r>
    </w:p>
    <w:p w14:paraId="0687CE5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（6）发生可能影响合作事项的网络安全重大事项，包括负责人及重要工作人员变更、业务转型、合并重组和投资并购等，乙方应提前向甲方报告。</w:t>
      </w:r>
    </w:p>
    <w:p w14:paraId="40647B7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（7）采用社会公共网络平台实施合作事项时，严禁涉及国家秘密和警务工作秘密。</w:t>
      </w:r>
    </w:p>
    <w:p w14:paraId="2E4C6D6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（8）乙方应2026年8月1日前向甲方提交一份网络安全报告。</w:t>
      </w:r>
    </w:p>
    <w:p w14:paraId="4516792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（9）其他应当落实的网络安全责任和义务。</w:t>
      </w:r>
    </w:p>
    <w:p w14:paraId="067EBC8C">
      <w:pPr>
        <w:shd w:val="clear"/>
        <w:spacing w:line="360" w:lineRule="auto"/>
        <w:ind w:firstLine="723" w:firstLineChars="3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六）保密条款：</w:t>
      </w:r>
    </w:p>
    <w:p w14:paraId="5777890E">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4490D288">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严格按照甲方规定使用、存储、处理文档资料和数据。合同终止时，应当交还全部甲方资料和数据。</w:t>
      </w:r>
    </w:p>
    <w:p w14:paraId="52385AF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乙方需与甲方签署保密协议，乙方对在项目实施期间所获得的甲方的情报和资料有保密义务（包括但不限于</w:t>
      </w:r>
      <w:r>
        <w:rPr>
          <w:rFonts w:hint="eastAsia" w:ascii="宋体" w:hAnsi="宋体" w:eastAsia="宋体" w:cs="宋体"/>
          <w:color w:val="auto"/>
          <w:sz w:val="24"/>
          <w:highlight w:val="none"/>
          <w:lang w:val="zh-CN"/>
        </w:rPr>
        <w:t>合同履</w:t>
      </w:r>
      <w:r>
        <w:rPr>
          <w:rFonts w:hint="eastAsia" w:ascii="宋体" w:hAnsi="宋体" w:eastAsia="宋体" w:cs="宋体"/>
          <w:color w:val="auto"/>
          <w:sz w:val="24"/>
          <w:highlight w:val="none"/>
        </w:rPr>
        <w:t>约</w:t>
      </w:r>
      <w:r>
        <w:rPr>
          <w:rFonts w:hint="eastAsia" w:ascii="宋体" w:hAnsi="宋体" w:eastAsia="宋体" w:cs="宋体"/>
          <w:color w:val="auto"/>
          <w:sz w:val="24"/>
          <w:highlight w:val="none"/>
          <w:lang w:val="zh-CN"/>
        </w:rPr>
        <w:t>期内</w:t>
      </w:r>
      <w:r>
        <w:rPr>
          <w:rFonts w:hint="eastAsia" w:ascii="宋体" w:hAnsi="宋体" w:eastAsia="宋体" w:cs="宋体"/>
          <w:color w:val="auto"/>
          <w:sz w:val="24"/>
          <w:highlight w:val="none"/>
        </w:rPr>
        <w:t>），泄漏秘密应承担的责任。如有违反，按合同的违约条款向甲方支付违约金，造成甲方损失的应予赔偿，涉嫌违法或犯罪的依法追究刑事责任。</w:t>
      </w:r>
    </w:p>
    <w:p w14:paraId="630EE0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若项目涉及分包的，乙方须按照以上保密要求，与分包供应商签订单位保密协议、个人保密承诺书、开展日常保密教育等措施，确保分包供应商严格落实各项保密规定，并与分包供应商承担连带责任。</w:t>
      </w:r>
    </w:p>
    <w:p w14:paraId="101FF356">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七）安全事故责任条款：</w:t>
      </w:r>
    </w:p>
    <w:p w14:paraId="20DD8E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因乙方或乙方派遣人员工作过错造成的安全管理事故，乙方负全部责任及相关费用。</w:t>
      </w:r>
    </w:p>
    <w:p w14:paraId="4369F4C8">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6F5710E">
      <w:pPr>
        <w:shd w:val="clea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附件一：考核</w:t>
      </w:r>
    </w:p>
    <w:p w14:paraId="32447537">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14:paraId="071BC81A">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本考核以月为考核周期，采用百分制计分方式，甲方根据逐条考核事项及对应扣分对乙方进行计分。乙方每被扣1分，扣除违约金</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00元，违约金在结算合同尾款时扣除。考核分值高于90分（含90分）视为合格，90分以下视为不合格；如乙方经甲方考评连续两次均为不合格，甲方有权无条件终止合同,并没收乙方全部履约保证金。如给甲方造成损失的有权向乙方提出索赔。</w:t>
      </w:r>
    </w:p>
    <w:p w14:paraId="2E9B22A5">
      <w:pPr>
        <w:shd w:val="clear"/>
        <w:spacing w:before="120"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每月考核表（2025年  月）</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01"/>
        <w:gridCol w:w="799"/>
        <w:gridCol w:w="4764"/>
        <w:gridCol w:w="928"/>
        <w:gridCol w:w="925"/>
      </w:tblGrid>
      <w:tr w14:paraId="55F4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62" w:type="dxa"/>
            <w:gridSpan w:val="3"/>
            <w:noWrap/>
            <w:vAlign w:val="center"/>
          </w:tcPr>
          <w:p w14:paraId="4AAC747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w:t>
            </w:r>
          </w:p>
        </w:tc>
        <w:tc>
          <w:tcPr>
            <w:tcW w:w="6617" w:type="dxa"/>
            <w:gridSpan w:val="3"/>
            <w:noWrap/>
            <w:vAlign w:val="center"/>
          </w:tcPr>
          <w:p w14:paraId="5C89BB4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6967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6FF0423C">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4" w:type="dxa"/>
            <w:gridSpan w:val="3"/>
            <w:tcBorders>
              <w:left w:val="single" w:color="auto" w:sz="4" w:space="0"/>
            </w:tcBorders>
            <w:noWrap/>
            <w:vAlign w:val="center"/>
          </w:tcPr>
          <w:p w14:paraId="236B7B35">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考核内容</w:t>
            </w:r>
          </w:p>
        </w:tc>
        <w:tc>
          <w:tcPr>
            <w:tcW w:w="928" w:type="dxa"/>
            <w:tcBorders>
              <w:left w:val="single" w:color="auto" w:sz="4" w:space="0"/>
            </w:tcBorders>
            <w:noWrap/>
            <w:vAlign w:val="center"/>
          </w:tcPr>
          <w:p w14:paraId="704B4C11">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考核 扣分</w:t>
            </w:r>
          </w:p>
        </w:tc>
        <w:tc>
          <w:tcPr>
            <w:tcW w:w="925" w:type="dxa"/>
            <w:tcBorders>
              <w:left w:val="single" w:color="auto" w:sz="4" w:space="0"/>
            </w:tcBorders>
            <w:noWrap/>
            <w:vAlign w:val="center"/>
          </w:tcPr>
          <w:p w14:paraId="403CA717">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E3E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4DB8084D">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01" w:type="dxa"/>
            <w:tcBorders>
              <w:left w:val="single" w:color="auto" w:sz="4" w:space="0"/>
            </w:tcBorders>
            <w:noWrap/>
            <w:vAlign w:val="center"/>
          </w:tcPr>
          <w:p w14:paraId="64B2D319">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交通管理数据全生命周期运营服务</w:t>
            </w:r>
          </w:p>
        </w:tc>
        <w:tc>
          <w:tcPr>
            <w:tcW w:w="5563" w:type="dxa"/>
            <w:gridSpan w:val="2"/>
            <w:tcBorders>
              <w:left w:val="single" w:color="auto" w:sz="4" w:space="0"/>
            </w:tcBorders>
            <w:vAlign w:val="center"/>
          </w:tcPr>
          <w:p w14:paraId="13370BC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按甲方实际需求完成当月交通管理数据全生命周期运营服务所要求的内容及数量（不限于甲方电话、微信、钉钉、短信等交办的），服务未达到当月要求的，每发生一次扣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w:t>
            </w:r>
          </w:p>
        </w:tc>
        <w:tc>
          <w:tcPr>
            <w:tcW w:w="928" w:type="dxa"/>
            <w:tcBorders>
              <w:left w:val="single" w:color="auto" w:sz="4" w:space="0"/>
            </w:tcBorders>
            <w:noWrap/>
            <w:vAlign w:val="center"/>
          </w:tcPr>
          <w:p w14:paraId="3B7373D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C5075B5">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0CCF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DA85C22">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01" w:type="dxa"/>
            <w:tcBorders>
              <w:left w:val="single" w:color="auto" w:sz="4" w:space="0"/>
            </w:tcBorders>
            <w:noWrap/>
            <w:vAlign w:val="center"/>
          </w:tcPr>
          <w:p w14:paraId="7728CF4B">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安全加固及应用迁移改造服务</w:t>
            </w:r>
          </w:p>
        </w:tc>
        <w:tc>
          <w:tcPr>
            <w:tcW w:w="5563" w:type="dxa"/>
            <w:gridSpan w:val="2"/>
            <w:tcBorders>
              <w:left w:val="single" w:color="auto" w:sz="4" w:space="0"/>
            </w:tcBorders>
            <w:vAlign w:val="center"/>
          </w:tcPr>
          <w:p w14:paraId="3C7BF4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按甲方实际需求完成安全加固及应用迁移改造服务所要求的内容及数量（不限于甲方电话、微信、钉钉、短信等交办的），服务未达到当月要求的，每发生一次扣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。在服务周期中，如因未按照合同要求进行服务或工作失误，导致发生重大安全事故并被上级部门通报的，每发生一次扣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4F47851C">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1BCDCC7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96B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2" w:type="dxa"/>
            <w:noWrap/>
            <w:vAlign w:val="center"/>
          </w:tcPr>
          <w:p w14:paraId="42197A3D">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01" w:type="dxa"/>
            <w:tcBorders>
              <w:left w:val="single" w:color="auto" w:sz="4" w:space="0"/>
            </w:tcBorders>
            <w:noWrap/>
            <w:vAlign w:val="center"/>
          </w:tcPr>
          <w:p w14:paraId="1BB79AD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货运导航数据及运营保障服务</w:t>
            </w:r>
          </w:p>
        </w:tc>
        <w:tc>
          <w:tcPr>
            <w:tcW w:w="5563" w:type="dxa"/>
            <w:gridSpan w:val="2"/>
            <w:tcBorders>
              <w:left w:val="single" w:color="auto" w:sz="4" w:space="0"/>
            </w:tcBorders>
            <w:vAlign w:val="center"/>
          </w:tcPr>
          <w:p w14:paraId="5D6AB7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按甲方实际需求完成货运导航数据及运营保障服务所要求的内容及数量（不限于甲方电话、微信、钉钉、短信等交办的），服务未达到当月要求的，每发生一次扣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63D8B4C1">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7C74C6CE">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B4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2" w:type="dxa"/>
            <w:noWrap/>
            <w:vAlign w:val="center"/>
          </w:tcPr>
          <w:p w14:paraId="0F6C599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01" w:type="dxa"/>
            <w:tcBorders>
              <w:left w:val="single" w:color="auto" w:sz="4" w:space="0"/>
            </w:tcBorders>
            <w:noWrap/>
            <w:vAlign w:val="center"/>
          </w:tcPr>
          <w:p w14:paraId="731D5E69">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安全防控治理服务</w:t>
            </w:r>
          </w:p>
        </w:tc>
        <w:tc>
          <w:tcPr>
            <w:tcW w:w="5563" w:type="dxa"/>
            <w:gridSpan w:val="2"/>
            <w:tcBorders>
              <w:left w:val="single" w:color="auto" w:sz="4" w:space="0"/>
            </w:tcBorders>
            <w:vAlign w:val="center"/>
          </w:tcPr>
          <w:p w14:paraId="2E9CAE9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按甲方实际需求完成安全防控治理服务所要求的内容及数量（不限于甲方电话、微信、钉钉、短信等交办的），服务未达到当月要求的，每发生一次扣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5E22080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2E3A1623">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2768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73C6C77C">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01" w:type="dxa"/>
            <w:tcBorders>
              <w:left w:val="single" w:color="auto" w:sz="4" w:space="0"/>
            </w:tcBorders>
            <w:noWrap/>
            <w:vAlign w:val="center"/>
          </w:tcPr>
          <w:p w14:paraId="1E82346A">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租赁设备符合情况</w:t>
            </w:r>
          </w:p>
        </w:tc>
        <w:tc>
          <w:tcPr>
            <w:tcW w:w="5563" w:type="dxa"/>
            <w:gridSpan w:val="2"/>
            <w:tcBorders>
              <w:left w:val="single" w:color="auto" w:sz="4" w:space="0"/>
            </w:tcBorders>
            <w:vAlign w:val="center"/>
          </w:tcPr>
          <w:p w14:paraId="7C38D77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未按照要求提供设备的，每发生一次扣</w:t>
            </w:r>
            <w:r>
              <w:rPr>
                <w:rFonts w:hint="eastAsia" w:ascii="宋体" w:hAnsi="宋体" w:eastAsia="宋体" w:cs="宋体"/>
                <w:b/>
                <w:bCs/>
                <w:color w:val="auto"/>
                <w:sz w:val="24"/>
                <w:highlight w:val="none"/>
              </w:rPr>
              <w:t>5分。</w:t>
            </w:r>
          </w:p>
        </w:tc>
        <w:tc>
          <w:tcPr>
            <w:tcW w:w="928" w:type="dxa"/>
            <w:tcBorders>
              <w:left w:val="single" w:color="auto" w:sz="4" w:space="0"/>
            </w:tcBorders>
            <w:noWrap/>
            <w:vAlign w:val="center"/>
          </w:tcPr>
          <w:p w14:paraId="54FEC915">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271437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B49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2480CB4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01" w:type="dxa"/>
            <w:tcBorders>
              <w:left w:val="single" w:color="auto" w:sz="4" w:space="0"/>
            </w:tcBorders>
            <w:noWrap/>
            <w:vAlign w:val="center"/>
          </w:tcPr>
          <w:p w14:paraId="2D82D7F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服务响应时间</w:t>
            </w:r>
          </w:p>
        </w:tc>
        <w:tc>
          <w:tcPr>
            <w:tcW w:w="5563" w:type="dxa"/>
            <w:gridSpan w:val="2"/>
            <w:tcBorders>
              <w:left w:val="single" w:color="auto" w:sz="4" w:space="0"/>
            </w:tcBorders>
            <w:vAlign w:val="center"/>
          </w:tcPr>
          <w:p w14:paraId="5DDF15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提供7*24小时响应服务。接到甲方通知后应于</w:t>
            </w:r>
            <w:r>
              <w:rPr>
                <w:rFonts w:hint="eastAsia" w:ascii="宋体" w:hAnsi="宋体" w:eastAsia="宋体" w:cs="宋体"/>
                <w:b/>
                <w:bCs/>
                <w:color w:val="auto"/>
                <w:sz w:val="24"/>
                <w:highlight w:val="none"/>
              </w:rPr>
              <w:t>15分钟</w:t>
            </w:r>
            <w:r>
              <w:rPr>
                <w:rFonts w:hint="eastAsia" w:ascii="宋体" w:hAnsi="宋体" w:eastAsia="宋体" w:cs="宋体"/>
                <w:color w:val="auto"/>
                <w:sz w:val="24"/>
                <w:highlight w:val="none"/>
              </w:rPr>
              <w:t>内响应，</w:t>
            </w:r>
            <w:r>
              <w:rPr>
                <w:rFonts w:hint="eastAsia" w:ascii="宋体" w:hAnsi="宋体" w:eastAsia="宋体" w:cs="宋体"/>
                <w:b/>
                <w:bCs/>
                <w:color w:val="auto"/>
                <w:sz w:val="24"/>
                <w:highlight w:val="none"/>
              </w:rPr>
              <w:t>4小时内</w:t>
            </w:r>
            <w:r>
              <w:rPr>
                <w:rFonts w:hint="eastAsia" w:ascii="宋体" w:hAnsi="宋体" w:eastAsia="宋体" w:cs="宋体"/>
                <w:color w:val="auto"/>
                <w:sz w:val="24"/>
                <w:highlight w:val="none"/>
              </w:rPr>
              <w:t>解决问题；如现场驻点人员无法解决需乙方公司提供技术支持的，技术支持人员需3小时内到达现场，48小时内解决问题。不满足要求的，每发生一次扣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0E76BC4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CB69FCF">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122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2" w:type="dxa"/>
            <w:noWrap/>
            <w:vAlign w:val="center"/>
          </w:tcPr>
          <w:p w14:paraId="3C86ED1D">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01" w:type="dxa"/>
            <w:vMerge w:val="restart"/>
            <w:tcBorders>
              <w:left w:val="single" w:color="auto" w:sz="4" w:space="0"/>
            </w:tcBorders>
            <w:noWrap/>
            <w:vAlign w:val="center"/>
          </w:tcPr>
          <w:p w14:paraId="7C93FCE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tc>
        <w:tc>
          <w:tcPr>
            <w:tcW w:w="5563" w:type="dxa"/>
            <w:gridSpan w:val="2"/>
            <w:tcBorders>
              <w:left w:val="single" w:color="auto" w:sz="4" w:space="0"/>
            </w:tcBorders>
            <w:vAlign w:val="center"/>
          </w:tcPr>
          <w:p w14:paraId="7381390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驻点人员数量不符合采购要求的，每发生一次扣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29EEAF52">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087660F">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7A2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D73A6D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01" w:type="dxa"/>
            <w:vMerge w:val="continue"/>
            <w:tcBorders>
              <w:left w:val="single" w:color="auto" w:sz="4" w:space="0"/>
            </w:tcBorders>
            <w:noWrap/>
            <w:vAlign w:val="center"/>
          </w:tcPr>
          <w:p w14:paraId="0483F6AA">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4204460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驻点人员发生变动时未按采购要求提前通知甲方的，每发生一次扣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33EF92D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2BFBAE6">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6F0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083A72C8">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01" w:type="dxa"/>
            <w:tcBorders>
              <w:left w:val="single" w:color="auto" w:sz="4" w:space="0"/>
            </w:tcBorders>
            <w:noWrap/>
            <w:vAlign w:val="center"/>
          </w:tcPr>
          <w:p w14:paraId="4111243E">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培训要求</w:t>
            </w:r>
          </w:p>
        </w:tc>
        <w:tc>
          <w:tcPr>
            <w:tcW w:w="5563" w:type="dxa"/>
            <w:gridSpan w:val="2"/>
            <w:tcBorders>
              <w:left w:val="single" w:color="auto" w:sz="4" w:space="0"/>
            </w:tcBorders>
            <w:vAlign w:val="center"/>
          </w:tcPr>
          <w:p w14:paraId="5689D98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未按甲方要求进行培训的，每发生一次扣3分。</w:t>
            </w:r>
          </w:p>
        </w:tc>
        <w:tc>
          <w:tcPr>
            <w:tcW w:w="928" w:type="dxa"/>
            <w:tcBorders>
              <w:left w:val="single" w:color="auto" w:sz="4" w:space="0"/>
            </w:tcBorders>
            <w:noWrap/>
            <w:vAlign w:val="center"/>
          </w:tcPr>
          <w:p w14:paraId="2BEB1009">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76DE84A5">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7AE0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restart"/>
            <w:noWrap/>
            <w:vAlign w:val="center"/>
          </w:tcPr>
          <w:p w14:paraId="22D34C0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01" w:type="dxa"/>
            <w:vMerge w:val="restart"/>
            <w:tcBorders>
              <w:left w:val="single" w:color="auto" w:sz="4" w:space="0"/>
            </w:tcBorders>
            <w:noWrap/>
            <w:vAlign w:val="center"/>
          </w:tcPr>
          <w:p w14:paraId="43BE058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网络安全及保密</w:t>
            </w:r>
          </w:p>
        </w:tc>
        <w:tc>
          <w:tcPr>
            <w:tcW w:w="5563" w:type="dxa"/>
            <w:gridSpan w:val="2"/>
            <w:tcBorders>
              <w:left w:val="single" w:color="auto" w:sz="4" w:space="0"/>
            </w:tcBorders>
            <w:vAlign w:val="center"/>
          </w:tcPr>
          <w:p w14:paraId="7A0B078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未按网络安全履行责任和义务的，每发生一次扣除违约金</w:t>
            </w:r>
            <w:r>
              <w:rPr>
                <w:rFonts w:hint="eastAsia" w:ascii="宋体" w:hAnsi="宋体" w:eastAsia="宋体" w:cs="宋体"/>
                <w:b/>
                <w:bCs/>
                <w:color w:val="auto"/>
                <w:sz w:val="24"/>
                <w:highlight w:val="none"/>
              </w:rPr>
              <w:t>10000元。</w:t>
            </w:r>
          </w:p>
        </w:tc>
        <w:tc>
          <w:tcPr>
            <w:tcW w:w="928" w:type="dxa"/>
            <w:tcBorders>
              <w:left w:val="single" w:color="auto" w:sz="4" w:space="0"/>
            </w:tcBorders>
            <w:noWrap/>
            <w:vAlign w:val="center"/>
          </w:tcPr>
          <w:p w14:paraId="57E9AFA4">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CCED7C0">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18B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noWrap/>
            <w:vAlign w:val="center"/>
          </w:tcPr>
          <w:p w14:paraId="08EE3A73">
            <w:pPr>
              <w:shd w:val="clear"/>
              <w:rPr>
                <w:rFonts w:hint="eastAsia" w:ascii="宋体" w:hAnsi="宋体" w:eastAsia="宋体" w:cs="宋体"/>
                <w:color w:val="auto"/>
                <w:highlight w:val="none"/>
              </w:rPr>
            </w:pPr>
          </w:p>
        </w:tc>
        <w:tc>
          <w:tcPr>
            <w:tcW w:w="1401" w:type="dxa"/>
            <w:vMerge w:val="continue"/>
            <w:tcBorders>
              <w:left w:val="single" w:color="auto" w:sz="4" w:space="0"/>
            </w:tcBorders>
            <w:noWrap/>
            <w:vAlign w:val="center"/>
          </w:tcPr>
          <w:p w14:paraId="2AAE8244">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2BAAC68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乙方未按保密管理条款规定执行的，每发现一次处违约金</w:t>
            </w:r>
            <w:r>
              <w:rPr>
                <w:rFonts w:hint="eastAsia" w:ascii="宋体" w:hAnsi="宋体" w:eastAsia="宋体" w:cs="宋体"/>
                <w:b/>
                <w:bCs/>
                <w:color w:val="auto"/>
                <w:sz w:val="24"/>
                <w:highlight w:val="none"/>
              </w:rPr>
              <w:t>10000元，</w:t>
            </w:r>
            <w:r>
              <w:rPr>
                <w:rFonts w:hint="eastAsia" w:ascii="宋体" w:hAnsi="宋体" w:eastAsia="宋体" w:cs="宋体"/>
                <w:color w:val="auto"/>
                <w:sz w:val="24"/>
                <w:highlight w:val="none"/>
              </w:rPr>
              <w:t>如发生泄密事件，除赔偿甲方损失外，还应承担全部法律责任。</w:t>
            </w:r>
          </w:p>
        </w:tc>
        <w:tc>
          <w:tcPr>
            <w:tcW w:w="928" w:type="dxa"/>
            <w:tcBorders>
              <w:left w:val="single" w:color="auto" w:sz="4" w:space="0"/>
            </w:tcBorders>
            <w:noWrap/>
            <w:vAlign w:val="center"/>
          </w:tcPr>
          <w:p w14:paraId="096CF21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47F55E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72CD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14:paraId="49D9BFDB">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01" w:type="dxa"/>
            <w:tcBorders>
              <w:top w:val="single" w:color="auto" w:sz="4" w:space="0"/>
              <w:left w:val="single" w:color="auto" w:sz="4" w:space="0"/>
              <w:bottom w:val="single" w:color="auto" w:sz="4" w:space="0"/>
              <w:right w:val="single" w:color="auto" w:sz="4" w:space="0"/>
            </w:tcBorders>
            <w:noWrap/>
            <w:vAlign w:val="center"/>
          </w:tcPr>
          <w:p w14:paraId="4FA0BBD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5563" w:type="dxa"/>
            <w:gridSpan w:val="2"/>
            <w:tcBorders>
              <w:top w:val="single" w:color="auto" w:sz="4" w:space="0"/>
              <w:left w:val="single" w:color="auto" w:sz="4" w:space="0"/>
              <w:bottom w:val="single" w:color="auto" w:sz="4" w:space="0"/>
              <w:right w:val="single" w:color="auto" w:sz="4" w:space="0"/>
            </w:tcBorders>
            <w:vAlign w:val="center"/>
          </w:tcPr>
          <w:p w14:paraId="53FC9EA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其他服务未满足甲方要求的，每发生一次扣1分。</w:t>
            </w:r>
          </w:p>
        </w:tc>
        <w:tc>
          <w:tcPr>
            <w:tcW w:w="928" w:type="dxa"/>
            <w:tcBorders>
              <w:top w:val="single" w:color="auto" w:sz="4" w:space="0"/>
              <w:left w:val="single" w:color="auto" w:sz="4" w:space="0"/>
              <w:bottom w:val="single" w:color="auto" w:sz="4" w:space="0"/>
              <w:right w:val="single" w:color="auto" w:sz="4" w:space="0"/>
            </w:tcBorders>
            <w:noWrap/>
            <w:vAlign w:val="center"/>
          </w:tcPr>
          <w:p w14:paraId="71ED201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70762D06">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268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6" w:type="dxa"/>
            <w:gridSpan w:val="4"/>
            <w:noWrap/>
            <w:vAlign w:val="center"/>
          </w:tcPr>
          <w:p w14:paraId="075D90D0">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小计</w:t>
            </w:r>
          </w:p>
        </w:tc>
        <w:tc>
          <w:tcPr>
            <w:tcW w:w="928" w:type="dxa"/>
            <w:tcBorders>
              <w:left w:val="single" w:color="auto" w:sz="4" w:space="0"/>
            </w:tcBorders>
            <w:noWrap/>
            <w:vAlign w:val="center"/>
          </w:tcPr>
          <w:p w14:paraId="3E08D0E1">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1A91DC49">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3E4B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9" w:type="dxa"/>
            <w:gridSpan w:val="6"/>
            <w:noWrap/>
            <w:vAlign w:val="center"/>
          </w:tcPr>
          <w:p w14:paraId="688F8DC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甲方项目经办人（签字）：                监理人签字（盖章）：</w:t>
            </w:r>
          </w:p>
          <w:p w14:paraId="6F1E4F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甲方项目审核人（签字、盖章）：          乙方项目负责人（签字、盖章）：</w:t>
            </w:r>
          </w:p>
          <w:p w14:paraId="4EA3D66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日  期：</w:t>
            </w:r>
          </w:p>
        </w:tc>
      </w:tr>
    </w:tbl>
    <w:p w14:paraId="0FD8BF9A">
      <w:pPr>
        <w:shd w:val="clea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br w:type="page"/>
      </w:r>
    </w:p>
    <w:p w14:paraId="5D57A51B">
      <w:pPr>
        <w:shd w:val="clear"/>
        <w:tabs>
          <w:tab w:val="left" w:pos="904"/>
        </w:tabs>
        <w:adjustRightInd/>
        <w:snapToGrid w:val="0"/>
        <w:spacing w:line="360" w:lineRule="auto"/>
        <w:ind w:left="142"/>
        <w:jc w:val="left"/>
        <w:rPr>
          <w:rFonts w:hint="eastAsia" w:ascii="宋体" w:hAnsi="宋体" w:eastAsia="宋体" w:cs="宋体"/>
          <w:color w:val="auto"/>
          <w:sz w:val="24"/>
          <w:highlight w:val="none"/>
        </w:rPr>
      </w:pPr>
      <w:r>
        <w:rPr>
          <w:rFonts w:hint="eastAsia" w:ascii="宋体" w:hAnsi="宋体" w:eastAsia="宋体" w:cs="宋体"/>
          <w:b/>
          <w:snapToGrid w:val="0"/>
          <w:color w:val="auto"/>
          <w:kern w:val="0"/>
          <w:sz w:val="24"/>
          <w:highlight w:val="none"/>
        </w:rPr>
        <w:t>附件二：项目小组人员表</w:t>
      </w:r>
    </w:p>
    <w:tbl>
      <w:tblPr>
        <w:tblStyle w:val="16"/>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41"/>
        <w:gridCol w:w="2060"/>
        <w:gridCol w:w="1579"/>
        <w:gridCol w:w="2143"/>
        <w:gridCol w:w="1630"/>
      </w:tblGrid>
      <w:tr w14:paraId="718A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7" w:type="dxa"/>
            <w:vAlign w:val="center"/>
          </w:tcPr>
          <w:p w14:paraId="5A410B3A">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1" w:type="dxa"/>
            <w:vAlign w:val="center"/>
          </w:tcPr>
          <w:p w14:paraId="0BEE087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060" w:type="dxa"/>
            <w:vAlign w:val="center"/>
          </w:tcPr>
          <w:p w14:paraId="1E486B39">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579" w:type="dxa"/>
            <w:vAlign w:val="center"/>
          </w:tcPr>
          <w:p w14:paraId="65493739">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2143" w:type="dxa"/>
            <w:vAlign w:val="center"/>
          </w:tcPr>
          <w:p w14:paraId="0890E43A">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本项目承担的职责</w:t>
            </w:r>
          </w:p>
        </w:tc>
        <w:tc>
          <w:tcPr>
            <w:tcW w:w="1630" w:type="dxa"/>
            <w:vAlign w:val="center"/>
          </w:tcPr>
          <w:p w14:paraId="152CE94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12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7" w:type="dxa"/>
            <w:vAlign w:val="center"/>
          </w:tcPr>
          <w:p w14:paraId="06DBCC7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1" w:type="dxa"/>
            <w:tcBorders>
              <w:left w:val="single" w:color="auto" w:sz="4" w:space="0"/>
            </w:tcBorders>
            <w:vAlign w:val="center"/>
          </w:tcPr>
          <w:p w14:paraId="3DA4ED2B">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698D1448">
            <w:pPr>
              <w:shd w:val="clear"/>
              <w:spacing w:line="360" w:lineRule="auto"/>
              <w:jc w:val="center"/>
              <w:rPr>
                <w:rFonts w:hint="eastAsia" w:ascii="宋体" w:hAnsi="宋体" w:eastAsia="宋体" w:cs="宋体"/>
                <w:b/>
                <w:color w:val="auto"/>
                <w:sz w:val="24"/>
                <w:highlight w:val="none"/>
              </w:rPr>
            </w:pPr>
          </w:p>
        </w:tc>
        <w:tc>
          <w:tcPr>
            <w:tcW w:w="1579" w:type="dxa"/>
            <w:tcBorders>
              <w:left w:val="single" w:color="auto" w:sz="4" w:space="0"/>
            </w:tcBorders>
            <w:vAlign w:val="center"/>
          </w:tcPr>
          <w:p w14:paraId="46D5A78D">
            <w:pPr>
              <w:shd w:val="clear"/>
              <w:spacing w:line="360" w:lineRule="auto"/>
              <w:jc w:val="center"/>
              <w:rPr>
                <w:rFonts w:hint="eastAsia" w:ascii="宋体" w:hAnsi="宋体" w:eastAsia="宋体" w:cs="宋体"/>
                <w:b/>
                <w:color w:val="auto"/>
                <w:sz w:val="24"/>
                <w:highlight w:val="none"/>
              </w:rPr>
            </w:pPr>
          </w:p>
        </w:tc>
        <w:tc>
          <w:tcPr>
            <w:tcW w:w="2143" w:type="dxa"/>
            <w:tcBorders>
              <w:left w:val="single" w:color="auto" w:sz="4" w:space="0"/>
            </w:tcBorders>
            <w:vAlign w:val="center"/>
          </w:tcPr>
          <w:p w14:paraId="544BF156">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1630" w:type="dxa"/>
            <w:tcBorders>
              <w:left w:val="single" w:color="auto" w:sz="4" w:space="0"/>
            </w:tcBorders>
          </w:tcPr>
          <w:p w14:paraId="13BF9DEB">
            <w:pPr>
              <w:shd w:val="clear"/>
              <w:spacing w:line="360" w:lineRule="auto"/>
              <w:jc w:val="center"/>
              <w:rPr>
                <w:rFonts w:hint="eastAsia" w:ascii="宋体" w:hAnsi="宋体" w:eastAsia="宋体" w:cs="宋体"/>
                <w:color w:val="auto"/>
                <w:sz w:val="24"/>
                <w:highlight w:val="none"/>
              </w:rPr>
            </w:pPr>
          </w:p>
        </w:tc>
      </w:tr>
      <w:tr w14:paraId="6C3D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147" w:type="dxa"/>
            <w:vAlign w:val="center"/>
          </w:tcPr>
          <w:p w14:paraId="227583B9">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1" w:type="dxa"/>
            <w:tcBorders>
              <w:left w:val="single" w:color="auto" w:sz="4" w:space="0"/>
            </w:tcBorders>
            <w:vAlign w:val="center"/>
          </w:tcPr>
          <w:p w14:paraId="1CF01408">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29D2233C">
            <w:pPr>
              <w:shd w:val="clear"/>
              <w:spacing w:line="360" w:lineRule="auto"/>
              <w:jc w:val="center"/>
              <w:rPr>
                <w:rFonts w:hint="eastAsia" w:ascii="宋体" w:hAnsi="宋体" w:eastAsia="宋体" w:cs="宋体"/>
                <w:b/>
                <w:color w:val="auto"/>
                <w:sz w:val="24"/>
                <w:highlight w:val="none"/>
              </w:rPr>
            </w:pPr>
          </w:p>
        </w:tc>
        <w:tc>
          <w:tcPr>
            <w:tcW w:w="1579" w:type="dxa"/>
            <w:tcBorders>
              <w:left w:val="single" w:color="auto" w:sz="4" w:space="0"/>
            </w:tcBorders>
            <w:vAlign w:val="center"/>
          </w:tcPr>
          <w:p w14:paraId="30D70DCF">
            <w:pPr>
              <w:shd w:val="clear"/>
              <w:spacing w:line="360" w:lineRule="auto"/>
              <w:jc w:val="center"/>
              <w:rPr>
                <w:rFonts w:hint="eastAsia" w:ascii="宋体" w:hAnsi="宋体" w:eastAsia="宋体" w:cs="宋体"/>
                <w:b/>
                <w:color w:val="auto"/>
                <w:sz w:val="24"/>
                <w:highlight w:val="none"/>
              </w:rPr>
            </w:pPr>
          </w:p>
        </w:tc>
        <w:tc>
          <w:tcPr>
            <w:tcW w:w="2143" w:type="dxa"/>
            <w:tcBorders>
              <w:left w:val="single" w:color="auto" w:sz="4" w:space="0"/>
            </w:tcBorders>
            <w:vAlign w:val="center"/>
          </w:tcPr>
          <w:p w14:paraId="3985CF6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w:t>
            </w:r>
          </w:p>
        </w:tc>
        <w:tc>
          <w:tcPr>
            <w:tcW w:w="1630" w:type="dxa"/>
            <w:tcBorders>
              <w:left w:val="single" w:color="auto" w:sz="4" w:space="0"/>
            </w:tcBorders>
          </w:tcPr>
          <w:p w14:paraId="08D0DED0">
            <w:pPr>
              <w:shd w:val="clear"/>
              <w:spacing w:line="360" w:lineRule="auto"/>
              <w:jc w:val="center"/>
              <w:rPr>
                <w:rFonts w:hint="eastAsia" w:ascii="宋体" w:hAnsi="宋体" w:eastAsia="宋体" w:cs="宋体"/>
                <w:color w:val="auto"/>
                <w:sz w:val="24"/>
                <w:highlight w:val="none"/>
              </w:rPr>
            </w:pPr>
          </w:p>
        </w:tc>
      </w:tr>
      <w:tr w14:paraId="790F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2A5A424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1" w:type="dxa"/>
            <w:tcBorders>
              <w:left w:val="single" w:color="auto" w:sz="4" w:space="0"/>
            </w:tcBorders>
            <w:vAlign w:val="center"/>
          </w:tcPr>
          <w:p w14:paraId="3C6C82E1">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554A11AA">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65B507D7">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49000A8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w:t>
            </w:r>
          </w:p>
        </w:tc>
        <w:tc>
          <w:tcPr>
            <w:tcW w:w="1630" w:type="dxa"/>
            <w:tcBorders>
              <w:left w:val="single" w:color="auto" w:sz="4" w:space="0"/>
            </w:tcBorders>
          </w:tcPr>
          <w:p w14:paraId="09C736EB">
            <w:pPr>
              <w:shd w:val="clear"/>
              <w:adjustRightInd w:val="0"/>
              <w:snapToGrid w:val="0"/>
              <w:spacing w:line="360" w:lineRule="auto"/>
              <w:jc w:val="center"/>
              <w:rPr>
                <w:rFonts w:hint="eastAsia" w:ascii="宋体" w:hAnsi="宋体" w:eastAsia="宋体" w:cs="宋体"/>
                <w:color w:val="auto"/>
                <w:sz w:val="24"/>
                <w:highlight w:val="none"/>
              </w:rPr>
            </w:pPr>
          </w:p>
        </w:tc>
      </w:tr>
      <w:tr w14:paraId="5CF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034572E8">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41" w:type="dxa"/>
            <w:tcBorders>
              <w:left w:val="single" w:color="auto" w:sz="4" w:space="0"/>
            </w:tcBorders>
            <w:vAlign w:val="center"/>
          </w:tcPr>
          <w:p w14:paraId="202F5765">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3A3241E1">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609BC9D4">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687CB1B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5FF6A317">
            <w:pPr>
              <w:shd w:val="clear"/>
              <w:adjustRightInd w:val="0"/>
              <w:snapToGrid w:val="0"/>
              <w:spacing w:line="360" w:lineRule="auto"/>
              <w:jc w:val="center"/>
              <w:rPr>
                <w:rFonts w:hint="eastAsia" w:ascii="宋体" w:hAnsi="宋体" w:eastAsia="宋体" w:cs="宋体"/>
                <w:color w:val="auto"/>
                <w:sz w:val="24"/>
                <w:highlight w:val="none"/>
              </w:rPr>
            </w:pPr>
          </w:p>
        </w:tc>
      </w:tr>
      <w:tr w14:paraId="3214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399E65BE">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41" w:type="dxa"/>
            <w:tcBorders>
              <w:left w:val="single" w:color="auto" w:sz="4" w:space="0"/>
            </w:tcBorders>
            <w:vAlign w:val="center"/>
          </w:tcPr>
          <w:p w14:paraId="02404739">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000F6A3D">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3376517F">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4A310773">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5035DF03">
            <w:pPr>
              <w:shd w:val="clear"/>
              <w:adjustRightInd w:val="0"/>
              <w:snapToGrid w:val="0"/>
              <w:spacing w:line="360" w:lineRule="auto"/>
              <w:jc w:val="center"/>
              <w:rPr>
                <w:rFonts w:hint="eastAsia" w:ascii="宋体" w:hAnsi="宋体" w:eastAsia="宋体" w:cs="宋体"/>
                <w:color w:val="auto"/>
                <w:sz w:val="24"/>
                <w:highlight w:val="none"/>
              </w:rPr>
            </w:pPr>
          </w:p>
        </w:tc>
      </w:tr>
      <w:tr w14:paraId="452D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6CAD406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1" w:type="dxa"/>
            <w:tcBorders>
              <w:left w:val="single" w:color="auto" w:sz="4" w:space="0"/>
            </w:tcBorders>
            <w:vAlign w:val="center"/>
          </w:tcPr>
          <w:p w14:paraId="27670139">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4ED00044">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34791730">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2894A1D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1EE177F8">
            <w:pPr>
              <w:shd w:val="clear"/>
              <w:adjustRightInd w:val="0"/>
              <w:snapToGrid w:val="0"/>
              <w:spacing w:line="360" w:lineRule="auto"/>
              <w:jc w:val="center"/>
              <w:rPr>
                <w:rFonts w:hint="eastAsia" w:ascii="宋体" w:hAnsi="宋体" w:eastAsia="宋体" w:cs="宋体"/>
                <w:color w:val="auto"/>
                <w:sz w:val="24"/>
                <w:highlight w:val="none"/>
              </w:rPr>
            </w:pPr>
          </w:p>
        </w:tc>
      </w:tr>
      <w:tr w14:paraId="2284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1FDB6E6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1" w:type="dxa"/>
            <w:tcBorders>
              <w:left w:val="single" w:color="auto" w:sz="4" w:space="0"/>
            </w:tcBorders>
            <w:vAlign w:val="center"/>
          </w:tcPr>
          <w:p w14:paraId="53EB7FFE">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2D056F91">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2B74965E">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3648F1CF">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1D04C557">
            <w:pPr>
              <w:shd w:val="clear"/>
              <w:adjustRightInd w:val="0"/>
              <w:snapToGrid w:val="0"/>
              <w:spacing w:line="360" w:lineRule="auto"/>
              <w:jc w:val="center"/>
              <w:rPr>
                <w:rFonts w:hint="eastAsia" w:ascii="宋体" w:hAnsi="宋体" w:eastAsia="宋体" w:cs="宋体"/>
                <w:color w:val="auto"/>
                <w:sz w:val="24"/>
                <w:highlight w:val="none"/>
              </w:rPr>
            </w:pPr>
          </w:p>
        </w:tc>
      </w:tr>
      <w:tr w14:paraId="69A9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70520938">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1" w:type="dxa"/>
            <w:tcBorders>
              <w:left w:val="single" w:color="auto" w:sz="4" w:space="0"/>
            </w:tcBorders>
            <w:vAlign w:val="center"/>
          </w:tcPr>
          <w:p w14:paraId="332B24E9">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240D7AEA">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0FDE2A0E">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648E8472">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20A3BFFF">
            <w:pPr>
              <w:shd w:val="clear"/>
              <w:adjustRightInd w:val="0"/>
              <w:snapToGrid w:val="0"/>
              <w:spacing w:line="360" w:lineRule="auto"/>
              <w:jc w:val="center"/>
              <w:rPr>
                <w:rFonts w:hint="eastAsia" w:ascii="宋体" w:hAnsi="宋体" w:eastAsia="宋体" w:cs="宋体"/>
                <w:color w:val="auto"/>
                <w:sz w:val="24"/>
                <w:highlight w:val="none"/>
              </w:rPr>
            </w:pPr>
          </w:p>
        </w:tc>
      </w:tr>
      <w:tr w14:paraId="4A5F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4C27AE3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41" w:type="dxa"/>
            <w:tcBorders>
              <w:left w:val="single" w:color="auto" w:sz="4" w:space="0"/>
            </w:tcBorders>
            <w:vAlign w:val="center"/>
          </w:tcPr>
          <w:p w14:paraId="53E114F4">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639097C8">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2621D389">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290D2B8F">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7F59F9EF">
            <w:pPr>
              <w:shd w:val="clear"/>
              <w:adjustRightInd w:val="0"/>
              <w:snapToGrid w:val="0"/>
              <w:spacing w:line="360" w:lineRule="auto"/>
              <w:jc w:val="center"/>
              <w:rPr>
                <w:rFonts w:hint="eastAsia" w:ascii="宋体" w:hAnsi="宋体" w:eastAsia="宋体" w:cs="宋体"/>
                <w:color w:val="auto"/>
                <w:sz w:val="24"/>
                <w:highlight w:val="none"/>
              </w:rPr>
            </w:pPr>
          </w:p>
        </w:tc>
      </w:tr>
    </w:tbl>
    <w:p w14:paraId="7E3452F7">
      <w:pPr>
        <w:shd w:val="clear"/>
        <w:rPr>
          <w:rFonts w:hint="eastAsia" w:ascii="宋体" w:hAnsi="宋体" w:eastAsia="宋体" w:cs="宋体"/>
          <w:b/>
          <w:color w:val="auto"/>
          <w:sz w:val="24"/>
          <w:highlight w:val="none"/>
        </w:rPr>
      </w:pPr>
    </w:p>
    <w:p w14:paraId="0222F82E">
      <w:pPr>
        <w:shd w:val="clear"/>
        <w:rPr>
          <w:rFonts w:hint="eastAsia" w:ascii="宋体" w:hAnsi="宋体" w:eastAsia="宋体" w:cs="宋体"/>
          <w:b/>
          <w:color w:val="auto"/>
          <w:sz w:val="24"/>
          <w:highlight w:val="none"/>
        </w:rPr>
      </w:pPr>
    </w:p>
    <w:p w14:paraId="5E879F9F">
      <w:pPr>
        <w:shd w:val="clea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br w:type="page"/>
      </w:r>
    </w:p>
    <w:p w14:paraId="5EC53CF7">
      <w:pPr>
        <w:shd w:val="clear"/>
        <w:tabs>
          <w:tab w:val="left" w:pos="904"/>
        </w:tabs>
        <w:adjustRightInd/>
        <w:snapToGrid w:val="0"/>
        <w:spacing w:line="360" w:lineRule="auto"/>
        <w:jc w:val="left"/>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附件三：合同价格清单</w:t>
      </w:r>
    </w:p>
    <w:tbl>
      <w:tblPr>
        <w:tblStyle w:val="1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49"/>
        <w:gridCol w:w="1679"/>
        <w:gridCol w:w="2061"/>
        <w:gridCol w:w="1032"/>
        <w:gridCol w:w="1030"/>
        <w:gridCol w:w="947"/>
        <w:gridCol w:w="477"/>
      </w:tblGrid>
      <w:tr w14:paraId="1B84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Align w:val="center"/>
          </w:tcPr>
          <w:p w14:paraId="34C80950">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服务类目</w:t>
            </w:r>
          </w:p>
        </w:tc>
        <w:tc>
          <w:tcPr>
            <w:tcW w:w="1349" w:type="dxa"/>
            <w:vAlign w:val="center"/>
          </w:tcPr>
          <w:p w14:paraId="68A633D7">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服务名称</w:t>
            </w:r>
          </w:p>
        </w:tc>
        <w:tc>
          <w:tcPr>
            <w:tcW w:w="1679" w:type="dxa"/>
            <w:vAlign w:val="center"/>
          </w:tcPr>
          <w:p w14:paraId="2CB58E5D">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服务模块</w:t>
            </w:r>
          </w:p>
        </w:tc>
        <w:tc>
          <w:tcPr>
            <w:tcW w:w="2061" w:type="dxa"/>
            <w:vAlign w:val="center"/>
          </w:tcPr>
          <w:p w14:paraId="2124ED70">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服务要求</w:t>
            </w:r>
          </w:p>
        </w:tc>
        <w:tc>
          <w:tcPr>
            <w:tcW w:w="1032" w:type="dxa"/>
            <w:vAlign w:val="center"/>
          </w:tcPr>
          <w:p w14:paraId="18109E74">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服务期</w:t>
            </w:r>
          </w:p>
        </w:tc>
        <w:tc>
          <w:tcPr>
            <w:tcW w:w="1030" w:type="dxa"/>
            <w:vAlign w:val="center"/>
          </w:tcPr>
          <w:p w14:paraId="5C29E05A">
            <w:pPr>
              <w:widowControl/>
              <w:shd w:val="clear"/>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p w14:paraId="5A2B2A18">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（万元/年/个）</w:t>
            </w:r>
          </w:p>
        </w:tc>
        <w:tc>
          <w:tcPr>
            <w:tcW w:w="947" w:type="dxa"/>
            <w:vAlign w:val="center"/>
          </w:tcPr>
          <w:p w14:paraId="40F7DE76">
            <w:pPr>
              <w:widowControl/>
              <w:shd w:val="clear"/>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预算</w:t>
            </w:r>
          </w:p>
          <w:p w14:paraId="3B58AA31">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（万元）</w:t>
            </w:r>
          </w:p>
        </w:tc>
        <w:tc>
          <w:tcPr>
            <w:tcW w:w="477" w:type="dxa"/>
            <w:vAlign w:val="center"/>
          </w:tcPr>
          <w:p w14:paraId="58CFA7CA">
            <w:pPr>
              <w:widowControl/>
              <w:shd w:val="clear"/>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7A0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7" w:type="dxa"/>
            <w:vMerge w:val="restart"/>
            <w:shd w:val="clear" w:color="auto" w:fill="FFFFFF"/>
            <w:vAlign w:val="center"/>
          </w:tcPr>
          <w:p w14:paraId="2C114CC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一、交通管理数据全生命周期</w:t>
            </w:r>
          </w:p>
        </w:tc>
        <w:tc>
          <w:tcPr>
            <w:tcW w:w="1349" w:type="dxa"/>
            <w:vMerge w:val="restart"/>
            <w:tcBorders>
              <w:left w:val="single" w:color="auto" w:sz="4" w:space="0"/>
            </w:tcBorders>
            <w:shd w:val="clear" w:color="auto" w:fill="FFFFFF"/>
            <w:vAlign w:val="center"/>
          </w:tcPr>
          <w:p w14:paraId="49194AC6">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专网云平台系统运行及数据治理</w:t>
            </w:r>
          </w:p>
        </w:tc>
        <w:tc>
          <w:tcPr>
            <w:tcW w:w="1679" w:type="dxa"/>
            <w:tcBorders>
              <w:left w:val="single" w:color="auto" w:sz="4" w:space="0"/>
            </w:tcBorders>
            <w:shd w:val="clear" w:color="auto" w:fill="FFFFFF"/>
            <w:vAlign w:val="center"/>
          </w:tcPr>
          <w:p w14:paraId="463095B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FFFFFF"/>
            <w:vAlign w:val="center"/>
          </w:tcPr>
          <w:p w14:paraId="5029423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shd w:val="clear" w:color="auto" w:fill="FFFFFF"/>
            <w:noWrap/>
            <w:vAlign w:val="center"/>
          </w:tcPr>
          <w:p w14:paraId="29A93D4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FFFFFF"/>
            <w:noWrap/>
            <w:vAlign w:val="center"/>
          </w:tcPr>
          <w:p w14:paraId="287D8036">
            <w:pPr>
              <w:widowControl/>
              <w:shd w:val="clear"/>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FFFFFF"/>
            <w:vAlign w:val="center"/>
          </w:tcPr>
          <w:p w14:paraId="79280E3E">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FFFFFF"/>
            <w:vAlign w:val="center"/>
          </w:tcPr>
          <w:p w14:paraId="4764C1DC">
            <w:pPr>
              <w:widowControl/>
              <w:shd w:val="clear"/>
              <w:jc w:val="center"/>
              <w:textAlignment w:val="center"/>
              <w:rPr>
                <w:rFonts w:hint="eastAsia" w:ascii="宋体" w:hAnsi="宋体" w:eastAsia="宋体" w:cs="宋体"/>
                <w:color w:val="auto"/>
                <w:kern w:val="0"/>
                <w:sz w:val="24"/>
                <w:highlight w:val="none"/>
              </w:rPr>
            </w:pPr>
          </w:p>
        </w:tc>
      </w:tr>
      <w:tr w14:paraId="2642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7" w:type="dxa"/>
            <w:vMerge w:val="continue"/>
            <w:shd w:val="clear" w:color="auto" w:fill="FFFFFF"/>
            <w:vAlign w:val="center"/>
          </w:tcPr>
          <w:p w14:paraId="0408A8AC">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0A7FE987">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58B99F5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w:t>
            </w:r>
            <w:r>
              <w:rPr>
                <w:rFonts w:hint="eastAsia" w:ascii="宋体" w:hAnsi="宋体" w:eastAsia="宋体" w:cs="宋体"/>
                <w:color w:val="auto"/>
                <w:kern w:val="0"/>
                <w:sz w:val="24"/>
                <w:highlight w:val="none"/>
                <w:lang w:val="en-US" w:eastAsia="zh-CN"/>
              </w:rPr>
              <w:t>加工</w:t>
            </w:r>
            <w:r>
              <w:rPr>
                <w:rFonts w:hint="eastAsia" w:ascii="宋体" w:hAnsi="宋体" w:eastAsia="宋体" w:cs="宋体"/>
                <w:color w:val="auto"/>
                <w:kern w:val="0"/>
                <w:sz w:val="24"/>
                <w:highlight w:val="none"/>
              </w:rPr>
              <w:t>治理</w:t>
            </w:r>
          </w:p>
        </w:tc>
        <w:tc>
          <w:tcPr>
            <w:tcW w:w="2061" w:type="dxa"/>
            <w:vMerge w:val="continue"/>
            <w:tcBorders>
              <w:left w:val="single" w:color="auto" w:sz="4" w:space="0"/>
            </w:tcBorders>
            <w:shd w:val="clear" w:color="auto" w:fill="FFFFFF"/>
            <w:vAlign w:val="center"/>
          </w:tcPr>
          <w:p w14:paraId="016D240D">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56C7FFF9">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676C3C37">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69641CB6">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3BEDE888">
            <w:pPr>
              <w:widowControl/>
              <w:shd w:val="clear"/>
              <w:jc w:val="center"/>
              <w:textAlignment w:val="center"/>
              <w:rPr>
                <w:rFonts w:hint="eastAsia" w:ascii="宋体" w:hAnsi="宋体" w:eastAsia="宋体" w:cs="宋体"/>
                <w:color w:val="auto"/>
                <w:kern w:val="0"/>
                <w:sz w:val="24"/>
                <w:highlight w:val="none"/>
              </w:rPr>
            </w:pPr>
          </w:p>
        </w:tc>
      </w:tr>
      <w:tr w14:paraId="6024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7" w:type="dxa"/>
            <w:vMerge w:val="continue"/>
            <w:shd w:val="clear" w:color="auto" w:fill="FFFFFF"/>
            <w:vAlign w:val="center"/>
          </w:tcPr>
          <w:p w14:paraId="7B5050F7">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5CF52AF5">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3258C83C">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数据透出</w:t>
            </w:r>
          </w:p>
        </w:tc>
        <w:tc>
          <w:tcPr>
            <w:tcW w:w="2061" w:type="dxa"/>
            <w:vMerge w:val="continue"/>
            <w:tcBorders>
              <w:left w:val="single" w:color="auto" w:sz="4" w:space="0"/>
            </w:tcBorders>
            <w:shd w:val="clear" w:color="auto" w:fill="FFFFFF"/>
            <w:vAlign w:val="center"/>
          </w:tcPr>
          <w:p w14:paraId="09F665A7">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4AC8D45C">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noWrap/>
            <w:vAlign w:val="center"/>
          </w:tcPr>
          <w:p w14:paraId="68441020">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233CC15B">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77E24DEC">
            <w:pPr>
              <w:widowControl/>
              <w:shd w:val="clear"/>
              <w:jc w:val="center"/>
              <w:textAlignment w:val="center"/>
              <w:rPr>
                <w:rFonts w:hint="eastAsia" w:ascii="宋体" w:hAnsi="宋体" w:eastAsia="宋体" w:cs="宋体"/>
                <w:color w:val="auto"/>
                <w:kern w:val="0"/>
                <w:sz w:val="24"/>
                <w:highlight w:val="none"/>
              </w:rPr>
            </w:pPr>
          </w:p>
        </w:tc>
      </w:tr>
      <w:tr w14:paraId="112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FFFFFF"/>
            <w:vAlign w:val="center"/>
          </w:tcPr>
          <w:p w14:paraId="3C5FC42B">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36E89B98">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1F2BAD5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数据统计</w:t>
            </w:r>
          </w:p>
        </w:tc>
        <w:tc>
          <w:tcPr>
            <w:tcW w:w="2061" w:type="dxa"/>
            <w:vMerge w:val="continue"/>
            <w:tcBorders>
              <w:left w:val="single" w:color="auto" w:sz="4" w:space="0"/>
            </w:tcBorders>
            <w:shd w:val="clear" w:color="auto" w:fill="FFFFFF"/>
            <w:vAlign w:val="center"/>
          </w:tcPr>
          <w:p w14:paraId="1AD59EC5">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15400D1B">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noWrap/>
            <w:vAlign w:val="center"/>
          </w:tcPr>
          <w:p w14:paraId="64511C5C">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4525E057">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0B227E9A">
            <w:pPr>
              <w:widowControl/>
              <w:shd w:val="clear"/>
              <w:jc w:val="center"/>
              <w:textAlignment w:val="center"/>
              <w:rPr>
                <w:rFonts w:hint="eastAsia" w:ascii="宋体" w:hAnsi="宋体" w:eastAsia="宋体" w:cs="宋体"/>
                <w:color w:val="auto"/>
                <w:kern w:val="0"/>
                <w:sz w:val="24"/>
                <w:highlight w:val="none"/>
              </w:rPr>
            </w:pPr>
          </w:p>
        </w:tc>
      </w:tr>
      <w:tr w14:paraId="492A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FFFFFF"/>
            <w:vAlign w:val="center"/>
          </w:tcPr>
          <w:p w14:paraId="356F22BD">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B162974">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57498033">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数据迁移</w:t>
            </w:r>
          </w:p>
        </w:tc>
        <w:tc>
          <w:tcPr>
            <w:tcW w:w="2061" w:type="dxa"/>
            <w:vMerge w:val="continue"/>
            <w:tcBorders>
              <w:left w:val="single" w:color="auto" w:sz="4" w:space="0"/>
            </w:tcBorders>
            <w:shd w:val="clear" w:color="auto" w:fill="FFFFFF"/>
            <w:vAlign w:val="center"/>
          </w:tcPr>
          <w:p w14:paraId="49BD67A6">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4DC102C0">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2A520695">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16A2EC32">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11357A8F">
            <w:pPr>
              <w:widowControl/>
              <w:shd w:val="clear"/>
              <w:jc w:val="center"/>
              <w:textAlignment w:val="center"/>
              <w:rPr>
                <w:rFonts w:hint="eastAsia" w:ascii="宋体" w:hAnsi="宋体" w:eastAsia="宋体" w:cs="宋体"/>
                <w:color w:val="auto"/>
                <w:kern w:val="0"/>
                <w:sz w:val="24"/>
                <w:highlight w:val="none"/>
              </w:rPr>
            </w:pPr>
          </w:p>
        </w:tc>
      </w:tr>
      <w:tr w14:paraId="5F0F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7" w:type="dxa"/>
            <w:vMerge w:val="continue"/>
            <w:shd w:val="clear" w:color="auto" w:fill="FFFFFF"/>
            <w:vAlign w:val="center"/>
          </w:tcPr>
          <w:p w14:paraId="57A5C6A1">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0D1C42A9">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08942ECF">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专网云平台运行保障</w:t>
            </w:r>
          </w:p>
        </w:tc>
        <w:tc>
          <w:tcPr>
            <w:tcW w:w="2061" w:type="dxa"/>
            <w:vMerge w:val="continue"/>
            <w:tcBorders>
              <w:left w:val="single" w:color="auto" w:sz="4" w:space="0"/>
            </w:tcBorders>
            <w:shd w:val="clear" w:color="auto" w:fill="FFFFFF"/>
            <w:vAlign w:val="center"/>
          </w:tcPr>
          <w:p w14:paraId="77855319">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095754BA">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59046D20">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57FEAADA">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255EC1F9">
            <w:pPr>
              <w:widowControl/>
              <w:shd w:val="clear"/>
              <w:jc w:val="center"/>
              <w:textAlignment w:val="center"/>
              <w:rPr>
                <w:rFonts w:hint="eastAsia" w:ascii="宋体" w:hAnsi="宋体" w:eastAsia="宋体" w:cs="宋体"/>
                <w:color w:val="auto"/>
                <w:kern w:val="0"/>
                <w:sz w:val="24"/>
                <w:highlight w:val="none"/>
              </w:rPr>
            </w:pPr>
          </w:p>
        </w:tc>
      </w:tr>
      <w:tr w14:paraId="215B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7" w:type="dxa"/>
            <w:vMerge w:val="continue"/>
            <w:shd w:val="clear" w:color="auto" w:fill="FFFFFF"/>
            <w:vAlign w:val="center"/>
          </w:tcPr>
          <w:p w14:paraId="0F265FE3">
            <w:pPr>
              <w:shd w:val="clear"/>
              <w:rPr>
                <w:rFonts w:hint="eastAsia" w:ascii="宋体" w:hAnsi="宋体" w:eastAsia="宋体" w:cs="宋体"/>
                <w:color w:val="auto"/>
                <w:highlight w:val="none"/>
              </w:rPr>
            </w:pPr>
          </w:p>
        </w:tc>
        <w:tc>
          <w:tcPr>
            <w:tcW w:w="1349" w:type="dxa"/>
            <w:vMerge w:val="restart"/>
            <w:tcBorders>
              <w:left w:val="single" w:color="auto" w:sz="4" w:space="0"/>
            </w:tcBorders>
            <w:shd w:val="clear" w:color="auto" w:fill="FFFFFF"/>
            <w:vAlign w:val="center"/>
          </w:tcPr>
          <w:p w14:paraId="7B2FCF6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公安网数据治理</w:t>
            </w:r>
          </w:p>
        </w:tc>
        <w:tc>
          <w:tcPr>
            <w:tcW w:w="1679" w:type="dxa"/>
            <w:tcBorders>
              <w:left w:val="single" w:color="auto" w:sz="4" w:space="0"/>
            </w:tcBorders>
            <w:shd w:val="clear" w:color="auto" w:fill="FFFFFF"/>
            <w:vAlign w:val="center"/>
          </w:tcPr>
          <w:p w14:paraId="3CB9D48F">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FFFFFF"/>
            <w:vAlign w:val="center"/>
          </w:tcPr>
          <w:p w14:paraId="769DB9F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【服务方式】驻场服务5人5*8小时保障</w:t>
            </w:r>
          </w:p>
        </w:tc>
        <w:tc>
          <w:tcPr>
            <w:tcW w:w="1032" w:type="dxa"/>
            <w:vMerge w:val="restart"/>
            <w:tcBorders>
              <w:left w:val="single" w:color="auto" w:sz="4" w:space="0"/>
            </w:tcBorders>
            <w:shd w:val="clear" w:color="auto" w:fill="FFFFFF"/>
            <w:vAlign w:val="center"/>
          </w:tcPr>
          <w:p w14:paraId="7B6BEB5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FFFFFF"/>
            <w:vAlign w:val="center"/>
          </w:tcPr>
          <w:p w14:paraId="094271D2">
            <w:pPr>
              <w:widowControl/>
              <w:shd w:val="clear"/>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FFFFFF"/>
            <w:vAlign w:val="center"/>
          </w:tcPr>
          <w:p w14:paraId="312FE6F5">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FFFFFF"/>
            <w:vAlign w:val="center"/>
          </w:tcPr>
          <w:p w14:paraId="359B2BF2">
            <w:pPr>
              <w:widowControl/>
              <w:shd w:val="clear"/>
              <w:jc w:val="center"/>
              <w:textAlignment w:val="center"/>
              <w:rPr>
                <w:rFonts w:hint="eastAsia" w:ascii="宋体" w:hAnsi="宋体" w:eastAsia="宋体" w:cs="宋体"/>
                <w:color w:val="auto"/>
                <w:kern w:val="0"/>
                <w:sz w:val="24"/>
                <w:highlight w:val="none"/>
              </w:rPr>
            </w:pPr>
          </w:p>
        </w:tc>
      </w:tr>
      <w:tr w14:paraId="5532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FFFFFF"/>
            <w:vAlign w:val="center"/>
          </w:tcPr>
          <w:p w14:paraId="0C5720E5">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57433B96">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1E84759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数据上云</w:t>
            </w:r>
          </w:p>
        </w:tc>
        <w:tc>
          <w:tcPr>
            <w:tcW w:w="2061" w:type="dxa"/>
            <w:vMerge w:val="continue"/>
            <w:tcBorders>
              <w:left w:val="single" w:color="auto" w:sz="4" w:space="0"/>
            </w:tcBorders>
            <w:shd w:val="clear" w:color="auto" w:fill="FFFFFF"/>
            <w:vAlign w:val="center"/>
          </w:tcPr>
          <w:p w14:paraId="0255F61C">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16A69D31">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41A5324B">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7F9D50CC">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74B553C4">
            <w:pPr>
              <w:widowControl/>
              <w:shd w:val="clear"/>
              <w:jc w:val="center"/>
              <w:textAlignment w:val="center"/>
              <w:rPr>
                <w:rFonts w:hint="eastAsia" w:ascii="宋体" w:hAnsi="宋体" w:eastAsia="宋体" w:cs="宋体"/>
                <w:color w:val="auto"/>
                <w:kern w:val="0"/>
                <w:sz w:val="24"/>
                <w:highlight w:val="none"/>
              </w:rPr>
            </w:pPr>
          </w:p>
        </w:tc>
      </w:tr>
      <w:tr w14:paraId="27E8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FFFFFF"/>
            <w:vAlign w:val="center"/>
          </w:tcPr>
          <w:p w14:paraId="6FC02B2C">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D9691B3">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1AB69F4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数据治理</w:t>
            </w:r>
          </w:p>
        </w:tc>
        <w:tc>
          <w:tcPr>
            <w:tcW w:w="2061" w:type="dxa"/>
            <w:vMerge w:val="continue"/>
            <w:tcBorders>
              <w:left w:val="single" w:color="auto" w:sz="4" w:space="0"/>
            </w:tcBorders>
            <w:shd w:val="clear" w:color="auto" w:fill="FFFFFF"/>
            <w:vAlign w:val="center"/>
          </w:tcPr>
          <w:p w14:paraId="4FA85A04">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201A9260">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730A6E04">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2BE0DED7">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0F56B627">
            <w:pPr>
              <w:widowControl/>
              <w:shd w:val="clear"/>
              <w:jc w:val="center"/>
              <w:textAlignment w:val="center"/>
              <w:rPr>
                <w:rFonts w:hint="eastAsia" w:ascii="宋体" w:hAnsi="宋体" w:eastAsia="宋体" w:cs="宋体"/>
                <w:color w:val="auto"/>
                <w:kern w:val="0"/>
                <w:sz w:val="24"/>
                <w:highlight w:val="none"/>
              </w:rPr>
            </w:pPr>
          </w:p>
        </w:tc>
      </w:tr>
      <w:tr w14:paraId="067A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FFFFFF"/>
            <w:vAlign w:val="center"/>
          </w:tcPr>
          <w:p w14:paraId="32D10005">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12AC881">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371D402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数据开发</w:t>
            </w:r>
          </w:p>
        </w:tc>
        <w:tc>
          <w:tcPr>
            <w:tcW w:w="2061" w:type="dxa"/>
            <w:vMerge w:val="continue"/>
            <w:tcBorders>
              <w:left w:val="single" w:color="auto" w:sz="4" w:space="0"/>
            </w:tcBorders>
            <w:shd w:val="clear" w:color="auto" w:fill="FFFFFF"/>
            <w:vAlign w:val="center"/>
          </w:tcPr>
          <w:p w14:paraId="4A8BB5A5">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57661265">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noWrap/>
            <w:vAlign w:val="center"/>
          </w:tcPr>
          <w:p w14:paraId="1425C11D">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7A234A97">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42035F51">
            <w:pPr>
              <w:widowControl/>
              <w:shd w:val="clear"/>
              <w:jc w:val="center"/>
              <w:textAlignment w:val="center"/>
              <w:rPr>
                <w:rFonts w:hint="eastAsia" w:ascii="宋体" w:hAnsi="宋体" w:eastAsia="宋体" w:cs="宋体"/>
                <w:color w:val="auto"/>
                <w:kern w:val="0"/>
                <w:sz w:val="24"/>
                <w:highlight w:val="none"/>
              </w:rPr>
            </w:pPr>
          </w:p>
        </w:tc>
      </w:tr>
      <w:tr w14:paraId="0E71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FFFFFF"/>
            <w:vAlign w:val="center"/>
          </w:tcPr>
          <w:p w14:paraId="692F3E74">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38A5D46A">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67F4CDC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数据能力支撑</w:t>
            </w:r>
          </w:p>
        </w:tc>
        <w:tc>
          <w:tcPr>
            <w:tcW w:w="2061" w:type="dxa"/>
            <w:vMerge w:val="continue"/>
            <w:tcBorders>
              <w:left w:val="single" w:color="auto" w:sz="4" w:space="0"/>
            </w:tcBorders>
            <w:shd w:val="clear" w:color="auto" w:fill="FFFFFF"/>
            <w:vAlign w:val="center"/>
          </w:tcPr>
          <w:p w14:paraId="0B444084">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6D6FB1DE">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6FB688EE">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3DA7CA32">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0E7392FC">
            <w:pPr>
              <w:widowControl/>
              <w:shd w:val="clear"/>
              <w:jc w:val="center"/>
              <w:textAlignment w:val="center"/>
              <w:rPr>
                <w:rFonts w:hint="eastAsia" w:ascii="宋体" w:hAnsi="宋体" w:eastAsia="宋体" w:cs="宋体"/>
                <w:color w:val="auto"/>
                <w:kern w:val="0"/>
                <w:sz w:val="24"/>
                <w:highlight w:val="none"/>
              </w:rPr>
            </w:pPr>
          </w:p>
        </w:tc>
      </w:tr>
      <w:tr w14:paraId="117E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FFFFFF"/>
            <w:vAlign w:val="center"/>
          </w:tcPr>
          <w:p w14:paraId="424EC35B">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2BD72D4">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45E47E29">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数据预警运营</w:t>
            </w:r>
          </w:p>
        </w:tc>
        <w:tc>
          <w:tcPr>
            <w:tcW w:w="2061" w:type="dxa"/>
            <w:vMerge w:val="continue"/>
            <w:tcBorders>
              <w:left w:val="single" w:color="auto" w:sz="4" w:space="0"/>
            </w:tcBorders>
            <w:shd w:val="clear" w:color="auto" w:fill="FFFFFF"/>
            <w:vAlign w:val="center"/>
          </w:tcPr>
          <w:p w14:paraId="1E788B54">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15990F74">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0A8DCBC1">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61351C7B">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365E823C">
            <w:pPr>
              <w:widowControl/>
              <w:shd w:val="clear"/>
              <w:jc w:val="center"/>
              <w:textAlignment w:val="center"/>
              <w:rPr>
                <w:rFonts w:hint="eastAsia" w:ascii="宋体" w:hAnsi="宋体" w:eastAsia="宋体" w:cs="宋体"/>
                <w:color w:val="auto"/>
                <w:kern w:val="0"/>
                <w:sz w:val="24"/>
                <w:highlight w:val="none"/>
              </w:rPr>
            </w:pPr>
          </w:p>
        </w:tc>
      </w:tr>
      <w:tr w14:paraId="3AC8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vAlign w:val="center"/>
          </w:tcPr>
          <w:p w14:paraId="7FC11D8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二、安全加固及应用迁移改造服务</w:t>
            </w:r>
          </w:p>
        </w:tc>
        <w:tc>
          <w:tcPr>
            <w:tcW w:w="1349" w:type="dxa"/>
            <w:vMerge w:val="restart"/>
            <w:tcBorders>
              <w:left w:val="single" w:color="auto" w:sz="4" w:space="0"/>
            </w:tcBorders>
            <w:vAlign w:val="center"/>
          </w:tcPr>
          <w:p w14:paraId="70F4944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网络安全服务</w:t>
            </w:r>
          </w:p>
        </w:tc>
        <w:tc>
          <w:tcPr>
            <w:tcW w:w="1679" w:type="dxa"/>
            <w:tcBorders>
              <w:left w:val="single" w:color="auto" w:sz="4" w:space="0"/>
            </w:tcBorders>
            <w:vAlign w:val="center"/>
          </w:tcPr>
          <w:p w14:paraId="2F129529">
            <w:pPr>
              <w:shd w:val="clea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漏洞扫描服务</w:t>
            </w:r>
          </w:p>
        </w:tc>
        <w:tc>
          <w:tcPr>
            <w:tcW w:w="2061" w:type="dxa"/>
            <w:tcBorders>
              <w:left w:val="single" w:color="auto" w:sz="4" w:space="0"/>
            </w:tcBorders>
            <w:vAlign w:val="center"/>
          </w:tcPr>
          <w:p w14:paraId="7DF8BE36">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【服务方式】一年提供4次漏洞扫描服务；</w:t>
            </w:r>
          </w:p>
        </w:tc>
        <w:tc>
          <w:tcPr>
            <w:tcW w:w="1032" w:type="dxa"/>
            <w:vMerge w:val="restart"/>
            <w:tcBorders>
              <w:left w:val="single" w:color="auto" w:sz="4" w:space="0"/>
            </w:tcBorders>
            <w:vAlign w:val="center"/>
          </w:tcPr>
          <w:p w14:paraId="71CE412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4EA9E2AA">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0E55072F">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7485ACFC">
            <w:pPr>
              <w:widowControl/>
              <w:shd w:val="clear"/>
              <w:jc w:val="center"/>
              <w:textAlignment w:val="center"/>
              <w:rPr>
                <w:rFonts w:hint="eastAsia" w:ascii="宋体" w:hAnsi="宋体" w:eastAsia="宋体" w:cs="宋体"/>
                <w:color w:val="auto"/>
                <w:sz w:val="24"/>
                <w:highlight w:val="none"/>
              </w:rPr>
            </w:pPr>
          </w:p>
        </w:tc>
      </w:tr>
      <w:tr w14:paraId="4526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76DF7BC4">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A937E6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3DC7559">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数据库审计服务</w:t>
            </w:r>
          </w:p>
        </w:tc>
        <w:tc>
          <w:tcPr>
            <w:tcW w:w="2061" w:type="dxa"/>
            <w:tcBorders>
              <w:left w:val="single" w:color="auto" w:sz="4" w:space="0"/>
            </w:tcBorders>
            <w:vAlign w:val="center"/>
          </w:tcPr>
          <w:p w14:paraId="20D9BDD9">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vAlign w:val="center"/>
          </w:tcPr>
          <w:p w14:paraId="13080A7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28E3601">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C06246E">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DAAE66B">
            <w:pPr>
              <w:widowControl/>
              <w:shd w:val="clear"/>
              <w:jc w:val="center"/>
              <w:rPr>
                <w:rFonts w:hint="eastAsia" w:ascii="宋体" w:hAnsi="宋体" w:eastAsia="宋体" w:cs="宋体"/>
                <w:color w:val="auto"/>
                <w:sz w:val="24"/>
                <w:highlight w:val="none"/>
              </w:rPr>
            </w:pPr>
          </w:p>
        </w:tc>
      </w:tr>
      <w:tr w14:paraId="663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1F27AC6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831999A">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BABA46C">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日志审计服务</w:t>
            </w:r>
          </w:p>
        </w:tc>
        <w:tc>
          <w:tcPr>
            <w:tcW w:w="2061" w:type="dxa"/>
            <w:tcBorders>
              <w:left w:val="single" w:color="auto" w:sz="4" w:space="0"/>
            </w:tcBorders>
            <w:vAlign w:val="center"/>
          </w:tcPr>
          <w:p w14:paraId="3BBD65B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vAlign w:val="center"/>
          </w:tcPr>
          <w:p w14:paraId="0417A42E">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2343193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730F312">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9A18770">
            <w:pPr>
              <w:widowControl/>
              <w:shd w:val="clear"/>
              <w:jc w:val="center"/>
              <w:rPr>
                <w:rFonts w:hint="eastAsia" w:ascii="宋体" w:hAnsi="宋体" w:eastAsia="宋体" w:cs="宋体"/>
                <w:color w:val="auto"/>
                <w:sz w:val="24"/>
                <w:highlight w:val="none"/>
              </w:rPr>
            </w:pPr>
          </w:p>
        </w:tc>
      </w:tr>
      <w:tr w14:paraId="0E4C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4733EE8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A98523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B62EDB1">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安全运营服务</w:t>
            </w:r>
          </w:p>
        </w:tc>
        <w:tc>
          <w:tcPr>
            <w:tcW w:w="2061" w:type="dxa"/>
            <w:tcBorders>
              <w:left w:val="single" w:color="auto" w:sz="4" w:space="0"/>
            </w:tcBorders>
            <w:vAlign w:val="center"/>
          </w:tcPr>
          <w:p w14:paraId="4E63BD07">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【服务方式】驻场服务1人</w:t>
            </w:r>
          </w:p>
        </w:tc>
        <w:tc>
          <w:tcPr>
            <w:tcW w:w="1032" w:type="dxa"/>
            <w:vMerge w:val="continue"/>
            <w:tcBorders>
              <w:left w:val="single" w:color="auto" w:sz="4" w:space="0"/>
            </w:tcBorders>
            <w:vAlign w:val="center"/>
          </w:tcPr>
          <w:p w14:paraId="7AA2CEF8">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88CABA0">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D5710F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D71E54">
            <w:pPr>
              <w:widowControl/>
              <w:shd w:val="clear"/>
              <w:jc w:val="center"/>
              <w:rPr>
                <w:rFonts w:hint="eastAsia" w:ascii="宋体" w:hAnsi="宋体" w:eastAsia="宋体" w:cs="宋体"/>
                <w:color w:val="auto"/>
                <w:sz w:val="24"/>
                <w:highlight w:val="none"/>
              </w:rPr>
            </w:pPr>
          </w:p>
        </w:tc>
      </w:tr>
      <w:tr w14:paraId="686D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15C88C46">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86B87B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CC76A57">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应急响应服务</w:t>
            </w:r>
          </w:p>
        </w:tc>
        <w:tc>
          <w:tcPr>
            <w:tcW w:w="2061" w:type="dxa"/>
            <w:tcBorders>
              <w:left w:val="single" w:color="auto" w:sz="4" w:space="0"/>
            </w:tcBorders>
            <w:vAlign w:val="center"/>
          </w:tcPr>
          <w:p w14:paraId="7FCFD604">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【服务方式】一年提供4次应急响应服务</w:t>
            </w:r>
          </w:p>
        </w:tc>
        <w:tc>
          <w:tcPr>
            <w:tcW w:w="1032" w:type="dxa"/>
            <w:vMerge w:val="continue"/>
            <w:tcBorders>
              <w:left w:val="single" w:color="auto" w:sz="4" w:space="0"/>
            </w:tcBorders>
            <w:vAlign w:val="center"/>
          </w:tcPr>
          <w:p w14:paraId="0554B75C">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8C1D5E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0870E82">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4FD5423">
            <w:pPr>
              <w:widowControl/>
              <w:shd w:val="clear"/>
              <w:jc w:val="center"/>
              <w:rPr>
                <w:rFonts w:hint="eastAsia" w:ascii="宋体" w:hAnsi="宋体" w:eastAsia="宋体" w:cs="宋体"/>
                <w:color w:val="auto"/>
                <w:sz w:val="24"/>
                <w:highlight w:val="none"/>
              </w:rPr>
            </w:pPr>
          </w:p>
        </w:tc>
      </w:tr>
      <w:tr w14:paraId="0970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581CF2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35040E7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3C33684F">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高级渗透测试服务</w:t>
            </w:r>
          </w:p>
        </w:tc>
        <w:tc>
          <w:tcPr>
            <w:tcW w:w="2061" w:type="dxa"/>
            <w:tcBorders>
              <w:left w:val="single" w:color="auto" w:sz="4" w:space="0"/>
            </w:tcBorders>
            <w:vAlign w:val="center"/>
          </w:tcPr>
          <w:p w14:paraId="30351470">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【服务方式】一年提供20个系统的渗透测试服务</w:t>
            </w:r>
          </w:p>
        </w:tc>
        <w:tc>
          <w:tcPr>
            <w:tcW w:w="1032" w:type="dxa"/>
            <w:vMerge w:val="continue"/>
            <w:tcBorders>
              <w:left w:val="single" w:color="auto" w:sz="4" w:space="0"/>
            </w:tcBorders>
            <w:vAlign w:val="center"/>
          </w:tcPr>
          <w:p w14:paraId="434B0509">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7E4A19F">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29BB311A">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4081AE">
            <w:pPr>
              <w:widowControl/>
              <w:shd w:val="clear"/>
              <w:jc w:val="center"/>
              <w:rPr>
                <w:rFonts w:hint="eastAsia" w:ascii="宋体" w:hAnsi="宋体" w:eastAsia="宋体" w:cs="宋体"/>
                <w:color w:val="auto"/>
                <w:sz w:val="24"/>
                <w:highlight w:val="none"/>
              </w:rPr>
            </w:pPr>
          </w:p>
        </w:tc>
      </w:tr>
      <w:tr w14:paraId="5FF2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06B83E51">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3AB86E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685EC161">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应急预案服务</w:t>
            </w:r>
          </w:p>
        </w:tc>
        <w:tc>
          <w:tcPr>
            <w:tcW w:w="2061" w:type="dxa"/>
            <w:tcBorders>
              <w:left w:val="single" w:color="auto" w:sz="4" w:space="0"/>
            </w:tcBorders>
            <w:vAlign w:val="center"/>
          </w:tcPr>
          <w:p w14:paraId="5E0635D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【服务方式】一年提供一次应急预案服务；</w:t>
            </w:r>
          </w:p>
        </w:tc>
        <w:tc>
          <w:tcPr>
            <w:tcW w:w="1032" w:type="dxa"/>
            <w:vMerge w:val="continue"/>
            <w:tcBorders>
              <w:left w:val="single" w:color="auto" w:sz="4" w:space="0"/>
            </w:tcBorders>
            <w:vAlign w:val="center"/>
          </w:tcPr>
          <w:p w14:paraId="39309D1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8AFAC2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56C145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C018115">
            <w:pPr>
              <w:widowControl/>
              <w:shd w:val="clear"/>
              <w:jc w:val="center"/>
              <w:rPr>
                <w:rFonts w:hint="eastAsia" w:ascii="宋体" w:hAnsi="宋体" w:eastAsia="宋体" w:cs="宋体"/>
                <w:color w:val="auto"/>
                <w:sz w:val="24"/>
                <w:highlight w:val="none"/>
              </w:rPr>
            </w:pPr>
          </w:p>
        </w:tc>
      </w:tr>
      <w:tr w14:paraId="79D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6F455BD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54F9DD7">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3D73EF6E">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应急演练服务</w:t>
            </w:r>
          </w:p>
        </w:tc>
        <w:tc>
          <w:tcPr>
            <w:tcW w:w="2061" w:type="dxa"/>
            <w:tcBorders>
              <w:left w:val="single" w:color="auto" w:sz="4" w:space="0"/>
            </w:tcBorders>
            <w:vAlign w:val="center"/>
          </w:tcPr>
          <w:p w14:paraId="08C8CE7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【服务方式】一年提供一次应急演练服务；</w:t>
            </w:r>
          </w:p>
        </w:tc>
        <w:tc>
          <w:tcPr>
            <w:tcW w:w="1032" w:type="dxa"/>
            <w:vMerge w:val="continue"/>
            <w:tcBorders>
              <w:left w:val="single" w:color="auto" w:sz="4" w:space="0"/>
            </w:tcBorders>
            <w:vAlign w:val="center"/>
          </w:tcPr>
          <w:p w14:paraId="42C7A28C">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56E819E">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8CECE2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9586DF">
            <w:pPr>
              <w:widowControl/>
              <w:shd w:val="clear"/>
              <w:jc w:val="center"/>
              <w:rPr>
                <w:rFonts w:hint="eastAsia" w:ascii="宋体" w:hAnsi="宋体" w:eastAsia="宋体" w:cs="宋体"/>
                <w:color w:val="auto"/>
                <w:sz w:val="24"/>
                <w:highlight w:val="none"/>
              </w:rPr>
            </w:pPr>
          </w:p>
        </w:tc>
      </w:tr>
      <w:tr w14:paraId="47F8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3CC8AC7">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7D7F9E1">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3057C4A">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重要时期保障服务</w:t>
            </w:r>
          </w:p>
        </w:tc>
        <w:tc>
          <w:tcPr>
            <w:tcW w:w="2061" w:type="dxa"/>
            <w:tcBorders>
              <w:left w:val="single" w:color="auto" w:sz="4" w:space="0"/>
            </w:tcBorders>
            <w:vAlign w:val="center"/>
          </w:tcPr>
          <w:p w14:paraId="6895792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【服务方式】一年提供4次重要时期保障服务</w:t>
            </w:r>
          </w:p>
        </w:tc>
        <w:tc>
          <w:tcPr>
            <w:tcW w:w="1032" w:type="dxa"/>
            <w:vMerge w:val="continue"/>
            <w:tcBorders>
              <w:left w:val="single" w:color="auto" w:sz="4" w:space="0"/>
            </w:tcBorders>
            <w:vAlign w:val="center"/>
          </w:tcPr>
          <w:p w14:paraId="79F24D5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CB89F33">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A0D4C81">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021AF96">
            <w:pPr>
              <w:widowControl/>
              <w:shd w:val="clear"/>
              <w:jc w:val="center"/>
              <w:rPr>
                <w:rFonts w:hint="eastAsia" w:ascii="宋体" w:hAnsi="宋体" w:eastAsia="宋体" w:cs="宋体"/>
                <w:color w:val="auto"/>
                <w:sz w:val="24"/>
                <w:highlight w:val="none"/>
              </w:rPr>
            </w:pPr>
          </w:p>
        </w:tc>
      </w:tr>
      <w:tr w14:paraId="5C1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5AF6AF7E">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2CF998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690F3DD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跨网数据安全交换服务 </w:t>
            </w:r>
          </w:p>
        </w:tc>
        <w:tc>
          <w:tcPr>
            <w:tcW w:w="2061" w:type="dxa"/>
            <w:tcBorders>
              <w:left w:val="single" w:color="auto" w:sz="4" w:space="0"/>
            </w:tcBorders>
            <w:vAlign w:val="center"/>
          </w:tcPr>
          <w:p w14:paraId="149CB89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【服务方式】工具租用，符合信创要求</w:t>
            </w:r>
          </w:p>
        </w:tc>
        <w:tc>
          <w:tcPr>
            <w:tcW w:w="1032" w:type="dxa"/>
            <w:vMerge w:val="continue"/>
            <w:tcBorders>
              <w:left w:val="single" w:color="auto" w:sz="4" w:space="0"/>
            </w:tcBorders>
            <w:vAlign w:val="center"/>
          </w:tcPr>
          <w:p w14:paraId="52FEDA56">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83C19A2">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1B82E4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B304073">
            <w:pPr>
              <w:widowControl/>
              <w:shd w:val="clear"/>
              <w:jc w:val="center"/>
              <w:rPr>
                <w:rFonts w:hint="eastAsia" w:ascii="宋体" w:hAnsi="宋体" w:eastAsia="宋体" w:cs="宋体"/>
                <w:color w:val="auto"/>
                <w:sz w:val="24"/>
                <w:highlight w:val="none"/>
              </w:rPr>
            </w:pPr>
          </w:p>
        </w:tc>
      </w:tr>
      <w:tr w14:paraId="48E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430CA2C3">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ED6CF2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05211A7">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违规外联监测服务</w:t>
            </w:r>
          </w:p>
        </w:tc>
        <w:tc>
          <w:tcPr>
            <w:tcW w:w="2061" w:type="dxa"/>
            <w:tcBorders>
              <w:left w:val="single" w:color="auto" w:sz="4" w:space="0"/>
            </w:tcBorders>
            <w:vAlign w:val="center"/>
          </w:tcPr>
          <w:p w14:paraId="27675D6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continue"/>
            <w:tcBorders>
              <w:left w:val="single" w:color="auto" w:sz="4" w:space="0"/>
            </w:tcBorders>
            <w:vAlign w:val="center"/>
          </w:tcPr>
          <w:p w14:paraId="1AC37658">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23C2FB4">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7EC79D78">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ABC6EC">
            <w:pPr>
              <w:widowControl/>
              <w:shd w:val="clear"/>
              <w:jc w:val="center"/>
              <w:rPr>
                <w:rFonts w:hint="eastAsia" w:ascii="宋体" w:hAnsi="宋体" w:eastAsia="宋体" w:cs="宋体"/>
                <w:color w:val="auto"/>
                <w:sz w:val="24"/>
                <w:highlight w:val="none"/>
              </w:rPr>
            </w:pPr>
          </w:p>
        </w:tc>
      </w:tr>
      <w:tr w14:paraId="59A3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6EDD51B6">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453A26AF">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非现场执法平台迁移改造服务</w:t>
            </w:r>
          </w:p>
        </w:tc>
        <w:tc>
          <w:tcPr>
            <w:tcW w:w="1679" w:type="dxa"/>
            <w:tcBorders>
              <w:left w:val="single" w:color="auto" w:sz="4" w:space="0"/>
            </w:tcBorders>
            <w:vAlign w:val="center"/>
          </w:tcPr>
          <w:p w14:paraId="328CF56F">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软硬件部分</w:t>
            </w:r>
          </w:p>
        </w:tc>
        <w:tc>
          <w:tcPr>
            <w:tcW w:w="2061" w:type="dxa"/>
            <w:tcBorders>
              <w:left w:val="single" w:color="auto" w:sz="4" w:space="0"/>
            </w:tcBorders>
            <w:vAlign w:val="center"/>
          </w:tcPr>
          <w:p w14:paraId="19664085">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【服务形式】工具租用，符合信创要求,</w:t>
            </w:r>
            <w:r>
              <w:rPr>
                <w:rStyle w:val="32"/>
                <w:rFonts w:hint="eastAsia" w:ascii="宋体" w:hAnsi="宋体" w:eastAsia="宋体" w:cs="宋体"/>
                <w:color w:val="auto"/>
                <w:sz w:val="24"/>
                <w:szCs w:val="24"/>
                <w:highlight w:val="none"/>
              </w:rPr>
              <w:t>租赁期满后</w:t>
            </w:r>
            <w:r>
              <w:rPr>
                <w:rFonts w:hint="eastAsia" w:ascii="宋体" w:hAnsi="宋体" w:eastAsia="宋体" w:cs="宋体"/>
                <w:color w:val="auto"/>
                <w:sz w:val="24"/>
                <w:highlight w:val="none"/>
              </w:rPr>
              <w:t>设备处置权归甲方所有</w:t>
            </w:r>
          </w:p>
        </w:tc>
        <w:tc>
          <w:tcPr>
            <w:tcW w:w="1032" w:type="dxa"/>
            <w:tcBorders>
              <w:left w:val="single" w:color="auto" w:sz="4" w:space="0"/>
            </w:tcBorders>
            <w:vAlign w:val="center"/>
          </w:tcPr>
          <w:p w14:paraId="5FE18CBF">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6CA14EA6">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30FB8600">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5040E10E">
            <w:pPr>
              <w:widowControl/>
              <w:shd w:val="clear"/>
              <w:jc w:val="center"/>
              <w:textAlignment w:val="center"/>
              <w:rPr>
                <w:rFonts w:hint="eastAsia" w:ascii="宋体" w:hAnsi="宋体" w:eastAsia="宋体" w:cs="宋体"/>
                <w:color w:val="auto"/>
                <w:sz w:val="24"/>
                <w:highlight w:val="none"/>
              </w:rPr>
            </w:pPr>
          </w:p>
        </w:tc>
      </w:tr>
      <w:tr w14:paraId="1836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2427DC7C">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816BEBD">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8D05C5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非现场执法平台运营保障服务</w:t>
            </w:r>
          </w:p>
        </w:tc>
        <w:tc>
          <w:tcPr>
            <w:tcW w:w="2061" w:type="dxa"/>
            <w:tcBorders>
              <w:left w:val="single" w:color="auto" w:sz="4" w:space="0"/>
            </w:tcBorders>
            <w:vAlign w:val="center"/>
          </w:tcPr>
          <w:p w14:paraId="57D0CFD7">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【服务方式】租赁期内7*24小时服务（含</w:t>
            </w:r>
            <w:r>
              <w:rPr>
                <w:rStyle w:val="33"/>
                <w:rFonts w:hint="eastAsia" w:ascii="宋体" w:hAnsi="宋体" w:eastAsia="宋体" w:cs="宋体"/>
                <w:color w:val="auto"/>
                <w:sz w:val="24"/>
                <w:szCs w:val="24"/>
                <w:highlight w:val="none"/>
              </w:rPr>
              <w:t>驻场服务1人5*8小时保障</w:t>
            </w:r>
            <w:r>
              <w:rPr>
                <w:rStyle w:val="32"/>
                <w:rFonts w:hint="eastAsia" w:ascii="宋体" w:hAnsi="宋体" w:eastAsia="宋体" w:cs="宋体"/>
                <w:color w:val="auto"/>
                <w:sz w:val="24"/>
                <w:szCs w:val="24"/>
                <w:highlight w:val="none"/>
              </w:rPr>
              <w:t>）</w:t>
            </w:r>
          </w:p>
        </w:tc>
        <w:tc>
          <w:tcPr>
            <w:tcW w:w="1032" w:type="dxa"/>
            <w:tcBorders>
              <w:left w:val="single" w:color="auto" w:sz="4" w:space="0"/>
            </w:tcBorders>
            <w:vAlign w:val="center"/>
          </w:tcPr>
          <w:p w14:paraId="3B5366C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4CDEDB77">
            <w:pPr>
              <w:widowControl/>
              <w:shd w:val="clear"/>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vAlign w:val="center"/>
          </w:tcPr>
          <w:p w14:paraId="1473F1E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50A0209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EFA82BB">
            <w:pPr>
              <w:widowControl/>
              <w:shd w:val="clear"/>
              <w:jc w:val="center"/>
              <w:rPr>
                <w:rFonts w:hint="eastAsia" w:ascii="宋体" w:hAnsi="宋体" w:eastAsia="宋体" w:cs="宋体"/>
                <w:color w:val="auto"/>
                <w:sz w:val="24"/>
                <w:highlight w:val="none"/>
              </w:rPr>
            </w:pPr>
          </w:p>
        </w:tc>
      </w:tr>
      <w:tr w14:paraId="03C1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vAlign w:val="center"/>
          </w:tcPr>
          <w:p w14:paraId="5ED912D9">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三、货运导航数据及运营保障服务</w:t>
            </w:r>
          </w:p>
        </w:tc>
        <w:tc>
          <w:tcPr>
            <w:tcW w:w="1349" w:type="dxa"/>
            <w:vMerge w:val="restart"/>
            <w:tcBorders>
              <w:left w:val="single" w:color="auto" w:sz="4" w:space="0"/>
            </w:tcBorders>
            <w:vAlign w:val="center"/>
          </w:tcPr>
          <w:p w14:paraId="1195FAC1">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互联网地图导航基础服务</w:t>
            </w:r>
          </w:p>
        </w:tc>
        <w:tc>
          <w:tcPr>
            <w:tcW w:w="1679" w:type="dxa"/>
            <w:tcBorders>
              <w:left w:val="single" w:color="auto" w:sz="4" w:space="0"/>
            </w:tcBorders>
            <w:vAlign w:val="center"/>
          </w:tcPr>
          <w:p w14:paraId="3E8E2C5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货车线路规划</w:t>
            </w:r>
          </w:p>
        </w:tc>
        <w:tc>
          <w:tcPr>
            <w:tcW w:w="2061" w:type="dxa"/>
            <w:vMerge w:val="restart"/>
            <w:tcBorders>
              <w:left w:val="single" w:color="auto" w:sz="4" w:space="0"/>
            </w:tcBorders>
            <w:vAlign w:val="center"/>
          </w:tcPr>
          <w:p w14:paraId="235B3F3D">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restart"/>
            <w:tcBorders>
              <w:left w:val="single" w:color="auto" w:sz="4" w:space="0"/>
            </w:tcBorders>
            <w:vAlign w:val="center"/>
          </w:tcPr>
          <w:p w14:paraId="4FC7833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05A437DB">
            <w:pPr>
              <w:widowControl/>
              <w:shd w:val="clear"/>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vAlign w:val="center"/>
          </w:tcPr>
          <w:p w14:paraId="1B11AD9D">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6671B06F">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7D5AEB30">
            <w:pPr>
              <w:widowControl/>
              <w:shd w:val="clear"/>
              <w:jc w:val="center"/>
              <w:textAlignment w:val="center"/>
              <w:rPr>
                <w:rFonts w:hint="eastAsia" w:ascii="宋体" w:hAnsi="宋体" w:eastAsia="宋体" w:cs="宋体"/>
                <w:color w:val="auto"/>
                <w:sz w:val="24"/>
                <w:highlight w:val="none"/>
              </w:rPr>
            </w:pPr>
          </w:p>
        </w:tc>
      </w:tr>
      <w:tr w14:paraId="3B0C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4E0099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7D10C25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31D4EDA7">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货车导航接口</w:t>
            </w:r>
          </w:p>
        </w:tc>
        <w:tc>
          <w:tcPr>
            <w:tcW w:w="2061" w:type="dxa"/>
            <w:vMerge w:val="continue"/>
            <w:tcBorders>
              <w:left w:val="single" w:color="auto" w:sz="4" w:space="0"/>
            </w:tcBorders>
            <w:vAlign w:val="center"/>
          </w:tcPr>
          <w:p w14:paraId="345A0A5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55FBD7A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BD723A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5C037B9A">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1AF5B6E">
            <w:pPr>
              <w:widowControl/>
              <w:shd w:val="clear"/>
              <w:jc w:val="center"/>
              <w:rPr>
                <w:rFonts w:hint="eastAsia" w:ascii="宋体" w:hAnsi="宋体" w:eastAsia="宋体" w:cs="宋体"/>
                <w:color w:val="auto"/>
                <w:sz w:val="24"/>
                <w:highlight w:val="none"/>
              </w:rPr>
            </w:pPr>
          </w:p>
        </w:tc>
      </w:tr>
      <w:tr w14:paraId="63AB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34E861E6">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61F426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6D7D505">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创建路线及绑定-路线增加</w:t>
            </w:r>
          </w:p>
        </w:tc>
        <w:tc>
          <w:tcPr>
            <w:tcW w:w="2061" w:type="dxa"/>
            <w:vMerge w:val="continue"/>
            <w:tcBorders>
              <w:left w:val="single" w:color="auto" w:sz="4" w:space="0"/>
            </w:tcBorders>
            <w:vAlign w:val="center"/>
          </w:tcPr>
          <w:p w14:paraId="2C98926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DC4A41E">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51ACE6A">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3673CC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F77717">
            <w:pPr>
              <w:widowControl/>
              <w:shd w:val="clear"/>
              <w:jc w:val="center"/>
              <w:rPr>
                <w:rFonts w:hint="eastAsia" w:ascii="宋体" w:hAnsi="宋体" w:eastAsia="宋体" w:cs="宋体"/>
                <w:color w:val="auto"/>
                <w:sz w:val="24"/>
                <w:highlight w:val="none"/>
              </w:rPr>
            </w:pPr>
          </w:p>
        </w:tc>
      </w:tr>
      <w:tr w14:paraId="5F2D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7" w:type="dxa"/>
            <w:vMerge w:val="continue"/>
            <w:vAlign w:val="center"/>
          </w:tcPr>
          <w:p w14:paraId="1864884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34B39530">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575A10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创建路线及绑定-路线和线路绑定</w:t>
            </w:r>
          </w:p>
        </w:tc>
        <w:tc>
          <w:tcPr>
            <w:tcW w:w="2061" w:type="dxa"/>
            <w:vMerge w:val="continue"/>
            <w:tcBorders>
              <w:left w:val="single" w:color="auto" w:sz="4" w:space="0"/>
            </w:tcBorders>
            <w:vAlign w:val="center"/>
          </w:tcPr>
          <w:p w14:paraId="46C4CF80">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2C58A02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3A38532">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7F69CBA9">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0C6D94">
            <w:pPr>
              <w:widowControl/>
              <w:shd w:val="clear"/>
              <w:jc w:val="center"/>
              <w:rPr>
                <w:rFonts w:hint="eastAsia" w:ascii="宋体" w:hAnsi="宋体" w:eastAsia="宋体" w:cs="宋体"/>
                <w:color w:val="auto"/>
                <w:sz w:val="24"/>
                <w:highlight w:val="none"/>
              </w:rPr>
            </w:pPr>
          </w:p>
        </w:tc>
      </w:tr>
      <w:tr w14:paraId="151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01EC961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ACF39E2">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E1B26AA">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搜索服务-关键字搜索</w:t>
            </w:r>
          </w:p>
        </w:tc>
        <w:tc>
          <w:tcPr>
            <w:tcW w:w="2061" w:type="dxa"/>
            <w:vMerge w:val="continue"/>
            <w:tcBorders>
              <w:left w:val="single" w:color="auto" w:sz="4" w:space="0"/>
            </w:tcBorders>
            <w:vAlign w:val="center"/>
          </w:tcPr>
          <w:p w14:paraId="51B553DB">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399342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D34022F">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70A0F85">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1A78F9B">
            <w:pPr>
              <w:widowControl/>
              <w:shd w:val="clear"/>
              <w:jc w:val="center"/>
              <w:rPr>
                <w:rFonts w:hint="eastAsia" w:ascii="宋体" w:hAnsi="宋体" w:eastAsia="宋体" w:cs="宋体"/>
                <w:color w:val="auto"/>
                <w:sz w:val="24"/>
                <w:highlight w:val="none"/>
              </w:rPr>
            </w:pPr>
          </w:p>
        </w:tc>
      </w:tr>
      <w:tr w14:paraId="5646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3C6CB2B1">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6BE6CF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F84447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定线导航信息获取服务</w:t>
            </w:r>
          </w:p>
        </w:tc>
        <w:tc>
          <w:tcPr>
            <w:tcW w:w="2061" w:type="dxa"/>
            <w:vMerge w:val="continue"/>
            <w:tcBorders>
              <w:left w:val="single" w:color="auto" w:sz="4" w:space="0"/>
            </w:tcBorders>
            <w:vAlign w:val="center"/>
          </w:tcPr>
          <w:p w14:paraId="7457E12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8FF308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262AB3D5">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6385555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97483FA">
            <w:pPr>
              <w:widowControl/>
              <w:shd w:val="clear"/>
              <w:jc w:val="center"/>
              <w:rPr>
                <w:rFonts w:hint="eastAsia" w:ascii="宋体" w:hAnsi="宋体" w:eastAsia="宋体" w:cs="宋体"/>
                <w:color w:val="auto"/>
                <w:sz w:val="24"/>
                <w:highlight w:val="none"/>
              </w:rPr>
            </w:pPr>
          </w:p>
        </w:tc>
      </w:tr>
      <w:tr w14:paraId="6843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vAlign w:val="center"/>
          </w:tcPr>
          <w:p w14:paraId="66A7F31B">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6570FBF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城市货运导航数据运营服务</w:t>
            </w:r>
          </w:p>
        </w:tc>
        <w:tc>
          <w:tcPr>
            <w:tcW w:w="1679" w:type="dxa"/>
            <w:tcBorders>
              <w:left w:val="single" w:color="auto" w:sz="4" w:space="0"/>
            </w:tcBorders>
            <w:vAlign w:val="center"/>
          </w:tcPr>
          <w:p w14:paraId="515E730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常态化货运交通组织优化调整数据服务</w:t>
            </w:r>
          </w:p>
        </w:tc>
        <w:tc>
          <w:tcPr>
            <w:tcW w:w="2061" w:type="dxa"/>
            <w:vMerge w:val="restart"/>
            <w:tcBorders>
              <w:left w:val="single" w:color="auto" w:sz="4" w:space="0"/>
            </w:tcBorders>
            <w:vAlign w:val="center"/>
          </w:tcPr>
          <w:p w14:paraId="152FEC4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vAlign w:val="center"/>
          </w:tcPr>
          <w:p w14:paraId="73CB774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0067D234">
            <w:pPr>
              <w:widowControl/>
              <w:shd w:val="clear"/>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vAlign w:val="center"/>
          </w:tcPr>
          <w:p w14:paraId="0446266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8BA0703">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F9D36C3">
            <w:pPr>
              <w:widowControl/>
              <w:shd w:val="clear"/>
              <w:jc w:val="center"/>
              <w:rPr>
                <w:rFonts w:hint="eastAsia" w:ascii="宋体" w:hAnsi="宋体" w:eastAsia="宋体" w:cs="宋体"/>
                <w:color w:val="auto"/>
                <w:sz w:val="24"/>
                <w:highlight w:val="none"/>
              </w:rPr>
            </w:pPr>
          </w:p>
        </w:tc>
      </w:tr>
      <w:tr w14:paraId="485C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vAlign w:val="center"/>
          </w:tcPr>
          <w:p w14:paraId="40C8C793">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84CF21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DA6ACF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新版智安通系统数据接口对接、数据运营服务</w:t>
            </w:r>
          </w:p>
        </w:tc>
        <w:tc>
          <w:tcPr>
            <w:tcW w:w="2061" w:type="dxa"/>
            <w:vMerge w:val="continue"/>
            <w:tcBorders>
              <w:left w:val="single" w:color="auto" w:sz="4" w:space="0"/>
            </w:tcBorders>
            <w:vAlign w:val="center"/>
          </w:tcPr>
          <w:p w14:paraId="7AF64B13">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04CE7F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E74020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61D2DF9B">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F045AEF">
            <w:pPr>
              <w:widowControl/>
              <w:shd w:val="clear"/>
              <w:jc w:val="center"/>
              <w:rPr>
                <w:rFonts w:hint="eastAsia" w:ascii="宋体" w:hAnsi="宋体" w:eastAsia="宋体" w:cs="宋体"/>
                <w:color w:val="auto"/>
                <w:sz w:val="24"/>
                <w:highlight w:val="none"/>
              </w:rPr>
            </w:pPr>
          </w:p>
        </w:tc>
      </w:tr>
      <w:tr w14:paraId="3074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vAlign w:val="center"/>
          </w:tcPr>
          <w:p w14:paraId="592AFA1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EDB0360">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F3B8CC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车辆管理、业务逻辑控制功能升级、数据运营服务</w:t>
            </w:r>
          </w:p>
        </w:tc>
        <w:tc>
          <w:tcPr>
            <w:tcW w:w="2061" w:type="dxa"/>
            <w:vMerge w:val="continue"/>
            <w:tcBorders>
              <w:left w:val="single" w:color="auto" w:sz="4" w:space="0"/>
            </w:tcBorders>
            <w:vAlign w:val="center"/>
          </w:tcPr>
          <w:p w14:paraId="6131E6C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E5F8C0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BE75276">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86ABC6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52E5ACA">
            <w:pPr>
              <w:widowControl/>
              <w:shd w:val="clear"/>
              <w:jc w:val="center"/>
              <w:rPr>
                <w:rFonts w:hint="eastAsia" w:ascii="宋体" w:hAnsi="宋体" w:eastAsia="宋体" w:cs="宋体"/>
                <w:color w:val="auto"/>
                <w:sz w:val="24"/>
                <w:highlight w:val="none"/>
              </w:rPr>
            </w:pPr>
          </w:p>
        </w:tc>
      </w:tr>
      <w:tr w14:paraId="500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7" w:type="dxa"/>
            <w:vMerge w:val="continue"/>
            <w:vAlign w:val="center"/>
          </w:tcPr>
          <w:p w14:paraId="6CC95D3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E4C298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C25811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工程车定路功能升级服务、数据运营服务</w:t>
            </w:r>
          </w:p>
        </w:tc>
        <w:tc>
          <w:tcPr>
            <w:tcW w:w="2061" w:type="dxa"/>
            <w:vMerge w:val="continue"/>
            <w:tcBorders>
              <w:left w:val="single" w:color="auto" w:sz="4" w:space="0"/>
            </w:tcBorders>
            <w:vAlign w:val="center"/>
          </w:tcPr>
          <w:p w14:paraId="3527E8C7">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094845D0">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77EEFE7">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6A6A896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2E272219">
            <w:pPr>
              <w:widowControl/>
              <w:shd w:val="clear"/>
              <w:jc w:val="center"/>
              <w:rPr>
                <w:rFonts w:hint="eastAsia" w:ascii="宋体" w:hAnsi="宋体" w:eastAsia="宋体" w:cs="宋体"/>
                <w:color w:val="auto"/>
                <w:sz w:val="24"/>
                <w:highlight w:val="none"/>
              </w:rPr>
            </w:pPr>
          </w:p>
        </w:tc>
      </w:tr>
      <w:tr w14:paraId="08A9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7412F1B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90CFBBD">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BB9009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货运导航系统迁移改造服务</w:t>
            </w:r>
          </w:p>
        </w:tc>
        <w:tc>
          <w:tcPr>
            <w:tcW w:w="2061" w:type="dxa"/>
            <w:tcBorders>
              <w:left w:val="single" w:color="auto" w:sz="4" w:space="0"/>
            </w:tcBorders>
            <w:vAlign w:val="center"/>
          </w:tcPr>
          <w:p w14:paraId="4706575A">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tcBorders>
              <w:left w:val="single" w:color="auto" w:sz="4" w:space="0"/>
            </w:tcBorders>
            <w:vAlign w:val="center"/>
          </w:tcPr>
          <w:p w14:paraId="2E0029B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4DCD7093">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010B7DA">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B30CFF0">
            <w:pPr>
              <w:widowControl/>
              <w:shd w:val="clear"/>
              <w:jc w:val="center"/>
              <w:rPr>
                <w:rFonts w:hint="eastAsia" w:ascii="宋体" w:hAnsi="宋体" w:eastAsia="宋体" w:cs="宋体"/>
                <w:color w:val="auto"/>
                <w:sz w:val="24"/>
                <w:highlight w:val="none"/>
              </w:rPr>
            </w:pPr>
          </w:p>
        </w:tc>
      </w:tr>
      <w:tr w14:paraId="3BA4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vAlign w:val="center"/>
          </w:tcPr>
          <w:p w14:paraId="4BF921E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四、安全防控治理服务</w:t>
            </w:r>
          </w:p>
        </w:tc>
        <w:tc>
          <w:tcPr>
            <w:tcW w:w="1349" w:type="dxa"/>
            <w:vMerge w:val="restart"/>
            <w:tcBorders>
              <w:left w:val="single" w:color="auto" w:sz="4" w:space="0"/>
            </w:tcBorders>
            <w:vAlign w:val="center"/>
          </w:tcPr>
          <w:p w14:paraId="46F53633">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道路隐患分析模块</w:t>
            </w:r>
          </w:p>
        </w:tc>
        <w:tc>
          <w:tcPr>
            <w:tcW w:w="1679" w:type="dxa"/>
            <w:tcBorders>
              <w:left w:val="single" w:color="auto" w:sz="4" w:space="0"/>
            </w:tcBorders>
            <w:vAlign w:val="center"/>
          </w:tcPr>
          <w:p w14:paraId="0A91FB83">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道路隐患地图</w:t>
            </w:r>
          </w:p>
        </w:tc>
        <w:tc>
          <w:tcPr>
            <w:tcW w:w="2061" w:type="dxa"/>
            <w:vMerge w:val="restart"/>
            <w:tcBorders>
              <w:left w:val="single" w:color="auto" w:sz="4" w:space="0"/>
            </w:tcBorders>
            <w:vAlign w:val="center"/>
          </w:tcPr>
          <w:p w14:paraId="69A8F13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【服务方式】服务期满后处置权归甲方所有</w:t>
            </w:r>
          </w:p>
        </w:tc>
        <w:tc>
          <w:tcPr>
            <w:tcW w:w="1032" w:type="dxa"/>
            <w:vMerge w:val="restart"/>
            <w:tcBorders>
              <w:left w:val="single" w:color="auto" w:sz="4" w:space="0"/>
            </w:tcBorders>
            <w:vAlign w:val="center"/>
          </w:tcPr>
          <w:p w14:paraId="4F8F8690">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7BAD2E78">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5978DE50">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361615AE">
            <w:pPr>
              <w:widowControl/>
              <w:shd w:val="clear"/>
              <w:jc w:val="center"/>
              <w:textAlignment w:val="center"/>
              <w:rPr>
                <w:rFonts w:hint="eastAsia" w:ascii="宋体" w:hAnsi="宋体" w:eastAsia="宋体" w:cs="宋体"/>
                <w:color w:val="auto"/>
                <w:sz w:val="24"/>
                <w:highlight w:val="none"/>
              </w:rPr>
            </w:pPr>
          </w:p>
        </w:tc>
      </w:tr>
      <w:tr w14:paraId="555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07" w:type="dxa"/>
            <w:vMerge w:val="continue"/>
            <w:vAlign w:val="center"/>
          </w:tcPr>
          <w:p w14:paraId="7B170BE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784AA47">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0CB3F5B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质效监管</w:t>
            </w:r>
          </w:p>
        </w:tc>
        <w:tc>
          <w:tcPr>
            <w:tcW w:w="2061" w:type="dxa"/>
            <w:vMerge w:val="continue"/>
            <w:tcBorders>
              <w:left w:val="single" w:color="auto" w:sz="4" w:space="0"/>
            </w:tcBorders>
            <w:vAlign w:val="center"/>
          </w:tcPr>
          <w:p w14:paraId="65F47D56">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A806C6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9B3CAA7">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C403B23">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21DA0D9">
            <w:pPr>
              <w:widowControl/>
              <w:shd w:val="clear"/>
              <w:jc w:val="center"/>
              <w:rPr>
                <w:rFonts w:hint="eastAsia" w:ascii="宋体" w:hAnsi="宋体" w:eastAsia="宋体" w:cs="宋体"/>
                <w:color w:val="auto"/>
                <w:sz w:val="24"/>
                <w:highlight w:val="none"/>
              </w:rPr>
            </w:pPr>
          </w:p>
        </w:tc>
      </w:tr>
      <w:tr w14:paraId="2F89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0D1E380">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40875D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5612FF9">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隐患治理分析</w:t>
            </w:r>
          </w:p>
        </w:tc>
        <w:tc>
          <w:tcPr>
            <w:tcW w:w="2061" w:type="dxa"/>
            <w:vMerge w:val="continue"/>
            <w:tcBorders>
              <w:left w:val="single" w:color="auto" w:sz="4" w:space="0"/>
            </w:tcBorders>
            <w:vAlign w:val="center"/>
          </w:tcPr>
          <w:p w14:paraId="2924164A">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3CCE2FF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448768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214C01C9">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32E7DAD">
            <w:pPr>
              <w:widowControl/>
              <w:shd w:val="clear"/>
              <w:jc w:val="center"/>
              <w:rPr>
                <w:rFonts w:hint="eastAsia" w:ascii="宋体" w:hAnsi="宋体" w:eastAsia="宋体" w:cs="宋体"/>
                <w:color w:val="auto"/>
                <w:sz w:val="24"/>
                <w:highlight w:val="none"/>
              </w:rPr>
            </w:pPr>
          </w:p>
        </w:tc>
      </w:tr>
      <w:tr w14:paraId="13FE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vAlign w:val="center"/>
          </w:tcPr>
          <w:p w14:paraId="37CB0B60">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2F3CDB14">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w:t>
            </w:r>
          </w:p>
        </w:tc>
        <w:tc>
          <w:tcPr>
            <w:tcW w:w="1679" w:type="dxa"/>
            <w:tcBorders>
              <w:left w:val="single" w:color="auto" w:sz="4" w:space="0"/>
            </w:tcBorders>
            <w:vAlign w:val="center"/>
          </w:tcPr>
          <w:p w14:paraId="733CFE26">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警情趋势分析与预测</w:t>
            </w:r>
          </w:p>
        </w:tc>
        <w:tc>
          <w:tcPr>
            <w:tcW w:w="2061" w:type="dxa"/>
            <w:vMerge w:val="continue"/>
            <w:tcBorders>
              <w:left w:val="single" w:color="auto" w:sz="4" w:space="0"/>
            </w:tcBorders>
            <w:vAlign w:val="center"/>
          </w:tcPr>
          <w:p w14:paraId="5612F52B">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732F55EC">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15217BBB">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030" w:type="dxa"/>
            <w:tcBorders>
              <w:left w:val="single" w:color="auto" w:sz="4" w:space="0"/>
            </w:tcBorders>
            <w:vAlign w:val="center"/>
          </w:tcPr>
          <w:p w14:paraId="36CB69EE">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41AD450C">
            <w:pPr>
              <w:widowControl/>
              <w:shd w:val="clear"/>
              <w:jc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0A1C2918">
            <w:pPr>
              <w:widowControl/>
              <w:shd w:val="clear"/>
              <w:jc w:val="center"/>
              <w:rPr>
                <w:rFonts w:hint="eastAsia" w:ascii="宋体" w:hAnsi="宋体" w:eastAsia="宋体" w:cs="宋体"/>
                <w:color w:val="auto"/>
                <w:sz w:val="24"/>
                <w:highlight w:val="none"/>
              </w:rPr>
            </w:pPr>
          </w:p>
        </w:tc>
      </w:tr>
      <w:tr w14:paraId="03BE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7" w:type="dxa"/>
            <w:vMerge w:val="continue"/>
            <w:vAlign w:val="center"/>
          </w:tcPr>
          <w:p w14:paraId="4347D9C4">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802C94C">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6E1BCFB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重大交通风险预警分析</w:t>
            </w:r>
          </w:p>
        </w:tc>
        <w:tc>
          <w:tcPr>
            <w:tcW w:w="2061" w:type="dxa"/>
            <w:vMerge w:val="continue"/>
            <w:tcBorders>
              <w:left w:val="single" w:color="auto" w:sz="4" w:space="0"/>
            </w:tcBorders>
            <w:vAlign w:val="center"/>
          </w:tcPr>
          <w:p w14:paraId="4C2B1627">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CE0EE3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CEA30AF">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5FD0C7A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31AAAD3">
            <w:pPr>
              <w:widowControl/>
              <w:shd w:val="clear"/>
              <w:jc w:val="center"/>
              <w:rPr>
                <w:rFonts w:hint="eastAsia" w:ascii="宋体" w:hAnsi="宋体" w:eastAsia="宋体" w:cs="宋体"/>
                <w:color w:val="auto"/>
                <w:sz w:val="24"/>
                <w:highlight w:val="none"/>
              </w:rPr>
            </w:pPr>
          </w:p>
        </w:tc>
      </w:tr>
      <w:tr w14:paraId="62D4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vAlign w:val="center"/>
          </w:tcPr>
          <w:p w14:paraId="636D8E45">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D13BBA1">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183DC3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非交通事故警情分析</w:t>
            </w:r>
          </w:p>
        </w:tc>
        <w:tc>
          <w:tcPr>
            <w:tcW w:w="2061" w:type="dxa"/>
            <w:vMerge w:val="continue"/>
            <w:tcBorders>
              <w:left w:val="single" w:color="auto" w:sz="4" w:space="0"/>
            </w:tcBorders>
            <w:vAlign w:val="center"/>
          </w:tcPr>
          <w:p w14:paraId="376B9A70">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2C40C8E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B0BE74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6174B9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11BD480">
            <w:pPr>
              <w:widowControl/>
              <w:shd w:val="clear"/>
              <w:jc w:val="center"/>
              <w:rPr>
                <w:rFonts w:hint="eastAsia" w:ascii="宋体" w:hAnsi="宋体" w:eastAsia="宋体" w:cs="宋体"/>
                <w:color w:val="auto"/>
                <w:sz w:val="24"/>
                <w:highlight w:val="none"/>
              </w:rPr>
            </w:pPr>
          </w:p>
        </w:tc>
      </w:tr>
      <w:tr w14:paraId="7022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07" w:type="dxa"/>
            <w:vMerge w:val="continue"/>
            <w:vAlign w:val="center"/>
          </w:tcPr>
          <w:p w14:paraId="46593D1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580D72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9980309">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警情展板</w:t>
            </w:r>
          </w:p>
        </w:tc>
        <w:tc>
          <w:tcPr>
            <w:tcW w:w="2061" w:type="dxa"/>
            <w:vMerge w:val="continue"/>
            <w:tcBorders>
              <w:left w:val="single" w:color="auto" w:sz="4" w:space="0"/>
            </w:tcBorders>
            <w:vAlign w:val="center"/>
          </w:tcPr>
          <w:p w14:paraId="1B63149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05A7D8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4415C66">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677262F3">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B5097D">
            <w:pPr>
              <w:widowControl/>
              <w:shd w:val="clear"/>
              <w:jc w:val="center"/>
              <w:rPr>
                <w:rFonts w:hint="eastAsia" w:ascii="宋体" w:hAnsi="宋体" w:eastAsia="宋体" w:cs="宋体"/>
                <w:color w:val="auto"/>
                <w:sz w:val="24"/>
                <w:highlight w:val="none"/>
              </w:rPr>
            </w:pPr>
          </w:p>
        </w:tc>
      </w:tr>
      <w:tr w14:paraId="1D08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vAlign w:val="center"/>
          </w:tcPr>
          <w:p w14:paraId="5BACDE5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96F30F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0CF88E2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风险提示查询</w:t>
            </w:r>
          </w:p>
        </w:tc>
        <w:tc>
          <w:tcPr>
            <w:tcW w:w="2061" w:type="dxa"/>
            <w:vMerge w:val="continue"/>
            <w:tcBorders>
              <w:left w:val="single" w:color="auto" w:sz="4" w:space="0"/>
            </w:tcBorders>
            <w:vAlign w:val="center"/>
          </w:tcPr>
          <w:p w14:paraId="0F074EF5">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553E75A7">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34DDA75">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8CE04A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0D1D6DA">
            <w:pPr>
              <w:widowControl/>
              <w:shd w:val="clear"/>
              <w:jc w:val="center"/>
              <w:rPr>
                <w:rFonts w:hint="eastAsia" w:ascii="宋体" w:hAnsi="宋体" w:eastAsia="宋体" w:cs="宋体"/>
                <w:color w:val="auto"/>
                <w:sz w:val="24"/>
                <w:highlight w:val="none"/>
              </w:rPr>
            </w:pPr>
          </w:p>
        </w:tc>
      </w:tr>
      <w:tr w14:paraId="7710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vAlign w:val="center"/>
          </w:tcPr>
          <w:p w14:paraId="50A6D69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6C1FD9C">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DF4D4E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趋势研判</w:t>
            </w:r>
          </w:p>
        </w:tc>
        <w:tc>
          <w:tcPr>
            <w:tcW w:w="2061" w:type="dxa"/>
            <w:vMerge w:val="continue"/>
            <w:tcBorders>
              <w:left w:val="single" w:color="auto" w:sz="4" w:space="0"/>
            </w:tcBorders>
            <w:vAlign w:val="center"/>
          </w:tcPr>
          <w:p w14:paraId="51BF4CAD">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4160F28">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250D1B44">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607387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1A729BE">
            <w:pPr>
              <w:widowControl/>
              <w:shd w:val="clear"/>
              <w:jc w:val="center"/>
              <w:rPr>
                <w:rFonts w:hint="eastAsia" w:ascii="宋体" w:hAnsi="宋体" w:eastAsia="宋体" w:cs="宋体"/>
                <w:color w:val="auto"/>
                <w:sz w:val="24"/>
                <w:highlight w:val="none"/>
              </w:rPr>
            </w:pPr>
          </w:p>
        </w:tc>
      </w:tr>
      <w:tr w14:paraId="7112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372E0E03">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A944F3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0B6B33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警情地图</w:t>
            </w:r>
          </w:p>
        </w:tc>
        <w:tc>
          <w:tcPr>
            <w:tcW w:w="2061" w:type="dxa"/>
            <w:vMerge w:val="continue"/>
            <w:tcBorders>
              <w:left w:val="single" w:color="auto" w:sz="4" w:space="0"/>
            </w:tcBorders>
            <w:vAlign w:val="center"/>
          </w:tcPr>
          <w:p w14:paraId="7E108AE5">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532195E4">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1055669">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3F1C311">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B553DF5">
            <w:pPr>
              <w:widowControl/>
              <w:shd w:val="clear"/>
              <w:jc w:val="center"/>
              <w:rPr>
                <w:rFonts w:hint="eastAsia" w:ascii="宋体" w:hAnsi="宋体" w:eastAsia="宋体" w:cs="宋体"/>
                <w:color w:val="auto"/>
                <w:sz w:val="24"/>
                <w:highlight w:val="none"/>
              </w:rPr>
            </w:pPr>
          </w:p>
        </w:tc>
      </w:tr>
      <w:tr w14:paraId="333F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242FD3F9">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74D9210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97A4137">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警情统计</w:t>
            </w:r>
          </w:p>
        </w:tc>
        <w:tc>
          <w:tcPr>
            <w:tcW w:w="2061" w:type="dxa"/>
            <w:vMerge w:val="continue"/>
            <w:tcBorders>
              <w:left w:val="single" w:color="auto" w:sz="4" w:space="0"/>
            </w:tcBorders>
            <w:vAlign w:val="center"/>
          </w:tcPr>
          <w:p w14:paraId="67A42E99">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393B2F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A6A79D1">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6FD6E81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ECF2F0E">
            <w:pPr>
              <w:widowControl/>
              <w:shd w:val="clear"/>
              <w:jc w:val="center"/>
              <w:textAlignment w:val="center"/>
              <w:rPr>
                <w:rFonts w:hint="eastAsia" w:ascii="宋体" w:hAnsi="宋体" w:eastAsia="宋体" w:cs="宋体"/>
                <w:color w:val="auto"/>
                <w:kern w:val="0"/>
                <w:sz w:val="24"/>
                <w:highlight w:val="none"/>
              </w:rPr>
            </w:pPr>
          </w:p>
        </w:tc>
      </w:tr>
      <w:tr w14:paraId="381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6A22E1B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5C84D97">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1508909">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警情报告</w:t>
            </w:r>
          </w:p>
        </w:tc>
        <w:tc>
          <w:tcPr>
            <w:tcW w:w="2061" w:type="dxa"/>
            <w:vMerge w:val="continue"/>
            <w:tcBorders>
              <w:left w:val="single" w:color="auto" w:sz="4" w:space="0"/>
            </w:tcBorders>
            <w:vAlign w:val="center"/>
          </w:tcPr>
          <w:p w14:paraId="25ED5DAF">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DCF826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A1428A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62391F5">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3A5D9E5">
            <w:pPr>
              <w:widowControl/>
              <w:shd w:val="clear"/>
              <w:jc w:val="center"/>
              <w:textAlignment w:val="center"/>
              <w:rPr>
                <w:rFonts w:hint="eastAsia" w:ascii="宋体" w:hAnsi="宋体" w:eastAsia="宋体" w:cs="宋体"/>
                <w:color w:val="auto"/>
                <w:kern w:val="0"/>
                <w:sz w:val="24"/>
                <w:highlight w:val="none"/>
              </w:rPr>
            </w:pPr>
          </w:p>
        </w:tc>
      </w:tr>
      <w:tr w14:paraId="2BC1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D81D31B">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776A272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安全宣教提升及分析模块 </w:t>
            </w:r>
          </w:p>
        </w:tc>
        <w:tc>
          <w:tcPr>
            <w:tcW w:w="1679" w:type="dxa"/>
            <w:tcBorders>
              <w:left w:val="single" w:color="auto" w:sz="4" w:space="0"/>
            </w:tcBorders>
            <w:vAlign w:val="center"/>
          </w:tcPr>
          <w:p w14:paraId="5019B03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普通单位纳管和预警</w:t>
            </w:r>
          </w:p>
        </w:tc>
        <w:tc>
          <w:tcPr>
            <w:tcW w:w="2061" w:type="dxa"/>
            <w:vMerge w:val="continue"/>
            <w:tcBorders>
              <w:left w:val="single" w:color="auto" w:sz="4" w:space="0"/>
            </w:tcBorders>
            <w:vAlign w:val="center"/>
          </w:tcPr>
          <w:p w14:paraId="75129D16">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2992D2B7">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7A51B383">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7239B731">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w:t>
            </w:r>
          </w:p>
        </w:tc>
        <w:tc>
          <w:tcPr>
            <w:tcW w:w="477" w:type="dxa"/>
            <w:tcBorders>
              <w:left w:val="single" w:color="auto" w:sz="4" w:space="0"/>
            </w:tcBorders>
            <w:vAlign w:val="center"/>
          </w:tcPr>
          <w:p w14:paraId="0F193FD5">
            <w:pPr>
              <w:widowControl/>
              <w:shd w:val="clear"/>
              <w:jc w:val="center"/>
              <w:textAlignment w:val="center"/>
              <w:rPr>
                <w:rFonts w:hint="eastAsia" w:ascii="宋体" w:hAnsi="宋体" w:eastAsia="宋体" w:cs="宋体"/>
                <w:color w:val="auto"/>
                <w:kern w:val="0"/>
                <w:sz w:val="24"/>
                <w:highlight w:val="none"/>
              </w:rPr>
            </w:pPr>
          </w:p>
        </w:tc>
      </w:tr>
      <w:tr w14:paraId="42A3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3D2EEAFC">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42F638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2391396">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专业单位纳管</w:t>
            </w:r>
          </w:p>
        </w:tc>
        <w:tc>
          <w:tcPr>
            <w:tcW w:w="2061" w:type="dxa"/>
            <w:vMerge w:val="continue"/>
            <w:tcBorders>
              <w:left w:val="single" w:color="auto" w:sz="4" w:space="0"/>
            </w:tcBorders>
            <w:vAlign w:val="center"/>
          </w:tcPr>
          <w:p w14:paraId="1B865696">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2E2B5E4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1281AB5">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4A115F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4543498">
            <w:pPr>
              <w:widowControl/>
              <w:shd w:val="clear"/>
              <w:jc w:val="center"/>
              <w:textAlignment w:val="center"/>
              <w:rPr>
                <w:rFonts w:hint="eastAsia" w:ascii="宋体" w:hAnsi="宋体" w:eastAsia="宋体" w:cs="宋体"/>
                <w:color w:val="auto"/>
                <w:kern w:val="0"/>
                <w:sz w:val="24"/>
                <w:highlight w:val="none"/>
              </w:rPr>
            </w:pPr>
          </w:p>
        </w:tc>
      </w:tr>
      <w:tr w14:paraId="3B54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570506E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62F75EE">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8935AC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宣教任务分析</w:t>
            </w:r>
          </w:p>
        </w:tc>
        <w:tc>
          <w:tcPr>
            <w:tcW w:w="2061" w:type="dxa"/>
            <w:vMerge w:val="continue"/>
            <w:tcBorders>
              <w:left w:val="single" w:color="auto" w:sz="4" w:space="0"/>
            </w:tcBorders>
            <w:vAlign w:val="center"/>
          </w:tcPr>
          <w:p w14:paraId="22DE4CA3">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22D57AC">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AE66A7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38019BD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3148676">
            <w:pPr>
              <w:widowControl/>
              <w:shd w:val="clear"/>
              <w:jc w:val="center"/>
              <w:textAlignment w:val="center"/>
              <w:rPr>
                <w:rFonts w:hint="eastAsia" w:ascii="宋体" w:hAnsi="宋体" w:eastAsia="宋体" w:cs="宋体"/>
                <w:color w:val="auto"/>
                <w:kern w:val="0"/>
                <w:sz w:val="24"/>
                <w:highlight w:val="none"/>
              </w:rPr>
            </w:pPr>
          </w:p>
        </w:tc>
      </w:tr>
      <w:tr w14:paraId="6720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07" w:type="dxa"/>
            <w:vMerge w:val="continue"/>
            <w:vAlign w:val="center"/>
          </w:tcPr>
          <w:p w14:paraId="25ED15A5">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317ACD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B84AE4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宣教质效管理</w:t>
            </w:r>
          </w:p>
        </w:tc>
        <w:tc>
          <w:tcPr>
            <w:tcW w:w="2061" w:type="dxa"/>
            <w:vMerge w:val="continue"/>
            <w:tcBorders>
              <w:left w:val="single" w:color="auto" w:sz="4" w:space="0"/>
            </w:tcBorders>
            <w:vAlign w:val="center"/>
          </w:tcPr>
          <w:p w14:paraId="7026160F">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22D562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4AFED231">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DAF0091">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EB17A7">
            <w:pPr>
              <w:widowControl/>
              <w:shd w:val="clear"/>
              <w:jc w:val="center"/>
              <w:textAlignment w:val="center"/>
              <w:rPr>
                <w:rFonts w:hint="eastAsia" w:ascii="宋体" w:hAnsi="宋体" w:eastAsia="宋体" w:cs="宋体"/>
                <w:color w:val="auto"/>
                <w:kern w:val="0"/>
                <w:sz w:val="24"/>
                <w:highlight w:val="none"/>
              </w:rPr>
            </w:pPr>
          </w:p>
        </w:tc>
      </w:tr>
      <w:tr w14:paraId="2254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53EC963A">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5966DD0">
            <w:pPr>
              <w:shd w:val="clear"/>
              <w:rPr>
                <w:rFonts w:hint="eastAsia" w:ascii="宋体" w:hAnsi="宋体" w:eastAsia="宋体" w:cs="宋体"/>
                <w:color w:val="auto"/>
                <w:highlight w:val="none"/>
              </w:rPr>
            </w:pPr>
          </w:p>
        </w:tc>
        <w:tc>
          <w:tcPr>
            <w:tcW w:w="1679" w:type="dxa"/>
            <w:vMerge w:val="restart"/>
            <w:tcBorders>
              <w:left w:val="single" w:color="auto" w:sz="4" w:space="0"/>
            </w:tcBorders>
            <w:vAlign w:val="center"/>
          </w:tcPr>
          <w:p w14:paraId="11A6BDF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安全宣教数据看板</w:t>
            </w:r>
          </w:p>
        </w:tc>
        <w:tc>
          <w:tcPr>
            <w:tcW w:w="2061" w:type="dxa"/>
            <w:vMerge w:val="continue"/>
            <w:tcBorders>
              <w:left w:val="single" w:color="auto" w:sz="4" w:space="0"/>
            </w:tcBorders>
            <w:vAlign w:val="center"/>
          </w:tcPr>
          <w:p w14:paraId="237A10C6">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4E5F1F6">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21EA541">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53D803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A7A8643">
            <w:pPr>
              <w:widowControl/>
              <w:shd w:val="clear"/>
              <w:jc w:val="center"/>
              <w:textAlignment w:val="center"/>
              <w:rPr>
                <w:rFonts w:hint="eastAsia" w:ascii="宋体" w:hAnsi="宋体" w:eastAsia="宋体" w:cs="宋体"/>
                <w:color w:val="auto"/>
                <w:kern w:val="0"/>
                <w:sz w:val="24"/>
                <w:highlight w:val="none"/>
              </w:rPr>
            </w:pPr>
          </w:p>
        </w:tc>
      </w:tr>
      <w:tr w14:paraId="172D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564026A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371295B9">
            <w:pPr>
              <w:shd w:val="clear"/>
              <w:rPr>
                <w:rFonts w:hint="eastAsia" w:ascii="宋体" w:hAnsi="宋体" w:eastAsia="宋体" w:cs="宋体"/>
                <w:color w:val="auto"/>
                <w:highlight w:val="none"/>
              </w:rPr>
            </w:pPr>
          </w:p>
        </w:tc>
        <w:tc>
          <w:tcPr>
            <w:tcW w:w="1679" w:type="dxa"/>
            <w:vMerge w:val="continue"/>
            <w:tcBorders>
              <w:left w:val="single" w:color="auto" w:sz="4" w:space="0"/>
            </w:tcBorders>
            <w:vAlign w:val="center"/>
          </w:tcPr>
          <w:p w14:paraId="0D2D1FF4">
            <w:pPr>
              <w:shd w:val="clear"/>
              <w:rPr>
                <w:rFonts w:hint="eastAsia" w:ascii="宋体" w:hAnsi="宋体" w:eastAsia="宋体" w:cs="宋体"/>
                <w:color w:val="auto"/>
                <w:highlight w:val="none"/>
              </w:rPr>
            </w:pPr>
          </w:p>
        </w:tc>
        <w:tc>
          <w:tcPr>
            <w:tcW w:w="2061" w:type="dxa"/>
            <w:vMerge w:val="continue"/>
            <w:tcBorders>
              <w:left w:val="single" w:color="auto" w:sz="4" w:space="0"/>
            </w:tcBorders>
            <w:vAlign w:val="center"/>
          </w:tcPr>
          <w:p w14:paraId="4762CF19">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975EE7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76999A3">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6B40025">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F69E649">
            <w:pPr>
              <w:widowControl/>
              <w:shd w:val="clear"/>
              <w:jc w:val="center"/>
              <w:textAlignment w:val="center"/>
              <w:rPr>
                <w:rFonts w:hint="eastAsia" w:ascii="宋体" w:hAnsi="宋体" w:eastAsia="宋体" w:cs="宋体"/>
                <w:color w:val="auto"/>
                <w:kern w:val="0"/>
                <w:sz w:val="24"/>
                <w:highlight w:val="none"/>
              </w:rPr>
            </w:pPr>
          </w:p>
        </w:tc>
      </w:tr>
      <w:tr w14:paraId="2FF7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0491300E">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39D3E859">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案件管理模块</w:t>
            </w:r>
          </w:p>
        </w:tc>
        <w:tc>
          <w:tcPr>
            <w:tcW w:w="1679" w:type="dxa"/>
            <w:tcBorders>
              <w:left w:val="single" w:color="auto" w:sz="4" w:space="0"/>
            </w:tcBorders>
            <w:vAlign w:val="center"/>
          </w:tcPr>
          <w:p w14:paraId="0C2A7AA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案件处理</w:t>
            </w:r>
          </w:p>
        </w:tc>
        <w:tc>
          <w:tcPr>
            <w:tcW w:w="2061" w:type="dxa"/>
            <w:vMerge w:val="continue"/>
            <w:tcBorders>
              <w:left w:val="single" w:color="auto" w:sz="4" w:space="0"/>
            </w:tcBorders>
            <w:vAlign w:val="center"/>
          </w:tcPr>
          <w:p w14:paraId="1E7266C7">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6BD9330B">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232BC80C">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6B5FED41">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1BFB0233">
            <w:pPr>
              <w:widowControl/>
              <w:shd w:val="clear"/>
              <w:jc w:val="center"/>
              <w:textAlignment w:val="center"/>
              <w:rPr>
                <w:rFonts w:hint="eastAsia" w:ascii="宋体" w:hAnsi="宋体" w:eastAsia="宋体" w:cs="宋体"/>
                <w:color w:val="auto"/>
                <w:kern w:val="0"/>
                <w:sz w:val="24"/>
                <w:highlight w:val="none"/>
              </w:rPr>
            </w:pPr>
          </w:p>
        </w:tc>
      </w:tr>
      <w:tr w14:paraId="768C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4B44B65A">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443F66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CBF32B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案件审批</w:t>
            </w:r>
          </w:p>
        </w:tc>
        <w:tc>
          <w:tcPr>
            <w:tcW w:w="2061" w:type="dxa"/>
            <w:vMerge w:val="continue"/>
            <w:tcBorders>
              <w:left w:val="single" w:color="auto" w:sz="4" w:space="0"/>
            </w:tcBorders>
            <w:vAlign w:val="center"/>
          </w:tcPr>
          <w:p w14:paraId="5AD62D7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9A73B5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06FB3E8">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1E61449">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7530C75">
            <w:pPr>
              <w:widowControl/>
              <w:shd w:val="clear"/>
              <w:jc w:val="center"/>
              <w:textAlignment w:val="center"/>
              <w:rPr>
                <w:rFonts w:hint="eastAsia" w:ascii="宋体" w:hAnsi="宋体" w:eastAsia="宋体" w:cs="宋体"/>
                <w:color w:val="auto"/>
                <w:kern w:val="0"/>
                <w:sz w:val="24"/>
                <w:highlight w:val="none"/>
              </w:rPr>
            </w:pPr>
          </w:p>
        </w:tc>
      </w:tr>
      <w:tr w14:paraId="3277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6289BF1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204C43D">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009892B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案件办理总览</w:t>
            </w:r>
          </w:p>
        </w:tc>
        <w:tc>
          <w:tcPr>
            <w:tcW w:w="2061" w:type="dxa"/>
            <w:vMerge w:val="continue"/>
            <w:tcBorders>
              <w:left w:val="single" w:color="auto" w:sz="4" w:space="0"/>
            </w:tcBorders>
            <w:vAlign w:val="center"/>
          </w:tcPr>
          <w:p w14:paraId="5D73F432">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07FB7CA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75ADB57">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021E3C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254CFA9">
            <w:pPr>
              <w:widowControl/>
              <w:shd w:val="clear"/>
              <w:jc w:val="center"/>
              <w:textAlignment w:val="center"/>
              <w:rPr>
                <w:rFonts w:hint="eastAsia" w:ascii="宋体" w:hAnsi="宋体" w:eastAsia="宋体" w:cs="宋体"/>
                <w:color w:val="auto"/>
                <w:kern w:val="0"/>
                <w:sz w:val="24"/>
                <w:highlight w:val="none"/>
              </w:rPr>
            </w:pPr>
          </w:p>
        </w:tc>
      </w:tr>
      <w:tr w14:paraId="3D3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8E02763">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4395EF1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涉案财务管理模块 </w:t>
            </w:r>
          </w:p>
        </w:tc>
        <w:tc>
          <w:tcPr>
            <w:tcW w:w="1679" w:type="dxa"/>
            <w:tcBorders>
              <w:left w:val="single" w:color="auto" w:sz="4" w:space="0"/>
            </w:tcBorders>
            <w:vAlign w:val="center"/>
          </w:tcPr>
          <w:p w14:paraId="5DB0220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涉案车辆管理</w:t>
            </w:r>
          </w:p>
        </w:tc>
        <w:tc>
          <w:tcPr>
            <w:tcW w:w="2061" w:type="dxa"/>
            <w:vMerge w:val="continue"/>
            <w:tcBorders>
              <w:left w:val="single" w:color="auto" w:sz="4" w:space="0"/>
            </w:tcBorders>
            <w:vAlign w:val="center"/>
          </w:tcPr>
          <w:p w14:paraId="1A7C9987">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258D6A55">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536B8B15">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04F485AC">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3446AA5B">
            <w:pPr>
              <w:widowControl/>
              <w:shd w:val="clear"/>
              <w:jc w:val="center"/>
              <w:textAlignment w:val="center"/>
              <w:rPr>
                <w:rFonts w:hint="eastAsia" w:ascii="宋体" w:hAnsi="宋体" w:eastAsia="宋体" w:cs="宋体"/>
                <w:color w:val="auto"/>
                <w:kern w:val="0"/>
                <w:sz w:val="24"/>
                <w:highlight w:val="none"/>
              </w:rPr>
            </w:pPr>
          </w:p>
        </w:tc>
      </w:tr>
      <w:tr w14:paraId="3AB7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EC9394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803A9E5">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E5B569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停车场管理</w:t>
            </w:r>
          </w:p>
        </w:tc>
        <w:tc>
          <w:tcPr>
            <w:tcW w:w="2061" w:type="dxa"/>
            <w:vMerge w:val="continue"/>
            <w:tcBorders>
              <w:left w:val="single" w:color="auto" w:sz="4" w:space="0"/>
            </w:tcBorders>
            <w:vAlign w:val="center"/>
          </w:tcPr>
          <w:p w14:paraId="52BE3D2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F81913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AB4450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EB0C44B">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29760124">
            <w:pPr>
              <w:widowControl/>
              <w:shd w:val="clear"/>
              <w:jc w:val="center"/>
              <w:textAlignment w:val="center"/>
              <w:rPr>
                <w:rFonts w:hint="eastAsia" w:ascii="宋体" w:hAnsi="宋体" w:eastAsia="宋体" w:cs="宋体"/>
                <w:color w:val="auto"/>
                <w:kern w:val="0"/>
                <w:sz w:val="24"/>
                <w:highlight w:val="none"/>
              </w:rPr>
            </w:pPr>
          </w:p>
        </w:tc>
      </w:tr>
      <w:tr w14:paraId="641A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5ACBD90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4D4AA55">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E0040DC">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涉案证件管理</w:t>
            </w:r>
          </w:p>
        </w:tc>
        <w:tc>
          <w:tcPr>
            <w:tcW w:w="2061" w:type="dxa"/>
            <w:vMerge w:val="continue"/>
            <w:tcBorders>
              <w:left w:val="single" w:color="auto" w:sz="4" w:space="0"/>
            </w:tcBorders>
            <w:vAlign w:val="center"/>
          </w:tcPr>
          <w:p w14:paraId="6252DE5F">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69EB0D1">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2890E90">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D04C9B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29EA051A">
            <w:pPr>
              <w:widowControl/>
              <w:shd w:val="clear"/>
              <w:jc w:val="center"/>
              <w:textAlignment w:val="center"/>
              <w:rPr>
                <w:rFonts w:hint="eastAsia" w:ascii="宋体" w:hAnsi="宋体" w:eastAsia="宋体" w:cs="宋体"/>
                <w:color w:val="auto"/>
                <w:kern w:val="0"/>
                <w:sz w:val="24"/>
                <w:highlight w:val="none"/>
              </w:rPr>
            </w:pPr>
          </w:p>
        </w:tc>
      </w:tr>
      <w:tr w14:paraId="34A5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12776E4">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6DC0918">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3C44DC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涉案血液/尿样管理</w:t>
            </w:r>
          </w:p>
        </w:tc>
        <w:tc>
          <w:tcPr>
            <w:tcW w:w="2061" w:type="dxa"/>
            <w:vMerge w:val="continue"/>
            <w:tcBorders>
              <w:left w:val="single" w:color="auto" w:sz="4" w:space="0"/>
            </w:tcBorders>
            <w:vAlign w:val="center"/>
          </w:tcPr>
          <w:p w14:paraId="7CF68FCB">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CFB1B77">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7FA3859">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EE1932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3D617076">
            <w:pPr>
              <w:widowControl/>
              <w:shd w:val="clear"/>
              <w:jc w:val="center"/>
              <w:textAlignment w:val="center"/>
              <w:rPr>
                <w:rFonts w:hint="eastAsia" w:ascii="宋体" w:hAnsi="宋体" w:eastAsia="宋体" w:cs="宋体"/>
                <w:color w:val="auto"/>
                <w:kern w:val="0"/>
                <w:sz w:val="24"/>
                <w:highlight w:val="none"/>
              </w:rPr>
            </w:pPr>
          </w:p>
        </w:tc>
      </w:tr>
      <w:tr w14:paraId="503C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275CC9D0">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131F665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违法业务监管模块</w:t>
            </w:r>
          </w:p>
        </w:tc>
        <w:tc>
          <w:tcPr>
            <w:tcW w:w="1679" w:type="dxa"/>
            <w:tcBorders>
              <w:left w:val="single" w:color="auto" w:sz="4" w:space="0"/>
            </w:tcBorders>
            <w:vAlign w:val="center"/>
          </w:tcPr>
          <w:p w14:paraId="785334E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现场执法监管</w:t>
            </w:r>
          </w:p>
        </w:tc>
        <w:tc>
          <w:tcPr>
            <w:tcW w:w="2061" w:type="dxa"/>
            <w:vMerge w:val="continue"/>
            <w:tcBorders>
              <w:left w:val="single" w:color="auto" w:sz="4" w:space="0"/>
            </w:tcBorders>
            <w:vAlign w:val="center"/>
          </w:tcPr>
          <w:p w14:paraId="01763F93">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0ECEEBC7">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194D6B87">
            <w:pPr>
              <w:widowControl/>
              <w:shd w:val="clear"/>
              <w:jc w:val="center"/>
              <w:rPr>
                <w:rFonts w:hint="eastAsia" w:ascii="宋体" w:hAnsi="宋体" w:eastAsia="宋体" w:cs="宋体"/>
                <w:color w:val="auto"/>
                <w:kern w:val="0"/>
                <w:sz w:val="24"/>
                <w:highlight w:val="none"/>
              </w:rPr>
            </w:pPr>
          </w:p>
        </w:tc>
        <w:tc>
          <w:tcPr>
            <w:tcW w:w="1030" w:type="dxa"/>
            <w:tcBorders>
              <w:left w:val="single" w:color="auto" w:sz="4" w:space="0"/>
            </w:tcBorders>
            <w:vAlign w:val="center"/>
          </w:tcPr>
          <w:p w14:paraId="5E6B5852">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387A11E4">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77FE893F">
            <w:pPr>
              <w:widowControl/>
              <w:shd w:val="clear"/>
              <w:jc w:val="center"/>
              <w:textAlignment w:val="center"/>
              <w:rPr>
                <w:rFonts w:hint="eastAsia" w:ascii="宋体" w:hAnsi="宋体" w:eastAsia="宋体" w:cs="宋体"/>
                <w:color w:val="auto"/>
                <w:kern w:val="0"/>
                <w:sz w:val="24"/>
                <w:highlight w:val="none"/>
              </w:rPr>
            </w:pPr>
          </w:p>
        </w:tc>
      </w:tr>
      <w:tr w14:paraId="1BD4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1CBAD00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BDD8D6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A2858A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非现场执法监管</w:t>
            </w:r>
          </w:p>
        </w:tc>
        <w:tc>
          <w:tcPr>
            <w:tcW w:w="2061" w:type="dxa"/>
            <w:vMerge w:val="continue"/>
            <w:tcBorders>
              <w:left w:val="single" w:color="auto" w:sz="4" w:space="0"/>
            </w:tcBorders>
            <w:vAlign w:val="center"/>
          </w:tcPr>
          <w:p w14:paraId="144BD7B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453DE0E">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6F8BFBB">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5DA3F6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31E2C2D8">
            <w:pPr>
              <w:widowControl/>
              <w:shd w:val="clear"/>
              <w:jc w:val="center"/>
              <w:textAlignment w:val="center"/>
              <w:rPr>
                <w:rFonts w:hint="eastAsia" w:ascii="宋体" w:hAnsi="宋体" w:eastAsia="宋体" w:cs="宋体"/>
                <w:color w:val="auto"/>
                <w:kern w:val="0"/>
                <w:sz w:val="24"/>
                <w:highlight w:val="none"/>
              </w:rPr>
            </w:pPr>
          </w:p>
        </w:tc>
      </w:tr>
      <w:tr w14:paraId="6CCB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07" w:type="dxa"/>
            <w:vMerge w:val="continue"/>
            <w:vAlign w:val="center"/>
          </w:tcPr>
          <w:p w14:paraId="356C7E81">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79AAD12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F59DC9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案事件预警监管</w:t>
            </w:r>
          </w:p>
        </w:tc>
        <w:tc>
          <w:tcPr>
            <w:tcW w:w="2061" w:type="dxa"/>
            <w:vMerge w:val="continue"/>
            <w:tcBorders>
              <w:left w:val="single" w:color="auto" w:sz="4" w:space="0"/>
            </w:tcBorders>
            <w:vAlign w:val="center"/>
          </w:tcPr>
          <w:p w14:paraId="5919B2E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0AC56D3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4D77B72D">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7642D37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01672C8">
            <w:pPr>
              <w:widowControl/>
              <w:shd w:val="clear"/>
              <w:jc w:val="center"/>
              <w:textAlignment w:val="center"/>
              <w:rPr>
                <w:rFonts w:hint="eastAsia" w:ascii="宋体" w:hAnsi="宋体" w:eastAsia="宋体" w:cs="宋体"/>
                <w:color w:val="auto"/>
                <w:kern w:val="0"/>
                <w:sz w:val="24"/>
                <w:highlight w:val="none"/>
              </w:rPr>
            </w:pPr>
          </w:p>
        </w:tc>
      </w:tr>
      <w:tr w14:paraId="2B4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07" w:type="dxa"/>
            <w:vMerge w:val="continue"/>
            <w:vAlign w:val="center"/>
          </w:tcPr>
          <w:p w14:paraId="284FC1D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96C4D5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8BE361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涉案财物监管</w:t>
            </w:r>
          </w:p>
        </w:tc>
        <w:tc>
          <w:tcPr>
            <w:tcW w:w="2061" w:type="dxa"/>
            <w:vMerge w:val="continue"/>
            <w:tcBorders>
              <w:left w:val="single" w:color="auto" w:sz="4" w:space="0"/>
            </w:tcBorders>
            <w:vAlign w:val="center"/>
          </w:tcPr>
          <w:p w14:paraId="12AA26E7">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392E491">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32A28FA">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64EA7D2B">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A5A311E">
            <w:pPr>
              <w:widowControl/>
              <w:shd w:val="clear"/>
              <w:jc w:val="center"/>
              <w:textAlignment w:val="center"/>
              <w:rPr>
                <w:rFonts w:hint="eastAsia" w:ascii="宋体" w:hAnsi="宋体" w:eastAsia="宋体" w:cs="宋体"/>
                <w:color w:val="auto"/>
                <w:kern w:val="0"/>
                <w:sz w:val="24"/>
                <w:highlight w:val="none"/>
              </w:rPr>
            </w:pPr>
          </w:p>
        </w:tc>
      </w:tr>
      <w:tr w14:paraId="364A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79097C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EFC990A">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04C0E7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执法画像</w:t>
            </w:r>
          </w:p>
        </w:tc>
        <w:tc>
          <w:tcPr>
            <w:tcW w:w="2061" w:type="dxa"/>
            <w:vMerge w:val="continue"/>
            <w:tcBorders>
              <w:left w:val="single" w:color="auto" w:sz="4" w:space="0"/>
            </w:tcBorders>
            <w:vAlign w:val="center"/>
          </w:tcPr>
          <w:p w14:paraId="2ABFDCC4">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36414F8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17FCDB7">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2C52239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07AD6CB">
            <w:pPr>
              <w:widowControl/>
              <w:shd w:val="clear"/>
              <w:jc w:val="center"/>
              <w:textAlignment w:val="center"/>
              <w:rPr>
                <w:rFonts w:hint="eastAsia" w:ascii="宋体" w:hAnsi="宋体" w:eastAsia="宋体" w:cs="宋体"/>
                <w:color w:val="auto"/>
                <w:kern w:val="0"/>
                <w:sz w:val="24"/>
                <w:highlight w:val="none"/>
              </w:rPr>
            </w:pPr>
          </w:p>
        </w:tc>
      </w:tr>
      <w:tr w14:paraId="34E8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42179E5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6399B8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B9C6B0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业务评估</w:t>
            </w:r>
          </w:p>
        </w:tc>
        <w:tc>
          <w:tcPr>
            <w:tcW w:w="2061" w:type="dxa"/>
            <w:vMerge w:val="continue"/>
            <w:tcBorders>
              <w:left w:val="single" w:color="auto" w:sz="4" w:space="0"/>
            </w:tcBorders>
            <w:vAlign w:val="center"/>
          </w:tcPr>
          <w:p w14:paraId="4E68157D">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738E4B7">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9BA199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516EEA9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359C4125">
            <w:pPr>
              <w:widowControl/>
              <w:shd w:val="clear"/>
              <w:jc w:val="center"/>
              <w:textAlignment w:val="center"/>
              <w:rPr>
                <w:rFonts w:hint="eastAsia" w:ascii="宋体" w:hAnsi="宋体" w:eastAsia="宋体" w:cs="宋体"/>
                <w:color w:val="auto"/>
                <w:kern w:val="0"/>
                <w:sz w:val="24"/>
                <w:highlight w:val="none"/>
              </w:rPr>
            </w:pPr>
          </w:p>
        </w:tc>
      </w:tr>
      <w:tr w14:paraId="2EA5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8" w:type="dxa"/>
            <w:gridSpan w:val="6"/>
            <w:vAlign w:val="center"/>
          </w:tcPr>
          <w:p w14:paraId="2067D524">
            <w:pPr>
              <w:widowControl/>
              <w:shd w:val="clear"/>
              <w:autoSpaceDE w:val="0"/>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合同总价（小写）      人民币万元</w:t>
            </w:r>
          </w:p>
        </w:tc>
        <w:tc>
          <w:tcPr>
            <w:tcW w:w="947" w:type="dxa"/>
            <w:tcBorders>
              <w:left w:val="single" w:color="auto" w:sz="4" w:space="0"/>
            </w:tcBorders>
            <w:vAlign w:val="center"/>
          </w:tcPr>
          <w:p w14:paraId="794EBF9E">
            <w:pPr>
              <w:widowControl/>
              <w:shd w:val="clear"/>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vAlign w:val="center"/>
          </w:tcPr>
          <w:p w14:paraId="6662F33D">
            <w:pPr>
              <w:widowControl/>
              <w:shd w:val="clear"/>
              <w:jc w:val="center"/>
              <w:textAlignment w:val="center"/>
              <w:rPr>
                <w:rFonts w:hint="eastAsia" w:ascii="宋体" w:hAnsi="宋体" w:eastAsia="宋体" w:cs="宋体"/>
                <w:b/>
                <w:bCs/>
                <w:color w:val="auto"/>
                <w:sz w:val="24"/>
                <w:highlight w:val="none"/>
              </w:rPr>
            </w:pPr>
          </w:p>
        </w:tc>
      </w:tr>
      <w:tr w14:paraId="4016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8" w:type="dxa"/>
            <w:gridSpan w:val="6"/>
            <w:vAlign w:val="center"/>
          </w:tcPr>
          <w:p w14:paraId="3A09EFD9">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snapToGrid w:val="0"/>
                <w:color w:val="auto"/>
                <w:sz w:val="24"/>
                <w:highlight w:val="none"/>
              </w:rPr>
              <w:t>合同总价（大写）       人民币万元</w:t>
            </w:r>
          </w:p>
        </w:tc>
        <w:tc>
          <w:tcPr>
            <w:tcW w:w="947" w:type="dxa"/>
            <w:tcBorders>
              <w:left w:val="single" w:color="auto" w:sz="4" w:space="0"/>
            </w:tcBorders>
            <w:vAlign w:val="center"/>
          </w:tcPr>
          <w:p w14:paraId="4FC07779">
            <w:pPr>
              <w:widowControl/>
              <w:shd w:val="clear"/>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vAlign w:val="center"/>
          </w:tcPr>
          <w:p w14:paraId="4B18EDB2">
            <w:pPr>
              <w:widowControl/>
              <w:shd w:val="clear"/>
              <w:jc w:val="center"/>
              <w:textAlignment w:val="center"/>
              <w:rPr>
                <w:rFonts w:hint="eastAsia" w:ascii="宋体" w:hAnsi="宋体" w:eastAsia="宋体" w:cs="宋体"/>
                <w:b/>
                <w:bCs/>
                <w:color w:val="auto"/>
                <w:sz w:val="24"/>
                <w:highlight w:val="none"/>
              </w:rPr>
            </w:pPr>
          </w:p>
        </w:tc>
      </w:tr>
    </w:tbl>
    <w:p w14:paraId="52F8B655">
      <w:pPr>
        <w:shd w:val="clear"/>
        <w:rPr>
          <w:rFonts w:hint="eastAsia" w:ascii="宋体" w:hAnsi="宋体" w:eastAsia="宋体" w:cs="宋体"/>
          <w:b/>
          <w:color w:val="auto"/>
          <w:sz w:val="24"/>
          <w:highlight w:val="none"/>
        </w:rPr>
      </w:pPr>
    </w:p>
    <w:p w14:paraId="388BE7A9">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4319DF">
      <w:pPr>
        <w:widowControl/>
        <w:shd w:val="clear"/>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20A2BB93">
      <w:pPr>
        <w:shd w:val="clear"/>
        <w:spacing w:line="360" w:lineRule="auto"/>
        <w:jc w:val="center"/>
        <w:outlineLvl w:val="0"/>
        <w:rPr>
          <w:rFonts w:hint="eastAsia" w:ascii="宋体" w:hAnsi="宋体" w:eastAsia="宋体" w:cs="宋体"/>
          <w:b/>
          <w:color w:val="auto"/>
          <w:kern w:val="0"/>
          <w:sz w:val="36"/>
          <w:szCs w:val="36"/>
          <w:highlight w:val="none"/>
        </w:rPr>
      </w:pPr>
    </w:p>
    <w:p w14:paraId="4DDB56B4">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FE77370">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246A69E">
      <w:pPr>
        <w:shd w:val="clear"/>
        <w:spacing w:line="360" w:lineRule="auto"/>
        <w:jc w:val="center"/>
        <w:outlineLvl w:val="0"/>
        <w:rPr>
          <w:rFonts w:hint="eastAsia" w:ascii="宋体" w:hAnsi="宋体" w:eastAsia="宋体" w:cs="宋体"/>
          <w:b/>
          <w:color w:val="auto"/>
          <w:kern w:val="0"/>
          <w:sz w:val="36"/>
          <w:szCs w:val="36"/>
          <w:highlight w:val="none"/>
        </w:rPr>
      </w:pPr>
    </w:p>
    <w:p w14:paraId="3447A278">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07A6B7E">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（如果有)………………………………………………… （页码）</w:t>
      </w:r>
    </w:p>
    <w:p w14:paraId="1655DFA1">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（3）落实政府采购政策需满足的资格要求（如果有)…………………（页码）</w:t>
      </w:r>
    </w:p>
    <w:p w14:paraId="5F588347">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（4）本项目的特定资格要求（如果有)………………………………… （页码）</w:t>
      </w:r>
    </w:p>
    <w:p w14:paraId="4E82D341">
      <w:pPr>
        <w:shd w:val="clear"/>
        <w:adjustRightInd w:val="0"/>
        <w:snapToGrid w:val="0"/>
        <w:spacing w:line="360" w:lineRule="auto"/>
        <w:ind w:firstLine="480" w:firstLineChars="200"/>
        <w:rPr>
          <w:rFonts w:hint="eastAsia" w:ascii="宋体" w:hAnsi="宋体" w:eastAsia="宋体" w:cs="宋体"/>
          <w:color w:val="auto"/>
          <w:sz w:val="24"/>
          <w:highlight w:val="none"/>
        </w:rPr>
      </w:pPr>
    </w:p>
    <w:p w14:paraId="44DA62D0">
      <w:pPr>
        <w:shd w:val="clear"/>
        <w:spacing w:line="360" w:lineRule="auto"/>
        <w:ind w:firstLine="480" w:firstLineChars="200"/>
        <w:rPr>
          <w:rFonts w:hint="eastAsia" w:ascii="宋体" w:hAnsi="宋体" w:eastAsia="宋体" w:cs="宋体"/>
          <w:color w:val="auto"/>
          <w:sz w:val="24"/>
          <w:highlight w:val="none"/>
        </w:rPr>
      </w:pPr>
    </w:p>
    <w:p w14:paraId="544DD535">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738E3E6C">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（杭州市公安局交通警察支队）、（浙江正浩招标代理有限公司）：</w:t>
      </w:r>
    </w:p>
    <w:p w14:paraId="3828973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我方参与（2025年杭州交警业务系统租赁使用服务-2025年杭州交警网络及数据安全运维服务）【招标编号：（ZHZB-2025HZGA-12）】政府采购活动，郑重承诺：</w:t>
      </w:r>
    </w:p>
    <w:p w14:paraId="30DEB442">
      <w:pPr>
        <w:shd w:val="clea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302F85F">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2589842">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0C168AF">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DFA23E">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79466D6">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4A4706F">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205E2F7">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886D575">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6E3F2E0">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D06188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E6FC0EE">
      <w:pPr>
        <w:shd w:val="clear"/>
        <w:adjustRightInd w:val="0"/>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11424D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351823">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61B83E26">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F50A7F1">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8D4050C">
      <w:pPr>
        <w:shd w:val="clear"/>
        <w:rPr>
          <w:rFonts w:hint="eastAsia" w:ascii="宋体" w:hAnsi="宋体" w:eastAsia="宋体" w:cs="宋体"/>
          <w:color w:val="auto"/>
          <w:highlight w:val="none"/>
        </w:rPr>
      </w:pPr>
    </w:p>
    <w:p w14:paraId="755B3D0C">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D0EA6CE">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C25F2E">
      <w:pPr>
        <w:widowControl/>
        <w:shd w:val="clea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1B910CC0">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DEC24B1">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48A26FAE">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63F91E0A">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三、落实政府采购政策需满足的资格要求（如果有）</w:t>
      </w:r>
    </w:p>
    <w:p w14:paraId="464D857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3507394">
      <w:pPr>
        <w:shd w:val="clear"/>
        <w:adjustRightInd w:val="0"/>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A1216FE">
      <w:pPr>
        <w:widowControl/>
        <w:shd w:val="clear"/>
        <w:spacing w:line="360" w:lineRule="auto"/>
        <w:ind w:firstLine="480"/>
        <w:jc w:val="left"/>
        <w:rPr>
          <w:rFonts w:hint="eastAsia" w:ascii="宋体" w:hAnsi="宋体" w:eastAsia="宋体" w:cs="宋体"/>
          <w:color w:val="auto"/>
          <w:sz w:val="24"/>
          <w:highlight w:val="none"/>
        </w:rPr>
      </w:pPr>
    </w:p>
    <w:p w14:paraId="3B44DBA8">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48C7D8A">
      <w:pPr>
        <w:shd w:val="clea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67848D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3B41E51">
      <w:pPr>
        <w:widowControl/>
        <w:shd w:val="clear"/>
        <w:spacing w:line="360" w:lineRule="auto"/>
        <w:ind w:left="150"/>
        <w:jc w:val="center"/>
        <w:rPr>
          <w:rFonts w:hint="eastAsia" w:ascii="宋体" w:hAnsi="宋体" w:eastAsia="宋体" w:cs="宋体"/>
          <w:b/>
          <w:color w:val="auto"/>
          <w:kern w:val="0"/>
          <w:sz w:val="32"/>
          <w:szCs w:val="32"/>
          <w:highlight w:val="none"/>
        </w:rPr>
      </w:pPr>
    </w:p>
    <w:p w14:paraId="47F4CC37">
      <w:pPr>
        <w:widowControl/>
        <w:shd w:val="clear"/>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14:paraId="6BFC0D3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217CEA8">
      <w:pPr>
        <w:shd w:val="clear"/>
        <w:rPr>
          <w:rFonts w:hint="eastAsia" w:ascii="宋体" w:hAnsi="宋体" w:eastAsia="宋体" w:cs="宋体"/>
          <w:color w:val="auto"/>
          <w:highlight w:val="none"/>
        </w:rPr>
      </w:pPr>
    </w:p>
    <w:p w14:paraId="731D7C5E">
      <w:pPr>
        <w:widowControl/>
        <w:shd w:val="clear"/>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BBC8E68">
      <w:pPr>
        <w:shd w:val="clea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C50B7A6">
      <w:pPr>
        <w:shd w:val="clear"/>
        <w:spacing w:line="360" w:lineRule="auto"/>
        <w:jc w:val="center"/>
        <w:outlineLvl w:val="0"/>
        <w:rPr>
          <w:rFonts w:hint="eastAsia" w:ascii="宋体" w:hAnsi="宋体" w:eastAsia="宋体" w:cs="宋体"/>
          <w:b/>
          <w:color w:val="auto"/>
          <w:kern w:val="0"/>
          <w:sz w:val="24"/>
          <w:highlight w:val="none"/>
        </w:rPr>
      </w:pPr>
    </w:p>
    <w:p w14:paraId="42E62A49">
      <w:pPr>
        <w:shd w:val="clea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0D9EFD5">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35A1E568">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4A23E550">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0DE61425">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7E3CD607">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7D07D0CD">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3EBF3025">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24212D23">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20ACA85C">
      <w:pPr>
        <w:shd w:val="clea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7D79FC2F">
      <w:pPr>
        <w:shd w:val="clea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EEEB8F1">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A8A945">
      <w:pPr>
        <w:shd w:val="clear"/>
        <w:adjustRightInd w:val="0"/>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9A8936C">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（杭州市公安局交通警察支队）、（浙江正浩招标代理有限公司）：</w:t>
      </w:r>
    </w:p>
    <w:p w14:paraId="08BAD07E">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我方参加你方组织的（2025年杭州交警业务系统租赁使用服务-2025年杭州交警网络及数据安全运维服务）【招标编号：（ZHZB-2025HZGA-12）】招标的有关活动，并对此项目进行投标。为此：</w:t>
      </w:r>
    </w:p>
    <w:p w14:paraId="52B84179">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BCC8EB7">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ED6BCD5">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136FE1E">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3C130A8">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35" w:name="_Hlk101257010"/>
      <w:r>
        <w:rPr>
          <w:rFonts w:hint="eastAsia" w:ascii="宋体" w:hAnsi="宋体" w:eastAsia="宋体" w:cs="宋体"/>
          <w:color w:val="auto"/>
          <w:sz w:val="24"/>
          <w:highlight w:val="none"/>
        </w:rPr>
        <w:t>（如果有)</w:t>
      </w:r>
      <w:bookmarkEnd w:id="535"/>
      <w:r>
        <w:rPr>
          <w:rFonts w:hint="eastAsia" w:ascii="宋体" w:hAnsi="宋体" w:eastAsia="宋体" w:cs="宋体"/>
          <w:snapToGrid w:val="0"/>
          <w:color w:val="auto"/>
          <w:kern w:val="28"/>
          <w:sz w:val="24"/>
          <w:szCs w:val="20"/>
          <w:highlight w:val="none"/>
        </w:rPr>
        <w:t>；</w:t>
      </w:r>
    </w:p>
    <w:p w14:paraId="11D39991">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DFFE654">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8B5090F">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25964F">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148080A">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16EBCCC">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27D4937">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E52107">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6C464F6">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9261DD8">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8632B38">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F871C97">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58AD7E6">
      <w:pPr>
        <w:shd w:val="clea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CDD89FA">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2.3.2报价情况说明（如果有）（如供应商报价低于项目预算50%的，应当提交本文档，详细阐述不影响产品质量或者诚信履约的具体原因）；</w:t>
      </w:r>
    </w:p>
    <w:p w14:paraId="157D2DDF">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71856B59">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5D9289B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D5E1F79">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EDD15B7">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922CBCC">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2B64E31">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3F95246">
      <w:pPr>
        <w:shd w:val="clear"/>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5、对</w:t>
      </w:r>
      <w:r>
        <w:rPr>
          <w:rFonts w:hint="eastAsia" w:ascii="宋体" w:hAnsi="宋体" w:eastAsia="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777C2E9">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6CE362">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EFF142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15ACC04">
      <w:pPr>
        <w:shd w:val="clear"/>
        <w:adjustRightInd w:val="0"/>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CA2A9CC">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013762">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8E56273">
      <w:pPr>
        <w:shd w:val="clea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D5E74EF">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5ED5850">
      <w:pPr>
        <w:shd w:val="clear"/>
        <w:adjustRightInd w:val="0"/>
        <w:snapToGrid w:val="0"/>
        <w:spacing w:line="360" w:lineRule="auto"/>
        <w:ind w:firstLine="2869" w:firstLineChars="893"/>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9420985">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6B2488B8">
      <w:pPr>
        <w:shd w:val="clea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E7718CC">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182CBA8">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567C769">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7BDD9C0">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5D67512">
      <w:pPr>
        <w:shd w:val="clear"/>
        <w:adjustRightInd w:val="0"/>
        <w:snapToGrid w:val="0"/>
        <w:spacing w:line="360" w:lineRule="auto"/>
        <w:rPr>
          <w:rFonts w:hint="eastAsia" w:ascii="宋体" w:hAnsi="宋体" w:eastAsia="宋体" w:cs="宋体"/>
          <w:color w:val="auto"/>
          <w:sz w:val="24"/>
          <w:highlight w:val="none"/>
        </w:rPr>
      </w:pPr>
    </w:p>
    <w:p w14:paraId="57B257AB">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052BB40">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5668A03C">
      <w:pPr>
        <w:shd w:val="clea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5FF5218">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6A5BECF">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2FD045">
      <w:pPr>
        <w:shd w:val="clear"/>
        <w:jc w:val="center"/>
        <w:rPr>
          <w:rFonts w:hint="eastAsia" w:ascii="宋体" w:hAnsi="宋体" w:eastAsia="宋体" w:cs="宋体"/>
          <w:b/>
          <w:color w:val="auto"/>
          <w:kern w:val="0"/>
          <w:sz w:val="32"/>
          <w:szCs w:val="32"/>
          <w:highlight w:val="none"/>
        </w:rPr>
      </w:pPr>
    </w:p>
    <w:p w14:paraId="4E0C9857">
      <w:pPr>
        <w:shd w:val="clear"/>
        <w:rPr>
          <w:rFonts w:hint="eastAsia" w:ascii="宋体" w:hAnsi="宋体" w:eastAsia="宋体" w:cs="宋体"/>
          <w:color w:val="auto"/>
          <w:highlight w:val="none"/>
        </w:rPr>
      </w:pPr>
    </w:p>
    <w:p w14:paraId="4DDC0A27">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BE71010">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038D8A">
      <w:pPr>
        <w:shd w:val="clea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076BDAE">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2E8ED6B">
      <w:pPr>
        <w:shd w:val="clea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DDEA4A8">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CCA1DEA">
      <w:pPr>
        <w:shd w:val="clea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ECEE292">
      <w:pPr>
        <w:pStyle w:val="35"/>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E3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72225">
            <w:pPr>
              <w:pStyle w:val="35"/>
              <w:shd w:val="clear"/>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C68A4C1">
            <w:pPr>
              <w:pStyle w:val="35"/>
              <w:shd w:val="clear"/>
              <w:adjustRightInd w:val="0"/>
              <w:spacing w:line="360" w:lineRule="auto"/>
              <w:rPr>
                <w:rFonts w:hint="eastAsia" w:ascii="宋体" w:hAnsi="宋体" w:eastAsia="宋体" w:cs="宋体"/>
                <w:bCs/>
                <w:color w:val="auto"/>
                <w:sz w:val="24"/>
                <w:highlight w:val="none"/>
              </w:rPr>
            </w:pPr>
          </w:p>
        </w:tc>
      </w:tr>
    </w:tbl>
    <w:p w14:paraId="6E85FE50">
      <w:pPr>
        <w:shd w:val="clea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2A46CE0">
      <w:pPr>
        <w:shd w:val="clea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BB02F87">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50F5227">
      <w:pPr>
        <w:shd w:val="clear"/>
        <w:jc w:val="center"/>
        <w:rPr>
          <w:rFonts w:hint="eastAsia" w:ascii="宋体" w:hAnsi="宋体" w:eastAsia="宋体" w:cs="宋体"/>
          <w:b/>
          <w:color w:val="auto"/>
          <w:kern w:val="0"/>
          <w:sz w:val="32"/>
          <w:szCs w:val="32"/>
          <w:highlight w:val="none"/>
        </w:rPr>
      </w:pPr>
    </w:p>
    <w:p w14:paraId="15E04827">
      <w:pPr>
        <w:shd w:val="clear"/>
        <w:jc w:val="center"/>
        <w:rPr>
          <w:rFonts w:hint="eastAsia" w:ascii="宋体" w:hAnsi="宋体" w:eastAsia="宋体" w:cs="宋体"/>
          <w:b/>
          <w:color w:val="auto"/>
          <w:kern w:val="0"/>
          <w:sz w:val="32"/>
          <w:szCs w:val="32"/>
          <w:highlight w:val="none"/>
        </w:rPr>
      </w:pPr>
    </w:p>
    <w:p w14:paraId="78AAA87F">
      <w:pPr>
        <w:shd w:val="clear"/>
        <w:jc w:val="center"/>
        <w:rPr>
          <w:rFonts w:hint="eastAsia" w:ascii="宋体" w:hAnsi="宋体" w:eastAsia="宋体" w:cs="宋体"/>
          <w:b/>
          <w:color w:val="auto"/>
          <w:kern w:val="0"/>
          <w:sz w:val="32"/>
          <w:szCs w:val="32"/>
          <w:highlight w:val="none"/>
        </w:rPr>
      </w:pPr>
    </w:p>
    <w:p w14:paraId="65727C0F">
      <w:pPr>
        <w:shd w:val="clear"/>
        <w:jc w:val="center"/>
        <w:rPr>
          <w:rFonts w:hint="eastAsia" w:ascii="宋体" w:hAnsi="宋体" w:eastAsia="宋体" w:cs="宋体"/>
          <w:b/>
          <w:color w:val="auto"/>
          <w:kern w:val="0"/>
          <w:sz w:val="32"/>
          <w:szCs w:val="32"/>
          <w:highlight w:val="none"/>
        </w:rPr>
      </w:pPr>
    </w:p>
    <w:p w14:paraId="4D703B3A">
      <w:pPr>
        <w:shd w:val="clear"/>
        <w:jc w:val="center"/>
        <w:rPr>
          <w:rFonts w:hint="eastAsia" w:ascii="宋体" w:hAnsi="宋体" w:eastAsia="宋体" w:cs="宋体"/>
          <w:b/>
          <w:color w:val="auto"/>
          <w:kern w:val="0"/>
          <w:sz w:val="32"/>
          <w:szCs w:val="32"/>
          <w:highlight w:val="none"/>
        </w:rPr>
      </w:pPr>
    </w:p>
    <w:p w14:paraId="25EF409D">
      <w:pPr>
        <w:shd w:val="clear"/>
        <w:jc w:val="center"/>
        <w:rPr>
          <w:rFonts w:hint="eastAsia" w:ascii="宋体" w:hAnsi="宋体" w:eastAsia="宋体" w:cs="宋体"/>
          <w:b/>
          <w:color w:val="auto"/>
          <w:kern w:val="0"/>
          <w:sz w:val="32"/>
          <w:szCs w:val="32"/>
          <w:highlight w:val="none"/>
        </w:rPr>
      </w:pPr>
    </w:p>
    <w:p w14:paraId="30E8AD71">
      <w:pPr>
        <w:shd w:val="clear"/>
        <w:jc w:val="center"/>
        <w:rPr>
          <w:rFonts w:hint="eastAsia" w:ascii="宋体" w:hAnsi="宋体" w:eastAsia="宋体" w:cs="宋体"/>
          <w:b/>
          <w:color w:val="auto"/>
          <w:kern w:val="0"/>
          <w:sz w:val="32"/>
          <w:szCs w:val="32"/>
          <w:highlight w:val="none"/>
        </w:rPr>
      </w:pPr>
    </w:p>
    <w:p w14:paraId="57973C7F">
      <w:pPr>
        <w:shd w:val="clear"/>
        <w:jc w:val="center"/>
        <w:rPr>
          <w:rFonts w:hint="eastAsia" w:ascii="宋体" w:hAnsi="宋体" w:eastAsia="宋体" w:cs="宋体"/>
          <w:b/>
          <w:color w:val="auto"/>
          <w:kern w:val="0"/>
          <w:sz w:val="32"/>
          <w:szCs w:val="32"/>
          <w:highlight w:val="none"/>
        </w:rPr>
      </w:pPr>
    </w:p>
    <w:p w14:paraId="6693ED5F">
      <w:pPr>
        <w:shd w:val="clear"/>
        <w:jc w:val="center"/>
        <w:rPr>
          <w:rFonts w:hint="eastAsia" w:ascii="宋体" w:hAnsi="宋体" w:eastAsia="宋体" w:cs="宋体"/>
          <w:b/>
          <w:color w:val="auto"/>
          <w:kern w:val="0"/>
          <w:sz w:val="32"/>
          <w:szCs w:val="32"/>
          <w:highlight w:val="none"/>
        </w:rPr>
      </w:pPr>
    </w:p>
    <w:p w14:paraId="04E36FCB">
      <w:pPr>
        <w:shd w:val="clear"/>
        <w:jc w:val="center"/>
        <w:rPr>
          <w:rFonts w:hint="eastAsia" w:ascii="宋体" w:hAnsi="宋体" w:eastAsia="宋体" w:cs="宋体"/>
          <w:b/>
          <w:color w:val="auto"/>
          <w:kern w:val="0"/>
          <w:sz w:val="32"/>
          <w:szCs w:val="32"/>
          <w:highlight w:val="none"/>
        </w:rPr>
      </w:pPr>
    </w:p>
    <w:p w14:paraId="2743A390">
      <w:pPr>
        <w:shd w:val="clear"/>
        <w:adjustRightInd w:val="0"/>
        <w:snapToGrid w:val="0"/>
        <w:spacing w:line="360" w:lineRule="auto"/>
        <w:ind w:right="480"/>
        <w:rPr>
          <w:rFonts w:hint="eastAsia" w:ascii="宋体" w:hAnsi="宋体" w:eastAsia="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titlePg/>
          <w:docGrid w:linePitch="312" w:charSpace="0"/>
        </w:sectPr>
      </w:pPr>
    </w:p>
    <w:p w14:paraId="270C0C2B">
      <w:pPr>
        <w:shd w:val="clea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37DDEB9">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73D91EF3">
      <w:pPr>
        <w:shd w:val="clear"/>
        <w:adjustRightInd w:val="0"/>
        <w:snapToGrid w:val="0"/>
        <w:spacing w:line="360" w:lineRule="auto"/>
        <w:rPr>
          <w:rFonts w:hint="eastAsia" w:ascii="宋体" w:hAnsi="宋体" w:eastAsia="宋体" w:cs="宋体"/>
          <w:color w:val="auto"/>
          <w:kern w:val="0"/>
          <w:sz w:val="24"/>
          <w:highlight w:val="none"/>
        </w:rPr>
      </w:pPr>
    </w:p>
    <w:p w14:paraId="1EA4E649">
      <w:pPr>
        <w:shd w:val="clear"/>
        <w:jc w:val="center"/>
        <w:rPr>
          <w:rFonts w:hint="eastAsia" w:ascii="宋体" w:hAnsi="宋体" w:eastAsia="宋体" w:cs="宋体"/>
          <w:b/>
          <w:color w:val="auto"/>
          <w:kern w:val="0"/>
          <w:sz w:val="32"/>
          <w:szCs w:val="32"/>
          <w:highlight w:val="none"/>
        </w:rPr>
      </w:pPr>
    </w:p>
    <w:p w14:paraId="7E379DDD">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157DB54">
      <w:pPr>
        <w:shd w:val="clear"/>
        <w:jc w:val="center"/>
        <w:rPr>
          <w:rFonts w:hint="eastAsia" w:ascii="宋体" w:hAnsi="宋体" w:eastAsia="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99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86568D">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74D1AB6">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9DFAECB">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15B91CA">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33CE254">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FB9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F221E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Borders>
              <w:left w:val="single" w:color="auto" w:sz="4" w:space="0"/>
            </w:tcBorders>
          </w:tcPr>
          <w:p w14:paraId="0A84315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tcBorders>
              <w:left w:val="single" w:color="auto" w:sz="4" w:space="0"/>
            </w:tcBorders>
            <w:vAlign w:val="center"/>
          </w:tcPr>
          <w:p w14:paraId="64F30F1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Borders>
              <w:left w:val="single" w:color="auto" w:sz="4" w:space="0"/>
            </w:tcBorders>
          </w:tcPr>
          <w:p w14:paraId="4AA7676F">
            <w:pPr>
              <w:shd w:val="clear"/>
              <w:rPr>
                <w:rFonts w:hint="eastAsia" w:ascii="宋体" w:hAnsi="宋体" w:eastAsia="宋体" w:cs="宋体"/>
                <w:color w:val="auto"/>
                <w:sz w:val="24"/>
                <w:highlight w:val="none"/>
              </w:rPr>
            </w:pPr>
          </w:p>
          <w:p w14:paraId="77076EB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3FF8F53">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B7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2655E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Borders>
              <w:left w:val="single" w:color="auto" w:sz="4" w:space="0"/>
            </w:tcBorders>
          </w:tcPr>
          <w:p w14:paraId="10D6D0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2CF374F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Borders>
              <w:left w:val="single" w:color="auto" w:sz="4" w:space="0"/>
            </w:tcBorders>
          </w:tcPr>
          <w:p w14:paraId="0E709289">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F2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9BBC8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Borders>
              <w:left w:val="single" w:color="auto" w:sz="4" w:space="0"/>
            </w:tcBorders>
          </w:tcPr>
          <w:p w14:paraId="4CAE3C38">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tcBorders>
              <w:left w:val="single" w:color="auto" w:sz="4" w:space="0"/>
            </w:tcBorders>
            <w:vAlign w:val="center"/>
          </w:tcPr>
          <w:p w14:paraId="22AEBEF6">
            <w:pPr>
              <w:shd w:val="clea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48A9C6B4">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E85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CC43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Borders>
              <w:left w:val="single" w:color="auto" w:sz="4" w:space="0"/>
            </w:tcBorders>
          </w:tcPr>
          <w:p w14:paraId="71FB4106">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tcBorders>
              <w:left w:val="single" w:color="auto" w:sz="4" w:space="0"/>
            </w:tcBorders>
            <w:vAlign w:val="center"/>
          </w:tcPr>
          <w:p w14:paraId="30E7E90D">
            <w:pPr>
              <w:shd w:val="clear"/>
              <w:rPr>
                <w:rFonts w:hint="eastAsia" w:ascii="宋体" w:hAnsi="宋体" w:eastAsia="宋体" w:cs="宋体"/>
                <w:color w:val="auto"/>
                <w:highlight w:val="none"/>
              </w:rPr>
            </w:pPr>
          </w:p>
        </w:tc>
        <w:tc>
          <w:tcPr>
            <w:tcW w:w="1418" w:type="dxa"/>
            <w:tcBorders>
              <w:left w:val="single" w:color="auto" w:sz="4" w:space="0"/>
            </w:tcBorders>
          </w:tcPr>
          <w:p w14:paraId="62C633B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1D2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6367D9">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tcBorders>
              <w:left w:val="single" w:color="auto" w:sz="4" w:space="0"/>
            </w:tcBorders>
          </w:tcPr>
          <w:p w14:paraId="09BC1C62">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tcBorders>
              <w:left w:val="single" w:color="auto" w:sz="4" w:space="0"/>
            </w:tcBorders>
            <w:vAlign w:val="center"/>
          </w:tcPr>
          <w:p w14:paraId="029A287A">
            <w:pPr>
              <w:shd w:val="clear"/>
              <w:rPr>
                <w:rFonts w:hint="eastAsia" w:ascii="宋体" w:hAnsi="宋体" w:eastAsia="宋体" w:cs="宋体"/>
                <w:color w:val="auto"/>
                <w:highlight w:val="none"/>
              </w:rPr>
            </w:pPr>
          </w:p>
        </w:tc>
        <w:tc>
          <w:tcPr>
            <w:tcW w:w="1418" w:type="dxa"/>
            <w:tcBorders>
              <w:left w:val="single" w:color="auto" w:sz="4" w:space="0"/>
            </w:tcBorders>
          </w:tcPr>
          <w:p w14:paraId="3DEBDFB5">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FC0FD91">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1207BF1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9FA90C1">
      <w:pPr>
        <w:shd w:val="clear"/>
        <w:jc w:val="center"/>
        <w:rPr>
          <w:rFonts w:hint="eastAsia" w:ascii="宋体" w:hAnsi="宋体" w:eastAsia="宋体" w:cs="宋体"/>
          <w:b/>
          <w:color w:val="auto"/>
          <w:kern w:val="0"/>
          <w:sz w:val="32"/>
          <w:szCs w:val="32"/>
          <w:highlight w:val="none"/>
        </w:rPr>
      </w:pPr>
    </w:p>
    <w:p w14:paraId="5E901593">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D3DFC5">
      <w:pPr>
        <w:shd w:val="clea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43C65B5">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1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C4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BA3EDB">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3F0FB9DD">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75C4C655">
            <w:pPr>
              <w:shd w:val="clear"/>
              <w:adjustRightInd w:val="0"/>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538C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8AAA7">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Borders>
              <w:left w:val="single" w:color="auto" w:sz="4" w:space="0"/>
            </w:tcBorders>
          </w:tcPr>
          <w:p w14:paraId="368A66E6">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（一）服务方案</w:t>
            </w:r>
          </w:p>
        </w:tc>
        <w:tc>
          <w:tcPr>
            <w:tcW w:w="3046" w:type="dxa"/>
            <w:tcBorders>
              <w:left w:val="single" w:color="auto" w:sz="4" w:space="0"/>
            </w:tcBorders>
          </w:tcPr>
          <w:p w14:paraId="3A216D2F">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20A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9B4E94">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Borders>
              <w:left w:val="single" w:color="auto" w:sz="4" w:space="0"/>
            </w:tcBorders>
          </w:tcPr>
          <w:p w14:paraId="6FF27A4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（二）投标人提供产品的性能与需求吻合程度</w:t>
            </w:r>
          </w:p>
        </w:tc>
        <w:tc>
          <w:tcPr>
            <w:tcW w:w="3046" w:type="dxa"/>
            <w:tcBorders>
              <w:left w:val="single" w:color="auto" w:sz="4" w:space="0"/>
            </w:tcBorders>
          </w:tcPr>
          <w:p w14:paraId="7D2755A1">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664C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984BD6">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3</w:t>
            </w:r>
          </w:p>
        </w:tc>
        <w:tc>
          <w:tcPr>
            <w:tcW w:w="5465" w:type="dxa"/>
            <w:tcBorders>
              <w:left w:val="single" w:color="auto" w:sz="4" w:space="0"/>
            </w:tcBorders>
          </w:tcPr>
          <w:p w14:paraId="45DEA7FC">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（三）服务要求的承诺</w:t>
            </w:r>
          </w:p>
        </w:tc>
        <w:tc>
          <w:tcPr>
            <w:tcW w:w="3046" w:type="dxa"/>
            <w:tcBorders>
              <w:left w:val="single" w:color="auto" w:sz="4" w:space="0"/>
            </w:tcBorders>
          </w:tcPr>
          <w:p w14:paraId="71E6A19E">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25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83BB15">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465" w:type="dxa"/>
            <w:tcBorders>
              <w:left w:val="single" w:color="auto" w:sz="4" w:space="0"/>
            </w:tcBorders>
          </w:tcPr>
          <w:p w14:paraId="520E574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（四）安全要求</w:t>
            </w:r>
          </w:p>
        </w:tc>
        <w:tc>
          <w:tcPr>
            <w:tcW w:w="3046" w:type="dxa"/>
            <w:tcBorders>
              <w:left w:val="single" w:color="auto" w:sz="4" w:space="0"/>
            </w:tcBorders>
          </w:tcPr>
          <w:p w14:paraId="3B10529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AA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67A24E">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465" w:type="dxa"/>
            <w:tcBorders>
              <w:left w:val="single" w:color="auto" w:sz="4" w:space="0"/>
            </w:tcBorders>
          </w:tcPr>
          <w:p w14:paraId="6B3ECAD9">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（五）服务响应时间</w:t>
            </w:r>
          </w:p>
        </w:tc>
        <w:tc>
          <w:tcPr>
            <w:tcW w:w="3046" w:type="dxa"/>
            <w:tcBorders>
              <w:left w:val="single" w:color="auto" w:sz="4" w:space="0"/>
            </w:tcBorders>
          </w:tcPr>
          <w:p w14:paraId="1D8D49C3">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7BA0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BD4C3B">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465" w:type="dxa"/>
            <w:tcBorders>
              <w:left w:val="single" w:color="auto" w:sz="4" w:space="0"/>
            </w:tcBorders>
          </w:tcPr>
          <w:p w14:paraId="55C3BEEF">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（六）服务人员情况</w:t>
            </w:r>
          </w:p>
        </w:tc>
        <w:tc>
          <w:tcPr>
            <w:tcW w:w="3046" w:type="dxa"/>
            <w:tcBorders>
              <w:left w:val="single" w:color="auto" w:sz="4" w:space="0"/>
            </w:tcBorders>
          </w:tcPr>
          <w:p w14:paraId="57D7A084">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6766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3896AF">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5465" w:type="dxa"/>
            <w:tcBorders>
              <w:left w:val="single" w:color="auto" w:sz="4" w:space="0"/>
            </w:tcBorders>
          </w:tcPr>
          <w:p w14:paraId="3A23CC8E">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（七）其他要求</w:t>
            </w:r>
          </w:p>
        </w:tc>
        <w:tc>
          <w:tcPr>
            <w:tcW w:w="3046" w:type="dxa"/>
            <w:tcBorders>
              <w:left w:val="single" w:color="auto" w:sz="4" w:space="0"/>
            </w:tcBorders>
          </w:tcPr>
          <w:p w14:paraId="445E262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5F7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7B9BFB">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5465" w:type="dxa"/>
            <w:tcBorders>
              <w:left w:val="single" w:color="auto" w:sz="4" w:space="0"/>
            </w:tcBorders>
            <w:vAlign w:val="center"/>
          </w:tcPr>
          <w:p w14:paraId="3FA32756">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（八）培训服务</w:t>
            </w:r>
          </w:p>
        </w:tc>
        <w:tc>
          <w:tcPr>
            <w:tcW w:w="3046" w:type="dxa"/>
            <w:tcBorders>
              <w:left w:val="single" w:color="auto" w:sz="4" w:space="0"/>
            </w:tcBorders>
          </w:tcPr>
          <w:p w14:paraId="763A756C">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BB9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7C614B">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5465" w:type="dxa"/>
            <w:tcBorders>
              <w:left w:val="single" w:color="auto" w:sz="4" w:space="0"/>
            </w:tcBorders>
            <w:vAlign w:val="center"/>
          </w:tcPr>
          <w:p w14:paraId="4159519F">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（九）保密服务</w:t>
            </w:r>
          </w:p>
        </w:tc>
        <w:tc>
          <w:tcPr>
            <w:tcW w:w="3046" w:type="dxa"/>
            <w:tcBorders>
              <w:left w:val="single" w:color="auto" w:sz="4" w:space="0"/>
            </w:tcBorders>
          </w:tcPr>
          <w:p w14:paraId="6CD2F986">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5F39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267C02">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5465" w:type="dxa"/>
            <w:tcBorders>
              <w:left w:val="single" w:color="auto" w:sz="4" w:space="0"/>
            </w:tcBorders>
            <w:vAlign w:val="center"/>
          </w:tcPr>
          <w:p w14:paraId="290C9F84">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（十）网络安全责任</w:t>
            </w:r>
          </w:p>
        </w:tc>
        <w:tc>
          <w:tcPr>
            <w:tcW w:w="3046" w:type="dxa"/>
            <w:tcBorders>
              <w:left w:val="single" w:color="auto" w:sz="4" w:space="0"/>
            </w:tcBorders>
          </w:tcPr>
          <w:p w14:paraId="6439ECF9">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7BD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1E7A28">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5465" w:type="dxa"/>
            <w:tcBorders>
              <w:left w:val="single" w:color="auto" w:sz="4" w:space="0"/>
            </w:tcBorders>
            <w:vAlign w:val="center"/>
          </w:tcPr>
          <w:p w14:paraId="6F4C4BE1">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二、类似经验</w:t>
            </w:r>
          </w:p>
        </w:tc>
        <w:tc>
          <w:tcPr>
            <w:tcW w:w="3046" w:type="dxa"/>
            <w:tcBorders>
              <w:left w:val="single" w:color="auto" w:sz="4" w:space="0"/>
            </w:tcBorders>
          </w:tcPr>
          <w:p w14:paraId="50BB118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0A30DFCC">
      <w:pPr>
        <w:pStyle w:val="24"/>
        <w:shd w:val="clear"/>
        <w:rPr>
          <w:rFonts w:hint="eastAsia" w:ascii="宋体" w:hAnsi="宋体" w:eastAsia="宋体" w:cs="宋体"/>
          <w:color w:val="auto"/>
          <w:highlight w:val="none"/>
        </w:rPr>
      </w:pPr>
    </w:p>
    <w:p w14:paraId="5DC88961">
      <w:pPr>
        <w:shd w:val="clear"/>
        <w:jc w:val="center"/>
        <w:rPr>
          <w:rFonts w:hint="eastAsia" w:ascii="宋体" w:hAnsi="宋体" w:eastAsia="宋体" w:cs="宋体"/>
          <w:b/>
          <w:color w:val="auto"/>
          <w:kern w:val="0"/>
          <w:sz w:val="32"/>
          <w:szCs w:val="32"/>
          <w:highlight w:val="none"/>
        </w:rPr>
      </w:pPr>
    </w:p>
    <w:p w14:paraId="58A2D6BC">
      <w:pPr>
        <w:shd w:val="clear"/>
        <w:jc w:val="center"/>
        <w:rPr>
          <w:rFonts w:hint="eastAsia" w:ascii="宋体" w:hAnsi="宋体" w:eastAsia="宋体" w:cs="宋体"/>
          <w:b/>
          <w:color w:val="auto"/>
          <w:kern w:val="0"/>
          <w:sz w:val="32"/>
          <w:szCs w:val="32"/>
          <w:highlight w:val="none"/>
        </w:rPr>
      </w:pPr>
    </w:p>
    <w:p w14:paraId="36CBBFAE">
      <w:pPr>
        <w:shd w:val="clear"/>
        <w:jc w:val="center"/>
        <w:rPr>
          <w:rFonts w:hint="eastAsia" w:ascii="宋体" w:hAnsi="宋体" w:eastAsia="宋体" w:cs="宋体"/>
          <w:b/>
          <w:color w:val="auto"/>
          <w:kern w:val="0"/>
          <w:sz w:val="32"/>
          <w:szCs w:val="32"/>
          <w:highlight w:val="none"/>
        </w:rPr>
      </w:pPr>
    </w:p>
    <w:p w14:paraId="04BC8D4B">
      <w:pPr>
        <w:shd w:val="clea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5A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2864F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0B119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AD57BAA">
            <w:pPr>
              <w:shd w:val="clear"/>
              <w:spacing w:line="360" w:lineRule="auto"/>
              <w:jc w:val="center"/>
              <w:rPr>
                <w:rFonts w:hint="eastAsia" w:ascii="宋体" w:hAnsi="宋体" w:eastAsia="宋体" w:cs="宋体"/>
                <w:b/>
                <w:color w:val="auto"/>
                <w:sz w:val="24"/>
                <w:highlight w:val="none"/>
              </w:rPr>
            </w:pPr>
          </w:p>
          <w:p w14:paraId="0B813CB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E76E0C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A71CED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788EE2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57A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15514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910271">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E0505BE">
            <w:pPr>
              <w:shd w:val="clea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1CE5D6">
            <w:pPr>
              <w:shd w:val="clea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3FC35">
            <w:pPr>
              <w:shd w:val="clea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753C99">
            <w:pPr>
              <w:shd w:val="clear"/>
              <w:spacing w:line="360" w:lineRule="auto"/>
              <w:jc w:val="center"/>
              <w:rPr>
                <w:rFonts w:hint="eastAsia" w:ascii="宋体" w:hAnsi="宋体" w:eastAsia="宋体" w:cs="宋体"/>
                <w:color w:val="auto"/>
                <w:sz w:val="24"/>
                <w:highlight w:val="none"/>
              </w:rPr>
            </w:pPr>
          </w:p>
        </w:tc>
      </w:tr>
      <w:tr w14:paraId="5300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E89A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52EFE3">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86EBC23">
            <w:pPr>
              <w:shd w:val="clea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489936">
            <w:pPr>
              <w:shd w:val="clea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440C8C">
            <w:pPr>
              <w:shd w:val="clea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DD82A7">
            <w:pPr>
              <w:shd w:val="clear"/>
              <w:spacing w:line="360" w:lineRule="auto"/>
              <w:jc w:val="center"/>
              <w:rPr>
                <w:rFonts w:hint="eastAsia" w:ascii="宋体" w:hAnsi="宋体" w:eastAsia="宋体" w:cs="宋体"/>
                <w:color w:val="auto"/>
                <w:sz w:val="24"/>
                <w:highlight w:val="none"/>
              </w:rPr>
            </w:pPr>
          </w:p>
        </w:tc>
      </w:tr>
      <w:tr w14:paraId="3C3B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2CD6C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13844F">
            <w:pPr>
              <w:shd w:val="clear"/>
              <w:adjustRightInd w:val="0"/>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548E2B">
            <w:pPr>
              <w:shd w:val="clea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24FC18">
            <w:pPr>
              <w:shd w:val="clea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C1FE81">
            <w:pPr>
              <w:shd w:val="clea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A6B9AA">
            <w:pPr>
              <w:shd w:val="clear"/>
              <w:spacing w:line="360" w:lineRule="auto"/>
              <w:jc w:val="center"/>
              <w:rPr>
                <w:rFonts w:hint="eastAsia" w:ascii="宋体" w:hAnsi="宋体" w:eastAsia="宋体" w:cs="宋体"/>
                <w:color w:val="auto"/>
                <w:sz w:val="24"/>
                <w:highlight w:val="none"/>
              </w:rPr>
            </w:pPr>
          </w:p>
        </w:tc>
      </w:tr>
    </w:tbl>
    <w:p w14:paraId="1FDF70F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69EEFE">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16"/>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999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64224F2">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2C289A0">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5AA9529">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7CD3457F">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139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87C3C55">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Borders>
              <w:left w:val="single" w:color="auto" w:sz="4" w:space="0"/>
            </w:tcBorders>
          </w:tcPr>
          <w:p w14:paraId="41E2B70D">
            <w:pPr>
              <w:shd w:val="clear"/>
              <w:jc w:val="center"/>
              <w:rPr>
                <w:rFonts w:hint="eastAsia" w:ascii="宋体" w:hAnsi="宋体" w:eastAsia="宋体" w:cs="宋体"/>
                <w:b/>
                <w:color w:val="auto"/>
                <w:kern w:val="0"/>
                <w:sz w:val="32"/>
                <w:szCs w:val="32"/>
                <w:highlight w:val="none"/>
              </w:rPr>
            </w:pPr>
          </w:p>
        </w:tc>
        <w:tc>
          <w:tcPr>
            <w:tcW w:w="3062" w:type="dxa"/>
            <w:tcBorders>
              <w:left w:val="single" w:color="auto" w:sz="4" w:space="0"/>
            </w:tcBorders>
          </w:tcPr>
          <w:p w14:paraId="31DDD2BF">
            <w:pPr>
              <w:shd w:val="clear"/>
              <w:jc w:val="center"/>
              <w:rPr>
                <w:rFonts w:hint="eastAsia" w:ascii="宋体" w:hAnsi="宋体" w:eastAsia="宋体" w:cs="宋体"/>
                <w:b/>
                <w:color w:val="auto"/>
                <w:kern w:val="0"/>
                <w:sz w:val="32"/>
                <w:szCs w:val="32"/>
                <w:highlight w:val="none"/>
              </w:rPr>
            </w:pPr>
          </w:p>
        </w:tc>
        <w:tc>
          <w:tcPr>
            <w:tcW w:w="1102" w:type="dxa"/>
            <w:tcBorders>
              <w:left w:val="single" w:color="auto" w:sz="4" w:space="0"/>
            </w:tcBorders>
          </w:tcPr>
          <w:p w14:paraId="02772F2E">
            <w:pPr>
              <w:shd w:val="clear"/>
              <w:jc w:val="center"/>
              <w:rPr>
                <w:rFonts w:hint="eastAsia" w:ascii="宋体" w:hAnsi="宋体" w:eastAsia="宋体" w:cs="宋体"/>
                <w:b/>
                <w:color w:val="auto"/>
                <w:kern w:val="0"/>
                <w:sz w:val="32"/>
                <w:szCs w:val="32"/>
                <w:highlight w:val="none"/>
              </w:rPr>
            </w:pPr>
          </w:p>
        </w:tc>
      </w:tr>
      <w:tr w14:paraId="3B67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1E94D0">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Borders>
              <w:left w:val="single" w:color="auto" w:sz="4" w:space="0"/>
            </w:tcBorders>
          </w:tcPr>
          <w:p w14:paraId="4A801BAA">
            <w:pPr>
              <w:shd w:val="clear"/>
              <w:jc w:val="center"/>
              <w:rPr>
                <w:rFonts w:hint="eastAsia" w:ascii="宋体" w:hAnsi="宋体" w:eastAsia="宋体" w:cs="宋体"/>
                <w:b/>
                <w:color w:val="auto"/>
                <w:kern w:val="0"/>
                <w:sz w:val="32"/>
                <w:szCs w:val="32"/>
                <w:highlight w:val="none"/>
              </w:rPr>
            </w:pPr>
          </w:p>
        </w:tc>
        <w:tc>
          <w:tcPr>
            <w:tcW w:w="3062" w:type="dxa"/>
            <w:tcBorders>
              <w:left w:val="single" w:color="auto" w:sz="4" w:space="0"/>
            </w:tcBorders>
          </w:tcPr>
          <w:p w14:paraId="4722A10D">
            <w:pPr>
              <w:shd w:val="clear"/>
              <w:jc w:val="center"/>
              <w:rPr>
                <w:rFonts w:hint="eastAsia" w:ascii="宋体" w:hAnsi="宋体" w:eastAsia="宋体" w:cs="宋体"/>
                <w:b/>
                <w:color w:val="auto"/>
                <w:kern w:val="0"/>
                <w:sz w:val="32"/>
                <w:szCs w:val="32"/>
                <w:highlight w:val="none"/>
              </w:rPr>
            </w:pPr>
          </w:p>
        </w:tc>
        <w:tc>
          <w:tcPr>
            <w:tcW w:w="1102" w:type="dxa"/>
            <w:tcBorders>
              <w:left w:val="single" w:color="auto" w:sz="4" w:space="0"/>
            </w:tcBorders>
          </w:tcPr>
          <w:p w14:paraId="245832B4">
            <w:pPr>
              <w:shd w:val="clear"/>
              <w:jc w:val="center"/>
              <w:rPr>
                <w:rFonts w:hint="eastAsia" w:ascii="宋体" w:hAnsi="宋体" w:eastAsia="宋体" w:cs="宋体"/>
                <w:b/>
                <w:color w:val="auto"/>
                <w:kern w:val="0"/>
                <w:sz w:val="32"/>
                <w:szCs w:val="32"/>
                <w:highlight w:val="none"/>
              </w:rPr>
            </w:pPr>
          </w:p>
        </w:tc>
      </w:tr>
      <w:tr w14:paraId="03C8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551B4B">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Borders>
              <w:left w:val="single" w:color="auto" w:sz="4" w:space="0"/>
            </w:tcBorders>
          </w:tcPr>
          <w:p w14:paraId="1EB709E5">
            <w:pPr>
              <w:shd w:val="clear"/>
              <w:jc w:val="center"/>
              <w:rPr>
                <w:rFonts w:hint="eastAsia" w:ascii="宋体" w:hAnsi="宋体" w:eastAsia="宋体" w:cs="宋体"/>
                <w:b/>
                <w:color w:val="auto"/>
                <w:kern w:val="0"/>
                <w:sz w:val="32"/>
                <w:szCs w:val="32"/>
                <w:highlight w:val="none"/>
              </w:rPr>
            </w:pPr>
          </w:p>
        </w:tc>
        <w:tc>
          <w:tcPr>
            <w:tcW w:w="3062" w:type="dxa"/>
            <w:tcBorders>
              <w:left w:val="single" w:color="auto" w:sz="4" w:space="0"/>
            </w:tcBorders>
          </w:tcPr>
          <w:p w14:paraId="2AC5BE6E">
            <w:pPr>
              <w:shd w:val="clear"/>
              <w:jc w:val="center"/>
              <w:rPr>
                <w:rFonts w:hint="eastAsia" w:ascii="宋体" w:hAnsi="宋体" w:eastAsia="宋体" w:cs="宋体"/>
                <w:b/>
                <w:color w:val="auto"/>
                <w:kern w:val="0"/>
                <w:sz w:val="32"/>
                <w:szCs w:val="32"/>
                <w:highlight w:val="none"/>
              </w:rPr>
            </w:pPr>
          </w:p>
        </w:tc>
        <w:tc>
          <w:tcPr>
            <w:tcW w:w="1102" w:type="dxa"/>
            <w:tcBorders>
              <w:left w:val="single" w:color="auto" w:sz="4" w:space="0"/>
            </w:tcBorders>
          </w:tcPr>
          <w:p w14:paraId="563904F8">
            <w:pPr>
              <w:shd w:val="clear"/>
              <w:jc w:val="center"/>
              <w:rPr>
                <w:rFonts w:hint="eastAsia" w:ascii="宋体" w:hAnsi="宋体" w:eastAsia="宋体" w:cs="宋体"/>
                <w:b/>
                <w:color w:val="auto"/>
                <w:kern w:val="0"/>
                <w:sz w:val="32"/>
                <w:szCs w:val="32"/>
                <w:highlight w:val="none"/>
              </w:rPr>
            </w:pPr>
          </w:p>
        </w:tc>
      </w:tr>
    </w:tbl>
    <w:p w14:paraId="3C8A1A8A">
      <w:pPr>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45DBEA8">
      <w:pPr>
        <w:shd w:val="clear"/>
        <w:jc w:val="center"/>
        <w:rPr>
          <w:rFonts w:hint="eastAsia" w:ascii="宋体" w:hAnsi="宋体" w:eastAsia="宋体" w:cs="宋体"/>
          <w:b/>
          <w:color w:val="auto"/>
          <w:kern w:val="0"/>
          <w:sz w:val="32"/>
          <w:szCs w:val="32"/>
          <w:highlight w:val="none"/>
        </w:rPr>
      </w:pPr>
    </w:p>
    <w:p w14:paraId="5E79AE4A">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3F6F687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19447B78">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3C0A5632">
      <w:pPr>
        <w:shd w:val="clear"/>
        <w:ind w:firstLine="1911" w:firstLineChars="595"/>
        <w:rPr>
          <w:rFonts w:hint="eastAsia" w:ascii="宋体" w:hAnsi="宋体" w:eastAsia="宋体" w:cs="宋体"/>
          <w:b/>
          <w:bCs/>
          <w:color w:val="auto"/>
          <w:sz w:val="32"/>
          <w:szCs w:val="32"/>
          <w:highlight w:val="none"/>
        </w:rPr>
      </w:pPr>
    </w:p>
    <w:p w14:paraId="1C84F3E3">
      <w:pPr>
        <w:shd w:val="clear"/>
        <w:ind w:firstLine="1911" w:firstLineChars="595"/>
        <w:rPr>
          <w:rFonts w:hint="eastAsia" w:ascii="宋体" w:hAnsi="宋体" w:eastAsia="宋体" w:cs="宋体"/>
          <w:b/>
          <w:bCs/>
          <w:color w:val="auto"/>
          <w:sz w:val="32"/>
          <w:szCs w:val="32"/>
          <w:highlight w:val="none"/>
        </w:rPr>
      </w:pPr>
    </w:p>
    <w:p w14:paraId="40318772">
      <w:pPr>
        <w:shd w:val="clear"/>
        <w:ind w:firstLine="1911" w:firstLineChars="595"/>
        <w:rPr>
          <w:rFonts w:hint="eastAsia" w:ascii="宋体" w:hAnsi="宋体" w:eastAsia="宋体" w:cs="宋体"/>
          <w:b/>
          <w:bCs/>
          <w:color w:val="auto"/>
          <w:sz w:val="32"/>
          <w:szCs w:val="32"/>
          <w:highlight w:val="none"/>
        </w:rPr>
      </w:pPr>
    </w:p>
    <w:p w14:paraId="4A77765D">
      <w:pPr>
        <w:widowControl/>
        <w:shd w:val="clear"/>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D4726D7">
      <w:pPr>
        <w:shd w:val="clea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29270E8">
      <w:pPr>
        <w:shd w:val="clear"/>
        <w:adjustRightInd w:val="0"/>
        <w:snapToGrid w:val="0"/>
        <w:spacing w:line="360" w:lineRule="auto"/>
        <w:rPr>
          <w:rFonts w:hint="eastAsia" w:ascii="宋体" w:hAnsi="宋体" w:eastAsia="宋体" w:cs="宋体"/>
          <w:color w:val="auto"/>
          <w:sz w:val="24"/>
          <w:highlight w:val="none"/>
        </w:rPr>
      </w:pPr>
    </w:p>
    <w:p w14:paraId="1701A50A">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57F00A26">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4121095">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4525BA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98065E7">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63F7C40">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601E38E">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67BA1CA">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FA7B6D7">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353DC1E">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03DE2FE">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D456C00">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13E7803">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608BEC81">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2FD16572">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9C9F2FE">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3BDEC57">
      <w:pPr>
        <w:shd w:val="clear"/>
        <w:spacing w:line="360" w:lineRule="auto"/>
        <w:jc w:val="center"/>
        <w:rPr>
          <w:rFonts w:hint="eastAsia" w:ascii="宋体" w:hAnsi="宋体" w:eastAsia="宋体" w:cs="宋体"/>
          <w:b/>
          <w:bCs/>
          <w:color w:val="auto"/>
          <w:sz w:val="24"/>
          <w:highlight w:val="none"/>
        </w:rPr>
      </w:pPr>
    </w:p>
    <w:p w14:paraId="55FE1005">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A876D5F">
      <w:pPr>
        <w:shd w:val="clea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3866AD49">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FDB9985">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9156A8E">
      <w:pPr>
        <w:shd w:val="clear"/>
        <w:spacing w:line="360" w:lineRule="auto"/>
        <w:jc w:val="center"/>
        <w:outlineLvl w:val="0"/>
        <w:rPr>
          <w:rFonts w:hint="eastAsia" w:ascii="宋体" w:hAnsi="宋体" w:eastAsia="宋体" w:cs="宋体"/>
          <w:b/>
          <w:color w:val="auto"/>
          <w:kern w:val="0"/>
          <w:sz w:val="36"/>
          <w:szCs w:val="36"/>
          <w:highlight w:val="none"/>
        </w:rPr>
      </w:pPr>
    </w:p>
    <w:p w14:paraId="58B0C406">
      <w:pPr>
        <w:numPr>
          <w:ilvl w:val="0"/>
          <w:numId w:val="5"/>
        </w:num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EA4505D">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（2）报价情况说明（如果有）……………………………………………………（页码）</w:t>
      </w:r>
    </w:p>
    <w:p w14:paraId="58A81629">
      <w:pPr>
        <w:pStyle w:val="28"/>
        <w:shd w:val="clear"/>
        <w:rPr>
          <w:rFonts w:hint="eastAsia" w:ascii="宋体" w:hAnsi="宋体" w:eastAsia="宋体" w:cs="宋体"/>
          <w:color w:val="auto"/>
          <w:highlight w:val="none"/>
        </w:rPr>
      </w:pPr>
    </w:p>
    <w:p w14:paraId="59BC4734">
      <w:pPr>
        <w:pStyle w:val="28"/>
        <w:shd w:val="clear"/>
        <w:rPr>
          <w:rFonts w:hint="eastAsia" w:ascii="宋体" w:hAnsi="宋体" w:eastAsia="宋体" w:cs="宋体"/>
          <w:color w:val="auto"/>
          <w:highlight w:val="none"/>
        </w:rPr>
      </w:pPr>
    </w:p>
    <w:p w14:paraId="052C62F4">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4E765E65">
      <w:pPr>
        <w:pStyle w:val="36"/>
        <w:keepNext w:val="0"/>
        <w:pageBreakBefore w:val="0"/>
        <w:shd w:val="clear"/>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7106ADD2">
      <w:pPr>
        <w:pStyle w:val="36"/>
        <w:keepNext w:val="0"/>
        <w:pageBreakBefore w:val="0"/>
        <w:shd w:val="clear"/>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B7FD1F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5CA54A39">
      <w:pPr>
        <w:shd w:val="clear"/>
        <w:adjustRightInd w:val="0"/>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（2025年杭州交警业务系统租赁使用服务-2025年杭州交警网络及数据安全运维服务）【招标编号：（ZHZB-2025HZGA-12）】的实施</w:t>
      </w:r>
      <w:r>
        <w:rPr>
          <w:rFonts w:hint="eastAsia" w:ascii="宋体" w:hAnsi="宋体" w:eastAsia="宋体" w:cs="宋体"/>
          <w:color w:val="auto"/>
          <w:kern w:val="0"/>
          <w:sz w:val="24"/>
          <w:highlight w:val="none"/>
          <w:lang w:val="zh-CN"/>
        </w:rPr>
        <w:t>。</w:t>
      </w:r>
    </w:p>
    <w:p w14:paraId="48D998E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p w14:paraId="2CEEF2DC">
      <w:pPr>
        <w:spacing w:line="360" w:lineRule="auto"/>
        <w:jc w:val="center"/>
        <w:rPr>
          <w:rFonts w:hint="eastAsia" w:ascii="宋体" w:hAnsi="宋体" w:eastAsia="宋体" w:cs="宋体"/>
          <w:b/>
          <w:color w:val="auto"/>
          <w:kern w:val="0"/>
          <w:sz w:val="24"/>
          <w:highlight w:val="none"/>
          <w:lang w:val="zh-CN"/>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16"/>
        <w:gridCol w:w="2607"/>
        <w:gridCol w:w="2856"/>
        <w:gridCol w:w="1403"/>
      </w:tblGrid>
      <w:tr w14:paraId="34571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9" w:hRule="atLeast"/>
          <w:tblHeader/>
          <w:jc w:val="center"/>
        </w:trPr>
        <w:tc>
          <w:tcPr>
            <w:tcW w:w="1456" w:type="pct"/>
            <w:tcBorders>
              <w:right w:val="single" w:color="auto" w:sz="4" w:space="0"/>
            </w:tcBorders>
            <w:noWrap w:val="0"/>
            <w:vAlign w:val="center"/>
          </w:tcPr>
          <w:p w14:paraId="5B34C4A7">
            <w:pPr>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项目名称</w:t>
            </w:r>
          </w:p>
        </w:tc>
        <w:tc>
          <w:tcPr>
            <w:tcW w:w="1558" w:type="pct"/>
            <w:noWrap w:val="0"/>
            <w:vAlign w:val="center"/>
          </w:tcPr>
          <w:p w14:paraId="1FAB2DE4">
            <w:pPr>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投标总价</w:t>
            </w:r>
          </w:p>
        </w:tc>
        <w:tc>
          <w:tcPr>
            <w:tcW w:w="1074" w:type="pct"/>
            <w:noWrap w:val="0"/>
            <w:vAlign w:val="center"/>
          </w:tcPr>
          <w:p w14:paraId="12D57D9B">
            <w:pPr>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服务期</w:t>
            </w:r>
          </w:p>
        </w:tc>
        <w:tc>
          <w:tcPr>
            <w:tcW w:w="910" w:type="pct"/>
            <w:noWrap w:val="0"/>
            <w:vAlign w:val="center"/>
          </w:tcPr>
          <w:p w14:paraId="3F206CBA">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备注</w:t>
            </w:r>
          </w:p>
        </w:tc>
      </w:tr>
      <w:tr w14:paraId="3B390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27" w:hRule="atLeast"/>
          <w:jc w:val="center"/>
        </w:trPr>
        <w:tc>
          <w:tcPr>
            <w:tcW w:w="1456" w:type="pct"/>
            <w:tcBorders>
              <w:top w:val="single" w:color="auto" w:sz="4" w:space="0"/>
              <w:right w:val="single" w:color="auto" w:sz="4" w:space="0"/>
            </w:tcBorders>
            <w:noWrap w:val="0"/>
            <w:vAlign w:val="center"/>
          </w:tcPr>
          <w:p w14:paraId="76486E62">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2025年杭州交警业务系统租赁使用服务-2025年杭州交警网络及数据安全运维服务</w:t>
            </w:r>
          </w:p>
        </w:tc>
        <w:tc>
          <w:tcPr>
            <w:tcW w:w="1558" w:type="pct"/>
            <w:tcBorders>
              <w:top w:val="single" w:color="auto" w:sz="4" w:space="0"/>
              <w:left w:val="single" w:color="auto" w:sz="4" w:space="0"/>
            </w:tcBorders>
            <w:noWrap w:val="0"/>
            <w:vAlign w:val="center"/>
          </w:tcPr>
          <w:p w14:paraId="70A6747E">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大写：</w:t>
            </w:r>
          </w:p>
          <w:p w14:paraId="1B345D97">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小写：</w:t>
            </w:r>
          </w:p>
        </w:tc>
        <w:tc>
          <w:tcPr>
            <w:tcW w:w="1074" w:type="pct"/>
            <w:noWrap w:val="0"/>
            <w:vAlign w:val="center"/>
          </w:tcPr>
          <w:p w14:paraId="7A1E32C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12个月（2025.8.1-2026.7.31）</w:t>
            </w:r>
          </w:p>
        </w:tc>
        <w:tc>
          <w:tcPr>
            <w:tcW w:w="910" w:type="pct"/>
            <w:noWrap w:val="0"/>
            <w:vAlign w:val="center"/>
          </w:tcPr>
          <w:p w14:paraId="0E912EA7">
            <w:pPr>
              <w:spacing w:line="360" w:lineRule="auto"/>
              <w:jc w:val="center"/>
              <w:rPr>
                <w:rFonts w:hint="eastAsia" w:ascii="宋体" w:hAnsi="宋体" w:eastAsia="宋体" w:cs="宋体"/>
                <w:color w:val="auto"/>
                <w:sz w:val="24"/>
                <w:highlight w:val="none"/>
                <w:lang w:val="en-GB" w:eastAsia="zh-CN"/>
              </w:rPr>
            </w:pPr>
          </w:p>
        </w:tc>
      </w:tr>
    </w:tbl>
    <w:p w14:paraId="4AD499E6">
      <w:pPr>
        <w:snapToGrid/>
        <w:spacing w:line="360" w:lineRule="auto"/>
        <w:ind w:firstLine="480" w:firstLineChars="200"/>
        <w:jc w:val="right"/>
        <w:rPr>
          <w:rFonts w:hint="eastAsia" w:ascii="宋体" w:hAnsi="宋体" w:eastAsia="宋体" w:cs="宋体"/>
          <w:color w:val="auto"/>
          <w:kern w:val="0"/>
          <w:sz w:val="24"/>
          <w:szCs w:val="24"/>
          <w:highlight w:val="none"/>
          <w:lang w:val="zh-CN"/>
        </w:rPr>
      </w:pPr>
    </w:p>
    <w:p w14:paraId="6F2BDDAC">
      <w:pPr>
        <w:snapToGrid/>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投标人名称（电子签名）：</w:t>
      </w:r>
    </w:p>
    <w:p w14:paraId="7314B55B">
      <w:pPr>
        <w:pStyle w:val="2"/>
        <w:rPr>
          <w:rFonts w:hint="eastAsia"/>
          <w:lang w:val="zh-CN"/>
        </w:rPr>
      </w:pPr>
    </w:p>
    <w:p w14:paraId="71872C3B">
      <w:pPr>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0A0F748C">
      <w:pPr>
        <w:adjustRightInd w:val="0"/>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2B7E46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27CEB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6E7A22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4C15312">
      <w:pPr>
        <w:snapToGrid w:val="0"/>
        <w:spacing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br w:type="page"/>
      </w:r>
    </w:p>
    <w:p w14:paraId="6798935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8"/>
          <w:szCs w:val="28"/>
          <w:highlight w:val="none"/>
          <w:lang w:val="en-US" w:eastAsia="zh-CN"/>
        </w:rPr>
        <w:t>报价明细表</w:t>
      </w:r>
    </w:p>
    <w:tbl>
      <w:tblPr>
        <w:tblStyle w:val="1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7"/>
        <w:gridCol w:w="1349"/>
        <w:gridCol w:w="1679"/>
        <w:gridCol w:w="2061"/>
        <w:gridCol w:w="1032"/>
        <w:gridCol w:w="1030"/>
        <w:gridCol w:w="947"/>
        <w:gridCol w:w="477"/>
      </w:tblGrid>
      <w:tr w14:paraId="30A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07" w:type="dxa"/>
            <w:shd w:val="clear" w:color="auto" w:fill="auto"/>
            <w:vAlign w:val="center"/>
          </w:tcPr>
          <w:p w14:paraId="6F3C3A33">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服务类目</w:t>
            </w:r>
          </w:p>
        </w:tc>
        <w:tc>
          <w:tcPr>
            <w:tcW w:w="1349" w:type="dxa"/>
            <w:shd w:val="clear" w:color="auto" w:fill="auto"/>
            <w:vAlign w:val="center"/>
          </w:tcPr>
          <w:p w14:paraId="4DFCF157">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服务名称</w:t>
            </w:r>
          </w:p>
        </w:tc>
        <w:tc>
          <w:tcPr>
            <w:tcW w:w="1679" w:type="dxa"/>
            <w:shd w:val="clear" w:color="auto" w:fill="auto"/>
            <w:vAlign w:val="center"/>
          </w:tcPr>
          <w:p w14:paraId="4E6BEF8F">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服务模块</w:t>
            </w:r>
          </w:p>
        </w:tc>
        <w:tc>
          <w:tcPr>
            <w:tcW w:w="2061" w:type="dxa"/>
            <w:shd w:val="clear" w:color="auto" w:fill="auto"/>
            <w:vAlign w:val="center"/>
          </w:tcPr>
          <w:p w14:paraId="75A9B607">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服务要求</w:t>
            </w:r>
          </w:p>
        </w:tc>
        <w:tc>
          <w:tcPr>
            <w:tcW w:w="1032" w:type="dxa"/>
            <w:shd w:val="clear" w:color="auto" w:fill="auto"/>
            <w:vAlign w:val="center"/>
          </w:tcPr>
          <w:p w14:paraId="496D39E4">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服务期</w:t>
            </w:r>
          </w:p>
        </w:tc>
        <w:tc>
          <w:tcPr>
            <w:tcW w:w="1030" w:type="dxa"/>
            <w:shd w:val="clear" w:color="auto" w:fill="auto"/>
            <w:vAlign w:val="center"/>
          </w:tcPr>
          <w:p w14:paraId="529991D7">
            <w:pPr>
              <w:widowControl/>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p w14:paraId="78A35C3C">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（万元/年/个）</w:t>
            </w:r>
          </w:p>
        </w:tc>
        <w:tc>
          <w:tcPr>
            <w:tcW w:w="947" w:type="dxa"/>
            <w:shd w:val="clear" w:color="auto" w:fill="auto"/>
            <w:vAlign w:val="center"/>
          </w:tcPr>
          <w:p w14:paraId="60489786">
            <w:pPr>
              <w:widowControl/>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预算</w:t>
            </w:r>
          </w:p>
          <w:p w14:paraId="4DF9786F">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（万元）</w:t>
            </w:r>
          </w:p>
        </w:tc>
        <w:tc>
          <w:tcPr>
            <w:tcW w:w="477" w:type="dxa"/>
            <w:shd w:val="clear" w:color="auto" w:fill="auto"/>
            <w:vAlign w:val="center"/>
          </w:tcPr>
          <w:p w14:paraId="282AB193">
            <w:pPr>
              <w:widowControl/>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4FE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7" w:type="dxa"/>
            <w:vMerge w:val="restart"/>
            <w:shd w:val="clear" w:color="auto" w:fill="auto"/>
            <w:vAlign w:val="center"/>
          </w:tcPr>
          <w:p w14:paraId="3A17DAF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一、交通管理数据全生命周期</w:t>
            </w:r>
          </w:p>
        </w:tc>
        <w:tc>
          <w:tcPr>
            <w:tcW w:w="1349" w:type="dxa"/>
            <w:vMerge w:val="restart"/>
            <w:tcBorders>
              <w:left w:val="single" w:color="auto" w:sz="4" w:space="0"/>
            </w:tcBorders>
            <w:shd w:val="clear" w:color="auto" w:fill="auto"/>
            <w:vAlign w:val="center"/>
          </w:tcPr>
          <w:p w14:paraId="005A9A63">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专网云平台系统运行及数据治理</w:t>
            </w:r>
          </w:p>
        </w:tc>
        <w:tc>
          <w:tcPr>
            <w:tcW w:w="1679" w:type="dxa"/>
            <w:tcBorders>
              <w:left w:val="single" w:color="auto" w:sz="4" w:space="0"/>
            </w:tcBorders>
            <w:shd w:val="clear" w:color="auto" w:fill="auto"/>
            <w:vAlign w:val="center"/>
          </w:tcPr>
          <w:p w14:paraId="38FF4CC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auto"/>
            <w:vAlign w:val="center"/>
          </w:tcPr>
          <w:p w14:paraId="1E903A98">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shd w:val="clear" w:color="auto" w:fill="auto"/>
            <w:noWrap/>
            <w:vAlign w:val="center"/>
          </w:tcPr>
          <w:p w14:paraId="02C18C6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noWrap/>
            <w:vAlign w:val="center"/>
          </w:tcPr>
          <w:p w14:paraId="0E17EAE1">
            <w:pPr>
              <w:widowControl/>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3C54FAAD">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38116AC7">
            <w:pPr>
              <w:widowControl/>
              <w:jc w:val="center"/>
              <w:textAlignment w:val="center"/>
              <w:rPr>
                <w:rFonts w:hint="eastAsia" w:ascii="宋体" w:hAnsi="宋体" w:eastAsia="宋体" w:cs="宋体"/>
                <w:color w:val="auto"/>
                <w:kern w:val="0"/>
                <w:sz w:val="24"/>
                <w:highlight w:val="none"/>
              </w:rPr>
            </w:pPr>
          </w:p>
        </w:tc>
      </w:tr>
      <w:tr w14:paraId="5ED4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7" w:type="dxa"/>
            <w:vMerge w:val="continue"/>
            <w:shd w:val="clear" w:color="auto" w:fill="auto"/>
            <w:vAlign w:val="center"/>
          </w:tcPr>
          <w:p w14:paraId="0338CD3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8DE869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5C8781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w:t>
            </w:r>
            <w:r>
              <w:rPr>
                <w:rFonts w:hint="eastAsia" w:ascii="宋体" w:hAnsi="宋体" w:eastAsia="宋体" w:cs="宋体"/>
                <w:color w:val="auto"/>
                <w:kern w:val="0"/>
                <w:sz w:val="24"/>
                <w:highlight w:val="none"/>
                <w:lang w:val="en-US" w:eastAsia="zh-CN"/>
              </w:rPr>
              <w:t>加工</w:t>
            </w:r>
            <w:r>
              <w:rPr>
                <w:rFonts w:hint="eastAsia" w:ascii="宋体" w:hAnsi="宋体" w:eastAsia="宋体" w:cs="宋体"/>
                <w:color w:val="auto"/>
                <w:kern w:val="0"/>
                <w:sz w:val="24"/>
                <w:highlight w:val="none"/>
              </w:rPr>
              <w:t>治理</w:t>
            </w:r>
          </w:p>
        </w:tc>
        <w:tc>
          <w:tcPr>
            <w:tcW w:w="2061" w:type="dxa"/>
            <w:vMerge w:val="continue"/>
            <w:tcBorders>
              <w:left w:val="single" w:color="auto" w:sz="4" w:space="0"/>
            </w:tcBorders>
            <w:shd w:val="clear" w:color="auto" w:fill="auto"/>
            <w:vAlign w:val="center"/>
          </w:tcPr>
          <w:p w14:paraId="5121B353">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0FD50A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5606A20">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BB9D88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69DFE904">
            <w:pPr>
              <w:widowControl/>
              <w:jc w:val="center"/>
              <w:textAlignment w:val="center"/>
              <w:rPr>
                <w:rFonts w:hint="eastAsia" w:ascii="宋体" w:hAnsi="宋体" w:eastAsia="宋体" w:cs="宋体"/>
                <w:color w:val="auto"/>
                <w:kern w:val="0"/>
                <w:sz w:val="24"/>
                <w:highlight w:val="none"/>
              </w:rPr>
            </w:pPr>
          </w:p>
        </w:tc>
      </w:tr>
      <w:tr w14:paraId="6D5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7" w:type="dxa"/>
            <w:vMerge w:val="continue"/>
            <w:shd w:val="clear" w:color="auto" w:fill="auto"/>
            <w:vAlign w:val="center"/>
          </w:tcPr>
          <w:p w14:paraId="0E21842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826032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4E12C0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数据透出</w:t>
            </w:r>
          </w:p>
        </w:tc>
        <w:tc>
          <w:tcPr>
            <w:tcW w:w="2061" w:type="dxa"/>
            <w:vMerge w:val="continue"/>
            <w:tcBorders>
              <w:left w:val="single" w:color="auto" w:sz="4" w:space="0"/>
            </w:tcBorders>
            <w:shd w:val="clear" w:color="auto" w:fill="auto"/>
            <w:vAlign w:val="center"/>
          </w:tcPr>
          <w:p w14:paraId="5CB9B674">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300FD10">
            <w:pPr>
              <w:rPr>
                <w:rFonts w:hint="eastAsia" w:ascii="宋体" w:hAnsi="宋体" w:eastAsia="宋体" w:cs="宋体"/>
                <w:color w:val="auto"/>
                <w:highlight w:val="none"/>
              </w:rPr>
            </w:pPr>
          </w:p>
        </w:tc>
        <w:tc>
          <w:tcPr>
            <w:tcW w:w="1030" w:type="dxa"/>
            <w:tcBorders>
              <w:left w:val="single" w:color="auto" w:sz="4" w:space="0"/>
            </w:tcBorders>
            <w:shd w:val="clear" w:color="auto" w:fill="auto"/>
            <w:noWrap/>
            <w:vAlign w:val="center"/>
          </w:tcPr>
          <w:p w14:paraId="4C3B445C">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AE545A9">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280DEC1">
            <w:pPr>
              <w:widowControl/>
              <w:jc w:val="center"/>
              <w:textAlignment w:val="center"/>
              <w:rPr>
                <w:rFonts w:hint="eastAsia" w:ascii="宋体" w:hAnsi="宋体" w:eastAsia="宋体" w:cs="宋体"/>
                <w:color w:val="auto"/>
                <w:kern w:val="0"/>
                <w:sz w:val="24"/>
                <w:highlight w:val="none"/>
              </w:rPr>
            </w:pPr>
          </w:p>
        </w:tc>
      </w:tr>
      <w:tr w14:paraId="17E8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E115A9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4C1E43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917755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数据统计</w:t>
            </w:r>
          </w:p>
        </w:tc>
        <w:tc>
          <w:tcPr>
            <w:tcW w:w="2061" w:type="dxa"/>
            <w:vMerge w:val="continue"/>
            <w:tcBorders>
              <w:left w:val="single" w:color="auto" w:sz="4" w:space="0"/>
            </w:tcBorders>
            <w:shd w:val="clear" w:color="auto" w:fill="auto"/>
            <w:vAlign w:val="center"/>
          </w:tcPr>
          <w:p w14:paraId="0CC8512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0DD672A">
            <w:pPr>
              <w:rPr>
                <w:rFonts w:hint="eastAsia" w:ascii="宋体" w:hAnsi="宋体" w:eastAsia="宋体" w:cs="宋体"/>
                <w:color w:val="auto"/>
                <w:highlight w:val="none"/>
              </w:rPr>
            </w:pPr>
          </w:p>
        </w:tc>
        <w:tc>
          <w:tcPr>
            <w:tcW w:w="1030" w:type="dxa"/>
            <w:tcBorders>
              <w:left w:val="single" w:color="auto" w:sz="4" w:space="0"/>
            </w:tcBorders>
            <w:shd w:val="clear" w:color="auto" w:fill="auto"/>
            <w:noWrap/>
            <w:vAlign w:val="center"/>
          </w:tcPr>
          <w:p w14:paraId="5944DB60">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23D5AD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A387195">
            <w:pPr>
              <w:widowControl/>
              <w:jc w:val="center"/>
              <w:textAlignment w:val="center"/>
              <w:rPr>
                <w:rFonts w:hint="eastAsia" w:ascii="宋体" w:hAnsi="宋体" w:eastAsia="宋体" w:cs="宋体"/>
                <w:color w:val="auto"/>
                <w:kern w:val="0"/>
                <w:sz w:val="24"/>
                <w:highlight w:val="none"/>
              </w:rPr>
            </w:pPr>
          </w:p>
        </w:tc>
      </w:tr>
      <w:tr w14:paraId="6183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6B4FB41D">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3620F3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2E4F56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数据迁移</w:t>
            </w:r>
          </w:p>
        </w:tc>
        <w:tc>
          <w:tcPr>
            <w:tcW w:w="2061" w:type="dxa"/>
            <w:vMerge w:val="continue"/>
            <w:tcBorders>
              <w:left w:val="single" w:color="auto" w:sz="4" w:space="0"/>
            </w:tcBorders>
            <w:shd w:val="clear" w:color="auto" w:fill="auto"/>
            <w:vAlign w:val="center"/>
          </w:tcPr>
          <w:p w14:paraId="213134E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0AB1667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FC35781">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9EB4CD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55B61AF">
            <w:pPr>
              <w:widowControl/>
              <w:jc w:val="center"/>
              <w:textAlignment w:val="center"/>
              <w:rPr>
                <w:rFonts w:hint="eastAsia" w:ascii="宋体" w:hAnsi="宋体" w:eastAsia="宋体" w:cs="宋体"/>
                <w:color w:val="auto"/>
                <w:kern w:val="0"/>
                <w:sz w:val="24"/>
                <w:highlight w:val="none"/>
              </w:rPr>
            </w:pPr>
          </w:p>
        </w:tc>
      </w:tr>
      <w:tr w14:paraId="3EFA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7" w:type="dxa"/>
            <w:vMerge w:val="continue"/>
            <w:shd w:val="clear" w:color="auto" w:fill="auto"/>
            <w:vAlign w:val="center"/>
          </w:tcPr>
          <w:p w14:paraId="6781C8E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0887A5A">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831F52E">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专网云平台运行保障</w:t>
            </w:r>
          </w:p>
        </w:tc>
        <w:tc>
          <w:tcPr>
            <w:tcW w:w="2061" w:type="dxa"/>
            <w:vMerge w:val="continue"/>
            <w:tcBorders>
              <w:left w:val="single" w:color="auto" w:sz="4" w:space="0"/>
            </w:tcBorders>
            <w:shd w:val="clear" w:color="auto" w:fill="auto"/>
            <w:vAlign w:val="center"/>
          </w:tcPr>
          <w:p w14:paraId="2D91B7A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6FDD45F">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4200B3A3">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888514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6E66F43">
            <w:pPr>
              <w:widowControl/>
              <w:jc w:val="center"/>
              <w:textAlignment w:val="center"/>
              <w:rPr>
                <w:rFonts w:hint="eastAsia" w:ascii="宋体" w:hAnsi="宋体" w:eastAsia="宋体" w:cs="宋体"/>
                <w:color w:val="auto"/>
                <w:kern w:val="0"/>
                <w:sz w:val="24"/>
                <w:highlight w:val="none"/>
              </w:rPr>
            </w:pPr>
          </w:p>
        </w:tc>
      </w:tr>
      <w:tr w14:paraId="1E95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807" w:type="dxa"/>
            <w:vMerge w:val="continue"/>
            <w:shd w:val="clear" w:color="auto" w:fill="auto"/>
            <w:vAlign w:val="center"/>
          </w:tcPr>
          <w:p w14:paraId="0EA47373">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55A2833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公安网数据治理</w:t>
            </w:r>
          </w:p>
        </w:tc>
        <w:tc>
          <w:tcPr>
            <w:tcW w:w="1679" w:type="dxa"/>
            <w:tcBorders>
              <w:left w:val="single" w:color="auto" w:sz="4" w:space="0"/>
            </w:tcBorders>
            <w:shd w:val="clear" w:color="auto" w:fill="auto"/>
            <w:vAlign w:val="center"/>
          </w:tcPr>
          <w:p w14:paraId="72E9C58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auto"/>
            <w:vAlign w:val="center"/>
          </w:tcPr>
          <w:p w14:paraId="3B8CECDA">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【服务方式】驻场服务5人5*8小时保障</w:t>
            </w:r>
          </w:p>
        </w:tc>
        <w:tc>
          <w:tcPr>
            <w:tcW w:w="1032" w:type="dxa"/>
            <w:vMerge w:val="restart"/>
            <w:tcBorders>
              <w:left w:val="single" w:color="auto" w:sz="4" w:space="0"/>
            </w:tcBorders>
            <w:shd w:val="clear" w:color="auto" w:fill="auto"/>
            <w:vAlign w:val="center"/>
          </w:tcPr>
          <w:p w14:paraId="5510BCE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0E968A3D">
            <w:pPr>
              <w:widowControl/>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7FE08ED4">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4E7C4AC6">
            <w:pPr>
              <w:widowControl/>
              <w:jc w:val="center"/>
              <w:textAlignment w:val="center"/>
              <w:rPr>
                <w:rFonts w:hint="eastAsia" w:ascii="宋体" w:hAnsi="宋体" w:eastAsia="宋体" w:cs="宋体"/>
                <w:color w:val="auto"/>
                <w:kern w:val="0"/>
                <w:sz w:val="24"/>
                <w:highlight w:val="none"/>
              </w:rPr>
            </w:pPr>
          </w:p>
        </w:tc>
      </w:tr>
      <w:tr w14:paraId="555A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25798D4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AA63D87">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FCE9F9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数据上云</w:t>
            </w:r>
          </w:p>
        </w:tc>
        <w:tc>
          <w:tcPr>
            <w:tcW w:w="2061" w:type="dxa"/>
            <w:vMerge w:val="continue"/>
            <w:tcBorders>
              <w:left w:val="single" w:color="auto" w:sz="4" w:space="0"/>
            </w:tcBorders>
            <w:shd w:val="clear" w:color="auto" w:fill="auto"/>
            <w:vAlign w:val="center"/>
          </w:tcPr>
          <w:p w14:paraId="1EE8BF19">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83AB24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89E55BD">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3F6463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3269C9A">
            <w:pPr>
              <w:widowControl/>
              <w:jc w:val="center"/>
              <w:textAlignment w:val="center"/>
              <w:rPr>
                <w:rFonts w:hint="eastAsia" w:ascii="宋体" w:hAnsi="宋体" w:eastAsia="宋体" w:cs="宋体"/>
                <w:color w:val="auto"/>
                <w:kern w:val="0"/>
                <w:sz w:val="24"/>
                <w:highlight w:val="none"/>
              </w:rPr>
            </w:pPr>
          </w:p>
        </w:tc>
      </w:tr>
      <w:tr w14:paraId="4B3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0A14BFA7">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E45E45A">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9C6EA1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数据治理</w:t>
            </w:r>
          </w:p>
        </w:tc>
        <w:tc>
          <w:tcPr>
            <w:tcW w:w="2061" w:type="dxa"/>
            <w:vMerge w:val="continue"/>
            <w:tcBorders>
              <w:left w:val="single" w:color="auto" w:sz="4" w:space="0"/>
            </w:tcBorders>
            <w:shd w:val="clear" w:color="auto" w:fill="auto"/>
            <w:vAlign w:val="center"/>
          </w:tcPr>
          <w:p w14:paraId="5EF1D4AA">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535D29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34DC038">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CDE60C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5C06221">
            <w:pPr>
              <w:widowControl/>
              <w:jc w:val="center"/>
              <w:textAlignment w:val="center"/>
              <w:rPr>
                <w:rFonts w:hint="eastAsia" w:ascii="宋体" w:hAnsi="宋体" w:eastAsia="宋体" w:cs="宋体"/>
                <w:color w:val="auto"/>
                <w:kern w:val="0"/>
                <w:sz w:val="24"/>
                <w:highlight w:val="none"/>
              </w:rPr>
            </w:pPr>
          </w:p>
        </w:tc>
      </w:tr>
      <w:tr w14:paraId="0A62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27A3A1AF">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29632F5">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B9F175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数据开发</w:t>
            </w:r>
          </w:p>
        </w:tc>
        <w:tc>
          <w:tcPr>
            <w:tcW w:w="2061" w:type="dxa"/>
            <w:vMerge w:val="continue"/>
            <w:tcBorders>
              <w:left w:val="single" w:color="auto" w:sz="4" w:space="0"/>
            </w:tcBorders>
            <w:shd w:val="clear" w:color="auto" w:fill="auto"/>
            <w:vAlign w:val="center"/>
          </w:tcPr>
          <w:p w14:paraId="61FD8FC5">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9D2C084">
            <w:pPr>
              <w:rPr>
                <w:rFonts w:hint="eastAsia" w:ascii="宋体" w:hAnsi="宋体" w:eastAsia="宋体" w:cs="宋体"/>
                <w:color w:val="auto"/>
                <w:highlight w:val="none"/>
              </w:rPr>
            </w:pPr>
          </w:p>
        </w:tc>
        <w:tc>
          <w:tcPr>
            <w:tcW w:w="1030" w:type="dxa"/>
            <w:tcBorders>
              <w:left w:val="single" w:color="auto" w:sz="4" w:space="0"/>
            </w:tcBorders>
            <w:shd w:val="clear" w:color="auto" w:fill="auto"/>
            <w:noWrap/>
            <w:vAlign w:val="center"/>
          </w:tcPr>
          <w:p w14:paraId="4A34F169">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A57FD0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475D403">
            <w:pPr>
              <w:widowControl/>
              <w:jc w:val="center"/>
              <w:textAlignment w:val="center"/>
              <w:rPr>
                <w:rFonts w:hint="eastAsia" w:ascii="宋体" w:hAnsi="宋体" w:eastAsia="宋体" w:cs="宋体"/>
                <w:color w:val="auto"/>
                <w:kern w:val="0"/>
                <w:sz w:val="24"/>
                <w:highlight w:val="none"/>
              </w:rPr>
            </w:pPr>
          </w:p>
        </w:tc>
      </w:tr>
      <w:tr w14:paraId="3DAC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5C29920F">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04CDBF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1DA7553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数据能力支撑</w:t>
            </w:r>
          </w:p>
        </w:tc>
        <w:tc>
          <w:tcPr>
            <w:tcW w:w="2061" w:type="dxa"/>
            <w:vMerge w:val="continue"/>
            <w:tcBorders>
              <w:left w:val="single" w:color="auto" w:sz="4" w:space="0"/>
            </w:tcBorders>
            <w:shd w:val="clear" w:color="auto" w:fill="auto"/>
            <w:vAlign w:val="center"/>
          </w:tcPr>
          <w:p w14:paraId="503E776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9EE49D6">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7A7537D7">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83BE44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F5A8478">
            <w:pPr>
              <w:widowControl/>
              <w:jc w:val="center"/>
              <w:textAlignment w:val="center"/>
              <w:rPr>
                <w:rFonts w:hint="eastAsia" w:ascii="宋体" w:hAnsi="宋体" w:eastAsia="宋体" w:cs="宋体"/>
                <w:color w:val="auto"/>
                <w:kern w:val="0"/>
                <w:sz w:val="24"/>
                <w:highlight w:val="none"/>
              </w:rPr>
            </w:pPr>
          </w:p>
        </w:tc>
      </w:tr>
      <w:tr w14:paraId="55DE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ACAFE60">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071DF5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145CDBE">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数据预警运营</w:t>
            </w:r>
          </w:p>
        </w:tc>
        <w:tc>
          <w:tcPr>
            <w:tcW w:w="2061" w:type="dxa"/>
            <w:vMerge w:val="continue"/>
            <w:tcBorders>
              <w:left w:val="single" w:color="auto" w:sz="4" w:space="0"/>
            </w:tcBorders>
            <w:shd w:val="clear" w:color="auto" w:fill="auto"/>
            <w:vAlign w:val="center"/>
          </w:tcPr>
          <w:p w14:paraId="66D07808">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D609BA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278D517">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1C49AF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BEC65C0">
            <w:pPr>
              <w:widowControl/>
              <w:jc w:val="center"/>
              <w:textAlignment w:val="center"/>
              <w:rPr>
                <w:rFonts w:hint="eastAsia" w:ascii="宋体" w:hAnsi="宋体" w:eastAsia="宋体" w:cs="宋体"/>
                <w:color w:val="auto"/>
                <w:kern w:val="0"/>
                <w:sz w:val="24"/>
                <w:highlight w:val="none"/>
              </w:rPr>
            </w:pPr>
          </w:p>
        </w:tc>
      </w:tr>
      <w:tr w14:paraId="28FE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shd w:val="clear" w:color="auto" w:fill="auto"/>
            <w:vAlign w:val="center"/>
          </w:tcPr>
          <w:p w14:paraId="6DA593E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二、安全加固及应用迁移改造服务</w:t>
            </w:r>
          </w:p>
        </w:tc>
        <w:tc>
          <w:tcPr>
            <w:tcW w:w="1349" w:type="dxa"/>
            <w:vMerge w:val="restart"/>
            <w:tcBorders>
              <w:left w:val="single" w:color="auto" w:sz="4" w:space="0"/>
            </w:tcBorders>
            <w:shd w:val="clear" w:color="auto" w:fill="auto"/>
            <w:vAlign w:val="center"/>
          </w:tcPr>
          <w:p w14:paraId="2B88970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网络安全服务</w:t>
            </w:r>
          </w:p>
        </w:tc>
        <w:tc>
          <w:tcPr>
            <w:tcW w:w="1679" w:type="dxa"/>
            <w:tcBorders>
              <w:left w:val="single" w:color="auto" w:sz="4" w:space="0"/>
            </w:tcBorders>
            <w:shd w:val="clear" w:color="auto" w:fill="auto"/>
            <w:vAlign w:val="center"/>
          </w:tcPr>
          <w:p w14:paraId="459FF8EF">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漏洞扫描服务</w:t>
            </w:r>
          </w:p>
        </w:tc>
        <w:tc>
          <w:tcPr>
            <w:tcW w:w="2061" w:type="dxa"/>
            <w:tcBorders>
              <w:left w:val="single" w:color="auto" w:sz="4" w:space="0"/>
            </w:tcBorders>
            <w:shd w:val="clear" w:color="auto" w:fill="auto"/>
            <w:vAlign w:val="center"/>
          </w:tcPr>
          <w:p w14:paraId="40BBF0B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【服务方式】一年提供4次漏洞扫描服务；</w:t>
            </w:r>
          </w:p>
        </w:tc>
        <w:tc>
          <w:tcPr>
            <w:tcW w:w="1032" w:type="dxa"/>
            <w:vMerge w:val="restart"/>
            <w:tcBorders>
              <w:left w:val="single" w:color="auto" w:sz="4" w:space="0"/>
            </w:tcBorders>
            <w:shd w:val="clear" w:color="auto" w:fill="auto"/>
            <w:vAlign w:val="center"/>
          </w:tcPr>
          <w:p w14:paraId="0CC317B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14E6AFD2">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3BB038E6">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0988F48F">
            <w:pPr>
              <w:widowControl/>
              <w:jc w:val="center"/>
              <w:textAlignment w:val="center"/>
              <w:rPr>
                <w:rFonts w:hint="eastAsia" w:ascii="宋体" w:hAnsi="宋体" w:eastAsia="宋体" w:cs="宋体"/>
                <w:color w:val="auto"/>
                <w:sz w:val="24"/>
                <w:highlight w:val="none"/>
              </w:rPr>
            </w:pPr>
          </w:p>
        </w:tc>
      </w:tr>
      <w:tr w14:paraId="0F0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69D64205">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2AC5BB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A679DC5">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数据库审计服务</w:t>
            </w:r>
          </w:p>
        </w:tc>
        <w:tc>
          <w:tcPr>
            <w:tcW w:w="2061" w:type="dxa"/>
            <w:tcBorders>
              <w:left w:val="single" w:color="auto" w:sz="4" w:space="0"/>
            </w:tcBorders>
            <w:shd w:val="clear" w:color="auto" w:fill="auto"/>
            <w:vAlign w:val="center"/>
          </w:tcPr>
          <w:p w14:paraId="23D20A1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shd w:val="clear" w:color="auto" w:fill="auto"/>
            <w:vAlign w:val="center"/>
          </w:tcPr>
          <w:p w14:paraId="5EC29E6E">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EDDFDCE">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F3CA6F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313A71E">
            <w:pPr>
              <w:widowControl/>
              <w:jc w:val="center"/>
              <w:rPr>
                <w:rFonts w:hint="eastAsia" w:ascii="宋体" w:hAnsi="宋体" w:eastAsia="宋体" w:cs="宋体"/>
                <w:color w:val="auto"/>
                <w:sz w:val="24"/>
                <w:highlight w:val="none"/>
              </w:rPr>
            </w:pPr>
          </w:p>
        </w:tc>
      </w:tr>
      <w:tr w14:paraId="752A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11A8A9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D46A91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B4A6906">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日志审计服务</w:t>
            </w:r>
          </w:p>
        </w:tc>
        <w:tc>
          <w:tcPr>
            <w:tcW w:w="2061" w:type="dxa"/>
            <w:tcBorders>
              <w:left w:val="single" w:color="auto" w:sz="4" w:space="0"/>
            </w:tcBorders>
            <w:shd w:val="clear" w:color="auto" w:fill="auto"/>
            <w:vAlign w:val="center"/>
          </w:tcPr>
          <w:p w14:paraId="3D3A1A1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shd w:val="clear" w:color="auto" w:fill="auto"/>
            <w:vAlign w:val="center"/>
          </w:tcPr>
          <w:p w14:paraId="43B1053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EA4DD8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DA42F51">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CCEE794">
            <w:pPr>
              <w:widowControl/>
              <w:jc w:val="center"/>
              <w:rPr>
                <w:rFonts w:hint="eastAsia" w:ascii="宋体" w:hAnsi="宋体" w:eastAsia="宋体" w:cs="宋体"/>
                <w:color w:val="auto"/>
                <w:sz w:val="24"/>
                <w:highlight w:val="none"/>
              </w:rPr>
            </w:pPr>
          </w:p>
        </w:tc>
      </w:tr>
      <w:tr w14:paraId="08B6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066A7DF">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5B2B318">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CB5CE7B">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安全运营服务</w:t>
            </w:r>
          </w:p>
        </w:tc>
        <w:tc>
          <w:tcPr>
            <w:tcW w:w="2061" w:type="dxa"/>
            <w:tcBorders>
              <w:left w:val="single" w:color="auto" w:sz="4" w:space="0"/>
            </w:tcBorders>
            <w:shd w:val="clear" w:color="auto" w:fill="auto"/>
            <w:vAlign w:val="center"/>
          </w:tcPr>
          <w:p w14:paraId="1CDF53D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【服务方式】驻场服务1人</w:t>
            </w:r>
          </w:p>
        </w:tc>
        <w:tc>
          <w:tcPr>
            <w:tcW w:w="1032" w:type="dxa"/>
            <w:vMerge w:val="continue"/>
            <w:tcBorders>
              <w:left w:val="single" w:color="auto" w:sz="4" w:space="0"/>
            </w:tcBorders>
            <w:shd w:val="clear" w:color="auto" w:fill="auto"/>
            <w:vAlign w:val="center"/>
          </w:tcPr>
          <w:p w14:paraId="6EACE058">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214758C">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1E41936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A64D5AD">
            <w:pPr>
              <w:widowControl/>
              <w:jc w:val="center"/>
              <w:rPr>
                <w:rFonts w:hint="eastAsia" w:ascii="宋体" w:hAnsi="宋体" w:eastAsia="宋体" w:cs="宋体"/>
                <w:color w:val="auto"/>
                <w:sz w:val="24"/>
                <w:highlight w:val="none"/>
              </w:rPr>
            </w:pPr>
          </w:p>
        </w:tc>
      </w:tr>
      <w:tr w14:paraId="2E9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244381A">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25E903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B192622">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应急响应服务</w:t>
            </w:r>
          </w:p>
        </w:tc>
        <w:tc>
          <w:tcPr>
            <w:tcW w:w="2061" w:type="dxa"/>
            <w:tcBorders>
              <w:left w:val="single" w:color="auto" w:sz="4" w:space="0"/>
            </w:tcBorders>
            <w:shd w:val="clear" w:color="auto" w:fill="auto"/>
            <w:vAlign w:val="center"/>
          </w:tcPr>
          <w:p w14:paraId="19D764F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【服务方式】一年提供4次应急响应服务</w:t>
            </w:r>
          </w:p>
        </w:tc>
        <w:tc>
          <w:tcPr>
            <w:tcW w:w="1032" w:type="dxa"/>
            <w:vMerge w:val="continue"/>
            <w:tcBorders>
              <w:left w:val="single" w:color="auto" w:sz="4" w:space="0"/>
            </w:tcBorders>
            <w:shd w:val="clear" w:color="auto" w:fill="auto"/>
            <w:vAlign w:val="center"/>
          </w:tcPr>
          <w:p w14:paraId="4F05A84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5CAB8C8">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42706F15">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1166C04">
            <w:pPr>
              <w:widowControl/>
              <w:jc w:val="center"/>
              <w:rPr>
                <w:rFonts w:hint="eastAsia" w:ascii="宋体" w:hAnsi="宋体" w:eastAsia="宋体" w:cs="宋体"/>
                <w:color w:val="auto"/>
                <w:sz w:val="24"/>
                <w:highlight w:val="none"/>
              </w:rPr>
            </w:pPr>
          </w:p>
        </w:tc>
      </w:tr>
      <w:tr w14:paraId="0A00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110E4367">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1180911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85E956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高级渗透测试服务</w:t>
            </w:r>
          </w:p>
        </w:tc>
        <w:tc>
          <w:tcPr>
            <w:tcW w:w="2061" w:type="dxa"/>
            <w:tcBorders>
              <w:left w:val="single" w:color="auto" w:sz="4" w:space="0"/>
            </w:tcBorders>
            <w:shd w:val="clear" w:color="auto" w:fill="auto"/>
            <w:vAlign w:val="center"/>
          </w:tcPr>
          <w:p w14:paraId="5F3A2F4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【服务方式】一年提供20个系统的渗透测试服务</w:t>
            </w:r>
          </w:p>
        </w:tc>
        <w:tc>
          <w:tcPr>
            <w:tcW w:w="1032" w:type="dxa"/>
            <w:vMerge w:val="continue"/>
            <w:tcBorders>
              <w:left w:val="single" w:color="auto" w:sz="4" w:space="0"/>
            </w:tcBorders>
            <w:shd w:val="clear" w:color="auto" w:fill="auto"/>
            <w:vAlign w:val="center"/>
          </w:tcPr>
          <w:p w14:paraId="1E12B0D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0B423C5">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57D626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19A1FD6">
            <w:pPr>
              <w:widowControl/>
              <w:jc w:val="center"/>
              <w:rPr>
                <w:rFonts w:hint="eastAsia" w:ascii="宋体" w:hAnsi="宋体" w:eastAsia="宋体" w:cs="宋体"/>
                <w:color w:val="auto"/>
                <w:sz w:val="24"/>
                <w:highlight w:val="none"/>
              </w:rPr>
            </w:pPr>
          </w:p>
        </w:tc>
      </w:tr>
      <w:tr w14:paraId="5502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1B67B188">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A3CFCE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643F2A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应急预案服务</w:t>
            </w:r>
          </w:p>
        </w:tc>
        <w:tc>
          <w:tcPr>
            <w:tcW w:w="2061" w:type="dxa"/>
            <w:tcBorders>
              <w:left w:val="single" w:color="auto" w:sz="4" w:space="0"/>
            </w:tcBorders>
            <w:shd w:val="clear" w:color="auto" w:fill="auto"/>
            <w:vAlign w:val="center"/>
          </w:tcPr>
          <w:p w14:paraId="1C69DB4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【服务方式】一年提供一次应急预案服务；</w:t>
            </w:r>
          </w:p>
        </w:tc>
        <w:tc>
          <w:tcPr>
            <w:tcW w:w="1032" w:type="dxa"/>
            <w:vMerge w:val="continue"/>
            <w:tcBorders>
              <w:left w:val="single" w:color="auto" w:sz="4" w:space="0"/>
            </w:tcBorders>
            <w:shd w:val="clear" w:color="auto" w:fill="auto"/>
            <w:vAlign w:val="center"/>
          </w:tcPr>
          <w:p w14:paraId="227CF0A4">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8E893FA">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8450E1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A1F4261">
            <w:pPr>
              <w:widowControl/>
              <w:jc w:val="center"/>
              <w:rPr>
                <w:rFonts w:hint="eastAsia" w:ascii="宋体" w:hAnsi="宋体" w:eastAsia="宋体" w:cs="宋体"/>
                <w:color w:val="auto"/>
                <w:sz w:val="24"/>
                <w:highlight w:val="none"/>
              </w:rPr>
            </w:pPr>
          </w:p>
        </w:tc>
      </w:tr>
      <w:tr w14:paraId="6CB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92CB57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F4A1487">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4B5552EC">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应急演练服务</w:t>
            </w:r>
          </w:p>
        </w:tc>
        <w:tc>
          <w:tcPr>
            <w:tcW w:w="2061" w:type="dxa"/>
            <w:tcBorders>
              <w:left w:val="single" w:color="auto" w:sz="4" w:space="0"/>
            </w:tcBorders>
            <w:shd w:val="clear" w:color="auto" w:fill="auto"/>
            <w:vAlign w:val="center"/>
          </w:tcPr>
          <w:p w14:paraId="478103A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【服务方式】一年提供一次应急演练服务；</w:t>
            </w:r>
          </w:p>
        </w:tc>
        <w:tc>
          <w:tcPr>
            <w:tcW w:w="1032" w:type="dxa"/>
            <w:vMerge w:val="continue"/>
            <w:tcBorders>
              <w:left w:val="single" w:color="auto" w:sz="4" w:space="0"/>
            </w:tcBorders>
            <w:shd w:val="clear" w:color="auto" w:fill="auto"/>
            <w:vAlign w:val="center"/>
          </w:tcPr>
          <w:p w14:paraId="5B15D45E">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46720E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34F4AD9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49D378C">
            <w:pPr>
              <w:widowControl/>
              <w:jc w:val="center"/>
              <w:rPr>
                <w:rFonts w:hint="eastAsia" w:ascii="宋体" w:hAnsi="宋体" w:eastAsia="宋体" w:cs="宋体"/>
                <w:color w:val="auto"/>
                <w:sz w:val="24"/>
                <w:highlight w:val="none"/>
              </w:rPr>
            </w:pPr>
          </w:p>
        </w:tc>
      </w:tr>
      <w:tr w14:paraId="299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1E71D78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BAF422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B3AEFEA">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重要时期保障服务</w:t>
            </w:r>
          </w:p>
        </w:tc>
        <w:tc>
          <w:tcPr>
            <w:tcW w:w="2061" w:type="dxa"/>
            <w:tcBorders>
              <w:left w:val="single" w:color="auto" w:sz="4" w:space="0"/>
            </w:tcBorders>
            <w:shd w:val="clear" w:color="auto" w:fill="auto"/>
            <w:vAlign w:val="center"/>
          </w:tcPr>
          <w:p w14:paraId="7B378D0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【服务方式】一年提供4次重要时期保障服务</w:t>
            </w:r>
          </w:p>
        </w:tc>
        <w:tc>
          <w:tcPr>
            <w:tcW w:w="1032" w:type="dxa"/>
            <w:vMerge w:val="continue"/>
            <w:tcBorders>
              <w:left w:val="single" w:color="auto" w:sz="4" w:space="0"/>
            </w:tcBorders>
            <w:shd w:val="clear" w:color="auto" w:fill="auto"/>
            <w:vAlign w:val="center"/>
          </w:tcPr>
          <w:p w14:paraId="33DFCA40">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9846A5A">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F9F4E1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6DC92E4">
            <w:pPr>
              <w:widowControl/>
              <w:jc w:val="center"/>
              <w:rPr>
                <w:rFonts w:hint="eastAsia" w:ascii="宋体" w:hAnsi="宋体" w:eastAsia="宋体" w:cs="宋体"/>
                <w:color w:val="auto"/>
                <w:sz w:val="24"/>
                <w:highlight w:val="none"/>
              </w:rPr>
            </w:pPr>
          </w:p>
        </w:tc>
      </w:tr>
      <w:tr w14:paraId="5615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01789757">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9F4325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26507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跨网数据安全交换服务 </w:t>
            </w:r>
          </w:p>
        </w:tc>
        <w:tc>
          <w:tcPr>
            <w:tcW w:w="2061" w:type="dxa"/>
            <w:tcBorders>
              <w:left w:val="single" w:color="auto" w:sz="4" w:space="0"/>
            </w:tcBorders>
            <w:shd w:val="clear" w:color="auto" w:fill="auto"/>
            <w:vAlign w:val="center"/>
          </w:tcPr>
          <w:p w14:paraId="259DDA5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【服务方式】工具租用，符合信创要求</w:t>
            </w:r>
          </w:p>
        </w:tc>
        <w:tc>
          <w:tcPr>
            <w:tcW w:w="1032" w:type="dxa"/>
            <w:vMerge w:val="continue"/>
            <w:tcBorders>
              <w:left w:val="single" w:color="auto" w:sz="4" w:space="0"/>
            </w:tcBorders>
            <w:shd w:val="clear" w:color="auto" w:fill="auto"/>
            <w:vAlign w:val="center"/>
          </w:tcPr>
          <w:p w14:paraId="62A92E7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FBA40C7">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5752D65">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1FE813F">
            <w:pPr>
              <w:widowControl/>
              <w:jc w:val="center"/>
              <w:rPr>
                <w:rFonts w:hint="eastAsia" w:ascii="宋体" w:hAnsi="宋体" w:eastAsia="宋体" w:cs="宋体"/>
                <w:color w:val="auto"/>
                <w:sz w:val="24"/>
                <w:highlight w:val="none"/>
              </w:rPr>
            </w:pPr>
          </w:p>
        </w:tc>
      </w:tr>
      <w:tr w14:paraId="2215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D13E05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D683D7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433B1D9">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违规外联监测服务</w:t>
            </w:r>
          </w:p>
        </w:tc>
        <w:tc>
          <w:tcPr>
            <w:tcW w:w="2061" w:type="dxa"/>
            <w:tcBorders>
              <w:left w:val="single" w:color="auto" w:sz="4" w:space="0"/>
            </w:tcBorders>
            <w:shd w:val="clear" w:color="auto" w:fill="auto"/>
            <w:vAlign w:val="center"/>
          </w:tcPr>
          <w:p w14:paraId="2716199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continue"/>
            <w:tcBorders>
              <w:left w:val="single" w:color="auto" w:sz="4" w:space="0"/>
            </w:tcBorders>
            <w:shd w:val="clear" w:color="auto" w:fill="auto"/>
            <w:vAlign w:val="center"/>
          </w:tcPr>
          <w:p w14:paraId="40C4214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76F095C">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3CB1605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5558141">
            <w:pPr>
              <w:widowControl/>
              <w:jc w:val="center"/>
              <w:rPr>
                <w:rFonts w:hint="eastAsia" w:ascii="宋体" w:hAnsi="宋体" w:eastAsia="宋体" w:cs="宋体"/>
                <w:color w:val="auto"/>
                <w:sz w:val="24"/>
                <w:highlight w:val="none"/>
              </w:rPr>
            </w:pPr>
          </w:p>
        </w:tc>
      </w:tr>
      <w:tr w14:paraId="1DE2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6942DDA">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5310B8B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非现场执法平台迁移改造服务</w:t>
            </w:r>
          </w:p>
        </w:tc>
        <w:tc>
          <w:tcPr>
            <w:tcW w:w="1679" w:type="dxa"/>
            <w:tcBorders>
              <w:left w:val="single" w:color="auto" w:sz="4" w:space="0"/>
            </w:tcBorders>
            <w:shd w:val="clear" w:color="auto" w:fill="auto"/>
            <w:vAlign w:val="center"/>
          </w:tcPr>
          <w:p w14:paraId="04DA35B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软硬件部分</w:t>
            </w:r>
          </w:p>
        </w:tc>
        <w:tc>
          <w:tcPr>
            <w:tcW w:w="2061" w:type="dxa"/>
            <w:tcBorders>
              <w:left w:val="single" w:color="auto" w:sz="4" w:space="0"/>
            </w:tcBorders>
            <w:shd w:val="clear" w:color="auto" w:fill="auto"/>
            <w:vAlign w:val="center"/>
          </w:tcPr>
          <w:p w14:paraId="7D01386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【服务形式】工具租用，符合信创要求,</w:t>
            </w:r>
            <w:r>
              <w:rPr>
                <w:rStyle w:val="32"/>
                <w:rFonts w:hint="eastAsia" w:ascii="宋体" w:hAnsi="宋体" w:eastAsia="宋体" w:cs="宋体"/>
                <w:color w:val="auto"/>
                <w:sz w:val="24"/>
                <w:szCs w:val="24"/>
                <w:highlight w:val="none"/>
              </w:rPr>
              <w:t>租赁期满后</w:t>
            </w:r>
            <w:r>
              <w:rPr>
                <w:rFonts w:hint="eastAsia" w:ascii="宋体" w:hAnsi="宋体" w:eastAsia="宋体" w:cs="宋体"/>
                <w:color w:val="auto"/>
                <w:sz w:val="24"/>
                <w:highlight w:val="none"/>
              </w:rPr>
              <w:t>设备处置权归采购人所有</w:t>
            </w:r>
          </w:p>
        </w:tc>
        <w:tc>
          <w:tcPr>
            <w:tcW w:w="1032" w:type="dxa"/>
            <w:tcBorders>
              <w:left w:val="single" w:color="auto" w:sz="4" w:space="0"/>
            </w:tcBorders>
            <w:shd w:val="clear" w:color="auto" w:fill="auto"/>
            <w:vAlign w:val="center"/>
          </w:tcPr>
          <w:p w14:paraId="2C43769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7ECE239E">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7BC4D863">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2E435C14">
            <w:pPr>
              <w:widowControl/>
              <w:jc w:val="center"/>
              <w:textAlignment w:val="center"/>
              <w:rPr>
                <w:rFonts w:hint="eastAsia" w:ascii="宋体" w:hAnsi="宋体" w:eastAsia="宋体" w:cs="宋体"/>
                <w:color w:val="auto"/>
                <w:sz w:val="24"/>
                <w:highlight w:val="none"/>
              </w:rPr>
            </w:pPr>
          </w:p>
        </w:tc>
      </w:tr>
      <w:tr w14:paraId="67FB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6A700F9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11C26991">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1223B8D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非现场执法平台运营保障服务</w:t>
            </w:r>
          </w:p>
        </w:tc>
        <w:tc>
          <w:tcPr>
            <w:tcW w:w="2061" w:type="dxa"/>
            <w:tcBorders>
              <w:left w:val="single" w:color="auto" w:sz="4" w:space="0"/>
            </w:tcBorders>
            <w:shd w:val="clear" w:color="auto" w:fill="auto"/>
            <w:vAlign w:val="center"/>
          </w:tcPr>
          <w:p w14:paraId="3D499A5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【服务方式】租赁期内7*24小时服务（含</w:t>
            </w:r>
            <w:r>
              <w:rPr>
                <w:rStyle w:val="33"/>
                <w:rFonts w:hint="eastAsia" w:ascii="宋体" w:hAnsi="宋体" w:eastAsia="宋体" w:cs="宋体"/>
                <w:color w:val="auto"/>
                <w:sz w:val="24"/>
                <w:szCs w:val="24"/>
                <w:highlight w:val="none"/>
              </w:rPr>
              <w:t>驻场服务1人5*8小时保障</w:t>
            </w:r>
            <w:r>
              <w:rPr>
                <w:rStyle w:val="32"/>
                <w:rFonts w:hint="eastAsia" w:ascii="宋体" w:hAnsi="宋体" w:eastAsia="宋体" w:cs="宋体"/>
                <w:color w:val="auto"/>
                <w:sz w:val="24"/>
                <w:szCs w:val="24"/>
                <w:highlight w:val="none"/>
              </w:rPr>
              <w:t>）</w:t>
            </w:r>
          </w:p>
        </w:tc>
        <w:tc>
          <w:tcPr>
            <w:tcW w:w="1032" w:type="dxa"/>
            <w:tcBorders>
              <w:left w:val="single" w:color="auto" w:sz="4" w:space="0"/>
            </w:tcBorders>
            <w:shd w:val="clear" w:color="auto" w:fill="auto"/>
            <w:vAlign w:val="center"/>
          </w:tcPr>
          <w:p w14:paraId="078C4EE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18EC717E">
            <w:pPr>
              <w:widowControl/>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shd w:val="clear" w:color="auto" w:fill="auto"/>
            <w:vAlign w:val="center"/>
          </w:tcPr>
          <w:p w14:paraId="2C5EE429">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8FC69E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24D45CD">
            <w:pPr>
              <w:widowControl/>
              <w:jc w:val="center"/>
              <w:rPr>
                <w:rFonts w:hint="eastAsia" w:ascii="宋体" w:hAnsi="宋体" w:eastAsia="宋体" w:cs="宋体"/>
                <w:color w:val="auto"/>
                <w:sz w:val="24"/>
                <w:highlight w:val="none"/>
              </w:rPr>
            </w:pPr>
          </w:p>
        </w:tc>
      </w:tr>
      <w:tr w14:paraId="18A6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restart"/>
            <w:shd w:val="clear" w:color="auto" w:fill="auto"/>
            <w:vAlign w:val="center"/>
          </w:tcPr>
          <w:p w14:paraId="15933B6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三、货运导航数据及运营保障服务</w:t>
            </w:r>
          </w:p>
        </w:tc>
        <w:tc>
          <w:tcPr>
            <w:tcW w:w="1349" w:type="dxa"/>
            <w:vMerge w:val="restart"/>
            <w:tcBorders>
              <w:left w:val="single" w:color="auto" w:sz="4" w:space="0"/>
            </w:tcBorders>
            <w:shd w:val="clear" w:color="auto" w:fill="auto"/>
            <w:vAlign w:val="center"/>
          </w:tcPr>
          <w:p w14:paraId="7BB0C24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互联网地图导航基础服务</w:t>
            </w:r>
          </w:p>
        </w:tc>
        <w:tc>
          <w:tcPr>
            <w:tcW w:w="1679" w:type="dxa"/>
            <w:tcBorders>
              <w:left w:val="single" w:color="auto" w:sz="4" w:space="0"/>
            </w:tcBorders>
            <w:shd w:val="clear" w:color="auto" w:fill="auto"/>
            <w:vAlign w:val="center"/>
          </w:tcPr>
          <w:p w14:paraId="727A079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货车线路规划</w:t>
            </w:r>
          </w:p>
        </w:tc>
        <w:tc>
          <w:tcPr>
            <w:tcW w:w="2061" w:type="dxa"/>
            <w:vMerge w:val="restart"/>
            <w:tcBorders>
              <w:left w:val="single" w:color="auto" w:sz="4" w:space="0"/>
            </w:tcBorders>
            <w:shd w:val="clear" w:color="auto" w:fill="auto"/>
            <w:vAlign w:val="center"/>
          </w:tcPr>
          <w:p w14:paraId="0197B0B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restart"/>
            <w:tcBorders>
              <w:left w:val="single" w:color="auto" w:sz="4" w:space="0"/>
            </w:tcBorders>
            <w:shd w:val="clear" w:color="auto" w:fill="auto"/>
            <w:vAlign w:val="center"/>
          </w:tcPr>
          <w:p w14:paraId="51F275F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5828A6BC">
            <w:pPr>
              <w:widowControl/>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shd w:val="clear" w:color="auto" w:fill="auto"/>
            <w:vAlign w:val="center"/>
          </w:tcPr>
          <w:p w14:paraId="357395F9">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5C5F9152">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20016B24">
            <w:pPr>
              <w:widowControl/>
              <w:jc w:val="center"/>
              <w:textAlignment w:val="center"/>
              <w:rPr>
                <w:rFonts w:hint="eastAsia" w:ascii="宋体" w:hAnsi="宋体" w:eastAsia="宋体" w:cs="宋体"/>
                <w:color w:val="auto"/>
                <w:sz w:val="24"/>
                <w:highlight w:val="none"/>
              </w:rPr>
            </w:pPr>
          </w:p>
        </w:tc>
      </w:tr>
      <w:tr w14:paraId="720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09C3BDA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E486D52">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36AE09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货车导航接口</w:t>
            </w:r>
          </w:p>
        </w:tc>
        <w:tc>
          <w:tcPr>
            <w:tcW w:w="2061" w:type="dxa"/>
            <w:vMerge w:val="continue"/>
            <w:tcBorders>
              <w:left w:val="single" w:color="auto" w:sz="4" w:space="0"/>
            </w:tcBorders>
            <w:shd w:val="clear" w:color="auto" w:fill="auto"/>
            <w:vAlign w:val="center"/>
          </w:tcPr>
          <w:p w14:paraId="593D1AD7">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AB99C4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D440B11">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54FDA4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FAEAE4C">
            <w:pPr>
              <w:widowControl/>
              <w:jc w:val="center"/>
              <w:rPr>
                <w:rFonts w:hint="eastAsia" w:ascii="宋体" w:hAnsi="宋体" w:eastAsia="宋体" w:cs="宋体"/>
                <w:color w:val="auto"/>
                <w:sz w:val="24"/>
                <w:highlight w:val="none"/>
              </w:rPr>
            </w:pPr>
          </w:p>
        </w:tc>
      </w:tr>
      <w:tr w14:paraId="2827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39B0546B">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8D6551D">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4EB90EB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创建路线及绑定-路线增加</w:t>
            </w:r>
          </w:p>
        </w:tc>
        <w:tc>
          <w:tcPr>
            <w:tcW w:w="2061" w:type="dxa"/>
            <w:vMerge w:val="continue"/>
            <w:tcBorders>
              <w:left w:val="single" w:color="auto" w:sz="4" w:space="0"/>
            </w:tcBorders>
            <w:shd w:val="clear" w:color="auto" w:fill="auto"/>
            <w:vAlign w:val="center"/>
          </w:tcPr>
          <w:p w14:paraId="33B70C16">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280FF231">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60C8CD8">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413EC54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2AC16E4">
            <w:pPr>
              <w:widowControl/>
              <w:jc w:val="center"/>
              <w:rPr>
                <w:rFonts w:hint="eastAsia" w:ascii="宋体" w:hAnsi="宋体" w:eastAsia="宋体" w:cs="宋体"/>
                <w:color w:val="auto"/>
                <w:sz w:val="24"/>
                <w:highlight w:val="none"/>
              </w:rPr>
            </w:pPr>
          </w:p>
        </w:tc>
      </w:tr>
      <w:tr w14:paraId="60A9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7" w:type="dxa"/>
            <w:vMerge w:val="continue"/>
            <w:shd w:val="clear" w:color="auto" w:fill="auto"/>
            <w:vAlign w:val="center"/>
          </w:tcPr>
          <w:p w14:paraId="3A5FE99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F5A543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3A7177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创建路线及绑定-路线和线路绑定</w:t>
            </w:r>
          </w:p>
        </w:tc>
        <w:tc>
          <w:tcPr>
            <w:tcW w:w="2061" w:type="dxa"/>
            <w:vMerge w:val="continue"/>
            <w:tcBorders>
              <w:left w:val="single" w:color="auto" w:sz="4" w:space="0"/>
            </w:tcBorders>
            <w:shd w:val="clear" w:color="auto" w:fill="auto"/>
            <w:vAlign w:val="center"/>
          </w:tcPr>
          <w:p w14:paraId="317244A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B830E01">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D290DCA">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826A43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EA22842">
            <w:pPr>
              <w:widowControl/>
              <w:jc w:val="center"/>
              <w:rPr>
                <w:rFonts w:hint="eastAsia" w:ascii="宋体" w:hAnsi="宋体" w:eastAsia="宋体" w:cs="宋体"/>
                <w:color w:val="auto"/>
                <w:sz w:val="24"/>
                <w:highlight w:val="none"/>
              </w:rPr>
            </w:pPr>
          </w:p>
        </w:tc>
      </w:tr>
      <w:tr w14:paraId="2520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2EFA0A95">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F65FB2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004CFE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搜索服务-关键字搜索</w:t>
            </w:r>
          </w:p>
        </w:tc>
        <w:tc>
          <w:tcPr>
            <w:tcW w:w="2061" w:type="dxa"/>
            <w:vMerge w:val="continue"/>
            <w:tcBorders>
              <w:left w:val="single" w:color="auto" w:sz="4" w:space="0"/>
            </w:tcBorders>
            <w:shd w:val="clear" w:color="auto" w:fill="auto"/>
            <w:vAlign w:val="center"/>
          </w:tcPr>
          <w:p w14:paraId="1DA77CA2">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F2184A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56FBDB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158C5C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13225AD">
            <w:pPr>
              <w:widowControl/>
              <w:jc w:val="center"/>
              <w:rPr>
                <w:rFonts w:hint="eastAsia" w:ascii="宋体" w:hAnsi="宋体" w:eastAsia="宋体" w:cs="宋体"/>
                <w:color w:val="auto"/>
                <w:sz w:val="24"/>
                <w:highlight w:val="none"/>
              </w:rPr>
            </w:pPr>
          </w:p>
        </w:tc>
      </w:tr>
      <w:tr w14:paraId="07FE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33748EFD">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13CF71F">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A623B8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定线导航信息获取服务</w:t>
            </w:r>
          </w:p>
        </w:tc>
        <w:tc>
          <w:tcPr>
            <w:tcW w:w="2061" w:type="dxa"/>
            <w:vMerge w:val="continue"/>
            <w:tcBorders>
              <w:left w:val="single" w:color="auto" w:sz="4" w:space="0"/>
            </w:tcBorders>
            <w:shd w:val="clear" w:color="auto" w:fill="auto"/>
            <w:vAlign w:val="center"/>
          </w:tcPr>
          <w:p w14:paraId="544C6F8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A064146">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7459B06D">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DEE076D">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43CD5ED">
            <w:pPr>
              <w:widowControl/>
              <w:jc w:val="center"/>
              <w:rPr>
                <w:rFonts w:hint="eastAsia" w:ascii="宋体" w:hAnsi="宋体" w:eastAsia="宋体" w:cs="宋体"/>
                <w:color w:val="auto"/>
                <w:sz w:val="24"/>
                <w:highlight w:val="none"/>
              </w:rPr>
            </w:pPr>
          </w:p>
        </w:tc>
      </w:tr>
      <w:tr w14:paraId="21A6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shd w:val="clear" w:color="auto" w:fill="auto"/>
            <w:vAlign w:val="center"/>
          </w:tcPr>
          <w:p w14:paraId="6C9E0EC4">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2200F14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城市货运导航数据运营服务</w:t>
            </w:r>
          </w:p>
        </w:tc>
        <w:tc>
          <w:tcPr>
            <w:tcW w:w="1679" w:type="dxa"/>
            <w:tcBorders>
              <w:left w:val="single" w:color="auto" w:sz="4" w:space="0"/>
            </w:tcBorders>
            <w:shd w:val="clear" w:color="auto" w:fill="auto"/>
            <w:vAlign w:val="center"/>
          </w:tcPr>
          <w:p w14:paraId="2B48AD6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常态化货运交通组织优化调整数据服务</w:t>
            </w:r>
          </w:p>
        </w:tc>
        <w:tc>
          <w:tcPr>
            <w:tcW w:w="2061" w:type="dxa"/>
            <w:vMerge w:val="restart"/>
            <w:tcBorders>
              <w:left w:val="single" w:color="auto" w:sz="4" w:space="0"/>
            </w:tcBorders>
            <w:shd w:val="clear" w:color="auto" w:fill="auto"/>
            <w:vAlign w:val="center"/>
          </w:tcPr>
          <w:p w14:paraId="3E1F04E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shd w:val="clear" w:color="auto" w:fill="auto"/>
            <w:vAlign w:val="center"/>
          </w:tcPr>
          <w:p w14:paraId="47019F1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3266A181">
            <w:pPr>
              <w:widowControl/>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shd w:val="clear" w:color="auto" w:fill="auto"/>
            <w:vAlign w:val="center"/>
          </w:tcPr>
          <w:p w14:paraId="075B3655">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CC4A47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81EFB5E">
            <w:pPr>
              <w:widowControl/>
              <w:jc w:val="center"/>
              <w:rPr>
                <w:rFonts w:hint="eastAsia" w:ascii="宋体" w:hAnsi="宋体" w:eastAsia="宋体" w:cs="宋体"/>
                <w:color w:val="auto"/>
                <w:sz w:val="24"/>
                <w:highlight w:val="none"/>
              </w:rPr>
            </w:pPr>
          </w:p>
        </w:tc>
      </w:tr>
      <w:tr w14:paraId="52B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shd w:val="clear" w:color="auto" w:fill="auto"/>
            <w:vAlign w:val="center"/>
          </w:tcPr>
          <w:p w14:paraId="183054A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0CC3CCC">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1E94C8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新版智安通系统数据接口对接、数据运营服务</w:t>
            </w:r>
          </w:p>
        </w:tc>
        <w:tc>
          <w:tcPr>
            <w:tcW w:w="2061" w:type="dxa"/>
            <w:vMerge w:val="continue"/>
            <w:tcBorders>
              <w:left w:val="single" w:color="auto" w:sz="4" w:space="0"/>
            </w:tcBorders>
            <w:shd w:val="clear" w:color="auto" w:fill="auto"/>
            <w:vAlign w:val="center"/>
          </w:tcPr>
          <w:p w14:paraId="5F5DBE7B">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2B62561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B5BA3FB">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780E3F3">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A5CAD10">
            <w:pPr>
              <w:widowControl/>
              <w:jc w:val="center"/>
              <w:rPr>
                <w:rFonts w:hint="eastAsia" w:ascii="宋体" w:hAnsi="宋体" w:eastAsia="宋体" w:cs="宋体"/>
                <w:color w:val="auto"/>
                <w:sz w:val="24"/>
                <w:highlight w:val="none"/>
              </w:rPr>
            </w:pPr>
          </w:p>
        </w:tc>
      </w:tr>
      <w:tr w14:paraId="53CF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shd w:val="clear" w:color="auto" w:fill="auto"/>
            <w:vAlign w:val="center"/>
          </w:tcPr>
          <w:p w14:paraId="71BAD770">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8EC347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16C290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车辆管理、业务逻辑控制功能升级、数据运营服务</w:t>
            </w:r>
          </w:p>
        </w:tc>
        <w:tc>
          <w:tcPr>
            <w:tcW w:w="2061" w:type="dxa"/>
            <w:vMerge w:val="continue"/>
            <w:tcBorders>
              <w:left w:val="single" w:color="auto" w:sz="4" w:space="0"/>
            </w:tcBorders>
            <w:shd w:val="clear" w:color="auto" w:fill="auto"/>
            <w:vAlign w:val="center"/>
          </w:tcPr>
          <w:p w14:paraId="735EB3A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8CB10E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F00229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258590E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4D09560">
            <w:pPr>
              <w:widowControl/>
              <w:jc w:val="center"/>
              <w:rPr>
                <w:rFonts w:hint="eastAsia" w:ascii="宋体" w:hAnsi="宋体" w:eastAsia="宋体" w:cs="宋体"/>
                <w:color w:val="auto"/>
                <w:sz w:val="24"/>
                <w:highlight w:val="none"/>
              </w:rPr>
            </w:pPr>
          </w:p>
        </w:tc>
      </w:tr>
      <w:tr w14:paraId="41CD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7" w:type="dxa"/>
            <w:vMerge w:val="continue"/>
            <w:shd w:val="clear" w:color="auto" w:fill="auto"/>
            <w:vAlign w:val="center"/>
          </w:tcPr>
          <w:p w14:paraId="2575CA3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687A75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787F24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工程车定路功能升级服务、数据运营服务</w:t>
            </w:r>
          </w:p>
        </w:tc>
        <w:tc>
          <w:tcPr>
            <w:tcW w:w="2061" w:type="dxa"/>
            <w:vMerge w:val="continue"/>
            <w:tcBorders>
              <w:left w:val="single" w:color="auto" w:sz="4" w:space="0"/>
            </w:tcBorders>
            <w:shd w:val="clear" w:color="auto" w:fill="auto"/>
            <w:vAlign w:val="center"/>
          </w:tcPr>
          <w:p w14:paraId="42D440A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E8F8C1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EFA0C6D">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406413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5E63215">
            <w:pPr>
              <w:widowControl/>
              <w:jc w:val="center"/>
              <w:rPr>
                <w:rFonts w:hint="eastAsia" w:ascii="宋体" w:hAnsi="宋体" w:eastAsia="宋体" w:cs="宋体"/>
                <w:color w:val="auto"/>
                <w:sz w:val="24"/>
                <w:highlight w:val="none"/>
              </w:rPr>
            </w:pPr>
          </w:p>
        </w:tc>
      </w:tr>
      <w:tr w14:paraId="1A09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2E41F52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19475BC">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BCA50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货运导航系统迁移改造服务</w:t>
            </w:r>
          </w:p>
        </w:tc>
        <w:tc>
          <w:tcPr>
            <w:tcW w:w="2061" w:type="dxa"/>
            <w:tcBorders>
              <w:left w:val="single" w:color="auto" w:sz="4" w:space="0"/>
            </w:tcBorders>
            <w:shd w:val="clear" w:color="auto" w:fill="auto"/>
            <w:vAlign w:val="center"/>
          </w:tcPr>
          <w:p w14:paraId="4640C48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tcBorders>
              <w:left w:val="single" w:color="auto" w:sz="4" w:space="0"/>
            </w:tcBorders>
            <w:shd w:val="clear" w:color="auto" w:fill="auto"/>
            <w:vAlign w:val="center"/>
          </w:tcPr>
          <w:p w14:paraId="6D06768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3126711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175DEA6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84147E0">
            <w:pPr>
              <w:widowControl/>
              <w:jc w:val="center"/>
              <w:rPr>
                <w:rFonts w:hint="eastAsia" w:ascii="宋体" w:hAnsi="宋体" w:eastAsia="宋体" w:cs="宋体"/>
                <w:color w:val="auto"/>
                <w:sz w:val="24"/>
                <w:highlight w:val="none"/>
              </w:rPr>
            </w:pPr>
          </w:p>
        </w:tc>
      </w:tr>
      <w:tr w14:paraId="500A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shd w:val="clear" w:color="auto" w:fill="auto"/>
            <w:vAlign w:val="center"/>
          </w:tcPr>
          <w:p w14:paraId="2B80ED7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四、安全防控治理服务</w:t>
            </w:r>
          </w:p>
        </w:tc>
        <w:tc>
          <w:tcPr>
            <w:tcW w:w="1349" w:type="dxa"/>
            <w:vMerge w:val="restart"/>
            <w:tcBorders>
              <w:left w:val="single" w:color="auto" w:sz="4" w:space="0"/>
            </w:tcBorders>
            <w:shd w:val="clear" w:color="auto" w:fill="auto"/>
            <w:vAlign w:val="center"/>
          </w:tcPr>
          <w:p w14:paraId="2113E98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道路隐患分析模块</w:t>
            </w:r>
          </w:p>
        </w:tc>
        <w:tc>
          <w:tcPr>
            <w:tcW w:w="1679" w:type="dxa"/>
            <w:tcBorders>
              <w:left w:val="single" w:color="auto" w:sz="4" w:space="0"/>
            </w:tcBorders>
            <w:shd w:val="clear" w:color="auto" w:fill="auto"/>
            <w:vAlign w:val="center"/>
          </w:tcPr>
          <w:p w14:paraId="4A961DF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道路隐患地图</w:t>
            </w:r>
          </w:p>
        </w:tc>
        <w:tc>
          <w:tcPr>
            <w:tcW w:w="2061" w:type="dxa"/>
            <w:vMerge w:val="restart"/>
            <w:tcBorders>
              <w:left w:val="single" w:color="auto" w:sz="4" w:space="0"/>
            </w:tcBorders>
            <w:shd w:val="clear" w:color="auto" w:fill="auto"/>
            <w:vAlign w:val="center"/>
          </w:tcPr>
          <w:p w14:paraId="365BC86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【服务方式】服务期满后处置权归采购人所有</w:t>
            </w:r>
          </w:p>
        </w:tc>
        <w:tc>
          <w:tcPr>
            <w:tcW w:w="1032" w:type="dxa"/>
            <w:vMerge w:val="restart"/>
            <w:tcBorders>
              <w:left w:val="single" w:color="auto" w:sz="4" w:space="0"/>
            </w:tcBorders>
            <w:shd w:val="clear" w:color="auto" w:fill="auto"/>
            <w:vAlign w:val="center"/>
          </w:tcPr>
          <w:p w14:paraId="06F1DDC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5989B83B">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77B8D7B1">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7C554905">
            <w:pPr>
              <w:widowControl/>
              <w:jc w:val="center"/>
              <w:textAlignment w:val="center"/>
              <w:rPr>
                <w:rFonts w:hint="eastAsia" w:ascii="宋体" w:hAnsi="宋体" w:eastAsia="宋体" w:cs="宋体"/>
                <w:color w:val="auto"/>
                <w:sz w:val="24"/>
                <w:highlight w:val="none"/>
              </w:rPr>
            </w:pPr>
          </w:p>
        </w:tc>
      </w:tr>
      <w:tr w14:paraId="18D2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07" w:type="dxa"/>
            <w:vMerge w:val="continue"/>
            <w:shd w:val="clear" w:color="auto" w:fill="auto"/>
            <w:vAlign w:val="center"/>
          </w:tcPr>
          <w:p w14:paraId="4AE17CC8">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B12A407">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70A96E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质效监管</w:t>
            </w:r>
          </w:p>
        </w:tc>
        <w:tc>
          <w:tcPr>
            <w:tcW w:w="2061" w:type="dxa"/>
            <w:vMerge w:val="continue"/>
            <w:tcBorders>
              <w:left w:val="single" w:color="auto" w:sz="4" w:space="0"/>
            </w:tcBorders>
            <w:shd w:val="clear" w:color="auto" w:fill="auto"/>
            <w:vAlign w:val="center"/>
          </w:tcPr>
          <w:p w14:paraId="1A0B5823">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A1D1C2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D320DC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449C9CC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A3F7130">
            <w:pPr>
              <w:widowControl/>
              <w:jc w:val="center"/>
              <w:rPr>
                <w:rFonts w:hint="eastAsia" w:ascii="宋体" w:hAnsi="宋体" w:eastAsia="宋体" w:cs="宋体"/>
                <w:color w:val="auto"/>
                <w:sz w:val="24"/>
                <w:highlight w:val="none"/>
              </w:rPr>
            </w:pPr>
          </w:p>
        </w:tc>
      </w:tr>
      <w:tr w14:paraId="5F3D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4DA5CA1">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AFD187D">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B8DC24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隐患治理分析</w:t>
            </w:r>
          </w:p>
        </w:tc>
        <w:tc>
          <w:tcPr>
            <w:tcW w:w="2061" w:type="dxa"/>
            <w:vMerge w:val="continue"/>
            <w:tcBorders>
              <w:left w:val="single" w:color="auto" w:sz="4" w:space="0"/>
            </w:tcBorders>
            <w:shd w:val="clear" w:color="auto" w:fill="auto"/>
            <w:vAlign w:val="center"/>
          </w:tcPr>
          <w:p w14:paraId="491429EA">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27B701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392EF85">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24DE777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EEE568C">
            <w:pPr>
              <w:widowControl/>
              <w:jc w:val="center"/>
              <w:rPr>
                <w:rFonts w:hint="eastAsia" w:ascii="宋体" w:hAnsi="宋体" w:eastAsia="宋体" w:cs="宋体"/>
                <w:color w:val="auto"/>
                <w:sz w:val="24"/>
                <w:highlight w:val="none"/>
              </w:rPr>
            </w:pPr>
          </w:p>
        </w:tc>
      </w:tr>
      <w:tr w14:paraId="7672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0E1F9EF4">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538AB15A">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w:t>
            </w:r>
          </w:p>
        </w:tc>
        <w:tc>
          <w:tcPr>
            <w:tcW w:w="1679" w:type="dxa"/>
            <w:tcBorders>
              <w:left w:val="single" w:color="auto" w:sz="4" w:space="0"/>
            </w:tcBorders>
            <w:shd w:val="clear" w:color="auto" w:fill="auto"/>
            <w:vAlign w:val="center"/>
          </w:tcPr>
          <w:p w14:paraId="37CC884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警情趋势分析与预测</w:t>
            </w:r>
          </w:p>
        </w:tc>
        <w:tc>
          <w:tcPr>
            <w:tcW w:w="2061" w:type="dxa"/>
            <w:vMerge w:val="continue"/>
            <w:tcBorders>
              <w:left w:val="single" w:color="auto" w:sz="4" w:space="0"/>
            </w:tcBorders>
            <w:shd w:val="clear" w:color="auto" w:fill="auto"/>
            <w:vAlign w:val="center"/>
          </w:tcPr>
          <w:p w14:paraId="428A4C2E">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43A5908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0D94731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030" w:type="dxa"/>
            <w:tcBorders>
              <w:left w:val="single" w:color="auto" w:sz="4" w:space="0"/>
            </w:tcBorders>
            <w:shd w:val="clear" w:color="auto" w:fill="auto"/>
            <w:vAlign w:val="center"/>
          </w:tcPr>
          <w:p w14:paraId="3DD06EE9">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09407BDD">
            <w:pPr>
              <w:widowControl/>
              <w:jc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0606821A">
            <w:pPr>
              <w:widowControl/>
              <w:jc w:val="center"/>
              <w:rPr>
                <w:rFonts w:hint="eastAsia" w:ascii="宋体" w:hAnsi="宋体" w:eastAsia="宋体" w:cs="宋体"/>
                <w:color w:val="auto"/>
                <w:sz w:val="24"/>
                <w:highlight w:val="none"/>
              </w:rPr>
            </w:pPr>
          </w:p>
        </w:tc>
      </w:tr>
      <w:tr w14:paraId="0B5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7" w:type="dxa"/>
            <w:vMerge w:val="continue"/>
            <w:shd w:val="clear" w:color="auto" w:fill="auto"/>
            <w:vAlign w:val="center"/>
          </w:tcPr>
          <w:p w14:paraId="754E32B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AC0B94D">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03BBB8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重大交通风险预警分析</w:t>
            </w:r>
          </w:p>
        </w:tc>
        <w:tc>
          <w:tcPr>
            <w:tcW w:w="2061" w:type="dxa"/>
            <w:vMerge w:val="continue"/>
            <w:tcBorders>
              <w:left w:val="single" w:color="auto" w:sz="4" w:space="0"/>
            </w:tcBorders>
            <w:shd w:val="clear" w:color="auto" w:fill="auto"/>
            <w:vAlign w:val="center"/>
          </w:tcPr>
          <w:p w14:paraId="40F144C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BA4039F">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12DE3D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AB9682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12221F2">
            <w:pPr>
              <w:widowControl/>
              <w:jc w:val="center"/>
              <w:rPr>
                <w:rFonts w:hint="eastAsia" w:ascii="宋体" w:hAnsi="宋体" w:eastAsia="宋体" w:cs="宋体"/>
                <w:color w:val="auto"/>
                <w:sz w:val="24"/>
                <w:highlight w:val="none"/>
              </w:rPr>
            </w:pPr>
          </w:p>
        </w:tc>
      </w:tr>
      <w:tr w14:paraId="083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shd w:val="clear" w:color="auto" w:fill="auto"/>
            <w:vAlign w:val="center"/>
          </w:tcPr>
          <w:p w14:paraId="56B2078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82B0A9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80D096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非交通事故警情分析</w:t>
            </w:r>
          </w:p>
        </w:tc>
        <w:tc>
          <w:tcPr>
            <w:tcW w:w="2061" w:type="dxa"/>
            <w:vMerge w:val="continue"/>
            <w:tcBorders>
              <w:left w:val="single" w:color="auto" w:sz="4" w:space="0"/>
            </w:tcBorders>
            <w:shd w:val="clear" w:color="auto" w:fill="auto"/>
            <w:vAlign w:val="center"/>
          </w:tcPr>
          <w:p w14:paraId="68A5A14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B824B60">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DAC233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A3579C5">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BCDCF78">
            <w:pPr>
              <w:widowControl/>
              <w:jc w:val="center"/>
              <w:rPr>
                <w:rFonts w:hint="eastAsia" w:ascii="宋体" w:hAnsi="宋体" w:eastAsia="宋体" w:cs="宋体"/>
                <w:color w:val="auto"/>
                <w:sz w:val="24"/>
                <w:highlight w:val="none"/>
              </w:rPr>
            </w:pPr>
          </w:p>
        </w:tc>
      </w:tr>
      <w:tr w14:paraId="2B83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07" w:type="dxa"/>
            <w:vMerge w:val="continue"/>
            <w:shd w:val="clear" w:color="auto" w:fill="auto"/>
            <w:vAlign w:val="center"/>
          </w:tcPr>
          <w:p w14:paraId="571AAC5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C74B84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100B5242">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警情展板</w:t>
            </w:r>
          </w:p>
        </w:tc>
        <w:tc>
          <w:tcPr>
            <w:tcW w:w="2061" w:type="dxa"/>
            <w:vMerge w:val="continue"/>
            <w:tcBorders>
              <w:left w:val="single" w:color="auto" w:sz="4" w:space="0"/>
            </w:tcBorders>
            <w:shd w:val="clear" w:color="auto" w:fill="auto"/>
            <w:vAlign w:val="center"/>
          </w:tcPr>
          <w:p w14:paraId="58ED4F8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5A15DC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6886694">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10F050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D228756">
            <w:pPr>
              <w:widowControl/>
              <w:jc w:val="center"/>
              <w:rPr>
                <w:rFonts w:hint="eastAsia" w:ascii="宋体" w:hAnsi="宋体" w:eastAsia="宋体" w:cs="宋体"/>
                <w:color w:val="auto"/>
                <w:sz w:val="24"/>
                <w:highlight w:val="none"/>
              </w:rPr>
            </w:pPr>
          </w:p>
        </w:tc>
      </w:tr>
      <w:tr w14:paraId="11C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shd w:val="clear" w:color="auto" w:fill="auto"/>
            <w:vAlign w:val="center"/>
          </w:tcPr>
          <w:p w14:paraId="3F417F5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72B0E11">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BA2C3E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风险提示查询</w:t>
            </w:r>
          </w:p>
        </w:tc>
        <w:tc>
          <w:tcPr>
            <w:tcW w:w="2061" w:type="dxa"/>
            <w:vMerge w:val="continue"/>
            <w:tcBorders>
              <w:left w:val="single" w:color="auto" w:sz="4" w:space="0"/>
            </w:tcBorders>
            <w:shd w:val="clear" w:color="auto" w:fill="auto"/>
            <w:vAlign w:val="center"/>
          </w:tcPr>
          <w:p w14:paraId="6BFDD76E">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0BF5C5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12552D6">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CF0605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762756C">
            <w:pPr>
              <w:widowControl/>
              <w:jc w:val="center"/>
              <w:rPr>
                <w:rFonts w:hint="eastAsia" w:ascii="宋体" w:hAnsi="宋体" w:eastAsia="宋体" w:cs="宋体"/>
                <w:color w:val="auto"/>
                <w:sz w:val="24"/>
                <w:highlight w:val="none"/>
              </w:rPr>
            </w:pPr>
          </w:p>
        </w:tc>
      </w:tr>
      <w:tr w14:paraId="7E0C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07" w:type="dxa"/>
            <w:vMerge w:val="continue"/>
            <w:shd w:val="clear" w:color="auto" w:fill="auto"/>
            <w:vAlign w:val="center"/>
          </w:tcPr>
          <w:p w14:paraId="6083615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618E22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F4F00C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趋势研判</w:t>
            </w:r>
          </w:p>
        </w:tc>
        <w:tc>
          <w:tcPr>
            <w:tcW w:w="2061" w:type="dxa"/>
            <w:vMerge w:val="continue"/>
            <w:tcBorders>
              <w:left w:val="single" w:color="auto" w:sz="4" w:space="0"/>
            </w:tcBorders>
            <w:shd w:val="clear" w:color="auto" w:fill="auto"/>
            <w:vAlign w:val="center"/>
          </w:tcPr>
          <w:p w14:paraId="71ED8DB5">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7F8A3C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9FB5C6C">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F0C7D4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C57F4B5">
            <w:pPr>
              <w:widowControl/>
              <w:jc w:val="center"/>
              <w:rPr>
                <w:rFonts w:hint="eastAsia" w:ascii="宋体" w:hAnsi="宋体" w:eastAsia="宋体" w:cs="宋体"/>
                <w:color w:val="auto"/>
                <w:sz w:val="24"/>
                <w:highlight w:val="none"/>
              </w:rPr>
            </w:pPr>
          </w:p>
        </w:tc>
      </w:tr>
      <w:tr w14:paraId="564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F48AD52">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D57E200">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D2CF48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警情地图</w:t>
            </w:r>
          </w:p>
        </w:tc>
        <w:tc>
          <w:tcPr>
            <w:tcW w:w="2061" w:type="dxa"/>
            <w:vMerge w:val="continue"/>
            <w:tcBorders>
              <w:left w:val="single" w:color="auto" w:sz="4" w:space="0"/>
            </w:tcBorders>
            <w:shd w:val="clear" w:color="auto" w:fill="auto"/>
            <w:vAlign w:val="center"/>
          </w:tcPr>
          <w:p w14:paraId="72296C7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52844FD">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F327760">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91A2B2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E6CB651">
            <w:pPr>
              <w:widowControl/>
              <w:jc w:val="center"/>
              <w:rPr>
                <w:rFonts w:hint="eastAsia" w:ascii="宋体" w:hAnsi="宋体" w:eastAsia="宋体" w:cs="宋体"/>
                <w:color w:val="auto"/>
                <w:sz w:val="24"/>
                <w:highlight w:val="none"/>
              </w:rPr>
            </w:pPr>
          </w:p>
        </w:tc>
      </w:tr>
      <w:tr w14:paraId="5CA3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1572893D">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43189F1">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8D6824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警情统计</w:t>
            </w:r>
          </w:p>
        </w:tc>
        <w:tc>
          <w:tcPr>
            <w:tcW w:w="2061" w:type="dxa"/>
            <w:vMerge w:val="continue"/>
            <w:tcBorders>
              <w:left w:val="single" w:color="auto" w:sz="4" w:space="0"/>
            </w:tcBorders>
            <w:shd w:val="clear" w:color="auto" w:fill="auto"/>
            <w:vAlign w:val="center"/>
          </w:tcPr>
          <w:p w14:paraId="6DACAC57">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EE52F32">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5982B14">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257BDC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9E8A031">
            <w:pPr>
              <w:widowControl/>
              <w:jc w:val="center"/>
              <w:textAlignment w:val="center"/>
              <w:rPr>
                <w:rFonts w:hint="eastAsia" w:ascii="宋体" w:hAnsi="宋体" w:eastAsia="宋体" w:cs="宋体"/>
                <w:color w:val="auto"/>
                <w:kern w:val="0"/>
                <w:sz w:val="24"/>
                <w:highlight w:val="none"/>
              </w:rPr>
            </w:pPr>
          </w:p>
        </w:tc>
      </w:tr>
      <w:tr w14:paraId="0BD4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CDD100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6DFD952">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FAFCD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警情报告</w:t>
            </w:r>
          </w:p>
        </w:tc>
        <w:tc>
          <w:tcPr>
            <w:tcW w:w="2061" w:type="dxa"/>
            <w:vMerge w:val="continue"/>
            <w:tcBorders>
              <w:left w:val="single" w:color="auto" w:sz="4" w:space="0"/>
            </w:tcBorders>
            <w:shd w:val="clear" w:color="auto" w:fill="auto"/>
            <w:vAlign w:val="center"/>
          </w:tcPr>
          <w:p w14:paraId="39C792C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536EC2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E1A842B">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439BB0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CC5BBF6">
            <w:pPr>
              <w:widowControl/>
              <w:jc w:val="center"/>
              <w:textAlignment w:val="center"/>
              <w:rPr>
                <w:rFonts w:hint="eastAsia" w:ascii="宋体" w:hAnsi="宋体" w:eastAsia="宋体" w:cs="宋体"/>
                <w:color w:val="auto"/>
                <w:kern w:val="0"/>
                <w:sz w:val="24"/>
                <w:highlight w:val="none"/>
              </w:rPr>
            </w:pPr>
          </w:p>
        </w:tc>
      </w:tr>
      <w:tr w14:paraId="25F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75E55E9">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30420F0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安全宣教提升及分析模块 </w:t>
            </w:r>
          </w:p>
        </w:tc>
        <w:tc>
          <w:tcPr>
            <w:tcW w:w="1679" w:type="dxa"/>
            <w:tcBorders>
              <w:left w:val="single" w:color="auto" w:sz="4" w:space="0"/>
            </w:tcBorders>
            <w:shd w:val="clear" w:color="auto" w:fill="auto"/>
            <w:vAlign w:val="center"/>
          </w:tcPr>
          <w:p w14:paraId="1309E388">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普通单位纳管和预警</w:t>
            </w:r>
          </w:p>
        </w:tc>
        <w:tc>
          <w:tcPr>
            <w:tcW w:w="2061" w:type="dxa"/>
            <w:vMerge w:val="continue"/>
            <w:tcBorders>
              <w:left w:val="single" w:color="auto" w:sz="4" w:space="0"/>
            </w:tcBorders>
            <w:shd w:val="clear" w:color="auto" w:fill="auto"/>
            <w:vAlign w:val="center"/>
          </w:tcPr>
          <w:p w14:paraId="6E5B7388">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1DA4B4E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1525170C">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0D155E8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w:t>
            </w:r>
          </w:p>
        </w:tc>
        <w:tc>
          <w:tcPr>
            <w:tcW w:w="477" w:type="dxa"/>
            <w:tcBorders>
              <w:left w:val="single" w:color="auto" w:sz="4" w:space="0"/>
            </w:tcBorders>
            <w:shd w:val="clear" w:color="auto" w:fill="auto"/>
            <w:vAlign w:val="center"/>
          </w:tcPr>
          <w:p w14:paraId="496BE4C4">
            <w:pPr>
              <w:widowControl/>
              <w:jc w:val="center"/>
              <w:textAlignment w:val="center"/>
              <w:rPr>
                <w:rFonts w:hint="eastAsia" w:ascii="宋体" w:hAnsi="宋体" w:eastAsia="宋体" w:cs="宋体"/>
                <w:color w:val="auto"/>
                <w:kern w:val="0"/>
                <w:sz w:val="24"/>
                <w:highlight w:val="none"/>
              </w:rPr>
            </w:pPr>
          </w:p>
        </w:tc>
      </w:tr>
      <w:tr w14:paraId="1F5F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53E3C5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92CEB1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988159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专业单位纳管</w:t>
            </w:r>
          </w:p>
        </w:tc>
        <w:tc>
          <w:tcPr>
            <w:tcW w:w="2061" w:type="dxa"/>
            <w:vMerge w:val="continue"/>
            <w:tcBorders>
              <w:left w:val="single" w:color="auto" w:sz="4" w:space="0"/>
            </w:tcBorders>
            <w:shd w:val="clear" w:color="auto" w:fill="auto"/>
            <w:vAlign w:val="center"/>
          </w:tcPr>
          <w:p w14:paraId="2333191E">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B5C591F">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3EB5D44">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2F5BEF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F2A488A">
            <w:pPr>
              <w:widowControl/>
              <w:jc w:val="center"/>
              <w:textAlignment w:val="center"/>
              <w:rPr>
                <w:rFonts w:hint="eastAsia" w:ascii="宋体" w:hAnsi="宋体" w:eastAsia="宋体" w:cs="宋体"/>
                <w:color w:val="auto"/>
                <w:kern w:val="0"/>
                <w:sz w:val="24"/>
                <w:highlight w:val="none"/>
              </w:rPr>
            </w:pPr>
          </w:p>
        </w:tc>
      </w:tr>
      <w:tr w14:paraId="0470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114141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195E250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C6179C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宣教任务分析</w:t>
            </w:r>
          </w:p>
        </w:tc>
        <w:tc>
          <w:tcPr>
            <w:tcW w:w="2061" w:type="dxa"/>
            <w:vMerge w:val="continue"/>
            <w:tcBorders>
              <w:left w:val="single" w:color="auto" w:sz="4" w:space="0"/>
            </w:tcBorders>
            <w:shd w:val="clear" w:color="auto" w:fill="auto"/>
            <w:vAlign w:val="center"/>
          </w:tcPr>
          <w:p w14:paraId="23BCC10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9DF717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608F300">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41FA513">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6B9A40C7">
            <w:pPr>
              <w:widowControl/>
              <w:jc w:val="center"/>
              <w:textAlignment w:val="center"/>
              <w:rPr>
                <w:rFonts w:hint="eastAsia" w:ascii="宋体" w:hAnsi="宋体" w:eastAsia="宋体" w:cs="宋体"/>
                <w:color w:val="auto"/>
                <w:kern w:val="0"/>
                <w:sz w:val="24"/>
                <w:highlight w:val="none"/>
              </w:rPr>
            </w:pPr>
          </w:p>
        </w:tc>
      </w:tr>
      <w:tr w14:paraId="2571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 w:hRule="atLeast"/>
          <w:jc w:val="center"/>
        </w:trPr>
        <w:tc>
          <w:tcPr>
            <w:tcW w:w="807" w:type="dxa"/>
            <w:vMerge w:val="continue"/>
            <w:shd w:val="clear" w:color="auto" w:fill="auto"/>
            <w:vAlign w:val="center"/>
          </w:tcPr>
          <w:p w14:paraId="130D66DB">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89A180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A301D5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宣教质效管理</w:t>
            </w:r>
          </w:p>
        </w:tc>
        <w:tc>
          <w:tcPr>
            <w:tcW w:w="2061" w:type="dxa"/>
            <w:vMerge w:val="continue"/>
            <w:tcBorders>
              <w:left w:val="single" w:color="auto" w:sz="4" w:space="0"/>
            </w:tcBorders>
            <w:shd w:val="clear" w:color="auto" w:fill="auto"/>
            <w:vAlign w:val="center"/>
          </w:tcPr>
          <w:p w14:paraId="1D1AF8EE">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2838C76">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FE2D618">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1DED657">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7017462">
            <w:pPr>
              <w:widowControl/>
              <w:jc w:val="center"/>
              <w:textAlignment w:val="center"/>
              <w:rPr>
                <w:rFonts w:hint="eastAsia" w:ascii="宋体" w:hAnsi="宋体" w:eastAsia="宋体" w:cs="宋体"/>
                <w:color w:val="auto"/>
                <w:kern w:val="0"/>
                <w:sz w:val="24"/>
                <w:highlight w:val="none"/>
              </w:rPr>
            </w:pPr>
          </w:p>
        </w:tc>
      </w:tr>
      <w:tr w14:paraId="51D1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4249B09B">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8262A5D">
            <w:pPr>
              <w:rPr>
                <w:rFonts w:hint="eastAsia" w:ascii="宋体" w:hAnsi="宋体" w:eastAsia="宋体" w:cs="宋体"/>
                <w:color w:val="auto"/>
                <w:highlight w:val="none"/>
              </w:rPr>
            </w:pPr>
          </w:p>
        </w:tc>
        <w:tc>
          <w:tcPr>
            <w:tcW w:w="1679" w:type="dxa"/>
            <w:vMerge w:val="restart"/>
            <w:tcBorders>
              <w:left w:val="single" w:color="auto" w:sz="4" w:space="0"/>
            </w:tcBorders>
            <w:shd w:val="clear" w:color="auto" w:fill="auto"/>
            <w:vAlign w:val="center"/>
          </w:tcPr>
          <w:p w14:paraId="3711E19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安全宣教数据看板</w:t>
            </w:r>
          </w:p>
        </w:tc>
        <w:tc>
          <w:tcPr>
            <w:tcW w:w="2061" w:type="dxa"/>
            <w:vMerge w:val="continue"/>
            <w:tcBorders>
              <w:left w:val="single" w:color="auto" w:sz="4" w:space="0"/>
            </w:tcBorders>
            <w:shd w:val="clear" w:color="auto" w:fill="auto"/>
            <w:vAlign w:val="center"/>
          </w:tcPr>
          <w:p w14:paraId="5BE19FF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56679AD">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E334CF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9E39509">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DAB87A0">
            <w:pPr>
              <w:widowControl/>
              <w:jc w:val="center"/>
              <w:textAlignment w:val="center"/>
              <w:rPr>
                <w:rFonts w:hint="eastAsia" w:ascii="宋体" w:hAnsi="宋体" w:eastAsia="宋体" w:cs="宋体"/>
                <w:color w:val="auto"/>
                <w:kern w:val="0"/>
                <w:sz w:val="24"/>
                <w:highlight w:val="none"/>
              </w:rPr>
            </w:pPr>
          </w:p>
        </w:tc>
      </w:tr>
      <w:tr w14:paraId="0FE7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44774F7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1308768">
            <w:pPr>
              <w:rPr>
                <w:rFonts w:hint="eastAsia" w:ascii="宋体" w:hAnsi="宋体" w:eastAsia="宋体" w:cs="宋体"/>
                <w:color w:val="auto"/>
                <w:highlight w:val="none"/>
              </w:rPr>
            </w:pPr>
          </w:p>
        </w:tc>
        <w:tc>
          <w:tcPr>
            <w:tcW w:w="1679" w:type="dxa"/>
            <w:vMerge w:val="continue"/>
            <w:tcBorders>
              <w:left w:val="single" w:color="auto" w:sz="4" w:space="0"/>
            </w:tcBorders>
            <w:shd w:val="clear" w:color="auto" w:fill="auto"/>
            <w:vAlign w:val="center"/>
          </w:tcPr>
          <w:p w14:paraId="7B7939C6">
            <w:pPr>
              <w:rPr>
                <w:rFonts w:hint="eastAsia" w:ascii="宋体" w:hAnsi="宋体" w:eastAsia="宋体" w:cs="宋体"/>
                <w:color w:val="auto"/>
                <w:highlight w:val="none"/>
              </w:rPr>
            </w:pPr>
          </w:p>
        </w:tc>
        <w:tc>
          <w:tcPr>
            <w:tcW w:w="2061" w:type="dxa"/>
            <w:vMerge w:val="continue"/>
            <w:tcBorders>
              <w:left w:val="single" w:color="auto" w:sz="4" w:space="0"/>
            </w:tcBorders>
            <w:shd w:val="clear" w:color="auto" w:fill="auto"/>
            <w:vAlign w:val="center"/>
          </w:tcPr>
          <w:p w14:paraId="4E7E80C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8F1C32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4D89CA51">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B5D3C51">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9AFEFA7">
            <w:pPr>
              <w:widowControl/>
              <w:jc w:val="center"/>
              <w:textAlignment w:val="center"/>
              <w:rPr>
                <w:rFonts w:hint="eastAsia" w:ascii="宋体" w:hAnsi="宋体" w:eastAsia="宋体" w:cs="宋体"/>
                <w:color w:val="auto"/>
                <w:kern w:val="0"/>
                <w:sz w:val="24"/>
                <w:highlight w:val="none"/>
              </w:rPr>
            </w:pPr>
          </w:p>
        </w:tc>
      </w:tr>
      <w:tr w14:paraId="28EA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6A729BF8">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2008193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案件管理模块</w:t>
            </w:r>
          </w:p>
        </w:tc>
        <w:tc>
          <w:tcPr>
            <w:tcW w:w="1679" w:type="dxa"/>
            <w:tcBorders>
              <w:left w:val="single" w:color="auto" w:sz="4" w:space="0"/>
            </w:tcBorders>
            <w:shd w:val="clear" w:color="auto" w:fill="auto"/>
            <w:vAlign w:val="center"/>
          </w:tcPr>
          <w:p w14:paraId="5036D9A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案件处理</w:t>
            </w:r>
          </w:p>
        </w:tc>
        <w:tc>
          <w:tcPr>
            <w:tcW w:w="2061" w:type="dxa"/>
            <w:vMerge w:val="continue"/>
            <w:tcBorders>
              <w:left w:val="single" w:color="auto" w:sz="4" w:space="0"/>
            </w:tcBorders>
            <w:shd w:val="clear" w:color="auto" w:fill="auto"/>
            <w:vAlign w:val="center"/>
          </w:tcPr>
          <w:p w14:paraId="13C72A4D">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135EA37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03F564F6">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3D01AE46">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4AFAD32A">
            <w:pPr>
              <w:widowControl/>
              <w:jc w:val="center"/>
              <w:textAlignment w:val="center"/>
              <w:rPr>
                <w:rFonts w:hint="eastAsia" w:ascii="宋体" w:hAnsi="宋体" w:eastAsia="宋体" w:cs="宋体"/>
                <w:color w:val="auto"/>
                <w:kern w:val="0"/>
                <w:sz w:val="24"/>
                <w:highlight w:val="none"/>
              </w:rPr>
            </w:pPr>
          </w:p>
        </w:tc>
      </w:tr>
      <w:tr w14:paraId="4F85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0AAFE79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6FA1815">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91CFC0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案件审批</w:t>
            </w:r>
          </w:p>
        </w:tc>
        <w:tc>
          <w:tcPr>
            <w:tcW w:w="2061" w:type="dxa"/>
            <w:vMerge w:val="continue"/>
            <w:tcBorders>
              <w:left w:val="single" w:color="auto" w:sz="4" w:space="0"/>
            </w:tcBorders>
            <w:shd w:val="clear" w:color="auto" w:fill="auto"/>
            <w:vAlign w:val="center"/>
          </w:tcPr>
          <w:p w14:paraId="7330AD6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FFCA1F8">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8BB4631">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48FC5D2">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5548A2C">
            <w:pPr>
              <w:widowControl/>
              <w:jc w:val="center"/>
              <w:textAlignment w:val="center"/>
              <w:rPr>
                <w:rFonts w:hint="eastAsia" w:ascii="宋体" w:hAnsi="宋体" w:eastAsia="宋体" w:cs="宋体"/>
                <w:color w:val="auto"/>
                <w:kern w:val="0"/>
                <w:sz w:val="24"/>
                <w:highlight w:val="none"/>
              </w:rPr>
            </w:pPr>
          </w:p>
        </w:tc>
      </w:tr>
      <w:tr w14:paraId="731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60BEFE00">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FB70F8C">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F8F7B7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案件办理总览</w:t>
            </w:r>
          </w:p>
        </w:tc>
        <w:tc>
          <w:tcPr>
            <w:tcW w:w="2061" w:type="dxa"/>
            <w:vMerge w:val="continue"/>
            <w:tcBorders>
              <w:left w:val="single" w:color="auto" w:sz="4" w:space="0"/>
            </w:tcBorders>
            <w:shd w:val="clear" w:color="auto" w:fill="auto"/>
            <w:vAlign w:val="center"/>
          </w:tcPr>
          <w:p w14:paraId="1644DDE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473E090">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B7BBAF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875B5C9">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D75736B">
            <w:pPr>
              <w:widowControl/>
              <w:jc w:val="center"/>
              <w:textAlignment w:val="center"/>
              <w:rPr>
                <w:rFonts w:hint="eastAsia" w:ascii="宋体" w:hAnsi="宋体" w:eastAsia="宋体" w:cs="宋体"/>
                <w:color w:val="auto"/>
                <w:kern w:val="0"/>
                <w:sz w:val="24"/>
                <w:highlight w:val="none"/>
              </w:rPr>
            </w:pPr>
          </w:p>
        </w:tc>
      </w:tr>
      <w:tr w14:paraId="6F17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967EC28">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603A7BD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涉案财务管理模块 </w:t>
            </w:r>
          </w:p>
        </w:tc>
        <w:tc>
          <w:tcPr>
            <w:tcW w:w="1679" w:type="dxa"/>
            <w:tcBorders>
              <w:left w:val="single" w:color="auto" w:sz="4" w:space="0"/>
            </w:tcBorders>
            <w:shd w:val="clear" w:color="auto" w:fill="auto"/>
            <w:vAlign w:val="center"/>
          </w:tcPr>
          <w:p w14:paraId="64FB0923">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涉案车辆管理</w:t>
            </w:r>
          </w:p>
        </w:tc>
        <w:tc>
          <w:tcPr>
            <w:tcW w:w="2061" w:type="dxa"/>
            <w:vMerge w:val="continue"/>
            <w:tcBorders>
              <w:left w:val="single" w:color="auto" w:sz="4" w:space="0"/>
            </w:tcBorders>
            <w:shd w:val="clear" w:color="auto" w:fill="auto"/>
            <w:vAlign w:val="center"/>
          </w:tcPr>
          <w:p w14:paraId="530EA41A">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0FA6AE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4343B610">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3F0D3A25">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77029A0E">
            <w:pPr>
              <w:widowControl/>
              <w:jc w:val="center"/>
              <w:textAlignment w:val="center"/>
              <w:rPr>
                <w:rFonts w:hint="eastAsia" w:ascii="宋体" w:hAnsi="宋体" w:eastAsia="宋体" w:cs="宋体"/>
                <w:color w:val="auto"/>
                <w:kern w:val="0"/>
                <w:sz w:val="24"/>
                <w:highlight w:val="none"/>
              </w:rPr>
            </w:pPr>
          </w:p>
        </w:tc>
      </w:tr>
      <w:tr w14:paraId="53AC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4F6632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A29656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098B5C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停车场管理</w:t>
            </w:r>
          </w:p>
        </w:tc>
        <w:tc>
          <w:tcPr>
            <w:tcW w:w="2061" w:type="dxa"/>
            <w:vMerge w:val="continue"/>
            <w:tcBorders>
              <w:left w:val="single" w:color="auto" w:sz="4" w:space="0"/>
            </w:tcBorders>
            <w:shd w:val="clear" w:color="auto" w:fill="auto"/>
            <w:vAlign w:val="center"/>
          </w:tcPr>
          <w:p w14:paraId="0D6368A4">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615E6A7">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43DB8D20">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BE52182">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4E17F07">
            <w:pPr>
              <w:widowControl/>
              <w:jc w:val="center"/>
              <w:textAlignment w:val="center"/>
              <w:rPr>
                <w:rFonts w:hint="eastAsia" w:ascii="宋体" w:hAnsi="宋体" w:eastAsia="宋体" w:cs="宋体"/>
                <w:color w:val="auto"/>
                <w:kern w:val="0"/>
                <w:sz w:val="24"/>
                <w:highlight w:val="none"/>
              </w:rPr>
            </w:pPr>
          </w:p>
        </w:tc>
      </w:tr>
      <w:tr w14:paraId="01E3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61DB152">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0776BD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0BFF79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涉案证件管理</w:t>
            </w:r>
          </w:p>
        </w:tc>
        <w:tc>
          <w:tcPr>
            <w:tcW w:w="2061" w:type="dxa"/>
            <w:vMerge w:val="continue"/>
            <w:tcBorders>
              <w:left w:val="single" w:color="auto" w:sz="4" w:space="0"/>
            </w:tcBorders>
            <w:shd w:val="clear" w:color="auto" w:fill="auto"/>
            <w:vAlign w:val="center"/>
          </w:tcPr>
          <w:p w14:paraId="2E4B684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0329504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F7880D6">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B84E47D">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6C9C7677">
            <w:pPr>
              <w:widowControl/>
              <w:jc w:val="center"/>
              <w:textAlignment w:val="center"/>
              <w:rPr>
                <w:rFonts w:hint="eastAsia" w:ascii="宋体" w:hAnsi="宋体" w:eastAsia="宋体" w:cs="宋体"/>
                <w:color w:val="auto"/>
                <w:kern w:val="0"/>
                <w:sz w:val="24"/>
                <w:highlight w:val="none"/>
              </w:rPr>
            </w:pPr>
          </w:p>
        </w:tc>
      </w:tr>
      <w:tr w14:paraId="32AC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BA8E22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F7B75F2">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91D446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涉案血液/尿样管理</w:t>
            </w:r>
          </w:p>
        </w:tc>
        <w:tc>
          <w:tcPr>
            <w:tcW w:w="2061" w:type="dxa"/>
            <w:vMerge w:val="continue"/>
            <w:tcBorders>
              <w:left w:val="single" w:color="auto" w:sz="4" w:space="0"/>
            </w:tcBorders>
            <w:shd w:val="clear" w:color="auto" w:fill="auto"/>
            <w:vAlign w:val="center"/>
          </w:tcPr>
          <w:p w14:paraId="73F54E78">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69518D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7D55197">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B1AEC9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CF52847">
            <w:pPr>
              <w:widowControl/>
              <w:jc w:val="center"/>
              <w:textAlignment w:val="center"/>
              <w:rPr>
                <w:rFonts w:hint="eastAsia" w:ascii="宋体" w:hAnsi="宋体" w:eastAsia="宋体" w:cs="宋体"/>
                <w:color w:val="auto"/>
                <w:kern w:val="0"/>
                <w:sz w:val="24"/>
                <w:highlight w:val="none"/>
              </w:rPr>
            </w:pPr>
          </w:p>
        </w:tc>
      </w:tr>
      <w:tr w14:paraId="24CD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0A8C0231">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7E802CE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违法业务监管模块</w:t>
            </w:r>
          </w:p>
        </w:tc>
        <w:tc>
          <w:tcPr>
            <w:tcW w:w="1679" w:type="dxa"/>
            <w:tcBorders>
              <w:left w:val="single" w:color="auto" w:sz="4" w:space="0"/>
            </w:tcBorders>
            <w:shd w:val="clear" w:color="auto" w:fill="auto"/>
            <w:vAlign w:val="center"/>
          </w:tcPr>
          <w:p w14:paraId="1495EE9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现场执法监管</w:t>
            </w:r>
          </w:p>
        </w:tc>
        <w:tc>
          <w:tcPr>
            <w:tcW w:w="2061" w:type="dxa"/>
            <w:vMerge w:val="continue"/>
            <w:tcBorders>
              <w:left w:val="single" w:color="auto" w:sz="4" w:space="0"/>
            </w:tcBorders>
            <w:shd w:val="clear" w:color="auto" w:fill="auto"/>
            <w:vAlign w:val="center"/>
          </w:tcPr>
          <w:p w14:paraId="346267B0">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530E534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6C54D151">
            <w:pPr>
              <w:widowControl/>
              <w:jc w:val="center"/>
              <w:rPr>
                <w:rFonts w:hint="eastAsia" w:ascii="宋体" w:hAnsi="宋体" w:eastAsia="宋体" w:cs="宋体"/>
                <w:color w:val="auto"/>
                <w:kern w:val="0"/>
                <w:sz w:val="24"/>
                <w:highlight w:val="none"/>
              </w:rPr>
            </w:pPr>
          </w:p>
        </w:tc>
        <w:tc>
          <w:tcPr>
            <w:tcW w:w="1030" w:type="dxa"/>
            <w:tcBorders>
              <w:left w:val="single" w:color="auto" w:sz="4" w:space="0"/>
            </w:tcBorders>
            <w:shd w:val="clear" w:color="auto" w:fill="auto"/>
            <w:vAlign w:val="center"/>
          </w:tcPr>
          <w:p w14:paraId="7E17B369">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2BACB184">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1624F36B">
            <w:pPr>
              <w:widowControl/>
              <w:jc w:val="center"/>
              <w:textAlignment w:val="center"/>
              <w:rPr>
                <w:rFonts w:hint="eastAsia" w:ascii="宋体" w:hAnsi="宋体" w:eastAsia="宋体" w:cs="宋体"/>
                <w:color w:val="auto"/>
                <w:kern w:val="0"/>
                <w:sz w:val="24"/>
                <w:highlight w:val="none"/>
              </w:rPr>
            </w:pPr>
          </w:p>
        </w:tc>
      </w:tr>
      <w:tr w14:paraId="3FE6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AA64A1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3AE0BA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A792C8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非现场执法监管</w:t>
            </w:r>
          </w:p>
        </w:tc>
        <w:tc>
          <w:tcPr>
            <w:tcW w:w="2061" w:type="dxa"/>
            <w:vMerge w:val="continue"/>
            <w:tcBorders>
              <w:left w:val="single" w:color="auto" w:sz="4" w:space="0"/>
            </w:tcBorders>
            <w:shd w:val="clear" w:color="auto" w:fill="auto"/>
            <w:vAlign w:val="center"/>
          </w:tcPr>
          <w:p w14:paraId="7E54CCD2">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8C1F9F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289C28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51E8F5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C4AB52F">
            <w:pPr>
              <w:widowControl/>
              <w:jc w:val="center"/>
              <w:textAlignment w:val="center"/>
              <w:rPr>
                <w:rFonts w:hint="eastAsia" w:ascii="宋体" w:hAnsi="宋体" w:eastAsia="宋体" w:cs="宋体"/>
                <w:color w:val="auto"/>
                <w:kern w:val="0"/>
                <w:sz w:val="24"/>
                <w:highlight w:val="none"/>
              </w:rPr>
            </w:pPr>
          </w:p>
        </w:tc>
      </w:tr>
      <w:tr w14:paraId="6A21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07" w:type="dxa"/>
            <w:vMerge w:val="continue"/>
            <w:shd w:val="clear" w:color="auto" w:fill="auto"/>
            <w:vAlign w:val="center"/>
          </w:tcPr>
          <w:p w14:paraId="4D0BBDB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DC3039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7E0F66C">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案事件预警监管</w:t>
            </w:r>
          </w:p>
        </w:tc>
        <w:tc>
          <w:tcPr>
            <w:tcW w:w="2061" w:type="dxa"/>
            <w:vMerge w:val="continue"/>
            <w:tcBorders>
              <w:left w:val="single" w:color="auto" w:sz="4" w:space="0"/>
            </w:tcBorders>
            <w:shd w:val="clear" w:color="auto" w:fill="auto"/>
            <w:vAlign w:val="center"/>
          </w:tcPr>
          <w:p w14:paraId="2C5BC135">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3BCF044">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FFF200A">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7C7D9D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EB3E817">
            <w:pPr>
              <w:widowControl/>
              <w:jc w:val="center"/>
              <w:textAlignment w:val="center"/>
              <w:rPr>
                <w:rFonts w:hint="eastAsia" w:ascii="宋体" w:hAnsi="宋体" w:eastAsia="宋体" w:cs="宋体"/>
                <w:color w:val="auto"/>
                <w:kern w:val="0"/>
                <w:sz w:val="24"/>
                <w:highlight w:val="none"/>
              </w:rPr>
            </w:pPr>
          </w:p>
        </w:tc>
      </w:tr>
      <w:tr w14:paraId="4379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jc w:val="center"/>
        </w:trPr>
        <w:tc>
          <w:tcPr>
            <w:tcW w:w="807" w:type="dxa"/>
            <w:vMerge w:val="continue"/>
            <w:shd w:val="clear" w:color="auto" w:fill="auto"/>
            <w:vAlign w:val="center"/>
          </w:tcPr>
          <w:p w14:paraId="00E7FC0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A76914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F3B660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涉案财物监管</w:t>
            </w:r>
          </w:p>
        </w:tc>
        <w:tc>
          <w:tcPr>
            <w:tcW w:w="2061" w:type="dxa"/>
            <w:vMerge w:val="continue"/>
            <w:tcBorders>
              <w:left w:val="single" w:color="auto" w:sz="4" w:space="0"/>
            </w:tcBorders>
            <w:shd w:val="clear" w:color="auto" w:fill="auto"/>
            <w:vAlign w:val="center"/>
          </w:tcPr>
          <w:p w14:paraId="600D690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04EA4D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732487FE">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0162D98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D1818C7">
            <w:pPr>
              <w:widowControl/>
              <w:jc w:val="center"/>
              <w:textAlignment w:val="center"/>
              <w:rPr>
                <w:rFonts w:hint="eastAsia" w:ascii="宋体" w:hAnsi="宋体" w:eastAsia="宋体" w:cs="宋体"/>
                <w:color w:val="auto"/>
                <w:kern w:val="0"/>
                <w:sz w:val="24"/>
                <w:highlight w:val="none"/>
              </w:rPr>
            </w:pPr>
          </w:p>
        </w:tc>
      </w:tr>
      <w:tr w14:paraId="0908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836667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BD69B0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599387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执法画像</w:t>
            </w:r>
          </w:p>
        </w:tc>
        <w:tc>
          <w:tcPr>
            <w:tcW w:w="2061" w:type="dxa"/>
            <w:vMerge w:val="continue"/>
            <w:tcBorders>
              <w:left w:val="single" w:color="auto" w:sz="4" w:space="0"/>
            </w:tcBorders>
            <w:shd w:val="clear" w:color="auto" w:fill="auto"/>
            <w:vAlign w:val="center"/>
          </w:tcPr>
          <w:p w14:paraId="5E0B84C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34F305E">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F5785F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1A02D7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714AD54">
            <w:pPr>
              <w:widowControl/>
              <w:jc w:val="center"/>
              <w:textAlignment w:val="center"/>
              <w:rPr>
                <w:rFonts w:hint="eastAsia" w:ascii="宋体" w:hAnsi="宋体" w:eastAsia="宋体" w:cs="宋体"/>
                <w:color w:val="auto"/>
                <w:kern w:val="0"/>
                <w:sz w:val="24"/>
                <w:highlight w:val="none"/>
              </w:rPr>
            </w:pPr>
          </w:p>
        </w:tc>
      </w:tr>
      <w:tr w14:paraId="379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6A0189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CA287CA">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23B19A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业务评估</w:t>
            </w:r>
          </w:p>
        </w:tc>
        <w:tc>
          <w:tcPr>
            <w:tcW w:w="2061" w:type="dxa"/>
            <w:vMerge w:val="continue"/>
            <w:tcBorders>
              <w:left w:val="single" w:color="auto" w:sz="4" w:space="0"/>
            </w:tcBorders>
            <w:shd w:val="clear" w:color="auto" w:fill="auto"/>
            <w:vAlign w:val="center"/>
          </w:tcPr>
          <w:p w14:paraId="7982F65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228BDC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4F8E0DE">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ED9D63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8D2C713">
            <w:pPr>
              <w:widowControl/>
              <w:jc w:val="center"/>
              <w:textAlignment w:val="center"/>
              <w:rPr>
                <w:rFonts w:hint="eastAsia" w:ascii="宋体" w:hAnsi="宋体" w:eastAsia="宋体" w:cs="宋体"/>
                <w:color w:val="auto"/>
                <w:kern w:val="0"/>
                <w:sz w:val="24"/>
                <w:highlight w:val="none"/>
              </w:rPr>
            </w:pPr>
          </w:p>
        </w:tc>
      </w:tr>
      <w:tr w14:paraId="4B86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958" w:type="dxa"/>
            <w:gridSpan w:val="6"/>
            <w:shd w:val="clear" w:color="auto" w:fill="auto"/>
            <w:vAlign w:val="center"/>
          </w:tcPr>
          <w:p w14:paraId="31BB567D">
            <w:pPr>
              <w:widowControl/>
              <w:autoSpaceDE w:val="0"/>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投标报价（小写）      人民币万元</w:t>
            </w:r>
          </w:p>
        </w:tc>
        <w:tc>
          <w:tcPr>
            <w:tcW w:w="947" w:type="dxa"/>
            <w:tcBorders>
              <w:left w:val="single" w:color="auto" w:sz="4" w:space="0"/>
            </w:tcBorders>
            <w:shd w:val="clear" w:color="auto" w:fill="auto"/>
            <w:vAlign w:val="center"/>
          </w:tcPr>
          <w:p w14:paraId="21BC7F00">
            <w:pPr>
              <w:widowControl/>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shd w:val="clear" w:color="auto" w:fill="auto"/>
            <w:vAlign w:val="center"/>
          </w:tcPr>
          <w:p w14:paraId="5D3D54F1">
            <w:pPr>
              <w:widowControl/>
              <w:jc w:val="center"/>
              <w:textAlignment w:val="center"/>
              <w:rPr>
                <w:rFonts w:hint="eastAsia" w:ascii="宋体" w:hAnsi="宋体" w:eastAsia="宋体" w:cs="宋体"/>
                <w:b/>
                <w:bCs/>
                <w:color w:val="auto"/>
                <w:sz w:val="24"/>
                <w:highlight w:val="none"/>
              </w:rPr>
            </w:pPr>
          </w:p>
        </w:tc>
      </w:tr>
      <w:tr w14:paraId="07C6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958" w:type="dxa"/>
            <w:gridSpan w:val="6"/>
            <w:shd w:val="clear" w:color="auto" w:fill="auto"/>
            <w:vAlign w:val="center"/>
          </w:tcPr>
          <w:p w14:paraId="5BD55C31">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snapToGrid w:val="0"/>
                <w:color w:val="auto"/>
                <w:sz w:val="24"/>
                <w:highlight w:val="none"/>
              </w:rPr>
              <w:t>投标报价（大写）       人民币万元</w:t>
            </w:r>
          </w:p>
        </w:tc>
        <w:tc>
          <w:tcPr>
            <w:tcW w:w="947" w:type="dxa"/>
            <w:tcBorders>
              <w:left w:val="single" w:color="auto" w:sz="4" w:space="0"/>
            </w:tcBorders>
            <w:shd w:val="clear" w:color="auto" w:fill="auto"/>
            <w:vAlign w:val="center"/>
          </w:tcPr>
          <w:p w14:paraId="582A409B">
            <w:pPr>
              <w:widowControl/>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shd w:val="clear" w:color="auto" w:fill="auto"/>
            <w:vAlign w:val="center"/>
          </w:tcPr>
          <w:p w14:paraId="3F436632">
            <w:pPr>
              <w:widowControl/>
              <w:jc w:val="center"/>
              <w:textAlignment w:val="center"/>
              <w:rPr>
                <w:rFonts w:hint="eastAsia" w:ascii="宋体" w:hAnsi="宋体" w:eastAsia="宋体" w:cs="宋体"/>
                <w:b/>
                <w:bCs/>
                <w:color w:val="auto"/>
                <w:sz w:val="24"/>
                <w:highlight w:val="none"/>
              </w:rPr>
            </w:pPr>
          </w:p>
        </w:tc>
      </w:tr>
    </w:tbl>
    <w:p w14:paraId="5F03364A">
      <w:pPr>
        <w:snapToGrid/>
        <w:spacing w:line="360" w:lineRule="auto"/>
        <w:ind w:firstLine="480" w:firstLineChars="200"/>
        <w:jc w:val="right"/>
        <w:rPr>
          <w:rFonts w:hint="eastAsia" w:ascii="宋体" w:hAnsi="宋体" w:eastAsia="宋体" w:cs="宋体"/>
          <w:color w:val="auto"/>
          <w:kern w:val="0"/>
          <w:sz w:val="24"/>
          <w:szCs w:val="24"/>
          <w:highlight w:val="none"/>
          <w:lang w:val="zh-CN"/>
        </w:rPr>
      </w:pPr>
    </w:p>
    <w:p w14:paraId="3714124B">
      <w:pPr>
        <w:snapToGrid/>
        <w:spacing w:line="360" w:lineRule="auto"/>
        <w:ind w:firstLine="480" w:firstLineChars="200"/>
        <w:jc w:val="right"/>
        <w:rPr>
          <w:rFonts w:hint="eastAsia" w:ascii="宋体" w:hAnsi="宋体" w:eastAsia="宋体" w:cs="宋体"/>
          <w:color w:val="auto"/>
          <w:kern w:val="0"/>
          <w:sz w:val="24"/>
          <w:szCs w:val="24"/>
          <w:highlight w:val="none"/>
          <w:lang w:val="zh-CN"/>
        </w:rPr>
      </w:pPr>
    </w:p>
    <w:p w14:paraId="354B80AD">
      <w:pPr>
        <w:snapToGrid/>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投标人名称（电子签名）：</w:t>
      </w:r>
    </w:p>
    <w:p w14:paraId="4F244BF1">
      <w:pPr>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49C22FCC">
      <w:pPr>
        <w:adjustRightInd w:val="0"/>
        <w:snapToGrid w:val="0"/>
        <w:spacing w:line="360" w:lineRule="auto"/>
        <w:ind w:left="480"/>
        <w:rPr>
          <w:rFonts w:hint="eastAsia" w:ascii="宋体" w:hAnsi="宋体" w:eastAsia="宋体" w:cs="宋体"/>
          <w:b/>
          <w:color w:val="auto"/>
          <w:kern w:val="0"/>
          <w:sz w:val="24"/>
          <w:highlight w:val="none"/>
          <w:lang w:val="zh-CN"/>
        </w:rPr>
      </w:pPr>
    </w:p>
    <w:p w14:paraId="0D8B5EA6">
      <w:pPr>
        <w:pStyle w:val="36"/>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p>
    <w:p w14:paraId="10B2F753">
      <w:pPr>
        <w:pStyle w:val="36"/>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07529B3">
      <w:pPr>
        <w:shd w:val="clear"/>
        <w:ind w:left="-2" w:firstLine="643" w:firstLineChars="200"/>
        <w:jc w:val="center"/>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rPr>
        <w:t>二、</w:t>
      </w:r>
      <w:r>
        <w:rPr>
          <w:rFonts w:hint="eastAsia" w:ascii="宋体" w:hAnsi="宋体" w:eastAsia="宋体" w:cs="宋体"/>
          <w:color w:val="auto"/>
          <w:sz w:val="32"/>
          <w:szCs w:val="32"/>
          <w:highlight w:val="none"/>
        </w:rPr>
        <w:t>报价情况说明（如果有）</w:t>
      </w:r>
    </w:p>
    <w:p w14:paraId="3D42121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（如供应商报价低于项目预算50%的，应当提交本文档，详细阐述不影响产品质量或者诚信履约的具体原因。）</w:t>
      </w:r>
    </w:p>
    <w:p w14:paraId="6BCBEA7E">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DB3E12A">
      <w:pPr>
        <w:pStyle w:val="4"/>
        <w:pageBreakBefore/>
        <w:widowControl/>
        <w:shd w:val="clear"/>
        <w:spacing w:before="100" w:beforeAutospacing="1" w:after="100" w:afterAutospacing="1"/>
        <w:rPr>
          <w:rFonts w:hint="eastAsia" w:ascii="宋体" w:hAnsi="宋体" w:eastAsia="宋体" w:cs="宋体"/>
          <w:color w:val="auto"/>
          <w:highlight w:val="none"/>
        </w:rPr>
      </w:pPr>
      <w:r>
        <w:rPr>
          <w:rFonts w:hint="eastAsia" w:ascii="宋体" w:hAnsi="宋体" w:eastAsia="宋体" w:cs="宋体"/>
          <w:color w:val="auto"/>
          <w:highlight w:val="none"/>
        </w:rPr>
        <w:t>第一章 附件</w:t>
      </w:r>
    </w:p>
    <w:p w14:paraId="6F620A8F">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43505E5">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6F9DE40">
      <w:pPr>
        <w:shd w:val="clear"/>
        <w:spacing w:line="360" w:lineRule="auto"/>
        <w:rPr>
          <w:rFonts w:hint="eastAsia" w:ascii="宋体" w:hAnsi="宋体" w:eastAsia="宋体" w:cs="宋体"/>
          <w:b/>
          <w:color w:val="auto"/>
          <w:spacing w:val="6"/>
          <w:sz w:val="30"/>
          <w:szCs w:val="30"/>
          <w:highlight w:val="none"/>
        </w:rPr>
      </w:pPr>
    </w:p>
    <w:p w14:paraId="1E8B02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杭州市公安局交通警察支队</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2025年杭州交警业务系统租赁使用服务-2025年杭州交警网络及数据安全运维服务</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087E1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18ACFFE">
      <w:pPr>
        <w:shd w:val="clear"/>
        <w:spacing w:line="360" w:lineRule="auto"/>
        <w:ind w:firstLine="480" w:firstLineChars="200"/>
        <w:rPr>
          <w:rFonts w:hint="eastAsia" w:ascii="宋体" w:hAnsi="宋体" w:eastAsia="宋体" w:cs="宋体"/>
          <w:color w:val="auto"/>
          <w:sz w:val="24"/>
          <w:highlight w:val="none"/>
        </w:rPr>
      </w:pPr>
    </w:p>
    <w:p w14:paraId="0550C4BC">
      <w:pPr>
        <w:shd w:val="clear"/>
        <w:spacing w:line="360" w:lineRule="auto"/>
        <w:ind w:firstLine="480" w:firstLineChars="200"/>
        <w:rPr>
          <w:rFonts w:hint="eastAsia" w:ascii="宋体" w:hAnsi="宋体" w:eastAsia="宋体" w:cs="宋体"/>
          <w:color w:val="auto"/>
          <w:sz w:val="24"/>
          <w:highlight w:val="none"/>
        </w:rPr>
      </w:pPr>
    </w:p>
    <w:p w14:paraId="190A85ED">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CE2FF22">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7A05AED">
      <w:pPr>
        <w:shd w:val="clear"/>
        <w:spacing w:line="360" w:lineRule="auto"/>
        <w:ind w:firstLine="480" w:firstLineChars="200"/>
        <w:rPr>
          <w:rFonts w:hint="eastAsia" w:ascii="宋体" w:hAnsi="宋体" w:eastAsia="宋体" w:cs="宋体"/>
          <w:color w:val="auto"/>
          <w:sz w:val="24"/>
          <w:highlight w:val="none"/>
        </w:rPr>
      </w:pPr>
    </w:p>
    <w:p w14:paraId="27EC55AC">
      <w:pPr>
        <w:shd w:val="clear"/>
        <w:spacing w:line="360" w:lineRule="auto"/>
        <w:ind w:firstLine="420" w:firstLineChars="200"/>
        <w:rPr>
          <w:rFonts w:hint="eastAsia" w:ascii="宋体" w:hAnsi="宋体" w:eastAsia="宋体" w:cs="宋体"/>
          <w:color w:val="auto"/>
          <w:highlight w:val="none"/>
        </w:rPr>
      </w:pPr>
    </w:p>
    <w:p w14:paraId="061AA8F7">
      <w:pPr>
        <w:shd w:val="clear"/>
        <w:spacing w:line="360" w:lineRule="auto"/>
        <w:ind w:firstLine="420" w:firstLineChars="200"/>
        <w:rPr>
          <w:rFonts w:hint="eastAsia" w:ascii="宋体" w:hAnsi="宋体" w:eastAsia="宋体" w:cs="宋体"/>
          <w:color w:val="auto"/>
          <w:highlight w:val="none"/>
        </w:rPr>
      </w:pPr>
    </w:p>
    <w:p w14:paraId="2036F3F9">
      <w:pPr>
        <w:shd w:val="clear"/>
        <w:spacing w:line="360" w:lineRule="auto"/>
        <w:ind w:firstLine="420" w:firstLineChars="200"/>
        <w:rPr>
          <w:rFonts w:hint="eastAsia" w:ascii="宋体" w:hAnsi="宋体" w:eastAsia="宋体" w:cs="宋体"/>
          <w:color w:val="auto"/>
          <w:highlight w:val="none"/>
        </w:rPr>
      </w:pPr>
    </w:p>
    <w:p w14:paraId="540F9CD3">
      <w:pPr>
        <w:shd w:val="clear"/>
        <w:spacing w:line="360" w:lineRule="auto"/>
        <w:ind w:firstLine="420" w:firstLineChars="200"/>
        <w:rPr>
          <w:rFonts w:hint="eastAsia" w:ascii="宋体" w:hAnsi="宋体" w:eastAsia="宋体" w:cs="宋体"/>
          <w:color w:val="auto"/>
          <w:highlight w:val="none"/>
        </w:rPr>
      </w:pPr>
    </w:p>
    <w:p w14:paraId="3FC91648">
      <w:pPr>
        <w:shd w:val="clear"/>
        <w:spacing w:line="360" w:lineRule="auto"/>
        <w:rPr>
          <w:rFonts w:hint="eastAsia" w:ascii="宋体" w:hAnsi="宋体" w:eastAsia="宋体" w:cs="宋体"/>
          <w:b/>
          <w:color w:val="auto"/>
          <w:sz w:val="24"/>
          <w:highlight w:val="none"/>
        </w:rPr>
      </w:pPr>
    </w:p>
    <w:p w14:paraId="5DD23D5D">
      <w:pPr>
        <w:shd w:val="clear"/>
        <w:spacing w:line="360" w:lineRule="auto"/>
        <w:rPr>
          <w:rFonts w:hint="eastAsia" w:ascii="宋体" w:hAnsi="宋体" w:eastAsia="宋体" w:cs="宋体"/>
          <w:b/>
          <w:color w:val="auto"/>
          <w:sz w:val="24"/>
          <w:highlight w:val="none"/>
        </w:rPr>
      </w:pPr>
    </w:p>
    <w:p w14:paraId="1ABCFDC7">
      <w:pPr>
        <w:shd w:val="clear"/>
        <w:spacing w:line="360" w:lineRule="auto"/>
        <w:rPr>
          <w:rFonts w:hint="eastAsia" w:ascii="宋体" w:hAnsi="宋体" w:eastAsia="宋体" w:cs="宋体"/>
          <w:b/>
          <w:color w:val="auto"/>
          <w:sz w:val="24"/>
          <w:highlight w:val="none"/>
        </w:rPr>
      </w:pPr>
    </w:p>
    <w:p w14:paraId="50EF28F1">
      <w:pPr>
        <w:shd w:val="clear"/>
        <w:spacing w:line="360" w:lineRule="auto"/>
        <w:rPr>
          <w:rFonts w:hint="eastAsia" w:ascii="宋体" w:hAnsi="宋体" w:eastAsia="宋体" w:cs="宋体"/>
          <w:b/>
          <w:color w:val="auto"/>
          <w:sz w:val="24"/>
          <w:highlight w:val="none"/>
        </w:rPr>
      </w:pPr>
    </w:p>
    <w:p w14:paraId="1FE24816">
      <w:pPr>
        <w:shd w:val="clear"/>
        <w:spacing w:line="360" w:lineRule="auto"/>
        <w:rPr>
          <w:rFonts w:hint="eastAsia" w:ascii="宋体" w:hAnsi="宋体" w:eastAsia="宋体" w:cs="宋体"/>
          <w:b/>
          <w:color w:val="auto"/>
          <w:sz w:val="24"/>
          <w:highlight w:val="none"/>
        </w:rPr>
      </w:pPr>
    </w:p>
    <w:p w14:paraId="7BB4675F">
      <w:pPr>
        <w:shd w:val="clear"/>
        <w:spacing w:line="360" w:lineRule="auto"/>
        <w:rPr>
          <w:rFonts w:hint="eastAsia" w:ascii="宋体" w:hAnsi="宋体" w:eastAsia="宋体" w:cs="宋体"/>
          <w:b/>
          <w:color w:val="auto"/>
          <w:sz w:val="24"/>
          <w:highlight w:val="none"/>
        </w:rPr>
      </w:pPr>
    </w:p>
    <w:p w14:paraId="71C4D443">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E5C9FE7">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6A8B92D">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6CDA580">
      <w:pPr>
        <w:shd w:val="clear"/>
        <w:adjustRightInd w:val="0"/>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4894B43">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F06068E">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31170F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1F5BE75">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4498604">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FB89708">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48F9589">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74C2595">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BACD008">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82E4E81">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82EFDF5">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0EDF171">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CC6BCB0">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3932B60">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60255B">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C71D4CB">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877F9E">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0BFAB75">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CE9737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22D79CC">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0D6E541">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B314B7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EC669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FFC624A">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EF1A38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F7238A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024EE3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1F9318F">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EDD900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F75FF94">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C05A6B">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CC13D3E">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EE0F18D">
      <w:pPr>
        <w:shd w:val="clear"/>
        <w:spacing w:line="360" w:lineRule="auto"/>
        <w:jc w:val="center"/>
        <w:rPr>
          <w:rFonts w:hint="eastAsia" w:ascii="宋体" w:hAnsi="宋体" w:eastAsia="宋体" w:cs="宋体"/>
          <w:b/>
          <w:color w:val="auto"/>
          <w:sz w:val="24"/>
          <w:highlight w:val="none"/>
        </w:rPr>
      </w:pPr>
    </w:p>
    <w:p w14:paraId="259406F0">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F8BF2E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6E1386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71FF4F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392A5B">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11D1335">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27D7CE">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7502C2">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974D44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04883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27921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45DBD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AD00A8B">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AFDE7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C8D59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8A0FC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65773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81319E9">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6A712C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DE829C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37624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D2B6391">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6D280E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E3BBC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44EEF42">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EBDDBA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A4D896">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87F489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585B77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D00687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BD1967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43A5B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CFE399F">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9A74B3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BB5FBB8">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4B0E8A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57A41D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269AF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024E41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1372636">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D6292E8">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1E1A5B3">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D7A624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DBE70F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42E97C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9CDB85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9EFFD67">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213FA18">
      <w:pPr>
        <w:shd w:val="clear"/>
        <w:autoSpaceDE w:val="0"/>
        <w:autoSpaceDN w:val="0"/>
        <w:jc w:val="center"/>
        <w:rPr>
          <w:rFonts w:hint="eastAsia" w:ascii="宋体" w:hAnsi="宋体" w:eastAsia="宋体" w:cs="宋体"/>
          <w:b/>
          <w:color w:val="auto"/>
          <w:spacing w:val="6"/>
          <w:sz w:val="32"/>
          <w:szCs w:val="32"/>
          <w:highlight w:val="none"/>
        </w:rPr>
      </w:pPr>
    </w:p>
    <w:p w14:paraId="230A1C3B">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85DC09C">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7AB4286">
      <w:pPr>
        <w:shd w:val="clear"/>
        <w:spacing w:line="360" w:lineRule="auto"/>
        <w:rPr>
          <w:rFonts w:hint="eastAsia" w:ascii="宋体" w:hAnsi="宋体" w:eastAsia="宋体" w:cs="宋体"/>
          <w:color w:val="auto"/>
          <w:sz w:val="24"/>
          <w:highlight w:val="none"/>
          <w:u w:val="single"/>
        </w:rPr>
      </w:pPr>
    </w:p>
    <w:p w14:paraId="5843EF3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（杭州市公安局交通警察支队）、（浙江正浩招标代理有限公司）：</w:t>
      </w:r>
    </w:p>
    <w:p w14:paraId="017B4F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8AB00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6506B19">
      <w:pPr>
        <w:shd w:val="clear"/>
        <w:spacing w:line="360" w:lineRule="auto"/>
        <w:ind w:firstLine="494"/>
        <w:rPr>
          <w:rFonts w:hint="eastAsia" w:ascii="宋体" w:hAnsi="宋体" w:eastAsia="宋体" w:cs="宋体"/>
          <w:color w:val="auto"/>
          <w:sz w:val="24"/>
          <w:highlight w:val="none"/>
        </w:rPr>
      </w:pPr>
    </w:p>
    <w:p w14:paraId="2FEEA99B">
      <w:pPr>
        <w:shd w:val="clear"/>
        <w:spacing w:line="360" w:lineRule="auto"/>
        <w:ind w:firstLine="494"/>
        <w:rPr>
          <w:rFonts w:hint="eastAsia" w:ascii="宋体" w:hAnsi="宋体" w:eastAsia="宋体" w:cs="宋体"/>
          <w:color w:val="auto"/>
          <w:sz w:val="24"/>
          <w:highlight w:val="none"/>
        </w:rPr>
      </w:pPr>
    </w:p>
    <w:p w14:paraId="7A072A27">
      <w:pPr>
        <w:shd w:val="clear"/>
        <w:spacing w:line="360" w:lineRule="auto"/>
        <w:ind w:firstLine="494"/>
        <w:rPr>
          <w:rFonts w:hint="eastAsia" w:ascii="宋体" w:hAnsi="宋体" w:eastAsia="宋体" w:cs="宋体"/>
          <w:color w:val="auto"/>
          <w:sz w:val="24"/>
          <w:highlight w:val="none"/>
        </w:rPr>
      </w:pPr>
    </w:p>
    <w:p w14:paraId="214D48A2">
      <w:pPr>
        <w:shd w:val="clear"/>
        <w:spacing w:line="360" w:lineRule="auto"/>
        <w:ind w:firstLine="494"/>
        <w:rPr>
          <w:rFonts w:hint="eastAsia" w:ascii="宋体" w:hAnsi="宋体" w:eastAsia="宋体" w:cs="宋体"/>
          <w:color w:val="auto"/>
          <w:sz w:val="24"/>
          <w:highlight w:val="none"/>
        </w:rPr>
      </w:pPr>
    </w:p>
    <w:p w14:paraId="544A77C0">
      <w:pPr>
        <w:shd w:val="clea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C47B47D">
      <w:pPr>
        <w:shd w:val="clea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5DF3E3D">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5C73086">
      <w:p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3033395</wp:posOffset>
                </wp:positionH>
                <wp:positionV relativeFrom="paragraph">
                  <wp:posOffset>356235</wp:posOffset>
                </wp:positionV>
                <wp:extent cx="2704465" cy="2253615"/>
                <wp:effectExtent l="5080" t="4444" r="14604" b="8889"/>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6192;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4" r="13970" b="8889"/>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B83ABBF">
      <w:pPr>
        <w:shd w:val="clear"/>
        <w:autoSpaceDE w:val="0"/>
        <w:autoSpaceDN w:val="0"/>
        <w:jc w:val="center"/>
        <w:rPr>
          <w:rFonts w:hint="eastAsia" w:ascii="宋体" w:hAnsi="宋体" w:eastAsia="宋体" w:cs="宋体"/>
          <w:b/>
          <w:color w:val="auto"/>
          <w:spacing w:val="6"/>
          <w:sz w:val="32"/>
          <w:szCs w:val="32"/>
          <w:highlight w:val="none"/>
        </w:rPr>
      </w:pPr>
    </w:p>
    <w:p w14:paraId="564F6C0C">
      <w:pPr>
        <w:shd w:val="clear"/>
        <w:autoSpaceDE w:val="0"/>
        <w:autoSpaceDN w:val="0"/>
        <w:jc w:val="center"/>
        <w:rPr>
          <w:rFonts w:hint="eastAsia" w:ascii="宋体" w:hAnsi="宋体" w:eastAsia="宋体" w:cs="宋体"/>
          <w:b/>
          <w:color w:val="auto"/>
          <w:spacing w:val="6"/>
          <w:sz w:val="32"/>
          <w:szCs w:val="32"/>
          <w:highlight w:val="none"/>
        </w:rPr>
      </w:pPr>
    </w:p>
    <w:p w14:paraId="5C231176">
      <w:pPr>
        <w:shd w:val="clear"/>
        <w:autoSpaceDE w:val="0"/>
        <w:autoSpaceDN w:val="0"/>
        <w:jc w:val="center"/>
        <w:rPr>
          <w:rFonts w:hint="eastAsia" w:ascii="宋体" w:hAnsi="宋体" w:eastAsia="宋体" w:cs="宋体"/>
          <w:b/>
          <w:color w:val="auto"/>
          <w:spacing w:val="6"/>
          <w:sz w:val="32"/>
          <w:szCs w:val="32"/>
          <w:highlight w:val="none"/>
        </w:rPr>
      </w:pPr>
    </w:p>
    <w:p w14:paraId="1DBDF12E">
      <w:pPr>
        <w:shd w:val="clear"/>
        <w:autoSpaceDE w:val="0"/>
        <w:autoSpaceDN w:val="0"/>
        <w:jc w:val="center"/>
        <w:rPr>
          <w:rFonts w:hint="eastAsia" w:ascii="宋体" w:hAnsi="宋体" w:eastAsia="宋体" w:cs="宋体"/>
          <w:b/>
          <w:color w:val="auto"/>
          <w:spacing w:val="6"/>
          <w:sz w:val="32"/>
          <w:szCs w:val="32"/>
          <w:highlight w:val="none"/>
        </w:rPr>
      </w:pPr>
    </w:p>
    <w:p w14:paraId="32C356E1">
      <w:pPr>
        <w:shd w:val="clear"/>
        <w:autoSpaceDE w:val="0"/>
        <w:autoSpaceDN w:val="0"/>
        <w:jc w:val="center"/>
        <w:rPr>
          <w:rFonts w:hint="eastAsia" w:ascii="宋体" w:hAnsi="宋体" w:eastAsia="宋体" w:cs="宋体"/>
          <w:b/>
          <w:color w:val="auto"/>
          <w:spacing w:val="6"/>
          <w:sz w:val="32"/>
          <w:szCs w:val="32"/>
          <w:highlight w:val="none"/>
        </w:rPr>
      </w:pPr>
    </w:p>
    <w:p w14:paraId="32549949">
      <w:pPr>
        <w:shd w:val="clear"/>
        <w:autoSpaceDE w:val="0"/>
        <w:autoSpaceDN w:val="0"/>
        <w:jc w:val="center"/>
        <w:rPr>
          <w:rFonts w:hint="eastAsia" w:ascii="宋体" w:hAnsi="宋体" w:eastAsia="宋体" w:cs="宋体"/>
          <w:b/>
          <w:color w:val="auto"/>
          <w:spacing w:val="6"/>
          <w:sz w:val="32"/>
          <w:szCs w:val="32"/>
          <w:highlight w:val="none"/>
        </w:rPr>
      </w:pPr>
    </w:p>
    <w:p w14:paraId="3C41C550">
      <w:pPr>
        <w:shd w:val="clear"/>
        <w:autoSpaceDE w:val="0"/>
        <w:autoSpaceDN w:val="0"/>
        <w:jc w:val="center"/>
        <w:rPr>
          <w:rFonts w:hint="eastAsia" w:ascii="宋体" w:hAnsi="宋体" w:eastAsia="宋体" w:cs="宋体"/>
          <w:b/>
          <w:color w:val="auto"/>
          <w:spacing w:val="6"/>
          <w:sz w:val="32"/>
          <w:szCs w:val="32"/>
          <w:highlight w:val="none"/>
        </w:rPr>
      </w:pPr>
    </w:p>
    <w:p w14:paraId="175D6657">
      <w:pPr>
        <w:shd w:val="clear"/>
        <w:autoSpaceDE w:val="0"/>
        <w:autoSpaceDN w:val="0"/>
        <w:jc w:val="center"/>
        <w:rPr>
          <w:rFonts w:hint="eastAsia" w:ascii="宋体" w:hAnsi="宋体" w:eastAsia="宋体" w:cs="宋体"/>
          <w:b/>
          <w:color w:val="auto"/>
          <w:spacing w:val="6"/>
          <w:sz w:val="32"/>
          <w:szCs w:val="32"/>
          <w:highlight w:val="none"/>
        </w:rPr>
      </w:pPr>
    </w:p>
    <w:p w14:paraId="52347003">
      <w:pPr>
        <w:shd w:val="clear"/>
        <w:autoSpaceDE w:val="0"/>
        <w:autoSpaceDN w:val="0"/>
        <w:jc w:val="center"/>
        <w:rPr>
          <w:rFonts w:hint="eastAsia" w:ascii="宋体" w:hAnsi="宋体" w:eastAsia="宋体" w:cs="宋体"/>
          <w:b/>
          <w:color w:val="auto"/>
          <w:spacing w:val="6"/>
          <w:sz w:val="32"/>
          <w:szCs w:val="32"/>
          <w:highlight w:val="none"/>
        </w:rPr>
      </w:pPr>
    </w:p>
    <w:p w14:paraId="20AD434A">
      <w:pPr>
        <w:shd w:val="clear"/>
        <w:autoSpaceDE w:val="0"/>
        <w:autoSpaceDN w:val="0"/>
        <w:jc w:val="center"/>
        <w:rPr>
          <w:rFonts w:hint="eastAsia" w:ascii="宋体" w:hAnsi="宋体" w:eastAsia="宋体" w:cs="宋体"/>
          <w:b/>
          <w:color w:val="auto"/>
          <w:spacing w:val="6"/>
          <w:sz w:val="32"/>
          <w:szCs w:val="32"/>
          <w:highlight w:val="none"/>
        </w:rPr>
      </w:pPr>
    </w:p>
    <w:p w14:paraId="58096EC4">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4FF527F">
      <w:pPr>
        <w:shd w:val="clea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FE94638">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8092BA4">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19EB0BD2">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B348969">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0B0E7B">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A3ADF17">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9712E54">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9ABF9C8">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8B4CC33">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5466BA5">
      <w:pPr>
        <w:shd w:val="clea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6" w:name="_Hlk101131882"/>
      <w:r>
        <w:rPr>
          <w:rFonts w:hint="eastAsia" w:ascii="宋体" w:hAnsi="宋体" w:eastAsia="宋体" w:cs="宋体"/>
          <w:color w:val="auto"/>
          <w:kern w:val="0"/>
          <w:sz w:val="24"/>
          <w:highlight w:val="none"/>
          <w:u w:val="single"/>
        </w:rPr>
        <w:t>联合体成员X,……</w:t>
      </w:r>
      <w:bookmarkEnd w:id="53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7"/>
      <w:r>
        <w:rPr>
          <w:rFonts w:hint="eastAsia" w:ascii="宋体" w:hAnsi="宋体" w:eastAsia="宋体" w:cs="宋体"/>
          <w:b/>
          <w:color w:val="auto"/>
          <w:kern w:val="0"/>
          <w:sz w:val="24"/>
          <w:highlight w:val="none"/>
          <w:lang w:val="zh-CN"/>
        </w:rPr>
        <w:t>）</w:t>
      </w:r>
    </w:p>
    <w:p w14:paraId="28D4ABD6">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8"/>
    </w:p>
    <w:p w14:paraId="6AB8980D">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7F6E7B0">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C7FCE75">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9E8BD4A">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E5CA772">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5C0A0E3">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351D30">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42850F">
      <w:pPr>
        <w:shd w:val="clear"/>
        <w:adjustRightInd w:val="0"/>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C757FE5">
      <w:pPr>
        <w:shd w:val="clea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D025019">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2F53855">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8E91ACB">
      <w:pPr>
        <w:shd w:val="clea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4F85072">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631420D">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A92020E">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B20EA13">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C7283BF">
      <w:pPr>
        <w:pStyle w:val="5"/>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9F9815E">
      <w:pPr>
        <w:shd w:val="clea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2FF3915">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E9322CE">
      <w:pPr>
        <w:shd w:val="clea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1A5BA7E">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B00B545">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0619497">
      <w:pPr>
        <w:shd w:val="clear"/>
        <w:adjustRightInd w:val="0"/>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F59A25A">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31A423E">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B596E4A">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73C8068">
      <w:pPr>
        <w:shd w:val="clea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E1DF32">
      <w:pPr>
        <w:shd w:val="clea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88F9C8C">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F303F1">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012834E">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28C9D28">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CFE9BF6">
      <w:pPr>
        <w:shd w:val="clea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2DF6298">
      <w:pPr>
        <w:shd w:val="clea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F840CEC">
      <w:pPr>
        <w:shd w:val="clea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CC63024">
      <w:pPr>
        <w:shd w:val="clea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5CF711">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17498E0">
      <w:pPr>
        <w:shd w:val="clea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24620A3">
      <w:pPr>
        <w:shd w:val="clea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F4CF426">
      <w:pPr>
        <w:shd w:val="clear"/>
        <w:spacing w:line="360" w:lineRule="auto"/>
        <w:jc w:val="center"/>
        <w:rPr>
          <w:rFonts w:hint="eastAsia" w:ascii="宋体" w:hAnsi="宋体" w:eastAsia="宋体" w:cs="宋体"/>
          <w:color w:val="auto"/>
          <w:sz w:val="24"/>
          <w:highlight w:val="none"/>
          <w:u w:val="single"/>
        </w:rPr>
      </w:pPr>
    </w:p>
    <w:p w14:paraId="78C12B74">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BFED636">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（杭州市公安局交通警察支队）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（2025年杭州交警业务系统租赁使用服务-2025年杭州交警网络及数据安全运维服务）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9E4FC2">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C0D9FC9">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9B6E15C">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2A4B59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67335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E554A5">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07520ED">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DB95585">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FA75097">
      <w:pPr>
        <w:shd w:val="clear"/>
        <w:rPr>
          <w:rFonts w:hint="eastAsia" w:ascii="宋体" w:hAnsi="宋体" w:eastAsia="宋体" w:cs="宋体"/>
          <w:color w:val="auto"/>
          <w:highlight w:val="none"/>
        </w:rPr>
      </w:pPr>
    </w:p>
    <w:p w14:paraId="4D93E15D">
      <w:pPr>
        <w:pStyle w:val="24"/>
        <w:shd w:val="clear"/>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DD1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8DB5A">
                          <w:pPr>
                            <w:pStyle w:val="12"/>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208DB5A">
                    <w:pPr>
                      <w:pStyle w:val="12"/>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D287">
    <w:pPr>
      <w:pStyle w:val="1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E6A07C">
                          <w:pPr>
                            <w:pStyle w:val="12"/>
                          </w:pPr>
                          <w:r>
                            <w:t xml:space="preserve">第 </w:t>
                          </w:r>
                          <w:r>
                            <w:fldChar w:fldCharType="begin"/>
                          </w:r>
                          <w:r>
                            <w:instrText xml:space="preserve"> PAGE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9E6A07C">
                    <w:pPr>
                      <w:pStyle w:val="12"/>
                    </w:pPr>
                    <w:r>
                      <w:t xml:space="preserve">第 </w:t>
                    </w:r>
                    <w:r>
                      <w:fldChar w:fldCharType="begin"/>
                    </w:r>
                    <w:r>
                      <w:instrText xml:space="preserve"> PAGE  \* MERGEFORMAT </w:instrText>
                    </w:r>
                    <w:r>
                      <w:fldChar w:fldCharType="separate"/>
                    </w:r>
                    <w:r>
                      <w:t>134</w:t>
                    </w:r>
                    <w:r>
                      <w:fldChar w:fldCharType="end"/>
                    </w:r>
                    <w:r>
                      <w:t xml:space="preserve"> 页</w:t>
                    </w:r>
                  </w:p>
                </w:txbxContent>
              </v:textbox>
            </v:shape>
          </w:pict>
        </mc:Fallback>
      </mc:AlternateContent>
    </w:r>
  </w:p>
  <w:p w14:paraId="5201A08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3FFE">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46FEF6">
                          <w:pPr>
                            <w:pStyle w:val="12"/>
                          </w:pPr>
                          <w:r>
                            <w:t xml:space="preserve">第 </w:t>
                          </w:r>
                          <w:r>
                            <w:fldChar w:fldCharType="begin"/>
                          </w:r>
                          <w:r>
                            <w:instrText xml:space="preserve"> PAGE  \* MERGEFORMAT </w:instrText>
                          </w:r>
                          <w:r>
                            <w:fldChar w:fldCharType="separate"/>
                          </w:r>
                          <w:r>
                            <w:t>133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846FEF6">
                    <w:pPr>
                      <w:pStyle w:val="12"/>
                    </w:pPr>
                    <w:r>
                      <w:t xml:space="preserve">第 </w:t>
                    </w:r>
                    <w:r>
                      <w:fldChar w:fldCharType="begin"/>
                    </w:r>
                    <w:r>
                      <w:instrText xml:space="preserve"> PAGE  \* MERGEFORMAT </w:instrText>
                    </w:r>
                    <w:r>
                      <w:fldChar w:fldCharType="separate"/>
                    </w:r>
                    <w:r>
                      <w:t>133</w:t>
                    </w:r>
                    <w:r>
                      <w:fldChar w:fldCharType="end"/>
                    </w:r>
                    <w:r>
                      <w:t xml:space="preserve"> 页</w:t>
                    </w:r>
                  </w:p>
                </w:txbxContent>
              </v:textbox>
            </v:shape>
          </w:pict>
        </mc:Fallback>
      </mc:AlternateContent>
    </w:r>
  </w:p>
  <w:p w14:paraId="217C8EC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58E1">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43C4C5">
                          <w:pPr>
                            <w:pStyle w:val="12"/>
                          </w:pPr>
                          <w:r>
                            <w:t xml:space="preserve">第 </w:t>
                          </w:r>
                          <w:r>
                            <w:fldChar w:fldCharType="begin"/>
                          </w:r>
                          <w:r>
                            <w:instrText xml:space="preserve"> PAGE  \* MERGEFORMAT </w:instrText>
                          </w:r>
                          <w:r>
                            <w:fldChar w:fldCharType="separate"/>
                          </w:r>
                          <w:r>
                            <w:t>249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E43C4C5">
                    <w:pPr>
                      <w:pStyle w:val="12"/>
                    </w:pPr>
                    <w:r>
                      <w:t xml:space="preserve">第 </w:t>
                    </w:r>
                    <w:r>
                      <w:fldChar w:fldCharType="begin"/>
                    </w:r>
                    <w:r>
                      <w:instrText xml:space="preserve"> PAGE  \* MERGEFORMAT </w:instrText>
                    </w:r>
                    <w:r>
                      <w:fldChar w:fldCharType="separate"/>
                    </w:r>
                    <w:r>
                      <w:t>249</w:t>
                    </w:r>
                    <w:r>
                      <w:fldChar w:fldCharType="end"/>
                    </w:r>
                    <w:r>
                      <w:t xml:space="preserve"> 页</w:t>
                    </w:r>
                  </w:p>
                </w:txbxContent>
              </v:textbox>
            </v:shape>
          </w:pict>
        </mc:Fallback>
      </mc:AlternateContent>
    </w:r>
  </w:p>
  <w:p w14:paraId="65C6AB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840E">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F41FF2">
                          <w:pPr>
                            <w:pStyle w:val="12"/>
                          </w:pPr>
                          <w:r>
                            <w:t xml:space="preserve">第 </w:t>
                          </w:r>
                          <w:r>
                            <w:fldChar w:fldCharType="begin"/>
                          </w:r>
                          <w:r>
                            <w:instrText xml:space="preserve"> PAGE  \* MERGEFORMAT </w:instrText>
                          </w:r>
                          <w:r>
                            <w:fldChar w:fldCharType="separate"/>
                          </w:r>
                          <w:r>
                            <w:t>248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7F41FF2">
                    <w:pPr>
                      <w:pStyle w:val="12"/>
                    </w:pPr>
                    <w:r>
                      <w:t xml:space="preserve">第 </w:t>
                    </w:r>
                    <w:r>
                      <w:fldChar w:fldCharType="begin"/>
                    </w:r>
                    <w:r>
                      <w:instrText xml:space="preserve"> PAGE  \* MERGEFORMAT </w:instrText>
                    </w:r>
                    <w:r>
                      <w:fldChar w:fldCharType="separate"/>
                    </w:r>
                    <w:r>
                      <w:t>248</w:t>
                    </w:r>
                    <w:r>
                      <w:fldChar w:fldCharType="end"/>
                    </w:r>
                    <w:r>
                      <w:t xml:space="preserve"> 页</w:t>
                    </w:r>
                  </w:p>
                </w:txbxContent>
              </v:textbox>
            </v:shape>
          </w:pict>
        </mc:Fallback>
      </mc:AlternateContent>
    </w:r>
  </w:p>
  <w:p w14:paraId="7FC3F8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EE9A">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222418">
                          <w:pPr>
                            <w:pStyle w:val="12"/>
                          </w:pPr>
                          <w:r>
                            <w:t xml:space="preserve">第 </w:t>
                          </w:r>
                          <w:r>
                            <w:fldChar w:fldCharType="begin"/>
                          </w:r>
                          <w:r>
                            <w:instrText xml:space="preserve"> PAGE  \* MERGEFORMAT </w:instrText>
                          </w:r>
                          <w:r>
                            <w:fldChar w:fldCharType="separate"/>
                          </w:r>
                          <w:r>
                            <w:t>254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40222418">
                    <w:pPr>
                      <w:pStyle w:val="12"/>
                    </w:pPr>
                    <w:r>
                      <w:t xml:space="preserve">第 </w:t>
                    </w:r>
                    <w:r>
                      <w:fldChar w:fldCharType="begin"/>
                    </w:r>
                    <w:r>
                      <w:instrText xml:space="preserve"> PAGE  \* MERGEFORMAT </w:instrText>
                    </w:r>
                    <w:r>
                      <w:fldChar w:fldCharType="separate"/>
                    </w:r>
                    <w:r>
                      <w:t>254</w:t>
                    </w:r>
                    <w:r>
                      <w:fldChar w:fldCharType="end"/>
                    </w:r>
                    <w:r>
                      <w:t xml:space="preserve"> 页</w:t>
                    </w:r>
                  </w:p>
                </w:txbxContent>
              </v:textbox>
            </v:shape>
          </w:pict>
        </mc:Fallback>
      </mc:AlternateContent>
    </w:r>
  </w:p>
  <w:p w14:paraId="522369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F01D">
    <w:pPr>
      <w:pStyle w:val="1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B4469F">
                          <w:pPr>
                            <w:pStyle w:val="12"/>
                          </w:pPr>
                          <w:r>
                            <w:t xml:space="preserve">第 </w:t>
                          </w:r>
                          <w:r>
                            <w:fldChar w:fldCharType="begin"/>
                          </w:r>
                          <w:r>
                            <w:instrText xml:space="preserve"> PAGE  \* MERGEFORMAT </w:instrText>
                          </w:r>
                          <w:r>
                            <w:fldChar w:fldCharType="separate"/>
                          </w:r>
                          <w:r>
                            <w:t>252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44B4469F">
                    <w:pPr>
                      <w:pStyle w:val="12"/>
                    </w:pPr>
                    <w:r>
                      <w:t xml:space="preserve">第 </w:t>
                    </w:r>
                    <w:r>
                      <w:fldChar w:fldCharType="begin"/>
                    </w:r>
                    <w:r>
                      <w:instrText xml:space="preserve"> PAGE  \* MERGEFORMAT </w:instrText>
                    </w:r>
                    <w:r>
                      <w:fldChar w:fldCharType="separate"/>
                    </w:r>
                    <w:r>
                      <w:t>252</w:t>
                    </w:r>
                    <w:r>
                      <w:fldChar w:fldCharType="end"/>
                    </w:r>
                    <w:r>
                      <w:t xml:space="preserve"> 页</w:t>
                    </w:r>
                  </w:p>
                </w:txbxContent>
              </v:textbox>
            </v:shape>
          </w:pict>
        </mc:Fallback>
      </mc:AlternateContent>
    </w:r>
  </w:p>
  <w:p w14:paraId="2654D2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52E7">
    <w:pPr>
      <w:pStyle w:val="13"/>
      <w:rPr>
        <w:rFonts w:ascii="仿宋_GB2312" w:eastAsia="仿宋_GB2312"/>
        <w:b/>
        <w:i/>
        <w:u w:val="single"/>
      </w:rPr>
    </w:pPr>
    <w:r>
      <w:t></w:t>
    </w:r>
  </w:p>
  <w:p w14:paraId="30EBCC3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A6DA">
    <w:pPr>
      <w:pStyle w:val="13"/>
    </w:pPr>
    <w:r>
      <w:t></w:t>
    </w:r>
    <w:r>
      <w:rPr>
        <w:rFonts w:hint="eastAsia"/>
      </w:rPr>
      <w:t xml:space="preserve">         </w:t>
    </w:r>
  </w:p>
  <w:p w14:paraId="5984C983">
    <w:pPr>
      <w:pStyle w:val="13"/>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E96C">
    <w:pPr>
      <w:pStyle w:val="13"/>
      <w:rPr>
        <w:rFonts w:ascii="仿宋_GB2312" w:eastAsia="仿宋_GB2312"/>
        <w:b/>
        <w:i/>
        <w:u w:val="single"/>
      </w:rPr>
    </w:pPr>
    <w:r>
      <w:t></w:t>
    </w:r>
  </w:p>
  <w:p w14:paraId="4EA3C3C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893B">
    <w:pPr>
      <w:pStyle w:val="13"/>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E3C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F49F">
    <w:pPr>
      <w:pStyle w:val="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9F5C"/>
    <w:multiLevelType w:val="singleLevel"/>
    <w:tmpl w:val="81D59F5C"/>
    <w:lvl w:ilvl="0" w:tentative="0">
      <w:start w:val="3"/>
      <w:numFmt w:val="chineseCounting"/>
      <w:suff w:val="nothing"/>
      <w:lvlText w:val="（%1）"/>
      <w:lvlJc w:val="left"/>
      <w:rPr>
        <w:rFonts w:hint="eastAsia"/>
      </w:rPr>
    </w:lvl>
  </w:abstractNum>
  <w:abstractNum w:abstractNumId="1">
    <w:nsid w:val="81F0BABB"/>
    <w:multiLevelType w:val="multilevel"/>
    <w:tmpl w:val="81F0BABB"/>
    <w:lvl w:ilvl="0" w:tentative="0">
      <w:start w:val="1"/>
      <w:numFmt w:val="decimal"/>
      <w:lvlText w:val="（%1）"/>
      <w:lvlJc w:val="left"/>
      <w:pPr>
        <w:ind w:left="1200" w:hanging="7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B1B5B0"/>
    <w:multiLevelType w:val="multilevel"/>
    <w:tmpl w:val="57B1B5B0"/>
    <w:lvl w:ilvl="0" w:tentative="0">
      <w:start w:val="1"/>
      <w:numFmt w:val="decimal"/>
      <w:lvlText w:val="（%1）"/>
      <w:lvlJc w:val="left"/>
      <w:pPr>
        <w:ind w:left="1200" w:hanging="7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6B59F2E"/>
    <w:multiLevelType w:val="singleLevel"/>
    <w:tmpl w:val="76B59F2E"/>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7AD7B8E"/>
    <w:rsid w:val="08DE0208"/>
    <w:rsid w:val="0FE34666"/>
    <w:rsid w:val="157E577E"/>
    <w:rsid w:val="175D528F"/>
    <w:rsid w:val="1DB93491"/>
    <w:rsid w:val="1E1279C8"/>
    <w:rsid w:val="20D70AF1"/>
    <w:rsid w:val="226118D9"/>
    <w:rsid w:val="26D7660D"/>
    <w:rsid w:val="353D1C80"/>
    <w:rsid w:val="3CF12B26"/>
    <w:rsid w:val="3F32633C"/>
    <w:rsid w:val="420D10A3"/>
    <w:rsid w:val="44F35120"/>
    <w:rsid w:val="4BE67E16"/>
    <w:rsid w:val="51776C83"/>
    <w:rsid w:val="522F36E3"/>
    <w:rsid w:val="6992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0"/>
    <w:pPr>
      <w:spacing w:line="360" w:lineRule="auto"/>
      <w:jc w:val="center"/>
      <w:outlineLvl w:val="0"/>
    </w:pPr>
    <w:rPr>
      <w:rFonts w:ascii="宋体" w:hAnsi="宋体" w:cs="宋体"/>
      <w:b/>
      <w:sz w:val="44"/>
      <w:szCs w:val="44"/>
    </w:rPr>
  </w:style>
  <w:style w:type="paragraph" w:styleId="5">
    <w:name w:val="heading 2"/>
    <w:basedOn w:val="1"/>
    <w:next w:val="1"/>
    <w:link w:val="22"/>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200" w:firstLineChars="200"/>
    </w:pPr>
    <w:rPr>
      <w:rFonts w:ascii="宋体" w:hAnsi="宋体"/>
      <w:sz w:val="24"/>
    </w:rPr>
  </w:style>
  <w:style w:type="paragraph" w:styleId="3">
    <w:name w:val="envelope return"/>
    <w:basedOn w:val="1"/>
    <w:qFormat/>
    <w:uiPriority w:val="99"/>
    <w:pPr>
      <w:snapToGrid w:val="0"/>
    </w:pPr>
    <w:rPr>
      <w:rFonts w:ascii="Arial" w:hAnsi="Arial" w:cs="Arial"/>
    </w:rPr>
  </w:style>
  <w:style w:type="paragraph" w:styleId="7">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qFormat/>
    <w:uiPriority w:val="0"/>
    <w:pPr>
      <w:jc w:val="left"/>
    </w:pPr>
  </w:style>
  <w:style w:type="paragraph" w:styleId="9">
    <w:name w:val="Body Text"/>
    <w:basedOn w:val="1"/>
    <w:qFormat/>
    <w:uiPriority w:val="0"/>
    <w:pPr>
      <w:autoSpaceDE w:val="0"/>
      <w:autoSpaceDN w:val="0"/>
      <w:spacing w:line="360" w:lineRule="auto"/>
    </w:pPr>
    <w:rPr>
      <w:rFonts w:ascii="宋体" w:hAnsi="Arial" w:cs="Arial"/>
      <w:snapToGrid w:val="0"/>
      <w:szCs w:val="21"/>
      <w:lang w:val="zh-CN"/>
    </w:rPr>
  </w:style>
  <w:style w:type="paragraph" w:styleId="10">
    <w:name w:val="Plain Text"/>
    <w:basedOn w:val="1"/>
    <w:qFormat/>
    <w:uiPriority w:val="0"/>
    <w:rPr>
      <w:rFonts w:ascii="宋体" w:hAnsi="Courier New" w:cs="Arial"/>
      <w:snapToGrid w:val="0"/>
      <w:szCs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adjustRightInd w:val="0"/>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qFormat/>
    <w:uiPriority w:val="0"/>
    <w:pPr>
      <w:ind w:firstLine="420"/>
    </w:pPr>
    <w:rPr>
      <w:rFonts w:hAnsi="Calibri" w:cs="Times New Roman"/>
      <w:snapToGrid/>
      <w:szCs w:val="20"/>
    </w:r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0"/>
    <w:rPr>
      <w:rFonts w:ascii="Arial" w:hAnsi="Arial" w:eastAsia="黑体" w:cs="Arial"/>
      <w:snapToGrid w:val="0"/>
      <w:color w:val="000000"/>
      <w:kern w:val="0"/>
      <w:sz w:val="18"/>
      <w:szCs w:val="18"/>
      <w:u w:val="none"/>
    </w:rPr>
  </w:style>
  <w:style w:type="character" w:styleId="20">
    <w:name w:val="annotation reference"/>
    <w:qFormat/>
    <w:uiPriority w:val="0"/>
    <w:rPr>
      <w:sz w:val="21"/>
      <w:szCs w:val="21"/>
    </w:rPr>
  </w:style>
  <w:style w:type="character" w:customStyle="1" w:styleId="21">
    <w:name w:val="heading 1 Char"/>
    <w:basedOn w:val="17"/>
    <w:link w:val="4"/>
    <w:qFormat/>
    <w:uiPriority w:val="0"/>
    <w:rPr>
      <w:rFonts w:ascii="宋体" w:hAnsi="宋体" w:eastAsia="宋体" w:cs="宋体"/>
      <w:b/>
      <w:kern w:val="2"/>
      <w:sz w:val="44"/>
      <w:szCs w:val="44"/>
      <w:lang w:val="en-US" w:eastAsia="zh-CN" w:bidi="ar-SA"/>
    </w:rPr>
  </w:style>
  <w:style w:type="character" w:customStyle="1" w:styleId="22">
    <w:name w:val="heading 2 Char"/>
    <w:basedOn w:val="17"/>
    <w:link w:val="5"/>
    <w:qFormat/>
    <w:uiPriority w:val="0"/>
    <w:rPr>
      <w:rFonts w:ascii="仿宋_GB2312" w:hAnsi="仿宋" w:eastAsia="仿宋_GB2312" w:cs="Times New Roman"/>
      <w:b/>
      <w:bCs/>
      <w:kern w:val="2"/>
      <w:sz w:val="32"/>
      <w:szCs w:val="32"/>
      <w:lang w:val="zh-CN" w:eastAsia="zh-CN" w:bidi="ar-SA"/>
    </w:rPr>
  </w:style>
  <w:style w:type="character" w:customStyle="1" w:styleId="23">
    <w:name w:val="heading 3 Char"/>
    <w:basedOn w:val="17"/>
    <w:link w:val="6"/>
    <w:qFormat/>
    <w:uiPriority w:val="0"/>
    <w:rPr>
      <w:rFonts w:ascii="Times New Roman" w:hAnsi="Times New Roman" w:eastAsia="宋体" w:cs="Times New Roman"/>
      <w:b/>
      <w:bCs/>
      <w:kern w:val="2"/>
      <w:sz w:val="32"/>
      <w:szCs w:val="32"/>
      <w:lang w:val="en-US" w:eastAsia="zh-CN" w:bidi="ar-SA"/>
    </w:rPr>
  </w:style>
  <w:style w:type="paragraph" w:customStyle="1" w:styleId="24">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25">
    <w:name w:val="正文2"/>
    <w:basedOn w:val="1"/>
    <w:qFormat/>
    <w:uiPriority w:val="0"/>
    <w:pPr>
      <w:spacing w:before="156" w:line="360" w:lineRule="auto"/>
      <w:ind w:firstLine="200" w:firstLineChars="200"/>
    </w:pPr>
    <w:rPr>
      <w:sz w:val="24"/>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7">
    <w:name w:val="左对齐正文"/>
    <w:qFormat/>
    <w:uiPriority w:val="0"/>
    <w:rPr>
      <w:rFonts w:ascii="Calibri" w:hAnsi="Calibri" w:eastAsia="仿宋_GB2312" w:cs="Calibri"/>
      <w:kern w:val="2"/>
      <w:sz w:val="32"/>
      <w:szCs w:val="32"/>
      <w:lang w:val="en-US" w:eastAsia="zh-CN" w:bidi="ar-SA"/>
    </w:rPr>
  </w:style>
  <w:style w:type="paragraph" w:customStyle="1" w:styleId="28">
    <w:name w:val="正文空2字"/>
    <w:basedOn w:val="27"/>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29">
    <w:name w:val="正文缩进1"/>
    <w:basedOn w:val="1"/>
    <w:next w:val="2"/>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30">
    <w:name w:val="索引 11"/>
    <w:basedOn w:val="1"/>
    <w:next w:val="1"/>
    <w:qFormat/>
    <w:uiPriority w:val="0"/>
    <w:pPr>
      <w:adjustRightInd/>
      <w:spacing w:line="360" w:lineRule="auto"/>
    </w:pPr>
    <w:rPr>
      <w:rFonts w:ascii="仿宋_GB2312" w:eastAsia="仿宋_GB2312"/>
      <w:sz w:val="24"/>
      <w:szCs w:val="20"/>
    </w:rPr>
  </w:style>
  <w:style w:type="paragraph" w:customStyle="1" w:styleId="3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32">
    <w:name w:val="font51"/>
    <w:qFormat/>
    <w:uiPriority w:val="0"/>
    <w:rPr>
      <w:rFonts w:ascii="宋体" w:hAnsi="宋体" w:eastAsia="宋体" w:cs="宋体"/>
      <w:color w:val="000000"/>
      <w:sz w:val="20"/>
      <w:szCs w:val="20"/>
      <w:u w:val="none"/>
    </w:rPr>
  </w:style>
  <w:style w:type="character" w:customStyle="1" w:styleId="33">
    <w:name w:val="font41"/>
    <w:qFormat/>
    <w:uiPriority w:val="0"/>
    <w:rPr>
      <w:rFonts w:ascii="宋体" w:hAnsi="宋体" w:eastAsia="宋体" w:cs="宋体"/>
      <w:color w:val="262626"/>
      <w:sz w:val="20"/>
      <w:szCs w:val="20"/>
      <w:u w:val="none"/>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DD070-5402-4F36-BF64-D45F1B348FC9}">
  <ds:schemaRefs/>
</ds:datastoreItem>
</file>

<file path=docProps/app.xml><?xml version="1.0" encoding="utf-8"?>
<Properties xmlns="http://schemas.openxmlformats.org/officeDocument/2006/extended-properties" xmlns:vt="http://schemas.openxmlformats.org/officeDocument/2006/docPropsVTypes">
  <Template>Normal.eit</Template>
  <Pages>274</Pages>
  <Words>3742</Words>
  <Characters>4233</Characters>
  <Lines>0</Lines>
  <Paragraphs>2293</Paragraphs>
  <TotalTime>6</TotalTime>
  <ScaleCrop>false</ScaleCrop>
  <LinksUpToDate>false</LinksUpToDate>
  <CharactersWithSpaces>4410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2025-06-11T08:44:00Z</dcterms:created>
  <dc:creator>WPS</dc:creator>
  <cp:lastModifiedBy>WPS</cp:lastModifiedBy>
  <dcterms:modified xsi:type="dcterms:W3CDTF">2025-07-11T10:39:23Z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BBC6545DA26144A28AC420104760C3E1_13</vt:lpwstr>
  </property>
  <property fmtid="{D5CDD505-2E9C-101B-9397-08002B2CF9AE}" pid="4" name="KSOTemplateDocerSaveRecord">
    <vt:lpwstr>eyJoZGlkIjoiNTMxYjJiNzI1YzM3YmEyMjU0ZThlODAxNGNjYjY5OTYiLCJ1c2VySWQiOiIxMjA3MjQ1NDYxIn0=</vt:lpwstr>
  </property>
</Properties>
</file>