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line="360" w:lineRule="auto"/>
        <w:rPr>
          <w:rFonts w:hint="eastAsia" w:ascii="仿宋_GB2312" w:hAnsi="仿宋" w:eastAsia="仿宋_GB2312" w:cs="仿宋"/>
          <w:b/>
          <w:color w:val="auto"/>
          <w:sz w:val="36"/>
          <w:szCs w:val="36"/>
        </w:rPr>
      </w:pPr>
    </w:p>
    <w:p>
      <w:pPr>
        <w:adjustRightInd w:val="0"/>
        <w:snapToGrid w:val="0"/>
        <w:spacing w:before="100" w:beforeAutospacing="1" w:after="100" w:afterAutospacing="1" w:line="360" w:lineRule="auto"/>
        <w:jc w:val="center"/>
        <w:rPr>
          <w:rFonts w:hint="eastAsia" w:ascii="仿宋_GB2312" w:hAnsi="仿宋" w:eastAsia="仿宋_GB2312" w:cs="仿宋"/>
          <w:b/>
          <w:color w:val="auto"/>
          <w:sz w:val="48"/>
          <w:szCs w:val="48"/>
          <w:lang w:eastAsia="zh-CN"/>
        </w:rPr>
      </w:pPr>
      <w:r>
        <w:rPr>
          <w:rFonts w:hint="eastAsia" w:ascii="仿宋_GB2312" w:hAnsi="仿宋" w:eastAsia="仿宋_GB2312" w:cs="仿宋"/>
          <w:b/>
          <w:color w:val="auto"/>
          <w:spacing w:val="-20"/>
          <w:sz w:val="40"/>
          <w:szCs w:val="40"/>
          <w:lang w:eastAsia="zh-CN"/>
        </w:rPr>
        <w:t>浙江省博物馆“丽人行-中国近现代女性图像”展运输项目</w:t>
      </w:r>
    </w:p>
    <w:p>
      <w:pPr>
        <w:adjustRightInd w:val="0"/>
        <w:snapToGrid w:val="0"/>
        <w:spacing w:before="100" w:beforeAutospacing="1" w:after="100" w:afterAutospacing="1" w:line="360" w:lineRule="auto"/>
        <w:jc w:val="center"/>
        <w:rPr>
          <w:rFonts w:hint="eastAsia" w:ascii="仿宋_GB2312" w:hAnsi="仿宋" w:eastAsia="仿宋_GB2312" w:cs="仿宋"/>
          <w:b/>
          <w:color w:val="auto"/>
          <w:sz w:val="48"/>
          <w:szCs w:val="48"/>
        </w:rPr>
      </w:pPr>
      <w:r>
        <w:rPr>
          <w:rFonts w:hint="eastAsia" w:ascii="仿宋_GB2312" w:hAnsi="仿宋" w:eastAsia="仿宋_GB2312" w:cs="仿宋"/>
          <w:b/>
          <w:color w:val="auto"/>
          <w:sz w:val="48"/>
          <w:szCs w:val="48"/>
        </w:rPr>
        <w:t>磋 商 文 件</w:t>
      </w:r>
    </w:p>
    <w:p>
      <w:pPr>
        <w:adjustRightInd w:val="0"/>
        <w:snapToGrid w:val="0"/>
        <w:spacing w:before="100" w:beforeAutospacing="1" w:after="100" w:afterAutospacing="1" w:line="360" w:lineRule="auto"/>
        <w:jc w:val="center"/>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（政采云电子招投标）</w:t>
      </w:r>
    </w:p>
    <w:p>
      <w:pPr>
        <w:pStyle w:val="15"/>
        <w:adjustRightInd w:val="0"/>
        <w:snapToGrid w:val="0"/>
        <w:spacing w:beforeLines="0" w:beforeAutospacing="1" w:afterLines="0" w:afterAutospacing="1" w:line="360" w:lineRule="auto"/>
        <w:jc w:val="center"/>
        <w:rPr>
          <w:rFonts w:hint="eastAsia" w:ascii="仿宋_GB2312" w:hAnsi="仿宋" w:eastAsia="仿宋_GB2312" w:cs="仿宋"/>
          <w:b/>
          <w:bCs/>
          <w:color w:val="auto"/>
          <w:sz w:val="32"/>
          <w:szCs w:val="32"/>
          <w:lang w:eastAsia="zh-CN"/>
        </w:rPr>
      </w:pPr>
      <w:r>
        <w:rPr>
          <w:rFonts w:hint="eastAsia" w:ascii="仿宋_GB2312" w:hAnsi="仿宋" w:eastAsia="仿宋_GB2312" w:cs="仿宋"/>
          <w:b/>
          <w:bCs/>
          <w:color w:val="auto"/>
          <w:sz w:val="32"/>
          <w:szCs w:val="32"/>
        </w:rPr>
        <w:t>项目编号：</w:t>
      </w:r>
      <w:r>
        <w:rPr>
          <w:rFonts w:hint="eastAsia" w:ascii="仿宋_GB2312" w:hAnsi="仿宋" w:eastAsia="仿宋_GB2312" w:cs="仿宋"/>
          <w:b/>
          <w:bCs/>
          <w:color w:val="auto"/>
          <w:sz w:val="32"/>
          <w:szCs w:val="32"/>
          <w:lang w:eastAsia="zh-CN"/>
        </w:rPr>
        <w:t>ZJTY2024H-JF-005</w:t>
      </w:r>
    </w:p>
    <w:p>
      <w:pPr>
        <w:pStyle w:val="15"/>
        <w:adjustRightInd w:val="0"/>
        <w:snapToGrid w:val="0"/>
        <w:spacing w:beforeLines="0" w:afterLines="0" w:line="360" w:lineRule="auto"/>
        <w:jc w:val="center"/>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jc w:val="center"/>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jc w:val="center"/>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rPr>
          <w:rFonts w:hint="eastAsia" w:ascii="仿宋_GB2312" w:hAnsi="仿宋" w:eastAsia="仿宋_GB2312" w:cs="仿宋"/>
          <w:b/>
          <w:bCs/>
          <w:color w:val="auto"/>
          <w:w w:val="95"/>
          <w:sz w:val="30"/>
          <w:szCs w:val="30"/>
        </w:rPr>
      </w:pPr>
    </w:p>
    <w:p>
      <w:pPr>
        <w:pStyle w:val="15"/>
        <w:adjustRightInd w:val="0"/>
        <w:snapToGrid w:val="0"/>
        <w:spacing w:beforeLines="0" w:afterLines="0" w:line="360" w:lineRule="auto"/>
        <w:rPr>
          <w:rFonts w:hint="eastAsia" w:ascii="仿宋_GB2312" w:hAnsi="仿宋" w:eastAsia="仿宋_GB2312" w:cs="仿宋"/>
          <w:b/>
          <w:bCs/>
          <w:color w:val="auto"/>
          <w:w w:val="95"/>
          <w:sz w:val="32"/>
          <w:szCs w:val="32"/>
        </w:rPr>
      </w:pPr>
    </w:p>
    <w:p>
      <w:pPr>
        <w:pStyle w:val="15"/>
        <w:adjustRightInd w:val="0"/>
        <w:snapToGrid w:val="0"/>
        <w:spacing w:beforeLines="0" w:afterLines="0" w:line="360" w:lineRule="auto"/>
        <w:ind w:firstLine="1374" w:firstLineChars="450"/>
        <w:rPr>
          <w:rFonts w:hint="eastAsia" w:ascii="仿宋_GB2312" w:hAnsi="仿宋" w:eastAsia="仿宋_GB2312" w:cs="仿宋"/>
          <w:b/>
          <w:bCs/>
          <w:color w:val="auto"/>
          <w:w w:val="95"/>
          <w:sz w:val="32"/>
          <w:szCs w:val="32"/>
        </w:rPr>
      </w:pPr>
      <w:r>
        <w:rPr>
          <w:rFonts w:hint="eastAsia" w:ascii="仿宋_GB2312" w:hAnsi="仿宋" w:eastAsia="仿宋_GB2312" w:cs="仿宋"/>
          <w:b/>
          <w:bCs/>
          <w:color w:val="auto"/>
          <w:w w:val="95"/>
          <w:sz w:val="32"/>
          <w:szCs w:val="32"/>
        </w:rPr>
        <w:t xml:space="preserve">采 </w:t>
      </w:r>
      <w:r>
        <w:rPr>
          <w:rFonts w:ascii="仿宋_GB2312" w:hAnsi="仿宋" w:eastAsia="仿宋_GB2312" w:cs="仿宋"/>
          <w:b/>
          <w:bCs/>
          <w:color w:val="auto"/>
          <w:w w:val="95"/>
          <w:sz w:val="32"/>
          <w:szCs w:val="32"/>
        </w:rPr>
        <w:t xml:space="preserve">  </w:t>
      </w:r>
      <w:r>
        <w:rPr>
          <w:rFonts w:hint="eastAsia" w:ascii="仿宋_GB2312" w:hAnsi="仿宋" w:eastAsia="仿宋_GB2312" w:cs="仿宋"/>
          <w:b/>
          <w:bCs/>
          <w:color w:val="auto"/>
          <w:w w:val="95"/>
          <w:sz w:val="32"/>
          <w:szCs w:val="32"/>
        </w:rPr>
        <w:t xml:space="preserve">购 </w:t>
      </w:r>
      <w:r>
        <w:rPr>
          <w:rFonts w:ascii="仿宋_GB2312" w:hAnsi="仿宋" w:eastAsia="仿宋_GB2312" w:cs="仿宋"/>
          <w:b/>
          <w:bCs/>
          <w:color w:val="auto"/>
          <w:w w:val="95"/>
          <w:sz w:val="32"/>
          <w:szCs w:val="32"/>
        </w:rPr>
        <w:t xml:space="preserve">  </w:t>
      </w:r>
      <w:r>
        <w:rPr>
          <w:rFonts w:hint="eastAsia" w:ascii="仿宋_GB2312" w:hAnsi="仿宋" w:eastAsia="仿宋_GB2312" w:cs="仿宋"/>
          <w:b/>
          <w:bCs/>
          <w:color w:val="auto"/>
          <w:w w:val="95"/>
          <w:sz w:val="32"/>
          <w:szCs w:val="32"/>
        </w:rPr>
        <w:t>人：浙江省博物馆</w:t>
      </w:r>
    </w:p>
    <w:p>
      <w:pPr>
        <w:pStyle w:val="15"/>
        <w:adjustRightInd w:val="0"/>
        <w:snapToGrid w:val="0"/>
        <w:spacing w:beforeLines="0" w:afterLines="0" w:line="360" w:lineRule="auto"/>
        <w:ind w:firstLine="1374" w:firstLineChars="450"/>
        <w:rPr>
          <w:rFonts w:hint="eastAsia" w:ascii="仿宋_GB2312" w:hAnsi="仿宋" w:eastAsia="仿宋_GB2312" w:cs="仿宋"/>
          <w:b/>
          <w:bCs/>
          <w:color w:val="auto"/>
          <w:w w:val="95"/>
          <w:sz w:val="32"/>
          <w:szCs w:val="32"/>
        </w:rPr>
      </w:pPr>
      <w:r>
        <w:rPr>
          <w:rFonts w:hint="eastAsia" w:ascii="仿宋_GB2312" w:hAnsi="仿宋" w:eastAsia="仿宋_GB2312" w:cs="仿宋"/>
          <w:b/>
          <w:bCs/>
          <w:color w:val="auto"/>
          <w:w w:val="95"/>
          <w:sz w:val="32"/>
          <w:szCs w:val="32"/>
        </w:rPr>
        <w:t>采购代理机构：浙江通用招标代理有限公司</w:t>
      </w:r>
    </w:p>
    <w:p>
      <w:pPr>
        <w:adjustRightInd w:val="0"/>
        <w:snapToGrid w:val="0"/>
        <w:spacing w:line="360" w:lineRule="auto"/>
        <w:jc w:val="center"/>
        <w:rPr>
          <w:rFonts w:hint="eastAsia" w:ascii="仿宋_GB2312" w:hAnsi="仿宋" w:eastAsia="仿宋_GB2312" w:cs="仿宋"/>
          <w:color w:val="auto"/>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仿宋_GB2312" w:hAnsi="仿宋" w:eastAsia="仿宋_GB2312" w:cs="仿宋"/>
          <w:b/>
          <w:bCs/>
          <w:color w:val="auto"/>
          <w:w w:val="95"/>
          <w:sz w:val="32"/>
          <w:szCs w:val="32"/>
        </w:rPr>
        <w:t>20</w:t>
      </w:r>
      <w:r>
        <w:rPr>
          <w:rFonts w:hint="eastAsia" w:ascii="仿宋_GB2312" w:hAnsi="仿宋" w:eastAsia="仿宋_GB2312" w:cs="仿宋"/>
          <w:b/>
          <w:bCs/>
          <w:color w:val="auto"/>
          <w:w w:val="95"/>
          <w:sz w:val="32"/>
          <w:szCs w:val="32"/>
          <w:lang w:val="en-US" w:eastAsia="zh-CN"/>
        </w:rPr>
        <w:t>24</w:t>
      </w:r>
      <w:r>
        <w:rPr>
          <w:rFonts w:hint="eastAsia" w:ascii="仿宋_GB2312" w:hAnsi="仿宋" w:eastAsia="仿宋_GB2312" w:cs="仿宋"/>
          <w:b/>
          <w:color w:val="auto"/>
          <w:sz w:val="32"/>
          <w:szCs w:val="32"/>
        </w:rPr>
        <w:t>年</w:t>
      </w:r>
      <w:r>
        <w:rPr>
          <w:rFonts w:hint="eastAsia" w:ascii="仿宋_GB2312" w:hAnsi="仿宋" w:eastAsia="仿宋_GB2312" w:cs="仿宋"/>
          <w:b/>
          <w:color w:val="auto"/>
          <w:sz w:val="32"/>
          <w:szCs w:val="32"/>
          <w:lang w:val="en-US" w:eastAsia="zh-CN"/>
        </w:rPr>
        <w:t>3</w:t>
      </w:r>
      <w:r>
        <w:rPr>
          <w:rFonts w:hint="eastAsia" w:ascii="仿宋_GB2312" w:hAnsi="仿宋" w:eastAsia="仿宋_GB2312" w:cs="仿宋"/>
          <w:b/>
          <w:color w:val="auto"/>
          <w:sz w:val="32"/>
          <w:szCs w:val="32"/>
        </w:rPr>
        <w:t>月</w:t>
      </w:r>
    </w:p>
    <w:p>
      <w:pPr>
        <w:adjustRightInd w:val="0"/>
        <w:snapToGrid w:val="0"/>
        <w:spacing w:line="360" w:lineRule="auto"/>
        <w:jc w:val="center"/>
        <w:rPr>
          <w:rFonts w:hint="eastAsia" w:ascii="仿宋_GB2312" w:hAnsi="仿宋" w:eastAsia="仿宋_GB2312" w:cs="仿宋"/>
          <w:color w:val="auto"/>
        </w:rPr>
      </w:pPr>
    </w:p>
    <w:p>
      <w:pPr>
        <w:adjustRightInd w:val="0"/>
        <w:snapToGrid w:val="0"/>
        <w:spacing w:line="360" w:lineRule="auto"/>
        <w:jc w:val="center"/>
        <w:rPr>
          <w:rFonts w:hint="eastAsia" w:ascii="仿宋_GB2312" w:hAnsi="仿宋" w:eastAsia="仿宋_GB2312" w:cs="仿宋"/>
          <w:b/>
          <w:color w:val="auto"/>
          <w:sz w:val="36"/>
          <w:szCs w:val="36"/>
        </w:rPr>
      </w:pPr>
      <w:r>
        <w:rPr>
          <w:rFonts w:hint="eastAsia" w:ascii="仿宋_GB2312" w:hAnsi="仿宋" w:eastAsia="仿宋_GB2312" w:cs="仿宋"/>
          <w:b/>
          <w:color w:val="auto"/>
          <w:sz w:val="36"/>
          <w:szCs w:val="36"/>
        </w:rPr>
        <w:t>目    录</w:t>
      </w:r>
    </w:p>
    <w:p>
      <w:pPr>
        <w:adjustRightInd w:val="0"/>
        <w:snapToGrid w:val="0"/>
        <w:spacing w:line="360" w:lineRule="auto"/>
        <w:rPr>
          <w:rFonts w:hint="eastAsia" w:ascii="仿宋_GB2312" w:hAnsi="仿宋" w:eastAsia="仿宋_GB2312" w:cs="仿宋"/>
          <w:color w:val="auto"/>
          <w:sz w:val="32"/>
        </w:rPr>
      </w:pPr>
    </w:p>
    <w:p>
      <w:pPr>
        <w:adjustRightInd w:val="0"/>
        <w:snapToGrid w:val="0"/>
        <w:spacing w:line="360" w:lineRule="auto"/>
        <w:jc w:val="center"/>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第一部分   磋商公告……………………………………… 2</w:t>
      </w:r>
    </w:p>
    <w:p>
      <w:pPr>
        <w:adjustRightInd w:val="0"/>
        <w:snapToGrid w:val="0"/>
        <w:spacing w:line="360" w:lineRule="auto"/>
        <w:jc w:val="center"/>
        <w:rPr>
          <w:rFonts w:hint="eastAsia" w:ascii="仿宋_GB2312" w:hAnsi="仿宋" w:eastAsia="仿宋_GB2312" w:cs="仿宋"/>
          <w:color w:val="auto"/>
          <w:sz w:val="30"/>
          <w:szCs w:val="30"/>
          <w:lang w:eastAsia="zh-CN"/>
        </w:rPr>
      </w:pPr>
      <w:r>
        <w:rPr>
          <w:rFonts w:hint="eastAsia" w:ascii="仿宋_GB2312" w:hAnsi="仿宋" w:eastAsia="仿宋_GB2312" w:cs="仿宋"/>
          <w:color w:val="auto"/>
          <w:sz w:val="30"/>
          <w:szCs w:val="30"/>
        </w:rPr>
        <w:t xml:space="preserve">第二部分   磋商供应商须知……………………………… </w:t>
      </w:r>
      <w:r>
        <w:rPr>
          <w:rFonts w:hint="eastAsia" w:ascii="仿宋_GB2312" w:hAnsi="仿宋" w:eastAsia="仿宋_GB2312" w:cs="仿宋"/>
          <w:color w:val="auto"/>
          <w:sz w:val="30"/>
          <w:szCs w:val="30"/>
          <w:lang w:val="en-US" w:eastAsia="zh-CN"/>
        </w:rPr>
        <w:t>7</w:t>
      </w:r>
    </w:p>
    <w:p>
      <w:pPr>
        <w:adjustRightInd w:val="0"/>
        <w:snapToGrid w:val="0"/>
        <w:spacing w:line="360" w:lineRule="auto"/>
        <w:jc w:val="center"/>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第三部分   采购需求………………………………………32</w:t>
      </w:r>
    </w:p>
    <w:p>
      <w:pPr>
        <w:adjustRightInd w:val="0"/>
        <w:snapToGrid w:val="0"/>
        <w:spacing w:line="360" w:lineRule="auto"/>
        <w:jc w:val="center"/>
        <w:rPr>
          <w:rFonts w:hint="default" w:ascii="仿宋_GB2312" w:hAnsi="仿宋" w:eastAsia="仿宋_GB2312" w:cs="仿宋"/>
          <w:color w:val="auto"/>
          <w:sz w:val="30"/>
          <w:szCs w:val="30"/>
          <w:lang w:val="en-US" w:eastAsia="zh-CN"/>
        </w:rPr>
      </w:pPr>
      <w:r>
        <w:rPr>
          <w:rFonts w:hint="eastAsia" w:ascii="仿宋_GB2312" w:hAnsi="仿宋" w:eastAsia="仿宋_GB2312" w:cs="仿宋"/>
          <w:color w:val="auto"/>
          <w:sz w:val="30"/>
          <w:szCs w:val="30"/>
        </w:rPr>
        <w:t>第四部分   评分办法及评分标准…………………………</w:t>
      </w:r>
      <w:r>
        <w:rPr>
          <w:rFonts w:hint="eastAsia" w:ascii="仿宋_GB2312" w:hAnsi="仿宋" w:eastAsia="仿宋_GB2312" w:cs="仿宋"/>
          <w:color w:val="auto"/>
          <w:sz w:val="30"/>
          <w:szCs w:val="30"/>
          <w:lang w:val="en-US" w:eastAsia="zh-CN"/>
        </w:rPr>
        <w:t>37</w:t>
      </w:r>
    </w:p>
    <w:p>
      <w:pPr>
        <w:adjustRightInd w:val="0"/>
        <w:snapToGrid w:val="0"/>
        <w:spacing w:line="360" w:lineRule="auto"/>
        <w:jc w:val="center"/>
        <w:rPr>
          <w:rFonts w:hint="default" w:ascii="仿宋_GB2312" w:hAnsi="仿宋" w:eastAsia="仿宋_GB2312" w:cs="仿宋"/>
          <w:color w:val="auto"/>
          <w:sz w:val="30"/>
          <w:szCs w:val="30"/>
          <w:lang w:val="en-US" w:eastAsia="zh-CN"/>
        </w:rPr>
      </w:pPr>
      <w:r>
        <w:rPr>
          <w:rFonts w:hint="eastAsia" w:ascii="仿宋_GB2312" w:hAnsi="仿宋" w:eastAsia="仿宋_GB2312" w:cs="仿宋"/>
          <w:color w:val="auto"/>
          <w:sz w:val="30"/>
          <w:szCs w:val="30"/>
        </w:rPr>
        <w:t>第五部分   合同主要条款…………………………………</w:t>
      </w:r>
      <w:r>
        <w:rPr>
          <w:rFonts w:hint="eastAsia" w:ascii="仿宋_GB2312" w:hAnsi="仿宋" w:eastAsia="仿宋_GB2312" w:cs="仿宋"/>
          <w:color w:val="auto"/>
          <w:sz w:val="30"/>
          <w:szCs w:val="30"/>
          <w:lang w:val="en-US" w:eastAsia="zh-CN"/>
        </w:rPr>
        <w:t>41</w:t>
      </w:r>
    </w:p>
    <w:p>
      <w:pPr>
        <w:adjustRightInd w:val="0"/>
        <w:snapToGrid w:val="0"/>
        <w:spacing w:line="360" w:lineRule="auto"/>
        <w:jc w:val="center"/>
        <w:rPr>
          <w:rFonts w:hint="default" w:ascii="仿宋_GB2312" w:hAnsi="仿宋" w:eastAsia="仿宋_GB2312" w:cs="仿宋"/>
          <w:color w:val="auto"/>
          <w:sz w:val="32"/>
          <w:lang w:val="en-US" w:eastAsia="zh-CN"/>
        </w:rPr>
      </w:pPr>
      <w:bookmarkStart w:id="0" w:name="_Hlt91233176"/>
      <w:bookmarkEnd w:id="0"/>
      <w:r>
        <w:rPr>
          <w:rFonts w:hint="eastAsia" w:ascii="仿宋_GB2312" w:hAnsi="仿宋" w:eastAsia="仿宋_GB2312" w:cs="仿宋"/>
          <w:color w:val="auto"/>
          <w:sz w:val="30"/>
          <w:szCs w:val="30"/>
        </w:rPr>
        <w:t>第六部分   磋商响应文件格式……………………………</w:t>
      </w:r>
      <w:r>
        <w:rPr>
          <w:rFonts w:hint="eastAsia" w:ascii="仿宋_GB2312" w:hAnsi="仿宋" w:eastAsia="仿宋_GB2312" w:cs="仿宋"/>
          <w:color w:val="auto"/>
          <w:sz w:val="30"/>
          <w:szCs w:val="30"/>
          <w:lang w:val="en-US" w:eastAsia="zh-CN"/>
        </w:rPr>
        <w:t>44</w:t>
      </w:r>
    </w:p>
    <w:p>
      <w:pPr>
        <w:pStyle w:val="15"/>
        <w:adjustRightInd w:val="0"/>
        <w:snapToGrid w:val="0"/>
        <w:spacing w:beforeLines="0" w:afterLines="0" w:line="360" w:lineRule="auto"/>
        <w:jc w:val="center"/>
        <w:outlineLvl w:val="0"/>
        <w:rPr>
          <w:rFonts w:hint="eastAsia" w:ascii="仿宋_GB2312" w:hAnsi="仿宋" w:eastAsia="仿宋_GB2312" w:cs="仿宋"/>
          <w:b/>
          <w:color w:val="auto"/>
          <w:sz w:val="32"/>
          <w:szCs w:val="32"/>
        </w:rPr>
      </w:pPr>
      <w:r>
        <w:rPr>
          <w:rFonts w:hint="eastAsia" w:ascii="仿宋_GB2312" w:hAnsi="仿宋" w:eastAsia="仿宋_GB2312" w:cs="仿宋"/>
          <w:color w:val="auto"/>
          <w:sz w:val="28"/>
          <w:szCs w:val="28"/>
        </w:rPr>
        <w:br w:type="page"/>
      </w:r>
      <w:r>
        <w:rPr>
          <w:rFonts w:hint="eastAsia" w:ascii="仿宋_GB2312" w:hAnsi="仿宋" w:eastAsia="仿宋_GB2312" w:cs="仿宋"/>
          <w:b/>
          <w:color w:val="auto"/>
          <w:sz w:val="32"/>
          <w:szCs w:val="32"/>
        </w:rPr>
        <w:t>第一部分  磋商公告</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项目概况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浙江省博物馆“丽人行-中国近现代女性图像”展运输项目</w:t>
            </w:r>
            <w:r>
              <w:rPr>
                <w:rFonts w:hint="eastAsia" w:ascii="仿宋" w:hAnsi="仿宋" w:eastAsia="仿宋" w:cs="仿宋"/>
                <w:color w:val="auto"/>
                <w:sz w:val="24"/>
              </w:rPr>
              <w:t>的潜在磋商供应商应在政采云平台（http://zfcg.czt.zj.gov.cn）获取（下载）磋商文件，并于202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4</w:t>
            </w:r>
            <w:r>
              <w:rPr>
                <w:rFonts w:hint="eastAsia" w:ascii="仿宋" w:hAnsi="仿宋" w:eastAsia="仿宋" w:cs="仿宋"/>
                <w:color w:val="auto"/>
                <w:sz w:val="24"/>
              </w:rPr>
              <w:t>月</w:t>
            </w:r>
            <w:r>
              <w:rPr>
                <w:rFonts w:hint="eastAsia" w:ascii="仿宋" w:hAnsi="仿宋" w:eastAsia="仿宋" w:cs="仿宋"/>
                <w:color w:val="auto"/>
                <w:sz w:val="24"/>
                <w:lang w:val="en-US" w:eastAsia="zh-CN"/>
              </w:rPr>
              <w:t>8</w:t>
            </w:r>
            <w:r>
              <w:rPr>
                <w:rFonts w:hint="eastAsia" w:ascii="仿宋" w:hAnsi="仿宋" w:eastAsia="仿宋" w:cs="仿宋"/>
                <w:color w:val="auto"/>
                <w:sz w:val="24"/>
              </w:rPr>
              <w:t>日</w:t>
            </w:r>
            <w:r>
              <w:rPr>
                <w:rFonts w:hint="eastAsia" w:ascii="仿宋" w:hAnsi="仿宋" w:eastAsia="仿宋" w:cs="仿宋"/>
                <w:color w:val="auto"/>
                <w:sz w:val="24"/>
                <w:lang w:val="en-US" w:eastAsia="zh-CN"/>
              </w:rPr>
              <w:t>14</w:t>
            </w:r>
            <w:r>
              <w:rPr>
                <w:rFonts w:hint="eastAsia" w:ascii="仿宋" w:hAnsi="仿宋" w:eastAsia="仿宋" w:cs="仿宋"/>
                <w:color w:val="auto"/>
                <w:sz w:val="24"/>
              </w:rPr>
              <w:t>时</w:t>
            </w:r>
            <w:r>
              <w:rPr>
                <w:rFonts w:hint="eastAsia" w:ascii="仿宋" w:hAnsi="仿宋" w:eastAsia="仿宋" w:cs="仿宋"/>
                <w:color w:val="auto"/>
                <w:sz w:val="24"/>
                <w:lang w:val="en-US" w:eastAsia="zh-CN"/>
              </w:rPr>
              <w:t>30</w:t>
            </w:r>
            <w:r>
              <w:rPr>
                <w:rFonts w:hint="eastAsia" w:ascii="仿宋" w:hAnsi="仿宋" w:eastAsia="仿宋" w:cs="仿宋"/>
                <w:color w:val="auto"/>
                <w:sz w:val="24"/>
              </w:rPr>
              <w:t>分（北京时间）前递交（上传）磋商响应文件。 </w:t>
            </w:r>
          </w:p>
        </w:tc>
      </w:tr>
    </w:tbl>
    <w:p>
      <w:pPr>
        <w:adjustRightInd w:val="0"/>
        <w:snapToGrid w:val="0"/>
        <w:spacing w:line="360" w:lineRule="auto"/>
        <w:rPr>
          <w:rFonts w:hint="eastAsia" w:ascii="仿宋" w:hAnsi="仿宋" w:eastAsia="仿宋" w:cs="仿宋"/>
          <w:color w:val="auto"/>
          <w:sz w:val="24"/>
        </w:rPr>
      </w:pP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一、项目基本情况</w:t>
      </w:r>
    </w:p>
    <w:p>
      <w:pPr>
        <w:adjustRightInd w:val="0"/>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ZJTY2024H-JF-005</w:t>
      </w:r>
    </w:p>
    <w:p>
      <w:pPr>
        <w:adjustRightInd w:val="0"/>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浙江省博物馆“丽人行-中国近现代女性图像”展运输项目</w:t>
      </w:r>
    </w:p>
    <w:p>
      <w:pPr>
        <w:adjustRightInd w:val="0"/>
        <w:snapToGrid w:val="0"/>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i w:val="0"/>
          <w:iCs w:val="0"/>
          <w:color w:val="auto"/>
          <w:spacing w:val="0"/>
          <w:sz w:val="24"/>
          <w:szCs w:val="24"/>
          <w:shd w:val="clear"/>
          <w:lang w:val="en-US" w:eastAsia="zh-CN"/>
        </w:rPr>
        <w:t>300000.00;</w:t>
      </w:r>
    </w:p>
    <w:p>
      <w:pPr>
        <w:adjustRightInd w:val="0"/>
        <w:snapToGrid w:val="0"/>
        <w:spacing w:line="360" w:lineRule="auto"/>
        <w:ind w:firstLine="480" w:firstLineChars="200"/>
        <w:jc w:val="left"/>
        <w:rPr>
          <w:rFonts w:hint="default" w:ascii="仿宋" w:hAnsi="仿宋" w:eastAsia="仿宋" w:cs="仿宋"/>
          <w:color w:val="auto"/>
          <w:sz w:val="24"/>
        </w:rPr>
      </w:pPr>
      <w:r>
        <w:rPr>
          <w:rFonts w:hint="eastAsia" w:ascii="仿宋" w:hAnsi="仿宋" w:eastAsia="仿宋" w:cs="仿宋"/>
          <w:color w:val="auto"/>
          <w:sz w:val="24"/>
        </w:rPr>
        <w:t>最高限价（元）：</w:t>
      </w:r>
      <w:r>
        <w:rPr>
          <w:rFonts w:hint="eastAsia" w:ascii="仿宋" w:hAnsi="仿宋" w:eastAsia="仿宋" w:cs="仿宋"/>
          <w:i w:val="0"/>
          <w:iCs w:val="0"/>
          <w:color w:val="auto"/>
          <w:spacing w:val="0"/>
          <w:sz w:val="24"/>
          <w:szCs w:val="24"/>
          <w:shd w:val="clear"/>
          <w:lang w:val="en-US" w:eastAsia="zh-CN"/>
        </w:rPr>
        <w:t>300000.00。</w:t>
      </w:r>
    </w:p>
    <w:p>
      <w:pPr>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采购需求：“浙江省博物计划于2024年4月底在之江馆区推出“丽人行——中国近现代女性图像”展，本项目包含该展览约6个异地城市、125件借展展品借展运输费与保险费</w:t>
      </w:r>
      <w:r>
        <w:rPr>
          <w:rFonts w:hint="eastAsia" w:ascii="仿宋" w:hAnsi="仿宋" w:eastAsia="仿宋" w:cs="仿宋"/>
          <w:color w:val="auto"/>
          <w:sz w:val="24"/>
          <w:lang w:eastAsia="zh-CN"/>
        </w:rPr>
        <w:t>，详见采购需求。</w:t>
      </w:r>
      <w:r>
        <w:rPr>
          <w:rFonts w:hint="eastAsia" w:ascii="仿宋" w:hAnsi="仿宋" w:eastAsia="仿宋" w:cs="仿宋"/>
          <w:color w:val="auto"/>
          <w:sz w:val="24"/>
        </w:rPr>
        <w:t xml:space="preserve"> </w:t>
      </w:r>
      <w:r>
        <w:rPr>
          <w:rFonts w:hint="eastAsia" w:ascii="仿宋" w:hAnsi="仿宋" w:eastAsia="仿宋" w:cs="仿宋"/>
          <w:color w:val="auto"/>
          <w:sz w:val="24"/>
        </w:rPr>
        <w:br w:type="textWrapping"/>
      </w:r>
      <w:r>
        <w:rPr>
          <w:rFonts w:hint="eastAsia" w:ascii="仿宋" w:hAnsi="仿宋" w:eastAsia="仿宋" w:cs="仿宋"/>
          <w:color w:val="auto"/>
          <w:sz w:val="24"/>
        </w:rPr>
        <w:t>     数量:展品数量：约155（套），其中借展文物约101件（套），主要为书画、绘画、服饰、民俗文物、文件宣传品等类展品。借展文物估价约1.3亿元。</w:t>
      </w:r>
    </w:p>
    <w:p>
      <w:pPr>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单位：项</w:t>
      </w:r>
      <w:r>
        <w:rPr>
          <w:rFonts w:hint="eastAsia" w:ascii="仿宋" w:hAnsi="仿宋" w:eastAsia="仿宋" w:cs="仿宋"/>
          <w:color w:val="auto"/>
          <w:sz w:val="24"/>
        </w:rPr>
        <w:br w:type="textWrapping"/>
      </w:r>
      <w:r>
        <w:rPr>
          <w:rFonts w:hint="eastAsia" w:ascii="仿宋" w:hAnsi="仿宋" w:eastAsia="仿宋" w:cs="仿宋"/>
          <w:color w:val="auto"/>
          <w:sz w:val="24"/>
        </w:rPr>
        <w:t>     简要规格描述或项目基本概况介绍、用途：</w:t>
      </w:r>
      <w:r>
        <w:rPr>
          <w:rFonts w:hint="eastAsia" w:ascii="仿宋" w:hAnsi="仿宋" w:eastAsia="仿宋" w:cs="仿宋"/>
          <w:color w:val="auto"/>
          <w:sz w:val="24"/>
          <w:lang w:eastAsia="zh-CN"/>
        </w:rPr>
        <w:t>详见采购需求</w:t>
      </w:r>
      <w:r>
        <w:rPr>
          <w:rFonts w:hint="eastAsia" w:ascii="仿宋" w:hAnsi="仿宋" w:eastAsia="仿宋" w:cs="仿宋"/>
          <w:color w:val="auto"/>
          <w:sz w:val="24"/>
        </w:rPr>
        <w:t xml:space="preserve">    </w:t>
      </w:r>
    </w:p>
    <w:p>
      <w:pPr>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备注：/</w:t>
      </w:r>
    </w:p>
    <w:p>
      <w:pPr>
        <w:adjustRightInd w:val="0"/>
        <w:snapToGrid w:val="0"/>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合同履约期限：2024年4月28日-2024年8月28日</w:t>
      </w:r>
      <w:r>
        <w:rPr>
          <w:rFonts w:hint="eastAsia" w:ascii="仿宋" w:hAnsi="仿宋" w:eastAsia="仿宋" w:cs="仿宋"/>
          <w:b w:val="0"/>
          <w:bCs w:val="0"/>
          <w:color w:val="auto"/>
          <w:sz w:val="24"/>
          <w:lang w:val="en-US" w:eastAsia="zh-CN"/>
        </w:rPr>
        <w:t>。</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w:t>
      </w:r>
      <w:r>
        <w:rPr>
          <w:rFonts w:hint="eastAsia" w:ascii="仿宋" w:hAnsi="仿宋" w:eastAsia="仿宋" w:cs="仿宋"/>
          <w:color w:val="auto"/>
          <w:sz w:val="24"/>
          <w:lang w:eastAsia="zh-CN"/>
        </w:rPr>
        <w:t>不</w:t>
      </w:r>
      <w:r>
        <w:rPr>
          <w:rFonts w:hint="eastAsia" w:ascii="仿宋" w:hAnsi="仿宋" w:eastAsia="仿宋" w:cs="仿宋"/>
          <w:color w:val="auto"/>
          <w:sz w:val="24"/>
        </w:rPr>
        <w:t>接受联合体投标。</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二、申请人的资格要求</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2.落实政府采购政策需满足的资格要求：</w:t>
      </w:r>
      <w:r>
        <w:rPr>
          <w:rFonts w:hint="eastAsia" w:ascii="仿宋" w:hAnsi="仿宋" w:eastAsia="仿宋" w:cs="仿宋"/>
          <w:color w:val="auto"/>
          <w:sz w:val="24"/>
          <w:lang w:eastAsia="zh-CN"/>
        </w:rPr>
        <w:t>供应商为中小企业</w:t>
      </w:r>
      <w:r>
        <w:rPr>
          <w:rFonts w:hint="eastAsia" w:ascii="仿宋" w:hAnsi="仿宋" w:eastAsia="仿宋" w:cs="仿宋"/>
          <w:color w:val="auto"/>
          <w:sz w:val="24"/>
          <w:lang w:val="en-US" w:eastAsia="zh-CN"/>
        </w:rPr>
        <w:t>/小微企业</w:t>
      </w:r>
      <w:r>
        <w:rPr>
          <w:rFonts w:hint="eastAsia" w:ascii="仿宋" w:hAnsi="仿宋" w:eastAsia="仿宋" w:cs="仿宋"/>
          <w:color w:val="auto"/>
          <w:sz w:val="24"/>
        </w:rPr>
        <w:t>。</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3.本项目的特定资格要求：无。</w:t>
      </w:r>
    </w:p>
    <w:p>
      <w:pPr>
        <w:adjustRightInd w:val="0"/>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三、获取磋商文件</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时间：/至</w:t>
      </w:r>
      <w:r>
        <w:rPr>
          <w:rFonts w:hint="eastAsia" w:ascii="仿宋" w:hAnsi="仿宋" w:eastAsia="仿宋" w:cs="仿宋"/>
          <w:color w:val="auto"/>
          <w:sz w:val="24"/>
          <w:highlight w:val="none"/>
        </w:rPr>
        <w:t>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日 ，每</w:t>
      </w:r>
      <w:r>
        <w:rPr>
          <w:rFonts w:hint="eastAsia" w:ascii="仿宋" w:hAnsi="仿宋" w:eastAsia="仿宋" w:cs="仿宋"/>
          <w:color w:val="auto"/>
          <w:sz w:val="24"/>
        </w:rPr>
        <w:t>天上午00:00至12:00 ，下午12:00至23:59（北京时间，线上获取法定节假日均可，线下获取文件法定节假日除外）</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地点（网址）：政采云平台（http://zfcg.czt.zj.gov.cn）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方式：潜在供应商登陆政采云平台，在线申请获取磋商文件（进入“项目采购”应用，在获取磋商文件菜单中选择项目，申请获取磋商文件，本项目磋商文件不收取工本费；仅需浏览磋商文件的供应商可点击“游客，浏览磋商文件”直接下载磋商文件浏览）</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售价（元）：0 </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四、提交磋商响应文件截止时间、开标时间和地点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提交磋商响应文件截止时间：202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4</w:t>
      </w:r>
      <w:r>
        <w:rPr>
          <w:rFonts w:hint="eastAsia" w:ascii="仿宋" w:hAnsi="仿宋" w:eastAsia="仿宋" w:cs="仿宋"/>
          <w:color w:val="auto"/>
          <w:sz w:val="24"/>
        </w:rPr>
        <w:t>月</w:t>
      </w:r>
      <w:r>
        <w:rPr>
          <w:rFonts w:hint="eastAsia" w:ascii="仿宋" w:hAnsi="仿宋" w:eastAsia="仿宋" w:cs="仿宋"/>
          <w:color w:val="auto"/>
          <w:sz w:val="24"/>
          <w:lang w:val="en-US" w:eastAsia="zh-CN"/>
        </w:rPr>
        <w:t>8</w:t>
      </w:r>
      <w:r>
        <w:rPr>
          <w:rFonts w:hint="eastAsia" w:ascii="仿宋" w:hAnsi="仿宋" w:eastAsia="仿宋" w:cs="仿宋"/>
          <w:color w:val="auto"/>
          <w:sz w:val="24"/>
        </w:rPr>
        <w:t>日</w:t>
      </w:r>
      <w:r>
        <w:rPr>
          <w:rFonts w:hint="eastAsia" w:ascii="仿宋" w:hAnsi="仿宋" w:eastAsia="仿宋" w:cs="仿宋"/>
          <w:color w:val="auto"/>
          <w:sz w:val="24"/>
          <w:lang w:val="en-US" w:eastAsia="zh-CN"/>
        </w:rPr>
        <w:t>14</w:t>
      </w:r>
      <w:r>
        <w:rPr>
          <w:rFonts w:hint="eastAsia" w:ascii="仿宋" w:hAnsi="仿宋" w:eastAsia="仿宋" w:cs="仿宋"/>
          <w:color w:val="auto"/>
          <w:sz w:val="24"/>
        </w:rPr>
        <w:t>时</w:t>
      </w:r>
      <w:r>
        <w:rPr>
          <w:rFonts w:hint="eastAsia" w:ascii="仿宋" w:hAnsi="仿宋" w:eastAsia="仿宋" w:cs="仿宋"/>
          <w:color w:val="auto"/>
          <w:sz w:val="24"/>
          <w:lang w:val="en-US" w:eastAsia="zh-CN"/>
        </w:rPr>
        <w:t>30</w:t>
      </w:r>
      <w:r>
        <w:rPr>
          <w:rFonts w:hint="eastAsia" w:ascii="仿宋" w:hAnsi="仿宋" w:eastAsia="仿宋" w:cs="仿宋"/>
          <w:color w:val="auto"/>
          <w:sz w:val="24"/>
        </w:rPr>
        <w:t>分（北京时间）</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提交地点（网址）：政府采购云平台（www.zcygov.cn）</w:t>
      </w:r>
    </w:p>
    <w:p>
      <w:pPr>
        <w:adjustRightInd w:val="0"/>
        <w:snapToGrid w:val="0"/>
        <w:spacing w:line="360" w:lineRule="auto"/>
        <w:ind w:firstLine="480" w:firstLineChars="200"/>
        <w:rPr>
          <w:rFonts w:ascii="仿宋" w:hAnsi="仿宋" w:eastAsia="仿宋" w:cs="仿宋"/>
          <w:color w:val="auto"/>
          <w:sz w:val="24"/>
          <w:highlight w:val="yellow"/>
        </w:rPr>
      </w:pPr>
      <w:r>
        <w:rPr>
          <w:rFonts w:hint="eastAsia" w:ascii="仿宋" w:hAnsi="仿宋" w:eastAsia="仿宋" w:cs="仿宋"/>
          <w:color w:val="auto"/>
          <w:sz w:val="24"/>
        </w:rPr>
        <w:t>磋商时间：202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4</w:t>
      </w:r>
      <w:r>
        <w:rPr>
          <w:rFonts w:hint="eastAsia" w:ascii="仿宋" w:hAnsi="仿宋" w:eastAsia="仿宋" w:cs="仿宋"/>
          <w:color w:val="auto"/>
          <w:sz w:val="24"/>
        </w:rPr>
        <w:t>月</w:t>
      </w:r>
      <w:r>
        <w:rPr>
          <w:rFonts w:hint="eastAsia" w:ascii="仿宋" w:hAnsi="仿宋" w:eastAsia="仿宋" w:cs="仿宋"/>
          <w:color w:val="auto"/>
          <w:sz w:val="24"/>
          <w:lang w:val="en-US" w:eastAsia="zh-CN"/>
        </w:rPr>
        <w:t>8</w:t>
      </w:r>
      <w:r>
        <w:rPr>
          <w:rFonts w:hint="eastAsia" w:ascii="仿宋" w:hAnsi="仿宋" w:eastAsia="仿宋" w:cs="仿宋"/>
          <w:color w:val="auto"/>
          <w:sz w:val="24"/>
        </w:rPr>
        <w:t>日</w:t>
      </w:r>
      <w:r>
        <w:rPr>
          <w:rFonts w:hint="eastAsia" w:ascii="仿宋" w:hAnsi="仿宋" w:eastAsia="仿宋" w:cs="仿宋"/>
          <w:color w:val="auto"/>
          <w:sz w:val="24"/>
          <w:lang w:val="en-US" w:eastAsia="zh-CN"/>
        </w:rPr>
        <w:t>14</w:t>
      </w:r>
      <w:r>
        <w:rPr>
          <w:rFonts w:hint="eastAsia" w:ascii="仿宋" w:hAnsi="仿宋" w:eastAsia="仿宋" w:cs="仿宋"/>
          <w:color w:val="auto"/>
          <w:sz w:val="24"/>
        </w:rPr>
        <w:t>时</w:t>
      </w:r>
      <w:r>
        <w:rPr>
          <w:rFonts w:hint="eastAsia" w:ascii="仿宋" w:hAnsi="仿宋" w:eastAsia="仿宋" w:cs="仿宋"/>
          <w:color w:val="auto"/>
          <w:sz w:val="24"/>
          <w:lang w:val="en-US" w:eastAsia="zh-CN"/>
        </w:rPr>
        <w:t>30</w:t>
      </w:r>
      <w:r>
        <w:rPr>
          <w:rFonts w:hint="eastAsia" w:ascii="仿宋" w:hAnsi="仿宋" w:eastAsia="仿宋" w:cs="仿宋"/>
          <w:color w:val="auto"/>
          <w:sz w:val="24"/>
        </w:rPr>
        <w:t>分（北京时间）</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磋商地点（网址）：政府采购云平台（www.zcygov.cn）</w:t>
      </w:r>
    </w:p>
    <w:p>
      <w:pPr>
        <w:numPr>
          <w:ilvl w:val="0"/>
          <w:numId w:val="5"/>
        </w:numPr>
        <w:adjustRightInd w:val="0"/>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采购意向公开链接</w:t>
      </w:r>
    </w:p>
    <w:p>
      <w:pPr>
        <w:adjustRightInd w:val="0"/>
        <w:snapToGrid w:val="0"/>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fldChar w:fldCharType="begin"/>
      </w:r>
      <w:r>
        <w:rPr>
          <w:rFonts w:hint="eastAsia" w:ascii="仿宋" w:hAnsi="仿宋" w:eastAsia="仿宋" w:cs="仿宋"/>
          <w:b/>
          <w:bCs/>
          <w:color w:val="auto"/>
          <w:sz w:val="24"/>
        </w:rPr>
        <w:instrText xml:space="preserve"> HYPERLINK "https://zfcg.czt.zj.gov.cn/luban/detail?parentId=600007&amp;articleId=IutjKLaVUtAfTCUGUozqog==" </w:instrText>
      </w:r>
      <w:r>
        <w:rPr>
          <w:rFonts w:hint="eastAsia" w:ascii="仿宋" w:hAnsi="仿宋" w:eastAsia="仿宋" w:cs="仿宋"/>
          <w:b/>
          <w:bCs/>
          <w:color w:val="auto"/>
          <w:sz w:val="24"/>
        </w:rPr>
        <w:fldChar w:fldCharType="separate"/>
      </w:r>
      <w:r>
        <w:rPr>
          <w:rStyle w:val="36"/>
          <w:rFonts w:hint="eastAsia" w:ascii="仿宋" w:hAnsi="仿宋" w:eastAsia="仿宋" w:cs="仿宋"/>
          <w:b/>
          <w:bCs/>
          <w:color w:val="auto"/>
          <w:sz w:val="24"/>
        </w:rPr>
        <w:t>https://zfcg.czt.zj.gov.cn/luban/detail?parentId=600007&amp;articleId=IutjKLaVUtAfTCUGUozqog==</w:t>
      </w:r>
      <w:r>
        <w:rPr>
          <w:rFonts w:hint="eastAsia" w:ascii="仿宋" w:hAnsi="仿宋" w:eastAsia="仿宋" w:cs="仿宋"/>
          <w:b/>
          <w:bCs/>
          <w:color w:val="auto"/>
          <w:sz w:val="24"/>
        </w:rPr>
        <w:fldChar w:fldCharType="end"/>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六、公告期限</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自本公告发布之日起3个工作日。</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七、其他补充事宜</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before="75" w:after="75"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3.供应商认为磋商文件使自己的权益受到损害的，可以自获取磋商文件之日或者磋商文件公告期限届满之日（公告期限届满后获取磋商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其他事项：（1）本项目磋商文件实行“政府采购云平台”在线获取，不提供磋商文件纸质版。供应商获取磋商文件前应先完成“政府采购云平台”的账号注册；（2）方式：潜在供应商登陆政采云平台，在线申请获取磋商文件（进入“项目采购”应用，在获取磋商文件菜单中选择项目，申请获取磋商文件，本项目磋商文件不收取工本费；仅需浏览磋商文件的供应商可点击“游客，浏览磋商文件”直接下载磋商文件浏览）；（3）提示：磋商公告附件内的磋商文件（或采购需求）仅供阅览使用，供应商只有在“政府采购云平台”完成获取磋商文件申请并下载了磋商文件后才视作依法获取磋商文件（法律法规所指的供应商获取磋商文件时间以供应商完成获取磋商文件申请后下载磋商文件的时间为准）。 注：请供应商按上述要求获取磋商文件，如未在“政采云”系统内完成相关流程，引起的磋商响应无效责任自负。（4）本项目通过“政府采购云平台（www.zcygov.cn）”实行在线投标响应（电子投标），供应商应先安装“政采云电子交易客户端”，并按照本磋商文件和“政府采购云平台”的要求，通过“政采云电子交易客户端”编制并加密磋商响应文件。磋商供应商未按规定加密的磋商响应文件，“政府采购云平台”将予以拒收。 “政采云电子交易客户端”请自行前往“浙江政府采购网-下载专区-电子交易客户端”进行下载；通过“政府采购云平台”参与在线投标时如遇平台技术问题详询400-881-7190。（5）为确保网上操作合法、有效和安全，磋商供应商应当在磋商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6）磋商供应商应当在磋商响应截止时间前，将生成的“电子加密磋商响应文件”上传递交至“政府采购云平台”。磋商响应截止时间以后上传递交的磋商响应文件将被“政府采购云平台”拒收。（7）磋商供应商在“政府采购云平台”完成“电子加密磋商响应文件”的上传递交后，还可以（邮寄形式）在磋商响应截止时间前递交以介质（U盘）存储的数据电文形式的“备份磋商响应文件”，“备份磋商响应文件”应当密封包装并在包装上标注投标项目名称、磋商供应商名称并加盖公章。（8）通过“政府采购云平台”上传递交的“电子加密磋商响应文件”无法按时解密，磋商供应商递交了备份磋商响应文件的，以备份磋商响应文件为依据，否则视为磋商响应文件撤回。通过“政府采购云平台”上传递交的“电子加密磋商响应文件”已按时解密的，“备份磋商响应文件”自动失效。磋商供应商仅递交备份磋商响应文件的，磋商响应无效。（9）供应商认为磋商文件使自己的权益受到损害的，可以自收到磋商文件之日（采购公告限期届满之日后收到磋商文件的，以采购公告限期届满之日起计算）起7个工作日内，以书面形式向采购人和采购代理机构提出质疑。质疑供应商对采购代理机构的答复不满意或者采购代理机构未在规定的时间内作出答复的，可以在答复期满后十五个工作日内向同级政府采购监督管理部门投诉。（10）本项目对符合财政扶持政策的中小企业（小型、微型）、监狱企业、残疾人福利性单位给予价格优惠扶持，执行节能产品政府强制采购和优先采购政策，执行环境标志产品政府优先采购政策。</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八、对本次采购提出询问、质疑、投诉，请按以下方式联系</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1.采购人信息</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名    称：浙江省博物馆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    址：杭州市孤山路25号</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传   真：/</w:t>
      </w:r>
    </w:p>
    <w:p>
      <w:pPr>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 xml:space="preserve"> 陈剑锋</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 xml:space="preserve"> 0571-88798 6742</w:t>
      </w:r>
    </w:p>
    <w:p>
      <w:pPr>
        <w:adjustRightInd w:val="0"/>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lang w:val="en-US" w:eastAsia="zh-CN"/>
        </w:rPr>
        <w:t xml:space="preserve"> 高利祥</w:t>
      </w:r>
    </w:p>
    <w:p>
      <w:pPr>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highlight w:val="none"/>
          <w:lang w:val="en-US" w:eastAsia="zh-CN"/>
        </w:rPr>
        <w:t xml:space="preserve"> 0571-87971177</w:t>
      </w:r>
    </w:p>
    <w:p>
      <w:pPr>
        <w:pStyle w:val="13"/>
        <w:rPr>
          <w:rFonts w:hint="eastAsia"/>
          <w:color w:val="auto"/>
        </w:rPr>
      </w:pP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2.采购代理机构信息</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名    称：浙江通用招标代理有限公司</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    址：杭州市上城区清泰街571号1305室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项目联系人（询问）：刘婷华、</w:t>
      </w:r>
      <w:r>
        <w:rPr>
          <w:rFonts w:hint="eastAsia" w:ascii="仿宋" w:hAnsi="仿宋" w:eastAsia="仿宋" w:cs="仿宋"/>
          <w:color w:val="auto"/>
          <w:sz w:val="24"/>
          <w:lang w:eastAsia="zh-CN"/>
        </w:rPr>
        <w:t>王爽</w:t>
      </w:r>
      <w:r>
        <w:rPr>
          <w:rFonts w:hint="eastAsia" w:ascii="仿宋" w:hAnsi="仿宋" w:eastAsia="仿宋" w:cs="仿宋"/>
          <w:color w:val="auto"/>
          <w:sz w:val="24"/>
        </w:rPr>
        <w:t>   </w:t>
      </w:r>
    </w:p>
    <w:p>
      <w:pPr>
        <w:adjustRightInd w:val="0"/>
        <w:snapToGrid w:val="0"/>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项目联系方式（询问）：0571-</w:t>
      </w:r>
      <w:r>
        <w:rPr>
          <w:rFonts w:hint="eastAsia" w:ascii="仿宋" w:hAnsi="仿宋" w:eastAsia="仿宋" w:cs="仿宋"/>
          <w:color w:val="auto"/>
          <w:sz w:val="24"/>
          <w:lang w:val="en-US" w:eastAsia="zh-CN"/>
        </w:rPr>
        <w:t>86802299</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质疑联系人：</w:t>
      </w:r>
      <w:r>
        <w:rPr>
          <w:rFonts w:hint="eastAsia" w:ascii="仿宋" w:hAnsi="仿宋" w:eastAsia="仿宋" w:cs="仿宋"/>
          <w:color w:val="auto"/>
          <w:sz w:val="24"/>
          <w:lang w:eastAsia="zh-CN"/>
        </w:rPr>
        <w:t>韩鑫</w:t>
      </w:r>
      <w:r>
        <w:rPr>
          <w:rFonts w:hint="eastAsia" w:ascii="仿宋" w:hAnsi="仿宋" w:eastAsia="仿宋" w:cs="仿宋"/>
          <w:color w:val="auto"/>
          <w:sz w:val="24"/>
        </w:rPr>
        <w:t xml:space="preserve">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质疑联系方式：0571-</w:t>
      </w:r>
      <w:r>
        <w:rPr>
          <w:rFonts w:hint="eastAsia" w:ascii="仿宋" w:hAnsi="仿宋" w:eastAsia="仿宋" w:cs="仿宋"/>
          <w:color w:val="auto"/>
          <w:sz w:val="24"/>
          <w:lang w:val="en-US" w:eastAsia="zh-CN"/>
        </w:rPr>
        <w:t>86802299</w:t>
      </w:r>
      <w:r>
        <w:rPr>
          <w:rFonts w:hint="eastAsia" w:ascii="仿宋" w:hAnsi="仿宋" w:eastAsia="仿宋" w:cs="仿宋"/>
          <w:color w:val="auto"/>
          <w:sz w:val="24"/>
        </w:rPr>
        <w:t>　　　　　      </w:t>
      </w:r>
    </w:p>
    <w:p>
      <w:pPr>
        <w:adjustRightInd w:val="0"/>
        <w:snapToGrid w:val="0"/>
        <w:spacing w:line="360" w:lineRule="auto"/>
        <w:ind w:firstLine="480" w:firstLineChars="200"/>
        <w:rPr>
          <w:rFonts w:hint="eastAsia" w:ascii="仿宋" w:hAnsi="仿宋" w:eastAsia="仿宋" w:cs="仿宋"/>
          <w:color w:val="auto"/>
          <w:sz w:val="24"/>
        </w:rPr>
      </w:pP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3.同级政府采购监督管理部门</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名    称：</w:t>
      </w:r>
      <w:r>
        <w:rPr>
          <w:rFonts w:hint="eastAsia" w:ascii="仿宋" w:hAnsi="仿宋" w:eastAsia="仿宋" w:cs="仿宋"/>
          <w:color w:val="auto"/>
          <w:spacing w:val="0"/>
          <w:sz w:val="24"/>
          <w:szCs w:val="24"/>
        </w:rPr>
        <w:t>浙江省政府采购行政裁决服务中心</w:t>
      </w:r>
      <w:r>
        <w:rPr>
          <w:rFonts w:hint="eastAsia" w:ascii="仿宋" w:hAnsi="仿宋" w:eastAsia="仿宋" w:cs="仿宋"/>
          <w:color w:val="auto"/>
          <w:sz w:val="24"/>
        </w:rPr>
        <w:t>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pacing w:val="0"/>
          <w:sz w:val="24"/>
          <w:szCs w:val="24"/>
        </w:rPr>
        <w:t>杭州市上城区四季青街道新业路市民之家G03办公室</w:t>
      </w:r>
      <w:r>
        <w:rPr>
          <w:rFonts w:hint="eastAsia" w:ascii="仿宋" w:hAnsi="仿宋" w:eastAsia="仿宋" w:cs="仿宋"/>
          <w:color w:val="auto"/>
          <w:sz w:val="24"/>
        </w:rPr>
        <w:t xml:space="preserve">          </w:t>
      </w:r>
    </w:p>
    <w:p>
      <w:pPr>
        <w:adjustRightInd w:val="0"/>
        <w:snapToGrid w:val="0"/>
        <w:spacing w:line="360" w:lineRule="auto"/>
        <w:ind w:firstLine="480" w:firstLineChars="200"/>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联系人：朱女士、王女士</w:t>
      </w:r>
    </w:p>
    <w:p>
      <w:pPr>
        <w:adjustRightInd w:val="0"/>
        <w:snapToGrid w:val="0"/>
        <w:spacing w:line="360" w:lineRule="auto"/>
        <w:ind w:firstLine="480" w:firstLineChars="200"/>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监督投诉电话：0571-85252453</w:t>
      </w:r>
    </w:p>
    <w:p>
      <w:pPr>
        <w:adjustRightInd w:val="0"/>
        <w:snapToGrid w:val="0"/>
        <w:spacing w:line="360" w:lineRule="auto"/>
        <w:ind w:firstLine="480" w:firstLineChars="200"/>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政策咨询：何一平、冯华，0571-87058424、87055741</w:t>
      </w:r>
    </w:p>
    <w:p>
      <w:pPr>
        <w:adjustRightInd w:val="0"/>
        <w:snapToGrid w:val="0"/>
        <w:spacing w:line="360" w:lineRule="auto"/>
        <w:ind w:firstLine="480" w:firstLineChars="200"/>
        <w:jc w:val="left"/>
        <w:rPr>
          <w:rFonts w:hint="eastAsia" w:ascii="仿宋" w:hAnsi="仿宋" w:eastAsia="仿宋" w:cs="仿宋"/>
          <w:sz w:val="24"/>
        </w:rPr>
      </w:pP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预算金额未达100万元的采购项目，由采购人处理采购争议。</w:t>
      </w:r>
    </w:p>
    <w:p>
      <w:pPr>
        <w:pStyle w:val="2"/>
        <w:rPr>
          <w:rFonts w:hint="eastAsia"/>
        </w:rPr>
      </w:pPr>
    </w:p>
    <w:p>
      <w:pPr>
        <w:adjustRightInd w:val="0"/>
        <w:snapToGrid w:val="0"/>
        <w:spacing w:line="360" w:lineRule="auto"/>
        <w:jc w:val="center"/>
        <w:rPr>
          <w:rFonts w:hint="eastAsia" w:ascii="仿宋_GB2312" w:hAnsi="仿宋" w:eastAsia="仿宋_GB2312" w:cs="仿宋"/>
          <w:b/>
          <w:color w:val="auto"/>
          <w:sz w:val="32"/>
        </w:rPr>
      </w:pPr>
    </w:p>
    <w:p>
      <w:pPr>
        <w:widowControl/>
        <w:adjustRightInd w:val="0"/>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lang w:bidi="ar"/>
        </w:rPr>
        <w:t>若对项目采购电子交易系统操作有疑问，可登录政采云（https://www.zcygov.cn/），点击右侧咨询小采，获取采小蜜智能服务管家帮助，或拨打政采云服务热线400-881-7190获取热线服务帮助。       </w:t>
      </w:r>
    </w:p>
    <w:p>
      <w:pPr>
        <w:widowControl/>
        <w:adjustRightInd w:val="0"/>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lang w:bidi="ar"/>
        </w:rPr>
        <w:t>CA问题联系电话（人工）：汇信CA 400-888-4636；天谷CA 400-087-8198。</w:t>
      </w:r>
    </w:p>
    <w:p>
      <w:pPr>
        <w:adjustRightInd w:val="0"/>
        <w:snapToGrid w:val="0"/>
        <w:spacing w:line="360" w:lineRule="auto"/>
        <w:ind w:firstLine="480" w:firstLineChars="200"/>
        <w:jc w:val="left"/>
        <w:rPr>
          <w:rFonts w:hint="eastAsia" w:ascii="仿宋" w:hAnsi="仿宋" w:eastAsia="仿宋" w:cs="仿宋"/>
          <w:sz w:val="24"/>
        </w:rPr>
      </w:pPr>
    </w:p>
    <w:p>
      <w:pPr>
        <w:adjustRightInd w:val="0"/>
        <w:snapToGrid w:val="0"/>
        <w:spacing w:line="360" w:lineRule="auto"/>
        <w:rPr>
          <w:rFonts w:hint="eastAsia" w:ascii="仿宋_GB2312" w:hAnsi="仿宋" w:eastAsia="仿宋_GB2312" w:cs="仿宋"/>
          <w:b/>
          <w:color w:val="auto"/>
          <w:sz w:val="32"/>
        </w:rPr>
      </w:pPr>
      <w:r>
        <w:rPr>
          <w:rFonts w:hint="eastAsia" w:ascii="仿宋_GB2312" w:hAnsi="仿宋" w:eastAsia="仿宋_GB2312" w:cs="仿宋"/>
          <w:b/>
          <w:color w:val="auto"/>
          <w:sz w:val="32"/>
        </w:rPr>
        <w:br w:type="page"/>
      </w:r>
      <w:r>
        <w:rPr>
          <w:rFonts w:hint="eastAsia" w:ascii="仿宋_GB2312" w:hAnsi="仿宋" w:eastAsia="仿宋_GB2312" w:cs="仿宋"/>
          <w:b/>
          <w:color w:val="auto"/>
          <w:sz w:val="32"/>
        </w:rPr>
        <w:t xml:space="preserve">            第二部分  磋商供应商须知</w:t>
      </w:r>
    </w:p>
    <w:p>
      <w:pPr>
        <w:adjustRightInd w:val="0"/>
        <w:snapToGrid w:val="0"/>
        <w:spacing w:line="360" w:lineRule="auto"/>
        <w:jc w:val="center"/>
        <w:rPr>
          <w:rFonts w:hint="eastAsia" w:ascii="仿宋_GB2312" w:hAnsi="仿宋" w:eastAsia="仿宋_GB2312" w:cs="仿宋"/>
          <w:b/>
          <w:color w:val="auto"/>
          <w:sz w:val="24"/>
        </w:rPr>
      </w:pPr>
      <w:r>
        <w:rPr>
          <w:rFonts w:hint="eastAsia" w:ascii="仿宋_GB2312" w:hAnsi="仿宋" w:eastAsia="仿宋_GB2312" w:cs="仿宋"/>
          <w:b/>
          <w:color w:val="auto"/>
          <w:sz w:val="24"/>
        </w:rPr>
        <w:t>前 附 表</w:t>
      </w:r>
    </w:p>
    <w:tbl>
      <w:tblPr>
        <w:tblStyle w:val="3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7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浙江省博物馆“丽人行-中国近现代女性图像”展运输项目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lang w:eastAsia="zh-CN"/>
              </w:rPr>
            </w:pPr>
            <w:r>
              <w:rPr>
                <w:rFonts w:hint="eastAsia" w:ascii="仿宋" w:hAnsi="仿宋" w:eastAsia="仿宋" w:cs="仿宋"/>
                <w:b/>
                <w:bCs/>
                <w:color w:val="auto"/>
                <w:sz w:val="24"/>
              </w:rPr>
              <w:t>项目编号：</w:t>
            </w:r>
            <w:r>
              <w:rPr>
                <w:rFonts w:hint="eastAsia" w:ascii="仿宋" w:hAnsi="仿宋" w:eastAsia="仿宋" w:cs="仿宋"/>
                <w:color w:val="auto"/>
                <w:sz w:val="24"/>
                <w:lang w:eastAsia="zh-CN"/>
              </w:rPr>
              <w:t>ZJTY2024H-JF-005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仿宋" w:hAnsi="仿宋" w:eastAsia="仿宋" w:cs="仿宋"/>
                <w:color w:val="auto"/>
                <w:sz w:val="24"/>
              </w:rPr>
            </w:pPr>
            <w:r>
              <w:rPr>
                <w:rFonts w:hint="eastAsia" w:ascii="仿宋" w:hAnsi="仿宋" w:eastAsia="仿宋" w:cs="仿宋"/>
                <w:b/>
                <w:bCs/>
                <w:color w:val="auto"/>
                <w:sz w:val="24"/>
              </w:rPr>
              <w:t>采购内容：</w:t>
            </w:r>
            <w:r>
              <w:rPr>
                <w:rFonts w:hint="eastAsia" w:ascii="仿宋" w:hAnsi="仿宋" w:eastAsia="仿宋" w:cs="仿宋"/>
                <w:color w:val="auto"/>
                <w:sz w:val="24"/>
                <w:lang w:eastAsia="zh-CN"/>
              </w:rPr>
              <w:t>浙江省博物馆“丽人行-中国近现代女性图像”展运输项目，</w:t>
            </w:r>
            <w:r>
              <w:rPr>
                <w:rFonts w:hint="eastAsia" w:ascii="仿宋" w:hAnsi="仿宋" w:eastAsia="仿宋" w:cs="仿宋"/>
                <w:color w:val="auto"/>
                <w:sz w:val="24"/>
              </w:rPr>
              <w:t>详见《第三部分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仿宋" w:hAnsi="仿宋" w:eastAsia="仿宋" w:cs="仿宋"/>
                <w:color w:val="auto"/>
                <w:sz w:val="24"/>
              </w:rPr>
            </w:pPr>
            <w:r>
              <w:rPr>
                <w:rFonts w:hint="eastAsia" w:ascii="仿宋" w:hAnsi="仿宋" w:eastAsia="仿宋" w:cs="仿宋"/>
                <w:b/>
                <w:bCs/>
                <w:color w:val="auto"/>
                <w:sz w:val="24"/>
              </w:rPr>
              <w:t>项目预算：</w:t>
            </w:r>
            <w:r>
              <w:rPr>
                <w:rFonts w:hint="eastAsia" w:ascii="仿宋" w:hAnsi="仿宋" w:eastAsia="仿宋" w:cs="仿宋"/>
                <w:b/>
                <w:bCs/>
                <w:color w:val="auto"/>
                <w:sz w:val="24"/>
                <w:lang w:val="en-US" w:eastAsia="zh-CN"/>
              </w:rPr>
              <w:t>30</w:t>
            </w:r>
            <w:r>
              <w:rPr>
                <w:rFonts w:hint="eastAsia" w:ascii="仿宋" w:hAnsi="仿宋" w:eastAsia="仿宋" w:cs="仿宋"/>
                <w:color w:val="auto"/>
                <w:sz w:val="24"/>
              </w:rPr>
              <w:t>万元人民币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资金来源：</w:t>
            </w:r>
            <w:r>
              <w:rPr>
                <w:rFonts w:hint="eastAsia" w:ascii="仿宋" w:hAnsi="仿宋" w:eastAsia="仿宋" w:cs="仿宋"/>
                <w:color w:val="auto"/>
                <w:sz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仿宋" w:hAnsi="仿宋" w:eastAsia="仿宋" w:cs="仿宋"/>
                <w:color w:val="auto"/>
                <w:sz w:val="24"/>
              </w:rPr>
            </w:pPr>
            <w:r>
              <w:rPr>
                <w:rFonts w:hint="eastAsia" w:ascii="仿宋" w:hAnsi="仿宋" w:eastAsia="仿宋" w:cs="仿宋"/>
                <w:b/>
                <w:bCs/>
                <w:color w:val="auto"/>
                <w:sz w:val="24"/>
              </w:rPr>
              <w:t>服务期限（完成时间）：详见第三部分采购需求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磋商报价及费用：</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有关本项目所需的技术方案编写、项目实施费用和税金等所涉及的一切费用。《开标一览表》是报价的唯一载体。磋商响应文件中价格全部采用人民币报价。磋商文件未列明，而磋商供应商认为必需的费用也需列入报价。磋商供应商所承诺的货物或服务未在报价中体现的，采购人一律视为包含在本次报价中；</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（2）结算方式：总价包干。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资格审查方式：</w:t>
            </w:r>
            <w:r>
              <w:rPr>
                <w:rFonts w:hint="eastAsia" w:ascii="仿宋" w:hAnsi="仿宋" w:eastAsia="仿宋" w:cs="仿宋"/>
                <w:color w:val="auto"/>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rPr>
                <w:rFonts w:hint="eastAsia" w:ascii="仿宋" w:hAnsi="仿宋" w:eastAsia="仿宋" w:cs="仿宋"/>
                <w:b/>
                <w:bCs/>
                <w:color w:val="auto"/>
                <w:sz w:val="24"/>
              </w:rPr>
            </w:pPr>
            <w:r>
              <w:rPr>
                <w:rFonts w:hint="eastAsia" w:ascii="仿宋" w:hAnsi="仿宋" w:eastAsia="仿宋" w:cs="仿宋"/>
                <w:b/>
                <w:bCs/>
                <w:color w:val="auto"/>
                <w:sz w:val="24"/>
              </w:rPr>
              <w:t>分包、转包：</w:t>
            </w:r>
          </w:p>
          <w:p>
            <w:pPr>
              <w:keepNext w:val="0"/>
              <w:keepLines w:val="0"/>
              <w:pageBreakBefore w:val="0"/>
              <w:widowControl w:val="0"/>
              <w:kinsoku/>
              <w:wordWrap/>
              <w:overflowPunct/>
              <w:topLinePunct w:val="0"/>
              <w:autoSpaceDE/>
              <w:autoSpaceDN/>
              <w:bidi w:val="0"/>
              <w:spacing w:line="360" w:lineRule="auto"/>
              <w:jc w:val="left"/>
              <w:rPr>
                <w:rFonts w:hint="eastAsia" w:ascii="仿宋" w:hAnsi="仿宋" w:eastAsia="仿宋"/>
                <w:color w:val="auto"/>
                <w:sz w:val="24"/>
                <w:szCs w:val="24"/>
                <w:lang w:eastAsia="zh-CN"/>
              </w:rPr>
            </w:pPr>
            <w:r>
              <w:rPr>
                <w:rFonts w:hint="eastAsia" w:ascii="仿宋" w:hAnsi="仿宋" w:eastAsia="仿宋"/>
                <w:color w:val="auto"/>
                <w:sz w:val="24"/>
                <w:szCs w:val="24"/>
              </w:rPr>
              <w:t>转包：</w:t>
            </w:r>
            <w:r>
              <w:rPr>
                <w:rFonts w:hint="eastAsia" w:ascii="仿宋" w:hAnsi="仿宋" w:eastAsia="仿宋"/>
                <w:color w:val="auto"/>
                <w:sz w:val="24"/>
                <w:szCs w:val="24"/>
                <w:lang w:eastAsia="zh-CN"/>
              </w:rPr>
              <w:t>不</w:t>
            </w:r>
            <w:r>
              <w:rPr>
                <w:rFonts w:hint="eastAsia" w:ascii="仿宋" w:hAnsi="仿宋" w:eastAsia="仿宋"/>
                <w:color w:val="auto"/>
                <w:sz w:val="24"/>
                <w:szCs w:val="24"/>
              </w:rPr>
              <w:t>允许</w:t>
            </w:r>
            <w:r>
              <w:rPr>
                <w:rFonts w:hint="eastAsia" w:ascii="仿宋" w:hAnsi="仿宋" w:eastAsia="仿宋"/>
                <w:color w:val="auto"/>
                <w:sz w:val="24"/>
                <w:szCs w:val="24"/>
                <w:lang w:eastAsia="zh-CN"/>
              </w:rPr>
              <w:t>转</w:t>
            </w:r>
            <w:r>
              <w:rPr>
                <w:rFonts w:hint="eastAsia" w:ascii="仿宋" w:hAnsi="仿宋" w:eastAsia="仿宋"/>
                <w:color w:val="auto"/>
                <w:sz w:val="24"/>
                <w:szCs w:val="24"/>
              </w:rPr>
              <w:t>包</w:t>
            </w:r>
            <w:r>
              <w:rPr>
                <w:rFonts w:hint="eastAsia" w:ascii="仿宋" w:hAnsi="仿宋" w:eastAsia="仿宋"/>
                <w:color w:val="auto"/>
                <w:sz w:val="24"/>
                <w:szCs w:val="24"/>
                <w:lang w:eastAsia="zh-CN"/>
              </w:rPr>
              <w:t>；</w:t>
            </w:r>
          </w:p>
          <w:p>
            <w:pPr>
              <w:adjustRightInd w:val="0"/>
              <w:snapToGrid w:val="0"/>
              <w:spacing w:line="360" w:lineRule="auto"/>
              <w:rPr>
                <w:rFonts w:hint="eastAsia" w:ascii="仿宋" w:hAnsi="仿宋" w:eastAsia="仿宋" w:cs="仿宋"/>
                <w:color w:val="auto"/>
                <w:sz w:val="24"/>
              </w:rPr>
            </w:pPr>
            <w:r>
              <w:rPr>
                <w:rFonts w:hint="eastAsia" w:ascii="仿宋" w:hAnsi="仿宋" w:eastAsia="仿宋"/>
                <w:color w:val="auto"/>
                <w:sz w:val="24"/>
                <w:szCs w:val="24"/>
                <w:highlight w:val="none"/>
              </w:rPr>
              <w:t>分包：分包</w:t>
            </w:r>
            <w:r>
              <w:rPr>
                <w:rFonts w:hint="eastAsia" w:ascii="仿宋" w:hAnsi="仿宋" w:eastAsia="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磋商响应文件有效期：</w:t>
            </w:r>
            <w:r>
              <w:rPr>
                <w:rFonts w:hint="eastAsia" w:ascii="仿宋" w:hAnsi="仿宋" w:eastAsia="仿宋" w:cs="仿宋"/>
                <w:color w:val="auto"/>
                <w:sz w:val="24"/>
              </w:rPr>
              <w:t>自磋商响应截止日起90日历天内有效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11</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开标前答疑会或现场考察：</w:t>
            </w:r>
            <w:r>
              <w:rPr>
                <w:rFonts w:hint="eastAsia" w:ascii="仿宋" w:hAnsi="仿宋" w:eastAsia="仿宋" w:cs="仿宋"/>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履约保证金：</w:t>
            </w:r>
            <w:r>
              <w:rPr>
                <w:rFonts w:hint="eastAsia" w:ascii="仿宋" w:hAnsi="仿宋" w:eastAsia="仿宋" w:cs="仿宋"/>
                <w:color w:val="auto"/>
                <w:sz w:val="24"/>
              </w:rPr>
              <w:t>详见第三部分采购需求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13</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磋商响应文件的签章：</w:t>
            </w:r>
            <w:r>
              <w:rPr>
                <w:rFonts w:hint="eastAsia" w:ascii="仿宋" w:hAnsi="仿宋" w:eastAsia="仿宋" w:cs="仿宋"/>
                <w:color w:val="auto"/>
                <w:sz w:val="24"/>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14</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磋商响应文件的组成：</w:t>
            </w:r>
            <w:r>
              <w:rPr>
                <w:rFonts w:hint="eastAsia" w:ascii="仿宋" w:hAnsi="仿宋" w:eastAsia="仿宋" w:cs="仿宋"/>
                <w:color w:val="auto"/>
                <w:sz w:val="24"/>
              </w:rPr>
              <w:t>完整的《磋商响应文件》由“资格文件”、“报价文件”和“商务技术文件”三个部分组成。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15</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磋商响应文件的编制：</w:t>
            </w:r>
            <w:r>
              <w:rPr>
                <w:rFonts w:hint="eastAsia" w:ascii="仿宋" w:hAnsi="仿宋" w:eastAsia="仿宋" w:cs="仿宋"/>
                <w:color w:val="auto"/>
                <w:sz w:val="24"/>
              </w:rPr>
              <w:t>供应商应先安装“政采云电子交易客户端”，并按照本磋商文件和“政府采购云平台”的要求，通过“政采云电子交易客户端”编制并加密磋商响应文件。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16</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磋商响应文件的形式：</w:t>
            </w:r>
            <w:r>
              <w:rPr>
                <w:rFonts w:hint="eastAsia" w:ascii="仿宋" w:hAnsi="仿宋" w:eastAsia="仿宋" w:cs="仿宋"/>
                <w:color w:val="auto"/>
                <w:sz w:val="24"/>
              </w:rPr>
              <w:t>电子磋商响应文件（包括“电子加密磋商响应文件”和“备份磋商响应文件”，在磋商响应文件编制完成后同时生成）；</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（1）“电子加密磋商响应文件”是指通过“政采云电子交易客户端”完成磋商响应文件编制后生成并加密的数据电文形式的磋商响应文件。</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（2）“备份磋商响应文件”是指与“电子加密磋商响应文件”同时生成的数据电文形式的电子文件（备份标书），其他方式编制的备份磋商响应文件视为无效备份磋商响应文件。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17</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磋商响应文件份数：</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（1）“电子加密磋商响应文件”：在线上传递交，一份。</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“备份磋商响应文件”一份：密封包装后于（邮寄形式）磋商响应截止时间前递交</w:t>
            </w:r>
            <w:r>
              <w:rPr>
                <w:rFonts w:hint="eastAsia" w:ascii="仿宋" w:hAnsi="仿宋" w:eastAsia="仿宋" w:cs="仿宋"/>
                <w:b/>
                <w:bCs/>
                <w:color w:val="auto"/>
                <w:sz w:val="24"/>
              </w:rPr>
              <w:t>（邮寄地址：杭州市上城区清泰街571号1305室；收件人：</w:t>
            </w:r>
            <w:r>
              <w:rPr>
                <w:rFonts w:hint="eastAsia" w:ascii="仿宋" w:hAnsi="仿宋" w:eastAsia="仿宋" w:cs="仿宋"/>
                <w:b/>
                <w:bCs/>
                <w:color w:val="auto"/>
                <w:sz w:val="24"/>
                <w:lang w:eastAsia="zh-CN"/>
              </w:rPr>
              <w:t>赵群</w:t>
            </w:r>
            <w:r>
              <w:rPr>
                <w:rFonts w:hint="eastAsia" w:ascii="仿宋" w:hAnsi="仿宋" w:eastAsia="仿宋" w:cs="仿宋"/>
                <w:b/>
                <w:bCs/>
                <w:color w:val="auto"/>
                <w:sz w:val="24"/>
              </w:rPr>
              <w:t>；联系电话：0571-8680</w:t>
            </w:r>
            <w:r>
              <w:rPr>
                <w:rFonts w:hint="eastAsia" w:ascii="仿宋" w:hAnsi="仿宋" w:eastAsia="仿宋" w:cs="仿宋"/>
                <w:b/>
                <w:bCs/>
                <w:color w:val="auto"/>
                <w:sz w:val="24"/>
                <w:lang w:val="en-US" w:eastAsia="zh-CN"/>
              </w:rPr>
              <w:t>22</w:t>
            </w:r>
            <w:r>
              <w:rPr>
                <w:rFonts w:hint="eastAsia" w:ascii="仿宋" w:hAnsi="仿宋" w:eastAsia="仿宋" w:cs="仿宋"/>
                <w:b/>
                <w:bCs/>
                <w:color w:val="auto"/>
                <w:sz w:val="24"/>
              </w:rPr>
              <w:t>99）</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（2）采购结束后，采购人及采购代理机构可要求成交人提供至少1套纸质版磋商响应文件，磋商响应文件须与最终上传电子加密文件一致，因纸质文件与电子文件不一致产生的一切后果，均由磋商供应商承担。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18</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磋商响应文件的上传和递交：</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（1）“电子加密磋商响应文件”的上传、递交：</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a.磋商供应商应在磋商响应截止时间前将“电子加密磋商响应文件”成功上传递交至“政府采购云平台”，否则磋商响应无效。</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b.“电子加密磋商响应文件”成功上传递交后，供应商可自行打印磋商响应文件接收回执。</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（2）“备份磋商响应文件”的密封包装、递交：</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a.磋商供应商在“政府采购云平台”完成“电子加密磋商响应文件”的上传递交后，还可以（邮寄形式）在磋商响应截止时间前递交以介质（U盘）存储的 “备份磋商响应文件”（一份）；</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b.“备份磋商响应文件”应当密封包装，并在包装上标注投标项目名称、磋商供应商名称并加盖公章。没有密封包装或者逾期邮寄送达至磋商地点的“备份磋商响应文件”将不予接收；</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c.通过“政府采购云平台”成功上传递交的“电子加密磋商响应文件”已按时解密的，“备份磋商响应文件”自动失效。磋商响应截止时间前，磋商供应商仅递交了“备份磋商响应文件”而未将“电子加密磋商响应文件”成功上传至“政府采购云平台”的，磋商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4"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19</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电子加密磋商响应文件的解密和异常情况处理：</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（1）开标后，采购代理机构将向各磋商供应商发出“电子加密磋商响应文件”的解密通知，各磋商供应商代表应当在接到解密通知后30分钟内自行完成“电子加密磋商响应文件”的在线解密。</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通过“政府采购云平台”成功上传递交的“电子加密磋商响应文件”无法按时解密（磋商供应商已进行解密操作但未完成解密），磋商供应商如按规定递交了“备份磋商响应文件”的，以“备份磋商响应文件”为依据（由采购代理机构按“政府采购云平台”操作规范将“备份磋商响应文件”上传至“政府采购云平台”，上传成功后，“电子加密磋商响应文件”自动失效），否则视为磋商响应文件撤回。</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（3）磋商响应截止时间前，磋商供应商仅递交了“备份磋商响应文件”而未将电子加密磋商响应文件上传至“政府采购云平台”的，磋商响应无效。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20</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政策要求：</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1、小微企业、监狱企业、残疾人福利性单位有关政策：</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中小企业划分标准所属行业：采购标的：</w:t>
            </w:r>
            <w:r>
              <w:rPr>
                <w:rFonts w:hint="eastAsia" w:ascii="仿宋" w:hAnsi="仿宋" w:eastAsia="仿宋" w:cs="仿宋"/>
                <w:color w:val="auto"/>
                <w:sz w:val="24"/>
                <w:highlight w:val="none"/>
                <w:u w:val="single"/>
              </w:rPr>
              <w:t>服务类</w:t>
            </w:r>
            <w:r>
              <w:rPr>
                <w:rFonts w:hint="eastAsia" w:ascii="仿宋" w:hAnsi="仿宋" w:eastAsia="仿宋" w:cs="仿宋"/>
                <w:color w:val="auto"/>
                <w:sz w:val="24"/>
                <w:highlight w:val="none"/>
              </w:rPr>
              <w:t>，所属行业：</w:t>
            </w:r>
            <w:r>
              <w:rPr>
                <w:rFonts w:hint="eastAsia" w:ascii="仿宋" w:hAnsi="仿宋" w:eastAsia="仿宋" w:cs="仿宋"/>
                <w:color w:val="auto"/>
                <w:sz w:val="24"/>
                <w:highlight w:val="none"/>
                <w:u w:val="single"/>
              </w:rPr>
              <w:t>交通运输业</w:t>
            </w:r>
            <w:r>
              <w:rPr>
                <w:rFonts w:hint="eastAsia" w:ascii="仿宋" w:hAnsi="仿宋" w:eastAsia="仿宋" w:cs="仿宋"/>
                <w:color w:val="auto"/>
                <w:sz w:val="24"/>
                <w:highlight w:val="none"/>
              </w:rPr>
              <w:t>。</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highlight w:val="none"/>
              </w:rPr>
              <w:t>中小企业预留份额情况：根据《政府采购促进中小企业发展管理办法》财库〔2020〕46号文件的规定，本项目</w:t>
            </w:r>
            <w:r>
              <w:rPr>
                <w:rFonts w:hint="eastAsia" w:ascii="仿宋" w:hAnsi="仿宋" w:eastAsia="仿宋" w:cs="仿宋"/>
                <w:b/>
                <w:bCs/>
                <w:color w:val="auto"/>
                <w:sz w:val="24"/>
                <w:highlight w:val="none"/>
                <w:u w:val="single"/>
              </w:rPr>
              <w:t>预留份额专门面向</w:t>
            </w:r>
            <w:r>
              <w:rPr>
                <w:rFonts w:hint="eastAsia" w:ascii="仿宋" w:hAnsi="仿宋" w:eastAsia="仿宋" w:cs="仿宋"/>
                <w:color w:val="auto"/>
                <w:sz w:val="24"/>
                <w:highlight w:val="none"/>
              </w:rPr>
              <w:t>中</w:t>
            </w:r>
            <w:r>
              <w:rPr>
                <w:rFonts w:hint="eastAsia" w:ascii="仿宋" w:hAnsi="仿宋" w:eastAsia="仿宋" w:cs="仿宋"/>
                <w:color w:val="auto"/>
                <w:sz w:val="24"/>
              </w:rPr>
              <w:t>小企业采购。</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满足关于政府采购支持监狱企业发展有关问题的通知（财库[2014]68号）的规定的供应商可享受优惠扶持。</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满足关于促进残疾人就业政府采购政策的通知（财库[2017]141号）的规定的供应商可享受优惠扶持。</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2、节能产品、环境标志产品的强制采购政策（服务项目不适用）</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3、节能产品、环境标志产品的优先采购政策（服务项目不适用）</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adjustRightInd w:val="0"/>
              <w:snapToGrid w:val="0"/>
              <w:spacing w:line="360" w:lineRule="auto"/>
              <w:ind w:firstLine="480" w:firstLineChars="20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21</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信用记录：</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根据《关于在政府采购活动中查询及使用信用记录有关问题的通知》财库[2016]125号的规定：</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（1）采购人或采购代理机构将对本项目供应商的信用记录进行查询。查询渠道为信用中国网站（www.creditchina.gov.cn）、中国政府采购网（www.ccgp.gov.cn）；</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（2）截止时点：提交磋商响应文件（响应文件）截止时间前3年内；</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（3）查询记录和证据的留存：信用信息查询记录和证据以网页截图等方式留存。</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（4）使用规则：被列入失信被执行人、重大税收违法案件当事人名单、政府采购严重违法失信行为记录名单及其它不符合《中华人民共和国政府采购法》第二十二条规定条件的，其磋商响应将被拒绝。</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22</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特别提示：</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该项目结果公示期间，磋商供应商不得通过非正当途径、更不得通过非正当手段获取法律法规规定磋商小组（包括其他相关人员）应当保密的相关内容。即便由此获得资料并作为向采购代理机构或监督管理部门提出异（质）疑或投诉或法院起诉的理由，均属于非法索取的依据。</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（2）质疑、投诉人未按磋商文件规定进行质疑、投诉（申诉）、举报等，均属于扰乱政府采购市场不良行为，直至公示。</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（3）潜在磋商供应商需在浙江政府采购网进行免费注册，具体详见浙江政府采购网供应商注册要求。</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（4）采购人与成交人应当在成交通知书发出之日起三十日内，按照磋商文件确定的事项签订政府采购合同。成交人未在规定时间内签订合同的，采购人有权要求成交人赔偿其未签订合同所造成的损失。</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（5）成交人应由法定代表人或其授权代表与采购人代表签订合同。如成交人为联合体的，由联合体成员各方法定代表人或其授权代表与采购人代表签订合同。</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（6）如签订合同并生效后，供应商无故拒绝或延期，除按照合同条款处理外，列入不良行为记录一次，并给予通报。</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（7）成交人拒绝与采购人签订合同的，采购人可选取第二名为成交人或重新开展政府采购活动。</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（8）存在下列行为的，采购代理机构将其失信行为上报政府采购主管部门，由主管部门按有关规定对其违法失信行为记录进行公开：</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1、成交或者成交后，拒绝签订政府采购合同的；</w:t>
            </w:r>
          </w:p>
          <w:p>
            <w:p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2、磋商有效期内撤销磋商响应文件的。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23</w:t>
            </w:r>
          </w:p>
        </w:tc>
        <w:tc>
          <w:tcPr>
            <w:tcW w:w="78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采购代理服务费：</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由成交人支付。收费标准按照原国家计委关于印发《招标代理服务收费管理暂行办法》（计价格[2002]1980号）规定的收费标准收取，不少于人民币5</w:t>
            </w:r>
            <w:r>
              <w:rPr>
                <w:rFonts w:ascii="仿宋" w:hAnsi="仿宋" w:eastAsia="仿宋" w:cs="仿宋"/>
                <w:color w:val="auto"/>
                <w:sz w:val="24"/>
              </w:rPr>
              <w:t>000</w:t>
            </w:r>
            <w:r>
              <w:rPr>
                <w:rFonts w:hint="eastAsia" w:ascii="仿宋" w:hAnsi="仿宋" w:eastAsia="仿宋" w:cs="仿宋"/>
                <w:color w:val="auto"/>
                <w:sz w:val="24"/>
              </w:rPr>
              <w:t>元。成交人在收到成交通知书的同时向采购代理机构支付。</w:t>
            </w:r>
          </w:p>
          <w:p>
            <w:pPr>
              <w:adjustRightInd w:val="0"/>
              <w:snapToGrid w:val="0"/>
              <w:spacing w:line="360" w:lineRule="auto"/>
              <w:rPr>
                <w:rFonts w:hint="eastAsia" w:eastAsia="仿宋"/>
                <w:color w:val="auto"/>
              </w:rPr>
            </w:pPr>
            <w:r>
              <w:rPr>
                <w:rFonts w:hint="eastAsia" w:ascii="仿宋" w:hAnsi="仿宋" w:eastAsia="仿宋" w:cs="仿宋"/>
                <w:color w:val="auto"/>
                <w:sz w:val="24"/>
              </w:rPr>
              <w:t>账户信息：</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收款单位（户名）: 浙江通用招标代理有限公司</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开户银行：宁波银行杭州分行</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银行账号：71010122001488772</w:t>
            </w:r>
          </w:p>
        </w:tc>
      </w:tr>
    </w:tbl>
    <w:p>
      <w:pPr>
        <w:pStyle w:val="15"/>
        <w:adjustRightInd w:val="0"/>
        <w:snapToGrid w:val="0"/>
        <w:spacing w:beforeLines="0" w:afterLines="0" w:line="360" w:lineRule="auto"/>
        <w:rPr>
          <w:rFonts w:hint="eastAsia" w:ascii="仿宋_GB2312" w:hAnsi="仿宋" w:eastAsia="仿宋_GB2312" w:cs="仿宋"/>
          <w:color w:val="auto"/>
        </w:rPr>
      </w:pPr>
      <w:r>
        <w:rPr>
          <w:rFonts w:hint="eastAsia" w:ascii="仿宋_GB2312" w:hAnsi="仿宋" w:eastAsia="仿宋_GB2312" w:cs="仿宋"/>
          <w:b/>
          <w:color w:val="auto"/>
        </w:rPr>
        <w:t>注：以上内容如有变化将另行书面通知。另行通知中未提及事项不作变动。</w:t>
      </w:r>
    </w:p>
    <w:p>
      <w:pPr>
        <w:pStyle w:val="15"/>
        <w:adjustRightInd w:val="0"/>
        <w:snapToGrid w:val="0"/>
        <w:spacing w:before="156" w:afterLines="0" w:line="360" w:lineRule="auto"/>
        <w:jc w:val="center"/>
        <w:rPr>
          <w:rFonts w:hint="eastAsia" w:ascii="仿宋_GB2312" w:hAnsi="仿宋" w:eastAsia="仿宋_GB2312" w:cs="仿宋"/>
          <w:b/>
          <w:color w:val="auto"/>
        </w:rPr>
      </w:pPr>
      <w:r>
        <w:rPr>
          <w:rFonts w:hint="eastAsia" w:ascii="仿宋_GB2312" w:hAnsi="仿宋" w:eastAsia="仿宋_GB2312" w:cs="仿宋"/>
          <w:b/>
          <w:color w:val="auto"/>
          <w:sz w:val="32"/>
          <w:szCs w:val="32"/>
        </w:rPr>
        <w:br w:type="page"/>
      </w:r>
      <w:r>
        <w:rPr>
          <w:rFonts w:hint="eastAsia" w:ascii="仿宋_GB2312" w:hAnsi="仿宋" w:eastAsia="仿宋_GB2312" w:cs="仿宋"/>
          <w:b/>
          <w:color w:val="auto"/>
          <w:sz w:val="32"/>
          <w:szCs w:val="32"/>
        </w:rPr>
        <w:t>一、总则</w:t>
      </w:r>
    </w:p>
    <w:p>
      <w:pPr>
        <w:adjustRightInd w:val="0"/>
        <w:snapToGrid w:val="0"/>
        <w:spacing w:line="360" w:lineRule="auto"/>
        <w:outlineLvl w:val="1"/>
        <w:rPr>
          <w:rFonts w:hint="eastAsia" w:ascii="仿宋_GB2312" w:hAnsi="仿宋" w:eastAsia="仿宋_GB2312" w:cs="仿宋"/>
          <w:b/>
          <w:color w:val="auto"/>
          <w:sz w:val="24"/>
        </w:rPr>
      </w:pPr>
      <w:r>
        <w:rPr>
          <w:rFonts w:hint="eastAsia" w:ascii="仿宋_GB2312" w:hAnsi="仿宋" w:eastAsia="仿宋_GB2312" w:cs="仿宋"/>
          <w:b/>
          <w:color w:val="auto"/>
          <w:sz w:val="24"/>
        </w:rPr>
        <w:t>1、适用范围</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本磋商文件仅适用于本项目的采购、磋商响应、评标、定标、验收、合同履约、付款等行为（法律、法规另有规定的，从其规定）。</w:t>
      </w:r>
    </w:p>
    <w:p>
      <w:pPr>
        <w:numPr>
          <w:ilvl w:val="0"/>
          <w:numId w:val="6"/>
        </w:numPr>
        <w:adjustRightInd w:val="0"/>
        <w:snapToGrid w:val="0"/>
        <w:spacing w:line="360" w:lineRule="auto"/>
        <w:outlineLvl w:val="1"/>
        <w:rPr>
          <w:rFonts w:hint="eastAsia" w:ascii="仿宋_GB2312" w:hAnsi="仿宋" w:eastAsia="仿宋_GB2312" w:cs="仿宋"/>
          <w:b/>
          <w:color w:val="auto"/>
          <w:sz w:val="24"/>
        </w:rPr>
      </w:pPr>
      <w:r>
        <w:rPr>
          <w:rFonts w:hint="eastAsia" w:ascii="仿宋_GB2312" w:hAnsi="仿宋" w:eastAsia="仿宋_GB2312" w:cs="仿宋"/>
          <w:b/>
          <w:color w:val="auto"/>
          <w:sz w:val="24"/>
        </w:rPr>
        <w:t>定义</w:t>
      </w:r>
    </w:p>
    <w:p>
      <w:pPr>
        <w:adjustRightInd w:val="0"/>
        <w:snapToGrid w:val="0"/>
        <w:spacing w:line="360" w:lineRule="auto"/>
        <w:ind w:firstLine="480" w:firstLineChars="200"/>
        <w:outlineLvl w:val="1"/>
        <w:rPr>
          <w:rFonts w:hint="eastAsia" w:ascii="仿宋_GB2312" w:hAnsi="仿宋" w:eastAsia="仿宋_GB2312" w:cs="仿宋"/>
          <w:color w:val="auto"/>
          <w:sz w:val="24"/>
        </w:rPr>
      </w:pPr>
      <w:r>
        <w:rPr>
          <w:rFonts w:hint="eastAsia" w:ascii="仿宋_GB2312" w:hAnsi="仿宋" w:eastAsia="仿宋_GB2312" w:cs="仿宋"/>
          <w:color w:val="auto"/>
          <w:sz w:val="24"/>
        </w:rPr>
        <w:t>2.1 “采购人”系指浙江省博物馆。</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2.2 “采购代理机构”系指浙江通用招标代理有限公司。</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2.3 “磋商供应商”系指响应本次磋商，参加磋商响应的供应商。</w:t>
      </w:r>
    </w:p>
    <w:p>
      <w:pPr>
        <w:adjustRightInd w:val="0"/>
        <w:snapToGrid w:val="0"/>
        <w:spacing w:line="360" w:lineRule="auto"/>
        <w:ind w:firstLine="480" w:firstLineChars="200"/>
        <w:rPr>
          <w:rFonts w:eastAsia="仿宋_GB2312"/>
          <w:color w:val="auto"/>
        </w:rPr>
      </w:pPr>
      <w:r>
        <w:rPr>
          <w:rFonts w:hint="eastAsia" w:ascii="仿宋_GB2312" w:hAnsi="仿宋" w:eastAsia="仿宋_GB2312" w:cs="仿宋"/>
          <w:color w:val="auto"/>
          <w:sz w:val="24"/>
        </w:rPr>
        <w:t>2.4 “货物”系指磋商文件规定磋商供应商须提供的产品。</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2.5 “服务”系指磋商文件规定磋商供应商须承担的服务义务。</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2.6 “书面形式”包括信函、传真、电报等。</w:t>
      </w:r>
    </w:p>
    <w:p>
      <w:pPr>
        <w:adjustRightInd w:val="0"/>
        <w:snapToGrid w:val="0"/>
        <w:spacing w:line="360" w:lineRule="auto"/>
        <w:outlineLvl w:val="1"/>
        <w:rPr>
          <w:rFonts w:hint="eastAsia" w:ascii="仿宋_GB2312" w:hAnsi="仿宋" w:eastAsia="仿宋_GB2312" w:cs="仿宋"/>
          <w:b/>
          <w:color w:val="auto"/>
          <w:sz w:val="24"/>
        </w:rPr>
      </w:pPr>
      <w:r>
        <w:rPr>
          <w:rFonts w:hint="eastAsia" w:ascii="仿宋_GB2312" w:hAnsi="仿宋" w:eastAsia="仿宋_GB2312" w:cs="仿宋"/>
          <w:b/>
          <w:color w:val="auto"/>
          <w:sz w:val="24"/>
        </w:rPr>
        <w:t>3、采购方式</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本项目采用竞争性磋商方式进行。</w:t>
      </w:r>
    </w:p>
    <w:p>
      <w:pPr>
        <w:adjustRightInd w:val="0"/>
        <w:snapToGrid w:val="0"/>
        <w:spacing w:line="360" w:lineRule="auto"/>
        <w:outlineLvl w:val="1"/>
        <w:rPr>
          <w:rFonts w:hint="eastAsia" w:ascii="仿宋_GB2312" w:hAnsi="仿宋" w:eastAsia="仿宋_GB2312" w:cs="仿宋"/>
          <w:b/>
          <w:color w:val="auto"/>
          <w:sz w:val="24"/>
        </w:rPr>
      </w:pPr>
      <w:r>
        <w:rPr>
          <w:rFonts w:hint="eastAsia" w:ascii="仿宋_GB2312" w:hAnsi="仿宋" w:eastAsia="仿宋_GB2312" w:cs="仿宋"/>
          <w:b/>
          <w:color w:val="auto"/>
          <w:sz w:val="24"/>
        </w:rPr>
        <w:t>4、磋商响应委托</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如磋商供应商代表不是法定代表人，须有法定代表人出具的授权委托书;若是法定代表人参加，须填写法定代表人身份证明书（格式见第六部分）。</w:t>
      </w:r>
    </w:p>
    <w:p>
      <w:pPr>
        <w:adjustRightInd w:val="0"/>
        <w:snapToGrid w:val="0"/>
        <w:spacing w:line="360" w:lineRule="auto"/>
        <w:outlineLvl w:val="1"/>
        <w:rPr>
          <w:rFonts w:hint="eastAsia" w:ascii="仿宋_GB2312" w:hAnsi="仿宋" w:eastAsia="仿宋_GB2312" w:cs="仿宋"/>
          <w:b/>
          <w:color w:val="auto"/>
          <w:sz w:val="24"/>
        </w:rPr>
      </w:pPr>
      <w:r>
        <w:rPr>
          <w:rFonts w:hint="eastAsia" w:ascii="仿宋_GB2312" w:hAnsi="仿宋" w:eastAsia="仿宋_GB2312" w:cs="仿宋"/>
          <w:b/>
          <w:color w:val="auto"/>
          <w:sz w:val="24"/>
        </w:rPr>
        <w:t>5、磋商费用</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不论投标结果如何，磋商供应商均应自行承担与投标有关的一切费用。</w:t>
      </w:r>
    </w:p>
    <w:p>
      <w:pPr>
        <w:adjustRightInd w:val="0"/>
        <w:snapToGrid w:val="0"/>
        <w:spacing w:line="360" w:lineRule="auto"/>
        <w:rPr>
          <w:rFonts w:hint="eastAsia" w:ascii="仿宋_GB2312" w:hAnsi="仿宋" w:eastAsia="仿宋_GB2312" w:cs="仿宋"/>
          <w:b/>
          <w:color w:val="auto"/>
          <w:sz w:val="24"/>
          <w:szCs w:val="20"/>
          <w:highlight w:val="none"/>
        </w:rPr>
      </w:pPr>
      <w:r>
        <w:rPr>
          <w:rFonts w:hint="eastAsia" w:ascii="仿宋_GB2312" w:hAnsi="仿宋" w:eastAsia="仿宋_GB2312" w:cs="仿宋"/>
          <w:b/>
          <w:color w:val="auto"/>
          <w:sz w:val="24"/>
        </w:rPr>
        <w:t>6</w:t>
      </w:r>
      <w:r>
        <w:rPr>
          <w:rFonts w:hint="eastAsia" w:ascii="仿宋_GB2312" w:hAnsi="仿宋" w:eastAsia="仿宋_GB2312" w:cs="仿宋"/>
          <w:b/>
          <w:color w:val="auto"/>
          <w:sz w:val="24"/>
          <w:highlight w:val="none"/>
        </w:rPr>
        <w:t>、联合体投标</w:t>
      </w:r>
    </w:p>
    <w:p>
      <w:pPr>
        <w:adjustRightInd w:val="0"/>
        <w:snapToGrid w:val="0"/>
        <w:spacing w:line="360" w:lineRule="auto"/>
        <w:ind w:firstLine="480" w:firstLineChars="200"/>
        <w:rPr>
          <w:rFonts w:hint="eastAsia" w:ascii="仿宋_GB2312" w:hAnsi="仿宋" w:eastAsia="仿宋_GB2312" w:cs="仿宋"/>
          <w:color w:val="auto"/>
          <w:sz w:val="24"/>
          <w:highlight w:val="none"/>
        </w:rPr>
      </w:pPr>
      <w:r>
        <w:rPr>
          <w:rFonts w:hint="eastAsia" w:ascii="仿宋_GB2312" w:hAnsi="仿宋" w:eastAsia="仿宋_GB2312" w:cs="仿宋"/>
          <w:color w:val="auto"/>
          <w:sz w:val="24"/>
          <w:highlight w:val="none"/>
        </w:rPr>
        <w:t>本项目</w:t>
      </w:r>
      <w:r>
        <w:rPr>
          <w:rFonts w:hint="eastAsia" w:ascii="仿宋_GB2312" w:hAnsi="仿宋" w:eastAsia="仿宋_GB2312" w:cs="仿宋"/>
          <w:color w:val="auto"/>
          <w:sz w:val="24"/>
          <w:highlight w:val="none"/>
          <w:lang w:eastAsia="zh-CN"/>
        </w:rPr>
        <w:t>不</w:t>
      </w:r>
      <w:r>
        <w:rPr>
          <w:rFonts w:hint="eastAsia" w:ascii="仿宋_GB2312" w:hAnsi="仿宋" w:eastAsia="仿宋_GB2312" w:cs="仿宋"/>
          <w:color w:val="auto"/>
          <w:sz w:val="24"/>
          <w:highlight w:val="none"/>
        </w:rPr>
        <w:t>接受联合体投标。</w:t>
      </w:r>
    </w:p>
    <w:p>
      <w:pPr>
        <w:adjustRightInd w:val="0"/>
        <w:snapToGrid w:val="0"/>
        <w:spacing w:line="360" w:lineRule="auto"/>
        <w:rPr>
          <w:rFonts w:hint="eastAsia" w:ascii="仿宋_GB2312" w:hAnsi="仿宋" w:eastAsia="仿宋_GB2312" w:cs="仿宋"/>
          <w:b/>
          <w:color w:val="auto"/>
          <w:sz w:val="24"/>
          <w:highlight w:val="none"/>
        </w:rPr>
      </w:pPr>
      <w:r>
        <w:rPr>
          <w:rFonts w:hint="eastAsia" w:ascii="仿宋_GB2312" w:hAnsi="仿宋" w:eastAsia="仿宋_GB2312" w:cs="仿宋"/>
          <w:b/>
          <w:color w:val="auto"/>
          <w:sz w:val="24"/>
          <w:highlight w:val="none"/>
        </w:rPr>
        <w:t>7、转包与分包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rPr>
          <w:rFonts w:hint="eastAsia" w:ascii="仿宋_GB2312" w:hAnsi="仿宋" w:eastAsia="仿宋_GB2312" w:cs="仿宋"/>
          <w:color w:val="auto"/>
          <w:kern w:val="2"/>
          <w:sz w:val="24"/>
          <w:szCs w:val="24"/>
          <w:highlight w:val="none"/>
          <w:lang w:val="en-US" w:eastAsia="zh-CN" w:bidi="ar-SA"/>
        </w:rPr>
      </w:pPr>
      <w:r>
        <w:rPr>
          <w:rFonts w:hint="eastAsia" w:ascii="仿宋_GB2312" w:hAnsi="仿宋" w:eastAsia="仿宋_GB2312" w:cs="仿宋"/>
          <w:color w:val="auto"/>
          <w:kern w:val="2"/>
          <w:sz w:val="24"/>
          <w:szCs w:val="24"/>
          <w:highlight w:val="none"/>
          <w:lang w:val="en-US" w:eastAsia="zh-CN" w:bidi="ar-SA"/>
        </w:rPr>
        <w:t>7.1本项目不允许转包；</w:t>
      </w:r>
    </w:p>
    <w:p>
      <w:pPr>
        <w:adjustRightInd w:val="0"/>
        <w:snapToGrid w:val="0"/>
        <w:spacing w:line="360" w:lineRule="auto"/>
        <w:ind w:firstLine="480" w:firstLineChars="200"/>
        <w:outlineLvl w:val="1"/>
        <w:rPr>
          <w:rFonts w:hint="eastAsia" w:ascii="仿宋_GB2312" w:hAnsi="仿宋" w:eastAsia="仿宋_GB2312" w:cs="仿宋"/>
          <w:b/>
          <w:color w:val="auto"/>
          <w:sz w:val="24"/>
          <w:highlight w:val="none"/>
        </w:rPr>
      </w:pPr>
      <w:bookmarkStart w:id="1" w:name="PO_15528_PM044"/>
      <w:bookmarkEnd w:id="1"/>
      <w:r>
        <w:rPr>
          <w:rFonts w:hint="eastAsia" w:ascii="仿宋_GB2312" w:hAnsi="仿宋" w:eastAsia="仿宋_GB2312" w:cs="仿宋"/>
          <w:color w:val="auto"/>
          <w:kern w:val="2"/>
          <w:sz w:val="24"/>
          <w:szCs w:val="24"/>
          <w:highlight w:val="none"/>
          <w:lang w:val="en-US" w:eastAsia="zh-CN" w:bidi="ar-SA"/>
        </w:rPr>
        <w:t>7.2投标人根据招标文件的规定和采购项目的实际情况，拟在中标后将中标项目的非主体、非关键性工作分包的，应当在投标文件中载明分包承担主体，分包承担主体应当具备相应资质条件且不得再次分包。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360" w:lineRule="auto"/>
        <w:outlineLvl w:val="1"/>
        <w:rPr>
          <w:rFonts w:hint="eastAsia" w:ascii="仿宋_GB2312" w:hAnsi="仿宋" w:eastAsia="仿宋_GB2312" w:cs="仿宋"/>
          <w:b/>
          <w:color w:val="auto"/>
          <w:sz w:val="24"/>
          <w:highlight w:val="none"/>
        </w:rPr>
      </w:pPr>
      <w:r>
        <w:rPr>
          <w:rFonts w:hint="eastAsia" w:ascii="仿宋_GB2312" w:hAnsi="仿宋" w:eastAsia="仿宋_GB2312" w:cs="仿宋"/>
          <w:b/>
          <w:color w:val="auto"/>
          <w:sz w:val="24"/>
          <w:highlight w:val="none"/>
        </w:rPr>
        <w:t>8、特别说明：</w:t>
      </w:r>
    </w:p>
    <w:p>
      <w:pPr>
        <w:adjustRightInd w:val="0"/>
        <w:snapToGrid w:val="0"/>
        <w:spacing w:line="360" w:lineRule="auto"/>
        <w:ind w:firstLine="480" w:firstLineChars="200"/>
        <w:jc w:val="left"/>
        <w:rPr>
          <w:rFonts w:hint="eastAsia" w:ascii="仿宋_GB2312" w:hAnsi="仿宋" w:eastAsia="仿宋_GB2312" w:cs="仿宋"/>
          <w:color w:val="auto"/>
          <w:kern w:val="0"/>
          <w:sz w:val="24"/>
        </w:rPr>
      </w:pPr>
      <w:r>
        <w:rPr>
          <w:rFonts w:hint="eastAsia" w:ascii="仿宋_GB2312" w:hAnsi="仿宋" w:eastAsia="仿宋_GB2312" w:cs="仿宋"/>
          <w:color w:val="auto"/>
          <w:sz w:val="24"/>
        </w:rPr>
        <w:t xml:space="preserve">8.1 </w:t>
      </w:r>
      <w:r>
        <w:rPr>
          <w:rFonts w:hint="eastAsia" w:ascii="仿宋" w:hAnsi="仿宋" w:eastAsia="仿宋" w:cs="宋体"/>
          <w:color w:val="auto"/>
        </w:rPr>
        <w:t>▲</w:t>
      </w:r>
      <w:r>
        <w:rPr>
          <w:rFonts w:hint="eastAsia" w:ascii="仿宋_GB2312" w:hAnsi="仿宋" w:eastAsia="仿宋_GB2312" w:cs="仿宋"/>
          <w:color w:val="auto"/>
          <w:sz w:val="24"/>
        </w:rPr>
        <w:t>磋商供应商磋商响应所使用的资格、信誉、荣誉、业绩与企业认证必须为本法人所拥有。</w:t>
      </w:r>
    </w:p>
    <w:p>
      <w:pPr>
        <w:pStyle w:val="15"/>
        <w:adjustRightInd w:val="0"/>
        <w:snapToGrid w:val="0"/>
        <w:spacing w:beforeLines="0" w:afterLines="0" w:line="360" w:lineRule="auto"/>
        <w:ind w:left="2" w:leftChars="1" w:firstLine="480" w:firstLineChars="200"/>
        <w:rPr>
          <w:rFonts w:hint="eastAsia" w:ascii="仿宋_GB2312" w:hAnsi="仿宋" w:eastAsia="仿宋_GB2312" w:cs="仿宋"/>
          <w:color w:val="auto"/>
        </w:rPr>
      </w:pPr>
      <w:r>
        <w:rPr>
          <w:rFonts w:hint="eastAsia" w:ascii="仿宋_GB2312" w:hAnsi="仿宋" w:eastAsia="仿宋_GB2312" w:cs="仿宋"/>
          <w:color w:val="auto"/>
        </w:rPr>
        <w:t xml:space="preserve">8.2 </w:t>
      </w:r>
      <w:r>
        <w:rPr>
          <w:rFonts w:hint="eastAsia" w:ascii="仿宋" w:hAnsi="仿宋" w:eastAsia="仿宋" w:cs="宋体"/>
          <w:color w:val="auto"/>
        </w:rPr>
        <w:t>▲</w:t>
      </w:r>
      <w:r>
        <w:rPr>
          <w:rFonts w:hint="eastAsia" w:ascii="仿宋_GB2312" w:hAnsi="仿宋" w:eastAsia="仿宋_GB2312" w:cs="仿宋"/>
          <w:color w:val="auto"/>
        </w:rPr>
        <w:t>磋商供应商应仔细阅读磋商文件的所有内容，按照磋商文件的要求提交磋商响应文件，并对所提供的全部资料的真实性承担法律责任。</w:t>
      </w:r>
    </w:p>
    <w:p>
      <w:pPr>
        <w:pStyle w:val="15"/>
        <w:adjustRightInd w:val="0"/>
        <w:snapToGrid w:val="0"/>
        <w:spacing w:beforeLines="0" w:afterLines="0" w:line="360" w:lineRule="auto"/>
        <w:ind w:left="2" w:leftChars="1" w:firstLine="480" w:firstLineChars="200"/>
        <w:rPr>
          <w:rFonts w:hint="eastAsia" w:ascii="仿宋_GB2312" w:hAnsi="仿宋" w:eastAsia="仿宋_GB2312" w:cs="仿宋"/>
          <w:color w:val="auto"/>
        </w:rPr>
      </w:pPr>
      <w:r>
        <w:rPr>
          <w:rFonts w:hint="eastAsia" w:ascii="仿宋_GB2312" w:hAnsi="仿宋" w:eastAsia="仿宋_GB2312" w:cs="仿宋"/>
          <w:color w:val="auto"/>
        </w:rPr>
        <w:t xml:space="preserve">8.3 </w:t>
      </w:r>
      <w:r>
        <w:rPr>
          <w:rFonts w:hint="eastAsia" w:ascii="仿宋" w:hAnsi="仿宋" w:eastAsia="仿宋" w:cs="宋体"/>
          <w:color w:val="auto"/>
        </w:rPr>
        <w:t>▲</w:t>
      </w:r>
      <w:r>
        <w:rPr>
          <w:rFonts w:hint="eastAsia" w:ascii="仿宋_GB2312" w:hAnsi="仿宋" w:eastAsia="仿宋_GB2312" w:cs="仿宋"/>
          <w:color w:val="auto"/>
        </w:rPr>
        <w:t>磋商供应商在磋商活动中提供任何虚假材料,其磋商响应无效；成交后发现的,成交供应商须依照《中华人民共和国消费者权益保护法》第49条之规定双倍赔偿采购人，且民事赔偿并不免除违法磋商供应商的行政与刑事责任。</w:t>
      </w:r>
    </w:p>
    <w:p>
      <w:pPr>
        <w:pStyle w:val="15"/>
        <w:adjustRightInd w:val="0"/>
        <w:snapToGrid w:val="0"/>
        <w:spacing w:beforeLines="0" w:afterLines="0" w:line="360" w:lineRule="auto"/>
        <w:ind w:left="2" w:leftChars="1" w:firstLine="480" w:firstLineChars="200"/>
        <w:rPr>
          <w:rFonts w:hint="eastAsia" w:ascii="仿宋" w:hAnsi="仿宋" w:eastAsia="仿宋" w:cs="宋体"/>
          <w:color w:val="auto"/>
        </w:rPr>
      </w:pPr>
      <w:r>
        <w:rPr>
          <w:rFonts w:hint="eastAsia" w:ascii="仿宋" w:hAnsi="仿宋" w:eastAsia="仿宋" w:cs="宋体"/>
          <w:color w:val="auto"/>
        </w:rPr>
        <w:t>8.4▲为采购项目提供整体设计、规范编制或者项目管理、监理、检测等服务的供应商，不得再参加该采购项目的其他采购活动。</w:t>
      </w:r>
    </w:p>
    <w:p>
      <w:pPr>
        <w:pStyle w:val="15"/>
        <w:adjustRightInd w:val="0"/>
        <w:snapToGrid w:val="0"/>
        <w:spacing w:beforeLines="0" w:afterLines="0" w:line="360" w:lineRule="auto"/>
        <w:rPr>
          <w:rFonts w:hint="eastAsia" w:ascii="仿宋" w:hAnsi="仿宋" w:eastAsia="仿宋" w:cs="宋体"/>
          <w:b/>
          <w:bCs/>
          <w:color w:val="auto"/>
        </w:rPr>
      </w:pPr>
      <w:r>
        <w:rPr>
          <w:rFonts w:hint="eastAsia" w:ascii="仿宋" w:hAnsi="仿宋" w:eastAsia="仿宋" w:cs="宋体"/>
          <w:b/>
          <w:bCs/>
          <w:color w:val="auto"/>
        </w:rPr>
        <w:t>9、采购项目需要落实的政府采购政策</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9.2 节能环保要求</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9.2.1采购人拟采购的产品属于品目清单范围的，采购人及其委托的采购代理机构将依据国家确定的认证机构出具的、处于有效期之内的节能产品、环境标志产品认证证书，对获得证书的产品实施政府优先采购或强制采购。磋商供应商须按磋商文件要求提供相关产品认证证书。</w:t>
      </w:r>
    </w:p>
    <w:p>
      <w:pPr>
        <w:adjustRightInd w:val="0"/>
        <w:snapToGrid w:val="0"/>
        <w:spacing w:line="360" w:lineRule="auto"/>
        <w:ind w:firstLine="480" w:firstLineChars="200"/>
        <w:rPr>
          <w:rFonts w:hint="eastAsia" w:ascii="仿宋_GB2312" w:hAnsi="仿宋" w:eastAsia="仿宋_GB2312"/>
          <w:b/>
          <w:color w:val="auto"/>
          <w:sz w:val="24"/>
        </w:rPr>
      </w:pPr>
      <w:r>
        <w:rPr>
          <w:rFonts w:hint="eastAsia" w:ascii="仿宋_GB2312" w:hAnsi="仿宋" w:eastAsia="仿宋_GB2312"/>
          <w:color w:val="auto"/>
          <w:sz w:val="24"/>
        </w:rPr>
        <w:t>9.2.2</w:t>
      </w:r>
      <w:r>
        <w:rPr>
          <w:rFonts w:hint="eastAsia" w:ascii="仿宋_GB2312" w:hAnsi="仿宋" w:eastAsia="仿宋_GB2312"/>
          <w:b/>
          <w:color w:val="auto"/>
          <w:sz w:val="24"/>
        </w:rPr>
        <w:t>采购人拟采购的产品属于政府强制采购的节能产品品目清单范围的，磋商供应商未按磋商文件要求提供国家确定的认证机构出具的、处于有效期之内的节能产品认证证书，磋商响应无效。</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9.3</w:t>
      </w:r>
      <w:r>
        <w:rPr>
          <w:rFonts w:hint="eastAsia" w:ascii="仿宋_GB2312" w:hAnsi="仿宋" w:eastAsia="仿宋_GB2312"/>
          <w:bCs/>
          <w:color w:val="auto"/>
          <w:sz w:val="24"/>
        </w:rPr>
        <w:t>支持中小企业发展</w:t>
      </w:r>
      <w:r>
        <w:rPr>
          <w:rFonts w:hint="eastAsia" w:ascii="仿宋_GB2312" w:hAnsi="仿宋" w:eastAsia="仿宋_GB2312"/>
          <w:color w:val="auto"/>
          <w:sz w:val="24"/>
        </w:rPr>
        <w:t>。</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9.3.1中小企业</w:t>
      </w:r>
      <w:r>
        <w:rPr>
          <w:rFonts w:ascii="仿宋_GB2312" w:hAnsi="仿宋" w:eastAsia="仿宋_GB2312"/>
          <w:color w:val="auto"/>
          <w:sz w:val="24"/>
        </w:rPr>
        <w:t>，是指在中华人民共和国境内依法设立，依据国务院批准的中小企业划分标准确定的中型企业、小型企业和微型企业，但与大企业的负责人为同一人，或者与大企业存在直接控股、管理关系的除外。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adjustRightInd w:val="0"/>
        <w:snapToGrid w:val="0"/>
        <w:spacing w:line="360" w:lineRule="auto"/>
        <w:ind w:firstLine="480" w:firstLineChars="200"/>
        <w:jc w:val="left"/>
        <w:rPr>
          <w:rFonts w:ascii="仿宋_GB2312" w:hAnsi="宋体" w:eastAsia="仿宋_GB2312" w:cs="宋体"/>
          <w:color w:val="auto"/>
          <w:kern w:val="0"/>
          <w:sz w:val="24"/>
        </w:rPr>
      </w:pPr>
      <w:r>
        <w:rPr>
          <w:rFonts w:hint="eastAsia" w:ascii="仿宋_GB2312" w:eastAsia="仿宋_GB2312"/>
          <w:bCs/>
          <w:color w:val="auto"/>
          <w:sz w:val="24"/>
        </w:rPr>
        <w:t>9.3.2</w:t>
      </w:r>
      <w:r>
        <w:rPr>
          <w:rFonts w:hint="eastAsia" w:ascii="仿宋_GB2312" w:hAnsi="宋体" w:eastAsia="仿宋_GB2312" w:cs="宋体"/>
          <w:color w:val="auto"/>
          <w:kern w:val="0"/>
          <w:sz w:val="24"/>
        </w:rPr>
        <w:t>在政府采购活动中，磋商供应商提供的服务符合下列情形的，享受中小企业扶持政策：</w:t>
      </w:r>
    </w:p>
    <w:p>
      <w:pPr>
        <w:widowControl/>
        <w:adjustRightInd w:val="0"/>
        <w:snapToGrid w:val="0"/>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（1）在服务采购项目中，服务由中小企业承接，即提供服务的人员为中小企业依照《中华人民共和国民法典》订立劳动合同的从业人员。</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9.3.3符合《关于促进残疾人就业政府采购政策的通知》（财库〔2017〕141号）规定的条件并提供《残疾人福利性单位声明函》的残疾人福利性单位视同小型、微型企业；</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9.3.4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9.3.5可享受</w:t>
      </w:r>
      <w:r>
        <w:rPr>
          <w:rFonts w:hint="eastAsia" w:ascii="仿宋_GB2312" w:hAnsi="宋体" w:eastAsia="仿宋_GB2312" w:cs="宋体"/>
          <w:color w:val="auto"/>
          <w:kern w:val="0"/>
          <w:sz w:val="24"/>
        </w:rPr>
        <w:t>中小企业扶持政策</w:t>
      </w:r>
      <w:r>
        <w:rPr>
          <w:rFonts w:hint="eastAsia" w:ascii="仿宋_GB2312" w:hAnsi="仿宋" w:eastAsia="仿宋_GB2312"/>
          <w:color w:val="auto"/>
          <w:sz w:val="24"/>
        </w:rPr>
        <w:t>的磋商供应商应按照磋商文件格式要求提供《中小企业声明函》。</w:t>
      </w:r>
    </w:p>
    <w:p>
      <w:pPr>
        <w:pStyle w:val="15"/>
        <w:adjustRightInd w:val="0"/>
        <w:snapToGrid w:val="0"/>
        <w:spacing w:before="156" w:afterLines="0" w:line="360" w:lineRule="auto"/>
        <w:jc w:val="center"/>
        <w:outlineLvl w:val="0"/>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二、磋商文件</w:t>
      </w:r>
    </w:p>
    <w:p>
      <w:pPr>
        <w:adjustRightInd w:val="0"/>
        <w:snapToGrid w:val="0"/>
        <w:spacing w:line="360" w:lineRule="auto"/>
        <w:jc w:val="left"/>
        <w:rPr>
          <w:rFonts w:hint="eastAsia" w:ascii="仿宋_GB2312" w:hAnsi="仿宋" w:eastAsia="仿宋_GB2312" w:cs="仿宋"/>
          <w:b/>
          <w:color w:val="auto"/>
          <w:sz w:val="24"/>
        </w:rPr>
      </w:pPr>
      <w:r>
        <w:rPr>
          <w:rFonts w:hint="eastAsia" w:ascii="仿宋_GB2312" w:hAnsi="仿宋" w:eastAsia="仿宋_GB2312" w:cs="仿宋"/>
          <w:b/>
          <w:color w:val="auto"/>
          <w:sz w:val="24"/>
        </w:rPr>
        <w:t>10、磋商文件的构成</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10.1 本磋商文件包括目录所示内容及所有按本须知第11条发出的补充资料。</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10.2 除上述所列内容外，采购人和采购代理机构的任何工作人员对磋商供应商所作的任何口头解释、介绍、答复，只能供磋商供应商参考，对采购人、采购代理机构和磋商供应商无任何约束力。</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10.3 磋商文件是磋商过程进行的有效依据，也是成交后签订合同的依据，对双方均具有约束力，凡不遵守磋商文件规定或对磋商文件的实质性内容不响应的，将可能被拒绝或以无效标处理。</w:t>
      </w:r>
    </w:p>
    <w:p>
      <w:pPr>
        <w:adjustRightInd w:val="0"/>
        <w:snapToGrid w:val="0"/>
        <w:spacing w:line="360" w:lineRule="auto"/>
        <w:ind w:firstLine="480" w:firstLineChars="200"/>
        <w:rPr>
          <w:rFonts w:hint="eastAsia" w:ascii="仿宋_GB2312" w:hAnsi="仿宋" w:eastAsia="仿宋_GB2312" w:cs="仿宋"/>
          <w:b/>
          <w:color w:val="auto"/>
          <w:sz w:val="24"/>
        </w:rPr>
      </w:pPr>
      <w:r>
        <w:rPr>
          <w:rFonts w:hint="eastAsia" w:ascii="仿宋" w:hAnsi="仿宋" w:eastAsia="仿宋" w:cs="仿宋"/>
          <w:color w:val="auto"/>
          <w:kern w:val="0"/>
          <w:sz w:val="24"/>
        </w:rPr>
        <w:t>10.4 本磋商文件由采购人或采购代理机构依据相关法律、法规、规章、省市规定及磋商文件进行解释。</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b/>
          <w:color w:val="auto"/>
          <w:sz w:val="24"/>
        </w:rPr>
        <w:t>11、磋商供应商的风险</w:t>
      </w:r>
    </w:p>
    <w:p>
      <w:pPr>
        <w:pStyle w:val="24"/>
        <w:adjustRightInd w:val="0"/>
        <w:snapToGrid w:val="0"/>
        <w:spacing w:after="0" w:line="360" w:lineRule="auto"/>
        <w:ind w:left="0" w:leftChars="0" w:firstLine="480" w:firstLineChars="200"/>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磋商供应商没有按照磋商文件要求提供全部资料，或者提供虚假资料，或者磋商供应商没有对磋商文件在各方面作出实质性响应是磋商供应商的风险，并可能导致其磋商响应文件被拒绝。</w:t>
      </w:r>
    </w:p>
    <w:p>
      <w:pPr>
        <w:pStyle w:val="8"/>
        <w:widowControl w:val="0"/>
        <w:numPr>
          <w:ilvl w:val="0"/>
          <w:numId w:val="0"/>
        </w:numPr>
        <w:adjustRightInd w:val="0"/>
        <w:snapToGrid w:val="0"/>
        <w:spacing w:afterLines="0" w:line="360" w:lineRule="auto"/>
        <w:ind w:left="282" w:hanging="282" w:hangingChars="117"/>
        <w:rPr>
          <w:rFonts w:hint="eastAsia" w:ascii="仿宋_GB2312" w:hAnsi="仿宋" w:eastAsia="仿宋_GB2312" w:cs="仿宋"/>
          <w:b/>
          <w:color w:val="auto"/>
          <w:szCs w:val="24"/>
        </w:rPr>
      </w:pPr>
      <w:r>
        <w:rPr>
          <w:rFonts w:hint="eastAsia" w:ascii="仿宋_GB2312" w:hAnsi="仿宋" w:eastAsia="仿宋_GB2312" w:cs="仿宋"/>
          <w:b/>
          <w:color w:val="auto"/>
          <w:szCs w:val="24"/>
        </w:rPr>
        <w:t>12、磋商文件的澄清与修改</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12.1 在磋商响应截止期前，由于各种原因，不论是自己主动提出还是答复磋商供应商的澄清要求，采购人和采购代理机构可能会</w:t>
      </w:r>
      <w:r>
        <w:rPr>
          <w:rFonts w:hint="eastAsia" w:ascii="仿宋" w:hAnsi="仿宋" w:eastAsia="仿宋" w:cs="仿宋"/>
          <w:bCs/>
          <w:color w:val="auto"/>
          <w:sz w:val="24"/>
        </w:rPr>
        <w:t>对已发出的磋商文件进行必要澄清或者修改的，应当在磋商文件要求提交磋商响应文件截止时间十五日前，在财政部门指定的政府采购信息发布媒体上发布更正公告，并以书面形式通知所有磋商文件收受人。该澄清或者修改的内容为磋商文件的组成部分。</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12.2 磋商文件的修改将以书面形式，包括邮寄、传真和电传，通知所有购买磋商文件的磋商供应商，并对其具有约束力，同时在</w:t>
      </w:r>
      <w:r>
        <w:rPr>
          <w:rFonts w:hint="eastAsia" w:ascii="仿宋" w:hAnsi="仿宋" w:eastAsia="仿宋" w:cs="仿宋"/>
          <w:bCs/>
          <w:color w:val="auto"/>
          <w:sz w:val="24"/>
        </w:rPr>
        <w:t>财政部门指定的政府采购信息发布媒体上发布更正公告</w:t>
      </w:r>
      <w:r>
        <w:rPr>
          <w:rFonts w:hint="eastAsia" w:ascii="仿宋" w:hAnsi="仿宋" w:eastAsia="仿宋" w:cs="仿宋"/>
          <w:color w:val="auto"/>
          <w:kern w:val="0"/>
          <w:sz w:val="24"/>
        </w:rPr>
        <w:t>。</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12.3 采购代理机构</w:t>
      </w:r>
      <w:r>
        <w:rPr>
          <w:rFonts w:hint="eastAsia" w:ascii="仿宋" w:hAnsi="仿宋" w:eastAsia="仿宋" w:cs="仿宋"/>
          <w:bCs/>
          <w:color w:val="auto"/>
          <w:sz w:val="24"/>
        </w:rPr>
        <w:t>可以视采购具体情况，延长磋商响应截止时间和开标时间，将变更时间书面通知所有磋商文件收受人，并在财政部门指定的政府采购信息发布媒体上发布变更公告。</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12.4磋商文件澄清、答复、修改、补充的内容为磋商文件的组成部分。当磋商文件与磋商文件的答复、澄清、修改、补充通知就同一内容的表述不一致时，以最后发出的书面文件为准。</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12.5磋商文件的澄清、答复、修改或补充都应该通过本代理机构以法定形式发布，除此以外的发布不属于磋商文件的组成部分。</w:t>
      </w:r>
    </w:p>
    <w:p>
      <w:pPr>
        <w:pStyle w:val="15"/>
        <w:adjustRightInd w:val="0"/>
        <w:snapToGrid w:val="0"/>
        <w:spacing w:before="156" w:afterLines="0" w:line="360" w:lineRule="auto"/>
        <w:jc w:val="center"/>
        <w:outlineLvl w:val="1"/>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三、磋商响应文件的编制</w:t>
      </w:r>
    </w:p>
    <w:p>
      <w:pPr>
        <w:adjustRightInd w:val="0"/>
        <w:snapToGrid w:val="0"/>
        <w:spacing w:line="360" w:lineRule="auto"/>
        <w:ind w:firstLine="472" w:firstLineChars="196"/>
        <w:jc w:val="left"/>
        <w:outlineLvl w:val="0"/>
        <w:rPr>
          <w:rFonts w:hint="eastAsia" w:ascii="仿宋_GB2312" w:hAnsi="仿宋" w:eastAsia="仿宋_GB2312" w:cs="仿宋"/>
          <w:b/>
          <w:color w:val="auto"/>
          <w:sz w:val="24"/>
        </w:rPr>
      </w:pPr>
      <w:r>
        <w:rPr>
          <w:rFonts w:hint="eastAsia" w:ascii="仿宋_GB2312" w:hAnsi="仿宋" w:eastAsia="仿宋_GB2312" w:cs="仿宋"/>
          <w:b/>
          <w:color w:val="auto"/>
          <w:sz w:val="24"/>
        </w:rPr>
        <w:t>磋商供应商应认真阅读磋商文件中所有的事项、格式、条款和技术要求等内容。如果磋商供应商没有按照磋商文件的要求和规定编制磋商响应文件及提交全部资料，或者磋商响应文件没有对磋商文件中的各方面作出实质性响应，其风险应由磋商供应商承担。</w:t>
      </w:r>
    </w:p>
    <w:p>
      <w:pPr>
        <w:adjustRightInd w:val="0"/>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13．磋商响应文件的语言及计量单位</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13.1 磋商响应文件及磋商供应商与采购人和采购代理机构之间与磋商有关的来往通知、函件和文件均应使用简体中文。除签名、盖章、专用名称等特殊情形外，以中文汉语以外的文字表述的磋商响应文件视同未提供。磋商供应商提交的支持文件和印刷的文献可以用另一种语言，但相应内容应附有中文翻译文本，在解释磋商响应文件时以中文翻译文本为准。</w:t>
      </w:r>
    </w:p>
    <w:p>
      <w:pPr>
        <w:adjustRightInd w:val="0"/>
        <w:snapToGrid w:val="0"/>
        <w:spacing w:line="360" w:lineRule="auto"/>
        <w:ind w:firstLine="480" w:firstLineChars="200"/>
        <w:rPr>
          <w:rFonts w:hint="eastAsia" w:ascii="仿宋_GB2312" w:hAnsi="仿宋" w:eastAsia="仿宋_GB2312" w:cs="仿宋"/>
          <w:b/>
          <w:color w:val="auto"/>
          <w:sz w:val="24"/>
        </w:rPr>
      </w:pPr>
      <w:r>
        <w:rPr>
          <w:rFonts w:hint="eastAsia" w:ascii="仿宋" w:hAnsi="仿宋" w:eastAsia="仿宋" w:cs="仿宋"/>
          <w:color w:val="auto"/>
          <w:kern w:val="0"/>
          <w:sz w:val="24"/>
        </w:rPr>
        <w:t>13.2 除磋商文件另有规定外，磋商响应文件所使用的计量单位，均须采用中华人民共和国法定计量单位，否则视同未响应。</w:t>
      </w:r>
    </w:p>
    <w:p>
      <w:pPr>
        <w:adjustRightInd w:val="0"/>
        <w:snapToGrid w:val="0"/>
        <w:spacing w:line="360" w:lineRule="auto"/>
        <w:jc w:val="left"/>
        <w:outlineLvl w:val="0"/>
        <w:rPr>
          <w:rFonts w:hint="eastAsia" w:ascii="仿宋_GB2312" w:hAnsi="仿宋" w:eastAsia="仿宋_GB2312" w:cs="仿宋"/>
          <w:b/>
          <w:color w:val="auto"/>
          <w:sz w:val="24"/>
        </w:rPr>
      </w:pPr>
      <w:r>
        <w:rPr>
          <w:rFonts w:hint="eastAsia" w:ascii="仿宋_GB2312" w:hAnsi="仿宋" w:eastAsia="仿宋_GB2312" w:cs="仿宋"/>
          <w:b/>
          <w:color w:val="auto"/>
          <w:sz w:val="24"/>
        </w:rPr>
        <w:t>14、磋商响应文件的组成</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磋商响应文件由</w:t>
      </w:r>
      <w:r>
        <w:rPr>
          <w:rFonts w:hint="eastAsia" w:ascii="仿宋" w:hAnsi="仿宋" w:eastAsia="仿宋" w:cs="仿宋"/>
          <w:b/>
          <w:color w:val="auto"/>
          <w:sz w:val="24"/>
        </w:rPr>
        <w:t>资格文件</w:t>
      </w:r>
      <w:r>
        <w:rPr>
          <w:rFonts w:hint="eastAsia" w:ascii="仿宋" w:hAnsi="仿宋" w:eastAsia="仿宋" w:cs="仿宋"/>
          <w:color w:val="auto"/>
          <w:kern w:val="0"/>
          <w:sz w:val="24"/>
        </w:rPr>
        <w:t>，</w:t>
      </w:r>
      <w:r>
        <w:rPr>
          <w:rFonts w:hint="eastAsia" w:ascii="仿宋" w:hAnsi="仿宋" w:eastAsia="仿宋" w:cs="仿宋"/>
          <w:b/>
          <w:color w:val="auto"/>
          <w:sz w:val="24"/>
        </w:rPr>
        <w:t>商务技术文件</w:t>
      </w:r>
      <w:r>
        <w:rPr>
          <w:rFonts w:hint="eastAsia" w:ascii="仿宋" w:hAnsi="仿宋" w:eastAsia="仿宋" w:cs="仿宋"/>
          <w:color w:val="auto"/>
          <w:kern w:val="0"/>
          <w:sz w:val="24"/>
        </w:rPr>
        <w:t>，</w:t>
      </w:r>
      <w:r>
        <w:rPr>
          <w:rFonts w:hint="eastAsia" w:ascii="仿宋" w:hAnsi="仿宋" w:eastAsia="仿宋" w:cs="仿宋"/>
          <w:b/>
          <w:color w:val="auto"/>
          <w:kern w:val="0"/>
          <w:sz w:val="24"/>
        </w:rPr>
        <w:t>报价文件三</w:t>
      </w:r>
      <w:r>
        <w:rPr>
          <w:rFonts w:hint="eastAsia" w:ascii="仿宋" w:hAnsi="仿宋" w:eastAsia="仿宋" w:cs="仿宋"/>
          <w:color w:val="auto"/>
          <w:sz w:val="24"/>
        </w:rPr>
        <w:t>部</w:t>
      </w:r>
      <w:r>
        <w:rPr>
          <w:rFonts w:hint="eastAsia" w:ascii="仿宋" w:hAnsi="仿宋" w:eastAsia="仿宋" w:cs="仿宋"/>
          <w:color w:val="auto"/>
          <w:kern w:val="0"/>
          <w:sz w:val="24"/>
        </w:rPr>
        <w:t>分组成，</w:t>
      </w:r>
      <w:r>
        <w:rPr>
          <w:rFonts w:hint="eastAsia" w:ascii="仿宋" w:hAnsi="仿宋" w:eastAsia="仿宋" w:cs="仿宋"/>
          <w:b/>
          <w:bCs/>
          <w:color w:val="auto"/>
          <w:kern w:val="0"/>
          <w:sz w:val="24"/>
        </w:rPr>
        <w:t>政采云平台有相关要求的按照平台文件格式要求制作，内容按照磋商文件要求提供。</w:t>
      </w:r>
    </w:p>
    <w:p>
      <w:pPr>
        <w:adjustRightInd w:val="0"/>
        <w:snapToGrid w:val="0"/>
        <w:spacing w:line="360" w:lineRule="auto"/>
        <w:ind w:firstLine="472" w:firstLineChars="196"/>
        <w:jc w:val="left"/>
        <w:rPr>
          <w:rFonts w:hint="eastAsia" w:ascii="仿宋_GB2312" w:hAnsi="仿宋" w:eastAsia="仿宋_GB2312" w:cs="仿宋"/>
          <w:b/>
          <w:color w:val="auto"/>
          <w:sz w:val="24"/>
        </w:rPr>
      </w:pPr>
      <w:r>
        <w:rPr>
          <w:rFonts w:hint="eastAsia" w:ascii="仿宋_GB2312" w:hAnsi="仿宋" w:eastAsia="仿宋_GB2312" w:cs="仿宋"/>
          <w:b/>
          <w:color w:val="auto"/>
          <w:sz w:val="24"/>
        </w:rPr>
        <w:t>14.1 资格文件</w:t>
      </w:r>
    </w:p>
    <w:p>
      <w:pPr>
        <w:adjustRightInd w:val="0"/>
        <w:snapToGrid w:val="0"/>
        <w:spacing w:line="360" w:lineRule="auto"/>
        <w:ind w:firstLine="472" w:firstLineChars="196"/>
        <w:jc w:val="left"/>
        <w:rPr>
          <w:rFonts w:hint="eastAsia" w:ascii="仿宋_GB2312" w:hAnsi="仿宋" w:eastAsia="仿宋_GB2312" w:cs="仿宋"/>
          <w:b/>
          <w:bCs/>
          <w:color w:val="auto"/>
          <w:sz w:val="24"/>
        </w:rPr>
      </w:pPr>
      <w:r>
        <w:rPr>
          <w:rFonts w:hint="eastAsia" w:ascii="仿宋_GB2312" w:hAnsi="仿宋" w:eastAsia="仿宋_GB2312" w:cs="仿宋"/>
          <w:b/>
          <w:bCs/>
          <w:color w:val="auto"/>
          <w:sz w:val="24"/>
        </w:rPr>
        <w:t>一、基本资格条件：</w:t>
      </w:r>
    </w:p>
    <w:p>
      <w:pPr>
        <w:adjustRightInd w:val="0"/>
        <w:snapToGrid w:val="0"/>
        <w:spacing w:line="360" w:lineRule="auto"/>
        <w:ind w:firstLine="470" w:firstLineChars="196"/>
        <w:jc w:val="left"/>
        <w:rPr>
          <w:rFonts w:hint="eastAsia" w:ascii="仿宋" w:hAnsi="仿宋" w:eastAsia="仿宋" w:cs="仿宋"/>
          <w:color w:val="auto"/>
          <w:sz w:val="24"/>
        </w:rPr>
      </w:pPr>
      <w:r>
        <w:rPr>
          <w:rFonts w:hint="eastAsia" w:ascii="仿宋_GB2312" w:hAnsi="仿宋" w:eastAsia="仿宋_GB2312" w:cs="仿宋"/>
          <w:color w:val="auto"/>
          <w:sz w:val="24"/>
        </w:rPr>
        <w:t>（1）</w:t>
      </w:r>
      <w:r>
        <w:rPr>
          <w:rFonts w:hint="eastAsia" w:ascii="仿宋" w:hAnsi="仿宋" w:eastAsia="仿宋" w:cs="仿宋"/>
          <w:color w:val="auto"/>
          <w:sz w:val="24"/>
        </w:rPr>
        <w:t>符合《中华人民共和国政府采购法》第二十二条的证明材料，包括：</w:t>
      </w:r>
    </w:p>
    <w:p>
      <w:pPr>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_GB2312" w:hAnsi="仿宋" w:eastAsia="仿宋_GB2312" w:cs="仿宋"/>
          <w:color w:val="auto"/>
          <w:sz w:val="24"/>
        </w:rPr>
        <w:t>有效的营业执照</w:t>
      </w:r>
      <w:r>
        <w:rPr>
          <w:rFonts w:hint="eastAsia" w:ascii="仿宋" w:hAnsi="仿宋" w:eastAsia="仿宋" w:cs="仿宋"/>
          <w:color w:val="auto"/>
          <w:sz w:val="24"/>
        </w:rPr>
        <w:t>(或事业法人登记证书或其它工商等登记证明材料；自然人参与政府采购，提供身份证)</w:t>
      </w:r>
      <w:r>
        <w:rPr>
          <w:rFonts w:hint="eastAsia" w:ascii="仿宋_GB2312" w:hAnsi="仿宋" w:eastAsia="仿宋_GB2312" w:cs="仿宋"/>
          <w:color w:val="auto"/>
          <w:sz w:val="24"/>
        </w:rPr>
        <w:t>复印件（</w:t>
      </w:r>
      <w:r>
        <w:rPr>
          <w:rFonts w:hint="eastAsia" w:ascii="仿宋" w:hAnsi="仿宋" w:eastAsia="仿宋" w:cs="仿宋"/>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rPr>
        <w:t>2、</w:t>
      </w:r>
      <w:r>
        <w:rPr>
          <w:rFonts w:hint="eastAsia" w:ascii="仿宋" w:hAnsi="仿宋" w:eastAsia="仿宋" w:cs="仿宋"/>
          <w:color w:val="auto"/>
          <w:sz w:val="24"/>
          <w:highlight w:val="none"/>
        </w:rPr>
        <w:t>符合参加政府采购活动应当具备的一般条件的承诺函；</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3、中小企业声明函。</w:t>
      </w:r>
    </w:p>
    <w:p>
      <w:pPr>
        <w:adjustRightInd w:val="0"/>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二、特定资格条件：</w:t>
      </w:r>
      <w:r>
        <w:rPr>
          <w:rFonts w:hint="eastAsia" w:ascii="仿宋" w:hAnsi="仿宋" w:eastAsia="仿宋" w:cs="仿宋"/>
          <w:color w:val="auto"/>
          <w:sz w:val="24"/>
          <w:highlight w:val="none"/>
        </w:rPr>
        <w:t>无。</w:t>
      </w:r>
    </w:p>
    <w:p>
      <w:pPr>
        <w:adjustRightInd w:val="0"/>
        <w:snapToGrid w:val="0"/>
        <w:spacing w:line="360" w:lineRule="auto"/>
        <w:ind w:firstLine="482" w:firstLineChars="200"/>
        <w:jc w:val="left"/>
        <w:rPr>
          <w:rFonts w:hint="eastAsia"/>
          <w:color w:val="auto"/>
        </w:rPr>
      </w:pPr>
      <w:r>
        <w:rPr>
          <w:rFonts w:hint="eastAsia" w:ascii="仿宋" w:hAnsi="仿宋" w:eastAsia="仿宋" w:cs="仿宋"/>
          <w:b/>
          <w:bCs/>
          <w:color w:val="auto"/>
          <w:sz w:val="24"/>
        </w:rPr>
        <w:t>注：上述证明材料有一项未提供或提供不完整的，视为资格审查不通过。</w:t>
      </w:r>
    </w:p>
    <w:p>
      <w:pPr>
        <w:adjustRightInd w:val="0"/>
        <w:snapToGrid w:val="0"/>
        <w:spacing w:line="360" w:lineRule="auto"/>
        <w:ind w:firstLine="472" w:firstLineChars="196"/>
        <w:jc w:val="left"/>
        <w:rPr>
          <w:rFonts w:hint="eastAsia" w:ascii="仿宋_GB2312" w:hAnsi="仿宋" w:eastAsia="仿宋_GB2312" w:cs="仿宋"/>
          <w:b/>
          <w:color w:val="auto"/>
          <w:sz w:val="24"/>
        </w:rPr>
      </w:pPr>
      <w:r>
        <w:rPr>
          <w:rFonts w:hint="eastAsia" w:ascii="仿宋_GB2312" w:hAnsi="仿宋" w:eastAsia="仿宋_GB2312" w:cs="仿宋"/>
          <w:b/>
          <w:color w:val="auto"/>
          <w:sz w:val="24"/>
        </w:rPr>
        <w:t>14.2 商务技术文件</w:t>
      </w:r>
    </w:p>
    <w:p>
      <w:pPr>
        <w:pStyle w:val="29"/>
        <w:rPr>
          <w:rFonts w:hint="eastAsia" w:ascii="仿宋_GB2312" w:hAnsi="仿宋" w:eastAsia="仿宋_GB2312" w:cs="仿宋"/>
          <w:bCs/>
          <w:color w:val="auto"/>
          <w:sz w:val="24"/>
          <w:szCs w:val="22"/>
          <w:lang w:val="en-US"/>
        </w:rPr>
      </w:pPr>
      <w:r>
        <w:rPr>
          <w:rFonts w:hint="eastAsia" w:ascii="仿宋_GB2312" w:hAnsi="仿宋" w:eastAsia="仿宋_GB2312" w:cs="仿宋"/>
          <w:bCs/>
          <w:color w:val="auto"/>
          <w:sz w:val="24"/>
          <w:szCs w:val="22"/>
          <w:lang w:val="en-US"/>
        </w:rPr>
        <w:t>（1）针对评分细则，编制目录索引，注明评标细则项目所在投标文件页码，格式自拟。</w:t>
      </w:r>
    </w:p>
    <w:p>
      <w:pPr>
        <w:adjustRightInd w:val="0"/>
        <w:snapToGrid w:val="0"/>
        <w:spacing w:line="360" w:lineRule="auto"/>
        <w:ind w:firstLine="480" w:firstLineChars="200"/>
        <w:jc w:val="left"/>
        <w:rPr>
          <w:rFonts w:hint="eastAsia" w:ascii="仿宋_GB2312" w:hAnsi="仿宋" w:eastAsia="仿宋_GB2312" w:cs="仿宋"/>
          <w:bCs/>
          <w:color w:val="auto"/>
          <w:sz w:val="24"/>
          <w:szCs w:val="22"/>
        </w:rPr>
      </w:pPr>
      <w:r>
        <w:rPr>
          <w:rFonts w:hint="eastAsia" w:ascii="仿宋_GB2312" w:hAnsi="仿宋" w:eastAsia="仿宋_GB2312" w:cs="仿宋"/>
          <w:bCs/>
          <w:color w:val="auto"/>
          <w:sz w:val="24"/>
          <w:szCs w:val="22"/>
        </w:rPr>
        <w:t>（2）磋商声明书 (格式见附件) ；</w:t>
      </w:r>
    </w:p>
    <w:p>
      <w:pPr>
        <w:adjustRightInd w:val="0"/>
        <w:snapToGrid w:val="0"/>
        <w:spacing w:line="360" w:lineRule="auto"/>
        <w:ind w:firstLine="480" w:firstLineChars="200"/>
        <w:jc w:val="left"/>
        <w:rPr>
          <w:rFonts w:hint="eastAsia" w:ascii="仿宋_GB2312" w:hAnsi="仿宋" w:eastAsia="仿宋_GB2312" w:cs="仿宋"/>
          <w:bCs/>
          <w:color w:val="auto"/>
          <w:sz w:val="24"/>
          <w:szCs w:val="22"/>
        </w:rPr>
      </w:pPr>
      <w:r>
        <w:rPr>
          <w:rFonts w:hint="eastAsia" w:ascii="仿宋_GB2312" w:hAnsi="仿宋" w:eastAsia="仿宋_GB2312" w:cs="仿宋"/>
          <w:bCs/>
          <w:color w:val="auto"/>
          <w:sz w:val="24"/>
          <w:szCs w:val="22"/>
        </w:rPr>
        <w:t>（3）法定代表人授权委托书或法定代表人身份证明书(格式见附件)；</w:t>
      </w:r>
    </w:p>
    <w:p>
      <w:pPr>
        <w:adjustRightInd w:val="0"/>
        <w:snapToGrid w:val="0"/>
        <w:spacing w:line="360" w:lineRule="auto"/>
        <w:ind w:firstLine="480" w:firstLineChars="200"/>
        <w:jc w:val="left"/>
        <w:rPr>
          <w:rFonts w:hint="eastAsia" w:ascii="仿宋_GB2312" w:hAnsi="仿宋" w:eastAsia="仿宋_GB2312" w:cs="仿宋"/>
          <w:bCs/>
          <w:color w:val="auto"/>
          <w:sz w:val="24"/>
          <w:szCs w:val="22"/>
        </w:rPr>
      </w:pPr>
      <w:r>
        <w:rPr>
          <w:rFonts w:hint="eastAsia" w:ascii="仿宋_GB2312" w:hAnsi="仿宋" w:eastAsia="仿宋_GB2312" w:cs="仿宋"/>
          <w:bCs/>
          <w:color w:val="auto"/>
          <w:sz w:val="24"/>
          <w:szCs w:val="22"/>
        </w:rPr>
        <w:t>▲</w:t>
      </w:r>
      <w:r>
        <w:rPr>
          <w:rFonts w:hint="eastAsia" w:ascii="仿宋_GB2312" w:hAnsi="仿宋" w:eastAsia="仿宋_GB2312" w:cs="仿宋"/>
          <w:b/>
          <w:color w:val="auto"/>
          <w:sz w:val="24"/>
          <w:szCs w:val="22"/>
        </w:rPr>
        <w:t>磋商响应文件中法定代表人授权书所载内容不完整或与本项目内容有异的，为无效标</w:t>
      </w:r>
      <w:r>
        <w:rPr>
          <w:rFonts w:hint="eastAsia" w:ascii="仿宋_GB2312" w:hAnsi="仿宋" w:eastAsia="仿宋_GB2312" w:cs="仿宋"/>
          <w:bCs/>
          <w:color w:val="auto"/>
          <w:sz w:val="24"/>
          <w:szCs w:val="22"/>
        </w:rPr>
        <w:t>；</w:t>
      </w:r>
    </w:p>
    <w:p>
      <w:pPr>
        <w:adjustRightInd w:val="0"/>
        <w:snapToGrid w:val="0"/>
        <w:spacing w:line="360" w:lineRule="auto"/>
        <w:ind w:firstLine="480" w:firstLineChars="200"/>
        <w:jc w:val="left"/>
        <w:rPr>
          <w:rFonts w:hint="eastAsia" w:ascii="仿宋_GB2312" w:hAnsi="仿宋" w:eastAsia="仿宋_GB2312" w:cs="仿宋"/>
          <w:bCs/>
          <w:color w:val="auto"/>
          <w:sz w:val="24"/>
          <w:szCs w:val="22"/>
        </w:rPr>
      </w:pPr>
      <w:r>
        <w:rPr>
          <w:rFonts w:hint="eastAsia" w:ascii="仿宋_GB2312" w:hAnsi="仿宋" w:eastAsia="仿宋_GB2312" w:cs="仿宋"/>
          <w:bCs/>
          <w:color w:val="auto"/>
          <w:sz w:val="24"/>
          <w:szCs w:val="22"/>
        </w:rPr>
        <w:t>（4）招标服务费承诺书；</w:t>
      </w:r>
    </w:p>
    <w:p>
      <w:pPr>
        <w:adjustRightInd w:val="0"/>
        <w:snapToGrid w:val="0"/>
        <w:spacing w:line="360" w:lineRule="auto"/>
        <w:ind w:firstLine="480" w:firstLineChars="200"/>
        <w:jc w:val="left"/>
        <w:rPr>
          <w:rFonts w:hint="eastAsia" w:ascii="仿宋_GB2312" w:hAnsi="仿宋" w:eastAsia="仿宋_GB2312" w:cs="仿宋"/>
          <w:bCs/>
          <w:color w:val="auto"/>
          <w:sz w:val="24"/>
          <w:szCs w:val="22"/>
        </w:rPr>
      </w:pPr>
      <w:r>
        <w:rPr>
          <w:rFonts w:hint="eastAsia" w:ascii="仿宋_GB2312" w:hAnsi="仿宋" w:eastAsia="仿宋_GB2312" w:cs="仿宋"/>
          <w:bCs/>
          <w:color w:val="auto"/>
          <w:sz w:val="24"/>
          <w:szCs w:val="22"/>
        </w:rPr>
        <w:t>（5）磋商供应商情况介绍；</w:t>
      </w:r>
    </w:p>
    <w:p>
      <w:pPr>
        <w:adjustRightInd w:val="0"/>
        <w:snapToGrid w:val="0"/>
        <w:spacing w:line="360" w:lineRule="auto"/>
        <w:ind w:firstLine="480" w:firstLineChars="200"/>
        <w:jc w:val="left"/>
        <w:rPr>
          <w:rFonts w:hint="eastAsia" w:ascii="仿宋_GB2312" w:hAnsi="仿宋" w:eastAsia="仿宋_GB2312" w:cs="仿宋"/>
          <w:bCs/>
          <w:color w:val="auto"/>
          <w:sz w:val="24"/>
          <w:szCs w:val="22"/>
          <w:lang w:val="en-US" w:eastAsia="zh-CN"/>
        </w:rPr>
      </w:pPr>
      <w:r>
        <w:rPr>
          <w:rFonts w:hint="eastAsia" w:ascii="仿宋_GB2312" w:hAnsi="仿宋" w:eastAsia="仿宋_GB2312" w:cs="仿宋"/>
          <w:bCs/>
          <w:color w:val="auto"/>
          <w:sz w:val="24"/>
          <w:szCs w:val="22"/>
          <w:lang w:val="en-US" w:eastAsia="zh-CN"/>
        </w:rPr>
        <w:t>（6）分包协议；</w:t>
      </w:r>
    </w:p>
    <w:p>
      <w:pPr>
        <w:adjustRightInd w:val="0"/>
        <w:snapToGrid w:val="0"/>
        <w:spacing w:line="360" w:lineRule="auto"/>
        <w:ind w:firstLine="480" w:firstLineChars="200"/>
        <w:jc w:val="left"/>
        <w:rPr>
          <w:rFonts w:hint="eastAsia" w:ascii="仿宋_GB2312" w:hAnsi="仿宋" w:eastAsia="仿宋_GB2312" w:cs="仿宋"/>
          <w:bCs/>
          <w:color w:val="auto"/>
          <w:sz w:val="24"/>
          <w:szCs w:val="22"/>
        </w:rPr>
      </w:pPr>
      <w:r>
        <w:rPr>
          <w:rFonts w:hint="eastAsia" w:ascii="仿宋_GB2312" w:hAnsi="仿宋" w:eastAsia="仿宋_GB2312" w:cs="仿宋"/>
          <w:bCs/>
          <w:color w:val="auto"/>
          <w:sz w:val="24"/>
          <w:szCs w:val="22"/>
        </w:rPr>
        <w:t>（</w:t>
      </w:r>
      <w:r>
        <w:rPr>
          <w:rFonts w:hint="eastAsia" w:ascii="仿宋_GB2312" w:hAnsi="仿宋" w:eastAsia="仿宋_GB2312" w:cs="仿宋"/>
          <w:bCs/>
          <w:color w:val="auto"/>
          <w:sz w:val="24"/>
          <w:szCs w:val="22"/>
          <w:lang w:val="en-US" w:eastAsia="zh-CN"/>
        </w:rPr>
        <w:t>7</w:t>
      </w:r>
      <w:r>
        <w:rPr>
          <w:rFonts w:hint="eastAsia" w:ascii="仿宋_GB2312" w:hAnsi="仿宋" w:eastAsia="仿宋_GB2312" w:cs="仿宋"/>
          <w:bCs/>
          <w:color w:val="auto"/>
          <w:sz w:val="24"/>
          <w:szCs w:val="22"/>
        </w:rPr>
        <w:t>）供应商近三年以来类似项目业绩（需提供证明材料，如合同复印件、验收报告等）</w:t>
      </w:r>
    </w:p>
    <w:p>
      <w:pPr>
        <w:adjustRightInd w:val="0"/>
        <w:snapToGrid w:val="0"/>
        <w:spacing w:line="360" w:lineRule="auto"/>
        <w:ind w:firstLine="480" w:firstLineChars="200"/>
        <w:jc w:val="left"/>
        <w:rPr>
          <w:rFonts w:hint="eastAsia" w:ascii="仿宋_GB2312" w:hAnsi="仿宋" w:eastAsia="仿宋_GB2312" w:cs="仿宋"/>
          <w:bCs/>
          <w:color w:val="auto"/>
          <w:sz w:val="24"/>
          <w:szCs w:val="22"/>
          <w:lang w:val="zh-CN"/>
        </w:rPr>
      </w:pPr>
      <w:r>
        <w:rPr>
          <w:rFonts w:hint="eastAsia" w:ascii="仿宋_GB2312" w:hAnsi="仿宋" w:eastAsia="仿宋_GB2312" w:cs="仿宋"/>
          <w:bCs/>
          <w:color w:val="auto"/>
          <w:sz w:val="24"/>
          <w:szCs w:val="22"/>
        </w:rPr>
        <w:t>（</w:t>
      </w:r>
      <w:r>
        <w:rPr>
          <w:rFonts w:hint="eastAsia" w:ascii="仿宋_GB2312" w:hAnsi="仿宋" w:eastAsia="仿宋_GB2312" w:cs="仿宋"/>
          <w:bCs/>
          <w:color w:val="auto"/>
          <w:sz w:val="24"/>
          <w:szCs w:val="22"/>
          <w:lang w:val="en-US" w:eastAsia="zh-CN"/>
        </w:rPr>
        <w:t>8</w:t>
      </w:r>
      <w:r>
        <w:rPr>
          <w:rFonts w:hint="eastAsia" w:ascii="仿宋_GB2312" w:hAnsi="仿宋" w:eastAsia="仿宋_GB2312" w:cs="仿宋"/>
          <w:bCs/>
          <w:color w:val="auto"/>
          <w:sz w:val="24"/>
          <w:szCs w:val="22"/>
        </w:rPr>
        <w:t>）针对“第四章  评分办法及评分标准”的内容作出具体的完整实施方案</w:t>
      </w:r>
      <w:r>
        <w:rPr>
          <w:rFonts w:hint="eastAsia" w:ascii="仿宋_GB2312" w:hAnsi="仿宋" w:eastAsia="仿宋_GB2312" w:cs="仿宋"/>
          <w:bCs/>
          <w:color w:val="auto"/>
          <w:sz w:val="24"/>
          <w:szCs w:val="22"/>
          <w:lang w:eastAsia="zh-CN"/>
        </w:rPr>
        <w:t>、布撤展方案、包装及运输方案以及保险方案等</w:t>
      </w:r>
      <w:r>
        <w:rPr>
          <w:rFonts w:hint="eastAsia" w:ascii="仿宋_GB2312" w:hAnsi="仿宋" w:eastAsia="仿宋_GB2312" w:cs="仿宋"/>
          <w:bCs/>
          <w:color w:val="auto"/>
          <w:sz w:val="24"/>
          <w:szCs w:val="22"/>
          <w:lang w:val="zh-CN"/>
        </w:rPr>
        <w:t>；</w:t>
      </w:r>
    </w:p>
    <w:p>
      <w:pPr>
        <w:adjustRightInd w:val="0"/>
        <w:snapToGrid w:val="0"/>
        <w:spacing w:line="360" w:lineRule="auto"/>
        <w:ind w:firstLine="482" w:firstLineChars="200"/>
        <w:jc w:val="left"/>
        <w:rPr>
          <w:rFonts w:hint="eastAsia" w:ascii="仿宋_GB2312" w:hAnsi="仿宋" w:eastAsia="仿宋_GB2312" w:cs="仿宋"/>
          <w:b/>
          <w:color w:val="auto"/>
          <w:sz w:val="24"/>
          <w:szCs w:val="22"/>
        </w:rPr>
      </w:pPr>
      <w:r>
        <w:rPr>
          <w:rFonts w:hint="eastAsia" w:ascii="仿宋_GB2312" w:hAnsi="仿宋" w:eastAsia="仿宋_GB2312" w:cs="仿宋"/>
          <w:b/>
          <w:color w:val="auto"/>
          <w:sz w:val="24"/>
          <w:szCs w:val="22"/>
        </w:rPr>
        <w:t>本项目如需采购政府强制采购的节能产品的或磋商供应商提供的产品是环境标志产品，磋商供应商按要求提供节能产品、环境标志产品认证证书复印件；</w:t>
      </w:r>
    </w:p>
    <w:p>
      <w:pPr>
        <w:adjustRightInd w:val="0"/>
        <w:snapToGrid w:val="0"/>
        <w:spacing w:line="360" w:lineRule="auto"/>
        <w:ind w:firstLine="480" w:firstLineChars="200"/>
        <w:jc w:val="left"/>
        <w:rPr>
          <w:rFonts w:hint="eastAsia" w:ascii="仿宋_GB2312" w:hAnsi="仿宋" w:eastAsia="仿宋_GB2312" w:cs="仿宋"/>
          <w:bCs/>
          <w:color w:val="auto"/>
          <w:sz w:val="24"/>
          <w:szCs w:val="22"/>
          <w:lang w:val="zh-CN"/>
        </w:rPr>
      </w:pPr>
      <w:r>
        <w:rPr>
          <w:rFonts w:hint="eastAsia" w:ascii="仿宋_GB2312" w:hAnsi="仿宋" w:eastAsia="仿宋_GB2312" w:cs="仿宋"/>
          <w:bCs/>
          <w:color w:val="auto"/>
          <w:sz w:val="24"/>
          <w:szCs w:val="22"/>
        </w:rPr>
        <w:t>（</w:t>
      </w:r>
      <w:r>
        <w:rPr>
          <w:rFonts w:hint="eastAsia" w:ascii="仿宋_GB2312" w:hAnsi="仿宋" w:eastAsia="仿宋_GB2312" w:cs="仿宋"/>
          <w:bCs/>
          <w:color w:val="auto"/>
          <w:sz w:val="24"/>
          <w:szCs w:val="22"/>
          <w:lang w:val="en-US" w:eastAsia="zh-CN"/>
        </w:rPr>
        <w:t>9</w:t>
      </w:r>
      <w:r>
        <w:rPr>
          <w:rFonts w:hint="eastAsia" w:ascii="仿宋_GB2312" w:hAnsi="仿宋" w:eastAsia="仿宋_GB2312" w:cs="仿宋"/>
          <w:bCs/>
          <w:color w:val="auto"/>
          <w:sz w:val="24"/>
          <w:szCs w:val="22"/>
        </w:rPr>
        <w:t>）项目组成员情况</w:t>
      </w:r>
      <w:r>
        <w:rPr>
          <w:rFonts w:hint="eastAsia" w:ascii="仿宋_GB2312" w:hAnsi="仿宋" w:eastAsia="仿宋_GB2312" w:cs="仿宋"/>
          <w:bCs/>
          <w:color w:val="auto"/>
          <w:sz w:val="24"/>
          <w:szCs w:val="22"/>
          <w:lang w:val="zh-CN"/>
        </w:rPr>
        <w:t>一览表，</w:t>
      </w:r>
      <w:r>
        <w:rPr>
          <w:rFonts w:hint="eastAsia" w:ascii="仿宋_GB2312" w:hAnsi="仿宋" w:eastAsia="仿宋_GB2312" w:cs="仿宋"/>
          <w:bCs/>
          <w:color w:val="auto"/>
          <w:sz w:val="24"/>
          <w:szCs w:val="22"/>
        </w:rPr>
        <w:t>包括拟投入本项目的项目经理及实施人员的履历及相关岗位责任描述</w:t>
      </w:r>
      <w:r>
        <w:rPr>
          <w:rFonts w:hint="eastAsia" w:ascii="仿宋_GB2312" w:hAnsi="仿宋" w:eastAsia="仿宋_GB2312" w:cs="仿宋"/>
          <w:bCs/>
          <w:color w:val="auto"/>
          <w:sz w:val="24"/>
          <w:szCs w:val="22"/>
          <w:lang w:val="zh-CN"/>
        </w:rPr>
        <w:t>并附相关资质证明文件、社保材料等；</w:t>
      </w:r>
    </w:p>
    <w:p>
      <w:pPr>
        <w:adjustRightInd w:val="0"/>
        <w:snapToGrid w:val="0"/>
        <w:spacing w:line="360" w:lineRule="auto"/>
        <w:ind w:firstLine="480" w:firstLineChars="200"/>
        <w:jc w:val="left"/>
        <w:rPr>
          <w:rFonts w:hint="eastAsia" w:ascii="仿宋_GB2312" w:hAnsi="仿宋" w:eastAsia="仿宋_GB2312" w:cs="仿宋"/>
          <w:bCs/>
          <w:color w:val="auto"/>
          <w:sz w:val="24"/>
          <w:szCs w:val="22"/>
          <w:lang w:val="zh-CN"/>
        </w:rPr>
      </w:pPr>
      <w:r>
        <w:rPr>
          <w:rFonts w:hint="eastAsia" w:ascii="仿宋_GB2312" w:hAnsi="仿宋" w:eastAsia="仿宋_GB2312" w:cs="仿宋"/>
          <w:bCs/>
          <w:color w:val="auto"/>
          <w:sz w:val="24"/>
          <w:szCs w:val="22"/>
          <w:lang w:val="zh-CN"/>
        </w:rPr>
        <w:t>（</w:t>
      </w:r>
      <w:r>
        <w:rPr>
          <w:rFonts w:hint="eastAsia" w:ascii="仿宋_GB2312" w:hAnsi="仿宋" w:eastAsia="仿宋_GB2312" w:cs="仿宋"/>
          <w:bCs/>
          <w:color w:val="auto"/>
          <w:sz w:val="24"/>
          <w:szCs w:val="22"/>
          <w:lang w:val="en-US" w:eastAsia="zh-CN"/>
        </w:rPr>
        <w:t>10</w:t>
      </w:r>
      <w:r>
        <w:rPr>
          <w:rFonts w:hint="eastAsia" w:ascii="仿宋_GB2312" w:hAnsi="仿宋" w:eastAsia="仿宋_GB2312" w:cs="仿宋"/>
          <w:bCs/>
          <w:color w:val="auto"/>
          <w:sz w:val="24"/>
          <w:szCs w:val="22"/>
          <w:lang w:val="zh-CN"/>
        </w:rPr>
        <w:t>）商务技术响应表（格式见附件）</w:t>
      </w:r>
      <w:r>
        <w:rPr>
          <w:rFonts w:hint="eastAsia" w:ascii="仿宋_GB2312" w:hAnsi="仿宋" w:eastAsia="仿宋_GB2312" w:cs="仿宋"/>
          <w:bCs/>
          <w:color w:val="auto"/>
          <w:sz w:val="24"/>
          <w:szCs w:val="22"/>
        </w:rPr>
        <w:t>应对采购需求中所提出各项要求进行答复、说明和解释。如果磋商供应商在商务技术偏离表中注明无偏离，评标结束后、签订采购合同前又认为其实际产品或服务与采购需求不一致的，并以此为由拒不与采购人按采购需求与承诺签订政府采购合同的，磋商供应商有未按照磋商文件确定的事项签订政府采购合同的情形，依照政府采购法第七十七条第一款的规定将被追究法律责任；</w:t>
      </w:r>
    </w:p>
    <w:p>
      <w:pPr>
        <w:adjustRightInd w:val="0"/>
        <w:snapToGrid w:val="0"/>
        <w:spacing w:line="360" w:lineRule="auto"/>
        <w:ind w:firstLine="480" w:firstLineChars="200"/>
        <w:jc w:val="left"/>
        <w:rPr>
          <w:rFonts w:hint="eastAsia" w:ascii="仿宋_GB2312" w:hAnsi="仿宋" w:eastAsia="仿宋_GB2312" w:cs="仿宋"/>
          <w:bCs/>
          <w:color w:val="auto"/>
          <w:sz w:val="24"/>
          <w:szCs w:val="22"/>
          <w:lang w:val="zh-CN"/>
        </w:rPr>
      </w:pPr>
      <w:r>
        <w:rPr>
          <w:rFonts w:hint="eastAsia" w:ascii="仿宋_GB2312" w:hAnsi="仿宋" w:eastAsia="仿宋_GB2312" w:cs="仿宋"/>
          <w:bCs/>
          <w:color w:val="auto"/>
          <w:sz w:val="24"/>
          <w:szCs w:val="22"/>
          <w:lang w:val="zh-CN"/>
        </w:rPr>
        <w:t>（</w:t>
      </w:r>
      <w:r>
        <w:rPr>
          <w:rFonts w:hint="eastAsia" w:ascii="仿宋_GB2312" w:hAnsi="仿宋" w:eastAsia="仿宋_GB2312" w:cs="仿宋"/>
          <w:bCs/>
          <w:color w:val="auto"/>
          <w:sz w:val="24"/>
          <w:szCs w:val="22"/>
          <w:lang w:val="en-US" w:eastAsia="zh-CN"/>
        </w:rPr>
        <w:t>11</w:t>
      </w:r>
      <w:r>
        <w:rPr>
          <w:rFonts w:hint="eastAsia" w:ascii="仿宋_GB2312" w:hAnsi="仿宋" w:eastAsia="仿宋_GB2312" w:cs="仿宋"/>
          <w:bCs/>
          <w:color w:val="auto"/>
          <w:sz w:val="24"/>
          <w:szCs w:val="22"/>
          <w:lang w:val="zh-CN"/>
        </w:rPr>
        <w:t>）供应商认为需要说明的其他文件和资料。</w:t>
      </w:r>
    </w:p>
    <w:p>
      <w:pPr>
        <w:adjustRightInd w:val="0"/>
        <w:snapToGrid w:val="0"/>
        <w:spacing w:line="360" w:lineRule="auto"/>
        <w:ind w:firstLine="480" w:firstLineChars="200"/>
        <w:jc w:val="left"/>
        <w:rPr>
          <w:rFonts w:hint="eastAsia" w:ascii="仿宋_GB2312" w:hAnsi="仿宋" w:eastAsia="仿宋_GB2312" w:cs="仿宋"/>
          <w:bCs/>
          <w:color w:val="auto"/>
          <w:sz w:val="24"/>
          <w:szCs w:val="22"/>
          <w:lang w:val="zh-CN"/>
        </w:rPr>
      </w:pPr>
      <w:r>
        <w:rPr>
          <w:rFonts w:hint="eastAsia" w:ascii="仿宋_GB2312" w:hAnsi="仿宋" w:eastAsia="仿宋_GB2312" w:cs="仿宋"/>
          <w:bCs/>
          <w:color w:val="auto"/>
          <w:sz w:val="24"/>
          <w:szCs w:val="22"/>
          <w:lang w:val="zh-CN"/>
        </w:rPr>
        <w:t>（</w:t>
      </w:r>
      <w:r>
        <w:rPr>
          <w:rFonts w:hint="eastAsia" w:ascii="仿宋_GB2312" w:hAnsi="仿宋" w:eastAsia="仿宋_GB2312" w:cs="仿宋"/>
          <w:bCs/>
          <w:color w:val="auto"/>
          <w:sz w:val="24"/>
          <w:szCs w:val="22"/>
          <w:lang w:val="zh-CN" w:eastAsia="zh-CN"/>
        </w:rPr>
        <w:t>1</w:t>
      </w:r>
      <w:r>
        <w:rPr>
          <w:rFonts w:hint="eastAsia" w:ascii="仿宋_GB2312" w:hAnsi="仿宋" w:eastAsia="仿宋_GB2312" w:cs="仿宋"/>
          <w:bCs/>
          <w:color w:val="auto"/>
          <w:sz w:val="24"/>
          <w:szCs w:val="22"/>
          <w:lang w:val="en-US" w:eastAsia="zh-CN"/>
        </w:rPr>
        <w:t>2</w:t>
      </w:r>
      <w:r>
        <w:rPr>
          <w:rFonts w:hint="eastAsia" w:ascii="仿宋_GB2312" w:hAnsi="仿宋" w:eastAsia="仿宋_GB2312" w:cs="仿宋"/>
          <w:bCs/>
          <w:color w:val="auto"/>
          <w:sz w:val="24"/>
          <w:szCs w:val="22"/>
          <w:lang w:val="zh-CN"/>
        </w:rPr>
        <w:t>）政府采购供应商廉洁自律承诺书</w:t>
      </w:r>
    </w:p>
    <w:p>
      <w:pPr>
        <w:adjustRightInd w:val="0"/>
        <w:snapToGrid w:val="0"/>
        <w:spacing w:line="360" w:lineRule="auto"/>
        <w:ind w:firstLine="472" w:firstLineChars="196"/>
        <w:jc w:val="left"/>
        <w:rPr>
          <w:rFonts w:hint="eastAsia" w:ascii="仿宋_GB2312" w:hAnsi="仿宋" w:eastAsia="仿宋_GB2312" w:cs="仿宋"/>
          <w:b/>
          <w:color w:val="auto"/>
          <w:sz w:val="24"/>
        </w:rPr>
      </w:pPr>
      <w:r>
        <w:rPr>
          <w:rFonts w:hint="eastAsia" w:ascii="仿宋_GB2312" w:hAnsi="仿宋" w:eastAsia="仿宋_GB2312" w:cs="仿宋"/>
          <w:b/>
          <w:color w:val="auto"/>
          <w:sz w:val="24"/>
        </w:rPr>
        <w:t>14.3 报价文件</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 xml:space="preserve">（1）磋商响应函（格式见附件）； </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 xml:space="preserve">（2）初次报价（开标）一览表（格式见附件）； </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（3）报价明细表（格式见附件）；</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w:t>
      </w:r>
      <w:r>
        <w:rPr>
          <w:rFonts w:hint="eastAsia" w:ascii="仿宋_GB2312" w:hAnsi="仿宋" w:eastAsia="仿宋_GB2312" w:cs="仿宋"/>
          <w:color w:val="auto"/>
          <w:sz w:val="24"/>
          <w:lang w:val="en-US" w:eastAsia="zh-CN"/>
        </w:rPr>
        <w:t>4</w:t>
      </w:r>
      <w:r>
        <w:rPr>
          <w:rFonts w:hint="eastAsia" w:ascii="仿宋_GB2312" w:hAnsi="仿宋" w:eastAsia="仿宋_GB2312" w:cs="仿宋"/>
          <w:color w:val="auto"/>
          <w:sz w:val="24"/>
        </w:rPr>
        <w:t>）磋商供应商针对报价需要说明的其他文件和说明（如有）。</w:t>
      </w:r>
    </w:p>
    <w:p>
      <w:pPr>
        <w:pStyle w:val="25"/>
        <w:adjustRightInd w:val="0"/>
        <w:snapToGrid w:val="0"/>
        <w:spacing w:after="0"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注：1、法定代表人授权委托书、磋商声明书、磋商响应函、（开标）一览表、报价明细表必须由法定代表人或其授权代表签名并加盖公章，否则以无效标处理。磋商供应商应按照磋商文件中所提出的格式、内容编写。磋商供应商可以根据需要增加说明或描述性文字。所提供的各类证件、证书、证明等均须加盖公章。</w:t>
      </w:r>
    </w:p>
    <w:p>
      <w:pPr>
        <w:pStyle w:val="25"/>
        <w:adjustRightInd w:val="0"/>
        <w:snapToGrid w:val="0"/>
        <w:spacing w:after="0"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2、商务技术文件中不得出现价格信息，否则以无效标处理。</w:t>
      </w:r>
    </w:p>
    <w:p>
      <w:pPr>
        <w:adjustRightInd w:val="0"/>
        <w:snapToGrid w:val="0"/>
        <w:spacing w:line="360" w:lineRule="auto"/>
        <w:jc w:val="left"/>
        <w:outlineLvl w:val="0"/>
        <w:rPr>
          <w:rFonts w:hint="eastAsia" w:ascii="仿宋_GB2312" w:hAnsi="仿宋" w:eastAsia="仿宋_GB2312" w:cs="仿宋"/>
          <w:b/>
          <w:color w:val="auto"/>
          <w:sz w:val="24"/>
        </w:rPr>
      </w:pPr>
      <w:r>
        <w:rPr>
          <w:rFonts w:hint="eastAsia" w:ascii="仿宋_GB2312" w:hAnsi="仿宋" w:eastAsia="仿宋_GB2312" w:cs="仿宋"/>
          <w:b/>
          <w:color w:val="auto"/>
          <w:sz w:val="24"/>
        </w:rPr>
        <w:t>15、磋商报价</w:t>
      </w:r>
    </w:p>
    <w:p>
      <w:pPr>
        <w:pStyle w:val="15"/>
        <w:adjustRightInd w:val="0"/>
        <w:snapToGrid w:val="0"/>
        <w:spacing w:beforeLines="0" w:afterLines="0" w:line="360" w:lineRule="auto"/>
        <w:ind w:firstLine="480" w:firstLineChars="200"/>
        <w:jc w:val="left"/>
        <w:rPr>
          <w:rFonts w:hint="eastAsia" w:ascii="仿宋_GB2312" w:hAnsi="仿宋" w:eastAsia="仿宋_GB2312" w:cs="仿宋"/>
          <w:color w:val="auto"/>
        </w:rPr>
      </w:pPr>
      <w:r>
        <w:rPr>
          <w:rFonts w:hint="eastAsia" w:ascii="仿宋_GB2312" w:hAnsi="仿宋" w:eastAsia="仿宋_GB2312" w:cs="仿宋"/>
          <w:color w:val="auto"/>
        </w:rPr>
        <w:t>15.1 磋商报价应按磋商文件中相关附表格式填写。</w:t>
      </w:r>
    </w:p>
    <w:p>
      <w:pPr>
        <w:pStyle w:val="15"/>
        <w:adjustRightInd w:val="0"/>
        <w:snapToGrid w:val="0"/>
        <w:spacing w:beforeLines="0" w:afterLines="0" w:line="360" w:lineRule="auto"/>
        <w:ind w:firstLine="480" w:firstLineChars="200"/>
        <w:jc w:val="left"/>
        <w:rPr>
          <w:rFonts w:hint="eastAsia" w:ascii="仿宋_GB2312" w:hAnsi="仿宋" w:eastAsia="仿宋_GB2312" w:cs="仿宋"/>
          <w:color w:val="auto"/>
        </w:rPr>
      </w:pPr>
      <w:r>
        <w:rPr>
          <w:rFonts w:hint="eastAsia" w:ascii="仿宋_GB2312" w:hAnsi="仿宋" w:eastAsia="仿宋_GB2312" w:cs="仿宋"/>
          <w:color w:val="auto"/>
        </w:rPr>
        <w:t>15.2 磋商报价是履行合同的最终价格，应包括为完成本项目所涉及的一切费用。</w:t>
      </w:r>
    </w:p>
    <w:p>
      <w:pPr>
        <w:tabs>
          <w:tab w:val="left" w:pos="525"/>
        </w:tabs>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15.3 磋商响应文件只允许有一个报价，有选择的或有条件的报价将不予接受（特别说明的除外）。</w:t>
      </w:r>
    </w:p>
    <w:p>
      <w:pPr>
        <w:pStyle w:val="8"/>
        <w:widowControl w:val="0"/>
        <w:numPr>
          <w:ilvl w:val="0"/>
          <w:numId w:val="0"/>
        </w:numPr>
        <w:adjustRightInd w:val="0"/>
        <w:snapToGrid w:val="0"/>
        <w:spacing w:afterLines="0" w:line="360" w:lineRule="auto"/>
        <w:ind w:left="282" w:hanging="282" w:hangingChars="117"/>
        <w:rPr>
          <w:rFonts w:hint="eastAsia" w:ascii="仿宋_GB2312" w:hAnsi="仿宋" w:eastAsia="仿宋_GB2312" w:cs="仿宋"/>
          <w:b/>
          <w:color w:val="auto"/>
          <w:szCs w:val="24"/>
        </w:rPr>
      </w:pPr>
      <w:r>
        <w:rPr>
          <w:rFonts w:hint="eastAsia" w:ascii="仿宋_GB2312" w:hAnsi="仿宋" w:eastAsia="仿宋_GB2312" w:cs="仿宋"/>
          <w:b/>
          <w:color w:val="auto"/>
          <w:szCs w:val="24"/>
        </w:rPr>
        <w:t>16、磋商响应文件的有效期</w:t>
      </w:r>
    </w:p>
    <w:p>
      <w:pPr>
        <w:pStyle w:val="8"/>
        <w:widowControl w:val="0"/>
        <w:numPr>
          <w:ilvl w:val="0"/>
          <w:numId w:val="0"/>
        </w:numPr>
        <w:adjustRightInd w:val="0"/>
        <w:snapToGrid w:val="0"/>
        <w:spacing w:afterLines="0" w:line="360" w:lineRule="auto"/>
        <w:ind w:firstLine="480" w:firstLineChars="200"/>
        <w:rPr>
          <w:rFonts w:hint="eastAsia" w:ascii="仿宋_GB2312" w:hAnsi="仿宋" w:eastAsia="仿宋_GB2312" w:cs="仿宋"/>
          <w:color w:val="auto"/>
          <w:szCs w:val="24"/>
        </w:rPr>
      </w:pPr>
      <w:r>
        <w:rPr>
          <w:rFonts w:hint="eastAsia" w:ascii="仿宋_GB2312" w:hAnsi="仿宋" w:eastAsia="仿宋_GB2312" w:cs="仿宋"/>
          <w:color w:val="auto"/>
          <w:szCs w:val="24"/>
        </w:rPr>
        <w:t>16.1 自磋商响应截止日起</w:t>
      </w:r>
      <w:r>
        <w:rPr>
          <w:rFonts w:hint="eastAsia" w:ascii="仿宋_GB2312" w:hAnsi="仿宋" w:eastAsia="仿宋_GB2312" w:cs="仿宋"/>
          <w:b/>
          <w:bCs/>
          <w:color w:val="auto"/>
          <w:szCs w:val="24"/>
          <w:u w:val="single"/>
        </w:rPr>
        <w:t xml:space="preserve"> 90 </w:t>
      </w:r>
      <w:r>
        <w:rPr>
          <w:rFonts w:hint="eastAsia" w:ascii="仿宋_GB2312" w:hAnsi="仿宋" w:eastAsia="仿宋_GB2312" w:cs="仿宋"/>
          <w:color w:val="auto"/>
          <w:szCs w:val="24"/>
        </w:rPr>
        <w:t>日历天磋商响应文件应保持有效。有效期不足的磋商响应文件将被拒绝。</w:t>
      </w:r>
    </w:p>
    <w:p>
      <w:pPr>
        <w:pStyle w:val="8"/>
        <w:widowControl w:val="0"/>
        <w:numPr>
          <w:ilvl w:val="0"/>
          <w:numId w:val="0"/>
        </w:numPr>
        <w:adjustRightInd w:val="0"/>
        <w:snapToGrid w:val="0"/>
        <w:spacing w:afterLines="0" w:line="360" w:lineRule="auto"/>
        <w:ind w:firstLine="480" w:firstLineChars="200"/>
        <w:rPr>
          <w:rFonts w:hint="eastAsia" w:ascii="仿宋_GB2312" w:hAnsi="仿宋" w:eastAsia="仿宋_GB2312" w:cs="仿宋"/>
          <w:color w:val="auto"/>
          <w:szCs w:val="24"/>
        </w:rPr>
      </w:pPr>
      <w:r>
        <w:rPr>
          <w:rFonts w:hint="eastAsia" w:ascii="仿宋_GB2312" w:hAnsi="仿宋" w:eastAsia="仿宋_GB2312" w:cs="仿宋"/>
          <w:color w:val="auto"/>
          <w:szCs w:val="24"/>
        </w:rPr>
        <w:t>16.2 在特殊情况下，采购人可与磋商供应商协商延长投标书的有效期，这种要求和答复均应以书面形式进行。</w:t>
      </w:r>
    </w:p>
    <w:p>
      <w:pPr>
        <w:adjustRightInd w:val="0"/>
        <w:snapToGrid w:val="0"/>
        <w:spacing w:line="360" w:lineRule="auto"/>
        <w:ind w:firstLine="480" w:firstLineChars="200"/>
        <w:jc w:val="left"/>
        <w:outlineLvl w:val="0"/>
        <w:rPr>
          <w:rFonts w:hint="eastAsia" w:ascii="仿宋_GB2312" w:hAnsi="仿宋" w:eastAsia="仿宋_GB2312" w:cs="仿宋"/>
          <w:color w:val="auto"/>
          <w:sz w:val="24"/>
        </w:rPr>
      </w:pPr>
      <w:r>
        <w:rPr>
          <w:rFonts w:hint="eastAsia" w:ascii="仿宋_GB2312" w:hAnsi="仿宋" w:eastAsia="仿宋_GB2312" w:cs="仿宋"/>
          <w:color w:val="auto"/>
          <w:sz w:val="24"/>
        </w:rPr>
        <w:t>16.3 磋商供应商可拒绝接受延期要求而放弃投标，同意延长有效期的磋商供应商不能修改磋商响应文件。</w:t>
      </w:r>
      <w:r>
        <w:rPr>
          <w:rFonts w:hint="eastAsia" w:ascii="仿宋_GB2312" w:hAnsi="仿宋" w:eastAsia="仿宋_GB2312" w:cs="仿宋"/>
          <w:b/>
          <w:bCs/>
          <w:color w:val="auto"/>
          <w:sz w:val="24"/>
        </w:rPr>
        <w:t>同时，受投标有效期约束的所有权利和义务均延长至新的有效期。</w:t>
      </w:r>
    </w:p>
    <w:p>
      <w:pPr>
        <w:adjustRightInd w:val="0"/>
        <w:snapToGrid w:val="0"/>
        <w:spacing w:line="360" w:lineRule="auto"/>
        <w:ind w:firstLine="480" w:firstLineChars="200"/>
        <w:jc w:val="left"/>
        <w:outlineLvl w:val="0"/>
        <w:rPr>
          <w:rFonts w:hint="eastAsia" w:ascii="仿宋_GB2312" w:hAnsi="仿宋" w:eastAsia="仿宋_GB2312" w:cs="仿宋"/>
          <w:b/>
          <w:color w:val="auto"/>
          <w:sz w:val="24"/>
        </w:rPr>
      </w:pPr>
      <w:r>
        <w:rPr>
          <w:rFonts w:hint="eastAsia" w:ascii="仿宋_GB2312" w:hAnsi="仿宋" w:eastAsia="仿宋_GB2312" w:cs="仿宋"/>
          <w:color w:val="auto"/>
          <w:sz w:val="24"/>
        </w:rPr>
        <w:t>16.4 成交供应商的磋商响应文件自开标之日起至合同履行完毕止均应保持有效。</w:t>
      </w:r>
    </w:p>
    <w:p>
      <w:pPr>
        <w:adjustRightInd w:val="0"/>
        <w:snapToGrid w:val="0"/>
        <w:spacing w:line="360" w:lineRule="auto"/>
        <w:jc w:val="left"/>
        <w:outlineLvl w:val="0"/>
        <w:rPr>
          <w:rFonts w:hint="eastAsia" w:ascii="仿宋_GB2312" w:hAnsi="仿宋" w:eastAsia="仿宋_GB2312" w:cs="仿宋"/>
          <w:b/>
          <w:color w:val="auto"/>
          <w:sz w:val="24"/>
        </w:rPr>
      </w:pPr>
      <w:r>
        <w:rPr>
          <w:rFonts w:hint="eastAsia" w:ascii="仿宋_GB2312" w:hAnsi="仿宋" w:eastAsia="仿宋_GB2312" w:cs="仿宋"/>
          <w:b/>
          <w:color w:val="auto"/>
          <w:sz w:val="24"/>
        </w:rPr>
        <w:t>17、磋商响应文件的份数</w:t>
      </w:r>
    </w:p>
    <w:p>
      <w:pPr>
        <w:adjustRightInd w:val="0"/>
        <w:snapToGrid w:val="0"/>
        <w:spacing w:line="360" w:lineRule="auto"/>
        <w:ind w:firstLine="480" w:firstLineChars="200"/>
        <w:jc w:val="left"/>
        <w:rPr>
          <w:rFonts w:hint="eastAsia" w:ascii="仿宋_GB2312" w:hAnsi="仿宋" w:eastAsia="仿宋_GB2312" w:cs="仿宋"/>
          <w:b/>
          <w:color w:val="auto"/>
          <w:sz w:val="24"/>
        </w:rPr>
      </w:pPr>
      <w:r>
        <w:rPr>
          <w:rFonts w:hint="eastAsia" w:ascii="仿宋_GB2312" w:hAnsi="仿宋" w:eastAsia="仿宋_GB2312" w:cs="仿宋"/>
          <w:color w:val="auto"/>
          <w:sz w:val="24"/>
          <w:lang w:val="zh-CN"/>
        </w:rPr>
        <w:t>磋商响应文件为在线上传文件及备份文件，无法在线解密时以备份文件为准，均无法打开为无效投标。</w:t>
      </w:r>
    </w:p>
    <w:p>
      <w:pPr>
        <w:pStyle w:val="13"/>
        <w:adjustRightInd w:val="0"/>
        <w:snapToGrid w:val="0"/>
        <w:spacing w:before="156" w:beforeLines="50" w:after="0" w:line="360" w:lineRule="auto"/>
        <w:ind w:left="0" w:leftChars="0"/>
        <w:jc w:val="center"/>
        <w:outlineLvl w:val="1"/>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四、磋商响应</w:t>
      </w:r>
    </w:p>
    <w:p>
      <w:pPr>
        <w:adjustRightInd w:val="0"/>
        <w:snapToGrid w:val="0"/>
        <w:spacing w:line="360" w:lineRule="auto"/>
        <w:jc w:val="left"/>
        <w:rPr>
          <w:rFonts w:hint="eastAsia" w:ascii="仿宋" w:hAnsi="仿宋" w:eastAsia="仿宋" w:cs="宋体"/>
          <w:b/>
          <w:bCs/>
          <w:color w:val="auto"/>
          <w:sz w:val="24"/>
        </w:rPr>
      </w:pPr>
      <w:r>
        <w:rPr>
          <w:rFonts w:hint="eastAsia" w:ascii="仿宋" w:hAnsi="仿宋" w:eastAsia="仿宋" w:cs="宋体"/>
          <w:b/>
          <w:bCs/>
          <w:color w:val="auto"/>
          <w:sz w:val="24"/>
        </w:rPr>
        <w:t>18、磋商响应文件的上传和递交</w:t>
      </w:r>
    </w:p>
    <w:p>
      <w:pPr>
        <w:adjustRightInd w:val="0"/>
        <w:snapToGrid w:val="0"/>
        <w:spacing w:line="360" w:lineRule="auto"/>
        <w:ind w:firstLine="420"/>
        <w:jc w:val="left"/>
        <w:rPr>
          <w:rFonts w:hint="eastAsia" w:ascii="仿宋" w:hAnsi="仿宋" w:eastAsia="仿宋" w:cs="宋体"/>
          <w:color w:val="auto"/>
          <w:sz w:val="24"/>
        </w:rPr>
      </w:pPr>
      <w:r>
        <w:rPr>
          <w:rFonts w:hint="eastAsia" w:ascii="仿宋" w:hAnsi="仿宋" w:eastAsia="仿宋" w:cs="宋体"/>
          <w:color w:val="auto"/>
          <w:sz w:val="24"/>
        </w:rPr>
        <w:t>“磋商响应文件”的上传、递交：见《前附表》。</w:t>
      </w:r>
    </w:p>
    <w:p>
      <w:pPr>
        <w:adjustRightInd w:val="0"/>
        <w:snapToGrid w:val="0"/>
        <w:spacing w:line="360" w:lineRule="auto"/>
        <w:jc w:val="left"/>
        <w:rPr>
          <w:rFonts w:hint="eastAsia" w:ascii="仿宋" w:hAnsi="仿宋" w:eastAsia="仿宋" w:cs="宋体"/>
          <w:b/>
          <w:bCs/>
          <w:color w:val="auto"/>
          <w:sz w:val="24"/>
        </w:rPr>
      </w:pPr>
      <w:r>
        <w:rPr>
          <w:rFonts w:hint="eastAsia" w:ascii="仿宋" w:hAnsi="仿宋" w:eastAsia="仿宋" w:cs="宋体"/>
          <w:b/>
          <w:bCs/>
          <w:color w:val="auto"/>
          <w:sz w:val="24"/>
        </w:rPr>
        <w:t>19、“电子加密磋商响应文件”解密和异常情况处理</w:t>
      </w:r>
    </w:p>
    <w:p>
      <w:pPr>
        <w:adjustRightInd w:val="0"/>
        <w:snapToGrid w:val="0"/>
        <w:spacing w:line="360" w:lineRule="auto"/>
        <w:ind w:firstLine="420"/>
        <w:jc w:val="left"/>
        <w:rPr>
          <w:rFonts w:hint="eastAsia" w:ascii="仿宋" w:hAnsi="仿宋" w:eastAsia="仿宋" w:cs="宋体"/>
          <w:color w:val="auto"/>
          <w:sz w:val="24"/>
        </w:rPr>
      </w:pPr>
      <w:r>
        <w:rPr>
          <w:rFonts w:hint="eastAsia" w:ascii="仿宋" w:hAnsi="仿宋" w:eastAsia="仿宋" w:cs="宋体"/>
          <w:color w:val="auto"/>
          <w:sz w:val="24"/>
        </w:rPr>
        <w:t>“电子加密磋商响应文件”解密：见《前附表》。</w:t>
      </w:r>
    </w:p>
    <w:p>
      <w:pPr>
        <w:adjustRightInd w:val="0"/>
        <w:snapToGrid w:val="0"/>
        <w:spacing w:line="360" w:lineRule="auto"/>
        <w:jc w:val="left"/>
        <w:rPr>
          <w:rFonts w:hint="eastAsia" w:ascii="仿宋" w:hAnsi="仿宋" w:eastAsia="仿宋" w:cs="宋体"/>
          <w:b/>
          <w:bCs/>
          <w:color w:val="auto"/>
          <w:sz w:val="24"/>
        </w:rPr>
      </w:pPr>
      <w:r>
        <w:rPr>
          <w:rFonts w:hint="eastAsia" w:ascii="仿宋" w:hAnsi="仿宋" w:eastAsia="仿宋" w:cs="宋体"/>
          <w:b/>
          <w:bCs/>
          <w:color w:val="auto"/>
          <w:sz w:val="24"/>
        </w:rPr>
        <w:t>20、磋商响应文件的补充、修改或撤回</w:t>
      </w:r>
    </w:p>
    <w:p>
      <w:pPr>
        <w:adjustRightInd w:val="0"/>
        <w:snapToGrid w:val="0"/>
        <w:spacing w:line="360" w:lineRule="auto"/>
        <w:ind w:firstLine="420"/>
        <w:jc w:val="left"/>
        <w:rPr>
          <w:rFonts w:hint="eastAsia" w:ascii="仿宋" w:hAnsi="仿宋" w:eastAsia="仿宋" w:cs="宋体"/>
          <w:color w:val="auto"/>
          <w:sz w:val="24"/>
        </w:rPr>
      </w:pPr>
      <w:r>
        <w:rPr>
          <w:rFonts w:hint="eastAsia" w:ascii="仿宋" w:hAnsi="仿宋" w:eastAsia="仿宋" w:cs="宋体"/>
          <w:color w:val="auto"/>
          <w:sz w:val="24"/>
        </w:rPr>
        <w:t>20.1 磋商供应商应当在磋商响应截止时间前完成磋商响应文件的上传、递交，并可以补充、修改或者撤回磋商响应文件。补充或者修改磋商响应文件的，应当先行撤回原文件，补充、修改后重新上传、递交。磋商响应截止时间前未完成上传、递交的，视为撤回磋商响应文件。磋商响应截止时间后递交的磋商响应文件，“政府采购云平台”将予以拒收。</w:t>
      </w:r>
    </w:p>
    <w:p>
      <w:pPr>
        <w:adjustRightInd w:val="0"/>
        <w:snapToGrid w:val="0"/>
        <w:spacing w:line="360" w:lineRule="auto"/>
        <w:ind w:firstLine="420"/>
        <w:jc w:val="left"/>
        <w:rPr>
          <w:rFonts w:hint="eastAsia" w:ascii="仿宋" w:hAnsi="仿宋" w:eastAsia="仿宋" w:cs="宋体"/>
          <w:color w:val="auto"/>
          <w:sz w:val="24"/>
        </w:rPr>
      </w:pPr>
      <w:r>
        <w:rPr>
          <w:rFonts w:hint="eastAsia" w:ascii="仿宋" w:hAnsi="仿宋" w:eastAsia="仿宋" w:cs="宋体"/>
          <w:color w:val="auto"/>
          <w:sz w:val="24"/>
        </w:rPr>
        <w:t>20.2 磋商响应截止时间后，磋商供应商不得撤回、修改《磋商响应文件》。</w:t>
      </w:r>
    </w:p>
    <w:p>
      <w:pPr>
        <w:adjustRightInd w:val="0"/>
        <w:snapToGrid w:val="0"/>
        <w:spacing w:line="360" w:lineRule="auto"/>
        <w:jc w:val="left"/>
        <w:rPr>
          <w:rFonts w:hint="eastAsia" w:ascii="仿宋" w:hAnsi="仿宋" w:eastAsia="仿宋" w:cs="宋体"/>
          <w:b/>
          <w:bCs/>
          <w:color w:val="auto"/>
          <w:sz w:val="24"/>
        </w:rPr>
      </w:pPr>
      <w:r>
        <w:rPr>
          <w:rFonts w:hint="eastAsia" w:ascii="仿宋" w:hAnsi="仿宋" w:eastAsia="仿宋" w:cs="宋体"/>
          <w:b/>
          <w:bCs/>
          <w:color w:val="auto"/>
          <w:sz w:val="24"/>
        </w:rPr>
        <w:t>21、磋商响应文件的备选方案</w:t>
      </w:r>
    </w:p>
    <w:p>
      <w:pPr>
        <w:adjustRightInd w:val="0"/>
        <w:snapToGrid w:val="0"/>
        <w:spacing w:line="360" w:lineRule="auto"/>
        <w:ind w:firstLine="420"/>
        <w:jc w:val="left"/>
        <w:rPr>
          <w:rFonts w:hint="eastAsia" w:ascii="仿宋" w:hAnsi="仿宋" w:eastAsia="仿宋" w:cs="宋体"/>
          <w:color w:val="auto"/>
          <w:sz w:val="24"/>
        </w:rPr>
      </w:pPr>
      <w:r>
        <w:rPr>
          <w:rFonts w:hint="eastAsia" w:ascii="仿宋" w:hAnsi="仿宋" w:eastAsia="仿宋" w:cs="宋体"/>
          <w:color w:val="auto"/>
          <w:sz w:val="24"/>
        </w:rPr>
        <w:t>磋商供应商不得递交任何的投标备选（替代）方案，否则其磋商响应文件将作无效标处理。与“电子加密磋商响应文件”同时生成的“备份磋商响应文件”不是投标备选（替代）方案。</w:t>
      </w:r>
    </w:p>
    <w:p>
      <w:pPr>
        <w:pStyle w:val="13"/>
        <w:adjustRightInd w:val="0"/>
        <w:snapToGrid w:val="0"/>
        <w:spacing w:before="156" w:beforeLines="50" w:after="0" w:line="360" w:lineRule="auto"/>
        <w:ind w:left="0" w:leftChars="0"/>
        <w:jc w:val="center"/>
        <w:outlineLvl w:val="1"/>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五、开标</w:t>
      </w:r>
    </w:p>
    <w:p>
      <w:pPr>
        <w:pStyle w:val="5"/>
        <w:adjustRightInd w:val="0"/>
        <w:snapToGrid w:val="0"/>
        <w:spacing w:before="0" w:after="0" w:line="360" w:lineRule="auto"/>
        <w:ind w:left="720" w:hanging="720"/>
        <w:rPr>
          <w:rFonts w:hint="eastAsia" w:ascii="仿宋" w:hAnsi="仿宋" w:eastAsia="仿宋" w:cs="宋体"/>
          <w:color w:val="auto"/>
          <w:sz w:val="24"/>
          <w:szCs w:val="24"/>
        </w:rPr>
      </w:pPr>
      <w:r>
        <w:rPr>
          <w:rFonts w:hint="eastAsia" w:ascii="仿宋" w:hAnsi="仿宋" w:eastAsia="仿宋" w:cs="宋体"/>
          <w:color w:val="auto"/>
          <w:sz w:val="24"/>
          <w:szCs w:val="24"/>
        </w:rPr>
        <w:t>22、开标形式</w:t>
      </w:r>
    </w:p>
    <w:p>
      <w:pPr>
        <w:adjustRightInd w:val="0"/>
        <w:snapToGrid w:val="0"/>
        <w:spacing w:line="360" w:lineRule="auto"/>
        <w:ind w:firstLine="424" w:firstLineChars="177"/>
        <w:rPr>
          <w:rFonts w:hint="eastAsia" w:ascii="仿宋" w:hAnsi="仿宋" w:eastAsia="仿宋" w:cs="宋体"/>
          <w:color w:val="auto"/>
          <w:sz w:val="24"/>
        </w:rPr>
      </w:pPr>
      <w:r>
        <w:rPr>
          <w:rFonts w:hint="eastAsia" w:ascii="仿宋" w:hAnsi="仿宋" w:eastAsia="仿宋" w:cs="宋体"/>
          <w:color w:val="auto"/>
          <w:sz w:val="24"/>
        </w:rPr>
        <w:t>采购代理机构将按照磋商文件规定的时间通过“政府采购云平台”组织开标、开启磋商响应文件，所有磋商供应商均应当准时在线参加。</w:t>
      </w:r>
    </w:p>
    <w:p>
      <w:pPr>
        <w:pStyle w:val="5"/>
        <w:adjustRightInd w:val="0"/>
        <w:snapToGrid w:val="0"/>
        <w:spacing w:before="0" w:after="0" w:line="360" w:lineRule="auto"/>
        <w:ind w:left="720" w:hanging="720"/>
        <w:rPr>
          <w:rFonts w:hint="eastAsia" w:ascii="仿宋" w:hAnsi="仿宋" w:eastAsia="仿宋" w:cs="宋体"/>
          <w:color w:val="auto"/>
          <w:sz w:val="24"/>
          <w:szCs w:val="24"/>
        </w:rPr>
      </w:pPr>
      <w:r>
        <w:rPr>
          <w:rFonts w:hint="eastAsia" w:ascii="仿宋" w:hAnsi="仿宋" w:eastAsia="仿宋" w:cs="宋体"/>
          <w:color w:val="auto"/>
          <w:sz w:val="24"/>
          <w:szCs w:val="24"/>
        </w:rPr>
        <w:t>23、开标准备</w:t>
      </w:r>
    </w:p>
    <w:p>
      <w:pPr>
        <w:adjustRightInd w:val="0"/>
        <w:snapToGrid w:val="0"/>
        <w:spacing w:line="360" w:lineRule="auto"/>
        <w:ind w:firstLine="422" w:firstLineChars="176"/>
        <w:rPr>
          <w:rFonts w:hint="eastAsia" w:ascii="仿宋" w:hAnsi="仿宋" w:eastAsia="仿宋" w:cs="宋体"/>
          <w:color w:val="auto"/>
          <w:sz w:val="24"/>
        </w:rPr>
      </w:pPr>
      <w:r>
        <w:rPr>
          <w:rFonts w:hint="eastAsia" w:ascii="仿宋" w:hAnsi="仿宋" w:eastAsia="仿宋" w:cs="宋体"/>
          <w:color w:val="auto"/>
          <w:sz w:val="24"/>
        </w:rPr>
        <w:t>23.1 开标的准备工作由采购代理机构负责落实；</w:t>
      </w:r>
    </w:p>
    <w:p>
      <w:pPr>
        <w:adjustRightInd w:val="0"/>
        <w:snapToGrid w:val="0"/>
        <w:spacing w:line="360" w:lineRule="auto"/>
        <w:ind w:firstLine="422" w:firstLineChars="176"/>
        <w:rPr>
          <w:rFonts w:hint="eastAsia" w:ascii="仿宋" w:hAnsi="仿宋" w:eastAsia="仿宋" w:cs="宋体"/>
          <w:color w:val="auto"/>
          <w:sz w:val="24"/>
        </w:rPr>
      </w:pPr>
      <w:r>
        <w:rPr>
          <w:rFonts w:hint="eastAsia" w:ascii="仿宋" w:hAnsi="仿宋" w:eastAsia="仿宋" w:cs="宋体"/>
          <w:color w:val="auto"/>
          <w:sz w:val="24"/>
        </w:rPr>
        <w:t>23.2 采购代理机构将按照磋商文件规定的时间通过“政府采购云平台”组织开标、开启磋商响应文件，所有磋商供应商均应当准时在线参加。磋商供应商如不参加开标大会的，视同认可开标结果，事后不得对采购相关人员、开标过程和开标结果提出异议，同时磋商供应商因未在线参加开标而导致磋商响应文件无法按时解密等一切后果由磋商供应商自己承担。</w:t>
      </w:r>
    </w:p>
    <w:p>
      <w:pPr>
        <w:pStyle w:val="5"/>
        <w:adjustRightInd w:val="0"/>
        <w:snapToGrid w:val="0"/>
        <w:spacing w:before="0" w:after="0" w:line="360" w:lineRule="auto"/>
        <w:ind w:left="720" w:hanging="720"/>
        <w:rPr>
          <w:rFonts w:hint="eastAsia" w:ascii="仿宋" w:hAnsi="仿宋" w:eastAsia="仿宋" w:cs="宋体"/>
          <w:color w:val="auto"/>
          <w:sz w:val="24"/>
          <w:szCs w:val="24"/>
        </w:rPr>
      </w:pPr>
      <w:r>
        <w:rPr>
          <w:rFonts w:hint="eastAsia" w:ascii="仿宋" w:hAnsi="仿宋" w:eastAsia="仿宋" w:cs="宋体"/>
          <w:color w:val="auto"/>
          <w:sz w:val="24"/>
          <w:szCs w:val="24"/>
        </w:rPr>
        <w:t>24、开标流程（两阶段）</w:t>
      </w:r>
    </w:p>
    <w:p>
      <w:pPr>
        <w:adjustRightInd w:val="0"/>
        <w:snapToGrid w:val="0"/>
        <w:spacing w:line="360" w:lineRule="auto"/>
        <w:ind w:firstLine="426" w:firstLineChars="177"/>
        <w:jc w:val="left"/>
        <w:rPr>
          <w:rFonts w:hint="eastAsia" w:ascii="仿宋" w:hAnsi="仿宋" w:eastAsia="仿宋" w:cs="宋体"/>
          <w:b/>
          <w:bCs/>
          <w:color w:val="auto"/>
          <w:sz w:val="24"/>
        </w:rPr>
      </w:pPr>
      <w:r>
        <w:rPr>
          <w:rFonts w:hint="eastAsia" w:ascii="仿宋" w:hAnsi="仿宋" w:eastAsia="仿宋" w:cs="宋体"/>
          <w:b/>
          <w:bCs/>
          <w:color w:val="auto"/>
          <w:sz w:val="24"/>
        </w:rPr>
        <w:t>24.1 开标大会第一阶段</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1）向各磋商供应商发出电子加密磋商响应文件【开始解密】通知，磋商供应商应在开标后30分钟内完成在线解密工作。磋商供应商在规定的时间内无法完成已递交的“电子加密磋商响应文件”解密的，如已按规定递交了备份磋商响应文件的，将由采购代理机构按“政府采购云平台”操作规范将备份磋商响应文件上传至“政府采购云平台”，上传成功后，“电子加密磋商响应文件”自动失效；</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（2）磋商响应文件解密结束，签署《政府采购活动现场确认声明书》；</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（3）开启磋商响应文件，进入资格审查；</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（4）开启资格审查通过的磋商供应商的商务技术文件进入符合性审查、商务技术评审；</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（5）第一阶段开标结束。</w:t>
      </w:r>
    </w:p>
    <w:p>
      <w:pPr>
        <w:adjustRightInd w:val="0"/>
        <w:snapToGrid w:val="0"/>
        <w:spacing w:line="360" w:lineRule="auto"/>
        <w:ind w:firstLine="426" w:firstLineChars="177"/>
        <w:jc w:val="left"/>
        <w:rPr>
          <w:rFonts w:hint="eastAsia" w:ascii="仿宋" w:hAnsi="仿宋" w:eastAsia="仿宋" w:cs="宋体"/>
          <w:b/>
          <w:bCs/>
          <w:color w:val="auto"/>
          <w:sz w:val="24"/>
        </w:rPr>
      </w:pPr>
      <w:r>
        <w:rPr>
          <w:rFonts w:hint="eastAsia" w:ascii="仿宋" w:hAnsi="仿宋" w:eastAsia="仿宋" w:cs="宋体"/>
          <w:b/>
          <w:bCs/>
          <w:color w:val="auto"/>
          <w:sz w:val="24"/>
        </w:rPr>
        <w:t>注：开标大会的第一阶段结束后，采购人或采购代理机构将依法对磋商供应商的资格进行审查，资格审查结束后进入符合性审查和商务技术的评审工作，具体见本章节“磋商供应商资格审查”相关规定。</w:t>
      </w:r>
    </w:p>
    <w:p>
      <w:pPr>
        <w:adjustRightInd w:val="0"/>
        <w:snapToGrid w:val="0"/>
        <w:spacing w:line="360" w:lineRule="auto"/>
        <w:ind w:firstLine="426" w:firstLineChars="177"/>
        <w:jc w:val="left"/>
        <w:rPr>
          <w:rFonts w:hint="eastAsia" w:ascii="仿宋" w:hAnsi="仿宋" w:eastAsia="仿宋" w:cs="宋体"/>
          <w:b/>
          <w:bCs/>
          <w:color w:val="auto"/>
          <w:sz w:val="24"/>
        </w:rPr>
      </w:pPr>
      <w:r>
        <w:rPr>
          <w:rFonts w:hint="eastAsia" w:ascii="仿宋" w:hAnsi="仿宋" w:eastAsia="仿宋" w:cs="宋体"/>
          <w:b/>
          <w:bCs/>
          <w:color w:val="auto"/>
          <w:sz w:val="24"/>
        </w:rPr>
        <w:t>24.2 开标大会第二阶段</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（1）符合性审查、商务技术评审结束后，举行开标大会第二阶段会议。首先公布符合性审查、商务技术评审无效供应商名称及理由；公布经商务技术评审后有效磋商供应商的名单。</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（2）</w:t>
      </w:r>
      <w:r>
        <w:rPr>
          <w:rFonts w:hint="eastAsia" w:ascii="仿宋" w:hAnsi="仿宋" w:eastAsia="仿宋" w:cs="仿宋"/>
          <w:color w:val="auto"/>
          <w:kern w:val="0"/>
          <w:sz w:val="24"/>
        </w:rPr>
        <w:t>由磋商小组对确定为实质性响应本磋商文件的磋商响应文件进行详细评价和比较，主要就商务报价、企业资信、服务方案内容、服务承诺等磋商小组认为与本次采购有关的因素与各磋商供应商逐一进行在线磋商。商务技术评审结束后，由磋商小组对各磋商供应商的报价的合理性、准确性等进行审查核实；</w:t>
      </w:r>
      <w:r>
        <w:rPr>
          <w:rFonts w:hint="eastAsia" w:ascii="仿宋" w:hAnsi="仿宋" w:eastAsia="仿宋" w:cs="仿宋"/>
          <w:b/>
          <w:bCs/>
          <w:color w:val="auto"/>
          <w:kern w:val="0"/>
          <w:sz w:val="24"/>
        </w:rPr>
        <w:t>磋商供应商的商务报价在最终报价提交后已告知磋商供应商，并由磋商供应商签字确认回传给采购代理机构。</w:t>
      </w:r>
    </w:p>
    <w:p>
      <w:pPr>
        <w:adjustRightInd w:val="0"/>
        <w:snapToGrid w:val="0"/>
        <w:spacing w:line="360" w:lineRule="auto"/>
        <w:ind w:firstLine="424" w:firstLineChars="177"/>
        <w:jc w:val="left"/>
        <w:rPr>
          <w:rFonts w:hint="eastAsia" w:ascii="仿宋" w:hAnsi="仿宋" w:eastAsia="仿宋" w:cs="宋体"/>
          <w:color w:val="auto"/>
          <w:sz w:val="24"/>
        </w:rPr>
      </w:pPr>
      <w:r>
        <w:rPr>
          <w:rFonts w:hint="eastAsia" w:ascii="仿宋" w:hAnsi="仿宋" w:eastAsia="仿宋" w:cs="宋体"/>
          <w:color w:val="auto"/>
          <w:sz w:val="24"/>
        </w:rPr>
        <w:t>（3）评审结束后，公布成交候选人名单。</w:t>
      </w:r>
    </w:p>
    <w:p>
      <w:pPr>
        <w:adjustRightInd w:val="0"/>
        <w:snapToGrid w:val="0"/>
        <w:spacing w:line="360" w:lineRule="auto"/>
        <w:ind w:firstLine="426" w:firstLineChars="177"/>
        <w:jc w:val="left"/>
        <w:rPr>
          <w:rFonts w:hint="eastAsia" w:ascii="仿宋" w:hAnsi="仿宋" w:eastAsia="仿宋" w:cs="宋体"/>
          <w:b/>
          <w:bCs/>
          <w:color w:val="auto"/>
          <w:sz w:val="24"/>
        </w:rPr>
      </w:pPr>
      <w:bookmarkStart w:id="2" w:name="_Toc24550037"/>
      <w:bookmarkStart w:id="3" w:name="_Toc33194393"/>
      <w:r>
        <w:rPr>
          <w:rFonts w:hint="eastAsia" w:ascii="仿宋" w:hAnsi="仿宋" w:eastAsia="仿宋" w:cs="宋体"/>
          <w:b/>
          <w:bCs/>
          <w:color w:val="auto"/>
          <w:sz w:val="24"/>
        </w:rPr>
        <w:t>特别说明：如遇“政府采购云平台”电子化开标或评审程序调整的，按调整后程序执行。</w:t>
      </w:r>
    </w:p>
    <w:bookmarkEnd w:id="2"/>
    <w:bookmarkEnd w:id="3"/>
    <w:p>
      <w:pPr>
        <w:adjustRightInd w:val="0"/>
        <w:snapToGrid w:val="0"/>
        <w:spacing w:line="360" w:lineRule="auto"/>
        <w:jc w:val="left"/>
        <w:rPr>
          <w:rFonts w:hint="eastAsia" w:ascii="仿宋" w:hAnsi="仿宋" w:eastAsia="仿宋" w:cs="宋体"/>
          <w:b/>
          <w:bCs/>
          <w:color w:val="auto"/>
          <w:sz w:val="24"/>
        </w:rPr>
      </w:pPr>
      <w:r>
        <w:rPr>
          <w:rFonts w:hint="eastAsia" w:ascii="仿宋" w:hAnsi="仿宋" w:eastAsia="仿宋" w:cs="宋体"/>
          <w:b/>
          <w:bCs/>
          <w:color w:val="auto"/>
          <w:sz w:val="24"/>
        </w:rPr>
        <w:t>25、磋商供应商资格审查</w:t>
      </w:r>
    </w:p>
    <w:p>
      <w:pPr>
        <w:adjustRightInd w:val="0"/>
        <w:snapToGrid w:val="0"/>
        <w:spacing w:line="360" w:lineRule="auto"/>
        <w:ind w:firstLine="424" w:firstLineChars="177"/>
        <w:rPr>
          <w:rFonts w:hint="eastAsia" w:ascii="仿宋" w:hAnsi="仿宋" w:eastAsia="仿宋" w:cs="宋体"/>
          <w:color w:val="auto"/>
          <w:sz w:val="24"/>
        </w:rPr>
      </w:pPr>
      <w:r>
        <w:rPr>
          <w:rFonts w:hint="eastAsia" w:ascii="仿宋" w:hAnsi="仿宋" w:eastAsia="仿宋" w:cs="宋体"/>
          <w:color w:val="auto"/>
          <w:sz w:val="24"/>
        </w:rPr>
        <w:t>25.1 开标大会第一阶段结束后，采购人或采购代理机构首先依法对各磋商供应商的资格进行审查，审查各磋商供应商的资格是否满足磋商文件的要求。采购人或采购代理机构对磋商供应商所提交的资格证明材料仅负审核的责任。如发现磋商供应商所提交的资格证明材料不合法或与事实不符，采购人可取消其成交资格并追究磋商供应商的法律责任。</w:t>
      </w:r>
    </w:p>
    <w:p>
      <w:pPr>
        <w:adjustRightInd w:val="0"/>
        <w:snapToGrid w:val="0"/>
        <w:spacing w:line="360" w:lineRule="auto"/>
        <w:ind w:firstLine="424" w:firstLineChars="177"/>
        <w:rPr>
          <w:rFonts w:hint="eastAsia" w:ascii="仿宋" w:hAnsi="仿宋" w:eastAsia="仿宋" w:cs="宋体"/>
          <w:color w:val="auto"/>
          <w:sz w:val="24"/>
        </w:rPr>
      </w:pPr>
      <w:r>
        <w:rPr>
          <w:rFonts w:hint="eastAsia" w:ascii="仿宋" w:hAnsi="仿宋" w:eastAsia="仿宋" w:cs="宋体"/>
          <w:color w:val="auto"/>
          <w:sz w:val="24"/>
        </w:rPr>
        <w:t>25.2 磋商供应商提交的资格证明材料无法证明其符合磋商文件规定的“磋商供应商资格要求”的，采购人或采购代理机构将对其作资格审查不通过处理（无效投标），并不再将其投标提交磋商小组进行后续评审。</w:t>
      </w:r>
    </w:p>
    <w:p>
      <w:pPr>
        <w:adjustRightInd w:val="0"/>
        <w:snapToGrid w:val="0"/>
        <w:spacing w:line="360" w:lineRule="auto"/>
        <w:ind w:firstLine="424" w:firstLineChars="177"/>
        <w:rPr>
          <w:rFonts w:hint="eastAsia" w:ascii="仿宋" w:hAnsi="仿宋" w:eastAsia="仿宋" w:cs="宋体"/>
          <w:color w:val="auto"/>
          <w:sz w:val="24"/>
        </w:rPr>
      </w:pPr>
      <w:r>
        <w:rPr>
          <w:rFonts w:hint="eastAsia" w:ascii="仿宋" w:hAnsi="仿宋" w:eastAsia="仿宋" w:cs="宋体"/>
          <w:color w:val="auto"/>
          <w:sz w:val="24"/>
        </w:rPr>
        <w:t>25.3 单位负责人为同一人或者存在直接控股、管理关系的不同供应商参加同一合同项下的政府采购活动的，相关磋商供应商均作资格无效处理。</w:t>
      </w:r>
    </w:p>
    <w:p>
      <w:pPr>
        <w:pStyle w:val="15"/>
        <w:adjustRightInd w:val="0"/>
        <w:snapToGrid w:val="0"/>
        <w:spacing w:before="156" w:afterLines="0" w:line="360" w:lineRule="auto"/>
        <w:jc w:val="center"/>
        <w:outlineLvl w:val="1"/>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六、评标</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26、评审工作的组织</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采购人或采购代理机构负责组织本项目的评审工作，并依据《政府采购货物和服务招标投标管理办法（财政部第87号令）》第四十五条的相关规定履行职责。</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27、磋商小组的组建</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27.1 磋商小组由采购人或采购代理机构依法组建，成员包括采购人代表和评审专家，成员人数为3人或以上单数，其中评审专家不少于成员总数的三分之二。</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27.2 磋商小组成员名单在评审结果（采购结果）公告前保密。</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28、磋商小组的职责</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28.1 磋商小组负责具体评审事务，并独立履行下列职责：</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（1）审查、评价磋商响应文件是否符合磋商文件的商务、技术等实质性要求；</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（2）要求磋商供应商对磋商响应文件有关事项作出澄清或者说明；</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（3）对磋商响应文件进行比较和评价；</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（4）确定成交候选人名单，以及根据采购人委托直接确定成交人；</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（5）向采购人、采购代理机构或者有关部门报告评审中发现的违法行为。</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29、评审原则与方法</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29.1 评审原则</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（1）竞争优选；</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（2）坚持公开、公平、公正、科学合理的原则；</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（3）反对不正当竞争。</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29.2 磋商小组将遵循评审原则的前提下，对磋商供应商提供的磋商响应文件的资格条件、商务文件、基本情况、项目管理班子、人员配备、履约能力等进行综合分析评定。</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29.3 客观、公正的对待所有磋商供应商，均采用相同的程序和标准，依据磋商评审程序，被拒绝的磋商供应商不在此列。</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29.4 在磋商期间，磋商供应商不得向磋商小组成员询问与其无关的情况，不得进行旨在影响磋商结果的活动，否则将取消其磋商资格。</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29.5 在磋商过程中，磋商小组成员不得与磋商供应商私下交换意见，在竞争性磋商工作结束后，磋商小组成员或知情者应严格保密，不得将磋商评审情况告诉与之无关的人(包括磋商供应商）。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lang w:val="zh-CN"/>
        </w:rPr>
      </w:pPr>
      <w:r>
        <w:rPr>
          <w:rFonts w:hint="eastAsia" w:ascii="仿宋_GB2312" w:hAnsi="仿宋" w:eastAsia="仿宋_GB2312" w:cs="仿宋"/>
          <w:color w:val="auto"/>
        </w:rPr>
        <w:t>29.6 在磋商和评审、推荐成交人的过程中，如有磋商供应商联合故意抬高报价或其他不正当行为，采购人有权中止磋商。</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29.7 磋商中，不排除采购人根据磋商情况，分轮对采购需求和磋商要点进行相应修改和完善，并要求磋商供应商进行分轮报价。</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30、评审意见的争议处理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磋商小组成员对需要共同认定的事项存在争议的，按照少数服从多数的原则作出结论。持不同意见的磋商小组成员应当在评审报告上签署不同意见及理由，否则视为同意评审报告。</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31、评委纪律</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磋商小组成员必须严格遵守保密规定，不得泄露评审的有关情况，任何单位和个人不得干扰、影响评标的正常进行，磋商小组成员不得私下与磋商供应商接触，不得出现《浙江省政府采购活动现场组织管理办法》中规定的其他禁止行为。</w:t>
      </w:r>
    </w:p>
    <w:p>
      <w:pPr>
        <w:pStyle w:val="15"/>
        <w:numPr>
          <w:ilvl w:val="0"/>
          <w:numId w:val="7"/>
        </w:numPr>
        <w:adjustRightInd w:val="0"/>
        <w:snapToGrid w:val="0"/>
        <w:spacing w:beforeLines="0" w:afterLines="0" w:line="360" w:lineRule="auto"/>
        <w:rPr>
          <w:rFonts w:hint="eastAsia" w:ascii="仿宋" w:hAnsi="仿宋" w:eastAsia="仿宋" w:cs="仿宋"/>
          <w:b/>
          <w:color w:val="auto"/>
          <w:kern w:val="0"/>
          <w:lang w:val="zh-CN"/>
        </w:rPr>
      </w:pPr>
      <w:r>
        <w:rPr>
          <w:rFonts w:hint="eastAsia" w:ascii="仿宋" w:hAnsi="仿宋" w:eastAsia="仿宋" w:cs="仿宋"/>
          <w:b/>
          <w:color w:val="auto"/>
          <w:kern w:val="0"/>
          <w:lang w:val="zh-CN"/>
        </w:rPr>
        <w:t>磋商程序</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磋商程序依据</w:t>
      </w:r>
      <w:r>
        <w:rPr>
          <w:rFonts w:hint="eastAsia" w:ascii="仿宋_GB2312" w:hAnsi="仿宋" w:eastAsia="仿宋_GB2312" w:cs="仿宋"/>
          <w:color w:val="auto"/>
          <w:lang w:val="zh-CN"/>
        </w:rPr>
        <w:t>《政府采购竞争性磋商采购方式管理暂行办法》</w:t>
      </w:r>
      <w:r>
        <w:rPr>
          <w:rFonts w:hint="eastAsia" w:ascii="仿宋_GB2312" w:hAnsi="仿宋" w:eastAsia="仿宋_GB2312" w:cs="仿宋"/>
          <w:color w:val="auto"/>
        </w:rPr>
        <w:t>及相关法规、规章等执行。根据公开、公平、公正、诚信科学的原则，组织磋商采购。具体工作流程如下：</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32.1 资格性检查及符合性检查</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依据竞争性磋商磋商文件的规定，对所有通过资格审查的磋商供应商的磋商响应文件进行初步审查，审查、评价磋商响应文件是否符合磋商文件的商务、技术、服务等实质性要求，以确定是否对磋商文件的实质性要求作出响应。具体内容如下：</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（1）磋商供应商资格是否符合国家有关规定或磋商文件载明的相关资格条件规定；</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（2）磋商响应文件的签署、盖章情况；</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（3）是否按规定的格式填写，内容无不全，无字迹或复印件模糊难以辨认的；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（4）磋商供应商是否有欺诈行为参加磋商的；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（5）磋商供应商的提供的服务是否完全满足采购需求；</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（6）以联合体形式进行政府采购的，磋商响应文件内未提交联合协议的；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（7）法律、法规规定及磋商文件规定的其它无效或拒绝情况的。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32.2 磋商响应文件的澄清、说明或补正</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32.2.1 对于磋商响应文件中含义不明确、同类问题表述不一致或者有明显文字和计算错误的内容，磋商小组将以书面形式（或通过“政府采购云平台”在线询标）的形式要求磋商供应商在规定的时间内作出必要的澄清、说明或者补正，磋商供应商澄清、说明或补正时间为30分钟。</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32.2.2 磋商供应商的澄清、说明或者补正应当采用书面（或通过“政府采购云平台”在线答复）形式提交，并加盖公章，或者由法定代表人或其授权的代表签字。磋商供应商的澄清、说明或者补正不得超出磋商响应文件的范围或者改变磋商响应文件的实质性内容。</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32.3 磋商响应文件的错误修正</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32.3.1 《磋商响应文件》如果出现计算或表达上的错误，修正错误的原则如下：</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（1）磋商响应文件中开标一览表（报价表）内容与磋商响应文件中相应内容不一致的，以开标一览表（报价表）为准。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（2）《磋商响应文件》的大写金额和小写金额不一致的，以大写金额为准；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（3）单价金额小数点或者百分比有明显错位的，应以开标一览表（报价表）的总价为准，并修改单价；</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（4）总价金额与按单价汇总金额不一致的，以单价金额计算结果为准。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同时出现两种以上不一致的，按照前款规定的顺序修正。修正后的报价按照财政部第87号令 《政府采购货物和服务招标投标管理办法》第五十一条第二款的规定经磋商供应商确认后产生约束力。</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32.3.2 对不同文字文本《磋商响应文件》的解释发生异议的，以中文文本为准。</w:t>
      </w:r>
    </w:p>
    <w:p>
      <w:pPr>
        <w:pStyle w:val="15"/>
        <w:adjustRightInd w:val="0"/>
        <w:snapToGrid w:val="0"/>
        <w:spacing w:beforeLines="0" w:afterLines="0" w:line="360" w:lineRule="auto"/>
        <w:ind w:firstLine="482" w:firstLineChars="200"/>
        <w:rPr>
          <w:rFonts w:hint="eastAsia" w:ascii="仿宋" w:hAnsi="仿宋" w:eastAsia="仿宋" w:cs="仿宋"/>
          <w:b/>
          <w:bCs/>
          <w:color w:val="auto"/>
          <w:kern w:val="0"/>
        </w:rPr>
      </w:pPr>
      <w:r>
        <w:rPr>
          <w:rFonts w:hint="eastAsia" w:ascii="仿宋" w:hAnsi="仿宋" w:eastAsia="仿宋" w:cs="仿宋"/>
          <w:b/>
          <w:bCs/>
          <w:color w:val="auto"/>
          <w:kern w:val="0"/>
        </w:rPr>
        <w:t xml:space="preserve">32.4 磋商小组审阅磋商文件和磋商响应文件； </w:t>
      </w:r>
    </w:p>
    <w:p>
      <w:pPr>
        <w:pStyle w:val="15"/>
        <w:adjustRightInd w:val="0"/>
        <w:snapToGrid w:val="0"/>
        <w:spacing w:beforeLines="0" w:afterLines="0" w:line="360" w:lineRule="auto"/>
        <w:ind w:firstLine="482" w:firstLineChars="200"/>
        <w:rPr>
          <w:rFonts w:hint="eastAsia" w:ascii="仿宋" w:hAnsi="仿宋" w:eastAsia="仿宋" w:cs="仿宋"/>
          <w:b/>
          <w:bCs/>
          <w:color w:val="auto"/>
          <w:kern w:val="0"/>
        </w:rPr>
      </w:pPr>
      <w:r>
        <w:rPr>
          <w:rFonts w:hint="eastAsia" w:ascii="仿宋" w:hAnsi="仿宋" w:eastAsia="仿宋" w:cs="仿宋"/>
          <w:b/>
          <w:bCs/>
          <w:color w:val="auto"/>
          <w:kern w:val="0"/>
        </w:rPr>
        <w:t>32.5 供应商逐家回答磋商小组的提问；</w:t>
      </w:r>
    </w:p>
    <w:p>
      <w:pPr>
        <w:pStyle w:val="15"/>
        <w:adjustRightInd w:val="0"/>
        <w:snapToGrid w:val="0"/>
        <w:spacing w:beforeLines="0" w:afterLines="0" w:line="360" w:lineRule="auto"/>
        <w:ind w:firstLine="482" w:firstLineChars="200"/>
        <w:rPr>
          <w:rFonts w:hint="eastAsia" w:ascii="仿宋" w:hAnsi="仿宋" w:eastAsia="仿宋" w:cs="仿宋"/>
          <w:b/>
          <w:bCs/>
          <w:color w:val="auto"/>
          <w:kern w:val="0"/>
        </w:rPr>
      </w:pPr>
      <w:r>
        <w:rPr>
          <w:rFonts w:hint="eastAsia" w:ascii="仿宋" w:hAnsi="仿宋" w:eastAsia="仿宋" w:cs="仿宋"/>
          <w:b/>
          <w:bCs/>
          <w:color w:val="auto"/>
          <w:kern w:val="0"/>
        </w:rPr>
        <w:t>32.6 磋商文件有实质性变动的，磋商小组将通过“政府采购云平台”在线询标的形式通知所有参加磋商的供应商。</w:t>
      </w:r>
    </w:p>
    <w:p>
      <w:pPr>
        <w:pStyle w:val="15"/>
        <w:adjustRightInd w:val="0"/>
        <w:snapToGrid w:val="0"/>
        <w:spacing w:beforeLines="0" w:afterLines="0" w:line="360" w:lineRule="auto"/>
        <w:ind w:firstLine="480" w:firstLineChars="200"/>
        <w:rPr>
          <w:rFonts w:hint="eastAsia" w:ascii="仿宋" w:hAnsi="仿宋" w:eastAsia="仿宋" w:cs="仿宋"/>
          <w:b/>
          <w:color w:val="auto"/>
          <w:kern w:val="0"/>
        </w:rPr>
      </w:pPr>
      <w:r>
        <w:rPr>
          <w:rFonts w:hint="eastAsia" w:ascii="仿宋" w:hAnsi="仿宋" w:eastAsia="仿宋" w:cs="仿宋"/>
          <w:color w:val="auto"/>
          <w:kern w:val="0"/>
        </w:rPr>
        <w:t>32.7 磋商小组将对确定为实质性响应本磋商文件的磋商响应文件进行详细评价和比较，主要就商务报价、企业资信、服务方案内容、服务承诺等磋商小组认为与本次采购有关的因素与磋商供应商逐一进行磋商。</w:t>
      </w:r>
      <w:r>
        <w:rPr>
          <w:rFonts w:hint="eastAsia" w:ascii="仿宋" w:hAnsi="仿宋" w:eastAsia="仿宋" w:cs="仿宋"/>
          <w:b/>
          <w:bCs/>
          <w:color w:val="auto"/>
          <w:kern w:val="0"/>
        </w:rPr>
        <w:t>磋商供应商的商务报价在最终报价提交后已邮件形式告知磋商供应商，并由磋商供应商签字确认回传给采购代理机构。</w:t>
      </w:r>
      <w:r>
        <w:rPr>
          <w:rFonts w:hint="eastAsia" w:ascii="仿宋" w:hAnsi="仿宋" w:eastAsia="仿宋" w:cs="仿宋"/>
          <w:b/>
          <w:color w:val="auto"/>
          <w:kern w:val="0"/>
        </w:rPr>
        <w:t>逐家磋商一次为一个轮次，磋商轮次根据实际情况进行。</w:t>
      </w:r>
    </w:p>
    <w:p>
      <w:pPr>
        <w:pStyle w:val="15"/>
        <w:adjustRightInd w:val="0"/>
        <w:snapToGrid w:val="0"/>
        <w:spacing w:beforeLines="0" w:afterLines="0" w:line="360" w:lineRule="auto"/>
        <w:ind w:firstLine="480" w:firstLineChars="200"/>
        <w:rPr>
          <w:rFonts w:hint="eastAsia" w:ascii="仿宋" w:hAnsi="仿宋" w:eastAsia="仿宋" w:cs="仿宋"/>
          <w:color w:val="auto"/>
          <w:kern w:val="0"/>
        </w:rPr>
      </w:pPr>
      <w:r>
        <w:rPr>
          <w:rFonts w:hint="eastAsia" w:ascii="仿宋" w:hAnsi="仿宋" w:eastAsia="仿宋" w:cs="仿宋"/>
          <w:color w:val="auto"/>
          <w:kern w:val="0"/>
        </w:rPr>
        <w:t>磋商供应商逐家按照磋商小组规定的有效时间内在线回答磋商小组的提问；磋商小组根据各磋商供应商问题回复情况对商务技术部分打分。通过磋商并经澄清后，磋商供应商按照磋商小组规定的有效时间内在线报价，并通过邮件形式发送给采购代理机构经授权代表签字确认后的《开标一览表》。磋商供应商的最终报价及磋商承诺文件将被视为确定成交的最终依据。依据最终报价，磋商小组计算供应商商务得分。</w:t>
      </w:r>
    </w:p>
    <w:p>
      <w:pPr>
        <w:pStyle w:val="15"/>
        <w:adjustRightInd w:val="0"/>
        <w:snapToGrid w:val="0"/>
        <w:spacing w:beforeLines="0" w:afterLines="0" w:line="360" w:lineRule="auto"/>
        <w:ind w:firstLine="480" w:firstLineChars="200"/>
        <w:rPr>
          <w:rFonts w:hint="eastAsia" w:ascii="仿宋" w:hAnsi="仿宋" w:eastAsia="仿宋" w:cs="仿宋"/>
          <w:color w:val="auto"/>
          <w:kern w:val="0"/>
        </w:rPr>
      </w:pPr>
      <w:r>
        <w:rPr>
          <w:rFonts w:hint="eastAsia" w:ascii="仿宋" w:hAnsi="仿宋" w:eastAsia="仿宋" w:cs="仿宋"/>
          <w:color w:val="auto"/>
          <w:kern w:val="0"/>
        </w:rPr>
        <w:t>磋商小组对磋商的情况进行综合评议，依据综合得分由高到低顺序排列，形成竞争性磋商评审报告。</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33、磋商响应文件有下列情况之一者将视为无效：</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33.1 商务、技术文件符合性审查中，存在下列情形之一的，经磋商小组认定后作无效标处理：</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bookmarkStart w:id="4" w:name="_Toc33194396"/>
      <w:bookmarkEnd w:id="4"/>
      <w:r>
        <w:rPr>
          <w:rFonts w:hint="eastAsia" w:ascii="仿宋_GB2312" w:hAnsi="仿宋" w:eastAsia="仿宋_GB2312" w:cs="仿宋"/>
          <w:b/>
          <w:bCs/>
          <w:color w:val="auto"/>
        </w:rPr>
        <w:t>（1）磋商响应文件未有效授权，法定代表人授权委托书等填写不完整或错误的；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（2）磋商响应文件没有对本磋商文件作出实质性响应的，或不满足（不响应）本磋商文件成交注“▲”的实质性要求条款的，或存在磋商文件中明确规定的其他无效标情形的；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（3）磋商响应文件存在一个或一个以上备选（替代）投标方案的；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（4）仅提交“备份磋商响应文件”的；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（5）文件组成内容不齐全，本磋商文件规定必须提供而未提供的；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（6）磋商响应文件标注的响应或偏离情况与事实不符，或提供了虚假材料的；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（7）不响应或擅自改变本磋商文件要求或磋商响应文件有采购人不能接受的附加条件的；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（8）参加同一合同项下政府采购活动的不同供应商之间存在利害关系并且存在影响政府采购公平竞争行为的；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bookmarkStart w:id="5" w:name="_Toc33194398"/>
      <w:bookmarkEnd w:id="5"/>
      <w:bookmarkStart w:id="6" w:name="_Toc33194397"/>
      <w:bookmarkEnd w:id="6"/>
      <w:r>
        <w:rPr>
          <w:rFonts w:hint="eastAsia" w:ascii="仿宋_GB2312" w:hAnsi="仿宋" w:eastAsia="仿宋_GB2312" w:cs="仿宋"/>
          <w:b/>
          <w:bCs/>
          <w:color w:val="auto"/>
        </w:rPr>
        <w:t>（9）采购人拟采购的产品如属于品目清单范围内的强制采购品目的，磋商供应商未能在响应文件中提供国家确定的认证机构出具的、处于有效期之内的该产品节能产品、环境标志产品认证证书；</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（10）违反国家或政府部门相关法律、法规、文件规定的。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33.2报价文件符合性审查中，存在下列情形之一的，经磋商小组认定后作无效标处理：</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（1）磋商响应文件没有对本磋商文件作出实质性响应的，或不满足（不响应）本磋商文件注“▲”的实质性要求条款的，或存在磋商文件中明确规定的其他无效标情形的；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（2）磋商响应文件存在一个或一个以上备选（替代）投标方案的；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（3）未按照磋商文件标明的币种报价的，或者磋商报价涵盖的内容不符合磋商文件要求的；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（4）《开标一览表》内容与《报价明细表》内容不一致且拒不接受修正的；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（5）投标报价具有选择性，唱标价格与《磋商响应文件》承诺的优惠（折扣）后价格不一致的；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（6）投标报价超过采购预算或限价的；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（7）仅提交“备份磋商响应文件”的；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（8）磋商响应文件组成内容不齐全，本磋商文件规定必须提供而未提供的（属于资格审查范围的除外）；</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（9）磋商响应文件标注的响应或偏离情况与事实不符，或提供了虚假材料的；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（10）不响应或擅自改变本磋商文件要求或磋商响应文件有采购人不能接受的附加条件的；</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11）磋商小组认为供应商报价明显低于其他合格供应商的报价，有可能影响产品或服务质量或者不能诚信履约的，应当要求其在合理时间内提供书面说明，必要时提供相关证明材料；磋商供应商不能证明其报价合理性的，磋商小组应当将其作为无效磋商响应或者无效响应处理；</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（12）违反国家或政府部门相关法律、法规、文件规定的。</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34、磋商响应文件的评估、比较、评分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34.1 磋商小组应当按照磋商文件中规定的评审方法和标准，对符合性审查合格的磋商响应文件进行商务和技术评估，综合比较与评价。评标时，磋商小组各成员将独立对每个磋商供应商的磋商响应文件进行评价，并汇总每个磋商供应商的得分。评审细则详见评标办法。</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34.2 对采购代理机构工作人员汇总的评审结果进行确认。如发现分值汇总计算错误、分项评分超出评分标准范围、客观评分不一致以及存在畸高、畸低（其总评分偏离平均分30%以上的）情形的，</w:t>
      </w:r>
      <w:r>
        <w:rPr>
          <w:rFonts w:hint="eastAsia" w:ascii="仿宋" w:hAnsi="仿宋" w:eastAsia="仿宋" w:cs="仿宋"/>
          <w:color w:val="auto"/>
        </w:rPr>
        <w:t>磋商小组</w:t>
      </w:r>
      <w:r>
        <w:rPr>
          <w:rFonts w:hint="eastAsia" w:ascii="仿宋_GB2312" w:hAnsi="仿宋" w:eastAsia="仿宋_GB2312" w:cs="仿宋"/>
          <w:color w:val="auto"/>
        </w:rPr>
        <w:t>组长应提醒相关评审人员当场改正或书面说明理由，拒不改正又不作书面说明的，由现场监督员如实记载后存入项目档案资料。</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35、修改评审结果</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35.1 评标结果汇总完成后，除下列情形外，任何人不得修改评标结果：</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（1）分值汇总计算错误的；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（2）分项评分超出评分标准范围的；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（3）磋商小组成员对客观评审因素评分不一致的；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（4）经磋商小组认定评分畸高、畸低的。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35.2 评标报告签署前，经复核发现存在以上情形之一的，磋商小组将当场修改评标结果，并在评标报告中记载。</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36、供应商排序及推荐成交（成交）候选人</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磋商小组根据以下规定确定供应商排名并推荐成交（成交）候选人。</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36.1 磋商小组根据各磋商供应商的综合得分（商务技术分与报价得分之和）从高到低依次进行排名排序。特殊情形按以下原则处理：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（1）综合得分相同的，按磋商报价低的优先原则确定排名；</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（2）综合得分和磋商报价均相同的，按技术资信得分从高到低确定排名；</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（3）综合得分、磋商报价和技术资信得分均相同的由磋商小组全体成员记名投票按少数服从多数的原则确定排名。</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36.2 根据最终得分排序，通过书面评审报告的形式，向采购人推荐排名第一的磋商供应商为成交（成交）候选人。</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37、起草、签署评审报告</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评审结束后，磋商小组将通过“政府采购云平台”起草评审报告，磋商小组成员应当在评审报告上签字，对自己的评审意见承担法律责任。对评审报告有异议的，应当在评审报告上签署不同意见，并说明理由，否则视为同意评审报告。</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38、评标内容的保密</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38.1 公开开标后，直到宣布成交人为止，凡属于审查、澄清、评价和比较磋商的所有资料，都不应向磋商供应商或与评标无关的其他人泄露。</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38.2 在磋商响应文件的审查、澄清、评价和比较以及确定成交人过程中，磋商供应商对采购人、采购代理机构和磋商小组施加影响的任何行为，都将导致取消资格。</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39、废标</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在采购中，出现下列情形之一的，应予废标：</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（1）因情况变化，不再符合规定的竞争性磋商采购方式适用情形的；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（2）出现影响采购公正的违法、违规行为的；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（3）磋商供应商的报价均超过了采购预算，采购人不能支付的；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（4）因重大变故，采购任务取消的；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（5）根据财库〔2015〕124号文件规定：采用竞争性磋商采购方式的政府购买服务项目(含政府和社会资本合作项目），在采购过程中符合要求的供应商(社会资本）不足2家的。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废标后，采购人应当将废标理由通知所有磋商供应商。</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rPr>
        <w:t>40、可中止电子交易活动的情形</w:t>
      </w:r>
    </w:p>
    <w:p>
      <w:pPr>
        <w:pStyle w:val="15"/>
        <w:adjustRightInd w:val="0"/>
        <w:snapToGrid w:val="0"/>
        <w:spacing w:beforeLines="0" w:afterLines="0" w:line="360" w:lineRule="auto"/>
        <w:ind w:firstLine="482" w:firstLineChars="200"/>
        <w:rPr>
          <w:rFonts w:hint="eastAsia" w:ascii="仿宋_GB2312" w:hAnsi="仿宋" w:eastAsia="仿宋_GB2312" w:cs="仿宋"/>
          <w:b/>
          <w:bCs/>
          <w:color w:val="auto"/>
        </w:rPr>
      </w:pPr>
      <w:r>
        <w:rPr>
          <w:rFonts w:hint="eastAsia" w:ascii="仿宋_GB2312" w:hAnsi="仿宋" w:eastAsia="仿宋_GB2312" w:cs="仿宋"/>
          <w:b/>
          <w:bCs/>
          <w:color w:val="auto"/>
        </w:rPr>
        <w:t>采购过程中出现以下情形，导致电子交易平台无法正常运行，或者无法保证电子交易的公平、公正和安全时，采购代理机构可中止电子交易活动：</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40.1 电子交易平台发生故障而无法登录访问的；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40.2 电子交易平台应用或数据库出现错误，不能进行正常操作的；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40.3 电子交易平台发现严重安全漏洞，有潜在泄密危险的；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40.4 病毒发作导致不能进行正常操作的；</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40.5 其他无法保证电子交易的公平、公正和安全的情况。</w:t>
      </w:r>
    </w:p>
    <w:p>
      <w:pPr>
        <w:pStyle w:val="15"/>
        <w:adjustRightInd w:val="0"/>
        <w:snapToGrid w:val="0"/>
        <w:spacing w:beforeLines="0" w:afterLines="0" w:line="360" w:lineRule="auto"/>
        <w:ind w:firstLine="480" w:firstLineChars="200"/>
        <w:rPr>
          <w:rFonts w:hint="eastAsia" w:ascii="仿宋_GB2312" w:hAnsi="仿宋" w:eastAsia="仿宋_GB2312" w:cs="仿宋"/>
          <w:color w:val="auto"/>
        </w:rPr>
      </w:pPr>
      <w:r>
        <w:rPr>
          <w:rFonts w:hint="eastAsia" w:ascii="仿宋_GB2312" w:hAnsi="仿宋" w:eastAsia="仿宋_GB2312" w:cs="仿宋"/>
          <w:color w:val="auto"/>
        </w:rPr>
        <w:t>出现前款规定情形，不影响采购公平、公正性的，采购代理机构可以待上述情形消除后继续组织电子交易活动；影响或可能影响采购公平、公正性的，应当重新采购。</w:t>
      </w:r>
    </w:p>
    <w:p>
      <w:pPr>
        <w:pStyle w:val="15"/>
        <w:adjustRightInd w:val="0"/>
        <w:snapToGrid w:val="0"/>
        <w:spacing w:before="156" w:afterLines="0" w:line="360" w:lineRule="auto"/>
        <w:jc w:val="center"/>
        <w:outlineLvl w:val="1"/>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七、定标及合同授予</w:t>
      </w:r>
    </w:p>
    <w:p>
      <w:pPr>
        <w:adjustRightInd w:val="0"/>
        <w:snapToGrid w:val="0"/>
        <w:spacing w:line="360" w:lineRule="auto"/>
        <w:rPr>
          <w:rFonts w:hint="eastAsia" w:ascii="仿宋_GB2312" w:hAnsi="仿宋" w:eastAsia="仿宋_GB2312" w:cs="仿宋"/>
          <w:b/>
          <w:bCs/>
          <w:color w:val="auto"/>
          <w:sz w:val="24"/>
        </w:rPr>
      </w:pPr>
      <w:r>
        <w:rPr>
          <w:rFonts w:hint="eastAsia" w:ascii="仿宋_GB2312" w:hAnsi="仿宋" w:eastAsia="仿宋_GB2312" w:cs="仿宋"/>
          <w:b/>
          <w:bCs/>
          <w:color w:val="auto"/>
          <w:sz w:val="24"/>
        </w:rPr>
        <w:t>41、确定成交供应商</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41.1 本项目由磋商小组推荐预成交供应商，采购结果由采购人确认。</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41.2 采购结果经采购人确认后，采购代理机构将于5个工作日内在浙江省政府采购指定媒体上发布成交公告，并向成交人签发书面《成交通知书》。</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41.3 如成交人拒绝承担成交的项目，或提出采购人不能接受的条件，致使合同无法签订，采购人将取消其成交资格，并根据磋商小组推荐的成交候选人先后顺序，将下一顺序的成交候选人作为预成交人进行公示，或由采购人组织磋商小组复议后提出重新组织采购等建议。</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41.4 如签订合同并生效后，供应商无故拒绝或延期，除按照合同条款处罚外，列入不良行为记录一次，并给予通报。</w:t>
      </w:r>
    </w:p>
    <w:p>
      <w:pPr>
        <w:adjustRightInd w:val="0"/>
        <w:snapToGrid w:val="0"/>
        <w:spacing w:line="360" w:lineRule="auto"/>
        <w:rPr>
          <w:rFonts w:hint="eastAsia" w:ascii="仿宋_GB2312" w:hAnsi="仿宋" w:eastAsia="仿宋_GB2312" w:cs="仿宋"/>
          <w:b/>
          <w:bCs/>
          <w:color w:val="auto"/>
          <w:sz w:val="24"/>
        </w:rPr>
      </w:pPr>
      <w:r>
        <w:rPr>
          <w:rFonts w:hint="eastAsia" w:ascii="仿宋_GB2312" w:hAnsi="仿宋" w:eastAsia="仿宋_GB2312" w:cs="仿宋"/>
          <w:b/>
          <w:bCs/>
          <w:color w:val="auto"/>
          <w:sz w:val="24"/>
        </w:rPr>
        <w:t>42、签订合同</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42.1 采购人与成交人应当在成交通知书发出之日起三十日内，按照磋商文件确定的事项签订政府采购合同。成交人未在规定时间内签订合同的，采购人有权要求成交人赔偿其未签订合同所造成的损失。</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42.2 成交人按规定的日期、时间、地点，由法定代表人或其授权代表与采购人代表签订合同。如成交人为联合体的，由联合体成员各方法定代表人或其授权代表与采购人代表签订合同。</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42.3 如签订合同并生效后，供应商无故拒绝或延期，除按照合同条款处理外，列入不良行为记录一次，并给予通报。</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42.4 成交人拒绝与采购人签订合同的，采购人可以重新开展政府采购活动。</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42.5 存在下列行为的，采购代理机构将其失信行为上报政府采购主管部门，由主管部门按有关规定对其违法失信行为记录进行公开：</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（1）成交或者成交后，拒绝签订政府采购合同的；</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（2）磋商有效期内撤销磋商响应文件的。</w:t>
      </w:r>
    </w:p>
    <w:p>
      <w:pPr>
        <w:adjustRightInd w:val="0"/>
        <w:snapToGrid w:val="0"/>
        <w:spacing w:line="360" w:lineRule="auto"/>
        <w:rPr>
          <w:rFonts w:hint="eastAsia" w:ascii="仿宋_GB2312" w:hAnsi="仿宋" w:eastAsia="仿宋_GB2312" w:cs="仿宋"/>
          <w:b/>
          <w:bCs/>
          <w:color w:val="auto"/>
          <w:sz w:val="24"/>
          <w:lang w:val="zh-CN"/>
        </w:rPr>
      </w:pPr>
      <w:r>
        <w:rPr>
          <w:rFonts w:hint="eastAsia" w:ascii="仿宋_GB2312" w:hAnsi="仿宋" w:eastAsia="仿宋_GB2312" w:cs="仿宋"/>
          <w:b/>
          <w:bCs/>
          <w:color w:val="auto"/>
          <w:sz w:val="24"/>
        </w:rPr>
        <w:t>43、采购方式改变</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在符合资格的磋商供应商不足规定数量或磋商供应商提供的服务及其报价、服务承诺等不能满足采购人要求，以及招标过程中出现其他不正常情况时，经批准，采购代理机构</w:t>
      </w:r>
      <w:r>
        <w:rPr>
          <w:rFonts w:hint="eastAsia" w:ascii="仿宋_GB2312" w:hAnsi="仿宋" w:eastAsia="仿宋_GB2312" w:cs="仿宋"/>
          <w:color w:val="auto"/>
          <w:sz w:val="24"/>
          <w:lang w:val="zh-CN"/>
        </w:rPr>
        <w:t>将根据《政府采购货物和服务招标投标管理办法》(财政部第</w:t>
      </w:r>
      <w:r>
        <w:rPr>
          <w:rFonts w:hint="eastAsia" w:ascii="仿宋_GB2312" w:hAnsi="仿宋" w:eastAsia="仿宋_GB2312" w:cs="仿宋"/>
          <w:color w:val="auto"/>
          <w:sz w:val="24"/>
        </w:rPr>
        <w:t>87</w:t>
      </w:r>
      <w:r>
        <w:rPr>
          <w:rFonts w:hint="eastAsia" w:ascii="仿宋_GB2312" w:hAnsi="仿宋" w:eastAsia="仿宋_GB2312" w:cs="仿宋"/>
          <w:color w:val="auto"/>
          <w:sz w:val="24"/>
          <w:lang w:val="zh-CN"/>
        </w:rPr>
        <w:t>号令)，</w:t>
      </w:r>
      <w:r>
        <w:rPr>
          <w:rFonts w:hint="eastAsia" w:ascii="仿宋_GB2312" w:hAnsi="仿宋" w:eastAsia="仿宋_GB2312" w:cs="仿宋"/>
          <w:color w:val="auto"/>
          <w:sz w:val="24"/>
        </w:rPr>
        <w:t>重新选择合适的方式进行采购。</w:t>
      </w:r>
    </w:p>
    <w:p>
      <w:pPr>
        <w:adjustRightInd w:val="0"/>
        <w:snapToGrid w:val="0"/>
        <w:spacing w:line="360" w:lineRule="auto"/>
        <w:rPr>
          <w:rFonts w:hint="eastAsia" w:ascii="仿宋_GB2312" w:hAnsi="仿宋" w:eastAsia="仿宋_GB2312" w:cs="仿宋"/>
          <w:b/>
          <w:bCs/>
          <w:color w:val="auto"/>
          <w:sz w:val="24"/>
        </w:rPr>
      </w:pPr>
      <w:r>
        <w:rPr>
          <w:rFonts w:hint="eastAsia" w:ascii="仿宋_GB2312" w:hAnsi="仿宋" w:eastAsia="仿宋_GB2312" w:cs="仿宋"/>
          <w:b/>
          <w:bCs/>
          <w:color w:val="auto"/>
          <w:sz w:val="24"/>
        </w:rPr>
        <w:t>44、质疑和投诉</w:t>
      </w:r>
    </w:p>
    <w:p>
      <w:pPr>
        <w:adjustRightInd w:val="0"/>
        <w:snapToGrid w:val="0"/>
        <w:spacing w:line="360" w:lineRule="auto"/>
        <w:ind w:firstLine="482" w:firstLineChars="200"/>
        <w:rPr>
          <w:rFonts w:hint="eastAsia" w:ascii="仿宋_GB2312" w:hAnsi="仿宋" w:eastAsia="仿宋_GB2312" w:cs="仿宋"/>
          <w:b/>
          <w:bCs/>
          <w:color w:val="auto"/>
          <w:sz w:val="24"/>
          <w:lang w:val="zh-CN"/>
        </w:rPr>
      </w:pPr>
      <w:r>
        <w:rPr>
          <w:rFonts w:hint="eastAsia" w:ascii="仿宋_GB2312" w:hAnsi="仿宋" w:eastAsia="仿宋_GB2312" w:cs="仿宋"/>
          <w:b/>
          <w:bCs/>
          <w:color w:val="auto"/>
          <w:sz w:val="24"/>
        </w:rPr>
        <w:t>44</w:t>
      </w:r>
      <w:r>
        <w:rPr>
          <w:rFonts w:hint="eastAsia" w:ascii="仿宋_GB2312" w:hAnsi="仿宋" w:eastAsia="仿宋_GB2312" w:cs="仿宋"/>
          <w:b/>
          <w:bCs/>
          <w:color w:val="auto"/>
          <w:sz w:val="24"/>
          <w:lang w:val="zh-CN"/>
        </w:rPr>
        <w:t>.1</w:t>
      </w:r>
      <w:r>
        <w:rPr>
          <w:rFonts w:hint="eastAsia" w:ascii="仿宋_GB2312" w:hAnsi="仿宋" w:eastAsia="仿宋_GB2312" w:cs="仿宋"/>
          <w:b/>
          <w:bCs/>
          <w:color w:val="auto"/>
          <w:sz w:val="24"/>
        </w:rPr>
        <w:t xml:space="preserve"> </w:t>
      </w:r>
      <w:r>
        <w:rPr>
          <w:rFonts w:hint="eastAsia" w:ascii="仿宋_GB2312" w:hAnsi="仿宋" w:eastAsia="仿宋_GB2312" w:cs="仿宋"/>
          <w:b/>
          <w:bCs/>
          <w:color w:val="auto"/>
          <w:sz w:val="24"/>
          <w:lang w:val="zh-CN"/>
        </w:rPr>
        <w:t>供应商询问</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供应商可以就采购活动中的事项向采购代理机构提出询问，采购代理机构将对此作出答复，答复的内容不得涉及须保密的内容和商业秘密。</w:t>
      </w:r>
    </w:p>
    <w:p>
      <w:pPr>
        <w:adjustRightInd w:val="0"/>
        <w:snapToGrid w:val="0"/>
        <w:spacing w:line="360" w:lineRule="auto"/>
        <w:ind w:firstLine="482" w:firstLineChars="200"/>
        <w:rPr>
          <w:rFonts w:hint="eastAsia" w:ascii="仿宋_GB2312" w:hAnsi="仿宋" w:eastAsia="仿宋_GB2312" w:cs="仿宋"/>
          <w:b/>
          <w:bCs/>
          <w:color w:val="auto"/>
          <w:sz w:val="24"/>
          <w:lang w:val="zh-CN"/>
        </w:rPr>
      </w:pPr>
      <w:r>
        <w:rPr>
          <w:rFonts w:hint="eastAsia" w:ascii="仿宋_GB2312" w:hAnsi="仿宋" w:eastAsia="仿宋_GB2312" w:cs="仿宋"/>
          <w:b/>
          <w:bCs/>
          <w:color w:val="auto"/>
          <w:sz w:val="24"/>
        </w:rPr>
        <w:t>44</w:t>
      </w:r>
      <w:r>
        <w:rPr>
          <w:rFonts w:hint="eastAsia" w:ascii="仿宋_GB2312" w:hAnsi="仿宋" w:eastAsia="仿宋_GB2312" w:cs="仿宋"/>
          <w:b/>
          <w:bCs/>
          <w:color w:val="auto"/>
          <w:sz w:val="24"/>
          <w:lang w:val="zh-CN"/>
        </w:rPr>
        <w:t>.2</w:t>
      </w:r>
      <w:r>
        <w:rPr>
          <w:rFonts w:hint="eastAsia" w:ascii="仿宋_GB2312" w:hAnsi="仿宋" w:eastAsia="仿宋_GB2312" w:cs="仿宋"/>
          <w:b/>
          <w:bCs/>
          <w:color w:val="auto"/>
          <w:sz w:val="24"/>
        </w:rPr>
        <w:t xml:space="preserve"> </w:t>
      </w:r>
      <w:r>
        <w:rPr>
          <w:rFonts w:hint="eastAsia" w:ascii="仿宋_GB2312" w:hAnsi="仿宋" w:eastAsia="仿宋_GB2312" w:cs="仿宋"/>
          <w:b/>
          <w:bCs/>
          <w:color w:val="auto"/>
          <w:sz w:val="24"/>
          <w:lang w:val="zh-CN"/>
        </w:rPr>
        <w:t>供应商质疑</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w:t>
      </w:r>
      <w:r>
        <w:rPr>
          <w:rFonts w:hint="eastAsia" w:ascii="仿宋_GB2312" w:hAnsi="仿宋" w:eastAsia="仿宋_GB2312" w:cs="仿宋"/>
          <w:color w:val="auto"/>
          <w:sz w:val="24"/>
        </w:rPr>
        <w:t>.1 提出质疑的供应商应当是参与所质疑项目采购活动的供应商。潜在供应商已依法获取其可质疑的磋商文件的，可以对该文件提出质疑。</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w:t>
      </w:r>
      <w:r>
        <w:rPr>
          <w:rFonts w:hint="eastAsia" w:ascii="仿宋_GB2312" w:hAnsi="仿宋" w:eastAsia="仿宋_GB2312" w:cs="仿宋"/>
          <w:color w:val="auto"/>
          <w:sz w:val="24"/>
        </w:rPr>
        <w:t>.2 供应商认为磋商文件、采购过程和成交结果使自己的权益受到损害的，可以在知道或者应知其权益受到损害之日起七个工作日内，以书面形式向采购人或者采购代理机构提出质疑，否则，采购人或者采购代理机构不予受理：</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1）对磋商文件提出质疑的，质疑期限为供应商获得磋商文件之日或者磋商文件公告期限届满之日起计算。磋商文件在获取截止之日后获得的，应当自磋商文件公告期限届满之日起计算，且应当在采购响应截止时间之前提出。</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2）对采购过程提出质疑的，质疑期限为各采购程序环节结束之日起计算。对同一采购程序环节的质疑，供应商须一次性提出。对采购过程中有关现场考察或开标前答疑会事项提出的质疑，由采购代理机构负责答复；对采购过程中其它事项提出的质疑，原则上由采购代理机构负责答复。</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（3）对采购结果提出质疑的，质疑期限自采购结果公告期限届满之日起计算。对采购结果提出质疑的，采购代理机构负责答复。</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44.2.3 供应商提出质疑应当提交质疑函和必要的证明材料。质疑函应当包括下列内容：</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44.2.3.1 供应商的姓名或者名称、地址、邮编、联系人及联系电话；</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.2.3.2</w:t>
      </w:r>
      <w:r>
        <w:rPr>
          <w:rFonts w:hint="eastAsia" w:ascii="仿宋_GB2312" w:hAnsi="仿宋" w:eastAsia="仿宋_GB2312" w:cs="仿宋"/>
          <w:color w:val="auto"/>
          <w:sz w:val="24"/>
        </w:rPr>
        <w:t xml:space="preserve"> 质疑项目的名称、编号；</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.2.3.3</w:t>
      </w:r>
      <w:r>
        <w:rPr>
          <w:rFonts w:hint="eastAsia" w:ascii="仿宋_GB2312" w:hAnsi="仿宋" w:eastAsia="仿宋_GB2312" w:cs="仿宋"/>
          <w:color w:val="auto"/>
          <w:sz w:val="24"/>
        </w:rPr>
        <w:t xml:space="preserve"> 具体、明确的质疑事项和与质疑事项相关的请求；</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.2.3.4</w:t>
      </w:r>
      <w:r>
        <w:rPr>
          <w:rFonts w:hint="eastAsia" w:ascii="仿宋_GB2312" w:hAnsi="仿宋" w:eastAsia="仿宋_GB2312" w:cs="仿宋"/>
          <w:color w:val="auto"/>
          <w:sz w:val="24"/>
        </w:rPr>
        <w:t xml:space="preserve"> 事实依据；</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.2.3.5</w:t>
      </w:r>
      <w:r>
        <w:rPr>
          <w:rFonts w:hint="eastAsia" w:ascii="仿宋_GB2312" w:hAnsi="仿宋" w:eastAsia="仿宋_GB2312" w:cs="仿宋"/>
          <w:color w:val="auto"/>
          <w:sz w:val="24"/>
        </w:rPr>
        <w:t xml:space="preserve"> 必要的法律依据；</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.2.3.6</w:t>
      </w:r>
      <w:r>
        <w:rPr>
          <w:rFonts w:hint="eastAsia" w:ascii="仿宋_GB2312" w:hAnsi="仿宋" w:eastAsia="仿宋_GB2312" w:cs="仿宋"/>
          <w:color w:val="auto"/>
          <w:sz w:val="24"/>
        </w:rPr>
        <w:t xml:space="preserve"> 提出质疑的日期。</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供应商提交的质疑函需一式三份。供应商为自然人的，应当由本人签字；供应商为法人或者其他组织的，应当由法定代表人、主要负责人，或者其授权代表签字或者盖章，并加盖公章。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w:t>
      </w:r>
      <w:r>
        <w:rPr>
          <w:rFonts w:hint="eastAsia" w:ascii="仿宋_GB2312" w:hAnsi="仿宋" w:eastAsia="仿宋_GB2312" w:cs="仿宋"/>
          <w:color w:val="auto"/>
          <w:sz w:val="24"/>
        </w:rPr>
        <w:t>.4 采购代理机构应当在收到供应商的书面质疑后七个工作日内作出答复，并以书面形式通知质疑供应商和其他与质疑处理结果有利害关系的政府采购当事人，但答复的内容不得涉及须保密的内容和商业秘密。</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w:t>
      </w:r>
      <w:r>
        <w:rPr>
          <w:rFonts w:hint="eastAsia" w:ascii="仿宋_GB2312" w:hAnsi="仿宋" w:eastAsia="仿宋_GB2312" w:cs="仿宋"/>
          <w:color w:val="auto"/>
          <w:sz w:val="24"/>
          <w:lang w:val="zh-CN"/>
        </w:rPr>
        <w:t>.2</w:t>
      </w:r>
      <w:r>
        <w:rPr>
          <w:rFonts w:hint="eastAsia" w:ascii="仿宋_GB2312" w:hAnsi="仿宋" w:eastAsia="仿宋_GB2312" w:cs="仿宋"/>
          <w:color w:val="auto"/>
          <w:sz w:val="24"/>
        </w:rPr>
        <w:t>.5 询问或者质疑事项可能影响采购结果的，采购人应当暂停签订合同，已经签订合同的，应当中止履行合同。</w:t>
      </w:r>
    </w:p>
    <w:p>
      <w:pPr>
        <w:adjustRightInd w:val="0"/>
        <w:snapToGrid w:val="0"/>
        <w:spacing w:line="360" w:lineRule="auto"/>
        <w:ind w:firstLine="482" w:firstLineChars="200"/>
        <w:rPr>
          <w:rFonts w:hint="eastAsia" w:ascii="仿宋_GB2312" w:hAnsi="仿宋" w:eastAsia="仿宋_GB2312" w:cs="仿宋"/>
          <w:b/>
          <w:bCs/>
          <w:color w:val="auto"/>
          <w:sz w:val="24"/>
          <w:lang w:val="zh-CN"/>
        </w:rPr>
      </w:pPr>
      <w:r>
        <w:rPr>
          <w:rFonts w:hint="eastAsia" w:ascii="仿宋_GB2312" w:hAnsi="仿宋" w:eastAsia="仿宋_GB2312" w:cs="仿宋"/>
          <w:b/>
          <w:bCs/>
          <w:color w:val="auto"/>
          <w:sz w:val="24"/>
        </w:rPr>
        <w:t>44</w:t>
      </w:r>
      <w:r>
        <w:rPr>
          <w:rFonts w:hint="eastAsia" w:ascii="仿宋_GB2312" w:hAnsi="仿宋" w:eastAsia="仿宋_GB2312" w:cs="仿宋"/>
          <w:b/>
          <w:bCs/>
          <w:color w:val="auto"/>
          <w:sz w:val="24"/>
          <w:lang w:val="zh-CN"/>
        </w:rPr>
        <w:t>.3</w:t>
      </w:r>
      <w:r>
        <w:rPr>
          <w:rFonts w:hint="eastAsia" w:ascii="仿宋_GB2312" w:hAnsi="仿宋" w:eastAsia="仿宋_GB2312" w:cs="仿宋"/>
          <w:b/>
          <w:bCs/>
          <w:color w:val="auto"/>
          <w:sz w:val="24"/>
        </w:rPr>
        <w:t xml:space="preserve"> </w:t>
      </w:r>
      <w:r>
        <w:rPr>
          <w:rFonts w:hint="eastAsia" w:ascii="仿宋_GB2312" w:hAnsi="仿宋" w:eastAsia="仿宋_GB2312" w:cs="仿宋"/>
          <w:b/>
          <w:bCs/>
          <w:color w:val="auto"/>
          <w:sz w:val="24"/>
          <w:lang w:val="zh-CN"/>
        </w:rPr>
        <w:t>供应商投诉</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44.3.1 质疑供应商对采购代理机构的答复不满意或者采购代理机构未在规定的时间内作出答复的，可以在答复期满后15个工作日内向同级政府采购监督管理部门提出投诉。</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44.3.</w:t>
      </w:r>
      <w:r>
        <w:rPr>
          <w:rFonts w:hint="eastAsia" w:ascii="仿宋_GB2312" w:hAnsi="仿宋" w:eastAsia="仿宋_GB2312" w:cs="仿宋"/>
          <w:color w:val="auto"/>
          <w:sz w:val="24"/>
          <w:lang w:val="zh-CN"/>
        </w:rPr>
        <w:t>2</w:t>
      </w:r>
      <w:r>
        <w:rPr>
          <w:rFonts w:hint="eastAsia" w:ascii="仿宋_GB2312" w:hAnsi="仿宋" w:eastAsia="仿宋_GB2312" w:cs="仿宋"/>
          <w:color w:val="auto"/>
          <w:sz w:val="24"/>
        </w:rPr>
        <w:t xml:space="preserve"> 供应商投诉的事项不得超出已质疑事项的范围，基于质疑答复内容提出的投诉事项除外。</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44.3.3 供应商投诉应当有明确的请求和必要的证明材料。</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44.3.4 以联合体形式参加政府采购活动的，其投诉应当由组成联合体的所有供应商共同提出。</w:t>
      </w:r>
    </w:p>
    <w:p>
      <w:pPr>
        <w:adjustRightInd w:val="0"/>
        <w:snapToGrid w:val="0"/>
        <w:spacing w:line="360" w:lineRule="auto"/>
        <w:rPr>
          <w:rFonts w:hint="eastAsia" w:ascii="仿宋_GB2312" w:hAnsi="仿宋" w:eastAsia="仿宋_GB2312" w:cs="仿宋"/>
          <w:b/>
          <w:bCs/>
          <w:color w:val="auto"/>
          <w:sz w:val="24"/>
        </w:rPr>
      </w:pPr>
      <w:r>
        <w:rPr>
          <w:rFonts w:hint="eastAsia" w:ascii="仿宋_GB2312" w:hAnsi="仿宋" w:eastAsia="仿宋_GB2312" w:cs="仿宋"/>
          <w:b/>
          <w:bCs/>
          <w:color w:val="auto"/>
          <w:sz w:val="24"/>
        </w:rPr>
        <w:t>45、解释权</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磋商文件的解释权属于浙江省博物馆。</w:t>
      </w:r>
    </w:p>
    <w:p>
      <w:pPr>
        <w:adjustRightInd w:val="0"/>
        <w:snapToGrid w:val="0"/>
        <w:spacing w:line="360" w:lineRule="auto"/>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br w:type="page"/>
      </w:r>
      <w:r>
        <w:rPr>
          <w:rFonts w:hint="eastAsia" w:ascii="仿宋_GB2312" w:hAnsi="仿宋" w:eastAsia="仿宋_GB2312" w:cs="仿宋"/>
          <w:b/>
          <w:color w:val="auto"/>
          <w:sz w:val="32"/>
          <w:szCs w:val="32"/>
        </w:rPr>
        <w:t>第三部分  采购需求</w:t>
      </w:r>
    </w:p>
    <w:p>
      <w:pPr>
        <w:spacing w:beforeLines="0" w:afterLines="0" w:line="360" w:lineRule="auto"/>
        <w:ind w:firstLine="480" w:firstLineChars="200"/>
        <w:rPr>
          <w:rFonts w:ascii="Times New Roman" w:hAnsi="Times New Roman" w:eastAsia="仿宋" w:cs="Times New Roman"/>
          <w:b/>
          <w:bCs/>
          <w:color w:val="auto"/>
          <w:sz w:val="24"/>
        </w:rPr>
      </w:pP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b/>
          <w:bCs/>
          <w:color w:val="auto"/>
          <w:sz w:val="24"/>
        </w:rPr>
        <w:t>一、项目概况</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展览名称：</w:t>
      </w:r>
      <w:r>
        <w:rPr>
          <w:rFonts w:ascii="Times New Roman" w:hAnsi="Times New Roman" w:eastAsia="仿宋" w:cs="Times New Roman"/>
          <w:color w:val="auto"/>
          <w:sz w:val="24"/>
        </w:rPr>
        <w:t>“丽人行——中国近现代女性图像”展</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1、展出地点：浙江省博物馆之江馆区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2、展览时间：2024年4月28日-2024年8月28日</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3、展品数量：展品数量：约155（套），其中借展文物约101件（套），主要为书画、绘画、服饰、民俗文物、文件宣传品等类展品。借展文物估价约1.3亿元。</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4、运输方式：温控、气垫减震、艺术品文物运输专用车公路运输</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5、运输路线：自借展单位中国丝绸博物馆/</w:t>
      </w:r>
      <w:r>
        <w:rPr>
          <w:rFonts w:ascii="Times New Roman" w:hAnsi="Times New Roman" w:eastAsia="仿宋" w:cs="Times New Roman"/>
          <w:color w:val="auto"/>
          <w:sz w:val="24"/>
        </w:rPr>
        <w:t>绍兴博物馆</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南通博物苑</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常州博物馆</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安徽博物院</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中国妇女儿童博物馆</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中国美术馆</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深圳博物馆</w:t>
      </w:r>
      <w:r>
        <w:rPr>
          <w:rFonts w:hint="default" w:ascii="Times New Roman" w:hAnsi="Times New Roman" w:eastAsia="仿宋" w:cs="Times New Roman"/>
          <w:color w:val="auto"/>
          <w:sz w:val="24"/>
        </w:rPr>
        <w:t>/</w:t>
      </w:r>
      <w:r>
        <w:rPr>
          <w:rFonts w:ascii="Times New Roman" w:hAnsi="Times New Roman" w:eastAsia="仿宋" w:cs="Times New Roman"/>
          <w:color w:val="auto"/>
          <w:sz w:val="24"/>
        </w:rPr>
        <w:t>何香凝美术馆</w:t>
      </w:r>
      <w:r>
        <w:rPr>
          <w:rFonts w:hint="default" w:ascii="Times New Roman" w:hAnsi="Times New Roman" w:eastAsia="仿宋" w:cs="Times New Roman"/>
          <w:color w:val="auto"/>
          <w:sz w:val="24"/>
        </w:rPr>
        <w:t>/两名北京艺术家工作室/杭州民国家具收藏地/浙江省博物馆孤山馆区等地往返包装运输至浙江省博物馆之江馆区，以及相关文物布展及撤展。</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二、服务内容</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服务要求：钉对钉的展品包装、提供符合藏品安全包装箱及材料担保、包装/拆包装、往返装卸运输及保险服务，并布展、撤展。要求投标人使用自有车辆，符合文物、艺术品安全运输标准，并配备具备相关资质的驾驶员及资深的包装操作人员。</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三、承运公司须提供的资质证明</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1、公司简介</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2、运输公司营业执照。</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3、有效期内的道路运营许可证。</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4、及其他与文物运输的相关资质。</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四、服务要求</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根据采购人具体项目的文物情况，定制文物包装、运输方案，完成文物包装、运输工作，按采购人要求将文物摆放至指定位置。</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1、根据展览展品情况，定制符合文物保护要求的文物包装、运输工作方案。</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2、提供文物包装需要的包装材料、周转箱等，确保文物安全无损进行包装。</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3、由各借展单位包装运送至浙江省博物馆孤山馆区和送返各借展单位，确保文物按期运抵。</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4、运输中提供车辆装卸等相关服务。</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5、根据采购人需要，协助完成文物布（撤）展服务。</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6、为本次展览文物由借展单位包装运送至浙江省博物馆孤山馆区和送返各借展单位购买“钉对钉”全程一切商业保险。</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7、如展览发生变更或其他特殊情况（如地震、疫情等不可抗力影响因素），双方应通过协商，签署书面补充协议确认后续相关情况。</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五、具体要求</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 xml:space="preserve">（一）文物包/拆装及布/撤展服务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1、材料要求：根据文物特性采用的包装材料，应符合《文物运输包装规范》 的国家标准（GB/T23862-2009）。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2、木箱及囊匣制作：提供包装箱服务，严格遵守《文物运输包装规范》（GB/T 23862-2009）， 按照文物的尺寸、重量，选择合适的板材，为每件文物制作符合防水防潮、防霉防震安全要求的内包装木盒及外包装木箱。每箱必须制作装箱单和外箱编号。</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1）内包装木盒。其大小和形式根据文物实际情况确定，尽量使文物具有随形合理的空间。木盒应采用18厘多层复合板制作，内底部衬垫缓冲减震层及海绵层。木盒可开面需用锁扣或螺丝钉组装。需根据文物的特性，选择不同的填充包装材料。包装完成后装入外包装木箱进行移动运输。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2）外包装木箱。木箱的箱体应采用18厘板，需配有底带且厚度不少于10cm。加固带 与箱体间及不可开的各面必须牢固，可用角铁进一步加固。底带与箱体用底带螺栓连接固定。可开面与箱体之间需用螺栓连接（螺栓所对应的金属件预埋在箱体与加固带间，并需用螺丝固定）。箱内各面需贴有防潮纸，可开的各面与木箱连接处贴有防水密封条。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3、包装：每组操作人员应不少于4人，且具备多地多组同时开展工作的能力。根据文物保护原则，将文物打包装箱。在进行工作前，应对操作人员进行文物安全教育。工作地点为各收藏单位文物库房或展厅、博物馆展厅及临时库房。 操作人员应按投标方的要求，严格遵守博物馆及各收藏单位的有关规定。将文物从指定地点取出，并进行妥善的包装。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1）整理包装材料：包括处理 PE 板、密封条、填充材料等。将PE板用双面胶固定在木箱内部各面，将密封条沿木箱各边封好。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2）独立包装：将独立包装的展品随形挖旋，在包装箱内妥善固定后封箱。需要时用环保材料，如 PE 板、海绵等材料填充空隙。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3）集合包装：适用于非大型文物。将已包装好的文物按照尺寸特点顺序码放在外包箱内，之间以PE板、海绵等材料填充、间隔。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4、服务人员要求：必须具备文物专业包装、专业布/撤展的能力；并保证文物在包装、拆包装和布/撤展过程中，严格遵守相关专业规定，安全稳妥操作。 </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（二）文物运输服务</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1、该项目投标人需具有丰富的文物运输经验，能自行办理公路文物运输的全部手续。作业过程中所使用的运输工具及装卸工具全部自理，文物运输所涉及的国家文物安全、运输内容、运输路线、运输时间均为国家机密，运输企业及相关人员必须对以上内容严格保密，并制定和采取相应的保密措施。</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2、服务人员要求：投标人必须安排具有丰富经验的包装技术及操作人员，且负责本批次文物的包/拆装、布/撤展、装/卸车等相关服务工作。 供应商从业人员需为本单位固定员工（提供相关证明材料）</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3、运输服务项目应全程符合《文物运输包装规范》的国家标准 （GB/T23862-2009）。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4、应于操作前提供操作方案、时间计划，及特殊情况下的应急预案，并在得到招标方批准后遵照执行。</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5、在文物包装、运输、装卸过程中如发现文物损毁，中标人应立即向招标人通报，并对文物受损情况进行详细记录。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6、中标人不得自行改变运输路线、运输方式等，否则，由此造成的全部损失由中标人承担。 </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 xml:space="preserve">7、中标人的全部服务受招标人监督，如有不符合招标人要求之处，中标人应及时予以改进。遇有特殊包装箱且依文物特性，招标人有权要求变更文物包装/拆包装时间。 </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（三）文物运输车及运输技术、安全要求</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1、运输车辆必须为公司自有车辆。</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2、运输车辆必须符合交通部、公安部汽车运输规范要求及上路许可。</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3、驾驶员需有5年以上驾龄。</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4、使用有GPS全球定位系统并配有尾板的温控气垫减震全封闭厢式文物货运车。封闭厢式货车箱内应安装有温度控制设备，在运输期间温度能控制在15-18℃，相对湿度控制在45%-55%。车厢厢体内应装备有防火、保温夹层。厢式货车宜配备有液压升降板，以减少文物包装箱垂直移动的悬空距离，保证安全。封闭厢式货车宜配备气垫防震装置，车厢内应有紧固锁具装置，以便在车辆行驶时木质外包装箱在车厢内牢固、稳定。</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5、运输方式采用公路运输时，在高速上车速不应超过80km/h，在国、省道上车速不应超过60km/h，司机连续驾驶不得超过4h。夜间不宜运输，晚上驻地休息时，转载文物的车辆应停放在安全条件较好的当地文博单位中。</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6、装卸作业时，文物包装箱的倾斜角不得超过30°。</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7、货车出车前，必须检查机油、防冻液、围板、雨刷器、货车空调状况、车身黄油、发动机，变速箱，前后桥，测试刹车、全车灯光、轮胎气压、气垫气压。检查车内消防设备，配置足够数量灭火器及消防工具。并检查配备现场工作用品如工具箱、无酸绵纸、PE 板、帮扎带、木质包装箱等包装用品。</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8、运输服务项目全程应符合《文物包装运输规范》国标GB/T23862-2009。</w:t>
      </w:r>
    </w:p>
    <w:p>
      <w:pPr>
        <w:spacing w:beforeLines="0" w:afterLines="0" w:line="360" w:lineRule="auto"/>
        <w:ind w:firstLine="482" w:firstLineChars="200"/>
        <w:rPr>
          <w:rFonts w:ascii="Times New Roman" w:hAnsi="Times New Roman" w:eastAsia="仿宋" w:cs="Times New Roman"/>
          <w:b/>
          <w:bCs/>
          <w:color w:val="auto"/>
          <w:sz w:val="24"/>
        </w:rPr>
      </w:pPr>
      <w:r>
        <w:rPr>
          <w:rFonts w:hint="default" w:ascii="Times New Roman" w:hAnsi="Times New Roman" w:eastAsia="仿宋" w:cs="Times New Roman"/>
          <w:b/>
          <w:bCs/>
          <w:color w:val="auto"/>
          <w:sz w:val="24"/>
        </w:rPr>
        <w:t>（四）安保服务</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1、作为此次展览承运商，要求提供详细、准确、安全的安保时间、路线、方案及预案供博物馆提前审核、确认。</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2、运输路线、时间提前保密。</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3、保证在展品的装卸、运输过程中，严格遵守专业规定，轻拿轻放，稳妥操作。凡是参与现场操作的人员，提前针对专案进行安保意识培训。所有人员均提前提供身份证件，一律统一工作服装以利于辨认。</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4、对所有参与文物运输的人员均进行严格的政审备案，把好政治质量关。确保不存在人为破坏等事宜。</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5、在运输过程中有不可抗力的情况发生时，首先将文物置于就近博物馆或其他相对安全的地带、妥善保管，利用一切可以利用的条件将事件及动态通知博物馆， 并按照博物馆的授权开展工作。如果基本的通讯条件不具备，则做好相关记录和文物的保管工作，直到与博物馆取得联系或者不可抗力事件解除。不可抗力的影响消除后，如果具备继续承运的条件，将在确保货物以及运输人员安全的前提下，继续实施运输计划。</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6、运输公司需制定安全保障措施及突发事件应急处理方案。</w:t>
      </w:r>
    </w:p>
    <w:p>
      <w:pPr>
        <w:spacing w:beforeLines="0" w:afterLines="0" w:line="360" w:lineRule="auto"/>
        <w:ind w:firstLine="482" w:firstLineChars="200"/>
        <w:rPr>
          <w:rFonts w:ascii="Times New Roman" w:hAnsi="Times New Roman" w:eastAsia="仿宋" w:cs="Times New Roman"/>
          <w:color w:val="auto"/>
          <w:sz w:val="24"/>
        </w:rPr>
      </w:pPr>
      <w:r>
        <w:rPr>
          <w:rFonts w:hint="default" w:ascii="Times New Roman" w:hAnsi="Times New Roman" w:eastAsia="仿宋" w:cs="Times New Roman"/>
          <w:b/>
          <w:bCs/>
          <w:color w:val="auto"/>
          <w:sz w:val="24"/>
        </w:rPr>
        <w:t>五、付款方式</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1.</w:t>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经双方同意，展品抵达浙江省博物馆，完成布展之后的15个工作日内，乙方提供正式票据，甲方将总服务费用的一半费用支付到乙方指定账户。</w:t>
      </w:r>
    </w:p>
    <w:p>
      <w:pPr>
        <w:spacing w:beforeLines="0" w:afterLines="0" w:line="360" w:lineRule="auto"/>
        <w:ind w:firstLine="480" w:firstLineChars="200"/>
        <w:rPr>
          <w:rFonts w:ascii="Times New Roman" w:hAnsi="Times New Roman" w:eastAsia="仿宋" w:cs="Times New Roman"/>
          <w:color w:val="auto"/>
          <w:sz w:val="24"/>
        </w:rPr>
      </w:pPr>
      <w:r>
        <w:rPr>
          <w:rFonts w:hint="default" w:ascii="Times New Roman" w:hAnsi="Times New Roman" w:eastAsia="仿宋" w:cs="Times New Roman"/>
          <w:color w:val="auto"/>
          <w:sz w:val="24"/>
        </w:rPr>
        <w:t>2.</w:t>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经双方同意，甲方于返程结束即自浙江省博物馆归还各借展单位后15个工作日内支付剩余款项。</w:t>
      </w:r>
    </w:p>
    <w:p>
      <w:pPr>
        <w:pStyle w:val="15"/>
        <w:adjustRightInd/>
        <w:snapToGrid/>
        <w:spacing w:beforeLines="-2147483648" w:afterLines="-2147483648" w:line="240" w:lineRule="auto"/>
        <w:ind w:firstLine="0" w:firstLineChars="0"/>
        <w:jc w:val="center"/>
        <w:outlineLvl w:val="9"/>
        <w:rPr>
          <w:rFonts w:hint="eastAsia" w:ascii="仿宋_GB2312" w:hAnsi="仿宋" w:eastAsia="仿宋_GB2312" w:cs="仿宋"/>
          <w:color w:val="auto"/>
          <w:sz w:val="28"/>
          <w:szCs w:val="28"/>
        </w:rPr>
      </w:pPr>
      <w:r>
        <w:rPr>
          <w:rFonts w:hint="eastAsia" w:ascii="仿宋" w:hAnsi="仿宋" w:eastAsia="仿宋" w:cs="仿宋"/>
          <w:bCs/>
          <w:color w:val="auto"/>
        </w:rPr>
        <w:br w:type="page"/>
      </w:r>
      <w:r>
        <w:rPr>
          <w:rFonts w:hint="eastAsia" w:ascii="仿宋_GB2312" w:hAnsi="仿宋" w:eastAsia="仿宋_GB2312" w:cs="仿宋"/>
          <w:b/>
          <w:color w:val="auto"/>
          <w:sz w:val="32"/>
          <w:szCs w:val="32"/>
        </w:rPr>
        <w:t>第四部分  评分办法及评分标准</w:t>
      </w:r>
    </w:p>
    <w:p>
      <w:pPr>
        <w:adjustRightInd w:val="0"/>
        <w:snapToGrid w:val="0"/>
        <w:spacing w:line="360" w:lineRule="auto"/>
        <w:ind w:firstLine="420"/>
        <w:rPr>
          <w:rFonts w:hint="eastAsia" w:ascii="仿宋_GB2312" w:hAnsi="仿宋" w:eastAsia="仿宋_GB2312" w:cs="仿宋"/>
          <w:color w:val="auto"/>
          <w:sz w:val="24"/>
        </w:rPr>
      </w:pPr>
      <w:r>
        <w:rPr>
          <w:rFonts w:hint="eastAsia" w:ascii="仿宋_GB2312" w:hAnsi="仿宋" w:eastAsia="仿宋_GB2312" w:cs="仿宋"/>
          <w:color w:val="auto"/>
          <w:sz w:val="24"/>
        </w:rPr>
        <w:t>为公正、公平、科学地选择成交供应商，根据有关法律法规的规定，并结合本项目的实际，制定本办法。</w:t>
      </w:r>
    </w:p>
    <w:p>
      <w:pPr>
        <w:adjustRightInd w:val="0"/>
        <w:snapToGrid w:val="0"/>
        <w:spacing w:line="360" w:lineRule="auto"/>
        <w:rPr>
          <w:rFonts w:hint="eastAsia" w:ascii="仿宋_GB2312" w:hAnsi="仿宋" w:eastAsia="仿宋_GB2312" w:cs="仿宋"/>
          <w:b/>
          <w:color w:val="auto"/>
          <w:sz w:val="24"/>
        </w:rPr>
      </w:pPr>
      <w:r>
        <w:rPr>
          <w:rFonts w:hint="eastAsia" w:ascii="仿宋_GB2312" w:hAnsi="仿宋" w:eastAsia="仿宋_GB2312" w:cs="仿宋"/>
          <w:b/>
          <w:color w:val="auto"/>
          <w:sz w:val="24"/>
        </w:rPr>
        <w:t>一、总则</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本次评标采用</w:t>
      </w:r>
      <w:r>
        <w:rPr>
          <w:rFonts w:hint="eastAsia" w:ascii="仿宋_GB2312" w:hAnsi="仿宋" w:eastAsia="仿宋_GB2312" w:cs="仿宋"/>
          <w:b/>
          <w:color w:val="auto"/>
          <w:sz w:val="24"/>
        </w:rPr>
        <w:t>综合评分法</w:t>
      </w:r>
      <w:r>
        <w:rPr>
          <w:rFonts w:hint="eastAsia" w:ascii="仿宋_GB2312" w:hAnsi="仿宋" w:eastAsia="仿宋_GB2312" w:cs="仿宋"/>
          <w:color w:val="auto"/>
          <w:sz w:val="24"/>
        </w:rPr>
        <w:t>，总分为100分。合格磋商供应商的评标得分为各项目汇总得分，成交候选资格按评标得分由高到低顺序排列，得分相同的，按磋商报价得分由高到低顺序排列；得分且磋商报价相同的，按技术得分由高到低顺序排列。排名第一的磋商供应商为成交候选供应商,排名第二的磋商供应商为候补成交候选供应商……其他磋商供应商成交候选资格依此类推。评分过程中采用四舍五入法，</w:t>
      </w:r>
      <w:r>
        <w:rPr>
          <w:rFonts w:hint="eastAsia" w:ascii="仿宋" w:hAnsi="仿宋" w:eastAsia="仿宋" w:cs="仿宋"/>
          <w:color w:val="auto"/>
          <w:kern w:val="0"/>
          <w:sz w:val="24"/>
          <w:lang w:val="zh-CN"/>
        </w:rPr>
        <w:t>保留小数点后两位</w:t>
      </w:r>
      <w:r>
        <w:rPr>
          <w:rFonts w:hint="eastAsia" w:ascii="仿宋_GB2312" w:hAnsi="仿宋" w:eastAsia="仿宋_GB2312" w:cs="仿宋"/>
          <w:color w:val="auto"/>
          <w:sz w:val="24"/>
        </w:rPr>
        <w:t>。</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技术、资信及价格分按照磋商小组成员的独立评分结果汇总后的算术平均分计算，计算公式为：</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技术、资信及商务分=磋商小组所有成员评分合计数/磋商小组人数</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磋商供应商评标综合得分=价格分+资信分+技术分</w:t>
      </w:r>
    </w:p>
    <w:p>
      <w:pPr>
        <w:numPr>
          <w:ilvl w:val="0"/>
          <w:numId w:val="8"/>
        </w:numPr>
        <w:adjustRightInd w:val="0"/>
        <w:snapToGrid w:val="0"/>
        <w:spacing w:line="360" w:lineRule="auto"/>
        <w:rPr>
          <w:rFonts w:hint="eastAsia" w:ascii="仿宋_GB2312" w:hAnsi="仿宋" w:eastAsia="仿宋_GB2312" w:cs="仿宋"/>
          <w:b/>
          <w:color w:val="auto"/>
          <w:sz w:val="24"/>
        </w:rPr>
      </w:pPr>
      <w:r>
        <w:rPr>
          <w:rFonts w:hint="eastAsia" w:ascii="仿宋_GB2312" w:hAnsi="仿宋" w:eastAsia="仿宋_GB2312" w:cs="仿宋"/>
          <w:b/>
          <w:color w:val="auto"/>
          <w:sz w:val="24"/>
        </w:rPr>
        <w:t>评标内容及标准</w:t>
      </w:r>
    </w:p>
    <w:tbl>
      <w:tblPr>
        <w:tblStyle w:val="31"/>
        <w:tblpPr w:leftFromText="180" w:rightFromText="180" w:vertAnchor="text" w:horzAnchor="page" w:tblpX="1696" w:tblpY="466"/>
        <w:tblOverlap w:val="never"/>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182"/>
        <w:gridCol w:w="586"/>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b/>
                <w:bCs/>
                <w:color w:val="auto"/>
                <w:sz w:val="24"/>
              </w:rPr>
              <w:t>评分项目</w:t>
            </w: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b/>
                <w:bCs/>
                <w:color w:val="auto"/>
                <w:sz w:val="24"/>
              </w:rPr>
              <w:t>内容</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b/>
                <w:bCs/>
                <w:color w:val="auto"/>
                <w:sz w:val="24"/>
              </w:rPr>
              <w:t>分值</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ascii="仿宋" w:hAnsi="仿宋" w:eastAsia="仿宋" w:cs="仿宋"/>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4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ascii="仿宋" w:hAnsi="仿宋" w:eastAsia="仿宋" w:cs="仿宋"/>
                <w:color w:val="auto"/>
                <w:sz w:val="24"/>
              </w:rPr>
              <w:t>价格分</w:t>
            </w:r>
          </w:p>
          <w:p>
            <w:pPr>
              <w:spacing w:line="360" w:lineRule="auto"/>
              <w:jc w:val="center"/>
              <w:rPr>
                <w:rFonts w:ascii="仿宋" w:hAnsi="仿宋" w:eastAsia="仿宋" w:cs="仿宋"/>
                <w:color w:val="auto"/>
                <w:sz w:val="24"/>
              </w:rPr>
            </w:pPr>
            <w:r>
              <w:rPr>
                <w:rFonts w:ascii="仿宋" w:hAnsi="仿宋" w:eastAsia="仿宋" w:cs="仿宋"/>
                <w:color w:val="auto"/>
                <w:sz w:val="24"/>
              </w:rPr>
              <w:t>（</w:t>
            </w:r>
            <w:r>
              <w:rPr>
                <w:rFonts w:hint="eastAsia" w:ascii="仿宋" w:hAnsi="仿宋" w:eastAsia="仿宋" w:cs="仿宋"/>
                <w:color w:val="auto"/>
                <w:sz w:val="24"/>
              </w:rPr>
              <w:t>10</w:t>
            </w:r>
            <w:r>
              <w:rPr>
                <w:rFonts w:ascii="仿宋" w:hAnsi="仿宋" w:eastAsia="仿宋" w:cs="仿宋"/>
                <w:color w:val="auto"/>
                <w:sz w:val="24"/>
              </w:rPr>
              <w:t>分）</w:t>
            </w: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价格</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10</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color w:val="auto"/>
                <w:sz w:val="24"/>
              </w:rPr>
            </w:pPr>
            <w:r>
              <w:rPr>
                <w:rFonts w:ascii="仿宋" w:hAnsi="仿宋" w:eastAsia="仿宋" w:cs="仿宋"/>
                <w:color w:val="auto"/>
                <w:sz w:val="24"/>
              </w:rPr>
              <w:t>满足采购文件要求且最终报价最低的投标报价为评分基准价，其他供应商的价格分按照下列公式计算：报价得分＝（评标基准价/投标报价）×</w:t>
            </w:r>
            <w:r>
              <w:rPr>
                <w:rFonts w:hint="eastAsia" w:ascii="仿宋" w:hAnsi="仿宋" w:eastAsia="仿宋" w:cs="仿宋"/>
                <w:color w:val="auto"/>
                <w:sz w:val="24"/>
                <w:lang w:val="en-US" w:eastAsia="zh-CN"/>
              </w:rPr>
              <w:t>10</w:t>
            </w:r>
            <w:r>
              <w:rPr>
                <w:rFonts w:ascii="仿宋" w:hAnsi="仿宋" w:eastAsia="仿宋" w:cs="仿宋"/>
                <w:color w:val="auto"/>
                <w:sz w:val="24"/>
              </w:rPr>
              <w:t>%×100；</w:t>
            </w:r>
          </w:p>
          <w:p>
            <w:pPr>
              <w:spacing w:line="360" w:lineRule="auto"/>
              <w:jc w:val="left"/>
              <w:rPr>
                <w:rFonts w:ascii="仿宋" w:hAnsi="仿宋" w:eastAsia="仿宋" w:cs="仿宋"/>
                <w:color w:val="auto"/>
                <w:sz w:val="24"/>
              </w:rPr>
            </w:pPr>
            <w:r>
              <w:rPr>
                <w:rFonts w:ascii="仿宋" w:hAnsi="仿宋" w:eastAsia="仿宋" w:cs="仿宋"/>
                <w:b/>
                <w:bCs/>
                <w:color w:val="auto"/>
                <w:sz w:val="24"/>
              </w:rPr>
              <w:t>供应商的投标报价超过预算金额，将作为无效标。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ascii="仿宋" w:hAnsi="仿宋" w:eastAsia="仿宋" w:cs="仿宋"/>
                <w:color w:val="auto"/>
                <w:sz w:val="24"/>
              </w:rPr>
              <w:t>商务资信分</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ascii="仿宋" w:hAnsi="仿宋" w:eastAsia="仿宋" w:cs="仿宋"/>
                <w:color w:val="auto"/>
                <w:sz w:val="24"/>
              </w:rPr>
              <w:t>分</w:t>
            </w:r>
            <w:r>
              <w:rPr>
                <w:rFonts w:hint="eastAsia" w:ascii="仿宋" w:hAnsi="仿宋" w:eastAsia="仿宋" w:cs="仿宋"/>
                <w:color w:val="auto"/>
                <w:sz w:val="24"/>
              </w:rPr>
              <w:t>）</w:t>
            </w: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业绩</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自202</w:t>
            </w:r>
            <w:r>
              <w:rPr>
                <w:rFonts w:hint="eastAsia" w:ascii="仿宋" w:hAnsi="仿宋" w:eastAsia="仿宋" w:cs="仿宋"/>
                <w:color w:val="auto"/>
                <w:sz w:val="24"/>
                <w:lang w:val="en-US" w:eastAsia="zh-CN"/>
              </w:rPr>
              <w:t>1</w:t>
            </w:r>
            <w:r>
              <w:rPr>
                <w:rFonts w:hint="eastAsia" w:ascii="仿宋" w:hAnsi="仿宋" w:eastAsia="仿宋" w:cs="仿宋"/>
                <w:color w:val="auto"/>
                <w:sz w:val="24"/>
              </w:rPr>
              <w:t>年1月1日以来承担类似博物馆文物运输案例（以合同签订日期为准），每提供一份案例业绩得</w:t>
            </w:r>
            <w:r>
              <w:rPr>
                <w:rFonts w:hint="eastAsia" w:ascii="仿宋" w:hAnsi="仿宋" w:eastAsia="仿宋" w:cs="仿宋"/>
                <w:color w:val="auto"/>
                <w:sz w:val="24"/>
                <w:lang w:val="en-US" w:eastAsia="zh-CN"/>
              </w:rPr>
              <w:t>0.2</w:t>
            </w:r>
            <w:r>
              <w:rPr>
                <w:rFonts w:hint="eastAsia" w:ascii="仿宋" w:hAnsi="仿宋" w:eastAsia="仿宋" w:cs="仿宋"/>
                <w:color w:val="auto"/>
                <w:sz w:val="24"/>
              </w:rPr>
              <w:t>分，最高得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公司资质</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auto"/>
                <w:sz w:val="24"/>
                <w:lang w:eastAsia="zh-CN"/>
              </w:rPr>
            </w:pPr>
            <w:r>
              <w:rPr>
                <w:rFonts w:hint="eastAsia" w:ascii="仿宋" w:hAnsi="仿宋" w:eastAsia="仿宋" w:cs="仿宋"/>
                <w:color w:val="auto"/>
                <w:sz w:val="24"/>
              </w:rPr>
              <w:t>具有道路运输管理局颁发的道路运输经营许可证，且在有效期内的，得1分</w:t>
            </w:r>
            <w:r>
              <w:rPr>
                <w:rFonts w:hint="eastAsia" w:ascii="仿宋" w:hAnsi="仿宋" w:eastAsia="仿宋" w:cs="仿宋"/>
                <w:color w:val="auto"/>
                <w:sz w:val="24"/>
                <w:lang w:eastAsia="zh-CN"/>
              </w:rPr>
              <w:t>。</w:t>
            </w:r>
          </w:p>
          <w:p>
            <w:pPr>
              <w:spacing w:line="360" w:lineRule="auto"/>
              <w:jc w:val="left"/>
              <w:rPr>
                <w:rFonts w:ascii="仿宋" w:hAnsi="仿宋" w:eastAsia="仿宋" w:cs="仿宋"/>
                <w:color w:val="auto"/>
                <w:sz w:val="24"/>
              </w:rPr>
            </w:pPr>
            <w:r>
              <w:rPr>
                <w:rFonts w:hint="eastAsia" w:ascii="仿宋" w:hAnsi="仿宋" w:eastAsia="仿宋" w:cs="仿宋"/>
                <w:b/>
                <w:bCs/>
                <w:color w:val="auto"/>
                <w:sz w:val="24"/>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_GB2312" w:hAnsi="仿宋" w:eastAsia="仿宋_GB2312" w:cs="仿宋"/>
                <w:color w:val="auto"/>
                <w:kern w:val="0"/>
                <w:sz w:val="24"/>
              </w:rPr>
              <w:t>综合实力</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供应商具有①职业健康安全管理体系②环境管理体系认证证书③质量管理体系认证证书，且在有效期内的，每提供一个证书得</w:t>
            </w:r>
            <w:r>
              <w:rPr>
                <w:rFonts w:ascii="仿宋" w:hAnsi="仿宋" w:eastAsia="仿宋" w:cs="仿宋"/>
                <w:color w:val="auto"/>
                <w:sz w:val="24"/>
              </w:rPr>
              <w:t>1</w:t>
            </w:r>
            <w:r>
              <w:rPr>
                <w:rFonts w:hint="eastAsia" w:ascii="仿宋" w:hAnsi="仿宋" w:eastAsia="仿宋" w:cs="仿宋"/>
                <w:color w:val="auto"/>
                <w:sz w:val="24"/>
              </w:rPr>
              <w:t>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417" w:type="dxa"/>
            <w:vMerge w:val="restart"/>
            <w:tcBorders>
              <w:left w:val="single" w:color="auto" w:sz="4" w:space="0"/>
              <w:right w:val="single" w:color="auto" w:sz="4" w:space="0"/>
            </w:tcBorders>
            <w:noWrap/>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技术分</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85</w:t>
            </w:r>
            <w:r>
              <w:rPr>
                <w:rFonts w:hint="eastAsia" w:ascii="仿宋" w:hAnsi="仿宋" w:eastAsia="仿宋" w:cs="仿宋"/>
                <w:color w:val="auto"/>
                <w:sz w:val="24"/>
              </w:rPr>
              <w:t>分）</w:t>
            </w: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技术响应程度</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18</w:t>
            </w:r>
          </w:p>
        </w:tc>
        <w:tc>
          <w:tcPr>
            <w:tcW w:w="56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仿宋"/>
                <w:color w:val="auto"/>
                <w:kern w:val="0"/>
                <w:sz w:val="24"/>
              </w:rPr>
            </w:pPr>
            <w:r>
              <w:rPr>
                <w:rFonts w:hint="eastAsia" w:ascii="仿宋" w:hAnsi="仿宋" w:eastAsia="仿宋" w:cs="仿宋"/>
                <w:color w:val="auto"/>
                <w:kern w:val="0"/>
                <w:sz w:val="24"/>
              </w:rPr>
              <w:t>根据对第三部分采购需求要求的响应情况：</w:t>
            </w:r>
          </w:p>
          <w:p>
            <w:pPr>
              <w:widowControl/>
              <w:spacing w:line="360" w:lineRule="auto"/>
              <w:jc w:val="left"/>
              <w:rPr>
                <w:rFonts w:ascii="仿宋" w:hAnsi="仿宋" w:eastAsia="仿宋" w:cs="仿宋"/>
                <w:color w:val="auto"/>
                <w:kern w:val="0"/>
                <w:sz w:val="24"/>
              </w:rPr>
            </w:pPr>
            <w:r>
              <w:rPr>
                <w:rFonts w:hint="eastAsia" w:ascii="仿宋" w:hAnsi="仿宋" w:eastAsia="仿宋" w:cs="仿宋"/>
                <w:color w:val="auto"/>
                <w:kern w:val="0"/>
                <w:sz w:val="24"/>
              </w:rPr>
              <w:t>完全满足招标文件采购需求要求的得</w:t>
            </w:r>
            <w:r>
              <w:rPr>
                <w:rFonts w:hint="eastAsia" w:ascii="仿宋" w:hAnsi="仿宋" w:eastAsia="仿宋" w:cs="仿宋"/>
                <w:color w:val="auto"/>
                <w:kern w:val="0"/>
                <w:sz w:val="24"/>
                <w:lang w:val="en-US" w:eastAsia="zh-CN"/>
              </w:rPr>
              <w:t>18</w:t>
            </w:r>
            <w:r>
              <w:rPr>
                <w:rFonts w:hint="eastAsia" w:ascii="仿宋" w:hAnsi="仿宋" w:eastAsia="仿宋" w:cs="仿宋"/>
                <w:color w:val="auto"/>
                <w:kern w:val="0"/>
                <w:sz w:val="24"/>
              </w:rPr>
              <w:t>分</w:t>
            </w:r>
          </w:p>
          <w:p>
            <w:pPr>
              <w:spacing w:line="360" w:lineRule="auto"/>
              <w:jc w:val="left"/>
              <w:rPr>
                <w:rFonts w:ascii="仿宋_GB2312" w:hAnsi="仿宋" w:eastAsia="仿宋_GB2312" w:cs="仿宋"/>
                <w:color w:val="auto"/>
                <w:kern w:val="0"/>
                <w:sz w:val="24"/>
              </w:rPr>
            </w:pPr>
            <w:r>
              <w:rPr>
                <w:rFonts w:hint="eastAsia" w:ascii="仿宋" w:hAnsi="仿宋" w:eastAsia="仿宋" w:cs="仿宋"/>
                <w:color w:val="auto"/>
                <w:kern w:val="0"/>
                <w:sz w:val="24"/>
              </w:rPr>
              <w:t>有负偏离或缺漏项的每项扣2分，扣完为止。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_GB2312" w:hAnsi="仿宋" w:eastAsia="仿宋_GB2312" w:cs="仿宋"/>
                <w:color w:val="auto"/>
                <w:kern w:val="0"/>
                <w:sz w:val="24"/>
              </w:rPr>
            </w:pPr>
            <w:r>
              <w:rPr>
                <w:rFonts w:hint="eastAsia" w:ascii="仿宋_GB2312" w:hAnsi="仿宋" w:eastAsia="仿宋_GB2312" w:cs="仿宋"/>
                <w:color w:val="auto"/>
                <w:kern w:val="0"/>
                <w:sz w:val="24"/>
              </w:rPr>
              <w:t>实施方案</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根据</w:t>
            </w:r>
            <w:r>
              <w:rPr>
                <w:rFonts w:hint="eastAsia" w:ascii="仿宋_GB2312" w:hAnsi="仿宋" w:eastAsia="仿宋_GB2312" w:cs="仿宋"/>
                <w:color w:val="auto"/>
                <w:kern w:val="0"/>
                <w:sz w:val="24"/>
                <w:lang w:eastAsia="zh-CN"/>
              </w:rPr>
              <w:t>供应商</w:t>
            </w:r>
            <w:r>
              <w:rPr>
                <w:rFonts w:hint="eastAsia" w:ascii="仿宋_GB2312" w:hAnsi="仿宋" w:eastAsia="仿宋_GB2312" w:cs="仿宋"/>
                <w:color w:val="auto"/>
                <w:kern w:val="0"/>
                <w:sz w:val="24"/>
              </w:rPr>
              <w:t>对本项目展览的展期、运输线路、运输方式、货品数量及展品估值等提供的针对性的实施方案进行打分，0-5分。</w:t>
            </w:r>
          </w:p>
          <w:p>
            <w:pPr>
              <w:spacing w:line="360" w:lineRule="auto"/>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rPr>
              <w:t>内容合理，针对性、可行性强得5分</w:t>
            </w:r>
            <w:r>
              <w:rPr>
                <w:rFonts w:hint="eastAsia" w:ascii="仿宋_GB2312" w:hAnsi="仿宋" w:eastAsia="仿宋_GB2312" w:cs="仿宋"/>
                <w:color w:val="auto"/>
                <w:kern w:val="0"/>
                <w:sz w:val="24"/>
                <w:lang w:eastAsia="zh-CN"/>
              </w:rPr>
              <w:t>；</w:t>
            </w:r>
          </w:p>
          <w:p>
            <w:pPr>
              <w:spacing w:line="360" w:lineRule="auto"/>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rPr>
              <w:t>内容存在不足之处得3分</w:t>
            </w:r>
            <w:r>
              <w:rPr>
                <w:rFonts w:hint="eastAsia" w:ascii="仿宋_GB2312" w:hAnsi="仿宋" w:eastAsia="仿宋_GB2312" w:cs="仿宋"/>
                <w:color w:val="auto"/>
                <w:kern w:val="0"/>
                <w:sz w:val="24"/>
                <w:lang w:eastAsia="zh-CN"/>
              </w:rPr>
              <w:t>；</w:t>
            </w:r>
          </w:p>
          <w:p>
            <w:pPr>
              <w:spacing w:line="360" w:lineRule="auto"/>
              <w:jc w:val="left"/>
              <w:rPr>
                <w:rFonts w:ascii="仿宋_GB2312" w:hAnsi="仿宋" w:eastAsia="仿宋_GB2312" w:cs="仿宋"/>
                <w:color w:val="auto"/>
                <w:kern w:val="0"/>
                <w:sz w:val="24"/>
              </w:rPr>
            </w:pPr>
            <w:r>
              <w:rPr>
                <w:rFonts w:hint="eastAsia" w:ascii="仿宋_GB2312" w:hAnsi="仿宋" w:eastAsia="仿宋_GB2312" w:cs="仿宋"/>
                <w:color w:val="auto"/>
                <w:kern w:val="0"/>
                <w:sz w:val="24"/>
              </w:rPr>
              <w:t>内容不合理或无相关内容得1分。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color w:val="auto"/>
                <w:sz w:val="24"/>
              </w:rPr>
            </w:pPr>
            <w:r>
              <w:rPr>
                <w:rFonts w:hint="eastAsia" w:ascii="仿宋" w:hAnsi="仿宋" w:eastAsia="仿宋" w:cs="仿宋"/>
                <w:color w:val="auto"/>
                <w:sz w:val="24"/>
              </w:rPr>
              <w:t>布撤展方案</w:t>
            </w:r>
          </w:p>
          <w:p>
            <w:pPr>
              <w:spacing w:line="360" w:lineRule="auto"/>
              <w:jc w:val="center"/>
              <w:rPr>
                <w:rFonts w:ascii="仿宋" w:hAnsi="仿宋" w:eastAsia="仿宋" w:cs="仿宋"/>
                <w:color w:val="auto"/>
                <w:sz w:val="24"/>
              </w:rPr>
            </w:pP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_GB2312" w:hAnsi="仿宋" w:eastAsia="仿宋_GB2312" w:cs="仿宋"/>
                <w:color w:val="auto"/>
                <w:kern w:val="0"/>
                <w:sz w:val="24"/>
              </w:rPr>
            </w:pPr>
            <w:r>
              <w:rPr>
                <w:rFonts w:hint="eastAsia" w:ascii="仿宋_GB2312" w:hAnsi="仿宋" w:eastAsia="仿宋_GB2312" w:cs="仿宋"/>
                <w:color w:val="auto"/>
                <w:kern w:val="0"/>
                <w:sz w:val="24"/>
              </w:rPr>
              <w:t>根据布展、撤展方案考虑的是否周全、细致合理，措施是否可靠，进行打分0-5分。</w:t>
            </w:r>
          </w:p>
          <w:p>
            <w:pPr>
              <w:spacing w:line="360" w:lineRule="auto"/>
              <w:jc w:val="left"/>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方案详实全面、细致合理的得5分；</w:t>
            </w:r>
          </w:p>
          <w:p>
            <w:pPr>
              <w:spacing w:line="360" w:lineRule="auto"/>
              <w:jc w:val="left"/>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方案周全、较为合理的得3分；</w:t>
            </w:r>
          </w:p>
          <w:p>
            <w:pPr>
              <w:spacing w:line="360" w:lineRule="auto"/>
              <w:jc w:val="left"/>
              <w:rPr>
                <w:rFonts w:ascii="仿宋" w:hAnsi="仿宋" w:eastAsia="仿宋" w:cs="仿宋"/>
                <w:color w:val="auto"/>
                <w:sz w:val="24"/>
              </w:rPr>
            </w:pPr>
            <w:r>
              <w:rPr>
                <w:rFonts w:hint="eastAsia" w:ascii="仿宋_GB2312" w:hAnsi="仿宋" w:eastAsia="仿宋_GB2312" w:cs="仿宋"/>
                <w:color w:val="auto"/>
                <w:kern w:val="0"/>
                <w:sz w:val="24"/>
              </w:rPr>
              <w:t>方案一般的得1分。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_GB2312" w:hAnsi="仿宋" w:eastAsia="仿宋_GB2312" w:cs="仿宋"/>
                <w:color w:val="auto"/>
                <w:sz w:val="24"/>
              </w:rPr>
              <w:t>实施设备</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lang w:eastAsia="zh-CN"/>
              </w:rPr>
              <w:t>供应商</w:t>
            </w:r>
            <w:r>
              <w:rPr>
                <w:rFonts w:hint="eastAsia" w:ascii="仿宋_GB2312" w:hAnsi="仿宋" w:eastAsia="仿宋_GB2312" w:cs="仿宋"/>
                <w:color w:val="auto"/>
                <w:sz w:val="24"/>
              </w:rPr>
              <w:t>拟用于本项目的运输设备、搬运工具及其他专业工具配备是否符合要求、齐全，0-5分。</w:t>
            </w:r>
          </w:p>
          <w:p>
            <w:pPr>
              <w:spacing w:line="360" w:lineRule="auto"/>
              <w:jc w:val="left"/>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eastAsia="zh-CN"/>
              </w:rPr>
              <w:t>完全符合要求，配备齐全，得</w:t>
            </w:r>
            <w:r>
              <w:rPr>
                <w:rFonts w:hint="eastAsia" w:ascii="仿宋_GB2312" w:hAnsi="仿宋" w:eastAsia="仿宋_GB2312" w:cs="仿宋"/>
                <w:color w:val="auto"/>
                <w:sz w:val="24"/>
                <w:lang w:val="en-US" w:eastAsia="zh-CN"/>
              </w:rPr>
              <w:t>5分；</w:t>
            </w:r>
          </w:p>
          <w:p>
            <w:pPr>
              <w:spacing w:line="360" w:lineRule="auto"/>
              <w:jc w:val="left"/>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基本符合项目需求，得3分；</w:t>
            </w:r>
          </w:p>
          <w:p>
            <w:pPr>
              <w:spacing w:line="360" w:lineRule="auto"/>
              <w:jc w:val="left"/>
              <w:rPr>
                <w:rFonts w:hint="default"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配备不齐全及其他情况，得1分。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left w:val="single" w:color="auto" w:sz="4" w:space="0"/>
              <w:right w:val="single" w:color="auto" w:sz="4" w:space="0"/>
            </w:tcBorders>
            <w:noWrap/>
            <w:vAlign w:val="center"/>
          </w:tcPr>
          <w:p>
            <w:pPr>
              <w:spacing w:line="360" w:lineRule="auto"/>
              <w:jc w:val="center"/>
              <w:rPr>
                <w:rFonts w:ascii="仿宋" w:hAnsi="仿宋" w:eastAsia="仿宋_GB2312" w:cs="仿宋"/>
                <w:color w:val="auto"/>
                <w:sz w:val="24"/>
              </w:rPr>
            </w:pPr>
            <w:r>
              <w:rPr>
                <w:rFonts w:hint="eastAsia" w:ascii="仿宋" w:hAnsi="仿宋" w:eastAsia="仿宋_GB2312" w:cs="仿宋"/>
                <w:color w:val="auto"/>
                <w:sz w:val="24"/>
              </w:rPr>
              <w:t>时间保障计划</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 w:eastAsia="仿宋_GB2312" w:cs="仿宋"/>
                <w:color w:val="auto"/>
                <w:sz w:val="24"/>
                <w:lang w:eastAsia="zh-CN"/>
              </w:rPr>
            </w:pPr>
            <w:r>
              <w:rPr>
                <w:rFonts w:hint="eastAsia" w:ascii="仿宋_GB2312" w:hAnsi="仿宋" w:eastAsia="仿宋_GB2312" w:cs="仿宋"/>
                <w:color w:val="auto"/>
                <w:sz w:val="24"/>
                <w:lang w:val="en-US" w:eastAsia="zh-CN"/>
              </w:rPr>
              <w:t>4</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_GB2312" w:hAnsi="仿宋" w:eastAsia="仿宋_GB2312" w:cs="仿宋"/>
                <w:color w:val="auto"/>
                <w:sz w:val="24"/>
              </w:rPr>
            </w:pPr>
            <w:r>
              <w:rPr>
                <w:rFonts w:hint="eastAsia" w:ascii="仿宋_GB2312" w:hAnsi="仿宋" w:eastAsia="仿宋_GB2312" w:cs="仿宋"/>
                <w:color w:val="auto"/>
                <w:sz w:val="24"/>
              </w:rPr>
              <w:t>根据</w:t>
            </w:r>
            <w:r>
              <w:rPr>
                <w:rFonts w:hint="eastAsia" w:ascii="仿宋_GB2312" w:hAnsi="仿宋" w:eastAsia="仿宋_GB2312" w:cs="仿宋"/>
                <w:color w:val="auto"/>
                <w:sz w:val="24"/>
                <w:lang w:eastAsia="zh-CN"/>
              </w:rPr>
              <w:t>供应商</w:t>
            </w:r>
            <w:r>
              <w:rPr>
                <w:rFonts w:hint="eastAsia" w:ascii="仿宋_GB2312" w:hAnsi="仿宋" w:eastAsia="仿宋_GB2312" w:cs="仿宋"/>
                <w:color w:val="auto"/>
                <w:sz w:val="24"/>
              </w:rPr>
              <w:t>的实施时间计划及保证项目顺利按时完成的措施进行打分，0-</w:t>
            </w:r>
            <w:r>
              <w:rPr>
                <w:rFonts w:hint="eastAsia" w:ascii="仿宋_GB2312" w:hAnsi="仿宋" w:eastAsia="仿宋_GB2312" w:cs="仿宋"/>
                <w:color w:val="auto"/>
                <w:sz w:val="24"/>
                <w:lang w:val="en-US" w:eastAsia="zh-CN"/>
              </w:rPr>
              <w:t>4</w:t>
            </w:r>
            <w:r>
              <w:rPr>
                <w:rFonts w:hint="eastAsia" w:ascii="仿宋_GB2312" w:hAnsi="仿宋" w:eastAsia="仿宋_GB2312" w:cs="仿宋"/>
                <w:color w:val="auto"/>
                <w:sz w:val="24"/>
              </w:rPr>
              <w:t>分。措施科学合理、针对性强的得</w:t>
            </w:r>
            <w:r>
              <w:rPr>
                <w:rFonts w:hint="eastAsia" w:ascii="仿宋_GB2312" w:hAnsi="仿宋" w:eastAsia="仿宋_GB2312" w:cs="仿宋"/>
                <w:color w:val="auto"/>
                <w:sz w:val="24"/>
                <w:lang w:val="en-US" w:eastAsia="zh-CN"/>
              </w:rPr>
              <w:t>4</w:t>
            </w:r>
            <w:r>
              <w:rPr>
                <w:rFonts w:hint="eastAsia" w:ascii="仿宋_GB2312" w:hAnsi="仿宋" w:eastAsia="仿宋_GB2312" w:cs="仿宋"/>
                <w:color w:val="auto"/>
                <w:sz w:val="24"/>
              </w:rPr>
              <w:t>分；措施一般的得</w:t>
            </w:r>
            <w:r>
              <w:rPr>
                <w:rFonts w:hint="eastAsia" w:ascii="仿宋_GB2312" w:hAnsi="仿宋" w:eastAsia="仿宋_GB2312" w:cs="仿宋"/>
                <w:color w:val="auto"/>
                <w:sz w:val="24"/>
                <w:lang w:val="en-US" w:eastAsia="zh-CN"/>
              </w:rPr>
              <w:t>2</w:t>
            </w:r>
            <w:r>
              <w:rPr>
                <w:rFonts w:hint="eastAsia" w:ascii="仿宋_GB2312" w:hAnsi="仿宋" w:eastAsia="仿宋_GB2312"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left w:val="single" w:color="auto" w:sz="4" w:space="0"/>
              <w:right w:val="single" w:color="auto" w:sz="4" w:space="0"/>
            </w:tcBorders>
            <w:noWrap/>
            <w:vAlign w:val="center"/>
          </w:tcPr>
          <w:p>
            <w:pPr>
              <w:spacing w:line="360" w:lineRule="auto"/>
              <w:jc w:val="center"/>
              <w:rPr>
                <w:rFonts w:ascii="仿宋" w:hAnsi="仿宋" w:eastAsia="仿宋_GB2312" w:cs="仿宋"/>
                <w:color w:val="auto"/>
                <w:sz w:val="24"/>
              </w:rPr>
            </w:pPr>
            <w:r>
              <w:rPr>
                <w:rFonts w:hint="eastAsia" w:ascii="仿宋" w:hAnsi="仿宋" w:eastAsia="仿宋_GB2312" w:cs="仿宋"/>
                <w:color w:val="auto"/>
                <w:sz w:val="24"/>
              </w:rPr>
              <w:t>应急预案</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5</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_GB2312" w:hAnsi="仿宋" w:eastAsia="仿宋_GB2312" w:cs="仿宋"/>
                <w:color w:val="auto"/>
                <w:sz w:val="24"/>
              </w:rPr>
            </w:pPr>
            <w:r>
              <w:rPr>
                <w:rFonts w:hint="eastAsia" w:ascii="仿宋_GB2312" w:hAnsi="仿宋" w:eastAsia="仿宋_GB2312" w:cs="仿宋"/>
                <w:color w:val="auto"/>
                <w:sz w:val="24"/>
                <w:lang w:eastAsia="zh-CN"/>
              </w:rPr>
              <w:t>供应商</w:t>
            </w:r>
            <w:r>
              <w:rPr>
                <w:rFonts w:hint="eastAsia" w:ascii="仿宋_GB2312" w:hAnsi="仿宋" w:eastAsia="仿宋_GB2312" w:cs="仿宋"/>
                <w:color w:val="auto"/>
                <w:sz w:val="24"/>
              </w:rPr>
              <w:t>应急预案实操说明在操作性、科学性、先进性、合理性、规范性及成熟性等方面十分优秀得5分；</w:t>
            </w:r>
          </w:p>
          <w:p>
            <w:pPr>
              <w:spacing w:line="360" w:lineRule="auto"/>
              <w:jc w:val="left"/>
              <w:rPr>
                <w:rFonts w:ascii="仿宋_GB2312" w:hAnsi="仿宋" w:eastAsia="仿宋_GB2312" w:cs="仿宋"/>
                <w:color w:val="auto"/>
                <w:sz w:val="24"/>
              </w:rPr>
            </w:pPr>
            <w:r>
              <w:rPr>
                <w:rFonts w:hint="eastAsia" w:ascii="仿宋_GB2312" w:hAnsi="仿宋" w:eastAsia="仿宋_GB2312" w:cs="仿宋"/>
                <w:color w:val="auto"/>
                <w:sz w:val="24"/>
                <w:lang w:eastAsia="zh-CN"/>
              </w:rPr>
              <w:t>供应商</w:t>
            </w:r>
            <w:r>
              <w:rPr>
                <w:rFonts w:hint="eastAsia" w:ascii="仿宋_GB2312" w:hAnsi="仿宋" w:eastAsia="仿宋_GB2312" w:cs="仿宋"/>
                <w:color w:val="auto"/>
                <w:sz w:val="24"/>
              </w:rPr>
              <w:t>应急预案实操说明在操作性、科学性、先进性、合理性良好得3分；</w:t>
            </w:r>
          </w:p>
          <w:p>
            <w:pPr>
              <w:spacing w:line="360" w:lineRule="auto"/>
              <w:jc w:val="left"/>
              <w:rPr>
                <w:rFonts w:ascii="仿宋_GB2312" w:hAnsi="仿宋" w:eastAsia="仿宋_GB2312" w:cs="仿宋"/>
                <w:color w:val="auto"/>
                <w:sz w:val="24"/>
              </w:rPr>
            </w:pPr>
            <w:r>
              <w:rPr>
                <w:rFonts w:hint="eastAsia" w:ascii="仿宋_GB2312" w:hAnsi="仿宋" w:eastAsia="仿宋_GB2312" w:cs="仿宋"/>
                <w:color w:val="auto"/>
                <w:sz w:val="24"/>
                <w:lang w:eastAsia="zh-CN"/>
              </w:rPr>
              <w:t>供应商</w:t>
            </w:r>
            <w:r>
              <w:rPr>
                <w:rFonts w:hint="eastAsia" w:ascii="仿宋_GB2312" w:hAnsi="仿宋" w:eastAsia="仿宋_GB2312" w:cs="仿宋"/>
                <w:color w:val="auto"/>
                <w:sz w:val="24"/>
              </w:rPr>
              <w:t>应急预案实操说明一般得1分。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人员配置方案</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9</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b/>
                <w:bCs/>
                <w:color w:val="auto"/>
                <w:sz w:val="24"/>
              </w:rPr>
            </w:pPr>
            <w:r>
              <w:rPr>
                <w:rFonts w:hint="eastAsia" w:ascii="仿宋" w:hAnsi="仿宋" w:eastAsia="仿宋" w:cs="仿宋"/>
                <w:color w:val="auto"/>
                <w:sz w:val="24"/>
              </w:rPr>
              <w:t>1.每具有1名人员具有3年及以上包装操作经验的得1分，最多的3分。</w:t>
            </w:r>
            <w:r>
              <w:rPr>
                <w:rFonts w:hint="eastAsia" w:ascii="仿宋" w:hAnsi="仿宋" w:eastAsia="仿宋" w:cs="仿宋"/>
                <w:b/>
                <w:bCs/>
                <w:color w:val="auto"/>
                <w:sz w:val="24"/>
              </w:rPr>
              <w:t>（提供人员本单位的社保缴纳证明及相关可以证明人员工作经历的证明，否则不得分）</w:t>
            </w:r>
          </w:p>
          <w:p>
            <w:pPr>
              <w:spacing w:line="360" w:lineRule="auto"/>
              <w:jc w:val="left"/>
              <w:rPr>
                <w:rFonts w:ascii="仿宋" w:hAnsi="仿宋" w:eastAsia="仿宋" w:cs="仿宋"/>
                <w:b/>
                <w:bCs/>
                <w:color w:val="auto"/>
                <w:sz w:val="24"/>
              </w:rPr>
            </w:pPr>
            <w:r>
              <w:rPr>
                <w:rFonts w:hint="eastAsia" w:ascii="仿宋" w:hAnsi="仿宋" w:eastAsia="仿宋" w:cs="仿宋"/>
                <w:color w:val="auto"/>
                <w:sz w:val="24"/>
              </w:rPr>
              <w:t>2.驾驶员具有5年以上驾驶经验的，每具有1名得1分，最高得3分。</w:t>
            </w:r>
            <w:r>
              <w:rPr>
                <w:rFonts w:hint="eastAsia" w:ascii="仿宋" w:hAnsi="仿宋" w:eastAsia="仿宋" w:cs="仿宋"/>
                <w:b/>
                <w:bCs/>
                <w:color w:val="auto"/>
                <w:sz w:val="24"/>
              </w:rPr>
              <w:t>（提供驾驶员的社保缴纳证明及驾驶证，否则不得分）</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3.工作人员必须为从事过相关博物馆文物业务。每一名员工得1分，最高得3分。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包装制作方案</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9</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供应商</w:t>
            </w:r>
            <w:r>
              <w:rPr>
                <w:rFonts w:hint="eastAsia" w:ascii="仿宋" w:hAnsi="仿宋" w:eastAsia="仿宋" w:cs="仿宋"/>
                <w:color w:val="auto"/>
                <w:sz w:val="24"/>
              </w:rPr>
              <w:t>单位承诺提供的包装材料及包装箱制作需符合《文物运输包装规范》（GB/T 23862-2009）的要求及环保要求得4分，无承诺不得分；</w:t>
            </w:r>
          </w:p>
          <w:p>
            <w:pPr>
              <w:spacing w:line="360" w:lineRule="auto"/>
              <w:jc w:val="left"/>
              <w:rPr>
                <w:rFonts w:ascii="仿宋" w:hAnsi="仿宋" w:eastAsia="仿宋" w:cs="仿宋"/>
                <w:b/>
                <w:bCs/>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包装箱的制作应根据文物的特点，且能够达到保护文物、适合长途运输且内外包装美观大方的作用和效果的得5分；包装方案效果一般得3分；包装方案效果较差得1分。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color w:val="auto"/>
                <w:sz w:val="24"/>
              </w:rPr>
            </w:pPr>
            <w:r>
              <w:rPr>
                <w:rFonts w:hint="eastAsia" w:ascii="仿宋" w:hAnsi="仿宋" w:eastAsia="仿宋" w:cs="仿宋"/>
                <w:color w:val="auto"/>
                <w:sz w:val="24"/>
              </w:rPr>
              <w:t>服务方案</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7</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评标委员会根据所提供的服务方案的全面性、合理性、科学性等方面进行评分。</w:t>
            </w:r>
          </w:p>
          <w:p>
            <w:pPr>
              <w:numPr>
                <w:ilvl w:val="0"/>
                <w:numId w:val="9"/>
              </w:numPr>
              <w:spacing w:line="360" w:lineRule="auto"/>
              <w:jc w:val="left"/>
              <w:rPr>
                <w:rFonts w:ascii="仿宋_GB2312" w:hAnsi="仿宋" w:eastAsia="仿宋_GB2312" w:cs="仿宋"/>
                <w:color w:val="auto"/>
                <w:sz w:val="24"/>
              </w:rPr>
            </w:pPr>
            <w:r>
              <w:rPr>
                <w:rFonts w:hint="eastAsia" w:ascii="仿宋" w:hAnsi="仿宋" w:eastAsia="仿宋" w:cs="仿宋"/>
                <w:color w:val="auto"/>
                <w:sz w:val="24"/>
              </w:rPr>
              <w:t>投标人提供的服务方案，内容科学、合理、对本项目针对性强、优于招标文件要求</w:t>
            </w:r>
            <w:r>
              <w:rPr>
                <w:rFonts w:hint="eastAsia" w:ascii="仿宋_GB2312" w:hAnsi="仿宋" w:eastAsia="仿宋_GB2312" w:cs="仿宋"/>
                <w:color w:val="auto"/>
                <w:sz w:val="24"/>
              </w:rPr>
              <w:t>得7分；</w:t>
            </w:r>
          </w:p>
          <w:p>
            <w:pPr>
              <w:numPr>
                <w:ilvl w:val="255"/>
                <w:numId w:val="0"/>
              </w:numPr>
              <w:spacing w:line="360" w:lineRule="auto"/>
              <w:jc w:val="left"/>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、投标人提供的服务方案内容基本齐全、比较有针对性、满足招标文件要求</w:t>
            </w:r>
            <w:r>
              <w:rPr>
                <w:rFonts w:hint="eastAsia" w:ascii="仿宋_GB2312" w:hAnsi="仿宋" w:eastAsia="仿宋_GB2312" w:cs="仿宋"/>
                <w:color w:val="auto"/>
                <w:sz w:val="24"/>
              </w:rPr>
              <w:t>得</w:t>
            </w:r>
            <w:r>
              <w:rPr>
                <w:rFonts w:hint="eastAsia" w:ascii="仿宋_GB2312" w:hAnsi="仿宋" w:eastAsia="仿宋_GB2312" w:cs="仿宋"/>
                <w:color w:val="auto"/>
                <w:sz w:val="24"/>
                <w:lang w:val="en-US" w:eastAsia="zh-CN"/>
              </w:rPr>
              <w:t>5</w:t>
            </w:r>
            <w:r>
              <w:rPr>
                <w:rFonts w:hint="eastAsia" w:ascii="仿宋_GB2312" w:hAnsi="仿宋" w:eastAsia="仿宋_GB2312" w:cs="仿宋"/>
                <w:color w:val="auto"/>
                <w:sz w:val="24"/>
              </w:rPr>
              <w:t>分；</w:t>
            </w:r>
          </w:p>
          <w:p>
            <w:pPr>
              <w:spacing w:line="360" w:lineRule="auto"/>
              <w:jc w:val="left"/>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、投标人提供的服务方案内容基本齐全、但针对性较差、内容不完善</w:t>
            </w:r>
            <w:r>
              <w:rPr>
                <w:rFonts w:hint="eastAsia" w:ascii="仿宋_GB2312" w:hAnsi="仿宋" w:eastAsia="仿宋_GB2312" w:cs="仿宋"/>
                <w:color w:val="auto"/>
                <w:sz w:val="24"/>
              </w:rPr>
              <w:t>得</w:t>
            </w:r>
            <w:r>
              <w:rPr>
                <w:rFonts w:hint="eastAsia" w:ascii="仿宋_GB2312" w:hAnsi="仿宋" w:eastAsia="仿宋_GB2312" w:cs="仿宋"/>
                <w:color w:val="auto"/>
                <w:sz w:val="24"/>
                <w:lang w:val="en-US" w:eastAsia="zh-CN"/>
              </w:rPr>
              <w:t>3</w:t>
            </w:r>
            <w:r>
              <w:rPr>
                <w:rFonts w:hint="eastAsia" w:ascii="仿宋_GB2312" w:hAnsi="仿宋" w:eastAsia="仿宋_GB2312"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服务承诺</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服务承诺最合理、范围最广，针对性强，处罚措施最大，能够满足招标人的需求得5分；</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服务承诺较合理、范围广，针对性较强，处罚措施大，能够满足招标人的需求得3分；</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服务承诺较合理性一般、范围较小，针对性一般，有处罚措得1分。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保险方案</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6</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承诺足额投保，提供保险条款详细描述，及除投保外的应急处理方案综合评分（0-</w:t>
            </w:r>
            <w:r>
              <w:rPr>
                <w:rFonts w:hint="eastAsia" w:ascii="仿宋" w:hAnsi="仿宋" w:eastAsia="仿宋" w:cs="仿宋"/>
                <w:color w:val="auto"/>
                <w:sz w:val="24"/>
                <w:lang w:val="en-US" w:eastAsia="zh-CN"/>
              </w:rPr>
              <w:t>6</w:t>
            </w:r>
            <w:r>
              <w:rPr>
                <w:rFonts w:hint="eastAsia" w:ascii="仿宋" w:hAnsi="仿宋" w:eastAsia="仿宋" w:cs="仿宋"/>
                <w:color w:val="auto"/>
                <w:sz w:val="24"/>
              </w:rPr>
              <w:t>分）。</w:t>
            </w:r>
          </w:p>
          <w:p>
            <w:pPr>
              <w:spacing w:line="360" w:lineRule="auto"/>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rPr>
              <w:t>内容合理，针对性、可行性强得</w:t>
            </w:r>
            <w:r>
              <w:rPr>
                <w:rFonts w:hint="eastAsia" w:ascii="仿宋_GB2312" w:hAnsi="仿宋" w:eastAsia="仿宋_GB2312" w:cs="仿宋"/>
                <w:color w:val="auto"/>
                <w:kern w:val="0"/>
                <w:sz w:val="24"/>
                <w:lang w:val="en-US" w:eastAsia="zh-CN"/>
              </w:rPr>
              <w:t>6</w:t>
            </w:r>
            <w:r>
              <w:rPr>
                <w:rFonts w:hint="eastAsia" w:ascii="仿宋_GB2312" w:hAnsi="仿宋" w:eastAsia="仿宋_GB2312" w:cs="仿宋"/>
                <w:color w:val="auto"/>
                <w:kern w:val="0"/>
                <w:sz w:val="24"/>
              </w:rPr>
              <w:t>分</w:t>
            </w:r>
            <w:r>
              <w:rPr>
                <w:rFonts w:hint="eastAsia" w:ascii="仿宋_GB2312" w:hAnsi="仿宋" w:eastAsia="仿宋_GB2312" w:cs="仿宋"/>
                <w:color w:val="auto"/>
                <w:kern w:val="0"/>
                <w:sz w:val="24"/>
                <w:lang w:eastAsia="zh-CN"/>
              </w:rPr>
              <w:t>；</w:t>
            </w:r>
          </w:p>
          <w:p>
            <w:pPr>
              <w:spacing w:line="360" w:lineRule="auto"/>
              <w:jc w:val="left"/>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rPr>
              <w:t>内容存在不足之处得</w:t>
            </w:r>
            <w:r>
              <w:rPr>
                <w:rFonts w:hint="eastAsia" w:ascii="仿宋_GB2312" w:hAnsi="仿宋" w:eastAsia="仿宋_GB2312" w:cs="仿宋"/>
                <w:color w:val="auto"/>
                <w:kern w:val="0"/>
                <w:sz w:val="24"/>
                <w:lang w:val="en-US" w:eastAsia="zh-CN"/>
              </w:rPr>
              <w:t>4</w:t>
            </w:r>
            <w:r>
              <w:rPr>
                <w:rFonts w:hint="eastAsia" w:ascii="仿宋_GB2312" w:hAnsi="仿宋" w:eastAsia="仿宋_GB2312" w:cs="仿宋"/>
                <w:color w:val="auto"/>
                <w:kern w:val="0"/>
                <w:sz w:val="24"/>
              </w:rPr>
              <w:t>分</w:t>
            </w:r>
            <w:r>
              <w:rPr>
                <w:rFonts w:hint="eastAsia" w:ascii="仿宋_GB2312" w:hAnsi="仿宋" w:eastAsia="仿宋_GB2312" w:cs="仿宋"/>
                <w:color w:val="auto"/>
                <w:kern w:val="0"/>
                <w:sz w:val="24"/>
                <w:lang w:eastAsia="zh-CN"/>
              </w:rPr>
              <w:t>；</w:t>
            </w:r>
          </w:p>
          <w:p>
            <w:pPr>
              <w:spacing w:line="360" w:lineRule="auto"/>
              <w:jc w:val="left"/>
              <w:rPr>
                <w:rFonts w:ascii="仿宋" w:hAnsi="仿宋" w:eastAsia="仿宋" w:cs="仿宋"/>
                <w:color w:val="auto"/>
                <w:sz w:val="24"/>
              </w:rPr>
            </w:pPr>
            <w:r>
              <w:rPr>
                <w:rFonts w:hint="eastAsia" w:ascii="仿宋_GB2312" w:hAnsi="仿宋" w:eastAsia="仿宋_GB2312" w:cs="仿宋"/>
                <w:color w:val="auto"/>
                <w:kern w:val="0"/>
                <w:sz w:val="24"/>
              </w:rPr>
              <w:t>内容不合理或无相关内容得</w:t>
            </w:r>
            <w:r>
              <w:rPr>
                <w:rFonts w:hint="eastAsia" w:ascii="仿宋_GB2312" w:hAnsi="仿宋" w:eastAsia="仿宋_GB2312" w:cs="仿宋"/>
                <w:color w:val="auto"/>
                <w:kern w:val="0"/>
                <w:sz w:val="24"/>
                <w:lang w:val="en-US" w:eastAsia="zh-CN"/>
              </w:rPr>
              <w:t>2</w:t>
            </w:r>
            <w:r>
              <w:rPr>
                <w:rFonts w:hint="eastAsia" w:ascii="仿宋_GB2312" w:hAnsi="仿宋" w:eastAsia="仿宋_GB2312" w:cs="仿宋"/>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7"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p>
        </w:tc>
        <w:tc>
          <w:tcPr>
            <w:tcW w:w="118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车辆配置</w:t>
            </w: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7</w:t>
            </w:r>
          </w:p>
        </w:tc>
        <w:tc>
          <w:tcPr>
            <w:tcW w:w="56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eastAsia="zh-CN"/>
              </w:rPr>
              <w:t>供应商</w:t>
            </w:r>
            <w:r>
              <w:rPr>
                <w:rFonts w:hint="eastAsia" w:ascii="仿宋" w:hAnsi="仿宋" w:eastAsia="仿宋" w:cs="仿宋"/>
                <w:color w:val="auto"/>
                <w:sz w:val="24"/>
              </w:rPr>
              <w:t>本项目车辆人员设置合理，参与人员具有丰富的经验，技术力量雄厚，车辆符合采购人要求，有充足的保障能力完成该项目得7分；</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eastAsia="zh-CN"/>
              </w:rPr>
              <w:t>供应商</w:t>
            </w:r>
            <w:r>
              <w:rPr>
                <w:rFonts w:hint="eastAsia" w:ascii="仿宋" w:hAnsi="仿宋" w:eastAsia="仿宋" w:cs="仿宋"/>
                <w:color w:val="auto"/>
                <w:sz w:val="24"/>
              </w:rPr>
              <w:t>本项目车辆人员设置比较合理，参与人员具有比较丰富的经验，技术力量雄厚，车辆符合采购人基本要求，有一定的能力完成该项目得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供应商</w:t>
            </w:r>
            <w:r>
              <w:rPr>
                <w:rFonts w:hint="eastAsia" w:ascii="仿宋" w:hAnsi="仿宋" w:eastAsia="仿宋" w:cs="仿宋"/>
                <w:color w:val="auto"/>
                <w:sz w:val="24"/>
              </w:rPr>
              <w:t>本项目车辆人员设置不够合理，参与人员具有一般的经验，技术力量雄厚，车辆不符合采购人要求，保障项目完成能力一般得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r>
    </w:tbl>
    <w:p>
      <w:pPr>
        <w:adjustRightInd w:val="0"/>
        <w:snapToGrid w:val="0"/>
        <w:spacing w:line="360" w:lineRule="auto"/>
        <w:rPr>
          <w:rFonts w:hint="eastAsia" w:ascii="仿宋" w:hAnsi="仿宋" w:eastAsia="仿宋" w:cs="仿宋"/>
          <w:b/>
          <w:bCs/>
          <w:color w:val="auto"/>
          <w:sz w:val="24"/>
        </w:rPr>
      </w:pP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注：</w:t>
      </w:r>
      <w:r>
        <w:rPr>
          <w:rFonts w:ascii="仿宋" w:hAnsi="仿宋" w:eastAsia="仿宋" w:cs="仿宋"/>
          <w:b/>
          <w:bCs/>
          <w:color w:val="auto"/>
          <w:sz w:val="24"/>
        </w:rPr>
        <w:t>1</w:t>
      </w:r>
      <w:r>
        <w:rPr>
          <w:rFonts w:hint="eastAsia" w:ascii="仿宋" w:hAnsi="仿宋" w:eastAsia="仿宋" w:cs="仿宋"/>
          <w:b/>
          <w:bCs/>
          <w:color w:val="auto"/>
          <w:sz w:val="24"/>
        </w:rPr>
        <w:t>、以上所需提供的资料复印件均需加盖磋商供应商公章；</w:t>
      </w:r>
    </w:p>
    <w:p>
      <w:pPr>
        <w:adjustRightInd w:val="0"/>
        <w:snapToGrid w:val="0"/>
        <w:spacing w:line="360" w:lineRule="auto"/>
        <w:ind w:firstLine="472" w:firstLineChars="196"/>
        <w:rPr>
          <w:rFonts w:hint="eastAsia" w:ascii="仿宋" w:hAnsi="仿宋" w:eastAsia="仿宋" w:cs="仿宋"/>
          <w:b/>
          <w:bCs/>
          <w:color w:val="auto"/>
          <w:sz w:val="24"/>
        </w:rPr>
      </w:pPr>
      <w:r>
        <w:rPr>
          <w:rFonts w:ascii="仿宋" w:hAnsi="仿宋" w:eastAsia="仿宋" w:cs="仿宋"/>
          <w:b/>
          <w:bCs/>
          <w:color w:val="auto"/>
          <w:sz w:val="24"/>
        </w:rPr>
        <w:t>2</w:t>
      </w:r>
      <w:r>
        <w:rPr>
          <w:rFonts w:hint="eastAsia" w:ascii="仿宋" w:hAnsi="仿宋" w:eastAsia="仿宋" w:cs="仿宋"/>
          <w:b/>
          <w:bCs/>
          <w:color w:val="auto"/>
          <w:sz w:val="24"/>
        </w:rPr>
        <w:t>、若未提供相关证明材料的，不得分；</w:t>
      </w:r>
    </w:p>
    <w:p>
      <w:pPr>
        <w:adjustRightInd w:val="0"/>
        <w:snapToGrid w:val="0"/>
        <w:spacing w:line="360" w:lineRule="auto"/>
        <w:ind w:firstLine="472" w:firstLineChars="196"/>
        <w:jc w:val="left"/>
        <w:rPr>
          <w:rFonts w:hint="eastAsia" w:ascii="仿宋_GB2312" w:hAnsi="仿宋" w:eastAsia="仿宋_GB2312" w:cs="仿宋"/>
          <w:b/>
          <w:color w:val="auto"/>
          <w:sz w:val="36"/>
          <w:szCs w:val="36"/>
        </w:rPr>
      </w:pPr>
      <w:r>
        <w:rPr>
          <w:rFonts w:ascii="仿宋" w:hAnsi="仿宋" w:eastAsia="仿宋" w:cs="仿宋"/>
          <w:b/>
          <w:bCs/>
          <w:color w:val="auto"/>
          <w:sz w:val="24"/>
        </w:rPr>
        <w:t>3</w:t>
      </w:r>
      <w:r>
        <w:rPr>
          <w:rFonts w:hint="eastAsia" w:ascii="仿宋" w:hAnsi="仿宋" w:eastAsia="仿宋" w:cs="仿宋"/>
          <w:b/>
          <w:bCs/>
          <w:color w:val="auto"/>
          <w:sz w:val="24"/>
        </w:rPr>
        <w:t>、最低报价不一定为最终成交的保证。</w:t>
      </w:r>
      <w:r>
        <w:rPr>
          <w:rFonts w:hint="eastAsia" w:ascii="仿宋" w:hAnsi="仿宋" w:eastAsia="仿宋" w:cs="仿宋"/>
          <w:b/>
          <w:bCs/>
          <w:color w:val="auto"/>
          <w:sz w:val="24"/>
        </w:rPr>
        <w:br w:type="page"/>
      </w:r>
      <w:r>
        <w:rPr>
          <w:rFonts w:hint="eastAsia" w:ascii="仿宋_GB2312" w:hAnsi="仿宋" w:eastAsia="仿宋_GB2312" w:cs="仿宋"/>
          <w:b/>
          <w:color w:val="auto"/>
          <w:sz w:val="32"/>
          <w:szCs w:val="32"/>
        </w:rPr>
        <w:t xml:space="preserve">              第五部分  合同主要条款</w:t>
      </w:r>
    </w:p>
    <w:p>
      <w:pPr>
        <w:pStyle w:val="15"/>
        <w:adjustRightInd w:val="0"/>
        <w:snapToGrid w:val="0"/>
        <w:spacing w:before="156" w:after="156" w:line="360" w:lineRule="auto"/>
        <w:jc w:val="center"/>
        <w:rPr>
          <w:rFonts w:hint="eastAsia" w:ascii="仿宋_GB2312" w:hAnsi="仿宋" w:eastAsia="仿宋_GB2312" w:cs="仿宋"/>
          <w:color w:val="auto"/>
        </w:rPr>
      </w:pPr>
      <w:r>
        <w:rPr>
          <w:rFonts w:hint="eastAsia" w:ascii="仿宋_GB2312" w:hAnsi="仿宋" w:eastAsia="仿宋_GB2312" w:cs="仿宋"/>
          <w:b/>
          <w:color w:val="auto"/>
        </w:rPr>
        <w:t>（本合同为合同样稿，最终稿由双方协商后确定）</w:t>
      </w:r>
    </w:p>
    <w:p>
      <w:pPr>
        <w:snapToGrid w:val="0"/>
        <w:spacing w:line="360" w:lineRule="auto"/>
        <w:ind w:firstLine="480" w:firstLineChars="200"/>
        <w:jc w:val="center"/>
        <w:rPr>
          <w:rFonts w:hint="eastAsia" w:ascii="仿宋" w:hAnsi="仿宋" w:eastAsia="仿宋" w:cs="仿宋"/>
          <w:color w:val="auto"/>
          <w:sz w:val="24"/>
          <w:szCs w:val="28"/>
          <w:lang w:val="zh-CN"/>
        </w:rPr>
      </w:pPr>
      <w:r>
        <w:rPr>
          <w:rFonts w:hint="eastAsia" w:ascii="仿宋" w:hAnsi="仿宋" w:eastAsia="仿宋" w:cs="仿宋"/>
          <w:color w:val="auto"/>
          <w:sz w:val="24"/>
          <w:szCs w:val="28"/>
        </w:rPr>
        <w:t xml:space="preserve">                                         </w:t>
      </w:r>
      <w:r>
        <w:rPr>
          <w:rFonts w:hint="eastAsia" w:ascii="仿宋" w:hAnsi="仿宋" w:eastAsia="仿宋" w:cs="仿宋"/>
          <w:color w:val="auto"/>
          <w:sz w:val="24"/>
          <w:szCs w:val="28"/>
          <w:lang w:val="zh-CN"/>
        </w:rPr>
        <w:t>项目名称：</w:t>
      </w:r>
    </w:p>
    <w:p>
      <w:pPr>
        <w:snapToGrid w:val="0"/>
        <w:spacing w:line="360" w:lineRule="auto"/>
        <w:ind w:firstLine="480" w:firstLineChars="200"/>
        <w:rPr>
          <w:rFonts w:hint="eastAsia" w:ascii="仿宋" w:hAnsi="仿宋" w:eastAsia="仿宋" w:cs="仿宋"/>
          <w:color w:val="auto"/>
          <w:sz w:val="24"/>
          <w:szCs w:val="28"/>
          <w:lang w:val="zh-CN"/>
        </w:rPr>
      </w:pPr>
      <w:r>
        <w:rPr>
          <w:rFonts w:hint="eastAsia" w:ascii="仿宋" w:hAnsi="仿宋" w:eastAsia="仿宋" w:cs="仿宋"/>
          <w:color w:val="auto"/>
          <w:sz w:val="24"/>
          <w:szCs w:val="28"/>
        </w:rPr>
        <w:t xml:space="preserve">                                                </w:t>
      </w:r>
      <w:r>
        <w:rPr>
          <w:rFonts w:hint="eastAsia" w:ascii="仿宋" w:hAnsi="仿宋" w:eastAsia="仿宋" w:cs="仿宋"/>
          <w:color w:val="auto"/>
          <w:sz w:val="24"/>
          <w:szCs w:val="28"/>
          <w:lang w:val="zh-CN"/>
        </w:rPr>
        <w:t xml:space="preserve">项目编号：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甲方：（买方）</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乙方：（卖方）</w:t>
      </w:r>
    </w:p>
    <w:p>
      <w:pPr>
        <w:snapToGrid w:val="0"/>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甲、乙双方根据</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项目（项目编号：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）的采购结果，甲乙双方经友好协商，签署本合同。</w:t>
      </w:r>
    </w:p>
    <w:p>
      <w:p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一、具体服务内容及要求</w:t>
      </w:r>
    </w:p>
    <w:p>
      <w:pPr>
        <w:adjustRightInd w:val="0"/>
        <w:snapToGrid w:val="0"/>
        <w:spacing w:line="360" w:lineRule="auto"/>
        <w:rPr>
          <w:rFonts w:hint="eastAsia" w:ascii="仿宋" w:hAnsi="仿宋" w:eastAsia="仿宋" w:cs="仿宋"/>
          <w:b/>
          <w:color w:val="auto"/>
          <w:sz w:val="24"/>
        </w:rPr>
      </w:pPr>
    </w:p>
    <w:p>
      <w:p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二、服务期限（完成时间）</w:t>
      </w:r>
    </w:p>
    <w:p>
      <w:pPr>
        <w:adjustRightInd w:val="0"/>
        <w:snapToGrid w:val="0"/>
        <w:spacing w:line="360" w:lineRule="auto"/>
        <w:ind w:firstLine="480" w:firstLineChars="200"/>
        <w:rPr>
          <w:rFonts w:hint="eastAsia" w:ascii="仿宋" w:hAnsi="仿宋" w:eastAsia="仿宋" w:cs="仿宋"/>
          <w:color w:val="auto"/>
          <w:sz w:val="24"/>
          <w:szCs w:val="28"/>
          <w:lang w:val="zh-CN"/>
        </w:rPr>
      </w:pPr>
      <w:r>
        <w:rPr>
          <w:rFonts w:hint="eastAsia" w:ascii="仿宋" w:hAnsi="仿宋" w:eastAsia="仿宋" w:cs="仿宋"/>
          <w:color w:val="auto"/>
          <w:sz w:val="24"/>
          <w:szCs w:val="28"/>
          <w:lang w:val="zh-CN"/>
        </w:rPr>
        <w:t xml:space="preserve"> 2024年4月28日-2024年8月28日</w:t>
      </w:r>
    </w:p>
    <w:p>
      <w:pPr>
        <w:numPr>
          <w:ilvl w:val="0"/>
          <w:numId w:val="10"/>
        </w:num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合同金额</w:t>
      </w:r>
    </w:p>
    <w:p>
      <w:pPr>
        <w:adjustRightInd w:val="0"/>
        <w:snapToGrid w:val="0"/>
        <w:spacing w:line="360" w:lineRule="auto"/>
        <w:rPr>
          <w:rFonts w:hint="eastAsia" w:ascii="仿宋" w:hAnsi="仿宋" w:eastAsia="仿宋" w:cs="仿宋"/>
          <w:b/>
          <w:color w:val="auto"/>
          <w:sz w:val="24"/>
        </w:rPr>
      </w:pPr>
    </w:p>
    <w:p>
      <w:pPr>
        <w:numPr>
          <w:ilvl w:val="0"/>
          <w:numId w:val="10"/>
        </w:num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付款方式</w:t>
      </w:r>
    </w:p>
    <w:p>
      <w:pPr>
        <w:adjustRightInd w:val="0"/>
        <w:snapToGrid w:val="0"/>
        <w:spacing w:line="360" w:lineRule="auto"/>
        <w:ind w:firstLine="480" w:firstLineChars="200"/>
        <w:rPr>
          <w:rFonts w:hint="eastAsia" w:ascii="仿宋" w:hAnsi="仿宋" w:eastAsia="仿宋" w:cs="仿宋"/>
          <w:b w:val="0"/>
          <w:bCs/>
          <w:color w:val="auto"/>
          <w:sz w:val="24"/>
        </w:rPr>
      </w:pPr>
      <w:r>
        <w:rPr>
          <w:rFonts w:hint="eastAsia" w:ascii="仿宋" w:hAnsi="仿宋" w:eastAsia="仿宋" w:cs="仿宋"/>
          <w:b w:val="0"/>
          <w:bCs/>
          <w:color w:val="auto"/>
          <w:sz w:val="24"/>
        </w:rPr>
        <w:t>1.</w:t>
      </w:r>
      <w:r>
        <w:rPr>
          <w:rFonts w:hint="eastAsia" w:ascii="仿宋" w:hAnsi="仿宋" w:eastAsia="仿宋" w:cs="仿宋"/>
          <w:b w:val="0"/>
          <w:bCs/>
          <w:color w:val="auto"/>
          <w:sz w:val="24"/>
        </w:rPr>
        <w:tab/>
      </w:r>
      <w:r>
        <w:rPr>
          <w:rFonts w:hint="eastAsia" w:ascii="仿宋" w:hAnsi="仿宋" w:eastAsia="仿宋" w:cs="仿宋"/>
          <w:b w:val="0"/>
          <w:bCs/>
          <w:color w:val="auto"/>
          <w:sz w:val="24"/>
        </w:rPr>
        <w:t>经双方同意，展品抵达浙江省博物馆，完成布展之后的15个工作日内，乙方提供正式票据，甲方将总服务费用的一半费用支付到乙方指定账户。</w:t>
      </w:r>
    </w:p>
    <w:p>
      <w:pPr>
        <w:adjustRightInd w:val="0"/>
        <w:snapToGrid w:val="0"/>
        <w:spacing w:line="360" w:lineRule="auto"/>
        <w:ind w:firstLine="480" w:firstLineChars="200"/>
        <w:rPr>
          <w:rFonts w:hint="eastAsia" w:ascii="仿宋" w:hAnsi="仿宋" w:eastAsia="仿宋" w:cs="仿宋"/>
          <w:b w:val="0"/>
          <w:bCs/>
          <w:color w:val="auto"/>
          <w:sz w:val="24"/>
        </w:rPr>
      </w:pPr>
      <w:r>
        <w:rPr>
          <w:rFonts w:hint="eastAsia" w:ascii="仿宋" w:hAnsi="仿宋" w:eastAsia="仿宋" w:cs="仿宋"/>
          <w:b w:val="0"/>
          <w:bCs/>
          <w:color w:val="auto"/>
          <w:sz w:val="24"/>
        </w:rPr>
        <w:t>2.</w:t>
      </w:r>
      <w:r>
        <w:rPr>
          <w:rFonts w:hint="eastAsia" w:ascii="仿宋" w:hAnsi="仿宋" w:eastAsia="仿宋" w:cs="仿宋"/>
          <w:b w:val="0"/>
          <w:bCs/>
          <w:color w:val="auto"/>
          <w:sz w:val="24"/>
        </w:rPr>
        <w:tab/>
      </w:r>
      <w:r>
        <w:rPr>
          <w:rFonts w:hint="eastAsia" w:ascii="仿宋" w:hAnsi="仿宋" w:eastAsia="仿宋" w:cs="仿宋"/>
          <w:b w:val="0"/>
          <w:bCs/>
          <w:color w:val="auto"/>
          <w:sz w:val="24"/>
        </w:rPr>
        <w:t>经双方同意，甲方于返程结束即自浙江省博物馆归还各借展单位后15个工作日内支付剩余款项。</w:t>
      </w:r>
    </w:p>
    <w:p>
      <w:pPr>
        <w:adjustRightInd w:val="0"/>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    五、违约责任(以下内容供参考,用户单位根据实际情况定)</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1、甲方无故逾期办理价款支付手续的，甲方应按逾期付款总额每日万分之五向乙方支付违约金。</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乙方逾期完成改造、未按期提供服务的，乙方应合同价款总额每日千分之六向甲方支付违约金，由甲方从待付款中扣除。逾期或未提供服务超过约定日期十个工作日不能完成的，甲方可解除本合同。乙方因逾期完成、未提供服务或因其他违约行为导致甲方解除合同的，乙方应向甲方支付合同价款百分之五的违约金，如造成甲方损失超过违约金的，超出部分由乙方继续承担赔偿责任。</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乙方所提供的服务质量标准不符合合同规定或招标文件规定标准的，甲方有权拒绝接受服务，乙方愿意继续维修、提供服务但逾期完成的，按乙方逾期完成处理或提供服务。乙方拒绝按要求继续服务的，甲方可单方面解除合同。</w:t>
      </w:r>
    </w:p>
    <w:p>
      <w:p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六、不可抗力事件处理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2、不可抗力事件发生后，应立即通知对方，并寄送有关权威机构出具的证明。</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3、不可抗力事件延续120天以上，双方应通过友好协商，确定是否继续履行合同。</w:t>
      </w:r>
    </w:p>
    <w:p>
      <w:p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七、争议的解决</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在履行合同过程中发生争议时，双方当事人协商解决，协商不成的，采用下列方法解决：</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1、提交杭州市仲裁委员会仲裁。</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2、依法向采购人所在地人民法院提起诉讼。</w:t>
      </w:r>
    </w:p>
    <w:p>
      <w:pPr>
        <w:adjustRightInd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八、合同生效及其它</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1、合同经双方法定代表人或授权委托代理人签字并加盖单位公章后生效。</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2、合同执行中涉及采购资金和谈判采购内容修改或补充的，须经有关部门审批，并签书面补充协议报管理部门备案，方可作为主合同不可分割的一部分。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3、下述合同附件为本合同不可分割的部分并与本合同具有同等效力：</w:t>
      </w:r>
      <w:r>
        <w:rPr>
          <w:rFonts w:hint="eastAsia" w:ascii="仿宋" w:hAnsi="仿宋" w:eastAsia="仿宋" w:cs="仿宋"/>
          <w:b/>
          <w:color w:val="auto"/>
          <w:sz w:val="24"/>
        </w:rPr>
        <w:t>(已有内容供参考,用户单位可根据实际情况定)</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（1）服务所需材料、人工等分项价格表</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（2）服务质量标准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（3）乙方谈判响应文件的内容及澄清内容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（4）其他与本合同相关的单据</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（5）本合同适用的特殊条款</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4、本合同未尽事宜，遵照《中华人民共和国民法典》有关条文执行。</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5、本合同正本一式八份（甲方六份、乙方二份），具有同等法律效力。</w:t>
      </w:r>
    </w:p>
    <w:p>
      <w:pPr>
        <w:snapToGrid w:val="0"/>
        <w:spacing w:line="360" w:lineRule="auto"/>
        <w:rPr>
          <w:rFonts w:hint="eastAsia" w:ascii="宋体" w:hAnsi="宋体"/>
          <w:color w:val="auto"/>
          <w:sz w:val="24"/>
          <w:szCs w:val="30"/>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甲方（盖章）：</w:t>
      </w:r>
      <w:r>
        <w:rPr>
          <w:rFonts w:ascii="仿宋" w:hAnsi="仿宋" w:eastAsia="仿宋" w:cs="仿宋"/>
          <w:color w:val="auto"/>
          <w:sz w:val="24"/>
        </w:rPr>
        <w:t xml:space="preserve">                            </w:t>
      </w:r>
      <w:r>
        <w:rPr>
          <w:rFonts w:hint="eastAsia" w:ascii="仿宋" w:hAnsi="仿宋" w:eastAsia="仿宋" w:cs="仿宋"/>
          <w:color w:val="auto"/>
          <w:sz w:val="24"/>
        </w:rPr>
        <w:t>乙方（盖章）：</w:t>
      </w:r>
      <w:r>
        <w:rPr>
          <w:rFonts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法定代表人：</w:t>
      </w:r>
      <w:r>
        <w:rPr>
          <w:rFonts w:ascii="仿宋" w:hAnsi="仿宋" w:eastAsia="仿宋" w:cs="仿宋"/>
          <w:color w:val="auto"/>
          <w:sz w:val="24"/>
        </w:rPr>
        <w:t xml:space="preserve">                              </w:t>
      </w:r>
      <w:r>
        <w:rPr>
          <w:rFonts w:hint="eastAsia" w:ascii="仿宋" w:hAnsi="仿宋" w:eastAsia="仿宋" w:cs="仿宋"/>
          <w:color w:val="auto"/>
          <w:sz w:val="24"/>
        </w:rPr>
        <w:t>法定代表人：</w:t>
      </w:r>
      <w:r>
        <w:rPr>
          <w:rFonts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或受委托人（签字）：</w:t>
      </w:r>
      <w:r>
        <w:rPr>
          <w:rFonts w:ascii="仿宋" w:hAnsi="仿宋" w:eastAsia="仿宋" w:cs="仿宋"/>
          <w:color w:val="auto"/>
          <w:sz w:val="24"/>
        </w:rPr>
        <w:t xml:space="preserve">                      </w:t>
      </w:r>
      <w:r>
        <w:rPr>
          <w:rFonts w:hint="eastAsia" w:ascii="仿宋" w:hAnsi="仿宋" w:eastAsia="仿宋" w:cs="仿宋"/>
          <w:color w:val="auto"/>
          <w:sz w:val="24"/>
        </w:rPr>
        <w:t>或受委托人（签字）：</w:t>
      </w:r>
      <w:r>
        <w:rPr>
          <w:rFonts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联系人：</w:t>
      </w:r>
      <w:r>
        <w:rPr>
          <w:rFonts w:ascii="仿宋" w:hAnsi="仿宋" w:eastAsia="仿宋" w:cs="仿宋"/>
          <w:color w:val="auto"/>
          <w:sz w:val="24"/>
        </w:rPr>
        <w:t xml:space="preserve">                                  </w:t>
      </w:r>
      <w:r>
        <w:rPr>
          <w:rFonts w:hint="eastAsia" w:ascii="仿宋" w:hAnsi="仿宋" w:eastAsia="仿宋" w:cs="仿宋"/>
          <w:color w:val="auto"/>
          <w:sz w:val="24"/>
        </w:rPr>
        <w:t>联系人：</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地址：</w:t>
      </w:r>
      <w:r>
        <w:rPr>
          <w:rFonts w:ascii="仿宋" w:hAnsi="仿宋" w:eastAsia="仿宋" w:cs="仿宋"/>
          <w:color w:val="auto"/>
          <w:sz w:val="24"/>
        </w:rPr>
        <w:t xml:space="preserve">                                    </w:t>
      </w:r>
      <w:r>
        <w:rPr>
          <w:rFonts w:hint="eastAsia" w:ascii="仿宋" w:hAnsi="仿宋" w:eastAsia="仿宋" w:cs="仿宋"/>
          <w:color w:val="auto"/>
          <w:sz w:val="24"/>
        </w:rPr>
        <w:t>地址：</w:t>
      </w:r>
      <w:r>
        <w:rPr>
          <w:rFonts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电话：</w:t>
      </w:r>
      <w:r>
        <w:rPr>
          <w:rFonts w:ascii="仿宋" w:hAnsi="仿宋" w:eastAsia="仿宋" w:cs="仿宋"/>
          <w:color w:val="auto"/>
          <w:sz w:val="24"/>
        </w:rPr>
        <w:t xml:space="preserve">                                    </w:t>
      </w:r>
      <w:r>
        <w:rPr>
          <w:rFonts w:hint="eastAsia" w:ascii="仿宋" w:hAnsi="仿宋" w:eastAsia="仿宋" w:cs="仿宋"/>
          <w:color w:val="auto"/>
          <w:sz w:val="24"/>
        </w:rPr>
        <w:t>电话：</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传真：</w:t>
      </w:r>
      <w:r>
        <w:rPr>
          <w:rFonts w:ascii="仿宋" w:hAnsi="仿宋" w:eastAsia="仿宋" w:cs="仿宋"/>
          <w:color w:val="auto"/>
          <w:sz w:val="24"/>
        </w:rPr>
        <w:t xml:space="preserve">                                    </w:t>
      </w:r>
      <w:r>
        <w:rPr>
          <w:rFonts w:hint="eastAsia" w:ascii="仿宋" w:hAnsi="仿宋" w:eastAsia="仿宋" w:cs="仿宋"/>
          <w:color w:val="auto"/>
          <w:sz w:val="24"/>
        </w:rPr>
        <w:t>传真：</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开户银行：</w:t>
      </w:r>
      <w:r>
        <w:rPr>
          <w:rFonts w:ascii="仿宋" w:hAnsi="仿宋" w:eastAsia="仿宋" w:cs="仿宋"/>
          <w:color w:val="auto"/>
          <w:sz w:val="24"/>
        </w:rPr>
        <w:t xml:space="preserve">                                </w:t>
      </w:r>
      <w:r>
        <w:rPr>
          <w:rFonts w:hint="eastAsia" w:ascii="仿宋" w:hAnsi="仿宋" w:eastAsia="仿宋" w:cs="仿宋"/>
          <w:color w:val="auto"/>
          <w:sz w:val="24"/>
        </w:rPr>
        <w:t>开户银行：</w:t>
      </w:r>
      <w:r>
        <w:rPr>
          <w:rFonts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帐号：</w:t>
      </w:r>
      <w:r>
        <w:rPr>
          <w:rFonts w:ascii="仿宋" w:hAnsi="仿宋" w:eastAsia="仿宋" w:cs="仿宋"/>
          <w:color w:val="auto"/>
          <w:sz w:val="24"/>
        </w:rPr>
        <w:t xml:space="preserve">                                    </w:t>
      </w:r>
      <w:r>
        <w:rPr>
          <w:rFonts w:hint="eastAsia" w:ascii="仿宋" w:hAnsi="仿宋" w:eastAsia="仿宋" w:cs="仿宋"/>
          <w:color w:val="auto"/>
          <w:sz w:val="24"/>
        </w:rPr>
        <w:t>帐号：</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签约日期：</w:t>
      </w:r>
      <w:r>
        <w:rPr>
          <w:rFonts w:ascii="仿宋" w:hAnsi="仿宋" w:eastAsia="仿宋" w:cs="仿宋"/>
          <w:color w:val="auto"/>
          <w:sz w:val="24"/>
        </w:rPr>
        <w:t xml:space="preserve">  </w:t>
      </w:r>
    </w:p>
    <w:p>
      <w:pPr>
        <w:snapToGrid w:val="0"/>
        <w:spacing w:line="360" w:lineRule="auto"/>
        <w:jc w:val="center"/>
        <w:rPr>
          <w:rFonts w:hint="eastAsia" w:ascii="仿宋_GB2312" w:hAnsi="仿宋" w:eastAsia="仿宋_GB2312" w:cs="仿宋"/>
          <w:b/>
          <w:bCs/>
          <w:color w:val="auto"/>
          <w:sz w:val="32"/>
          <w:szCs w:val="32"/>
        </w:rPr>
      </w:pPr>
      <w:r>
        <w:rPr>
          <w:rFonts w:hint="eastAsia" w:ascii="仿宋_GB2312" w:hAnsi="仿宋" w:eastAsia="仿宋_GB2312" w:cs="仿宋"/>
          <w:b/>
          <w:color w:val="auto"/>
          <w:sz w:val="32"/>
          <w:szCs w:val="32"/>
        </w:rPr>
        <w:br w:type="page"/>
      </w:r>
      <w:r>
        <w:rPr>
          <w:rFonts w:hint="eastAsia" w:ascii="仿宋_GB2312" w:hAnsi="仿宋" w:eastAsia="仿宋_GB2312" w:cs="仿宋"/>
          <w:b/>
          <w:color w:val="auto"/>
          <w:sz w:val="32"/>
          <w:szCs w:val="32"/>
        </w:rPr>
        <w:t>第六部分  磋商响应文件格式</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说明：</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1、磋商响应文件由磋商供应商根据磋商文件要求参照附件格式编制。</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2、磋商供应商根据实际情况填写。</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3、磋商文件中没有参考格式的，由磋商供应商自行编制。</w:t>
      </w: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before="156" w:beforeLines="50" w:after="50" w:line="360" w:lineRule="auto"/>
        <w:jc w:val="left"/>
        <w:rPr>
          <w:rFonts w:hint="eastAsia" w:ascii="仿宋_GB2312" w:hAnsi="仿宋" w:eastAsia="仿宋_GB2312" w:cs="仿宋"/>
          <w:bCs/>
          <w:color w:val="auto"/>
          <w:sz w:val="30"/>
          <w:szCs w:val="30"/>
        </w:rPr>
      </w:pPr>
      <w:r>
        <w:rPr>
          <w:rFonts w:hint="eastAsia" w:ascii="仿宋_GB2312" w:hAnsi="仿宋" w:eastAsia="仿宋_GB2312" w:cs="仿宋"/>
          <w:color w:val="auto"/>
        </w:rPr>
        <w:br w:type="page"/>
      </w:r>
      <w:r>
        <w:rPr>
          <w:rFonts w:hint="eastAsia" w:ascii="仿宋_GB2312" w:hAnsi="仿宋" w:eastAsia="仿宋_GB2312" w:cs="仿宋"/>
          <w:color w:val="auto"/>
          <w:sz w:val="30"/>
          <w:szCs w:val="30"/>
        </w:rPr>
        <w:t>封面</w:t>
      </w:r>
      <w:r>
        <w:rPr>
          <w:rFonts w:hint="eastAsia" w:ascii="仿宋_GB2312" w:hAnsi="仿宋" w:eastAsia="仿宋_GB2312" w:cs="仿宋"/>
          <w:b/>
          <w:color w:val="auto"/>
          <w:sz w:val="30"/>
          <w:szCs w:val="30"/>
        </w:rPr>
        <w:t xml:space="preserve">：                                     </w:t>
      </w:r>
      <w:r>
        <w:rPr>
          <w:rFonts w:hint="eastAsia" w:ascii="仿宋_GB2312" w:hAnsi="仿宋" w:eastAsia="仿宋_GB2312" w:cs="仿宋"/>
          <w:color w:val="auto"/>
          <w:sz w:val="30"/>
          <w:szCs w:val="30"/>
        </w:rPr>
        <w:t xml:space="preserve">                                            </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lang w:eastAsia="zh-CN"/>
        </w:rPr>
      </w:pPr>
      <w:r>
        <w:rPr>
          <w:rFonts w:hint="eastAsia" w:ascii="仿宋_GB2312" w:hAnsi="仿宋" w:eastAsia="仿宋_GB2312" w:cs="仿宋"/>
          <w:color w:val="auto"/>
          <w:sz w:val="36"/>
          <w:szCs w:val="36"/>
          <w:lang w:eastAsia="zh-CN"/>
        </w:rPr>
        <w:t>浙江省博物馆“丽人行-中国近现代女性图像”展</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lang w:eastAsia="zh-CN"/>
        </w:rPr>
      </w:pPr>
      <w:r>
        <w:rPr>
          <w:rFonts w:hint="eastAsia" w:ascii="仿宋_GB2312" w:hAnsi="仿宋" w:eastAsia="仿宋_GB2312" w:cs="仿宋"/>
          <w:color w:val="auto"/>
          <w:sz w:val="36"/>
          <w:szCs w:val="36"/>
          <w:lang w:eastAsia="zh-CN"/>
        </w:rPr>
        <w:t>运输项目</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项目编号：ZJTY2024H-JF-005</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rPr>
      </w:pPr>
    </w:p>
    <w:p>
      <w:pPr>
        <w:adjustRightInd w:val="0"/>
        <w:snapToGrid w:val="0"/>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资</w:t>
      </w:r>
    </w:p>
    <w:p>
      <w:pPr>
        <w:adjustRightInd w:val="0"/>
        <w:snapToGrid w:val="0"/>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格</w:t>
      </w:r>
    </w:p>
    <w:p>
      <w:pPr>
        <w:adjustRightInd w:val="0"/>
        <w:snapToGrid w:val="0"/>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文</w:t>
      </w:r>
    </w:p>
    <w:p>
      <w:pPr>
        <w:adjustRightInd w:val="0"/>
        <w:snapToGrid w:val="0"/>
        <w:jc w:val="center"/>
        <w:rPr>
          <w:rFonts w:hint="eastAsia" w:ascii="仿宋_GB2312" w:hAnsi="仿宋" w:eastAsia="仿宋_GB2312" w:cs="仿宋"/>
          <w:b/>
          <w:color w:val="auto"/>
          <w:spacing w:val="40"/>
          <w:sz w:val="84"/>
          <w:szCs w:val="84"/>
        </w:rPr>
      </w:pPr>
      <w:r>
        <w:rPr>
          <w:rFonts w:hint="eastAsia" w:ascii="仿宋_GB2312" w:hAnsi="仿宋" w:eastAsia="仿宋_GB2312" w:cs="仿宋"/>
          <w:b/>
          <w:color w:val="auto"/>
          <w:spacing w:val="40"/>
          <w:sz w:val="72"/>
          <w:szCs w:val="72"/>
        </w:rPr>
        <w:t>件</w:t>
      </w:r>
    </w:p>
    <w:p>
      <w:pPr>
        <w:adjustRightInd w:val="0"/>
        <w:snapToGrid w:val="0"/>
        <w:spacing w:line="360" w:lineRule="auto"/>
        <w:ind w:right="532"/>
        <w:rPr>
          <w:rFonts w:hint="eastAsia" w:ascii="仿宋_GB2312" w:hAnsi="仿宋" w:eastAsia="仿宋_GB2312" w:cs="仿宋"/>
          <w:color w:val="auto"/>
          <w:sz w:val="36"/>
          <w:szCs w:val="36"/>
        </w:rPr>
      </w:pPr>
    </w:p>
    <w:p>
      <w:pPr>
        <w:pStyle w:val="3"/>
        <w:adjustRightInd w:val="0"/>
        <w:snapToGrid w:val="0"/>
        <w:spacing w:line="360" w:lineRule="auto"/>
        <w:rPr>
          <w:rFonts w:hint="eastAsia" w:ascii="仿宋_GB2312" w:hAnsi="仿宋" w:eastAsia="仿宋_GB2312" w:cs="仿宋"/>
          <w:color w:val="auto"/>
          <w:sz w:val="36"/>
          <w:szCs w:val="36"/>
        </w:rPr>
      </w:pPr>
    </w:p>
    <w:p>
      <w:pPr>
        <w:adjustRightInd w:val="0"/>
        <w:snapToGrid w:val="0"/>
        <w:spacing w:line="360" w:lineRule="auto"/>
        <w:rPr>
          <w:rFonts w:hint="eastAsia"/>
          <w:color w:val="auto"/>
        </w:rPr>
      </w:pPr>
    </w:p>
    <w:p>
      <w:pPr>
        <w:adjustRightInd w:val="0"/>
        <w:snapToGrid w:val="0"/>
        <w:spacing w:line="360" w:lineRule="auto"/>
        <w:ind w:right="532"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磋商供应商全称（公章）：</w:t>
      </w:r>
    </w:p>
    <w:p>
      <w:pPr>
        <w:adjustRightInd w:val="0"/>
        <w:snapToGrid w:val="0"/>
        <w:spacing w:line="360" w:lineRule="auto"/>
        <w:ind w:right="532"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授权代表（签字）：</w:t>
      </w:r>
    </w:p>
    <w:p>
      <w:pPr>
        <w:adjustRightInd w:val="0"/>
        <w:snapToGrid w:val="0"/>
        <w:spacing w:line="360" w:lineRule="auto"/>
        <w:ind w:right="532"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地    址：</w:t>
      </w:r>
    </w:p>
    <w:p>
      <w:pPr>
        <w:adjustRightInd w:val="0"/>
        <w:snapToGrid w:val="0"/>
        <w:spacing w:line="360" w:lineRule="auto"/>
        <w:ind w:right="532" w:firstLine="640" w:firstLineChars="200"/>
        <w:rPr>
          <w:rFonts w:hint="eastAsia" w:ascii="仿宋_GB2312" w:hAnsi="仿宋" w:eastAsia="仿宋_GB2312" w:cs="仿宋"/>
          <w:b/>
          <w:bCs/>
          <w:color w:val="auto"/>
          <w:sz w:val="36"/>
          <w:szCs w:val="36"/>
        </w:rPr>
      </w:pPr>
      <w:r>
        <w:rPr>
          <w:rFonts w:hint="eastAsia" w:ascii="仿宋_GB2312" w:hAnsi="仿宋" w:eastAsia="仿宋_GB2312" w:cs="仿宋"/>
          <w:color w:val="auto"/>
          <w:sz w:val="32"/>
          <w:szCs w:val="32"/>
        </w:rPr>
        <w:t>时    间：</w:t>
      </w:r>
    </w:p>
    <w:p>
      <w:pPr>
        <w:adjustRightInd w:val="0"/>
        <w:snapToGrid w:val="0"/>
        <w:spacing w:line="360" w:lineRule="auto"/>
        <w:jc w:val="center"/>
        <w:rPr>
          <w:rFonts w:hint="eastAsia" w:ascii="仿宋_GB2312" w:hAnsi="仿宋" w:eastAsia="仿宋_GB2312" w:cs="仿宋"/>
          <w:b/>
          <w:bCs/>
          <w:color w:val="auto"/>
          <w:sz w:val="36"/>
          <w:szCs w:val="36"/>
        </w:rPr>
      </w:pPr>
    </w:p>
    <w:p>
      <w:pPr>
        <w:adjustRightInd w:val="0"/>
        <w:snapToGrid w:val="0"/>
        <w:spacing w:line="360" w:lineRule="auto"/>
        <w:jc w:val="center"/>
        <w:rPr>
          <w:rFonts w:hint="eastAsia" w:ascii="仿宋_GB2312" w:hAnsi="仿宋" w:eastAsia="仿宋_GB2312" w:cs="仿宋"/>
          <w:b/>
          <w:bCs/>
          <w:color w:val="auto"/>
          <w:sz w:val="36"/>
          <w:szCs w:val="36"/>
        </w:rPr>
      </w:pPr>
      <w:r>
        <w:rPr>
          <w:rFonts w:hint="eastAsia" w:ascii="仿宋_GB2312" w:hAnsi="仿宋" w:eastAsia="仿宋_GB2312" w:cs="仿宋"/>
          <w:b/>
          <w:bCs/>
          <w:color w:val="auto"/>
          <w:sz w:val="36"/>
          <w:szCs w:val="36"/>
        </w:rPr>
        <w:t>资格文件</w:t>
      </w:r>
    </w:p>
    <w:p>
      <w:pPr>
        <w:adjustRightInd w:val="0"/>
        <w:snapToGrid w:val="0"/>
        <w:spacing w:line="360" w:lineRule="auto"/>
        <w:jc w:val="center"/>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目录</w:t>
      </w:r>
    </w:p>
    <w:p>
      <w:pPr>
        <w:adjustRightInd w:val="0"/>
        <w:snapToGrid w:val="0"/>
        <w:spacing w:line="360" w:lineRule="auto"/>
        <w:rPr>
          <w:rFonts w:hint="eastAsia" w:ascii="仿宋_GB2312" w:hAnsi="仿宋" w:eastAsia="仿宋_GB2312" w:cs="仿宋"/>
          <w:color w:val="auto"/>
          <w:sz w:val="24"/>
          <w:szCs w:val="20"/>
        </w:rPr>
      </w:pP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（1）</w:t>
      </w:r>
      <w:r>
        <w:rPr>
          <w:rFonts w:hint="eastAsia" w:ascii="仿宋" w:hAnsi="仿宋" w:eastAsia="仿宋" w:cs="仿宋"/>
          <w:color w:val="auto"/>
          <w:sz w:val="24"/>
          <w:lang w:eastAsia="zh-CN"/>
        </w:rPr>
        <w:t>营业执照</w:t>
      </w:r>
      <w:r>
        <w:rPr>
          <w:rFonts w:hint="eastAsia" w:ascii="仿宋" w:hAnsi="仿宋" w:eastAsia="仿宋" w:cs="仿宋"/>
          <w:b w:val="0"/>
          <w:color w:val="auto"/>
          <w:kern w:val="2"/>
          <w:sz w:val="24"/>
        </w:rPr>
        <w:t>———————————</w:t>
      </w:r>
      <w:r>
        <w:rPr>
          <w:rFonts w:hint="eastAsia" w:ascii="仿宋" w:hAnsi="仿宋" w:eastAsia="仿宋" w:cs="仿宋"/>
          <w:b/>
          <w:color w:val="auto"/>
          <w:kern w:val="0"/>
          <w:sz w:val="24"/>
        </w:rPr>
        <w:t>——————————</w:t>
      </w:r>
      <w:r>
        <w:rPr>
          <w:rFonts w:hint="eastAsia" w:ascii="仿宋" w:hAnsi="仿宋" w:eastAsia="仿宋" w:cs="仿宋"/>
          <w:b w:val="0"/>
          <w:color w:val="auto"/>
          <w:kern w:val="2"/>
          <w:sz w:val="24"/>
        </w:rPr>
        <w:t>———</w:t>
      </w:r>
      <w:r>
        <w:rPr>
          <w:rFonts w:hint="eastAsia" w:ascii="仿宋_GB2312" w:hAnsi="仿宋" w:eastAsia="仿宋_GB2312" w:cs="仿宋"/>
          <w:color w:val="auto"/>
          <w:sz w:val="24"/>
        </w:rPr>
        <w:t>（页码）</w:t>
      </w:r>
    </w:p>
    <w:p>
      <w:pPr>
        <w:adjustRightInd w:val="0"/>
        <w:snapToGrid w:val="0"/>
        <w:spacing w:line="360" w:lineRule="auto"/>
        <w:jc w:val="left"/>
        <w:rPr>
          <w:rFonts w:hint="eastAsia" w:ascii="仿宋_GB2312" w:hAnsi="仿宋" w:eastAsia="仿宋" w:cs="仿宋"/>
          <w:color w:val="auto"/>
          <w:sz w:val="24"/>
        </w:rPr>
      </w:pPr>
      <w:r>
        <w:rPr>
          <w:rFonts w:hint="eastAsia" w:ascii="仿宋_GB2312" w:hAnsi="仿宋" w:eastAsia="仿宋_GB2312" w:cs="仿宋"/>
          <w:color w:val="auto"/>
          <w:sz w:val="24"/>
        </w:rPr>
        <w:t>（2）</w:t>
      </w:r>
      <w:r>
        <w:rPr>
          <w:rFonts w:hint="eastAsia" w:ascii="仿宋" w:hAnsi="仿宋" w:eastAsia="仿宋" w:cs="仿宋"/>
          <w:color w:val="auto"/>
          <w:sz w:val="24"/>
        </w:rPr>
        <w:t>符合参加政府采购活动应当具备的一般条件的承诺函</w:t>
      </w:r>
      <w:r>
        <w:rPr>
          <w:rFonts w:hint="eastAsia" w:ascii="仿宋_GB2312" w:hAnsi="仿宋" w:eastAsia="仿宋_GB2312" w:cs="仿宋"/>
          <w:color w:val="auto"/>
          <w:sz w:val="24"/>
        </w:rPr>
        <w:t>—</w:t>
      </w:r>
      <w:r>
        <w:rPr>
          <w:rFonts w:hint="eastAsia" w:ascii="仿宋" w:hAnsi="仿宋" w:eastAsia="仿宋" w:cs="仿宋"/>
          <w:b/>
          <w:color w:val="auto"/>
          <w:kern w:val="0"/>
          <w:sz w:val="24"/>
        </w:rPr>
        <w:t>————</w:t>
      </w:r>
      <w:r>
        <w:rPr>
          <w:rFonts w:hint="eastAsia" w:ascii="仿宋_GB2312" w:hAnsi="仿宋" w:eastAsia="仿宋_GB2312" w:cs="仿宋"/>
          <w:color w:val="auto"/>
          <w:sz w:val="24"/>
        </w:rPr>
        <w:t>（页码）</w:t>
      </w:r>
    </w:p>
    <w:p>
      <w:pPr>
        <w:adjustRightInd w:val="0"/>
        <w:snapToGrid w:val="0"/>
        <w:spacing w:line="360" w:lineRule="auto"/>
        <w:jc w:val="left"/>
        <w:rPr>
          <w:rFonts w:hint="eastAsia" w:ascii="仿宋_GB2312" w:hAnsi="仿宋" w:eastAsia="仿宋_GB2312"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中心企业声明函</w:t>
      </w:r>
      <w:r>
        <w:rPr>
          <w:rFonts w:hint="eastAsia" w:ascii="仿宋" w:hAnsi="仿宋" w:eastAsia="仿宋" w:cs="仿宋"/>
          <w:b w:val="0"/>
          <w:color w:val="auto"/>
          <w:kern w:val="2"/>
          <w:sz w:val="24"/>
        </w:rPr>
        <w:t>———————————</w:t>
      </w:r>
      <w:r>
        <w:rPr>
          <w:rFonts w:hint="eastAsia" w:ascii="仿宋" w:hAnsi="仿宋" w:eastAsia="仿宋" w:cs="仿宋"/>
          <w:b/>
          <w:color w:val="auto"/>
          <w:kern w:val="0"/>
          <w:sz w:val="24"/>
        </w:rPr>
        <w:t>——————————</w:t>
      </w:r>
      <w:r>
        <w:rPr>
          <w:rFonts w:hint="eastAsia" w:ascii="仿宋_GB2312" w:hAnsi="仿宋" w:eastAsia="仿宋_GB2312" w:cs="仿宋"/>
          <w:color w:val="auto"/>
          <w:sz w:val="24"/>
        </w:rPr>
        <w:t>（页码）</w:t>
      </w:r>
    </w:p>
    <w:p>
      <w:pPr>
        <w:pStyle w:val="29"/>
        <w:ind w:firstLine="0"/>
        <w:rPr>
          <w:rFonts w:hint="eastAsia" w:eastAsia="仿宋_GB2312"/>
          <w:color w:val="auto"/>
          <w:lang w:eastAsia="zh-CN"/>
        </w:rPr>
      </w:pPr>
    </w:p>
    <w:p>
      <w:pPr>
        <w:pStyle w:val="44"/>
        <w:rPr>
          <w:rFonts w:hint="eastAsia" w:ascii="仿宋" w:hAnsi="仿宋" w:eastAsia="仿宋" w:cs="仿宋"/>
          <w:color w:val="auto"/>
          <w:kern w:val="2"/>
          <w:szCs w:val="24"/>
          <w:lang w:val="en-US" w:eastAsia="zh-CN"/>
        </w:rPr>
      </w:pPr>
    </w:p>
    <w:p>
      <w:pPr>
        <w:pStyle w:val="13"/>
        <w:ind w:left="0" w:leftChars="0"/>
        <w:rPr>
          <w:rFonts w:hint="eastAsia" w:eastAsia="仿宋_GB2312"/>
          <w:color w:val="auto"/>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ind w:firstLine="470" w:firstLineChars="196"/>
        <w:jc w:val="center"/>
        <w:rPr>
          <w:rFonts w:hint="eastAsia" w:ascii="仿宋_GB2312" w:hAnsi="仿宋" w:eastAsia="仿宋_GB2312" w:cs="仿宋"/>
          <w:color w:val="auto"/>
          <w:sz w:val="24"/>
        </w:rPr>
      </w:pPr>
      <w:r>
        <w:rPr>
          <w:rFonts w:hint="eastAsia" w:ascii="仿宋_GB2312" w:hAnsi="仿宋" w:eastAsia="仿宋_GB2312" w:cs="仿宋"/>
          <w:color w:val="auto"/>
          <w:sz w:val="24"/>
        </w:rPr>
        <w:br w:type="page"/>
      </w: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一、有效的营业执照副本（复印件加盖公章）</w:t>
      </w:r>
    </w:p>
    <w:p>
      <w:pPr>
        <w:adjustRightInd w:val="0"/>
        <w:snapToGrid w:val="0"/>
        <w:spacing w:line="360" w:lineRule="auto"/>
        <w:rPr>
          <w:rFonts w:hint="eastAsia" w:ascii="仿宋" w:hAnsi="仿宋" w:eastAsia="仿宋" w:cs="仿宋"/>
          <w:b/>
          <w:bCs/>
          <w:color w:val="auto"/>
          <w:kern w:val="0"/>
          <w:sz w:val="24"/>
        </w:rPr>
      </w:pPr>
    </w:p>
    <w:p>
      <w:pPr>
        <w:adjustRightInd w:val="0"/>
        <w:snapToGrid w:val="0"/>
        <w:spacing w:line="360" w:lineRule="auto"/>
        <w:ind w:firstLine="472" w:firstLineChars="196"/>
        <w:jc w:val="center"/>
        <w:rPr>
          <w:rFonts w:hint="eastAsia" w:ascii="仿宋" w:hAnsi="仿宋" w:eastAsia="仿宋" w:cs="仿宋"/>
          <w:b/>
          <w:bCs/>
          <w:color w:val="auto"/>
          <w:kern w:val="0"/>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w:t>
      </w:r>
      <w:r>
        <w:rPr>
          <w:rFonts w:ascii="仿宋_GB2312" w:hAnsi="仿宋" w:eastAsia="仿宋_GB2312" w:cs="仿宋_GB2312"/>
          <w:b/>
          <w:color w:val="auto"/>
          <w:kern w:val="0"/>
          <w:sz w:val="32"/>
          <w:szCs w:val="32"/>
        </w:rPr>
        <w:t>、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浙江省博物馆、</w:t>
      </w:r>
      <w:r>
        <w:rPr>
          <w:rFonts w:hint="eastAsia" w:ascii="仿宋_GB2312" w:hAnsi="仿宋" w:eastAsia="仿宋_GB2312" w:cs="仿宋_GB2312"/>
          <w:color w:val="auto"/>
          <w:sz w:val="24"/>
          <w:lang w:eastAsia="zh-CN"/>
        </w:rPr>
        <w:t>浙江通用招标代理有限公司</w:t>
      </w:r>
      <w:r>
        <w:rPr>
          <w:rFonts w:hint="eastAsia" w:ascii="仿宋_GB2312" w:hAnsi="仿宋" w:eastAsia="仿宋_GB2312" w:cs="仿宋_GB2312"/>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w:t>
      </w:r>
      <w:r>
        <w:rPr>
          <w:rFonts w:hint="eastAsia" w:ascii="仿宋_GB2312" w:hAnsi="仿宋" w:eastAsia="仿宋_GB2312" w:cs="仿宋_GB2312"/>
          <w:color w:val="auto"/>
          <w:sz w:val="24"/>
          <w:lang w:eastAsia="zh-CN"/>
        </w:rPr>
        <w:t>浙江省博物馆“丽人行-中国近现代女性图像”展运输项目</w:t>
      </w:r>
      <w:r>
        <w:rPr>
          <w:rFonts w:hint="eastAsia" w:ascii="仿宋_GB2312" w:hAnsi="仿宋" w:eastAsia="仿宋_GB2312" w:cs="仿宋_GB2312"/>
          <w:color w:val="auto"/>
          <w:sz w:val="24"/>
        </w:rPr>
        <w:t>【</w:t>
      </w:r>
      <w:r>
        <w:rPr>
          <w:rFonts w:hint="eastAsia" w:ascii="仿宋_GB2312" w:hAnsi="仿宋" w:eastAsia="仿宋_GB2312"/>
          <w:color w:val="auto"/>
          <w:sz w:val="24"/>
        </w:rPr>
        <w:t>采购编号</w:t>
      </w:r>
      <w:r>
        <w:rPr>
          <w:rFonts w:hint="eastAsia" w:ascii="仿宋_GB2312" w:hAnsi="仿宋" w:eastAsia="仿宋_GB2312"/>
          <w:color w:val="auto"/>
          <w:sz w:val="24"/>
          <w:lang w:eastAsia="zh-CN"/>
        </w:rPr>
        <w:t>：</w:t>
      </w:r>
      <w:r>
        <w:rPr>
          <w:rFonts w:hint="eastAsia" w:ascii="仿宋_GB2312" w:hAnsi="仿宋" w:eastAsia="仿宋_GB2312"/>
          <w:color w:val="auto"/>
          <w:sz w:val="24"/>
        </w:rPr>
        <w:t>ZJTY2024H-JF-005</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_GB2312" w:hAnsi="仿宋" w:eastAsia="仿宋_GB2312" w:cs="仿宋_GB2312"/>
          <w:color w:val="auto"/>
          <w:kern w:val="0"/>
          <w:sz w:val="24"/>
          <w:lang w:val="zh-CN"/>
        </w:rPr>
      </w:pPr>
    </w:p>
    <w:p>
      <w:pPr>
        <w:snapToGrid w:val="0"/>
        <w:spacing w:line="360" w:lineRule="auto"/>
        <w:ind w:firstLine="5520" w:firstLineChars="2300"/>
        <w:rPr>
          <w:rFonts w:hint="eastAsia" w:ascii="仿宋_GB2312" w:hAnsi="仿宋" w:eastAsia="仿宋_GB2312" w:cs="仿宋_GB2312"/>
          <w:color w:val="auto"/>
          <w:kern w:val="0"/>
          <w:sz w:val="24"/>
          <w:lang w:val="zh-CN"/>
        </w:rPr>
      </w:pP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adjustRightInd w:val="0"/>
        <w:snapToGrid w:val="0"/>
        <w:spacing w:before="50" w:after="50" w:line="360" w:lineRule="auto"/>
        <w:jc w:val="left"/>
        <w:rPr>
          <w:rFonts w:hint="eastAsia" w:ascii="仿宋_GB2312" w:hAnsi="仿宋" w:eastAsia="仿宋_GB2312" w:cs="仿宋"/>
          <w:b/>
          <w:bCs/>
          <w:color w:val="auto"/>
          <w:sz w:val="24"/>
          <w:lang w:eastAsia="zh-CN"/>
        </w:rPr>
      </w:pPr>
    </w:p>
    <w:p>
      <w:pPr>
        <w:adjustRightInd/>
        <w:snapToGrid/>
        <w:spacing w:before="0" w:after="0" w:line="240" w:lineRule="auto"/>
        <w:jc w:val="left"/>
        <w:rPr>
          <w:rFonts w:hint="eastAsia" w:ascii="仿宋_GB2312" w:hAnsi="仿宋" w:eastAsia="仿宋_GB2312" w:cs="仿宋"/>
          <w:b/>
          <w:bCs/>
          <w:color w:val="auto"/>
          <w:sz w:val="24"/>
          <w:lang w:eastAsia="zh-CN"/>
        </w:rPr>
      </w:pPr>
      <w:r>
        <w:rPr>
          <w:rFonts w:hint="eastAsia" w:ascii="仿宋_GB2312" w:hAnsi="仿宋" w:eastAsia="仿宋_GB2312" w:cs="仿宋"/>
          <w:b/>
          <w:bCs/>
          <w:color w:val="auto"/>
          <w:sz w:val="24"/>
          <w:lang w:eastAsia="zh-CN"/>
        </w:rPr>
        <w:br w:type="page"/>
      </w:r>
    </w:p>
    <w:p>
      <w:pPr>
        <w:adjustRightInd w:val="0"/>
        <w:snapToGrid w:val="0"/>
        <w:spacing w:before="50" w:after="50" w:line="360" w:lineRule="auto"/>
        <w:jc w:val="left"/>
        <w:rPr>
          <w:rFonts w:hint="eastAsia" w:ascii="仿宋_GB2312" w:hAnsi="仿宋" w:eastAsia="仿宋_GB2312" w:cs="仿宋"/>
          <w:b/>
          <w:bCs/>
          <w:color w:val="auto"/>
          <w:sz w:val="24"/>
        </w:rPr>
      </w:pPr>
      <w:r>
        <w:rPr>
          <w:rFonts w:hint="eastAsia" w:ascii="仿宋_GB2312" w:hAnsi="仿宋" w:eastAsia="仿宋_GB2312" w:cs="仿宋"/>
          <w:b/>
          <w:bCs/>
          <w:color w:val="auto"/>
          <w:sz w:val="24"/>
          <w:lang w:eastAsia="zh-CN"/>
        </w:rPr>
        <w:t>三</w:t>
      </w:r>
      <w:r>
        <w:rPr>
          <w:rFonts w:hint="eastAsia" w:ascii="仿宋_GB2312" w:hAnsi="仿宋" w:eastAsia="仿宋_GB2312" w:cs="仿宋"/>
          <w:b/>
          <w:bCs/>
          <w:color w:val="auto"/>
          <w:sz w:val="24"/>
        </w:rPr>
        <w:t>、中小企业声明函</w:t>
      </w:r>
    </w:p>
    <w:p>
      <w:pPr>
        <w:adjustRightInd w:val="0"/>
        <w:snapToGrid w:val="0"/>
        <w:spacing w:before="50" w:after="50" w:line="360" w:lineRule="auto"/>
        <w:jc w:val="center"/>
        <w:rPr>
          <w:rFonts w:hint="eastAsia" w:ascii="仿宋_GB2312" w:hAnsi="仿宋" w:eastAsia="仿宋_GB2312" w:cs="仿宋"/>
          <w:b/>
          <w:color w:val="auto"/>
          <w:sz w:val="36"/>
          <w:szCs w:val="36"/>
        </w:rPr>
      </w:pPr>
      <w:r>
        <w:rPr>
          <w:rFonts w:hint="eastAsia" w:ascii="仿宋_GB2312" w:hAnsi="仿宋" w:eastAsia="仿宋_GB2312" w:cs="仿宋"/>
          <w:b/>
          <w:bCs/>
          <w:color w:val="auto"/>
          <w:sz w:val="24"/>
        </w:rPr>
        <w:t>中小企业声明函（工程、服务）</w:t>
      </w:r>
    </w:p>
    <w:p>
      <w:pPr>
        <w:adjustRightInd w:val="0"/>
        <w:snapToGrid w:val="0"/>
        <w:spacing w:line="360" w:lineRule="auto"/>
        <w:ind w:firstLine="48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4"/>
        </w:rPr>
        <w:t>本公司（联合体）郑重声明，根据《政府采购促进中小企业发展管理办法》（财库〔2020〕46号）的规定，本公司（联合体）参加浙江省博物馆的</w:t>
      </w:r>
      <w:r>
        <w:rPr>
          <w:rFonts w:hint="eastAsia" w:ascii="仿宋_GB2312" w:hAnsi="仿宋" w:eastAsia="仿宋_GB2312" w:cs="仿宋"/>
          <w:color w:val="auto"/>
          <w:sz w:val="24"/>
          <w:u w:val="single"/>
          <w:lang w:eastAsia="zh-CN"/>
        </w:rPr>
        <w:t>“丽人行-中国近现代女性图像”展运输项目</w:t>
      </w:r>
      <w:r>
        <w:rPr>
          <w:rFonts w:hint="eastAsia" w:ascii="仿宋_GB2312" w:hAnsi="仿宋" w:eastAsia="仿宋_GB2312" w:cs="仿宋"/>
          <w:color w:val="auto"/>
          <w:sz w:val="24"/>
        </w:rPr>
        <w:t>采购活动，服务全部由符合政策要求的中小企业承接。相关企业的（含联合体中的中小企业、签订分包意向协议的中小企业）的具体情况如下：</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1.</w:t>
      </w:r>
      <w:r>
        <w:rPr>
          <w:rFonts w:hint="eastAsia" w:ascii="仿宋_GB2312" w:hAnsi="仿宋" w:eastAsia="仿宋_GB2312" w:cs="仿宋"/>
          <w:color w:val="auto"/>
          <w:sz w:val="24"/>
          <w:u w:val="single"/>
        </w:rPr>
        <w:t>（标的名称）</w:t>
      </w:r>
      <w:r>
        <w:rPr>
          <w:rFonts w:hint="eastAsia" w:ascii="仿宋_GB2312" w:hAnsi="仿宋" w:eastAsia="仿宋_GB2312" w:cs="仿宋"/>
          <w:color w:val="auto"/>
          <w:sz w:val="24"/>
        </w:rPr>
        <w:t>，属于</w:t>
      </w:r>
      <w:r>
        <w:rPr>
          <w:rFonts w:hint="eastAsia" w:ascii="仿宋_GB2312" w:hAnsi="仿宋" w:eastAsia="仿宋_GB2312" w:cs="仿宋"/>
          <w:color w:val="auto"/>
          <w:sz w:val="24"/>
          <w:u w:val="single"/>
        </w:rPr>
        <w:t>（磋商文件中明确的所属行业）</w:t>
      </w:r>
      <w:r>
        <w:rPr>
          <w:rFonts w:hint="eastAsia" w:ascii="仿宋_GB2312" w:hAnsi="仿宋" w:eastAsia="仿宋_GB2312" w:cs="仿宋"/>
          <w:color w:val="auto"/>
          <w:sz w:val="24"/>
        </w:rPr>
        <w:t>；承建（承接）企业为</w:t>
      </w:r>
      <w:r>
        <w:rPr>
          <w:rFonts w:hint="eastAsia" w:ascii="仿宋_GB2312" w:hAnsi="仿宋" w:eastAsia="仿宋_GB2312" w:cs="仿宋"/>
          <w:color w:val="auto"/>
          <w:sz w:val="24"/>
          <w:u w:val="single"/>
        </w:rPr>
        <w:t>（企业名称）</w:t>
      </w:r>
      <w:r>
        <w:rPr>
          <w:rFonts w:hint="eastAsia" w:ascii="仿宋_GB2312" w:hAnsi="仿宋" w:eastAsia="仿宋_GB2312" w:cs="仿宋"/>
          <w:color w:val="auto"/>
          <w:sz w:val="24"/>
        </w:rPr>
        <w:t>，从业人员</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人，营业收入为</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万元，资产总额为</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万元，属于</w:t>
      </w:r>
      <w:r>
        <w:rPr>
          <w:rFonts w:hint="eastAsia" w:ascii="仿宋_GB2312" w:hAnsi="仿宋" w:eastAsia="仿宋_GB2312" w:cs="仿宋"/>
          <w:color w:val="auto"/>
          <w:sz w:val="24"/>
          <w:u w:val="single"/>
        </w:rPr>
        <w:t>（中型企业、小型企业、微型企业）</w:t>
      </w:r>
      <w:r>
        <w:rPr>
          <w:rFonts w:hint="eastAsia" w:ascii="仿宋_GB2312" w:hAnsi="仿宋" w:eastAsia="仿宋_GB2312" w:cs="仿宋"/>
          <w:color w:val="auto"/>
          <w:sz w:val="24"/>
        </w:rPr>
        <w:t>；</w:t>
      </w:r>
    </w:p>
    <w:p>
      <w:pPr>
        <w:adjustRightInd w:val="0"/>
        <w:snapToGrid w:val="0"/>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2.</w:t>
      </w:r>
      <w:r>
        <w:rPr>
          <w:rFonts w:hint="eastAsia" w:ascii="仿宋_GB2312" w:hAnsi="仿宋" w:eastAsia="仿宋_GB2312" w:cs="仿宋"/>
          <w:color w:val="auto"/>
          <w:sz w:val="24"/>
          <w:u w:val="single"/>
        </w:rPr>
        <w:t>（标的名称）</w:t>
      </w:r>
      <w:r>
        <w:rPr>
          <w:rFonts w:hint="eastAsia" w:ascii="仿宋_GB2312" w:hAnsi="仿宋" w:eastAsia="仿宋_GB2312" w:cs="仿宋"/>
          <w:color w:val="auto"/>
          <w:sz w:val="24"/>
        </w:rPr>
        <w:t>，属于</w:t>
      </w:r>
      <w:r>
        <w:rPr>
          <w:rFonts w:hint="eastAsia" w:ascii="仿宋_GB2312" w:hAnsi="仿宋" w:eastAsia="仿宋_GB2312" w:cs="仿宋"/>
          <w:color w:val="auto"/>
          <w:sz w:val="24"/>
          <w:u w:val="single"/>
        </w:rPr>
        <w:t>（磋商文件中明确的所属行业）</w:t>
      </w:r>
      <w:r>
        <w:rPr>
          <w:rFonts w:hint="eastAsia" w:ascii="仿宋_GB2312" w:hAnsi="仿宋" w:eastAsia="仿宋_GB2312" w:cs="仿宋"/>
          <w:color w:val="auto"/>
          <w:sz w:val="24"/>
        </w:rPr>
        <w:t>；承建（承接）企业为</w:t>
      </w:r>
      <w:r>
        <w:rPr>
          <w:rFonts w:hint="eastAsia" w:ascii="仿宋_GB2312" w:hAnsi="仿宋" w:eastAsia="仿宋_GB2312" w:cs="仿宋"/>
          <w:color w:val="auto"/>
          <w:sz w:val="24"/>
          <w:u w:val="single"/>
        </w:rPr>
        <w:t>（企业名称）</w:t>
      </w:r>
      <w:r>
        <w:rPr>
          <w:rFonts w:hint="eastAsia" w:ascii="仿宋_GB2312" w:hAnsi="仿宋" w:eastAsia="仿宋_GB2312" w:cs="仿宋"/>
          <w:color w:val="auto"/>
          <w:sz w:val="24"/>
        </w:rPr>
        <w:t>，从业人员</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人，营业收入为</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万元，资产总额为</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万元，属于</w:t>
      </w:r>
      <w:r>
        <w:rPr>
          <w:rFonts w:hint="eastAsia" w:ascii="仿宋_GB2312" w:hAnsi="仿宋" w:eastAsia="仿宋_GB2312" w:cs="仿宋"/>
          <w:color w:val="auto"/>
          <w:sz w:val="24"/>
          <w:u w:val="single"/>
        </w:rPr>
        <w:t>（中型企业、小型企业、微型企业）</w:t>
      </w:r>
      <w:r>
        <w:rPr>
          <w:rFonts w:hint="eastAsia" w:ascii="仿宋_GB2312" w:hAnsi="仿宋" w:eastAsia="仿宋_GB2312" w:cs="仿宋"/>
          <w:color w:val="auto"/>
          <w:sz w:val="24"/>
        </w:rPr>
        <w:t>；</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 xml:space="preserve">......  </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 xml:space="preserve">本企业对上述声明内容的真实性负责。如有虚假，将依法承担相应责任。                   </w:t>
      </w:r>
    </w:p>
    <w:p>
      <w:pPr>
        <w:adjustRightInd w:val="0"/>
        <w:snapToGrid w:val="0"/>
        <w:spacing w:line="360" w:lineRule="auto"/>
        <w:ind w:firstLine="480" w:firstLineChars="200"/>
        <w:jc w:val="center"/>
        <w:rPr>
          <w:rFonts w:hint="eastAsia" w:ascii="仿宋_GB2312" w:hAnsi="仿宋" w:eastAsia="仿宋_GB2312" w:cs="仿宋"/>
          <w:color w:val="auto"/>
          <w:sz w:val="24"/>
        </w:rPr>
      </w:pPr>
      <w:r>
        <w:rPr>
          <w:rFonts w:hint="eastAsia" w:ascii="仿宋_GB2312" w:hAnsi="仿宋" w:eastAsia="仿宋_GB2312" w:cs="仿宋"/>
          <w:color w:val="auto"/>
          <w:sz w:val="24"/>
        </w:rPr>
        <w:t xml:space="preserve">              </w:t>
      </w:r>
    </w:p>
    <w:p>
      <w:pPr>
        <w:adjustRightInd w:val="0"/>
        <w:snapToGrid w:val="0"/>
        <w:spacing w:line="360" w:lineRule="auto"/>
        <w:ind w:firstLine="480" w:firstLineChars="200"/>
        <w:jc w:val="center"/>
        <w:rPr>
          <w:rFonts w:hint="eastAsia" w:ascii="仿宋_GB2312" w:hAnsi="仿宋" w:eastAsia="仿宋_GB2312" w:cs="仿宋"/>
          <w:color w:val="auto"/>
          <w:sz w:val="24"/>
        </w:rPr>
      </w:pPr>
      <w:r>
        <w:rPr>
          <w:rFonts w:hint="eastAsia" w:ascii="仿宋_GB2312" w:hAnsi="仿宋" w:eastAsia="仿宋_GB2312" w:cs="仿宋"/>
          <w:color w:val="auto"/>
          <w:sz w:val="24"/>
        </w:rPr>
        <w:t xml:space="preserve">                   企业名称（盖章）： </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 xml:space="preserve">                                 日   期：</w:t>
      </w:r>
    </w:p>
    <w:p>
      <w:pPr>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从业人员、营业收入、资产总额填报上一年度数据，无上一年度数据的新成立企业可不填报。</w:t>
      </w:r>
    </w:p>
    <w:p>
      <w:pPr>
        <w:spacing w:line="360" w:lineRule="auto"/>
        <w:ind w:firstLine="480" w:firstLineChars="200"/>
        <w:jc w:val="left"/>
        <w:rPr>
          <w:rFonts w:hint="eastAsia" w:ascii="仿宋_GB2312" w:hAnsi="仿宋" w:eastAsia="仿宋_GB2312" w:cs="仿宋"/>
          <w:color w:val="auto"/>
          <w:sz w:val="24"/>
          <w:lang w:eastAsia="zh-CN"/>
        </w:rPr>
      </w:pPr>
    </w:p>
    <w:p>
      <w:pPr>
        <w:spacing w:line="360" w:lineRule="auto"/>
        <w:ind w:firstLine="480" w:firstLineChars="200"/>
        <w:jc w:val="left"/>
        <w:rPr>
          <w:rFonts w:hint="eastAsia" w:ascii="仿宋_GB2312" w:hAnsi="仿宋" w:eastAsia="仿宋_GB2312" w:cs="仿宋"/>
          <w:color w:val="auto"/>
          <w:sz w:val="24"/>
          <w:lang w:eastAsia="zh-CN"/>
        </w:rPr>
      </w:pPr>
    </w:p>
    <w:p>
      <w:pPr>
        <w:spacing w:line="360" w:lineRule="auto"/>
        <w:ind w:firstLine="480" w:firstLineChars="200"/>
        <w:jc w:val="left"/>
        <w:rPr>
          <w:rFonts w:hint="eastAsia" w:ascii="仿宋_GB2312" w:hAnsi="仿宋" w:eastAsia="仿宋_GB2312" w:cs="仿宋"/>
          <w:color w:val="auto"/>
          <w:sz w:val="24"/>
          <w:lang w:eastAsia="zh-CN"/>
        </w:rPr>
      </w:pPr>
    </w:p>
    <w:p>
      <w:pPr>
        <w:spacing w:line="360" w:lineRule="auto"/>
        <w:ind w:firstLine="480" w:firstLineChars="200"/>
        <w:jc w:val="left"/>
        <w:rPr>
          <w:rFonts w:hint="eastAsia" w:ascii="仿宋_GB2312" w:hAnsi="仿宋" w:eastAsia="仿宋_GB2312" w:cs="仿宋"/>
          <w:color w:val="auto"/>
          <w:sz w:val="24"/>
        </w:rPr>
      </w:pPr>
    </w:p>
    <w:p>
      <w:pPr>
        <w:pStyle w:val="86"/>
        <w:rPr>
          <w:rFonts w:hint="default" w:eastAsia="仿宋_GB2312"/>
          <w:color w:val="auto"/>
          <w:lang w:val="en-US" w:eastAsia="zh-CN"/>
        </w:rPr>
      </w:pPr>
      <w:r>
        <w:rPr>
          <w:rFonts w:hint="eastAsia" w:ascii="仿宋_GB2312" w:hAnsi="仿宋" w:eastAsia="仿宋_GB2312" w:cs="仿宋"/>
          <w:color w:val="auto"/>
          <w:sz w:val="24"/>
          <w:lang w:val="en-US" w:eastAsia="zh-CN"/>
        </w:rPr>
        <w:t xml:space="preserve">   </w:t>
      </w:r>
    </w:p>
    <w:p>
      <w:pPr>
        <w:adjustRightInd w:val="0"/>
        <w:snapToGrid w:val="0"/>
        <w:spacing w:line="360" w:lineRule="auto"/>
        <w:ind w:firstLine="482" w:firstLineChars="200"/>
        <w:rPr>
          <w:rFonts w:hint="eastAsia" w:ascii="仿宋" w:hAnsi="仿宋" w:eastAsia="仿宋" w:cs="宋体"/>
          <w:b/>
          <w:bCs/>
          <w:color w:val="auto"/>
          <w:kern w:val="0"/>
          <w:sz w:val="24"/>
          <w:shd w:val="clear" w:color="auto" w:fill="FFFFFF"/>
        </w:rPr>
      </w:pPr>
    </w:p>
    <w:p>
      <w:pPr>
        <w:adjustRightInd w:val="0"/>
        <w:snapToGrid w:val="0"/>
        <w:spacing w:line="360" w:lineRule="auto"/>
        <w:ind w:firstLine="482" w:firstLineChars="200"/>
        <w:rPr>
          <w:rFonts w:hint="eastAsia" w:ascii="仿宋" w:hAnsi="仿宋" w:eastAsia="仿宋" w:cs="宋体"/>
          <w:b/>
          <w:bCs/>
          <w:color w:val="auto"/>
          <w:kern w:val="0"/>
          <w:sz w:val="24"/>
          <w:shd w:val="clear" w:color="auto" w:fill="FFFFFF"/>
        </w:rPr>
      </w:pPr>
    </w:p>
    <w:p>
      <w:pPr>
        <w:adjustRightInd w:val="0"/>
        <w:snapToGrid w:val="0"/>
        <w:spacing w:line="360" w:lineRule="auto"/>
        <w:ind w:firstLine="482" w:firstLineChars="200"/>
        <w:rPr>
          <w:rFonts w:hint="eastAsia" w:ascii="仿宋" w:hAnsi="仿宋" w:eastAsia="仿宋" w:cs="宋体"/>
          <w:b/>
          <w:bCs/>
          <w:color w:val="auto"/>
          <w:kern w:val="0"/>
          <w:sz w:val="24"/>
          <w:shd w:val="clear" w:color="auto" w:fill="FFFFFF"/>
        </w:rPr>
      </w:pPr>
    </w:p>
    <w:p>
      <w:pPr>
        <w:adjustRightInd w:val="0"/>
        <w:snapToGrid w:val="0"/>
        <w:spacing w:line="360" w:lineRule="auto"/>
        <w:ind w:firstLine="482" w:firstLineChars="200"/>
        <w:rPr>
          <w:rFonts w:hint="eastAsia" w:ascii="仿宋" w:hAnsi="仿宋" w:eastAsia="仿宋" w:cs="宋体"/>
          <w:b/>
          <w:bCs/>
          <w:color w:val="auto"/>
          <w:kern w:val="0"/>
          <w:sz w:val="24"/>
          <w:shd w:val="clear" w:color="auto" w:fill="FFFFFF"/>
        </w:rPr>
      </w:pPr>
    </w:p>
    <w:p>
      <w:pPr>
        <w:adjustRightInd w:val="0"/>
        <w:snapToGrid w:val="0"/>
        <w:spacing w:line="360" w:lineRule="auto"/>
        <w:ind w:firstLine="482" w:firstLineChars="200"/>
        <w:rPr>
          <w:rFonts w:hint="eastAsia" w:ascii="仿宋_GB2312" w:hAnsi="仿宋" w:eastAsia="仿宋_GB2312" w:cs="仿宋"/>
          <w:b/>
          <w:bCs/>
          <w:color w:val="auto"/>
          <w:sz w:val="24"/>
        </w:rPr>
      </w:pPr>
      <w:r>
        <w:rPr>
          <w:rFonts w:hint="eastAsia" w:ascii="仿宋" w:hAnsi="仿宋" w:eastAsia="仿宋" w:cs="宋体"/>
          <w:b/>
          <w:bCs/>
          <w:color w:val="auto"/>
          <w:kern w:val="0"/>
          <w:sz w:val="24"/>
          <w:shd w:val="clear" w:color="auto" w:fill="FFFFFF"/>
        </w:rPr>
        <w:t>注：</w:t>
      </w:r>
      <w:r>
        <w:rPr>
          <w:rFonts w:hint="eastAsia" w:ascii="仿宋" w:hAnsi="仿宋" w:eastAsia="仿宋" w:cs="宋体"/>
          <w:b/>
          <w:bCs/>
          <w:color w:val="auto"/>
          <w:kern w:val="0"/>
          <w:sz w:val="24"/>
        </w:rPr>
        <w:t>符合《关于促进残疾人就业政府采购政策的通知》（财库〔2017〕141号）</w:t>
      </w:r>
      <w:r>
        <w:rPr>
          <w:rFonts w:hint="eastAsia" w:ascii="仿宋_GB2312" w:hAnsi="仿宋" w:eastAsia="仿宋_GB2312" w:cs="仿宋_GB2312"/>
          <w:b/>
          <w:bCs/>
          <w:color w:val="auto"/>
          <w:sz w:val="24"/>
        </w:rPr>
        <w:t>规定的条件并提供《残疾人福利性单位声明函》的残疾人福利性单位视同小型、微型企业；根据《关于政府采购支持监狱企业发展有关问题的通知》（财库[2014]68号）的规定，磋商供应商提供由省级以上监狱管理局、戒毒管理局（含新疆生产建设兵团）出具的属于监狱企业证明文件的，视同为小型和微型企业。</w:t>
      </w:r>
    </w:p>
    <w:p>
      <w:pPr>
        <w:adjustRightInd w:val="0"/>
        <w:snapToGrid w:val="0"/>
        <w:spacing w:line="360" w:lineRule="auto"/>
        <w:rPr>
          <w:rFonts w:hint="eastAsia" w:ascii="仿宋_GB2312" w:hAnsi="仿宋" w:eastAsia="仿宋_GB2312" w:cs="仿宋"/>
          <w:color w:val="auto"/>
        </w:rPr>
      </w:pPr>
    </w:p>
    <w:p>
      <w:pPr>
        <w:adjustRightInd w:val="0"/>
        <w:snapToGrid w:val="0"/>
        <w:spacing w:before="50" w:after="50" w:line="360" w:lineRule="auto"/>
        <w:jc w:val="left"/>
        <w:rPr>
          <w:rFonts w:hint="eastAsia" w:ascii="仿宋_GB2312" w:hAnsi="仿宋" w:eastAsia="仿宋_GB2312" w:cs="仿宋"/>
          <w:b/>
          <w:bCs/>
          <w:color w:val="auto"/>
          <w:sz w:val="24"/>
        </w:rPr>
      </w:pPr>
    </w:p>
    <w:p>
      <w:pPr>
        <w:adjustRightInd w:val="0"/>
        <w:snapToGrid w:val="0"/>
        <w:spacing w:before="50" w:after="50" w:line="360" w:lineRule="auto"/>
        <w:jc w:val="left"/>
        <w:rPr>
          <w:rFonts w:hint="eastAsia" w:ascii="仿宋_GB2312" w:hAnsi="仿宋" w:eastAsia="仿宋_GB2312" w:cs="仿宋"/>
          <w:b/>
          <w:bCs/>
          <w:color w:val="auto"/>
          <w:sz w:val="24"/>
        </w:rPr>
      </w:pPr>
      <w:r>
        <w:rPr>
          <w:rFonts w:hint="eastAsia" w:ascii="仿宋_GB2312" w:hAnsi="仿宋" w:eastAsia="仿宋_GB2312" w:cs="仿宋"/>
          <w:b/>
          <w:bCs/>
          <w:color w:val="auto"/>
          <w:sz w:val="24"/>
        </w:rPr>
        <w:t>残疾人福利性单位声明函</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单位的</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本单位对上述声明的真实性负责。如有虚假，将依法承担相应责任。</w:t>
      </w:r>
    </w:p>
    <w:p>
      <w:pPr>
        <w:adjustRightInd w:val="0"/>
        <w:snapToGrid w:val="0"/>
        <w:spacing w:line="360" w:lineRule="auto"/>
        <w:ind w:firstLine="560" w:firstLineChars="200"/>
        <w:rPr>
          <w:rFonts w:hint="eastAsia" w:ascii="仿宋_GB2312" w:hAnsi="仿宋" w:eastAsia="仿宋_GB2312" w:cs="仿宋"/>
          <w:color w:val="auto"/>
          <w:sz w:val="28"/>
          <w:szCs w:val="28"/>
        </w:rPr>
      </w:pPr>
    </w:p>
    <w:p>
      <w:pPr>
        <w:adjustRightInd w:val="0"/>
        <w:snapToGrid w:val="0"/>
        <w:spacing w:line="360" w:lineRule="auto"/>
        <w:ind w:firstLine="480" w:firstLineChars="200"/>
        <w:rPr>
          <w:rFonts w:hint="eastAsia" w:ascii="仿宋_GB2312" w:hAnsi="仿宋" w:eastAsia="仿宋_GB2312" w:cs="仿宋"/>
          <w:color w:val="auto"/>
          <w:sz w:val="24"/>
        </w:rPr>
      </w:pP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 xml:space="preserve">                                    单位名称（盖章）：</w:t>
      </w:r>
    </w:p>
    <w:p>
      <w:pPr>
        <w:pStyle w:val="15"/>
        <w:adjustRightInd w:val="0"/>
        <w:snapToGrid w:val="0"/>
        <w:spacing w:before="156" w:after="156" w:line="360" w:lineRule="auto"/>
        <w:rPr>
          <w:rFonts w:hint="eastAsia" w:ascii="仿宋_GB2312" w:hAnsi="仿宋" w:eastAsia="仿宋_GB2312" w:cs="仿宋"/>
          <w:b/>
          <w:color w:val="auto"/>
        </w:rPr>
      </w:pPr>
      <w:r>
        <w:rPr>
          <w:rFonts w:hint="eastAsia" w:ascii="仿宋_GB2312" w:hAnsi="仿宋" w:eastAsia="仿宋_GB2312" w:cs="仿宋"/>
          <w:color w:val="auto"/>
        </w:rPr>
        <w:t xml:space="preserve">                                        日  期：</w:t>
      </w:r>
    </w:p>
    <w:p>
      <w:pPr>
        <w:snapToGrid w:val="0"/>
        <w:spacing w:line="360" w:lineRule="auto"/>
        <w:ind w:right="480"/>
        <w:jc w:val="center"/>
        <w:rPr>
          <w:rFonts w:hint="eastAsia" w:ascii="仿宋_GB2312" w:hAnsi="仿宋" w:eastAsia="仿宋_GB2312" w:cs="仿宋_GB2312"/>
          <w:b/>
          <w:color w:val="auto"/>
          <w:kern w:val="0"/>
          <w:sz w:val="32"/>
          <w:szCs w:val="32"/>
          <w:lang w:eastAsia="zh-CN"/>
        </w:rPr>
      </w:pPr>
    </w:p>
    <w:p>
      <w:pPr>
        <w:snapToGrid w:val="0"/>
        <w:spacing w:line="360" w:lineRule="auto"/>
        <w:ind w:right="480"/>
        <w:jc w:val="center"/>
        <w:rPr>
          <w:rFonts w:hint="eastAsia" w:ascii="仿宋_GB2312" w:hAnsi="仿宋" w:eastAsia="仿宋_GB2312" w:cs="仿宋_GB2312"/>
          <w:b/>
          <w:color w:val="auto"/>
          <w:kern w:val="0"/>
          <w:sz w:val="32"/>
          <w:szCs w:val="32"/>
          <w:lang w:eastAsia="zh-CN"/>
        </w:rPr>
      </w:pPr>
    </w:p>
    <w:p>
      <w:pPr>
        <w:snapToGrid w:val="0"/>
        <w:spacing w:line="360" w:lineRule="auto"/>
        <w:ind w:right="480"/>
        <w:jc w:val="center"/>
        <w:rPr>
          <w:rFonts w:hint="eastAsia" w:ascii="仿宋_GB2312" w:hAnsi="仿宋" w:eastAsia="仿宋_GB2312" w:cs="仿宋_GB2312"/>
          <w:b/>
          <w:color w:val="auto"/>
          <w:kern w:val="0"/>
          <w:sz w:val="32"/>
          <w:szCs w:val="32"/>
          <w:lang w:eastAsia="zh-CN"/>
        </w:rPr>
      </w:pPr>
    </w:p>
    <w:p>
      <w:pPr>
        <w:snapToGrid w:val="0"/>
        <w:spacing w:line="360" w:lineRule="auto"/>
        <w:ind w:right="480"/>
        <w:jc w:val="center"/>
        <w:rPr>
          <w:rFonts w:hint="eastAsia" w:ascii="仿宋_GB2312" w:hAnsi="仿宋" w:eastAsia="仿宋_GB2312" w:cs="仿宋_GB2312"/>
          <w:b/>
          <w:color w:val="auto"/>
          <w:kern w:val="0"/>
          <w:sz w:val="32"/>
          <w:szCs w:val="32"/>
          <w:lang w:eastAsia="zh-CN"/>
        </w:rPr>
      </w:pPr>
    </w:p>
    <w:p>
      <w:pPr>
        <w:snapToGrid w:val="0"/>
        <w:spacing w:line="360" w:lineRule="auto"/>
        <w:ind w:right="480"/>
        <w:jc w:val="center"/>
        <w:rPr>
          <w:rFonts w:hint="eastAsia" w:ascii="仿宋_GB2312" w:hAnsi="仿宋" w:eastAsia="仿宋_GB2312" w:cs="仿宋_GB2312"/>
          <w:b/>
          <w:color w:val="auto"/>
          <w:kern w:val="0"/>
          <w:sz w:val="32"/>
          <w:szCs w:val="32"/>
          <w:lang w:eastAsia="zh-CN"/>
        </w:rPr>
      </w:pPr>
    </w:p>
    <w:p>
      <w:pPr>
        <w:snapToGrid w:val="0"/>
        <w:spacing w:line="360" w:lineRule="auto"/>
        <w:ind w:right="480"/>
        <w:jc w:val="center"/>
        <w:rPr>
          <w:rFonts w:hint="eastAsia" w:ascii="仿宋_GB2312" w:hAnsi="仿宋" w:eastAsia="仿宋_GB2312" w:cs="仿宋_GB2312"/>
          <w:b/>
          <w:color w:val="auto"/>
          <w:kern w:val="0"/>
          <w:sz w:val="32"/>
          <w:szCs w:val="32"/>
          <w:lang w:eastAsia="zh-CN"/>
        </w:rPr>
      </w:pPr>
    </w:p>
    <w:p>
      <w:pPr>
        <w:pStyle w:val="57"/>
        <w:rPr>
          <w:rFonts w:hint="eastAsia" w:ascii="仿宋" w:hAnsi="仿宋" w:eastAsia="仿宋" w:cs="仿宋"/>
          <w:color w:val="auto"/>
          <w:sz w:val="24"/>
          <w:szCs w:val="24"/>
          <w:lang w:val="en-US" w:eastAsia="zh-CN"/>
        </w:rPr>
        <w:sectPr>
          <w:footerReference r:id="rId9" w:type="firs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djustRightInd w:val="0"/>
        <w:snapToGrid w:val="0"/>
        <w:spacing w:before="0" w:beforeLines="-2147483648" w:after="0" w:line="360" w:lineRule="auto"/>
        <w:jc w:val="left"/>
        <w:rPr>
          <w:rFonts w:hint="eastAsia" w:ascii="仿宋_GB2312" w:hAnsi="仿宋" w:eastAsia="仿宋_GB2312" w:cs="仿宋"/>
          <w:bCs/>
          <w:color w:val="auto"/>
          <w:sz w:val="30"/>
          <w:szCs w:val="30"/>
        </w:rPr>
      </w:pPr>
      <w:r>
        <w:rPr>
          <w:rFonts w:hint="eastAsia" w:ascii="仿宋_GB2312" w:hAnsi="仿宋" w:eastAsia="仿宋_GB2312" w:cs="仿宋"/>
          <w:color w:val="auto"/>
          <w:sz w:val="30"/>
          <w:szCs w:val="30"/>
        </w:rPr>
        <w:t>封面</w:t>
      </w:r>
      <w:r>
        <w:rPr>
          <w:rFonts w:hint="eastAsia" w:ascii="仿宋_GB2312" w:hAnsi="仿宋" w:eastAsia="仿宋_GB2312" w:cs="仿宋"/>
          <w:b/>
          <w:color w:val="auto"/>
          <w:sz w:val="30"/>
          <w:szCs w:val="30"/>
        </w:rPr>
        <w:t>：</w:t>
      </w:r>
      <w:r>
        <w:rPr>
          <w:rFonts w:hint="eastAsia" w:ascii="仿宋_GB2312" w:hAnsi="仿宋" w:eastAsia="仿宋_GB2312" w:cs="仿宋"/>
          <w:color w:val="auto"/>
          <w:sz w:val="30"/>
          <w:szCs w:val="30"/>
        </w:rPr>
        <w:t xml:space="preserve">                                            </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lang w:eastAsia="zh-CN"/>
        </w:rPr>
      </w:pPr>
      <w:r>
        <w:rPr>
          <w:rFonts w:hint="eastAsia" w:ascii="仿宋_GB2312" w:hAnsi="仿宋" w:eastAsia="仿宋_GB2312" w:cs="仿宋"/>
          <w:color w:val="auto"/>
          <w:sz w:val="36"/>
          <w:szCs w:val="36"/>
          <w:lang w:eastAsia="zh-CN"/>
        </w:rPr>
        <w:t>浙江省博物馆“丽人行-中国近现代女性图像”展</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lang w:eastAsia="zh-CN"/>
        </w:rPr>
      </w:pPr>
      <w:r>
        <w:rPr>
          <w:rFonts w:hint="eastAsia" w:ascii="仿宋_GB2312" w:hAnsi="仿宋" w:eastAsia="仿宋_GB2312" w:cs="仿宋"/>
          <w:color w:val="auto"/>
          <w:sz w:val="36"/>
          <w:szCs w:val="36"/>
          <w:lang w:eastAsia="zh-CN"/>
        </w:rPr>
        <w:t>运输项目</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项目编号：ZJTY2024H-JF-005</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rPr>
      </w:pPr>
    </w:p>
    <w:p>
      <w:pPr>
        <w:adjustRightInd w:val="0"/>
        <w:snapToGrid w:val="0"/>
        <w:ind w:right="-108"/>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商</w:t>
      </w:r>
    </w:p>
    <w:p>
      <w:pPr>
        <w:adjustRightInd w:val="0"/>
        <w:snapToGrid w:val="0"/>
        <w:ind w:right="-108"/>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务</w:t>
      </w:r>
    </w:p>
    <w:p>
      <w:pPr>
        <w:adjustRightInd w:val="0"/>
        <w:snapToGrid w:val="0"/>
        <w:ind w:right="-108"/>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技</w:t>
      </w:r>
    </w:p>
    <w:p>
      <w:pPr>
        <w:adjustRightInd w:val="0"/>
        <w:snapToGrid w:val="0"/>
        <w:ind w:right="-108"/>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术</w:t>
      </w:r>
    </w:p>
    <w:p>
      <w:pPr>
        <w:adjustRightInd w:val="0"/>
        <w:snapToGrid w:val="0"/>
        <w:ind w:right="-108"/>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文</w:t>
      </w:r>
    </w:p>
    <w:p>
      <w:pPr>
        <w:adjustRightInd w:val="0"/>
        <w:snapToGrid w:val="0"/>
        <w:ind w:right="-108"/>
        <w:jc w:val="center"/>
        <w:rPr>
          <w:rFonts w:hint="eastAsia" w:ascii="仿宋_GB2312" w:hAnsi="仿宋" w:eastAsia="仿宋_GB2312" w:cs="仿宋"/>
          <w:b/>
          <w:color w:val="auto"/>
          <w:spacing w:val="40"/>
          <w:sz w:val="84"/>
          <w:szCs w:val="84"/>
        </w:rPr>
      </w:pPr>
      <w:r>
        <w:rPr>
          <w:rFonts w:hint="eastAsia" w:ascii="仿宋_GB2312" w:hAnsi="仿宋" w:eastAsia="仿宋_GB2312" w:cs="仿宋"/>
          <w:b/>
          <w:color w:val="auto"/>
          <w:spacing w:val="40"/>
          <w:sz w:val="72"/>
          <w:szCs w:val="72"/>
        </w:rPr>
        <w:t>件</w:t>
      </w:r>
    </w:p>
    <w:p>
      <w:pPr>
        <w:adjustRightInd w:val="0"/>
        <w:snapToGrid w:val="0"/>
        <w:spacing w:line="360" w:lineRule="auto"/>
        <w:ind w:right="532"/>
        <w:rPr>
          <w:rFonts w:hint="eastAsia" w:ascii="仿宋_GB2312" w:hAnsi="仿宋" w:eastAsia="仿宋_GB2312" w:cs="仿宋"/>
          <w:color w:val="auto"/>
          <w:sz w:val="36"/>
          <w:szCs w:val="36"/>
        </w:rPr>
      </w:pPr>
    </w:p>
    <w:p>
      <w:pPr>
        <w:adjustRightInd w:val="0"/>
        <w:snapToGrid w:val="0"/>
        <w:spacing w:line="360" w:lineRule="auto"/>
        <w:ind w:right="532"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磋商供应商全称（公章）：</w:t>
      </w:r>
    </w:p>
    <w:p>
      <w:pPr>
        <w:adjustRightInd w:val="0"/>
        <w:snapToGrid w:val="0"/>
        <w:spacing w:line="360" w:lineRule="auto"/>
        <w:ind w:right="532"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授权代表（签字）：</w:t>
      </w:r>
    </w:p>
    <w:p>
      <w:pPr>
        <w:adjustRightInd w:val="0"/>
        <w:snapToGrid w:val="0"/>
        <w:spacing w:line="360" w:lineRule="auto"/>
        <w:ind w:right="532"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地    址：</w:t>
      </w:r>
    </w:p>
    <w:p>
      <w:pPr>
        <w:adjustRightInd w:val="0"/>
        <w:snapToGrid w:val="0"/>
        <w:spacing w:line="360" w:lineRule="auto"/>
        <w:ind w:right="532" w:firstLine="640" w:firstLineChars="200"/>
        <w:rPr>
          <w:rFonts w:hint="eastAsia" w:ascii="仿宋_GB2312" w:hAnsi="仿宋" w:eastAsia="仿宋_GB2312" w:cs="仿宋"/>
          <w:b/>
          <w:bCs/>
          <w:color w:val="auto"/>
          <w:sz w:val="36"/>
          <w:szCs w:val="36"/>
        </w:rPr>
      </w:pPr>
      <w:r>
        <w:rPr>
          <w:rFonts w:hint="eastAsia" w:ascii="仿宋_GB2312" w:hAnsi="仿宋" w:eastAsia="仿宋_GB2312" w:cs="仿宋"/>
          <w:color w:val="auto"/>
          <w:sz w:val="32"/>
          <w:szCs w:val="32"/>
        </w:rPr>
        <w:t>时    间：</w:t>
      </w:r>
    </w:p>
    <w:p>
      <w:pPr>
        <w:adjustRightInd w:val="0"/>
        <w:snapToGrid w:val="0"/>
        <w:spacing w:line="360" w:lineRule="auto"/>
        <w:jc w:val="center"/>
        <w:rPr>
          <w:rFonts w:hint="eastAsia" w:ascii="仿宋_GB2312" w:hAnsi="仿宋" w:eastAsia="仿宋_GB2312" w:cs="仿宋"/>
          <w:b/>
          <w:bCs/>
          <w:color w:val="auto"/>
          <w:sz w:val="36"/>
          <w:szCs w:val="36"/>
        </w:rPr>
      </w:pPr>
      <w:r>
        <w:rPr>
          <w:rFonts w:hint="eastAsia" w:ascii="仿宋_GB2312" w:hAnsi="仿宋" w:eastAsia="仿宋_GB2312" w:cs="仿宋"/>
          <w:color w:val="auto"/>
          <w:sz w:val="24"/>
        </w:rPr>
        <w:br w:type="page"/>
      </w:r>
      <w:r>
        <w:rPr>
          <w:rFonts w:hint="eastAsia" w:ascii="仿宋_GB2312" w:hAnsi="仿宋" w:eastAsia="仿宋_GB2312" w:cs="仿宋"/>
          <w:b/>
          <w:bCs/>
          <w:color w:val="auto"/>
          <w:sz w:val="36"/>
          <w:szCs w:val="36"/>
        </w:rPr>
        <w:t>商务技术文件</w:t>
      </w:r>
    </w:p>
    <w:p>
      <w:pPr>
        <w:adjustRightInd w:val="0"/>
        <w:snapToGrid w:val="0"/>
        <w:spacing w:line="360" w:lineRule="auto"/>
        <w:jc w:val="center"/>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目录</w:t>
      </w:r>
    </w:p>
    <w:p>
      <w:pPr>
        <w:adjustRightInd w:val="0"/>
        <w:snapToGrid w:val="0"/>
        <w:spacing w:line="360" w:lineRule="auto"/>
        <w:rPr>
          <w:rFonts w:hint="eastAsia" w:ascii="仿宋_GB2312" w:hAnsi="仿宋" w:eastAsia="仿宋_GB2312" w:cs="仿宋"/>
          <w:color w:val="auto"/>
          <w:sz w:val="24"/>
          <w:szCs w:val="20"/>
        </w:rPr>
      </w:pP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（1）磋商声明书 ——————————————————————（页码）</w:t>
      </w: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（2）法定代表人授权委托书或法定代表人身份证明书 ——————（页码）</w:t>
      </w:r>
    </w:p>
    <w:p>
      <w:pPr>
        <w:adjustRightInd w:val="0"/>
        <w:snapToGrid w:val="0"/>
        <w:spacing w:line="360" w:lineRule="auto"/>
        <w:jc w:val="left"/>
        <w:rPr>
          <w:rFonts w:hint="eastAsia" w:ascii="仿宋_GB2312" w:hAnsi="仿宋" w:eastAsia="仿宋" w:cs="仿宋"/>
          <w:color w:val="auto"/>
          <w:sz w:val="24"/>
        </w:rPr>
      </w:pPr>
      <w:r>
        <w:rPr>
          <w:rFonts w:hint="eastAsia" w:ascii="仿宋_GB2312" w:hAnsi="仿宋" w:eastAsia="仿宋_GB2312" w:cs="仿宋"/>
          <w:color w:val="auto"/>
          <w:sz w:val="24"/>
        </w:rPr>
        <w:t xml:space="preserve">（3）招标服务费承诺书 </w:t>
      </w:r>
      <w:r>
        <w:rPr>
          <w:rFonts w:hint="eastAsia" w:ascii="仿宋" w:hAnsi="仿宋" w:eastAsia="仿宋" w:cs="仿宋"/>
          <w:b/>
          <w:color w:val="auto"/>
          <w:kern w:val="0"/>
          <w:sz w:val="24"/>
        </w:rPr>
        <w:t>———————————————————</w:t>
      </w:r>
      <w:r>
        <w:rPr>
          <w:rFonts w:hint="eastAsia" w:ascii="仿宋_GB2312" w:hAnsi="仿宋" w:eastAsia="仿宋_GB2312" w:cs="仿宋"/>
          <w:color w:val="auto"/>
          <w:sz w:val="24"/>
        </w:rPr>
        <w:t>（页码）</w:t>
      </w: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（4）磋商供应商情况介绍———————————————————（页码）</w:t>
      </w:r>
    </w:p>
    <w:p>
      <w:pPr>
        <w:adjustRightInd w:val="0"/>
        <w:snapToGrid w:val="0"/>
        <w:spacing w:line="360" w:lineRule="auto"/>
        <w:jc w:val="left"/>
        <w:rPr>
          <w:rFonts w:hint="eastAsia"/>
        </w:rPr>
      </w:pPr>
      <w:r>
        <w:rPr>
          <w:rFonts w:hint="eastAsia" w:ascii="仿宋_GB2312" w:hAnsi="仿宋" w:eastAsia="仿宋_GB2312" w:cs="仿宋"/>
          <w:color w:val="auto"/>
          <w:sz w:val="24"/>
        </w:rPr>
        <w:t>（</w:t>
      </w:r>
      <w:r>
        <w:rPr>
          <w:rFonts w:hint="eastAsia" w:ascii="仿宋_GB2312" w:hAnsi="仿宋" w:eastAsia="仿宋_GB2312" w:cs="仿宋"/>
          <w:color w:val="auto"/>
          <w:sz w:val="24"/>
          <w:lang w:val="en-US" w:eastAsia="zh-CN"/>
        </w:rPr>
        <w:t>5</w:t>
      </w:r>
      <w:r>
        <w:rPr>
          <w:rFonts w:hint="eastAsia" w:ascii="仿宋_GB2312" w:hAnsi="仿宋" w:eastAsia="仿宋_GB2312" w:cs="仿宋"/>
          <w:color w:val="auto"/>
          <w:sz w:val="24"/>
        </w:rPr>
        <w:t>）</w:t>
      </w:r>
      <w:r>
        <w:rPr>
          <w:rFonts w:hint="eastAsia" w:ascii="仿宋_GB2312" w:hAnsi="仿宋" w:eastAsia="仿宋_GB2312" w:cs="仿宋"/>
          <w:color w:val="auto"/>
          <w:sz w:val="24"/>
          <w:lang w:eastAsia="zh-CN"/>
        </w:rPr>
        <w:t>分包协议</w:t>
      </w:r>
      <w:r>
        <w:rPr>
          <w:rFonts w:hint="eastAsia" w:ascii="仿宋_GB2312" w:hAnsi="仿宋" w:eastAsia="仿宋_GB2312" w:cs="仿宋"/>
          <w:color w:val="auto"/>
          <w:sz w:val="24"/>
        </w:rPr>
        <w:t>————————————————————————（页码）</w:t>
      </w: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bCs/>
          <w:color w:val="auto"/>
          <w:sz w:val="24"/>
        </w:rPr>
        <w:t>（</w:t>
      </w:r>
      <w:r>
        <w:rPr>
          <w:rFonts w:hint="eastAsia" w:ascii="仿宋_GB2312" w:hAnsi="仿宋" w:eastAsia="仿宋_GB2312" w:cs="仿宋"/>
          <w:bCs/>
          <w:color w:val="auto"/>
          <w:sz w:val="24"/>
          <w:lang w:val="en-US" w:eastAsia="zh-CN"/>
        </w:rPr>
        <w:t>6</w:t>
      </w:r>
      <w:r>
        <w:rPr>
          <w:rFonts w:hint="eastAsia" w:ascii="仿宋_GB2312" w:hAnsi="仿宋" w:eastAsia="仿宋_GB2312" w:cs="仿宋"/>
          <w:bCs/>
          <w:color w:val="auto"/>
          <w:sz w:val="24"/>
        </w:rPr>
        <w:t>）类似业绩证明</w:t>
      </w:r>
      <w:r>
        <w:rPr>
          <w:rFonts w:hint="eastAsia" w:ascii="仿宋_GB2312" w:hAnsi="仿宋" w:eastAsia="仿宋_GB2312" w:cs="仿宋"/>
          <w:color w:val="auto"/>
          <w:sz w:val="24"/>
        </w:rPr>
        <w:t>——————————————————————（页码）</w:t>
      </w:r>
    </w:p>
    <w:p>
      <w:pPr>
        <w:tabs>
          <w:tab w:val="left" w:pos="1080"/>
        </w:tabs>
        <w:adjustRightInd w:val="0"/>
        <w:snapToGrid w:val="0"/>
        <w:spacing w:line="360" w:lineRule="auto"/>
        <w:jc w:val="left"/>
        <w:rPr>
          <w:rFonts w:hint="eastAsia" w:ascii="仿宋_GB2312" w:hAnsi="仿宋" w:eastAsia="仿宋_GB2312" w:cs="仿宋"/>
          <w:color w:val="auto"/>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7</w:t>
      </w:r>
      <w:r>
        <w:rPr>
          <w:rFonts w:hint="eastAsia" w:ascii="仿宋_GB2312" w:hAnsi="宋体" w:eastAsia="仿宋_GB2312"/>
          <w:color w:val="auto"/>
          <w:sz w:val="24"/>
        </w:rPr>
        <w:t>）针对“第四章  评分办法及评分标准”的内容作出具体的完整实施方案、布撤展方案、包装及运输方案以及保险方案等</w:t>
      </w:r>
      <w:r>
        <w:rPr>
          <w:rFonts w:hint="eastAsia" w:ascii="仿宋_GB2312" w:hAnsi="仿宋" w:eastAsia="仿宋_GB2312" w:cs="仿宋"/>
          <w:color w:val="auto"/>
          <w:sz w:val="24"/>
        </w:rPr>
        <w:t>————————（页码）</w:t>
      </w:r>
    </w:p>
    <w:p>
      <w:pPr>
        <w:pStyle w:val="13"/>
        <w:spacing w:line="360" w:lineRule="auto"/>
        <w:ind w:left="0" w:leftChars="0"/>
        <w:rPr>
          <w:rFonts w:hint="eastAsia" w:ascii="仿宋_GB2312" w:hAnsi="仿宋" w:eastAsia="仿宋_GB2312" w:cs="仿宋"/>
          <w:color w:val="auto"/>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8</w:t>
      </w:r>
      <w:r>
        <w:rPr>
          <w:rFonts w:hint="eastAsia" w:ascii="仿宋_GB2312" w:hAnsi="宋体" w:eastAsia="仿宋_GB2312"/>
          <w:color w:val="auto"/>
          <w:sz w:val="24"/>
        </w:rPr>
        <w:t>）投标人为完成本项目组建的工作小组名单、人员资质证明及社保缴纳证明</w:t>
      </w:r>
      <w:r>
        <w:rPr>
          <w:rFonts w:hint="eastAsia" w:ascii="仿宋_GB2312" w:hAnsi="仿宋" w:eastAsia="仿宋_GB2312" w:cs="仿宋"/>
          <w:color w:val="auto"/>
          <w:sz w:val="24"/>
        </w:rPr>
        <w:t>——————————————————（页码）</w:t>
      </w:r>
    </w:p>
    <w:p>
      <w:pPr>
        <w:adjustRightInd w:val="0"/>
        <w:snapToGrid w:val="0"/>
        <w:spacing w:line="360" w:lineRule="auto"/>
        <w:jc w:val="left"/>
        <w:rPr>
          <w:rFonts w:hint="eastAsia" w:ascii="仿宋_GB2312" w:hAnsi="仿宋" w:eastAsia="仿宋_GB2312" w:cs="仿宋"/>
          <w:color w:val="auto"/>
          <w:sz w:val="24"/>
          <w:lang w:val="zh-CN"/>
        </w:rPr>
      </w:pPr>
      <w:r>
        <w:rPr>
          <w:rFonts w:hint="eastAsia" w:ascii="仿宋_GB2312" w:hAnsi="仿宋" w:eastAsia="仿宋_GB2312" w:cs="仿宋"/>
          <w:color w:val="auto"/>
          <w:sz w:val="24"/>
          <w:lang w:val="zh-CN"/>
        </w:rPr>
        <w:t>（</w:t>
      </w:r>
      <w:r>
        <w:rPr>
          <w:rFonts w:hint="eastAsia" w:ascii="仿宋_GB2312" w:hAnsi="仿宋" w:eastAsia="仿宋_GB2312" w:cs="仿宋"/>
          <w:color w:val="auto"/>
          <w:sz w:val="24"/>
          <w:lang w:val="en-US" w:eastAsia="zh-CN"/>
        </w:rPr>
        <w:t>9</w:t>
      </w:r>
      <w:r>
        <w:rPr>
          <w:rFonts w:hint="eastAsia" w:ascii="仿宋_GB2312" w:hAnsi="仿宋" w:eastAsia="仿宋_GB2312" w:cs="仿宋"/>
          <w:color w:val="auto"/>
          <w:sz w:val="24"/>
          <w:lang w:val="zh-CN"/>
        </w:rPr>
        <w:t>）商务技术响应表（格式见附件）</w:t>
      </w:r>
      <w:r>
        <w:rPr>
          <w:rFonts w:hint="eastAsia" w:ascii="仿宋_GB2312" w:hAnsi="仿宋" w:eastAsia="仿宋_GB2312" w:cs="仿宋"/>
          <w:color w:val="auto"/>
          <w:sz w:val="24"/>
        </w:rPr>
        <w:t>——————————————（页码）</w:t>
      </w:r>
    </w:p>
    <w:p>
      <w:pPr>
        <w:adjustRightInd w:val="0"/>
        <w:snapToGrid w:val="0"/>
        <w:spacing w:line="360" w:lineRule="auto"/>
        <w:jc w:val="left"/>
        <w:rPr>
          <w:rFonts w:ascii="仿宋_GB2312" w:hAnsi="仿宋" w:eastAsia="仿宋_GB2312" w:cs="仿宋"/>
          <w:color w:val="auto"/>
          <w:sz w:val="24"/>
          <w:lang w:val="zh-CN"/>
        </w:rPr>
      </w:pPr>
      <w:r>
        <w:rPr>
          <w:rFonts w:hint="eastAsia" w:ascii="仿宋_GB2312" w:hAnsi="仿宋" w:eastAsia="仿宋_GB2312" w:cs="仿宋"/>
          <w:color w:val="auto"/>
          <w:sz w:val="24"/>
          <w:lang w:val="zh-CN"/>
        </w:rPr>
        <w:t>（</w:t>
      </w:r>
      <w:r>
        <w:rPr>
          <w:rFonts w:hint="eastAsia" w:ascii="仿宋_GB2312" w:hAnsi="仿宋" w:eastAsia="仿宋_GB2312" w:cs="仿宋"/>
          <w:color w:val="auto"/>
          <w:sz w:val="24"/>
          <w:lang w:val="en-US" w:eastAsia="zh-CN"/>
        </w:rPr>
        <w:t>10</w:t>
      </w:r>
      <w:r>
        <w:rPr>
          <w:rFonts w:hint="eastAsia" w:ascii="仿宋_GB2312" w:hAnsi="仿宋" w:eastAsia="仿宋_GB2312" w:cs="仿宋"/>
          <w:color w:val="auto"/>
          <w:sz w:val="24"/>
          <w:lang w:val="zh-CN"/>
        </w:rPr>
        <w:t>）供应商认为需要说明的其他文件和资料</w:t>
      </w:r>
      <w:r>
        <w:rPr>
          <w:rFonts w:hint="eastAsia" w:ascii="仿宋_GB2312" w:hAnsi="仿宋" w:eastAsia="仿宋_GB2312" w:cs="仿宋"/>
          <w:color w:val="auto"/>
          <w:sz w:val="24"/>
        </w:rPr>
        <w:t>——————————</w:t>
      </w:r>
      <w:r>
        <w:rPr>
          <w:rFonts w:hint="eastAsia" w:ascii="仿宋_GB2312" w:hAnsi="仿宋" w:eastAsia="仿宋_GB2312" w:cs="仿宋"/>
          <w:color w:val="auto"/>
          <w:sz w:val="24"/>
          <w:lang w:val="en-US" w:eastAsia="zh-CN"/>
        </w:rPr>
        <w:t>-</w:t>
      </w:r>
      <w:r>
        <w:rPr>
          <w:rFonts w:hint="eastAsia" w:ascii="仿宋_GB2312" w:hAnsi="仿宋" w:eastAsia="仿宋_GB2312" w:cs="仿宋"/>
          <w:color w:val="auto"/>
          <w:sz w:val="24"/>
        </w:rPr>
        <w:t>（页码）（1</w:t>
      </w:r>
      <w:r>
        <w:rPr>
          <w:rFonts w:hint="eastAsia" w:ascii="仿宋_GB2312" w:hAnsi="仿宋" w:eastAsia="仿宋_GB2312" w:cs="仿宋"/>
          <w:color w:val="auto"/>
          <w:sz w:val="24"/>
          <w:lang w:val="en-US" w:eastAsia="zh-CN"/>
        </w:rPr>
        <w:t>1</w:t>
      </w:r>
      <w:r>
        <w:rPr>
          <w:rFonts w:hint="eastAsia" w:ascii="仿宋_GB2312" w:hAnsi="仿宋" w:eastAsia="仿宋_GB2312" w:cs="仿宋"/>
          <w:color w:val="auto"/>
          <w:sz w:val="24"/>
        </w:rPr>
        <w:t>）政府采购供应商廉洁自律承诺书—————————————</w:t>
      </w:r>
      <w:r>
        <w:rPr>
          <w:rFonts w:hint="eastAsia" w:ascii="仿宋_GB2312" w:hAnsi="仿宋" w:eastAsia="仿宋_GB2312" w:cs="仿宋"/>
          <w:color w:val="auto"/>
          <w:sz w:val="24"/>
          <w:lang w:val="en-US" w:eastAsia="zh-CN"/>
        </w:rPr>
        <w:t>-</w:t>
      </w:r>
      <w:r>
        <w:rPr>
          <w:rFonts w:hint="eastAsia" w:ascii="仿宋_GB2312" w:hAnsi="仿宋" w:eastAsia="仿宋_GB2312" w:cs="仿宋"/>
          <w:color w:val="auto"/>
          <w:sz w:val="24"/>
        </w:rPr>
        <w:t>（页码）</w:t>
      </w:r>
    </w:p>
    <w:p>
      <w:pPr>
        <w:adjustRightInd w:val="0"/>
        <w:snapToGrid w:val="0"/>
        <w:spacing w:line="360" w:lineRule="auto"/>
        <w:jc w:val="left"/>
        <w:rPr>
          <w:rFonts w:hint="eastAsia" w:ascii="仿宋_GB2312" w:hAnsi="仿宋" w:eastAsia="仿宋_GB2312" w:cs="仿宋"/>
          <w:color w:val="auto"/>
          <w:sz w:val="24"/>
          <w:lang w:val="zh-CN"/>
        </w:rPr>
      </w:pP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br w:type="page"/>
      </w:r>
      <w:r>
        <w:rPr>
          <w:rFonts w:hint="eastAsia" w:ascii="仿宋_GB2312" w:hAnsi="仿宋" w:eastAsia="仿宋_GB2312" w:cs="仿宋"/>
          <w:b/>
          <w:bCs/>
          <w:color w:val="auto"/>
          <w:sz w:val="24"/>
        </w:rPr>
        <w:t>一、磋商声明书格式：</w:t>
      </w:r>
    </w:p>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lang w:eastAsia="zh-CN"/>
        </w:rPr>
        <w:t>磋商</w:t>
      </w:r>
      <w:r>
        <w:rPr>
          <w:rFonts w:hint="eastAsia" w:ascii="仿宋_GB2312" w:hAnsi="仿宋" w:eastAsia="仿宋_GB2312" w:cs="仿宋"/>
          <w:color w:val="auto"/>
          <w:sz w:val="24"/>
        </w:rPr>
        <w:t>声明书</w:t>
      </w:r>
    </w:p>
    <w:p>
      <w:pPr>
        <w:adjustRightInd w:val="0"/>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浙江省博物馆、浙江通用招标代理有限公司</w:t>
      </w:r>
      <w:r>
        <w:rPr>
          <w:rFonts w:hint="eastAsia" w:ascii="仿宋" w:hAnsi="仿宋" w:eastAsia="仿宋" w:cs="仿宋"/>
          <w:color w:val="auto"/>
          <w:kern w:val="0"/>
          <w:sz w:val="24"/>
        </w:rPr>
        <w:t>：</w:t>
      </w:r>
    </w:p>
    <w:p>
      <w:pPr>
        <w:adjustRightInd w:val="0"/>
        <w:snapToGrid w:val="0"/>
        <w:spacing w:line="360" w:lineRule="auto"/>
        <w:ind w:firstLine="480"/>
        <w:rPr>
          <w:rFonts w:ascii="仿宋" w:hAnsi="仿宋" w:eastAsia="仿宋" w:cs="仿宋"/>
          <w:color w:val="auto"/>
          <w:kern w:val="0"/>
          <w:sz w:val="24"/>
          <w:lang w:val="zh-CN"/>
        </w:rPr>
      </w:pPr>
      <w:r>
        <w:rPr>
          <w:rFonts w:hint="eastAsia" w:ascii="仿宋" w:hAnsi="仿宋" w:eastAsia="仿宋" w:cs="仿宋"/>
          <w:color w:val="auto"/>
          <w:kern w:val="0"/>
          <w:sz w:val="24"/>
          <w:lang w:val="zh-CN"/>
        </w:rPr>
        <w:t>我公司</w:t>
      </w:r>
      <w:r>
        <w:rPr>
          <w:rFonts w:hint="eastAsia" w:ascii="仿宋" w:hAnsi="仿宋" w:eastAsia="仿宋" w:cs="仿宋"/>
          <w:color w:val="auto"/>
          <w:sz w:val="24"/>
        </w:rPr>
        <w:t>声明截止磋商时间近三年以来，在</w:t>
      </w:r>
      <w:r>
        <w:rPr>
          <w:rFonts w:hint="eastAsia" w:ascii="仿宋" w:hAnsi="仿宋" w:eastAsia="仿宋" w:cs="仿宋"/>
          <w:color w:val="auto"/>
          <w:kern w:val="0"/>
          <w:sz w:val="24"/>
        </w:rPr>
        <w:t>政府采购领域中</w:t>
      </w:r>
      <w:r>
        <w:rPr>
          <w:rFonts w:hint="eastAsia" w:ascii="仿宋" w:hAnsi="仿宋" w:eastAsia="仿宋" w:cs="仿宋"/>
          <w:color w:val="auto"/>
          <w:sz w:val="24"/>
        </w:rPr>
        <w:t>，在项目采购、磋商和合同履约期间无任何不良行为记录和违法、违规行为</w:t>
      </w:r>
      <w:r>
        <w:rPr>
          <w:rFonts w:hint="eastAsia" w:ascii="仿宋" w:hAnsi="仿宋" w:eastAsia="仿宋" w:cs="仿宋"/>
          <w:color w:val="auto"/>
          <w:kern w:val="0"/>
          <w:sz w:val="24"/>
          <w:lang w:val="zh-CN"/>
        </w:rPr>
        <w:t>。</w:t>
      </w:r>
    </w:p>
    <w:p>
      <w:pPr>
        <w:adjustRightInd w:val="0"/>
        <w:snapToGrid w:val="0"/>
        <w:spacing w:line="360" w:lineRule="auto"/>
        <w:ind w:firstLine="480"/>
        <w:rPr>
          <w:rFonts w:ascii="仿宋" w:hAnsi="仿宋" w:eastAsia="仿宋" w:cs="仿宋"/>
          <w:color w:val="auto"/>
          <w:kern w:val="0"/>
          <w:sz w:val="24"/>
          <w:lang w:val="zh-CN"/>
        </w:rPr>
      </w:pPr>
      <w:r>
        <w:rPr>
          <w:rFonts w:hint="eastAsia" w:ascii="仿宋" w:hAnsi="仿宋" w:eastAsia="仿宋" w:cs="仿宋"/>
          <w:color w:val="auto"/>
          <w:kern w:val="0"/>
          <w:sz w:val="24"/>
          <w:lang w:val="zh-CN"/>
        </w:rPr>
        <w:t>我公司自愿参加</w:t>
      </w:r>
      <w:r>
        <w:rPr>
          <w:rFonts w:hint="eastAsia" w:ascii="仿宋" w:hAnsi="仿宋" w:eastAsia="仿宋" w:cs="仿宋"/>
          <w:color w:val="auto"/>
          <w:sz w:val="24"/>
          <w:lang w:eastAsia="zh-CN"/>
        </w:rPr>
        <w:t>浙江省博物馆“丽人行-中国近现代女性图像”展运输项目</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编号：</w:t>
      </w:r>
      <w:r>
        <w:rPr>
          <w:rFonts w:hint="eastAsia" w:ascii="仿宋" w:hAnsi="仿宋" w:eastAsia="仿宋" w:cs="仿宋"/>
          <w:color w:val="auto"/>
          <w:kern w:val="0"/>
          <w:sz w:val="24"/>
          <w:lang w:eastAsia="zh-CN"/>
        </w:rPr>
        <w:t>ZJTY2024H-JF-005</w:t>
      </w:r>
      <w:r>
        <w:rPr>
          <w:rFonts w:hint="eastAsia" w:ascii="仿宋" w:hAnsi="仿宋" w:eastAsia="仿宋" w:cs="仿宋"/>
          <w:color w:val="auto"/>
          <w:sz w:val="24"/>
        </w:rPr>
        <w:t>）</w:t>
      </w:r>
      <w:r>
        <w:rPr>
          <w:rFonts w:hint="eastAsia" w:ascii="仿宋" w:hAnsi="仿宋" w:eastAsia="仿宋" w:cs="仿宋"/>
          <w:color w:val="auto"/>
          <w:kern w:val="0"/>
          <w:sz w:val="24"/>
          <w:lang w:val="zh-CN"/>
        </w:rPr>
        <w:t>的磋商响应，并保证磋商响应文件中所列举的投标报价文件及相关资料和公司基本情况资料是真实的、合法的。</w:t>
      </w:r>
    </w:p>
    <w:p>
      <w:pPr>
        <w:adjustRightInd w:val="0"/>
        <w:snapToGrid w:val="0"/>
        <w:spacing w:line="360" w:lineRule="auto"/>
        <w:ind w:firstLine="480"/>
        <w:rPr>
          <w:rFonts w:ascii="仿宋" w:hAnsi="仿宋" w:eastAsia="仿宋" w:cs="仿宋"/>
          <w:color w:val="auto"/>
          <w:kern w:val="0"/>
          <w:sz w:val="24"/>
          <w:lang w:val="zh-CN"/>
        </w:rPr>
      </w:pPr>
      <w:r>
        <w:rPr>
          <w:rFonts w:hint="eastAsia" w:ascii="仿宋" w:hAnsi="仿宋" w:eastAsia="仿宋" w:cs="仿宋"/>
          <w:color w:val="auto"/>
          <w:kern w:val="0"/>
          <w:sz w:val="24"/>
          <w:lang w:val="zh-CN"/>
        </w:rPr>
        <w:t>我公司已详细阅读全部“磋商文件”，包括修改文件（如果有）以及全部磋商资料和相关附件，并已了解我公司在招投标过程中的权利和义务。</w:t>
      </w:r>
    </w:p>
    <w:p>
      <w:pPr>
        <w:adjustRightInd w:val="0"/>
        <w:snapToGrid w:val="0"/>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lang w:val="zh-CN"/>
        </w:rPr>
        <w:t>我公司理解并接受磋商文件的各项规定和要求，同意此次磋商文件中的各项内容，</w:t>
      </w:r>
      <w:r>
        <w:rPr>
          <w:rFonts w:hint="eastAsia" w:ascii="仿宋" w:hAnsi="仿宋" w:eastAsia="仿宋" w:cs="仿宋"/>
          <w:color w:val="auto"/>
          <w:kern w:val="0"/>
          <w:sz w:val="24"/>
        </w:rPr>
        <w:t>并</w:t>
      </w:r>
      <w:r>
        <w:rPr>
          <w:rFonts w:hint="eastAsia" w:ascii="仿宋" w:hAnsi="仿宋" w:eastAsia="仿宋" w:cs="仿宋"/>
          <w:color w:val="auto"/>
          <w:kern w:val="0"/>
          <w:sz w:val="24"/>
          <w:lang w:val="zh-CN"/>
        </w:rPr>
        <w:t>同意提供按照贵方可能要求的与磋商有关的一切数据或资料等。</w:t>
      </w:r>
    </w:p>
    <w:p>
      <w:pPr>
        <w:adjustRightInd w:val="0"/>
        <w:snapToGrid w:val="0"/>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lang w:val="zh-CN"/>
        </w:rPr>
        <w:t>本公司如成交，保证按照磋商响应文件的承诺与贵方签订合同，保证履行合同条款并缴纳履约保证金。</w:t>
      </w:r>
    </w:p>
    <w:p>
      <w:pPr>
        <w:autoSpaceDE w:val="0"/>
        <w:autoSpaceDN w:val="0"/>
        <w:adjustRightInd w:val="0"/>
        <w:snapToGrid w:val="0"/>
        <w:spacing w:line="360" w:lineRule="auto"/>
        <w:ind w:firstLine="4560" w:firstLineChars="1900"/>
        <w:jc w:val="left"/>
        <w:rPr>
          <w:rFonts w:hint="eastAsia" w:ascii="仿宋" w:hAnsi="仿宋" w:eastAsia="仿宋" w:cs="仿宋"/>
          <w:color w:val="auto"/>
          <w:kern w:val="0"/>
          <w:sz w:val="24"/>
        </w:rPr>
      </w:pPr>
    </w:p>
    <w:p>
      <w:pPr>
        <w:autoSpaceDE w:val="0"/>
        <w:autoSpaceDN w:val="0"/>
        <w:adjustRightInd w:val="0"/>
        <w:snapToGrid w:val="0"/>
        <w:spacing w:line="360" w:lineRule="auto"/>
        <w:ind w:firstLine="4560" w:firstLineChars="190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p>
    <w:p>
      <w:pPr>
        <w:autoSpaceDE w:val="0"/>
        <w:autoSpaceDN w:val="0"/>
        <w:adjustRightInd w:val="0"/>
        <w:snapToGrid w:val="0"/>
        <w:spacing w:line="360" w:lineRule="auto"/>
        <w:ind w:firstLine="4200" w:firstLineChars="1750"/>
        <w:jc w:val="left"/>
        <w:rPr>
          <w:rFonts w:ascii="仿宋" w:hAnsi="仿宋" w:eastAsia="仿宋" w:cs="仿宋"/>
          <w:color w:val="auto"/>
          <w:kern w:val="0"/>
          <w:sz w:val="24"/>
        </w:rPr>
      </w:pPr>
      <w:r>
        <w:rPr>
          <w:rFonts w:hint="eastAsia" w:ascii="仿宋" w:hAnsi="仿宋" w:eastAsia="仿宋" w:cs="仿宋"/>
          <w:color w:val="auto"/>
          <w:kern w:val="0"/>
          <w:sz w:val="24"/>
        </w:rPr>
        <w:t>磋商供应商名称（公章）：</w:t>
      </w:r>
    </w:p>
    <w:p>
      <w:pPr>
        <w:adjustRightInd w:val="0"/>
        <w:snapToGrid w:val="0"/>
        <w:spacing w:line="360" w:lineRule="auto"/>
        <w:ind w:firstLine="4560" w:firstLineChars="1900"/>
        <w:jc w:val="left"/>
        <w:rPr>
          <w:rFonts w:hint="eastAsia" w:ascii="仿宋_GB2312" w:hAnsi="仿宋" w:eastAsia="仿宋_GB2312" w:cs="仿宋"/>
          <w:color w:val="auto"/>
          <w:sz w:val="24"/>
        </w:rPr>
      </w:pPr>
      <w:r>
        <w:rPr>
          <w:rFonts w:hint="eastAsia" w:ascii="仿宋" w:hAnsi="仿宋" w:eastAsia="仿宋" w:cs="仿宋"/>
          <w:color w:val="auto"/>
          <w:kern w:val="0"/>
          <w:sz w:val="24"/>
        </w:rPr>
        <w:t>日期：</w:t>
      </w:r>
      <w:r>
        <w:rPr>
          <w:rFonts w:ascii="仿宋" w:hAnsi="仿宋" w:eastAsia="仿宋" w:cs="仿宋"/>
          <w:color w:val="auto"/>
          <w:kern w:val="0"/>
          <w:sz w:val="24"/>
        </w:rPr>
        <w:t xml:space="preserve">  </w:t>
      </w:r>
      <w:r>
        <w:rPr>
          <w:rFonts w:hint="eastAsia" w:ascii="仿宋" w:hAnsi="仿宋" w:eastAsia="仿宋" w:cs="仿宋"/>
          <w:color w:val="auto"/>
          <w:kern w:val="0"/>
          <w:sz w:val="24"/>
        </w:rPr>
        <w:t>年</w:t>
      </w:r>
      <w:r>
        <w:rPr>
          <w:rFonts w:ascii="仿宋" w:hAnsi="仿宋" w:eastAsia="仿宋" w:cs="仿宋"/>
          <w:color w:val="auto"/>
          <w:kern w:val="0"/>
          <w:sz w:val="24"/>
        </w:rPr>
        <w:t xml:space="preserve">  </w:t>
      </w:r>
      <w:r>
        <w:rPr>
          <w:rFonts w:hint="eastAsia" w:ascii="仿宋" w:hAnsi="仿宋" w:eastAsia="仿宋" w:cs="仿宋"/>
          <w:color w:val="auto"/>
          <w:kern w:val="0"/>
          <w:sz w:val="24"/>
        </w:rPr>
        <w:t>月</w:t>
      </w:r>
      <w:r>
        <w:rPr>
          <w:rFonts w:ascii="仿宋" w:hAnsi="仿宋" w:eastAsia="仿宋" w:cs="仿宋"/>
          <w:color w:val="auto"/>
          <w:kern w:val="0"/>
          <w:sz w:val="24"/>
        </w:rPr>
        <w:t xml:space="preserve">   </w:t>
      </w:r>
      <w:r>
        <w:rPr>
          <w:rFonts w:hint="eastAsia" w:ascii="仿宋" w:hAnsi="仿宋" w:eastAsia="仿宋" w:cs="仿宋"/>
          <w:color w:val="auto"/>
          <w:kern w:val="0"/>
          <w:sz w:val="24"/>
        </w:rPr>
        <w:t>日</w:t>
      </w: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jc w:val="left"/>
        <w:rPr>
          <w:rFonts w:hint="eastAsia" w:ascii="仿宋_GB2312" w:hAnsi="仿宋" w:eastAsia="仿宋_GB2312" w:cs="仿宋"/>
          <w:b/>
          <w:bCs/>
          <w:color w:val="auto"/>
          <w:sz w:val="24"/>
        </w:rPr>
      </w:pPr>
      <w:r>
        <w:rPr>
          <w:rFonts w:hint="eastAsia" w:ascii="仿宋_GB2312" w:hAnsi="仿宋" w:eastAsia="仿宋_GB2312" w:cs="仿宋"/>
          <w:color w:val="auto"/>
          <w:sz w:val="24"/>
        </w:rPr>
        <w:br w:type="page"/>
      </w:r>
      <w:r>
        <w:rPr>
          <w:rFonts w:hint="eastAsia" w:ascii="仿宋_GB2312" w:hAnsi="仿宋" w:eastAsia="仿宋_GB2312" w:cs="仿宋"/>
          <w:color w:val="auto"/>
          <w:sz w:val="24"/>
        </w:rPr>
        <w:t>二、</w:t>
      </w:r>
      <w:r>
        <w:rPr>
          <w:rFonts w:hint="eastAsia" w:ascii="仿宋_GB2312" w:hAnsi="仿宋" w:eastAsia="仿宋_GB2312" w:cs="仿宋"/>
          <w:b/>
          <w:color w:val="auto"/>
          <w:sz w:val="24"/>
        </w:rPr>
        <w:t>法定代表人授权委托书（授权代表参加磋商）</w:t>
      </w:r>
      <w:r>
        <w:rPr>
          <w:rFonts w:hint="eastAsia" w:ascii="仿宋_GB2312" w:hAnsi="仿宋" w:eastAsia="仿宋_GB2312" w:cs="仿宋"/>
          <w:b/>
          <w:bCs/>
          <w:color w:val="auto"/>
          <w:sz w:val="24"/>
        </w:rPr>
        <w:t>：</w:t>
      </w:r>
    </w:p>
    <w:p>
      <w:pPr>
        <w:adjustRightInd w:val="0"/>
        <w:snapToGrid w:val="0"/>
        <w:spacing w:line="360" w:lineRule="auto"/>
        <w:jc w:val="left"/>
        <w:rPr>
          <w:rFonts w:hint="eastAsia" w:ascii="仿宋_GB2312" w:hAnsi="仿宋" w:eastAsia="仿宋_GB2312" w:cs="仿宋"/>
          <w:b/>
          <w:bCs/>
          <w:color w:val="auto"/>
          <w:sz w:val="24"/>
        </w:rPr>
      </w:pPr>
      <w:r>
        <w:rPr>
          <w:rFonts w:hint="eastAsia" w:ascii="仿宋_GB2312" w:hAnsi="仿宋" w:eastAsia="仿宋_GB2312" w:cs="仿宋"/>
          <w:color w:val="auto"/>
          <w:sz w:val="24"/>
        </w:rPr>
        <w:t xml:space="preserve">    如磋商供应商代表不是法定代表人，须有法定代表人出具的授权委托书;若是法定代表人参加，须填写法定代表人身份证明书。</w:t>
      </w:r>
    </w:p>
    <w:p>
      <w:pPr>
        <w:adjustRightInd w:val="0"/>
        <w:snapToGrid w:val="0"/>
        <w:spacing w:line="360" w:lineRule="auto"/>
        <w:jc w:val="center"/>
        <w:rPr>
          <w:rFonts w:hint="eastAsia" w:ascii="仿宋_GB2312" w:hAnsi="仿宋" w:eastAsia="仿宋_GB2312" w:cs="仿宋"/>
          <w:color w:val="auto"/>
          <w:sz w:val="24"/>
        </w:rPr>
      </w:pPr>
    </w:p>
    <w:p>
      <w:pPr>
        <w:adjustRightInd w:val="0"/>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 xml:space="preserve"> 浙江省博物馆、浙江通用招标代理有限公司</w:t>
      </w:r>
      <w:r>
        <w:rPr>
          <w:rFonts w:hint="eastAsia" w:ascii="仿宋" w:hAnsi="仿宋" w:eastAsia="仿宋" w:cs="仿宋"/>
          <w:color w:val="auto"/>
          <w:kern w:val="0"/>
          <w:sz w:val="24"/>
          <w:lang w:val="zh-CN"/>
        </w:rPr>
        <w:t>：</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lang w:val="zh-CN"/>
        </w:rPr>
        <w:t>兹委派我公司先生</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女士</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其在本公司的职务是：</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，联系电话：手机：传真：</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，代表我公司全权处理</w:t>
      </w:r>
      <w:r>
        <w:rPr>
          <w:rFonts w:hint="eastAsia" w:ascii="仿宋" w:hAnsi="仿宋" w:eastAsia="仿宋" w:cs="仿宋"/>
          <w:color w:val="auto"/>
          <w:sz w:val="24"/>
          <w:lang w:eastAsia="zh-CN"/>
        </w:rPr>
        <w:t>浙江省博物馆“丽人行-中国近现代女性图像”展运输项目</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编号：</w:t>
      </w:r>
      <w:r>
        <w:rPr>
          <w:rFonts w:hint="eastAsia" w:ascii="仿宋" w:hAnsi="仿宋" w:eastAsia="仿宋" w:cs="仿宋"/>
          <w:color w:val="auto"/>
          <w:kern w:val="0"/>
          <w:sz w:val="24"/>
          <w:lang w:eastAsia="zh-CN"/>
        </w:rPr>
        <w:t>ZJTY2024H-JF-005</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政府采购投标的一切事项，若成交则全权代表本公司签订相关合同，并负责处理合同履行等事宜。</w:t>
      </w:r>
    </w:p>
    <w:p>
      <w:pPr>
        <w:adjustRightInd w:val="0"/>
        <w:snapToGrid w:val="0"/>
        <w:spacing w:line="360" w:lineRule="auto"/>
        <w:rPr>
          <w:rFonts w:ascii="仿宋" w:hAnsi="仿宋" w:eastAsia="仿宋" w:cs="仿宋"/>
          <w:color w:val="auto"/>
          <w:kern w:val="0"/>
          <w:sz w:val="24"/>
          <w:lang w:val="zh-CN"/>
        </w:rPr>
      </w:pP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本授权书有效期：自</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年</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月</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日起至</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年</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月</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日止。</w:t>
      </w:r>
    </w:p>
    <w:p>
      <w:pPr>
        <w:adjustRightInd w:val="0"/>
        <w:snapToGrid w:val="0"/>
        <w:spacing w:line="360" w:lineRule="auto"/>
        <w:rPr>
          <w:rFonts w:ascii="仿宋" w:hAnsi="仿宋" w:eastAsia="仿宋" w:cs="仿宋"/>
          <w:color w:val="auto"/>
          <w:kern w:val="0"/>
          <w:sz w:val="24"/>
        </w:rPr>
      </w:pP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特此告知。</w:t>
      </w:r>
    </w:p>
    <w:p>
      <w:pPr>
        <w:adjustRightInd w:val="0"/>
        <w:snapToGrid w:val="0"/>
        <w:spacing w:line="360" w:lineRule="auto"/>
        <w:ind w:firstLine="5160" w:firstLineChars="2150"/>
        <w:jc w:val="left"/>
        <w:rPr>
          <w:rFonts w:ascii="仿宋" w:hAnsi="仿宋" w:eastAsia="仿宋" w:cs="仿宋"/>
          <w:color w:val="auto"/>
          <w:kern w:val="0"/>
          <w:sz w:val="24"/>
        </w:rPr>
      </w:pPr>
      <w:r>
        <w:rPr>
          <w:rFonts w:hint="eastAsia" w:ascii="仿宋" w:hAnsi="仿宋" w:eastAsia="仿宋" w:cs="仿宋"/>
          <w:color w:val="auto"/>
          <w:kern w:val="0"/>
          <w:sz w:val="24"/>
          <w:lang w:val="zh-CN"/>
        </w:rPr>
        <w:t>磋商供应商名称</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公章</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w:t>
      </w:r>
    </w:p>
    <w:p>
      <w:pPr>
        <w:adjustRightInd w:val="0"/>
        <w:snapToGrid w:val="0"/>
        <w:spacing w:line="360" w:lineRule="auto"/>
        <w:ind w:firstLine="5160" w:firstLineChars="2150"/>
        <w:jc w:val="left"/>
        <w:rPr>
          <w:rFonts w:ascii="仿宋" w:hAnsi="仿宋" w:eastAsia="仿宋" w:cs="仿宋"/>
          <w:color w:val="auto"/>
          <w:kern w:val="0"/>
          <w:sz w:val="24"/>
        </w:rPr>
      </w:pPr>
      <w:r>
        <w:rPr>
          <w:rFonts w:hint="eastAsia" w:ascii="仿宋" w:hAnsi="仿宋" w:eastAsia="仿宋" w:cs="仿宋"/>
          <w:color w:val="auto"/>
          <w:kern w:val="0"/>
          <w:sz w:val="24"/>
          <w:lang w:val="zh-CN"/>
        </w:rPr>
        <w:t>法定代表人</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签字或盖章</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w:t>
      </w:r>
    </w:p>
    <w:p>
      <w:pPr>
        <w:wordWrap w:val="0"/>
        <w:adjustRightInd w:val="0"/>
        <w:snapToGrid w:val="0"/>
        <w:spacing w:line="360" w:lineRule="auto"/>
        <w:ind w:right="240" w:firstLine="5160" w:firstLineChars="215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签发日期：</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年</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月</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日</w:t>
      </w:r>
    </w:p>
    <w:p>
      <w:pPr>
        <w:adjustRightInd w:val="0"/>
        <w:snapToGrid w:val="0"/>
        <w:spacing w:line="360" w:lineRule="auto"/>
        <w:rPr>
          <w:rFonts w:hint="eastAsia" w:ascii="仿宋_GB2312" w:hAnsi="仿宋" w:eastAsia="仿宋_GB2312" w:cs="仿宋"/>
          <w:color w:val="auto"/>
          <w:sz w:val="24"/>
          <w:u w:val="single"/>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b/>
          <w:color w:val="auto"/>
          <w:sz w:val="24"/>
        </w:rPr>
      </w:pPr>
      <w:r>
        <w:rPr>
          <w:rFonts w:hint="eastAsia" w:ascii="仿宋_GB2312" w:hAnsi="仿宋" w:eastAsia="仿宋_GB2312" w:cs="仿宋"/>
          <w:b/>
          <w:color w:val="auto"/>
          <w:sz w:val="24"/>
        </w:rPr>
        <w:t>附：法定代表人和授权代表身份证复印件（须正反面复印）。</w:t>
      </w: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 xml:space="preserve">                           磋商供应商全称（公章）：</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 xml:space="preserve">                           日期：     年    月    日</w:t>
      </w: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pStyle w:val="15"/>
        <w:adjustRightInd w:val="0"/>
        <w:snapToGrid w:val="0"/>
        <w:spacing w:before="156" w:after="156" w:line="360" w:lineRule="auto"/>
        <w:jc w:val="center"/>
        <w:outlineLvl w:val="1"/>
        <w:rPr>
          <w:rFonts w:hint="eastAsia" w:ascii="仿宋_GB2312" w:hAnsi="仿宋" w:eastAsia="仿宋_GB2312" w:cs="仿宋"/>
          <w:b/>
          <w:color w:val="auto"/>
        </w:rPr>
      </w:pPr>
      <w:r>
        <w:rPr>
          <w:rFonts w:hint="eastAsia" w:ascii="仿宋_GB2312" w:hAnsi="仿宋" w:eastAsia="仿宋_GB2312" w:cs="仿宋"/>
          <w:b/>
          <w:color w:val="auto"/>
        </w:rPr>
        <w:br w:type="page"/>
      </w:r>
      <w:r>
        <w:rPr>
          <w:rFonts w:hint="eastAsia" w:ascii="仿宋_GB2312" w:hAnsi="仿宋" w:eastAsia="仿宋_GB2312" w:cs="仿宋"/>
          <w:b/>
          <w:color w:val="auto"/>
        </w:rPr>
        <w:t>法定代表人身份证明书（法人参加磋商）</w:t>
      </w:r>
    </w:p>
    <w:p>
      <w:pPr>
        <w:adjustRightInd w:val="0"/>
        <w:snapToGrid w:val="0"/>
        <w:spacing w:line="360" w:lineRule="auto"/>
        <w:rPr>
          <w:rFonts w:hint="eastAsia" w:ascii="仿宋_GB2312" w:hAnsi="仿宋" w:eastAsia="仿宋_GB2312" w:cs="仿宋"/>
          <w:b/>
          <w:color w:val="auto"/>
          <w:sz w:val="36"/>
        </w:rPr>
      </w:pPr>
    </w:p>
    <w:p>
      <w:pPr>
        <w:adjustRightInd w:val="0"/>
        <w:snapToGrid w:val="0"/>
        <w:spacing w:line="360" w:lineRule="auto"/>
        <w:ind w:firstLine="612"/>
        <w:rPr>
          <w:rFonts w:hint="eastAsia" w:ascii="仿宋_GB2312" w:hAnsi="仿宋" w:eastAsia="仿宋_GB2312" w:cs="仿宋"/>
          <w:color w:val="auto"/>
          <w:sz w:val="24"/>
        </w:rPr>
      </w:pPr>
      <w:r>
        <w:rPr>
          <w:rFonts w:hint="eastAsia" w:ascii="仿宋_GB2312" w:hAnsi="仿宋" w:eastAsia="仿宋_GB2312" w:cs="仿宋"/>
          <w:color w:val="auto"/>
          <w:sz w:val="24"/>
        </w:rPr>
        <w:t>单位名称：</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p>
    <w:p>
      <w:pPr>
        <w:adjustRightInd w:val="0"/>
        <w:snapToGrid w:val="0"/>
        <w:spacing w:line="360" w:lineRule="auto"/>
        <w:ind w:firstLine="610"/>
        <w:rPr>
          <w:rFonts w:hint="eastAsia" w:ascii="仿宋_GB2312" w:hAnsi="仿宋" w:eastAsia="仿宋_GB2312" w:cs="仿宋"/>
          <w:color w:val="auto"/>
          <w:sz w:val="24"/>
          <w:u w:val="single"/>
        </w:rPr>
      </w:pPr>
      <w:r>
        <w:rPr>
          <w:rFonts w:hint="eastAsia" w:ascii="仿宋_GB2312" w:hAnsi="仿宋" w:eastAsia="仿宋_GB2312" w:cs="仿宋"/>
          <w:color w:val="auto"/>
          <w:sz w:val="24"/>
        </w:rPr>
        <w:t>单位性质：</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p>
    <w:p>
      <w:pPr>
        <w:adjustRightInd w:val="0"/>
        <w:snapToGrid w:val="0"/>
        <w:spacing w:line="360" w:lineRule="auto"/>
        <w:ind w:firstLine="610"/>
        <w:rPr>
          <w:rFonts w:hint="eastAsia" w:ascii="仿宋_GB2312" w:hAnsi="仿宋" w:eastAsia="仿宋_GB2312" w:cs="仿宋"/>
          <w:color w:val="auto"/>
          <w:sz w:val="24"/>
          <w:u w:val="single"/>
        </w:rPr>
      </w:pPr>
      <w:r>
        <w:rPr>
          <w:rFonts w:hint="eastAsia" w:ascii="仿宋_GB2312" w:hAnsi="仿宋" w:eastAsia="仿宋_GB2312" w:cs="仿宋"/>
          <w:color w:val="auto"/>
          <w:sz w:val="24"/>
        </w:rPr>
        <w:t>地    址：</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p>
    <w:p>
      <w:pPr>
        <w:adjustRightInd w:val="0"/>
        <w:snapToGrid w:val="0"/>
        <w:spacing w:line="360" w:lineRule="auto"/>
        <w:ind w:firstLine="610"/>
        <w:rPr>
          <w:rFonts w:hint="eastAsia" w:ascii="仿宋_GB2312" w:hAnsi="仿宋" w:eastAsia="仿宋_GB2312" w:cs="仿宋"/>
          <w:color w:val="auto"/>
          <w:sz w:val="24"/>
        </w:rPr>
      </w:pPr>
      <w:r>
        <w:rPr>
          <w:rFonts w:hint="eastAsia" w:ascii="仿宋_GB2312" w:hAnsi="仿宋" w:eastAsia="仿宋_GB2312" w:cs="仿宋"/>
          <w:color w:val="auto"/>
          <w:sz w:val="24"/>
        </w:rPr>
        <w:t>成立时间：</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年</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月</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日</w:t>
      </w:r>
    </w:p>
    <w:p>
      <w:pPr>
        <w:adjustRightInd w:val="0"/>
        <w:snapToGrid w:val="0"/>
        <w:spacing w:line="360" w:lineRule="auto"/>
        <w:ind w:firstLine="610"/>
        <w:rPr>
          <w:rFonts w:hint="eastAsia" w:ascii="仿宋_GB2312" w:hAnsi="仿宋" w:eastAsia="仿宋_GB2312" w:cs="仿宋"/>
          <w:color w:val="auto"/>
          <w:sz w:val="24"/>
          <w:u w:val="single"/>
        </w:rPr>
      </w:pPr>
      <w:r>
        <w:rPr>
          <w:rFonts w:hint="eastAsia" w:ascii="仿宋_GB2312" w:hAnsi="仿宋" w:eastAsia="仿宋_GB2312" w:cs="仿宋"/>
          <w:color w:val="auto"/>
          <w:sz w:val="24"/>
        </w:rPr>
        <w:t>经营期限：</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u w:val="single"/>
        </w:rPr>
        <w:tab/>
      </w:r>
    </w:p>
    <w:p>
      <w:pPr>
        <w:adjustRightInd w:val="0"/>
        <w:snapToGrid w:val="0"/>
        <w:spacing w:line="360" w:lineRule="auto"/>
        <w:ind w:firstLine="610"/>
        <w:rPr>
          <w:rFonts w:hint="eastAsia" w:ascii="仿宋_GB2312" w:hAnsi="仿宋" w:eastAsia="仿宋_GB2312" w:cs="仿宋"/>
          <w:color w:val="auto"/>
          <w:sz w:val="24"/>
          <w:u w:val="single"/>
        </w:rPr>
      </w:pPr>
      <w:r>
        <w:rPr>
          <w:rFonts w:hint="eastAsia" w:ascii="仿宋_GB2312" w:hAnsi="仿宋" w:eastAsia="仿宋_GB2312" w:cs="仿宋"/>
          <w:color w:val="auto"/>
          <w:sz w:val="24"/>
        </w:rPr>
        <w:t>姓    名：</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性别：</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年龄：</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职务：</w:t>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ab/>
      </w:r>
      <w:r>
        <w:rPr>
          <w:rFonts w:hint="eastAsia" w:ascii="仿宋_GB2312" w:hAnsi="仿宋" w:eastAsia="仿宋_GB2312" w:cs="仿宋"/>
          <w:color w:val="auto"/>
          <w:sz w:val="24"/>
          <w:u w:val="single"/>
        </w:rPr>
        <w:t xml:space="preserve"> </w:t>
      </w:r>
    </w:p>
    <w:p>
      <w:pPr>
        <w:adjustRightInd w:val="0"/>
        <w:snapToGrid w:val="0"/>
        <w:spacing w:line="360" w:lineRule="auto"/>
        <w:ind w:firstLine="610"/>
        <w:rPr>
          <w:rFonts w:hint="eastAsia" w:ascii="仿宋_GB2312" w:hAnsi="仿宋" w:eastAsia="仿宋_GB2312" w:cs="仿宋"/>
          <w:color w:val="auto"/>
          <w:sz w:val="24"/>
        </w:rPr>
      </w:pPr>
      <w:r>
        <w:rPr>
          <w:rFonts w:hint="eastAsia" w:ascii="仿宋_GB2312" w:hAnsi="仿宋" w:eastAsia="仿宋_GB2312" w:cs="仿宋"/>
          <w:color w:val="auto"/>
          <w:sz w:val="24"/>
        </w:rPr>
        <w:t>系</w:t>
      </w:r>
      <w:r>
        <w:rPr>
          <w:rFonts w:hint="eastAsia" w:ascii="仿宋_GB2312" w:hAnsi="仿宋" w:eastAsia="仿宋_GB2312" w:cs="仿宋"/>
          <w:color w:val="auto"/>
          <w:sz w:val="24"/>
          <w:u w:val="single"/>
        </w:rPr>
        <w:t xml:space="preserve">          （磋商供应商单位名称）         </w:t>
      </w:r>
      <w:r>
        <w:rPr>
          <w:rFonts w:hint="eastAsia" w:ascii="仿宋_GB2312" w:hAnsi="仿宋" w:eastAsia="仿宋_GB2312" w:cs="仿宋"/>
          <w:color w:val="auto"/>
          <w:sz w:val="24"/>
        </w:rPr>
        <w:t>的法定代表人。</w:t>
      </w:r>
    </w:p>
    <w:p>
      <w:pPr>
        <w:adjustRightInd w:val="0"/>
        <w:snapToGrid w:val="0"/>
        <w:spacing w:line="360" w:lineRule="auto"/>
        <w:ind w:firstLine="610"/>
        <w:rPr>
          <w:rFonts w:hint="eastAsia" w:ascii="仿宋_GB2312" w:hAnsi="仿宋" w:eastAsia="仿宋_GB2312" w:cs="仿宋"/>
          <w:color w:val="auto"/>
          <w:sz w:val="24"/>
        </w:rPr>
      </w:pPr>
    </w:p>
    <w:p>
      <w:pPr>
        <w:adjustRightInd w:val="0"/>
        <w:snapToGrid w:val="0"/>
        <w:spacing w:line="360" w:lineRule="auto"/>
        <w:ind w:firstLine="1329" w:firstLineChars="554"/>
        <w:rPr>
          <w:rFonts w:hint="eastAsia" w:ascii="仿宋_GB2312" w:hAnsi="仿宋" w:eastAsia="仿宋_GB2312" w:cs="仿宋"/>
          <w:color w:val="auto"/>
          <w:sz w:val="24"/>
        </w:rPr>
      </w:pPr>
      <w:r>
        <w:rPr>
          <w:rFonts w:hint="eastAsia" w:ascii="仿宋_GB2312" w:hAnsi="仿宋" w:eastAsia="仿宋_GB2312" w:cs="仿宋"/>
          <w:color w:val="auto"/>
          <w:sz w:val="24"/>
        </w:rPr>
        <w:t>特此证明。</w:t>
      </w: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附：法定代表人身份证复印件（须正反面复印）。</w:t>
      </w:r>
    </w:p>
    <w:p>
      <w:pPr>
        <w:tabs>
          <w:tab w:val="left" w:pos="720"/>
          <w:tab w:val="left" w:pos="900"/>
        </w:tabs>
        <w:adjustRightInd w:val="0"/>
        <w:snapToGrid w:val="0"/>
        <w:spacing w:line="360" w:lineRule="auto"/>
        <w:rPr>
          <w:rFonts w:hint="eastAsia" w:ascii="仿宋_GB2312" w:hAnsi="仿宋" w:eastAsia="仿宋_GB2312" w:cs="仿宋"/>
          <w:color w:val="auto"/>
          <w:sz w:val="24"/>
        </w:rPr>
      </w:pPr>
    </w:p>
    <w:p>
      <w:pPr>
        <w:tabs>
          <w:tab w:val="left" w:pos="720"/>
          <w:tab w:val="left" w:pos="900"/>
        </w:tabs>
        <w:adjustRightInd w:val="0"/>
        <w:snapToGrid w:val="0"/>
        <w:spacing w:line="360" w:lineRule="auto"/>
        <w:rPr>
          <w:rFonts w:hint="eastAsia" w:ascii="仿宋_GB2312" w:hAnsi="仿宋" w:eastAsia="仿宋_GB2312" w:cs="仿宋"/>
          <w:color w:val="auto"/>
          <w:sz w:val="24"/>
        </w:rPr>
      </w:pPr>
    </w:p>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 xml:space="preserve">    </w:t>
      </w:r>
      <w:r>
        <w:rPr>
          <w:rFonts w:hint="eastAsia" w:ascii="仿宋_GB2312" w:hAnsi="仿宋" w:eastAsia="仿宋_GB2312" w:cs="仿宋"/>
          <w:color w:val="auto"/>
          <w:sz w:val="24"/>
          <w:lang w:val="en-US" w:eastAsia="zh-CN"/>
        </w:rPr>
        <w:t xml:space="preserve">  </w:t>
      </w:r>
      <w:r>
        <w:rPr>
          <w:rFonts w:hint="eastAsia" w:ascii="仿宋_GB2312" w:hAnsi="仿宋" w:eastAsia="仿宋_GB2312" w:cs="仿宋"/>
          <w:color w:val="auto"/>
          <w:sz w:val="24"/>
        </w:rPr>
        <w:t xml:space="preserve"> 磋商供应商全称（公章）：</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w:t>
      </w:r>
    </w:p>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 xml:space="preserve">          日期：     年    月    日</w:t>
      </w:r>
    </w:p>
    <w:p>
      <w:pPr>
        <w:adjustRightInd w:val="0"/>
        <w:snapToGrid w:val="0"/>
        <w:spacing w:line="360" w:lineRule="auto"/>
        <w:jc w:val="center"/>
        <w:rPr>
          <w:rFonts w:hint="eastAsia" w:ascii="仿宋_GB2312" w:hAnsi="仿宋" w:eastAsia="仿宋_GB2312" w:cs="仿宋"/>
          <w:color w:val="auto"/>
          <w:sz w:val="24"/>
        </w:rPr>
      </w:pPr>
    </w:p>
    <w:p>
      <w:pPr>
        <w:adjustRightInd w:val="0"/>
        <w:snapToGrid w:val="0"/>
        <w:spacing w:line="360" w:lineRule="auto"/>
        <w:jc w:val="center"/>
        <w:rPr>
          <w:rFonts w:hint="eastAsia" w:ascii="仿宋_GB2312" w:hAnsi="仿宋" w:eastAsia="仿宋_GB2312" w:cs="仿宋"/>
          <w:color w:val="auto"/>
          <w:sz w:val="24"/>
        </w:rPr>
      </w:pPr>
    </w:p>
    <w:p>
      <w:pPr>
        <w:adjustRightInd w:val="0"/>
        <w:snapToGrid w:val="0"/>
        <w:spacing w:line="360" w:lineRule="auto"/>
        <w:rPr>
          <w:rFonts w:hint="eastAsia" w:ascii="仿宋" w:hAnsi="仿宋" w:eastAsia="仿宋" w:cs="仿宋"/>
          <w:b/>
          <w:bCs/>
          <w:color w:val="auto"/>
          <w:sz w:val="24"/>
        </w:rPr>
      </w:pPr>
      <w:r>
        <w:rPr>
          <w:rFonts w:hint="eastAsia" w:ascii="仿宋_GB2312" w:hAnsi="仿宋" w:eastAsia="仿宋_GB2312" w:cs="仿宋"/>
          <w:b/>
          <w:bCs/>
          <w:color w:val="auto"/>
          <w:sz w:val="24"/>
        </w:rPr>
        <w:br w:type="page"/>
      </w:r>
      <w:r>
        <w:rPr>
          <w:rFonts w:hint="eastAsia" w:ascii="仿宋_GB2312" w:hAnsi="仿宋" w:eastAsia="仿宋_GB2312" w:cs="仿宋"/>
          <w:b/>
          <w:bCs/>
          <w:color w:val="auto"/>
          <w:sz w:val="24"/>
        </w:rPr>
        <w:t>三、招标服务费承诺书</w:t>
      </w:r>
    </w:p>
    <w:p>
      <w:pPr>
        <w:adjustRightInd w:val="0"/>
        <w:snapToGrid w:val="0"/>
        <w:spacing w:line="360" w:lineRule="auto"/>
        <w:ind w:firstLine="480" w:firstLineChars="200"/>
        <w:jc w:val="center"/>
        <w:rPr>
          <w:rFonts w:hint="eastAsia" w:ascii="仿宋" w:hAnsi="仿宋" w:eastAsia="仿宋" w:cs="仿宋"/>
          <w:color w:val="auto"/>
          <w:kern w:val="0"/>
          <w:sz w:val="24"/>
          <w:lang w:val="zh-CN"/>
        </w:rPr>
      </w:pPr>
    </w:p>
    <w:p>
      <w:pPr>
        <w:adjustRightInd w:val="0"/>
        <w:snapToGrid w:val="0"/>
        <w:spacing w:line="360" w:lineRule="auto"/>
        <w:ind w:firstLine="480" w:firstLineChars="200"/>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招标服务费承诺书</w:t>
      </w:r>
    </w:p>
    <w:p>
      <w:pPr>
        <w:adjustRightInd w:val="0"/>
        <w:snapToGrid w:val="0"/>
        <w:spacing w:line="360" w:lineRule="auto"/>
        <w:rPr>
          <w:rFonts w:hint="eastAsia" w:ascii="仿宋" w:hAnsi="仿宋" w:eastAsia="仿宋" w:cs="仿宋"/>
          <w:color w:val="auto"/>
          <w:kern w:val="0"/>
          <w:sz w:val="24"/>
          <w:lang w:val="zh-CN"/>
        </w:rPr>
      </w:pPr>
    </w:p>
    <w:p>
      <w:pPr>
        <w:adjustRightInd w:val="0"/>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致：</w:t>
      </w:r>
      <w:r>
        <w:rPr>
          <w:rFonts w:hint="eastAsia" w:ascii="仿宋" w:hAnsi="仿宋" w:eastAsia="仿宋" w:cs="仿宋"/>
          <w:color w:val="auto"/>
          <w:kern w:val="0"/>
          <w:sz w:val="24"/>
        </w:rPr>
        <w:t>浙江通用招标代理</w:t>
      </w:r>
      <w:r>
        <w:rPr>
          <w:rFonts w:hint="eastAsia" w:ascii="仿宋" w:hAnsi="仿宋" w:eastAsia="仿宋" w:cs="仿宋"/>
          <w:color w:val="auto"/>
          <w:kern w:val="0"/>
          <w:sz w:val="24"/>
          <w:lang w:val="zh-CN"/>
        </w:rPr>
        <w:t>有限公司</w:t>
      </w:r>
    </w:p>
    <w:p>
      <w:pPr>
        <w:adjustRightInd w:val="0"/>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我们在贵公司代理</w:t>
      </w:r>
      <w:r>
        <w:rPr>
          <w:rFonts w:hint="eastAsia" w:ascii="仿宋" w:hAnsi="仿宋" w:eastAsia="仿宋" w:cs="仿宋"/>
          <w:color w:val="auto"/>
          <w:sz w:val="24"/>
          <w:lang w:eastAsia="zh-CN"/>
        </w:rPr>
        <w:t>浙江省博物馆“丽人行-中国近现代女性图像”展运输项目</w:t>
      </w:r>
      <w:r>
        <w:rPr>
          <w:rFonts w:hint="eastAsia" w:ascii="仿宋" w:hAnsi="仿宋" w:eastAsia="仿宋" w:cs="仿宋"/>
          <w:color w:val="auto"/>
          <w:kern w:val="0"/>
          <w:sz w:val="24"/>
          <w:lang w:val="zh-CN"/>
        </w:rPr>
        <w:t>（项目编号：ZJTY2024H-JF-005）采购中若获成交，我们保证在领取成交通知书时按磋商文件的规定，以支票、银行汇票、电汇、现金或经贵公司认可的一种方式，向贵公司指定的银行账号，按照磋商文件中招标服务费收取标准一次性支付招标服务费。</w:t>
      </w:r>
    </w:p>
    <w:p>
      <w:pPr>
        <w:adjustRightInd w:val="0"/>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特此承诺。</w:t>
      </w:r>
    </w:p>
    <w:p>
      <w:pPr>
        <w:adjustRightInd w:val="0"/>
        <w:snapToGrid w:val="0"/>
        <w:spacing w:line="360" w:lineRule="auto"/>
        <w:rPr>
          <w:rFonts w:hint="eastAsia" w:ascii="仿宋" w:hAnsi="仿宋" w:eastAsia="仿宋" w:cs="仿宋"/>
          <w:color w:val="auto"/>
          <w:kern w:val="0"/>
          <w:sz w:val="24"/>
          <w:lang w:val="zh-CN"/>
        </w:rPr>
      </w:pPr>
    </w:p>
    <w:p>
      <w:pPr>
        <w:adjustRightInd w:val="0"/>
        <w:snapToGrid w:val="0"/>
        <w:spacing w:line="360" w:lineRule="auto"/>
        <w:rPr>
          <w:rFonts w:hint="eastAsia" w:ascii="仿宋" w:hAnsi="仿宋" w:eastAsia="仿宋" w:cs="仿宋"/>
          <w:color w:val="auto"/>
          <w:kern w:val="0"/>
          <w:sz w:val="24"/>
          <w:lang w:val="zh-CN"/>
        </w:rPr>
      </w:pPr>
    </w:p>
    <w:p>
      <w:pPr>
        <w:adjustRightInd w:val="0"/>
        <w:snapToGrid w:val="0"/>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承诺方法定名称（承诺方盖章）：</w:t>
      </w:r>
      <w:r>
        <w:rPr>
          <w:rFonts w:hint="eastAsia" w:ascii="仿宋" w:hAnsi="仿宋" w:eastAsia="仿宋" w:cs="仿宋"/>
          <w:color w:val="auto"/>
          <w:kern w:val="0"/>
          <w:sz w:val="24"/>
        </w:rPr>
        <w:t xml:space="preserve">          </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lang w:val="zh-CN"/>
        </w:rPr>
        <w:t>地址：</w:t>
      </w:r>
      <w:r>
        <w:rPr>
          <w:rFonts w:hint="eastAsia" w:ascii="仿宋" w:hAnsi="仿宋" w:eastAsia="仿宋" w:cs="仿宋"/>
          <w:color w:val="auto"/>
          <w:kern w:val="0"/>
          <w:sz w:val="24"/>
        </w:rPr>
        <w:t xml:space="preserve">              </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lang w:val="zh-CN"/>
        </w:rPr>
        <w:t>电话：</w:t>
      </w:r>
      <w:r>
        <w:rPr>
          <w:rFonts w:hint="eastAsia" w:ascii="仿宋" w:hAnsi="仿宋" w:eastAsia="仿宋" w:cs="仿宋"/>
          <w:color w:val="auto"/>
          <w:kern w:val="0"/>
          <w:sz w:val="24"/>
        </w:rPr>
        <w:t xml:space="preserve">              </w:t>
      </w:r>
    </w:p>
    <w:p>
      <w:pPr>
        <w:adjustRightInd w:val="0"/>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lang w:val="zh-CN"/>
        </w:rPr>
        <w:t>传真：</w:t>
      </w:r>
      <w:r>
        <w:rPr>
          <w:rFonts w:hint="eastAsia" w:ascii="仿宋" w:hAnsi="仿宋" w:eastAsia="仿宋" w:cs="仿宋"/>
          <w:color w:val="auto"/>
          <w:kern w:val="0"/>
          <w:sz w:val="24"/>
        </w:rPr>
        <w:t xml:space="preserve">              </w:t>
      </w:r>
    </w:p>
    <w:p>
      <w:pPr>
        <w:adjustRightInd w:val="0"/>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邮编：</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 xml:space="preserve"> </w:t>
      </w:r>
    </w:p>
    <w:p>
      <w:pPr>
        <w:adjustRightInd w:val="0"/>
        <w:snapToGrid w:val="0"/>
        <w:spacing w:line="360" w:lineRule="auto"/>
        <w:ind w:firstLine="480" w:firstLineChars="200"/>
        <w:rPr>
          <w:rFonts w:hint="eastAsia" w:ascii="仿宋_GB2312" w:hAnsi="仿宋" w:eastAsia="仿宋_GB2312" w:cs="仿宋"/>
          <w:color w:val="auto"/>
          <w:sz w:val="24"/>
        </w:rPr>
      </w:pPr>
    </w:p>
    <w:p>
      <w:pPr>
        <w:adjustRightInd w:val="0"/>
        <w:snapToGrid w:val="0"/>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adjustRightInd w:val="0"/>
        <w:snapToGrid w:val="0"/>
        <w:spacing w:line="360" w:lineRule="auto"/>
        <w:ind w:firstLine="480" w:firstLineChars="200"/>
        <w:rPr>
          <w:rFonts w:hint="eastAsia" w:ascii="仿宋_GB2312" w:hAnsi="仿宋" w:eastAsia="仿宋_GB2312" w:cs="仿宋"/>
          <w:b/>
          <w:bCs/>
          <w:color w:val="auto"/>
          <w:sz w:val="24"/>
        </w:rPr>
      </w:pPr>
      <w:r>
        <w:rPr>
          <w:rFonts w:hint="eastAsia" w:ascii="仿宋" w:hAnsi="仿宋" w:eastAsia="仿宋" w:cs="仿宋"/>
          <w:color w:val="auto"/>
          <w:kern w:val="0"/>
          <w:sz w:val="24"/>
          <w:lang w:val="zh-CN"/>
        </w:rPr>
        <w:t>承诺日期：</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adjustRightInd w:val="0"/>
        <w:snapToGrid w:val="0"/>
        <w:spacing w:line="360" w:lineRule="auto"/>
        <w:jc w:val="left"/>
        <w:rPr>
          <w:rFonts w:hint="eastAsia" w:ascii="仿宋_GB2312" w:hAnsi="仿宋" w:eastAsia="仿宋_GB2312" w:cs="仿宋"/>
          <w:b/>
          <w:bCs/>
          <w:color w:val="auto"/>
          <w:sz w:val="24"/>
        </w:rPr>
      </w:pPr>
    </w:p>
    <w:p>
      <w:pPr>
        <w:adjustRightInd w:val="0"/>
        <w:snapToGrid w:val="0"/>
        <w:spacing w:line="360" w:lineRule="auto"/>
        <w:jc w:val="left"/>
        <w:rPr>
          <w:rFonts w:hint="eastAsia" w:ascii="仿宋_GB2312" w:hAnsi="仿宋" w:eastAsia="仿宋_GB2312" w:cs="仿宋"/>
          <w:b/>
          <w:bCs/>
          <w:color w:val="auto"/>
          <w:sz w:val="24"/>
        </w:rPr>
      </w:pPr>
    </w:p>
    <w:p>
      <w:pPr>
        <w:adjustRightInd w:val="0"/>
        <w:snapToGrid w:val="0"/>
        <w:spacing w:line="360" w:lineRule="auto"/>
        <w:jc w:val="left"/>
        <w:rPr>
          <w:rFonts w:hint="eastAsia" w:ascii="仿宋_GB2312" w:hAnsi="仿宋" w:eastAsia="仿宋_GB2312" w:cs="仿宋"/>
          <w:b/>
          <w:bCs/>
          <w:color w:val="auto"/>
          <w:sz w:val="24"/>
        </w:rPr>
      </w:pPr>
    </w:p>
    <w:p>
      <w:pPr>
        <w:adjustRightInd w:val="0"/>
        <w:snapToGrid w:val="0"/>
        <w:spacing w:line="360" w:lineRule="auto"/>
        <w:jc w:val="left"/>
        <w:rPr>
          <w:rFonts w:hint="eastAsia" w:ascii="仿宋_GB2312" w:hAnsi="仿宋" w:eastAsia="仿宋_GB2312" w:cs="仿宋"/>
          <w:b/>
          <w:bCs/>
          <w:color w:val="auto"/>
          <w:sz w:val="24"/>
        </w:rPr>
      </w:pPr>
      <w:r>
        <w:rPr>
          <w:rFonts w:hint="eastAsia" w:ascii="仿宋_GB2312" w:hAnsi="仿宋" w:eastAsia="仿宋_GB2312" w:cs="仿宋"/>
          <w:b/>
          <w:bCs/>
          <w:color w:val="auto"/>
          <w:sz w:val="24"/>
        </w:rPr>
        <w:t>四、磋商供应商情况介绍</w:t>
      </w:r>
    </w:p>
    <w:p>
      <w:pPr>
        <w:adjustRightInd w:val="0"/>
        <w:snapToGrid w:val="0"/>
        <w:spacing w:line="360" w:lineRule="auto"/>
        <w:jc w:val="left"/>
        <w:rPr>
          <w:rFonts w:hint="eastAsia" w:ascii="仿宋_GB2312" w:hAnsi="仿宋" w:eastAsia="仿宋_GB2312" w:cs="仿宋"/>
          <w:b/>
          <w:bCs/>
          <w:color w:val="auto"/>
          <w:sz w:val="24"/>
        </w:rPr>
      </w:pPr>
    </w:p>
    <w:p>
      <w:pPr>
        <w:adjustRightInd w:val="0"/>
        <w:snapToGrid w:val="0"/>
        <w:spacing w:line="360" w:lineRule="auto"/>
        <w:jc w:val="left"/>
        <w:rPr>
          <w:rFonts w:hint="eastAsia" w:ascii="仿宋_GB2312" w:hAnsi="仿宋" w:eastAsia="仿宋_GB2312" w:cs="仿宋"/>
          <w:b/>
          <w:bCs/>
          <w:color w:val="auto"/>
          <w:sz w:val="24"/>
        </w:rPr>
      </w:pP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磋商供应商全称（公章）：</w:t>
      </w:r>
      <w:r>
        <w:rPr>
          <w:rFonts w:hint="eastAsia" w:ascii="仿宋_GB2312" w:hAnsi="仿宋" w:eastAsia="仿宋_GB2312" w:cs="仿宋"/>
          <w:color w:val="auto"/>
          <w:sz w:val="24"/>
          <w:u w:val="single"/>
        </w:rPr>
        <w:t xml:space="preserve">                                  </w:t>
      </w:r>
    </w:p>
    <w:p>
      <w:pPr>
        <w:adjustRightInd w:val="0"/>
        <w:snapToGrid w:val="0"/>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日期：</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年</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月</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日</w:t>
      </w:r>
    </w:p>
    <w:p>
      <w:pPr>
        <w:adjustRightInd/>
        <w:snapToGrid/>
        <w:spacing w:line="240" w:lineRule="auto"/>
        <w:ind w:firstLine="0" w:firstLineChars="0"/>
        <w:rPr>
          <w:rFonts w:hint="eastAsia" w:ascii="仿宋_GB2312" w:hAnsi="仿宋" w:eastAsia="仿宋_GB2312" w:cs="仿宋"/>
          <w:color w:val="auto"/>
          <w:sz w:val="24"/>
        </w:rPr>
      </w:pPr>
      <w:r>
        <w:rPr>
          <w:rFonts w:hint="eastAsia" w:ascii="仿宋_GB2312" w:hAnsi="仿宋" w:eastAsia="仿宋_GB2312" w:cs="仿宋"/>
          <w:color w:val="auto"/>
          <w:sz w:val="24"/>
        </w:rPr>
        <w:br w:type="page"/>
      </w:r>
    </w:p>
    <w:p>
      <w:pPr>
        <w:snapToGrid w:val="0"/>
        <w:spacing w:line="360" w:lineRule="auto"/>
        <w:ind w:right="480"/>
        <w:jc w:val="center"/>
        <w:rPr>
          <w:rFonts w:hint="eastAsia" w:ascii="仿宋_GB2312" w:hAnsi="仿宋" w:eastAsia="仿宋_GB2312" w:cs="仿宋_GB2312"/>
          <w:b/>
          <w:color w:val="auto"/>
          <w:kern w:val="0"/>
          <w:sz w:val="28"/>
          <w:szCs w:val="28"/>
          <w:lang w:eastAsia="zh-CN"/>
        </w:rPr>
      </w:pPr>
      <w:r>
        <w:rPr>
          <w:rFonts w:hint="eastAsia" w:ascii="仿宋_GB2312" w:hAnsi="仿宋" w:eastAsia="仿宋_GB2312" w:cs="仿宋_GB2312"/>
          <w:b/>
          <w:color w:val="auto"/>
          <w:kern w:val="0"/>
          <w:sz w:val="28"/>
          <w:szCs w:val="28"/>
          <w:lang w:eastAsia="zh-CN"/>
        </w:rPr>
        <w:t>五、分包意向协议</w:t>
      </w:r>
    </w:p>
    <w:p>
      <w:pPr>
        <w:keepNext w:val="0"/>
        <w:keepLines w:val="0"/>
        <w:pageBreakBefore w:val="0"/>
        <w:widowControl/>
        <w:kinsoku/>
        <w:wordWrap/>
        <w:overflowPunct/>
        <w:topLinePunct w:val="0"/>
        <w:autoSpaceDE/>
        <w:autoSpaceDN/>
        <w:bidi w:val="0"/>
        <w:adjustRightInd/>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（中标后以分包方式履行合同的，提供分包意向协议；采购人不同意分包或者投标人中标后不以分包方式履行合同的，则不需要提供。）</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若成为浙江省博物馆“丽人行-中国近现代女性图像”展运输项目</w:t>
      </w:r>
      <w:r>
        <w:rPr>
          <w:rFonts w:hint="eastAsia" w:ascii="仿宋" w:hAnsi="仿宋" w:eastAsia="仿宋" w:cs="仿宋"/>
          <w:color w:val="auto"/>
          <w:sz w:val="24"/>
          <w:szCs w:val="24"/>
        </w:rPr>
        <w:t>【采购编号</w:t>
      </w:r>
      <w:r>
        <w:rPr>
          <w:rFonts w:hint="eastAsia" w:ascii="仿宋" w:hAnsi="仿宋" w:eastAsia="仿宋" w:cs="仿宋"/>
          <w:color w:val="auto"/>
          <w:sz w:val="24"/>
          <w:szCs w:val="24"/>
          <w:lang w:eastAsia="zh-CN"/>
        </w:rPr>
        <w:t>：ZJTY2024H-JF-005</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 xml:space="preserve">。 </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hint="eastAsia" w:ascii="仿宋" w:hAnsi="仿宋" w:eastAsia="仿宋" w:cs="仿宋"/>
          <w:color w:val="auto"/>
          <w:sz w:val="24"/>
          <w:szCs w:val="24"/>
          <w:u w:val="single"/>
        </w:rPr>
        <w:t xml:space="preserve">   XX工作内容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hint="eastAsia" w:ascii="仿宋" w:hAnsi="仿宋" w:eastAsia="仿宋" w:cs="仿宋"/>
          <w:color w:val="auto"/>
          <w:kern w:val="0"/>
          <w:sz w:val="24"/>
          <w:szCs w:val="24"/>
          <w:u w:val="single"/>
          <w:lang w:val="zh-CN"/>
        </w:rPr>
        <w:t>XX工作内容</w:t>
      </w:r>
      <w:r>
        <w:rPr>
          <w:rFonts w:hint="eastAsia" w:ascii="仿宋" w:hAnsi="仿宋" w:eastAsia="仿宋" w:cs="仿宋"/>
          <w:color w:val="auto"/>
          <w:kern w:val="0"/>
          <w:sz w:val="24"/>
          <w:szCs w:val="24"/>
          <w:lang w:val="zh-CN"/>
        </w:rPr>
        <w:t>相应资质条件且不得再次分包；</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288" w:lineRule="auto"/>
        <w:ind w:firstLine="482" w:firstLineChars="201"/>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 xml:space="preserve">                                                                                  </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u w:val="single"/>
        </w:rPr>
        <w:t xml:space="preserve">                                                                                       </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u w:val="single"/>
        </w:rPr>
        <w:t xml:space="preserve">                                                                                     </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u w:val="single"/>
        </w:rPr>
        <w:t xml:space="preserve">                                                                                     </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u w:val="single"/>
        </w:rPr>
        <w:t xml:space="preserve">                                                                                  </w:t>
      </w:r>
    </w:p>
    <w:p>
      <w:pPr>
        <w:snapToGrid w:val="0"/>
        <w:spacing w:line="288" w:lineRule="auto"/>
        <w:ind w:firstLine="482" w:firstLineChars="201"/>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288" w:lineRule="auto"/>
        <w:ind w:firstLine="482" w:firstLineChars="201"/>
        <w:rPr>
          <w:rFonts w:hint="eastAsia" w:ascii="仿宋" w:hAnsi="仿宋" w:eastAsia="仿宋" w:cs="仿宋"/>
          <w:b/>
          <w:color w:val="auto"/>
          <w:kern w:val="0"/>
          <w:sz w:val="24"/>
          <w:szCs w:val="24"/>
          <w:lang w:val="zh-CN"/>
        </w:rPr>
      </w:pPr>
      <w:r>
        <w:rPr>
          <w:rFonts w:hint="eastAsia" w:ascii="仿宋" w:hAnsi="仿宋" w:eastAsia="仿宋" w:cs="仿宋"/>
          <w:color w:val="auto"/>
          <w:kern w:val="0"/>
          <w:sz w:val="24"/>
          <w:szCs w:val="24"/>
          <w:u w:val="single"/>
        </w:rPr>
        <w:t>（分包供应商名称）提供的货物全部由小微企业制造，</w:t>
      </w:r>
      <w:r>
        <w:rPr>
          <w:rFonts w:hint="eastAsia" w:ascii="仿宋" w:hAnsi="仿宋" w:eastAsia="仿宋" w:cs="仿宋"/>
          <w:color w:val="auto"/>
          <w:kern w:val="0"/>
          <w:sz w:val="24"/>
          <w:szCs w:val="24"/>
        </w:rPr>
        <w:t>其合同份额占到合同总金额</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%以上</w:t>
      </w:r>
      <w:r>
        <w:rPr>
          <w:rFonts w:hint="eastAsia" w:ascii="仿宋" w:hAnsi="仿宋" w:eastAsia="仿宋" w:cs="仿宋"/>
          <w:color w:val="auto"/>
          <w:sz w:val="24"/>
          <w:szCs w:val="24"/>
        </w:rPr>
        <w:t>。</w:t>
      </w:r>
    </w:p>
    <w:p>
      <w:pPr>
        <w:snapToGrid w:val="0"/>
        <w:spacing w:line="288" w:lineRule="auto"/>
        <w:rPr>
          <w:rFonts w:hint="eastAsia" w:ascii="仿宋" w:hAnsi="仿宋" w:eastAsia="仿宋" w:cs="仿宋"/>
          <w:color w:val="auto"/>
          <w:kern w:val="0"/>
          <w:sz w:val="24"/>
          <w:szCs w:val="24"/>
          <w:lang w:val="zh-CN"/>
        </w:rPr>
      </w:pPr>
    </w:p>
    <w:p>
      <w:pPr>
        <w:snapToGrid w:val="0"/>
        <w:spacing w:line="288" w:lineRule="auto"/>
        <w:ind w:firstLine="482" w:firstLineChars="200"/>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投标人名称：</w:t>
      </w:r>
    </w:p>
    <w:p>
      <w:pPr>
        <w:snapToGrid w:val="0"/>
        <w:spacing w:line="288" w:lineRule="auto"/>
        <w:ind w:firstLine="484" w:firstLineChars="201"/>
        <w:rPr>
          <w:rFonts w:hint="eastAsia" w:ascii="仿宋" w:hAnsi="仿宋" w:eastAsia="仿宋" w:cs="仿宋"/>
          <w:b/>
          <w:bCs/>
          <w:color w:val="auto"/>
          <w:kern w:val="0"/>
          <w:sz w:val="24"/>
          <w:szCs w:val="24"/>
          <w:lang w:val="zh-CN"/>
        </w:rPr>
      </w:pPr>
    </w:p>
    <w:p>
      <w:pPr>
        <w:snapToGrid w:val="0"/>
        <w:spacing w:line="288" w:lineRule="auto"/>
        <w:ind w:firstLine="484" w:firstLineChars="201"/>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分包供应商名称：</w:t>
      </w:r>
    </w:p>
    <w:p>
      <w:pPr>
        <w:snapToGrid w:val="0"/>
        <w:spacing w:line="288" w:lineRule="auto"/>
        <w:rPr>
          <w:rFonts w:hint="eastAsia" w:ascii="仿宋" w:hAnsi="仿宋" w:eastAsia="仿宋" w:cs="仿宋"/>
          <w:b/>
          <w:bCs/>
          <w:color w:val="auto"/>
          <w:kern w:val="0"/>
          <w:sz w:val="24"/>
          <w:szCs w:val="24"/>
          <w:lang w:val="zh-CN"/>
        </w:rPr>
      </w:pPr>
    </w:p>
    <w:p>
      <w:pPr>
        <w:snapToGrid w:val="0"/>
        <w:spacing w:line="288" w:lineRule="auto"/>
        <w:ind w:firstLine="484" w:firstLineChars="201"/>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日期：  年  月   日</w:t>
      </w:r>
    </w:p>
    <w:p>
      <w:pPr>
        <w:pStyle w:val="57"/>
        <w:rPr>
          <w:rFonts w:hint="eastAsia" w:ascii="仿宋" w:hAnsi="仿宋" w:eastAsia="仿宋" w:cs="仿宋"/>
          <w:color w:val="auto"/>
          <w:sz w:val="24"/>
          <w:szCs w:val="24"/>
          <w:lang w:val="en-US" w:eastAsia="zh-CN"/>
        </w:rPr>
        <w:sectPr>
          <w:footerReference r:id="rId11" w:type="firs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djustRightInd w:val="0"/>
        <w:snapToGrid w:val="0"/>
        <w:spacing w:line="360" w:lineRule="auto"/>
        <w:jc w:val="left"/>
        <w:rPr>
          <w:rFonts w:hint="eastAsia" w:ascii="仿宋_GB2312" w:hAnsi="仿宋" w:eastAsia="仿宋_GB2312" w:cs="仿宋"/>
          <w:b/>
          <w:bCs/>
          <w:color w:val="auto"/>
        </w:rPr>
      </w:pPr>
      <w:r>
        <w:rPr>
          <w:rFonts w:hint="eastAsia" w:ascii="仿宋_GB2312" w:hAnsi="仿宋" w:eastAsia="仿宋_GB2312" w:cs="仿宋"/>
          <w:b/>
          <w:bCs/>
          <w:color w:val="auto"/>
          <w:sz w:val="24"/>
          <w:lang w:eastAsia="zh-CN"/>
        </w:rPr>
        <w:t>六</w:t>
      </w:r>
      <w:r>
        <w:rPr>
          <w:rFonts w:hint="eastAsia" w:ascii="仿宋_GB2312" w:hAnsi="仿宋" w:eastAsia="仿宋_GB2312" w:cs="仿宋"/>
          <w:b/>
          <w:bCs/>
          <w:color w:val="auto"/>
          <w:sz w:val="24"/>
        </w:rPr>
        <w:t>、供应商类似项目业绩（需提供证明资料）</w:t>
      </w:r>
    </w:p>
    <w:p>
      <w:pPr>
        <w:pStyle w:val="15"/>
        <w:adjustRightInd w:val="0"/>
        <w:snapToGrid w:val="0"/>
        <w:spacing w:before="156" w:after="156" w:line="360" w:lineRule="auto"/>
        <w:jc w:val="center"/>
        <w:rPr>
          <w:rFonts w:hint="eastAsia" w:ascii="仿宋_GB2312" w:hAnsi="仿宋" w:eastAsia="仿宋_GB2312" w:cs="仿宋"/>
          <w:b/>
          <w:bCs/>
          <w:color w:val="auto"/>
        </w:rPr>
      </w:pPr>
      <w:r>
        <w:rPr>
          <w:rFonts w:hint="eastAsia" w:ascii="仿宋_GB2312" w:hAnsi="仿宋" w:eastAsia="仿宋_GB2312" w:cs="仿宋"/>
          <w:b/>
          <w:bCs/>
          <w:color w:val="auto"/>
        </w:rPr>
        <w:t>类似成功业绩一览表</w:t>
      </w:r>
    </w:p>
    <w:tbl>
      <w:tblPr>
        <w:tblStyle w:val="31"/>
        <w:tblW w:w="0" w:type="auto"/>
        <w:jc w:val="center"/>
        <w:tblLayout w:type="fixed"/>
        <w:tblCellMar>
          <w:top w:w="0" w:type="dxa"/>
          <w:left w:w="108" w:type="dxa"/>
          <w:bottom w:w="0" w:type="dxa"/>
          <w:right w:w="108" w:type="dxa"/>
        </w:tblCellMar>
      </w:tblPr>
      <w:tblGrid>
        <w:gridCol w:w="1498"/>
        <w:gridCol w:w="951"/>
        <w:gridCol w:w="1356"/>
        <w:gridCol w:w="1008"/>
        <w:gridCol w:w="1155"/>
        <w:gridCol w:w="1965"/>
        <w:gridCol w:w="1215"/>
      </w:tblGrid>
      <w:tr>
        <w:trPr>
          <w:trHeight w:val="817" w:hRule="atLeast"/>
          <w:jc w:val="center"/>
        </w:trPr>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项目</w:t>
            </w:r>
          </w:p>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简要描述</w:t>
            </w:r>
          </w:p>
        </w:tc>
        <w:tc>
          <w:tcPr>
            <w:tcW w:w="10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服务</w:t>
            </w:r>
          </w:p>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规模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服务起始日期</w:t>
            </w:r>
          </w:p>
        </w:tc>
        <w:tc>
          <w:tcPr>
            <w:tcW w:w="19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项目地址与服务单位联系电话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所在页码</w:t>
            </w:r>
          </w:p>
        </w:tc>
      </w:tr>
      <w:tr>
        <w:tblPrEx>
          <w:tblCellMar>
            <w:top w:w="0" w:type="dxa"/>
            <w:left w:w="108" w:type="dxa"/>
            <w:bottom w:w="0" w:type="dxa"/>
            <w:right w:w="108" w:type="dxa"/>
          </w:tblCellMar>
        </w:tblPrEx>
        <w:trPr>
          <w:trHeight w:val="415" w:hRule="atLeast"/>
          <w:jc w:val="center"/>
        </w:trPr>
        <w:tc>
          <w:tcPr>
            <w:tcW w:w="14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jc w:val="center"/>
              <w:rPr>
                <w:rFonts w:hint="eastAsia" w:ascii="仿宋_GB2312" w:hAnsi="仿宋" w:eastAsia="仿宋_GB2312" w:cs="仿宋"/>
                <w:color w:val="auto"/>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0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9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r>
      <w:tr>
        <w:tblPrEx>
          <w:tblCellMar>
            <w:top w:w="0" w:type="dxa"/>
            <w:left w:w="108" w:type="dxa"/>
            <w:bottom w:w="0" w:type="dxa"/>
            <w:right w:w="108" w:type="dxa"/>
          </w:tblCellMar>
        </w:tblPrEx>
        <w:trPr>
          <w:trHeight w:val="415" w:hRule="atLeast"/>
          <w:jc w:val="center"/>
        </w:trPr>
        <w:tc>
          <w:tcPr>
            <w:tcW w:w="14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w:t>
            </w: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0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9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_GB2312" w:hAnsi="仿宋" w:eastAsia="仿宋_GB2312" w:cs="仿宋"/>
                <w:color w:val="auto"/>
                <w:sz w:val="24"/>
              </w:rPr>
            </w:pPr>
          </w:p>
        </w:tc>
      </w:tr>
    </w:tbl>
    <w:p>
      <w:pPr>
        <w:adjustRightInd w:val="0"/>
        <w:snapToGrid w:val="0"/>
        <w:spacing w:line="360" w:lineRule="auto"/>
        <w:rPr>
          <w:rFonts w:hint="eastAsia" w:ascii="仿宋_GB2312" w:hAnsi="仿宋" w:eastAsia="仿宋_GB2312" w:cs="仿宋"/>
          <w:b/>
          <w:color w:val="auto"/>
          <w:sz w:val="24"/>
        </w:rPr>
      </w:pPr>
      <w:r>
        <w:rPr>
          <w:rFonts w:hint="eastAsia" w:ascii="仿宋_GB2312" w:hAnsi="仿宋" w:eastAsia="仿宋_GB2312" w:cs="仿宋"/>
          <w:b/>
          <w:color w:val="auto"/>
          <w:sz w:val="24"/>
        </w:rPr>
        <w:t>注：供应商可按上述的格式自行编制。</w:t>
      </w: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磋商供应商全称（公章）：</w:t>
      </w:r>
      <w:r>
        <w:rPr>
          <w:rFonts w:hint="eastAsia" w:ascii="仿宋_GB2312" w:hAnsi="仿宋" w:eastAsia="仿宋_GB2312" w:cs="仿宋"/>
          <w:color w:val="auto"/>
          <w:sz w:val="24"/>
          <w:u w:val="single"/>
        </w:rPr>
        <w:t xml:space="preserve">                              </w:t>
      </w:r>
    </w:p>
    <w:p>
      <w:pPr>
        <w:adjustRightInd w:val="0"/>
        <w:snapToGrid w:val="0"/>
        <w:spacing w:line="360" w:lineRule="auto"/>
        <w:ind w:firstLine="480" w:firstLineChars="200"/>
        <w:rPr>
          <w:rFonts w:hint="eastAsia" w:ascii="仿宋_GB2312" w:hAnsi="仿宋" w:eastAsia="仿宋_GB2312" w:cs="仿宋"/>
          <w:b/>
          <w:color w:val="auto"/>
          <w:sz w:val="24"/>
        </w:rPr>
      </w:pPr>
      <w:r>
        <w:rPr>
          <w:rFonts w:hint="eastAsia" w:ascii="仿宋_GB2312" w:hAnsi="仿宋" w:eastAsia="仿宋_GB2312" w:cs="仿宋"/>
          <w:color w:val="auto"/>
          <w:sz w:val="24"/>
        </w:rPr>
        <w:t>日期：</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年</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月</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日</w:t>
      </w: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jc w:val="left"/>
        <w:rPr>
          <w:rFonts w:hint="eastAsia" w:ascii="仿宋_GB2312" w:hAnsi="宋体" w:eastAsia="仿宋_GB2312"/>
          <w:b/>
          <w:bCs/>
          <w:color w:val="auto"/>
          <w:sz w:val="24"/>
        </w:rPr>
      </w:pPr>
    </w:p>
    <w:p>
      <w:pPr>
        <w:pStyle w:val="15"/>
        <w:adjustRightInd w:val="0"/>
        <w:snapToGrid w:val="0"/>
        <w:spacing w:before="156" w:after="156" w:line="360" w:lineRule="auto"/>
        <w:rPr>
          <w:rFonts w:hint="eastAsia" w:ascii="仿宋_GB2312" w:hAnsi="仿宋" w:eastAsia="仿宋_GB2312" w:cs="仿宋"/>
          <w:b/>
          <w:bCs/>
          <w:color w:val="auto"/>
          <w:lang w:val="zh-CN"/>
        </w:rPr>
      </w:pPr>
      <w:r>
        <w:rPr>
          <w:rFonts w:hint="eastAsia" w:ascii="仿宋_GB2312" w:hAnsi="宋体" w:eastAsia="仿宋_GB2312"/>
          <w:b/>
          <w:bCs/>
          <w:color w:val="auto"/>
          <w:sz w:val="24"/>
          <w:lang w:eastAsia="zh-CN"/>
        </w:rPr>
        <w:t>七</w:t>
      </w:r>
      <w:r>
        <w:rPr>
          <w:rFonts w:hint="eastAsia" w:ascii="仿宋_GB2312" w:hAnsi="宋体" w:eastAsia="仿宋_GB2312"/>
          <w:b/>
          <w:bCs/>
          <w:color w:val="auto"/>
          <w:sz w:val="24"/>
        </w:rPr>
        <w:t>、针对“第四章  评分办法及评分标准”的内容作出具体的完整实施方案、布撤展方案、包装及运输方案以及保险方案等</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磋商供应商全称（公章）：</w:t>
      </w:r>
      <w:r>
        <w:rPr>
          <w:rFonts w:hint="eastAsia" w:ascii="仿宋_GB2312" w:hAnsi="仿宋" w:eastAsia="仿宋_GB2312" w:cs="仿宋"/>
          <w:color w:val="auto"/>
          <w:sz w:val="24"/>
          <w:u w:val="single"/>
        </w:rPr>
        <w:t xml:space="preserve">                               </w:t>
      </w:r>
    </w:p>
    <w:p>
      <w:pPr>
        <w:adjustRightInd w:val="0"/>
        <w:snapToGrid w:val="0"/>
        <w:spacing w:line="360" w:lineRule="auto"/>
        <w:ind w:firstLine="480" w:firstLineChars="200"/>
        <w:rPr>
          <w:rFonts w:hint="eastAsia" w:ascii="仿宋_GB2312" w:hAnsi="仿宋" w:eastAsia="仿宋_GB2312" w:cs="仿宋"/>
          <w:b/>
          <w:bCs/>
          <w:color w:val="auto"/>
          <w:lang w:val="zh-CN"/>
        </w:rPr>
      </w:pPr>
      <w:r>
        <w:rPr>
          <w:rFonts w:hint="eastAsia" w:ascii="仿宋_GB2312" w:hAnsi="仿宋" w:eastAsia="仿宋_GB2312" w:cs="仿宋"/>
          <w:color w:val="auto"/>
          <w:sz w:val="24"/>
        </w:rPr>
        <w:t>日期：</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年</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月</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日</w:t>
      </w:r>
    </w:p>
    <w:p>
      <w:pPr>
        <w:pStyle w:val="15"/>
        <w:adjustRightInd w:val="0"/>
        <w:snapToGrid w:val="0"/>
        <w:spacing w:before="156" w:after="156" w:line="360" w:lineRule="auto"/>
        <w:rPr>
          <w:rFonts w:hint="eastAsia" w:ascii="仿宋_GB2312" w:hAnsi="仿宋" w:eastAsia="仿宋_GB2312" w:cs="仿宋"/>
          <w:b/>
          <w:color w:val="auto"/>
        </w:rPr>
      </w:pPr>
      <w:r>
        <w:rPr>
          <w:rFonts w:hint="eastAsia" w:ascii="仿宋_GB2312" w:hAnsi="仿宋" w:eastAsia="仿宋_GB2312" w:cs="仿宋"/>
          <w:b/>
          <w:bCs/>
          <w:color w:val="auto"/>
          <w:lang w:val="zh-CN"/>
        </w:rPr>
        <w:t>八、投标人为完成本项目组建的工作小组名单、人员资质证明及社保缴纳证明；</w:t>
      </w:r>
      <w:r>
        <w:rPr>
          <w:rFonts w:hint="eastAsia" w:ascii="仿宋_GB2312" w:hAnsi="仿宋" w:eastAsia="仿宋_GB2312" w:cs="仿宋"/>
          <w:b/>
          <w:bCs/>
          <w:color w:val="auto"/>
          <w:lang w:val="zh-CN"/>
        </w:rPr>
        <w:br w:type="page"/>
      </w:r>
      <w:r>
        <w:rPr>
          <w:rFonts w:hint="eastAsia" w:ascii="仿宋_GB2312" w:hAnsi="仿宋" w:eastAsia="仿宋_GB2312" w:cs="仿宋"/>
          <w:b/>
          <w:bCs/>
          <w:color w:val="auto"/>
          <w:lang w:val="zh-CN"/>
        </w:rPr>
        <w:t>九、项目组成员</w:t>
      </w:r>
      <w:r>
        <w:rPr>
          <w:rFonts w:hint="eastAsia" w:ascii="仿宋_GB2312" w:hAnsi="宋体" w:eastAsia="仿宋_GB2312"/>
          <w:b/>
          <w:bCs/>
          <w:color w:val="auto"/>
        </w:rPr>
        <w:t>情况</w:t>
      </w:r>
      <w:r>
        <w:rPr>
          <w:rFonts w:hint="eastAsia" w:ascii="仿宋_GB2312" w:hAnsi="仿宋" w:eastAsia="仿宋_GB2312" w:cs="仿宋"/>
          <w:b/>
          <w:bCs/>
          <w:color w:val="auto"/>
          <w:lang w:val="zh-CN"/>
        </w:rPr>
        <w:t>一</w:t>
      </w:r>
      <w:r>
        <w:rPr>
          <w:rFonts w:hint="eastAsia" w:ascii="仿宋_GB2312" w:hAnsi="宋体" w:eastAsia="仿宋_GB2312"/>
          <w:b/>
          <w:bCs/>
          <w:color w:val="auto"/>
          <w:lang w:val="zh-CN"/>
        </w:rPr>
        <w:t>览表</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项目名称：</w:t>
      </w:r>
      <w:r>
        <w:rPr>
          <w:rFonts w:hint="eastAsia" w:ascii="仿宋_GB2312" w:hAnsi="仿宋" w:eastAsia="仿宋_GB2312" w:cs="仿宋"/>
          <w:color w:val="auto"/>
          <w:sz w:val="24"/>
          <w:lang w:eastAsia="zh-CN"/>
        </w:rPr>
        <w:t>浙江省博物馆“丽人行-中国近现代女性图像”展运输项目</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项目编号：ZJTY2024H-JF-005</w:t>
      </w:r>
      <w:r>
        <w:rPr>
          <w:rFonts w:hint="eastAsia" w:ascii="仿宋_GB2312" w:hAnsi="仿宋" w:eastAsia="仿宋_GB2312" w:cs="仿宋"/>
          <w:color w:val="auto"/>
          <w:sz w:val="24"/>
          <w:u w:val="single"/>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1"/>
        <w:gridCol w:w="960"/>
        <w:gridCol w:w="1830"/>
        <w:gridCol w:w="1200"/>
        <w:gridCol w:w="1854"/>
        <w:gridCol w:w="16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姓名</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职务</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专业技术资格</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证书编号</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bCs/>
                <w:color w:val="auto"/>
                <w:sz w:val="24"/>
              </w:rPr>
            </w:pPr>
            <w:r>
              <w:rPr>
                <w:rFonts w:hint="eastAsia" w:ascii="仿宋_GB2312" w:hAnsi="仿宋" w:eastAsia="仿宋_GB2312" w:cs="仿宋"/>
                <w:bCs/>
                <w:color w:val="auto"/>
                <w:sz w:val="24"/>
              </w:rPr>
              <w:t>参加本单位工作时间</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bCs/>
                <w:color w:val="auto"/>
                <w:sz w:val="24"/>
              </w:rPr>
            </w:pPr>
            <w:r>
              <w:rPr>
                <w:rFonts w:hint="eastAsia" w:ascii="仿宋_GB2312" w:hAnsi="仿宋" w:eastAsia="仿宋_GB2312" w:cs="仿宋"/>
                <w:bCs/>
                <w:color w:val="auto"/>
                <w:sz w:val="24"/>
              </w:rPr>
              <w:t>相关工作经验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_GB2312" w:hAnsi="仿宋" w:eastAsia="仿宋_GB2312" w:cs="仿宋"/>
                <w:color w:val="auto"/>
                <w:sz w:val="24"/>
              </w:rPr>
            </w:pPr>
          </w:p>
        </w:tc>
      </w:tr>
    </w:tbl>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注：在填写时，如本表格不适合磋商供应商的实际情况，可根据本表格式自行划表填写。</w:t>
      </w: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ind w:firstLine="240" w:firstLineChars="100"/>
        <w:rPr>
          <w:rFonts w:hint="eastAsia" w:ascii="仿宋_GB2312" w:hAnsi="仿宋" w:eastAsia="仿宋_GB2312" w:cs="仿宋"/>
          <w:color w:val="auto"/>
          <w:sz w:val="24"/>
          <w:u w:val="single"/>
        </w:rPr>
      </w:pPr>
      <w:r>
        <w:rPr>
          <w:rFonts w:hint="eastAsia" w:ascii="仿宋_GB2312" w:hAnsi="仿宋" w:eastAsia="仿宋_GB2312" w:cs="仿宋"/>
          <w:color w:val="auto"/>
          <w:sz w:val="24"/>
        </w:rPr>
        <w:t>磋商供应商全称（公章）：</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w:t>
      </w:r>
      <w:r>
        <w:rPr>
          <w:rFonts w:hint="eastAsia" w:ascii="仿宋_GB2312" w:hAnsi="仿宋" w:eastAsia="仿宋_GB2312" w:cs="仿宋"/>
          <w:color w:val="auto"/>
          <w:sz w:val="24"/>
          <w:u w:val="single"/>
        </w:rPr>
        <w:t xml:space="preserve">          </w:t>
      </w:r>
    </w:p>
    <w:p>
      <w:pPr>
        <w:adjustRightInd w:val="0"/>
        <w:snapToGrid w:val="0"/>
        <w:spacing w:line="360" w:lineRule="auto"/>
        <w:ind w:firstLine="240" w:firstLineChars="100"/>
        <w:rPr>
          <w:rFonts w:hint="eastAsia" w:ascii="仿宋_GB2312" w:hAnsi="仿宋" w:eastAsia="仿宋_GB2312" w:cs="仿宋"/>
          <w:color w:val="auto"/>
          <w:sz w:val="24"/>
        </w:rPr>
      </w:pPr>
      <w:r>
        <w:rPr>
          <w:rFonts w:hint="eastAsia" w:ascii="仿宋_GB2312" w:hAnsi="仿宋" w:eastAsia="仿宋_GB2312" w:cs="仿宋"/>
          <w:color w:val="auto"/>
          <w:sz w:val="24"/>
        </w:rPr>
        <w:t>日期：      年    月    日</w:t>
      </w:r>
    </w:p>
    <w:p>
      <w:pPr>
        <w:adjustRightInd w:val="0"/>
        <w:snapToGrid w:val="0"/>
        <w:spacing w:line="360" w:lineRule="auto"/>
        <w:rPr>
          <w:rFonts w:hint="eastAsia" w:ascii="仿宋_GB2312" w:hAnsi="仿宋" w:eastAsia="仿宋_GB2312" w:cs="仿宋"/>
          <w:b/>
          <w:color w:val="auto"/>
          <w:sz w:val="24"/>
        </w:rPr>
      </w:pPr>
    </w:p>
    <w:p>
      <w:pPr>
        <w:adjustRightInd w:val="0"/>
        <w:snapToGrid w:val="0"/>
        <w:spacing w:line="360" w:lineRule="auto"/>
        <w:rPr>
          <w:rFonts w:hint="eastAsia" w:ascii="仿宋_GB2312" w:hAnsi="仿宋" w:eastAsia="仿宋_GB2312" w:cs="仿宋"/>
          <w:b/>
          <w:color w:val="auto"/>
          <w:sz w:val="24"/>
        </w:rPr>
      </w:pPr>
      <w:r>
        <w:rPr>
          <w:rFonts w:hint="eastAsia" w:ascii="仿宋_GB2312" w:hAnsi="仿宋" w:eastAsia="仿宋_GB2312" w:cs="仿宋"/>
          <w:b/>
          <w:color w:val="auto"/>
          <w:sz w:val="24"/>
        </w:rPr>
        <w:t>附：项目实施人员相关经验或资质证明文件复印件</w:t>
      </w:r>
    </w:p>
    <w:p>
      <w:pPr>
        <w:adjustRightInd w:val="0"/>
        <w:snapToGrid w:val="0"/>
        <w:spacing w:line="360" w:lineRule="auto"/>
        <w:rPr>
          <w:rFonts w:hint="eastAsia" w:ascii="仿宋_GB2312" w:hAnsi="仿宋" w:eastAsia="仿宋_GB2312" w:cs="仿宋"/>
          <w:b/>
          <w:color w:val="auto"/>
          <w:sz w:val="24"/>
          <w:u w:val="single"/>
        </w:rPr>
      </w:pPr>
      <w:r>
        <w:rPr>
          <w:rFonts w:hint="eastAsia" w:ascii="仿宋_GB2312" w:hAnsi="仿宋" w:eastAsia="仿宋_GB2312" w:cs="仿宋"/>
          <w:b/>
          <w:color w:val="auto"/>
          <w:sz w:val="24"/>
        </w:rPr>
        <w:t>姓名：</w:t>
      </w:r>
      <w:r>
        <w:rPr>
          <w:rFonts w:hint="eastAsia" w:ascii="仿宋_GB2312" w:hAnsi="仿宋" w:eastAsia="仿宋_GB2312" w:cs="仿宋"/>
          <w:b/>
          <w:color w:val="auto"/>
          <w:sz w:val="24"/>
          <w:u w:val="single"/>
        </w:rPr>
        <w:t xml:space="preserve">                  </w:t>
      </w:r>
      <w:r>
        <w:rPr>
          <w:rFonts w:hint="eastAsia" w:ascii="仿宋_GB2312" w:hAnsi="仿宋" w:eastAsia="仿宋_GB2312" w:cs="仿宋"/>
          <w:b/>
          <w:color w:val="auto"/>
          <w:sz w:val="24"/>
        </w:rPr>
        <w:t>职务：</w:t>
      </w:r>
      <w:r>
        <w:rPr>
          <w:rFonts w:hint="eastAsia" w:ascii="仿宋_GB2312" w:hAnsi="仿宋" w:eastAsia="仿宋_GB2312" w:cs="仿宋"/>
          <w:b/>
          <w:color w:val="auto"/>
          <w:sz w:val="24"/>
          <w:u w:val="single"/>
        </w:rPr>
        <w:t xml:space="preserv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522" w:type="dxa"/>
            <w:noWrap w:val="0"/>
            <w:vAlign w:val="top"/>
          </w:tcPr>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经验或资质证明文件复印件。</w:t>
            </w:r>
          </w:p>
        </w:tc>
      </w:tr>
    </w:tbl>
    <w:p>
      <w:pPr>
        <w:pStyle w:val="15"/>
        <w:adjustRightInd w:val="0"/>
        <w:snapToGrid w:val="0"/>
        <w:spacing w:before="156" w:after="156" w:line="360" w:lineRule="auto"/>
        <w:rPr>
          <w:rFonts w:hint="eastAsia" w:ascii="仿宋_GB2312" w:hAnsi="仿宋" w:eastAsia="仿宋_GB2312" w:cs="仿宋"/>
          <w:color w:val="auto"/>
        </w:rPr>
      </w:pPr>
    </w:p>
    <w:p>
      <w:pPr>
        <w:pStyle w:val="15"/>
        <w:adjustRightInd w:val="0"/>
        <w:snapToGrid w:val="0"/>
        <w:spacing w:before="156" w:after="156" w:line="360" w:lineRule="auto"/>
        <w:rPr>
          <w:rFonts w:hint="eastAsia" w:ascii="仿宋_GB2312" w:hAnsi="仿宋" w:eastAsia="仿宋_GB2312" w:cs="仿宋"/>
          <w:b/>
          <w:bCs/>
          <w:color w:val="auto"/>
        </w:rPr>
      </w:pPr>
    </w:p>
    <w:p>
      <w:pPr>
        <w:pStyle w:val="15"/>
        <w:adjustRightInd w:val="0"/>
        <w:snapToGrid w:val="0"/>
        <w:spacing w:before="156" w:after="156" w:line="360" w:lineRule="auto"/>
        <w:rPr>
          <w:rFonts w:hint="eastAsia" w:ascii="仿宋_GB2312" w:hAnsi="仿宋" w:eastAsia="仿宋_GB2312" w:cs="仿宋"/>
          <w:b/>
          <w:bCs/>
          <w:color w:val="auto"/>
        </w:rPr>
      </w:pPr>
    </w:p>
    <w:p>
      <w:pPr>
        <w:pStyle w:val="15"/>
        <w:adjustRightInd w:val="0"/>
        <w:snapToGrid w:val="0"/>
        <w:spacing w:before="156" w:after="156" w:line="360" w:lineRule="auto"/>
        <w:rPr>
          <w:rFonts w:hint="eastAsia" w:ascii="仿宋_GB2312" w:hAnsi="仿宋" w:eastAsia="仿宋_GB2312" w:cs="仿宋"/>
          <w:b/>
          <w:bCs/>
          <w:color w:val="auto"/>
        </w:rPr>
      </w:pPr>
    </w:p>
    <w:p>
      <w:pPr>
        <w:pStyle w:val="15"/>
        <w:adjustRightInd w:val="0"/>
        <w:snapToGrid w:val="0"/>
        <w:spacing w:before="156" w:after="156" w:line="360" w:lineRule="auto"/>
        <w:rPr>
          <w:rFonts w:hint="eastAsia" w:ascii="仿宋_GB2312" w:hAnsi="仿宋" w:eastAsia="仿宋_GB2312" w:cs="仿宋"/>
          <w:b/>
          <w:bCs/>
          <w:color w:val="auto"/>
        </w:rPr>
      </w:pPr>
    </w:p>
    <w:p>
      <w:pPr>
        <w:pStyle w:val="15"/>
        <w:adjustRightInd w:val="0"/>
        <w:snapToGrid w:val="0"/>
        <w:spacing w:before="156" w:after="156" w:line="360" w:lineRule="auto"/>
        <w:rPr>
          <w:rFonts w:hint="eastAsia" w:ascii="仿宋_GB2312" w:hAnsi="仿宋" w:eastAsia="仿宋_GB2312" w:cs="仿宋"/>
          <w:b/>
          <w:bCs/>
          <w:color w:val="auto"/>
        </w:rPr>
      </w:pPr>
    </w:p>
    <w:p>
      <w:pPr>
        <w:pStyle w:val="15"/>
        <w:adjustRightInd w:val="0"/>
        <w:snapToGrid w:val="0"/>
        <w:spacing w:before="156" w:after="156" w:line="360" w:lineRule="auto"/>
        <w:rPr>
          <w:rFonts w:hint="eastAsia" w:ascii="仿宋_GB2312" w:hAnsi="仿宋" w:eastAsia="仿宋_GB2312" w:cs="仿宋"/>
          <w:b/>
          <w:bCs/>
          <w:color w:val="auto"/>
        </w:rPr>
      </w:pPr>
      <w:r>
        <w:rPr>
          <w:rFonts w:hint="eastAsia" w:ascii="仿宋_GB2312" w:hAnsi="仿宋" w:eastAsia="仿宋_GB2312" w:cs="仿宋"/>
          <w:b/>
          <w:bCs/>
          <w:color w:val="auto"/>
          <w:lang w:eastAsia="zh-CN"/>
        </w:rPr>
        <w:t>十</w:t>
      </w:r>
      <w:r>
        <w:rPr>
          <w:rFonts w:hint="eastAsia" w:ascii="仿宋_GB2312" w:hAnsi="仿宋" w:eastAsia="仿宋_GB2312" w:cs="仿宋"/>
          <w:b/>
          <w:bCs/>
          <w:color w:val="auto"/>
        </w:rPr>
        <w:t>、商务技术</w:t>
      </w:r>
      <w:r>
        <w:rPr>
          <w:rFonts w:hint="eastAsia" w:ascii="仿宋_GB2312" w:hAnsi="仿宋" w:eastAsia="仿宋_GB2312" w:cs="仿宋"/>
          <w:b/>
          <w:bCs/>
          <w:color w:val="auto"/>
          <w:lang w:val="zh-CN"/>
        </w:rPr>
        <w:t>响应</w:t>
      </w:r>
      <w:r>
        <w:rPr>
          <w:rFonts w:hint="eastAsia" w:ascii="仿宋_GB2312" w:hAnsi="仿宋" w:eastAsia="仿宋_GB2312" w:cs="仿宋"/>
          <w:b/>
          <w:bCs/>
          <w:color w:val="auto"/>
        </w:rPr>
        <w:t>表格式：</w:t>
      </w:r>
    </w:p>
    <w:p>
      <w:pPr>
        <w:pStyle w:val="15"/>
        <w:adjustRightInd w:val="0"/>
        <w:snapToGrid w:val="0"/>
        <w:spacing w:before="156" w:after="156" w:line="360" w:lineRule="auto"/>
        <w:jc w:val="center"/>
        <w:rPr>
          <w:rFonts w:hint="eastAsia" w:ascii="仿宋_GB2312" w:hAnsi="仿宋" w:eastAsia="仿宋_GB2312" w:cs="仿宋"/>
          <w:b/>
          <w:bCs/>
          <w:color w:val="auto"/>
        </w:rPr>
      </w:pPr>
      <w:r>
        <w:rPr>
          <w:rFonts w:hint="eastAsia" w:ascii="仿宋_GB2312" w:hAnsi="仿宋" w:eastAsia="仿宋_GB2312" w:cs="仿宋"/>
          <w:b/>
          <w:bCs/>
          <w:color w:val="auto"/>
        </w:rPr>
        <w:t>商务技术</w:t>
      </w:r>
      <w:r>
        <w:rPr>
          <w:rFonts w:hint="eastAsia" w:ascii="仿宋_GB2312" w:hAnsi="仿宋" w:eastAsia="仿宋_GB2312" w:cs="仿宋"/>
          <w:b/>
          <w:bCs/>
          <w:color w:val="auto"/>
          <w:lang w:val="zh-CN"/>
        </w:rPr>
        <w:t>响应</w:t>
      </w:r>
      <w:r>
        <w:rPr>
          <w:rFonts w:hint="eastAsia" w:ascii="仿宋_GB2312" w:hAnsi="仿宋" w:eastAsia="仿宋_GB2312" w:cs="仿宋"/>
          <w:b/>
          <w:bCs/>
          <w:color w:val="auto"/>
        </w:rPr>
        <w:t>表</w:t>
      </w:r>
    </w:p>
    <w:p>
      <w:pPr>
        <w:adjustRightInd w:val="0"/>
        <w:snapToGrid w:val="0"/>
        <w:spacing w:line="360" w:lineRule="auto"/>
        <w:rPr>
          <w:rFonts w:hint="eastAsia" w:ascii="仿宋_GB2312" w:hAnsi="仿宋" w:eastAsia="仿宋_GB2312" w:cs="仿宋"/>
          <w:color w:val="auto"/>
          <w:sz w:val="24"/>
          <w:u w:val="single"/>
        </w:rPr>
      </w:pPr>
      <w:r>
        <w:rPr>
          <w:rFonts w:hint="eastAsia" w:ascii="仿宋_GB2312" w:hAnsi="仿宋" w:eastAsia="仿宋_GB2312" w:cs="仿宋"/>
          <w:color w:val="auto"/>
          <w:sz w:val="24"/>
        </w:rPr>
        <w:t>项目名称：</w:t>
      </w:r>
      <w:r>
        <w:rPr>
          <w:rFonts w:hint="eastAsia" w:ascii="仿宋_GB2312" w:hAnsi="仿宋" w:eastAsia="仿宋_GB2312" w:cs="仿宋"/>
          <w:color w:val="auto"/>
          <w:sz w:val="24"/>
          <w:lang w:eastAsia="zh-CN"/>
        </w:rPr>
        <w:t>浙江省博物馆“丽人行-中国近现代女性图像”展运输项目</w:t>
      </w:r>
      <w:r>
        <w:rPr>
          <w:rFonts w:hint="eastAsia" w:ascii="仿宋_GB2312" w:hAnsi="仿宋" w:eastAsia="仿宋_GB2312" w:cs="仿宋"/>
          <w:color w:val="auto"/>
          <w:sz w:val="24"/>
          <w:u w:val="single"/>
        </w:rPr>
        <w:t xml:space="preserve">                </w:t>
      </w: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项目编号：ZJTY2024H-JF-005</w:t>
      </w:r>
      <w:r>
        <w:rPr>
          <w:rFonts w:hint="eastAsia" w:ascii="仿宋_GB2312" w:hAnsi="仿宋" w:eastAsia="仿宋_GB2312" w:cs="仿宋"/>
          <w:color w:val="auto"/>
          <w:sz w:val="24"/>
          <w:u w:val="single"/>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1"/>
        <w:gridCol w:w="1917"/>
        <w:gridCol w:w="2132"/>
        <w:gridCol w:w="1696"/>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名称</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磋商文件要求</w:t>
            </w:r>
          </w:p>
        </w:tc>
        <w:tc>
          <w:tcPr>
            <w:tcW w:w="21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磋商响应文件响应</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偏离情况</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21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6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5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21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6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5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w:t>
            </w:r>
          </w:p>
        </w:tc>
        <w:tc>
          <w:tcPr>
            <w:tcW w:w="1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21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6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c>
          <w:tcPr>
            <w:tcW w:w="15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仿宋_GB2312" w:hAnsi="仿宋" w:eastAsia="仿宋_GB2312" w:cs="仿宋"/>
                <w:color w:val="auto"/>
                <w:sz w:val="24"/>
              </w:rPr>
            </w:pPr>
          </w:p>
        </w:tc>
      </w:tr>
    </w:tbl>
    <w:p>
      <w:pPr>
        <w:pStyle w:val="12"/>
        <w:adjustRightInd w:val="0"/>
        <w:snapToGrid w:val="0"/>
        <w:spacing w:line="360" w:lineRule="auto"/>
        <w:rPr>
          <w:rFonts w:hint="eastAsia" w:ascii="仿宋_GB2312" w:hAnsi="仿宋" w:eastAsia="仿宋_GB2312" w:cs="仿宋"/>
          <w:color w:val="auto"/>
          <w:spacing w:val="20"/>
          <w:sz w:val="24"/>
        </w:rPr>
      </w:pPr>
      <w:r>
        <w:rPr>
          <w:rFonts w:hint="eastAsia" w:ascii="仿宋_GB2312" w:hAnsi="仿宋" w:eastAsia="仿宋_GB2312" w:cs="仿宋"/>
          <w:color w:val="auto"/>
          <w:sz w:val="24"/>
          <w:szCs w:val="24"/>
        </w:rPr>
        <w:t>注：供应商应根据实际情况对照磋商文件要求在“偏离情况”栏注明“正偏离”、“负偏离”或“无偏离”。</w:t>
      </w: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ind w:firstLine="240" w:firstLineChars="100"/>
        <w:rPr>
          <w:rFonts w:hint="eastAsia" w:ascii="仿宋_GB2312" w:hAnsi="仿宋" w:eastAsia="仿宋_GB2312" w:cs="仿宋"/>
          <w:color w:val="auto"/>
          <w:sz w:val="24"/>
          <w:u w:val="single"/>
        </w:rPr>
      </w:pPr>
      <w:r>
        <w:rPr>
          <w:rFonts w:hint="eastAsia" w:ascii="仿宋_GB2312" w:hAnsi="仿宋" w:eastAsia="仿宋_GB2312" w:cs="仿宋"/>
          <w:color w:val="auto"/>
          <w:sz w:val="24"/>
        </w:rPr>
        <w:t>磋商供应商全称（公章）：</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w:t>
      </w:r>
      <w:r>
        <w:rPr>
          <w:rFonts w:hint="eastAsia" w:ascii="仿宋_GB2312" w:hAnsi="仿宋" w:eastAsia="仿宋_GB2312" w:cs="仿宋"/>
          <w:color w:val="auto"/>
          <w:sz w:val="24"/>
          <w:u w:val="single"/>
        </w:rPr>
        <w:t xml:space="preserve">      </w:t>
      </w:r>
    </w:p>
    <w:p>
      <w:pPr>
        <w:adjustRightInd w:val="0"/>
        <w:snapToGrid w:val="0"/>
        <w:spacing w:line="360" w:lineRule="auto"/>
        <w:ind w:firstLine="240" w:firstLineChars="100"/>
        <w:rPr>
          <w:rFonts w:hint="eastAsia" w:ascii="仿宋_GB2312" w:hAnsi="仿宋" w:eastAsia="仿宋_GB2312" w:cs="仿宋"/>
          <w:b/>
          <w:bCs/>
          <w:color w:val="auto"/>
        </w:rPr>
      </w:pPr>
      <w:r>
        <w:rPr>
          <w:rFonts w:hint="eastAsia" w:ascii="仿宋_GB2312" w:hAnsi="仿宋" w:eastAsia="仿宋_GB2312" w:cs="仿宋"/>
          <w:color w:val="auto"/>
          <w:sz w:val="24"/>
        </w:rPr>
        <w:t>日期：      年    月    日</w:t>
      </w:r>
    </w:p>
    <w:p>
      <w:pPr>
        <w:adjustRightInd w:val="0"/>
        <w:snapToGrid w:val="0"/>
        <w:spacing w:line="360" w:lineRule="auto"/>
        <w:rPr>
          <w:rFonts w:hint="eastAsia" w:ascii="仿宋_GB2312" w:hAnsi="仿宋" w:eastAsia="仿宋_GB2312" w:cs="仿宋"/>
          <w:b/>
          <w:bCs/>
          <w:color w:val="auto"/>
          <w:sz w:val="24"/>
        </w:rPr>
      </w:pPr>
    </w:p>
    <w:p>
      <w:pPr>
        <w:adjustRightInd w:val="0"/>
        <w:snapToGrid w:val="0"/>
        <w:spacing w:line="360" w:lineRule="auto"/>
        <w:rPr>
          <w:rFonts w:hint="eastAsia" w:ascii="仿宋_GB2312" w:hAnsi="仿宋" w:eastAsia="仿宋_GB2312" w:cs="仿宋"/>
          <w:b/>
          <w:bCs/>
          <w:color w:val="auto"/>
          <w:sz w:val="24"/>
          <w:lang w:val="zh-CN"/>
        </w:rPr>
      </w:pPr>
    </w:p>
    <w:p>
      <w:pPr>
        <w:pStyle w:val="15"/>
        <w:adjustRightInd w:val="0"/>
        <w:snapToGrid w:val="0"/>
        <w:spacing w:before="156" w:after="156" w:line="360" w:lineRule="auto"/>
        <w:rPr>
          <w:rFonts w:hint="eastAsia" w:ascii="仿宋_GB2312" w:hAnsi="仿宋" w:eastAsia="仿宋_GB2312" w:cs="仿宋"/>
          <w:b/>
          <w:bCs/>
          <w:color w:val="auto"/>
        </w:rPr>
      </w:pPr>
      <w:r>
        <w:rPr>
          <w:rFonts w:hint="eastAsia" w:ascii="仿宋_GB2312" w:hAnsi="仿宋" w:eastAsia="仿宋_GB2312" w:cs="仿宋"/>
          <w:b/>
          <w:bCs/>
          <w:color w:val="auto"/>
          <w:lang w:eastAsia="zh-CN"/>
        </w:rPr>
        <w:t>十一</w:t>
      </w:r>
      <w:r>
        <w:rPr>
          <w:rFonts w:hint="eastAsia" w:ascii="仿宋_GB2312" w:hAnsi="仿宋" w:eastAsia="仿宋_GB2312" w:cs="仿宋"/>
          <w:b/>
          <w:bCs/>
          <w:color w:val="auto"/>
        </w:rPr>
        <w:t>、供应商认为需要说明的其他文件和资料</w:t>
      </w:r>
    </w:p>
    <w:p>
      <w:pPr>
        <w:adjustRightInd/>
        <w:snapToGrid/>
        <w:spacing w:before="0" w:beforeLines="-2147483648" w:after="0" w:line="240" w:lineRule="auto"/>
        <w:rPr>
          <w:rFonts w:hint="eastAsia" w:ascii="仿宋_GB2312" w:hAnsi="仿宋" w:eastAsia="仿宋_GB2312" w:cs="仿宋"/>
          <w:b/>
          <w:bCs/>
          <w:color w:val="auto"/>
          <w:sz w:val="24"/>
          <w:szCs w:val="24"/>
        </w:rPr>
      </w:pPr>
      <w:r>
        <w:rPr>
          <w:rFonts w:hint="eastAsia" w:ascii="仿宋_GB2312" w:hAnsi="仿宋" w:eastAsia="仿宋_GB2312" w:cs="仿宋"/>
          <w:b/>
          <w:bCs/>
          <w:color w:val="auto"/>
          <w:sz w:val="24"/>
          <w:szCs w:val="24"/>
        </w:rPr>
        <w:br w:type="page"/>
      </w:r>
    </w:p>
    <w:p>
      <w:pPr>
        <w:adjustRightInd w:val="0"/>
        <w:snapToGrid w:val="0"/>
        <w:spacing w:before="156" w:beforeLines="50" w:after="50" w:line="360" w:lineRule="auto"/>
        <w:rPr>
          <w:rFonts w:hint="eastAsia" w:ascii="仿宋_GB2312" w:hAnsi="仿宋" w:eastAsia="仿宋_GB2312" w:cs="仿宋"/>
          <w:b/>
          <w:bCs/>
          <w:color w:val="auto"/>
          <w:sz w:val="24"/>
          <w:szCs w:val="24"/>
        </w:rPr>
      </w:pPr>
      <w:r>
        <w:rPr>
          <w:rFonts w:hint="eastAsia" w:ascii="仿宋_GB2312" w:hAnsi="仿宋" w:eastAsia="仿宋_GB2312" w:cs="仿宋"/>
          <w:b/>
          <w:bCs/>
          <w:color w:val="auto"/>
          <w:sz w:val="24"/>
          <w:szCs w:val="24"/>
          <w:lang w:eastAsia="zh-CN"/>
        </w:rPr>
        <w:t>十二</w:t>
      </w:r>
      <w:r>
        <w:rPr>
          <w:rFonts w:hint="eastAsia" w:ascii="仿宋_GB2312" w:hAnsi="仿宋" w:eastAsia="仿宋_GB2312" w:cs="仿宋"/>
          <w:b/>
          <w:bCs/>
          <w:color w:val="auto"/>
          <w:sz w:val="24"/>
          <w:szCs w:val="24"/>
        </w:rPr>
        <w:t>、政府采购供应商廉洁自律承诺书</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lang w:eastAsia="zh-CN"/>
        </w:rPr>
        <w:t>浙江省博物馆</w:t>
      </w:r>
      <w:r>
        <w:rPr>
          <w:rFonts w:hint="eastAsia" w:ascii="仿宋" w:hAnsi="仿宋" w:eastAsia="仿宋" w:cs="仿宋"/>
          <w:color w:val="auto"/>
          <w:sz w:val="24"/>
        </w:rPr>
        <w:t>、</w:t>
      </w:r>
      <w:r>
        <w:rPr>
          <w:rFonts w:hint="eastAsia" w:ascii="仿宋" w:hAnsi="仿宋" w:eastAsia="仿宋" w:cs="仿宋"/>
          <w:color w:val="auto"/>
          <w:sz w:val="24"/>
          <w:lang w:eastAsia="zh-CN"/>
        </w:rPr>
        <w:t>浙江通用招标代理有限公司</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adjustRightInd w:val="0"/>
        <w:snapToGrid w:val="0"/>
        <w:spacing w:beforeLines="50" w:after="50" w:line="360" w:lineRule="auto"/>
        <w:rPr>
          <w:rFonts w:ascii="仿宋" w:hAnsi="仿宋" w:eastAsia="仿宋" w:cs="仿宋"/>
          <w:color w:val="auto"/>
          <w:sz w:val="24"/>
        </w:rPr>
      </w:pPr>
    </w:p>
    <w:p>
      <w:pPr>
        <w:adjustRightInd w:val="0"/>
        <w:snapToGrid w:val="0"/>
        <w:spacing w:before="156" w:beforeLines="50" w:after="50" w:line="360" w:lineRule="auto"/>
        <w:rPr>
          <w:rFonts w:hint="eastAsia" w:ascii="仿宋_GB2312" w:hAnsi="仿宋" w:eastAsia="仿宋_GB2312" w:cs="仿宋"/>
          <w:b/>
          <w:color w:val="auto"/>
          <w:sz w:val="30"/>
          <w:szCs w:val="30"/>
        </w:rPr>
      </w:pPr>
      <w:r>
        <w:rPr>
          <w:rFonts w:hint="eastAsia" w:ascii="仿宋_GB2312" w:hAnsi="仿宋" w:eastAsia="仿宋_GB2312" w:cs="仿宋"/>
          <w:color w:val="auto"/>
          <w:sz w:val="30"/>
          <w:szCs w:val="30"/>
        </w:rPr>
        <w:br w:type="page"/>
      </w:r>
      <w:r>
        <w:rPr>
          <w:rFonts w:hint="eastAsia" w:ascii="仿宋_GB2312" w:hAnsi="仿宋" w:eastAsia="仿宋_GB2312" w:cs="仿宋"/>
          <w:color w:val="auto"/>
          <w:sz w:val="30"/>
          <w:szCs w:val="30"/>
        </w:rPr>
        <w:t>封面</w:t>
      </w:r>
      <w:r>
        <w:rPr>
          <w:rFonts w:hint="eastAsia" w:ascii="仿宋_GB2312" w:hAnsi="仿宋" w:eastAsia="仿宋_GB2312" w:cs="仿宋"/>
          <w:b/>
          <w:color w:val="auto"/>
          <w:sz w:val="30"/>
          <w:szCs w:val="30"/>
        </w:rPr>
        <w:t xml:space="preserve">：                                    </w:t>
      </w:r>
      <w:r>
        <w:rPr>
          <w:rFonts w:hint="eastAsia" w:ascii="仿宋_GB2312" w:hAnsi="仿宋" w:eastAsia="仿宋_GB2312" w:cs="仿宋"/>
          <w:color w:val="auto"/>
          <w:sz w:val="30"/>
          <w:szCs w:val="30"/>
        </w:rPr>
        <w:t xml:space="preserve"> 正本或副本</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lang w:eastAsia="zh-CN"/>
        </w:rPr>
      </w:pPr>
      <w:r>
        <w:rPr>
          <w:rFonts w:hint="eastAsia" w:ascii="仿宋_GB2312" w:hAnsi="仿宋" w:eastAsia="仿宋_GB2312" w:cs="仿宋"/>
          <w:color w:val="auto"/>
          <w:sz w:val="36"/>
          <w:szCs w:val="36"/>
          <w:lang w:eastAsia="zh-CN"/>
        </w:rPr>
        <w:t>浙江省博物馆“丽人行-中国近现代女性图像”展</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lang w:eastAsia="zh-CN"/>
        </w:rPr>
      </w:pPr>
      <w:r>
        <w:rPr>
          <w:rFonts w:hint="eastAsia" w:ascii="仿宋_GB2312" w:hAnsi="仿宋" w:eastAsia="仿宋_GB2312" w:cs="仿宋"/>
          <w:color w:val="auto"/>
          <w:sz w:val="36"/>
          <w:szCs w:val="36"/>
          <w:lang w:eastAsia="zh-CN"/>
        </w:rPr>
        <w:t>运输项目</w:t>
      </w:r>
      <w:bookmarkStart w:id="8" w:name="_GoBack"/>
      <w:bookmarkEnd w:id="8"/>
    </w:p>
    <w:p>
      <w:pPr>
        <w:adjustRightInd w:val="0"/>
        <w:snapToGrid w:val="0"/>
        <w:spacing w:before="312" w:beforeLines="100" w:line="360" w:lineRule="auto"/>
        <w:ind w:right="-108"/>
        <w:jc w:val="center"/>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项目编号：ZJTY2024H-JF-005</w:t>
      </w:r>
    </w:p>
    <w:p>
      <w:pPr>
        <w:adjustRightInd w:val="0"/>
        <w:snapToGrid w:val="0"/>
        <w:spacing w:before="312" w:beforeLines="100" w:line="360" w:lineRule="auto"/>
        <w:ind w:right="-108"/>
        <w:jc w:val="center"/>
        <w:rPr>
          <w:rFonts w:hint="eastAsia" w:ascii="仿宋_GB2312" w:hAnsi="仿宋" w:eastAsia="仿宋_GB2312" w:cs="仿宋"/>
          <w:color w:val="auto"/>
          <w:sz w:val="36"/>
          <w:szCs w:val="36"/>
        </w:rPr>
      </w:pPr>
    </w:p>
    <w:p>
      <w:pPr>
        <w:adjustRightInd w:val="0"/>
        <w:snapToGrid w:val="0"/>
        <w:spacing w:after="100" w:afterAutospacing="1"/>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报</w:t>
      </w:r>
    </w:p>
    <w:p>
      <w:pPr>
        <w:adjustRightInd w:val="0"/>
        <w:snapToGrid w:val="0"/>
        <w:spacing w:after="100" w:afterAutospacing="1"/>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价</w:t>
      </w:r>
    </w:p>
    <w:p>
      <w:pPr>
        <w:adjustRightInd w:val="0"/>
        <w:snapToGrid w:val="0"/>
        <w:spacing w:after="100" w:afterAutospacing="1"/>
        <w:jc w:val="center"/>
        <w:rPr>
          <w:rFonts w:hint="eastAsia" w:ascii="仿宋_GB2312" w:hAnsi="仿宋" w:eastAsia="仿宋_GB2312" w:cs="仿宋"/>
          <w:b/>
          <w:color w:val="auto"/>
          <w:spacing w:val="40"/>
          <w:sz w:val="72"/>
          <w:szCs w:val="72"/>
        </w:rPr>
      </w:pPr>
      <w:r>
        <w:rPr>
          <w:rFonts w:hint="eastAsia" w:ascii="仿宋_GB2312" w:hAnsi="仿宋" w:eastAsia="仿宋_GB2312" w:cs="仿宋"/>
          <w:b/>
          <w:color w:val="auto"/>
          <w:spacing w:val="40"/>
          <w:sz w:val="72"/>
          <w:szCs w:val="72"/>
        </w:rPr>
        <w:t>文</w:t>
      </w:r>
    </w:p>
    <w:p>
      <w:pPr>
        <w:adjustRightInd w:val="0"/>
        <w:snapToGrid w:val="0"/>
        <w:spacing w:after="100" w:afterAutospacing="1"/>
        <w:jc w:val="center"/>
        <w:rPr>
          <w:rFonts w:hint="eastAsia" w:ascii="仿宋_GB2312" w:hAnsi="仿宋" w:eastAsia="仿宋_GB2312" w:cs="仿宋"/>
          <w:b/>
          <w:color w:val="auto"/>
          <w:spacing w:val="40"/>
          <w:sz w:val="84"/>
          <w:szCs w:val="84"/>
        </w:rPr>
      </w:pPr>
      <w:r>
        <w:rPr>
          <w:rFonts w:hint="eastAsia" w:ascii="仿宋_GB2312" w:hAnsi="仿宋" w:eastAsia="仿宋_GB2312" w:cs="仿宋"/>
          <w:b/>
          <w:color w:val="auto"/>
          <w:spacing w:val="40"/>
          <w:sz w:val="72"/>
          <w:szCs w:val="72"/>
        </w:rPr>
        <w:t>件</w:t>
      </w:r>
    </w:p>
    <w:p>
      <w:pPr>
        <w:adjustRightInd w:val="0"/>
        <w:snapToGrid w:val="0"/>
        <w:spacing w:line="360" w:lineRule="auto"/>
        <w:ind w:right="532"/>
        <w:jc w:val="center"/>
        <w:rPr>
          <w:rFonts w:hint="eastAsia" w:ascii="仿宋_GB2312" w:hAnsi="仿宋" w:eastAsia="仿宋_GB2312" w:cs="仿宋"/>
          <w:color w:val="auto"/>
          <w:sz w:val="36"/>
          <w:szCs w:val="36"/>
        </w:rPr>
      </w:pPr>
    </w:p>
    <w:p>
      <w:pPr>
        <w:adjustRightInd w:val="0"/>
        <w:snapToGrid w:val="0"/>
        <w:spacing w:line="360" w:lineRule="auto"/>
        <w:ind w:right="532"/>
        <w:jc w:val="center"/>
        <w:rPr>
          <w:rFonts w:hint="eastAsia" w:ascii="仿宋_GB2312" w:hAnsi="仿宋" w:eastAsia="仿宋_GB2312" w:cs="仿宋"/>
          <w:color w:val="auto"/>
          <w:sz w:val="36"/>
          <w:szCs w:val="36"/>
        </w:rPr>
      </w:pPr>
    </w:p>
    <w:p>
      <w:pPr>
        <w:adjustRightInd w:val="0"/>
        <w:snapToGrid w:val="0"/>
        <w:spacing w:line="360" w:lineRule="auto"/>
        <w:ind w:right="532" w:firstLine="720" w:firstLineChars="200"/>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磋商供应商全称（公章）：</w:t>
      </w:r>
    </w:p>
    <w:p>
      <w:pPr>
        <w:adjustRightInd w:val="0"/>
        <w:snapToGrid w:val="0"/>
        <w:spacing w:line="360" w:lineRule="auto"/>
        <w:ind w:right="532" w:firstLine="720" w:firstLineChars="200"/>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授权代表（签字）：</w:t>
      </w:r>
    </w:p>
    <w:p>
      <w:pPr>
        <w:wordWrap w:val="0"/>
        <w:adjustRightInd w:val="0"/>
        <w:snapToGrid w:val="0"/>
        <w:spacing w:line="360" w:lineRule="auto"/>
        <w:ind w:right="-108" w:firstLine="720" w:firstLineChars="200"/>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地    址：</w:t>
      </w:r>
    </w:p>
    <w:p>
      <w:pPr>
        <w:wordWrap w:val="0"/>
        <w:adjustRightInd w:val="0"/>
        <w:snapToGrid w:val="0"/>
        <w:spacing w:line="360" w:lineRule="auto"/>
        <w:ind w:right="-108" w:firstLine="720" w:firstLineChars="200"/>
        <w:rPr>
          <w:rFonts w:hint="eastAsia" w:ascii="仿宋_GB2312" w:hAnsi="仿宋" w:eastAsia="仿宋_GB2312" w:cs="仿宋"/>
          <w:color w:val="auto"/>
          <w:sz w:val="36"/>
          <w:szCs w:val="36"/>
        </w:rPr>
      </w:pPr>
      <w:r>
        <w:rPr>
          <w:rFonts w:hint="eastAsia" w:ascii="仿宋_GB2312" w:hAnsi="仿宋" w:eastAsia="仿宋_GB2312" w:cs="仿宋"/>
          <w:color w:val="auto"/>
          <w:sz w:val="36"/>
          <w:szCs w:val="36"/>
        </w:rPr>
        <w:t>时    间：</w:t>
      </w:r>
    </w:p>
    <w:p>
      <w:pPr>
        <w:adjustRightInd w:val="0"/>
        <w:snapToGrid w:val="0"/>
        <w:spacing w:line="360" w:lineRule="auto"/>
        <w:jc w:val="center"/>
        <w:rPr>
          <w:rFonts w:hint="eastAsia" w:ascii="仿宋_GB2312" w:hAnsi="仿宋" w:eastAsia="仿宋_GB2312" w:cs="仿宋"/>
          <w:b/>
          <w:color w:val="auto"/>
          <w:sz w:val="36"/>
          <w:szCs w:val="36"/>
        </w:rPr>
      </w:pPr>
    </w:p>
    <w:p>
      <w:pPr>
        <w:adjustRightInd w:val="0"/>
        <w:snapToGrid w:val="0"/>
        <w:spacing w:line="360" w:lineRule="auto"/>
        <w:jc w:val="center"/>
        <w:rPr>
          <w:rFonts w:hint="eastAsia" w:ascii="仿宋_GB2312" w:hAnsi="仿宋" w:eastAsia="仿宋_GB2312" w:cs="仿宋"/>
          <w:b/>
          <w:color w:val="auto"/>
          <w:sz w:val="36"/>
          <w:szCs w:val="36"/>
        </w:rPr>
      </w:pPr>
      <w:r>
        <w:rPr>
          <w:rFonts w:hint="eastAsia" w:ascii="仿宋_GB2312" w:hAnsi="仿宋" w:eastAsia="仿宋_GB2312" w:cs="仿宋"/>
          <w:b/>
          <w:color w:val="auto"/>
          <w:sz w:val="36"/>
          <w:szCs w:val="36"/>
        </w:rPr>
        <w:t>报价文件</w:t>
      </w:r>
    </w:p>
    <w:p>
      <w:pPr>
        <w:adjustRightInd w:val="0"/>
        <w:snapToGrid w:val="0"/>
        <w:spacing w:line="360" w:lineRule="auto"/>
        <w:jc w:val="center"/>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目录</w:t>
      </w:r>
    </w:p>
    <w:p>
      <w:pPr>
        <w:tabs>
          <w:tab w:val="left" w:pos="3870"/>
          <w:tab w:val="left" w:pos="4085"/>
        </w:tabs>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（1）磋商响应函———————————————————————（页码）</w:t>
      </w:r>
    </w:p>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（2）初次报价（开标）一览表—————————————————（页码）</w:t>
      </w:r>
    </w:p>
    <w:p>
      <w:pPr>
        <w:tabs>
          <w:tab w:val="left" w:pos="3870"/>
          <w:tab w:val="left" w:pos="4085"/>
        </w:tabs>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（3）报价明细表———————————————————————（页码）</w:t>
      </w:r>
    </w:p>
    <w:p>
      <w:pPr>
        <w:tabs>
          <w:tab w:val="left" w:pos="3870"/>
          <w:tab w:val="left" w:pos="4085"/>
        </w:tabs>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w:t>
      </w:r>
      <w:r>
        <w:rPr>
          <w:rFonts w:hint="eastAsia" w:ascii="仿宋_GB2312" w:hAnsi="仿宋" w:eastAsia="仿宋_GB2312" w:cs="仿宋"/>
          <w:color w:val="auto"/>
          <w:sz w:val="24"/>
          <w:lang w:val="en-US" w:eastAsia="zh-CN"/>
        </w:rPr>
        <w:t>4</w:t>
      </w:r>
      <w:r>
        <w:rPr>
          <w:rFonts w:hint="eastAsia" w:ascii="仿宋_GB2312" w:hAnsi="仿宋" w:eastAsia="仿宋_GB2312" w:cs="仿宋"/>
          <w:color w:val="auto"/>
          <w:sz w:val="24"/>
        </w:rPr>
        <w:t>）磋商供应商针对报价需要说明的其他文件和说明（如有）———（页码）</w:t>
      </w: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jc w:val="left"/>
        <w:rPr>
          <w:rFonts w:hint="eastAsia" w:ascii="仿宋_GB2312" w:hAnsi="仿宋" w:eastAsia="仿宋_GB2312" w:cs="仿宋"/>
          <w:color w:val="auto"/>
          <w:sz w:val="24"/>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rPr>
        <w:br w:type="page"/>
      </w:r>
      <w:r>
        <w:rPr>
          <w:rFonts w:hint="eastAsia" w:ascii="仿宋_GB2312" w:hAnsi="仿宋" w:eastAsia="仿宋_GB2312" w:cs="仿宋"/>
          <w:b/>
          <w:bCs/>
          <w:color w:val="auto"/>
          <w:sz w:val="24"/>
        </w:rPr>
        <w:t>一、磋商响应函格式：</w:t>
      </w:r>
    </w:p>
    <w:p>
      <w:pPr>
        <w:pStyle w:val="54"/>
        <w:keepNext w:val="0"/>
        <w:pageBreakBefore w:val="0"/>
        <w:tabs>
          <w:tab w:val="clear" w:pos="720"/>
        </w:tabs>
        <w:adjustRightInd w:val="0"/>
        <w:snapToGrid w:val="0"/>
        <w:outlineLvl w:val="9"/>
        <w:rPr>
          <w:rFonts w:ascii="仿宋" w:hAnsi="仿宋" w:eastAsia="仿宋" w:cs="仿宋"/>
          <w:color w:val="auto"/>
          <w:sz w:val="24"/>
          <w:szCs w:val="24"/>
        </w:rPr>
      </w:pPr>
      <w:bookmarkStart w:id="7" w:name="_Toc415734855"/>
      <w:bookmarkEnd w:id="7"/>
      <w:r>
        <w:rPr>
          <w:rFonts w:hint="eastAsia" w:ascii="仿宋" w:hAnsi="仿宋" w:eastAsia="仿宋" w:cs="仿宋"/>
          <w:color w:val="auto"/>
          <w:sz w:val="24"/>
          <w:szCs w:val="24"/>
        </w:rPr>
        <w:t>磋商响应函</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浙江省博物馆、</w:t>
      </w:r>
      <w:r>
        <w:rPr>
          <w:rFonts w:hint="eastAsia" w:ascii="仿宋" w:hAnsi="仿宋" w:eastAsia="仿宋" w:cs="仿宋"/>
          <w:color w:val="auto"/>
          <w:sz w:val="24"/>
        </w:rPr>
        <w:t>浙江通用招标代理有限公司：</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w:t>
      </w:r>
      <w:r>
        <w:rPr>
          <w:rFonts w:hint="eastAsia" w:ascii="仿宋" w:hAnsi="仿宋" w:eastAsia="仿宋" w:cs="仿宋"/>
          <w:color w:val="auto"/>
          <w:sz w:val="24"/>
        </w:rPr>
        <w:t>磋商供应商全称</w:t>
      </w:r>
      <w:r>
        <w:rPr>
          <w:rFonts w:ascii="仿宋" w:hAnsi="仿宋" w:eastAsia="仿宋" w:cs="仿宋"/>
          <w:color w:val="auto"/>
          <w:sz w:val="24"/>
        </w:rPr>
        <w:t>)</w:t>
      </w:r>
      <w:r>
        <w:rPr>
          <w:rFonts w:hint="eastAsia" w:ascii="仿宋" w:hAnsi="仿宋" w:eastAsia="仿宋" w:cs="仿宋"/>
          <w:color w:val="auto"/>
          <w:sz w:val="24"/>
        </w:rPr>
        <w:t>授权</w:t>
      </w:r>
      <w:r>
        <w:rPr>
          <w:rFonts w:ascii="仿宋" w:hAnsi="仿宋" w:eastAsia="仿宋" w:cs="仿宋"/>
          <w:color w:val="auto"/>
          <w:sz w:val="24"/>
        </w:rPr>
        <w:t>(</w:t>
      </w:r>
      <w:r>
        <w:rPr>
          <w:rFonts w:hint="eastAsia" w:ascii="仿宋" w:hAnsi="仿宋" w:eastAsia="仿宋" w:cs="仿宋"/>
          <w:color w:val="auto"/>
          <w:sz w:val="24"/>
        </w:rPr>
        <w:t>全权代表姓名</w:t>
      </w:r>
      <w:r>
        <w:rPr>
          <w:rFonts w:ascii="仿宋" w:hAnsi="仿宋" w:eastAsia="仿宋" w:cs="仿宋"/>
          <w:color w:val="auto"/>
          <w:sz w:val="24"/>
        </w:rPr>
        <w:t>)(</w:t>
      </w:r>
      <w:r>
        <w:rPr>
          <w:rFonts w:hint="eastAsia" w:ascii="仿宋" w:hAnsi="仿宋" w:eastAsia="仿宋" w:cs="仿宋"/>
          <w:color w:val="auto"/>
          <w:sz w:val="24"/>
        </w:rPr>
        <w:t>职务、职称</w:t>
      </w:r>
      <w:r>
        <w:rPr>
          <w:rFonts w:ascii="仿宋" w:hAnsi="仿宋" w:eastAsia="仿宋" w:cs="仿宋"/>
          <w:color w:val="auto"/>
          <w:sz w:val="24"/>
        </w:rPr>
        <w:t>)</w:t>
      </w:r>
      <w:r>
        <w:rPr>
          <w:rFonts w:hint="eastAsia" w:ascii="仿宋" w:hAnsi="仿宋" w:eastAsia="仿宋" w:cs="仿宋"/>
          <w:color w:val="auto"/>
          <w:sz w:val="24"/>
        </w:rPr>
        <w:t>为全权代表，参加贵方组织的</w:t>
      </w:r>
      <w:r>
        <w:rPr>
          <w:rFonts w:hint="eastAsia" w:ascii="仿宋" w:hAnsi="仿宋" w:eastAsia="仿宋" w:cs="仿宋"/>
          <w:bCs/>
          <w:color w:val="auto"/>
          <w:kern w:val="0"/>
          <w:sz w:val="24"/>
          <w:lang w:eastAsia="zh-CN"/>
        </w:rPr>
        <w:t>浙江省博物馆“丽人行-中国近现代女性图像”展运输项目</w:t>
      </w:r>
      <w:r>
        <w:rPr>
          <w:rFonts w:ascii="仿宋" w:hAnsi="仿宋" w:eastAsia="仿宋" w:cs="仿宋"/>
          <w:color w:val="auto"/>
          <w:sz w:val="24"/>
        </w:rPr>
        <w:t>(</w:t>
      </w:r>
      <w:r>
        <w:rPr>
          <w:rFonts w:hint="eastAsia" w:ascii="仿宋" w:hAnsi="仿宋" w:eastAsia="仿宋" w:cs="仿宋"/>
          <w:color w:val="auto"/>
          <w:sz w:val="24"/>
        </w:rPr>
        <w:t>采购编号：</w:t>
      </w:r>
      <w:r>
        <w:rPr>
          <w:rFonts w:hint="eastAsia" w:ascii="仿宋" w:hAnsi="仿宋" w:eastAsia="仿宋" w:cs="仿宋"/>
          <w:color w:val="auto"/>
          <w:sz w:val="24"/>
          <w:lang w:eastAsia="zh-CN"/>
        </w:rPr>
        <w:t>ZJTY2024H-JF-005</w:t>
      </w:r>
      <w:r>
        <w:rPr>
          <w:rFonts w:hint="eastAsia" w:ascii="仿宋" w:hAnsi="仿宋" w:eastAsia="仿宋" w:cs="仿宋"/>
          <w:color w:val="auto"/>
          <w:sz w:val="24"/>
        </w:rPr>
        <w:t xml:space="preserve"> </w:t>
      </w:r>
      <w:r>
        <w:rPr>
          <w:rFonts w:ascii="仿宋" w:hAnsi="仿宋" w:eastAsia="仿宋" w:cs="仿宋"/>
          <w:color w:val="auto"/>
          <w:sz w:val="24"/>
        </w:rPr>
        <w:t xml:space="preserve">) </w:t>
      </w:r>
      <w:r>
        <w:rPr>
          <w:rFonts w:hint="eastAsia" w:ascii="仿宋" w:hAnsi="仿宋" w:eastAsia="仿宋" w:cs="仿宋"/>
          <w:color w:val="auto"/>
          <w:sz w:val="24"/>
        </w:rPr>
        <w:t>招标的有关活动，并对此项目进行磋商响应。为此：</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、我方同意在磋商供应商</w:t>
      </w:r>
      <w:r>
        <w:rPr>
          <w:rFonts w:hint="eastAsia" w:ascii="仿宋" w:hAnsi="仿宋" w:eastAsia="仿宋" w:cs="仿宋"/>
          <w:color w:val="auto"/>
          <w:kern w:val="44"/>
          <w:sz w:val="24"/>
        </w:rPr>
        <w:t>编制和提交采购响应文件须知</w:t>
      </w:r>
      <w:r>
        <w:rPr>
          <w:rFonts w:hint="eastAsia" w:ascii="仿宋" w:hAnsi="仿宋" w:eastAsia="仿宋" w:cs="仿宋"/>
          <w:color w:val="auto"/>
          <w:sz w:val="24"/>
        </w:rPr>
        <w:t>规定的开标日期起遵守本磋商响应文件中的承诺且在磋商有效期满之前均具有约束力。</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、我方承诺已经具备《中华人民共和国政府采购法》中规定的参加政府采购活动的供应商应当具备的条件：</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具有独立承担民事责任的能力；</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遵守国家法律、行政法规，具有良好的信誉和商业道德；</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具有履行合同的能力和良好的履行合同记录；</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良好的资金、财务状况；</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(5)</w:t>
      </w:r>
      <w:r>
        <w:rPr>
          <w:rFonts w:hint="eastAsia" w:ascii="仿宋" w:hAnsi="仿宋" w:eastAsia="仿宋" w:cs="仿宋"/>
          <w:color w:val="auto"/>
          <w:sz w:val="24"/>
        </w:rPr>
        <w:t>产品及生产所需装备符合中国政府规定的相应技术标准和环保标准；</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(6)</w:t>
      </w:r>
      <w:r>
        <w:rPr>
          <w:rFonts w:hint="eastAsia" w:ascii="仿宋" w:hAnsi="仿宋" w:eastAsia="仿宋" w:cs="仿宋"/>
          <w:color w:val="auto"/>
          <w:sz w:val="24"/>
        </w:rPr>
        <w:t>没有违反政府采购法规、政策的记录；</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(7)</w:t>
      </w:r>
      <w:r>
        <w:rPr>
          <w:rFonts w:hint="eastAsia" w:ascii="仿宋" w:hAnsi="仿宋" w:eastAsia="仿宋" w:cs="仿宋"/>
          <w:color w:val="auto"/>
          <w:sz w:val="24"/>
        </w:rPr>
        <w:t>没有发生重大经济纠纷和走私犯罪记录。</w:t>
      </w:r>
    </w:p>
    <w:p>
      <w:pPr>
        <w:adjustRightInd w:val="0"/>
        <w:snapToGrid w:val="0"/>
        <w:spacing w:line="360" w:lineRule="auto"/>
        <w:ind w:left="479" w:leftChars="228"/>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、提供</w:t>
      </w:r>
      <w:r>
        <w:rPr>
          <w:rFonts w:hint="eastAsia" w:ascii="仿宋" w:hAnsi="仿宋" w:eastAsia="仿宋" w:cs="仿宋"/>
          <w:color w:val="auto"/>
          <w:kern w:val="44"/>
          <w:sz w:val="24"/>
        </w:rPr>
        <w:t>编制和提交采购响应文件须知</w:t>
      </w:r>
      <w:r>
        <w:rPr>
          <w:rFonts w:hint="eastAsia" w:ascii="仿宋" w:hAnsi="仿宋" w:eastAsia="仿宋" w:cs="仿宋"/>
          <w:color w:val="auto"/>
          <w:sz w:val="24"/>
        </w:rPr>
        <w:t>规定的全部磋商响应文件，包括磋商响应文件</w:t>
      </w:r>
      <w:r>
        <w:rPr>
          <w:rFonts w:hint="eastAsia" w:ascii="仿宋" w:hAnsi="仿宋" w:eastAsia="仿宋" w:cs="仿宋"/>
          <w:color w:val="auto"/>
          <w:kern w:val="44"/>
          <w:sz w:val="24"/>
        </w:rPr>
        <w:t>（见磋商响应须知前附表所述）。</w:t>
      </w:r>
      <w:r>
        <w:rPr>
          <w:rFonts w:hint="eastAsia" w:ascii="仿宋" w:hAnsi="仿宋" w:eastAsia="仿宋" w:cs="仿宋"/>
          <w:color w:val="auto"/>
          <w:sz w:val="24"/>
        </w:rPr>
        <w:t>具体内容为：</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开标</w:t>
      </w:r>
      <w:r>
        <w:rPr>
          <w:rFonts w:ascii="仿宋" w:hAnsi="仿宋" w:eastAsia="仿宋" w:cs="仿宋"/>
          <w:color w:val="auto"/>
          <w:sz w:val="24"/>
        </w:rPr>
        <w:t>)</w:t>
      </w:r>
      <w:r>
        <w:rPr>
          <w:rFonts w:hint="eastAsia" w:ascii="仿宋" w:hAnsi="仿宋" w:eastAsia="仿宋" w:cs="仿宋"/>
          <w:color w:val="auto"/>
          <w:sz w:val="24"/>
        </w:rPr>
        <w:t>一览表及报价明细清单；</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资格、</w:t>
      </w:r>
      <w:r>
        <w:rPr>
          <w:rFonts w:hint="eastAsia" w:ascii="仿宋" w:hAnsi="仿宋" w:eastAsia="仿宋" w:cs="仿宋"/>
          <w:color w:val="auto"/>
          <w:sz w:val="24"/>
          <w:lang w:val="zh-CN"/>
        </w:rPr>
        <w:t>商务</w:t>
      </w:r>
      <w:r>
        <w:rPr>
          <w:rFonts w:hint="eastAsia" w:ascii="仿宋" w:hAnsi="仿宋" w:eastAsia="仿宋" w:cs="仿宋"/>
          <w:color w:val="auto"/>
          <w:kern w:val="0"/>
          <w:sz w:val="24"/>
          <w:lang w:val="zh-CN"/>
        </w:rPr>
        <w:t>技术文件</w:t>
      </w:r>
      <w:r>
        <w:rPr>
          <w:rFonts w:hint="eastAsia" w:ascii="仿宋" w:hAnsi="仿宋" w:eastAsia="仿宋" w:cs="仿宋"/>
          <w:color w:val="auto"/>
          <w:sz w:val="24"/>
        </w:rPr>
        <w:t>；</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kern w:val="44"/>
          <w:sz w:val="24"/>
        </w:rPr>
        <w:t>编制和提交采购响应文件须知</w:t>
      </w:r>
      <w:r>
        <w:rPr>
          <w:rFonts w:hint="eastAsia" w:ascii="仿宋" w:hAnsi="仿宋" w:eastAsia="仿宋" w:cs="仿宋"/>
          <w:color w:val="auto"/>
          <w:sz w:val="24"/>
        </w:rPr>
        <w:t>要求磋商供应商提交的全部文件；</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w:t>
      </w:r>
      <w:r>
        <w:rPr>
          <w:rFonts w:hint="eastAsia" w:ascii="仿宋" w:hAnsi="仿宋" w:eastAsia="仿宋" w:cs="仿宋"/>
          <w:color w:val="auto"/>
          <w:sz w:val="24"/>
        </w:rPr>
        <w:t>4</w:t>
      </w:r>
      <w:r>
        <w:rPr>
          <w:rFonts w:ascii="仿宋" w:hAnsi="仿宋" w:eastAsia="仿宋" w:cs="仿宋"/>
          <w:color w:val="auto"/>
          <w:sz w:val="24"/>
        </w:rPr>
        <w:t>)</w:t>
      </w:r>
      <w:r>
        <w:rPr>
          <w:rFonts w:hint="eastAsia" w:ascii="仿宋" w:hAnsi="仿宋" w:eastAsia="仿宋" w:cs="仿宋"/>
          <w:color w:val="auto"/>
          <w:sz w:val="24"/>
        </w:rPr>
        <w:t>按磋商文件要求提供和交付的货物和服务的磋商报价详见</w:t>
      </w:r>
      <w:r>
        <w:rPr>
          <w:rFonts w:ascii="仿宋" w:hAnsi="仿宋" w:eastAsia="仿宋" w:cs="仿宋"/>
          <w:color w:val="auto"/>
          <w:sz w:val="24"/>
        </w:rPr>
        <w:t>(</w:t>
      </w:r>
      <w:r>
        <w:rPr>
          <w:rFonts w:hint="eastAsia" w:ascii="仿宋" w:hAnsi="仿宋" w:eastAsia="仿宋" w:cs="仿宋"/>
          <w:color w:val="auto"/>
          <w:sz w:val="24"/>
        </w:rPr>
        <w:t>开标</w:t>
      </w:r>
      <w:r>
        <w:rPr>
          <w:rFonts w:ascii="仿宋" w:hAnsi="仿宋" w:eastAsia="仿宋" w:cs="仿宋"/>
          <w:color w:val="auto"/>
          <w:sz w:val="24"/>
        </w:rPr>
        <w:t>)</w:t>
      </w:r>
      <w:r>
        <w:rPr>
          <w:rFonts w:hint="eastAsia" w:ascii="仿宋" w:hAnsi="仿宋" w:eastAsia="仿宋" w:cs="仿宋"/>
          <w:color w:val="auto"/>
          <w:sz w:val="24"/>
        </w:rPr>
        <w:t>一览表；</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w:t>
      </w:r>
      <w:r>
        <w:rPr>
          <w:rFonts w:hint="eastAsia" w:ascii="仿宋" w:hAnsi="仿宋" w:eastAsia="仿宋" w:cs="仿宋"/>
          <w:color w:val="auto"/>
          <w:sz w:val="24"/>
        </w:rPr>
        <w:t>5</w:t>
      </w:r>
      <w:r>
        <w:rPr>
          <w:rFonts w:ascii="仿宋" w:hAnsi="仿宋" w:eastAsia="仿宋" w:cs="仿宋"/>
          <w:color w:val="auto"/>
          <w:sz w:val="24"/>
        </w:rPr>
        <w:t>)</w:t>
      </w:r>
      <w:r>
        <w:rPr>
          <w:rFonts w:hint="eastAsia" w:ascii="仿宋" w:hAnsi="仿宋" w:eastAsia="仿宋" w:cs="仿宋"/>
          <w:color w:val="auto"/>
          <w:sz w:val="24"/>
        </w:rPr>
        <w:t>保证忠实地执行双方所签订的合同，并承担合同规定的责任和义务；</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w:t>
      </w:r>
      <w:r>
        <w:rPr>
          <w:rFonts w:hint="eastAsia" w:ascii="仿宋" w:hAnsi="仿宋" w:eastAsia="仿宋" w:cs="仿宋"/>
          <w:color w:val="auto"/>
          <w:sz w:val="24"/>
        </w:rPr>
        <w:t>6</w:t>
      </w:r>
      <w:r>
        <w:rPr>
          <w:rFonts w:ascii="仿宋" w:hAnsi="仿宋" w:eastAsia="仿宋" w:cs="仿宋"/>
          <w:color w:val="auto"/>
          <w:sz w:val="24"/>
        </w:rPr>
        <w:t>)</w:t>
      </w:r>
      <w:r>
        <w:rPr>
          <w:rFonts w:hint="eastAsia" w:ascii="仿宋" w:hAnsi="仿宋" w:eastAsia="仿宋" w:cs="仿宋"/>
          <w:color w:val="auto"/>
          <w:sz w:val="24"/>
        </w:rPr>
        <w:t>保证遵守磋商文件中的其他有关规定。</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4、我方完全理解贵方不一定要接受最低价的磋商响应。</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5、我方愿意向贵方提供任何与该项磋商响应有关的数据、情况和技术资料。若贵方需要，我方愿意提供我方作出的一切承诺的证明材料。</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6、我方已详细审核全部磋商文件，包括磋商文件修改书</w:t>
      </w:r>
      <w:r>
        <w:rPr>
          <w:rFonts w:ascii="仿宋" w:hAnsi="仿宋" w:eastAsia="仿宋" w:cs="仿宋"/>
          <w:color w:val="auto"/>
          <w:sz w:val="24"/>
        </w:rPr>
        <w:t>(</w:t>
      </w:r>
      <w:r>
        <w:rPr>
          <w:rFonts w:hint="eastAsia" w:ascii="仿宋" w:hAnsi="仿宋" w:eastAsia="仿宋" w:cs="仿宋"/>
          <w:color w:val="auto"/>
          <w:sz w:val="24"/>
        </w:rPr>
        <w:t>如果有</w:t>
      </w:r>
      <w:r>
        <w:rPr>
          <w:rFonts w:ascii="仿宋" w:hAnsi="仿宋" w:eastAsia="仿宋" w:cs="仿宋"/>
          <w:color w:val="auto"/>
          <w:sz w:val="24"/>
        </w:rPr>
        <w:t>)</w:t>
      </w:r>
      <w:r>
        <w:rPr>
          <w:rFonts w:hint="eastAsia" w:ascii="仿宋" w:hAnsi="仿宋" w:eastAsia="仿宋" w:cs="仿宋"/>
          <w:color w:val="auto"/>
          <w:sz w:val="24"/>
        </w:rPr>
        <w:t>、参考资料及有关附件，确认无误。</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7、我方将严格遵守《中华人民共和国政府采购法》第七十七条规定，供应商有下列情形之一的，处以采购金额</w:t>
      </w:r>
      <w:r>
        <w:rPr>
          <w:rFonts w:ascii="仿宋" w:hAnsi="仿宋" w:eastAsia="仿宋" w:cs="仿宋"/>
          <w:color w:val="auto"/>
          <w:sz w:val="24"/>
        </w:rPr>
        <w:t>5</w:t>
      </w:r>
      <w:r>
        <w:rPr>
          <w:rFonts w:hint="eastAsia" w:ascii="仿宋" w:hAnsi="仿宋" w:eastAsia="仿宋" w:cs="仿宋"/>
          <w:color w:val="auto"/>
          <w:sz w:val="24"/>
        </w:rPr>
        <w:t>‰以上</w:t>
      </w:r>
      <w:r>
        <w:rPr>
          <w:rFonts w:ascii="仿宋" w:hAnsi="仿宋" w:eastAsia="仿宋" w:cs="仿宋"/>
          <w:color w:val="auto"/>
          <w:sz w:val="24"/>
        </w:rPr>
        <w:t>10</w:t>
      </w:r>
      <w:r>
        <w:rPr>
          <w:rFonts w:hint="eastAsia" w:ascii="仿宋" w:hAnsi="仿宋" w:eastAsia="仿宋" w:cs="仿宋"/>
          <w:color w:val="auto"/>
          <w:sz w:val="24"/>
        </w:rPr>
        <w:t>‰以下的罚款，列入不良行为记录名单，在一至三年内禁止参加政府采购活动；有违法所得的，并处没收违法所得；情节严重的，由工商行政管理机关吊销营业执照；构成犯罪的，依法追究刑事责任：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a)</w:t>
      </w:r>
      <w:r>
        <w:rPr>
          <w:rFonts w:hint="eastAsia" w:ascii="仿宋" w:hAnsi="仿宋" w:eastAsia="仿宋" w:cs="仿宋"/>
          <w:color w:val="auto"/>
          <w:sz w:val="24"/>
        </w:rPr>
        <w:t>提供虚假材料谋取成交、成交的；</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b)</w:t>
      </w:r>
      <w:r>
        <w:rPr>
          <w:rFonts w:hint="eastAsia" w:ascii="仿宋" w:hAnsi="仿宋" w:eastAsia="仿宋" w:cs="仿宋"/>
          <w:color w:val="auto"/>
          <w:sz w:val="24"/>
        </w:rPr>
        <w:t>采取不正当手段诋毁、排挤其他供应商的；</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c)</w:t>
      </w:r>
      <w:r>
        <w:rPr>
          <w:rFonts w:hint="eastAsia" w:ascii="仿宋" w:hAnsi="仿宋" w:eastAsia="仿宋" w:cs="仿宋"/>
          <w:color w:val="auto"/>
          <w:sz w:val="24"/>
        </w:rPr>
        <w:t>与采购人、其它供应商或者采购代理机构恶意串通的；</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d)</w:t>
      </w:r>
      <w:r>
        <w:rPr>
          <w:rFonts w:hint="eastAsia" w:ascii="仿宋" w:hAnsi="仿宋" w:eastAsia="仿宋" w:cs="仿宋"/>
          <w:color w:val="auto"/>
          <w:sz w:val="24"/>
        </w:rPr>
        <w:t>向采购人、采购代理机构行贿或者提供其他不正当利益的；</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e)</w:t>
      </w:r>
      <w:r>
        <w:rPr>
          <w:rFonts w:hint="eastAsia" w:ascii="仿宋" w:hAnsi="仿宋" w:eastAsia="仿宋" w:cs="仿宋"/>
          <w:color w:val="auto"/>
          <w:sz w:val="24"/>
        </w:rPr>
        <w:t>在招标采购过程中与采购人进行协商谈判的；</w:t>
      </w:r>
    </w:p>
    <w:p>
      <w:pPr>
        <w:adjustRightInd w:val="0"/>
        <w:snapToGrid w:val="0"/>
        <w:spacing w:line="360" w:lineRule="auto"/>
        <w:ind w:firstLine="480" w:firstLineChars="200"/>
        <w:rPr>
          <w:rFonts w:ascii="仿宋" w:hAnsi="仿宋" w:eastAsia="仿宋" w:cs="仿宋"/>
          <w:color w:val="auto"/>
          <w:sz w:val="24"/>
        </w:rPr>
      </w:pPr>
      <w:r>
        <w:rPr>
          <w:rFonts w:ascii="仿宋" w:hAnsi="仿宋" w:eastAsia="仿宋" w:cs="仿宋"/>
          <w:color w:val="auto"/>
          <w:sz w:val="24"/>
        </w:rPr>
        <w:t>f)</w:t>
      </w:r>
      <w:r>
        <w:rPr>
          <w:rFonts w:hint="eastAsia" w:ascii="仿宋" w:hAnsi="仿宋" w:eastAsia="仿宋" w:cs="仿宋"/>
          <w:color w:val="auto"/>
          <w:sz w:val="24"/>
        </w:rPr>
        <w:t>拒绝有关部门监督检查或提供虚假情况的。</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供应商有前款第</w:t>
      </w:r>
      <w:r>
        <w:rPr>
          <w:rFonts w:ascii="仿宋" w:hAnsi="仿宋" w:eastAsia="仿宋" w:cs="仿宋"/>
          <w:color w:val="auto"/>
          <w:sz w:val="24"/>
        </w:rPr>
        <w:t>a)</w:t>
      </w:r>
      <w:r>
        <w:rPr>
          <w:rFonts w:hint="eastAsia" w:ascii="仿宋" w:hAnsi="仿宋" w:eastAsia="仿宋" w:cs="仿宋"/>
          <w:color w:val="auto"/>
          <w:sz w:val="24"/>
        </w:rPr>
        <w:t>至</w:t>
      </w:r>
      <w:r>
        <w:rPr>
          <w:rFonts w:ascii="仿宋" w:hAnsi="仿宋" w:eastAsia="仿宋" w:cs="仿宋"/>
          <w:color w:val="auto"/>
          <w:sz w:val="24"/>
        </w:rPr>
        <w:t>e)</w:t>
      </w:r>
      <w:r>
        <w:rPr>
          <w:rFonts w:hint="eastAsia" w:ascii="仿宋" w:hAnsi="仿宋" w:eastAsia="仿宋" w:cs="仿宋"/>
          <w:color w:val="auto"/>
          <w:sz w:val="24"/>
        </w:rPr>
        <w:t>项情形之一的，成交、成交无效。</w:t>
      </w:r>
    </w:p>
    <w:p>
      <w:pPr>
        <w:adjustRightInd w:val="0"/>
        <w:snapToGrid w:val="0"/>
        <w:spacing w:line="360" w:lineRule="auto"/>
        <w:ind w:firstLine="3600" w:firstLineChars="1500"/>
        <w:rPr>
          <w:rFonts w:ascii="仿宋" w:hAnsi="仿宋" w:eastAsia="仿宋" w:cs="仿宋"/>
          <w:color w:val="auto"/>
          <w:sz w:val="24"/>
        </w:rPr>
      </w:pPr>
    </w:p>
    <w:p>
      <w:pPr>
        <w:adjustRightInd w:val="0"/>
        <w:snapToGrid w:val="0"/>
        <w:spacing w:line="360" w:lineRule="auto"/>
        <w:ind w:firstLine="3600" w:firstLineChars="1500"/>
        <w:rPr>
          <w:rFonts w:ascii="仿宋" w:hAnsi="仿宋" w:eastAsia="仿宋" w:cs="仿宋"/>
          <w:color w:val="auto"/>
          <w:sz w:val="24"/>
        </w:rPr>
      </w:pPr>
      <w:r>
        <w:rPr>
          <w:rFonts w:hint="eastAsia" w:ascii="仿宋" w:hAnsi="仿宋" w:eastAsia="仿宋" w:cs="仿宋"/>
          <w:color w:val="auto"/>
          <w:sz w:val="24"/>
        </w:rPr>
        <w:t>磋商供应商名称（公章）：</w:t>
      </w:r>
    </w:p>
    <w:p>
      <w:pPr>
        <w:adjustRightInd w:val="0"/>
        <w:snapToGrid w:val="0"/>
        <w:spacing w:line="360" w:lineRule="auto"/>
        <w:ind w:firstLine="3600" w:firstLineChars="1500"/>
        <w:rPr>
          <w:rFonts w:ascii="仿宋" w:hAnsi="仿宋" w:eastAsia="仿宋" w:cs="仿宋"/>
          <w:color w:val="auto"/>
          <w:sz w:val="24"/>
        </w:rPr>
      </w:pPr>
      <w:r>
        <w:rPr>
          <w:rFonts w:hint="eastAsia" w:ascii="仿宋" w:hAnsi="仿宋" w:eastAsia="仿宋" w:cs="仿宋"/>
          <w:color w:val="auto"/>
          <w:sz w:val="24"/>
        </w:rPr>
        <w:t>日期：</w:t>
      </w:r>
      <w:r>
        <w:rPr>
          <w:rFonts w:ascii="仿宋" w:hAnsi="仿宋" w:eastAsia="仿宋" w:cs="仿宋"/>
          <w:color w:val="auto"/>
          <w:sz w:val="24"/>
        </w:rPr>
        <w:t xml:space="preserve">  </w:t>
      </w:r>
      <w:r>
        <w:rPr>
          <w:rFonts w:hint="eastAsia" w:ascii="仿宋" w:hAnsi="仿宋" w:eastAsia="仿宋" w:cs="仿宋"/>
          <w:color w:val="auto"/>
          <w:sz w:val="24"/>
        </w:rPr>
        <w:t>年</w:t>
      </w:r>
      <w:r>
        <w:rPr>
          <w:rFonts w:ascii="仿宋" w:hAnsi="仿宋" w:eastAsia="仿宋" w:cs="仿宋"/>
          <w:color w:val="auto"/>
          <w:sz w:val="24"/>
        </w:rPr>
        <w:t xml:space="preserve">   </w:t>
      </w:r>
      <w:r>
        <w:rPr>
          <w:rFonts w:hint="eastAsia" w:ascii="仿宋" w:hAnsi="仿宋" w:eastAsia="仿宋" w:cs="仿宋"/>
          <w:color w:val="auto"/>
          <w:sz w:val="24"/>
        </w:rPr>
        <w:t>月</w:t>
      </w:r>
      <w:r>
        <w:rPr>
          <w:rFonts w:ascii="仿宋" w:hAnsi="仿宋" w:eastAsia="仿宋" w:cs="仿宋"/>
          <w:color w:val="auto"/>
          <w:sz w:val="24"/>
        </w:rPr>
        <w:t xml:space="preserve">   </w:t>
      </w:r>
      <w:r>
        <w:rPr>
          <w:rFonts w:hint="eastAsia" w:ascii="仿宋" w:hAnsi="仿宋" w:eastAsia="仿宋" w:cs="仿宋"/>
          <w:color w:val="auto"/>
          <w:sz w:val="24"/>
        </w:rPr>
        <w:t>日</w:t>
      </w:r>
    </w:p>
    <w:p>
      <w:pPr>
        <w:adjustRightInd w:val="0"/>
        <w:snapToGrid w:val="0"/>
        <w:spacing w:line="360" w:lineRule="auto"/>
        <w:ind w:left="420" w:leftChars="200" w:firstLine="4200" w:firstLineChars="1750"/>
        <w:rPr>
          <w:rFonts w:ascii="仿宋" w:hAnsi="仿宋" w:eastAsia="仿宋" w:cs="仿宋"/>
          <w:color w:val="auto"/>
          <w:kern w:val="0"/>
          <w:sz w:val="24"/>
          <w:u w:val="single"/>
          <w:lang w:val="zh-CN"/>
        </w:rPr>
      </w:pPr>
    </w:p>
    <w:p>
      <w:pPr>
        <w:adjustRightInd w:val="0"/>
        <w:snapToGrid w:val="0"/>
        <w:spacing w:line="360" w:lineRule="auto"/>
        <w:ind w:left="420" w:leftChars="200"/>
        <w:rPr>
          <w:rFonts w:ascii="仿宋" w:hAnsi="仿宋" w:eastAsia="仿宋" w:cs="仿宋"/>
          <w:color w:val="auto"/>
          <w:kern w:val="0"/>
          <w:sz w:val="24"/>
        </w:rPr>
      </w:pPr>
      <w:r>
        <w:rPr>
          <w:rFonts w:hint="eastAsia" w:ascii="仿宋" w:hAnsi="仿宋" w:eastAsia="仿宋" w:cs="仿宋"/>
          <w:color w:val="auto"/>
          <w:kern w:val="0"/>
          <w:sz w:val="24"/>
          <w:lang w:val="zh-CN"/>
        </w:rPr>
        <w:t>联系人：</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联系电话：</w:t>
      </w:r>
      <w:r>
        <w:rPr>
          <w:rFonts w:ascii="仿宋" w:hAnsi="仿宋" w:eastAsia="仿宋" w:cs="仿宋"/>
          <w:color w:val="auto"/>
          <w:kern w:val="0"/>
          <w:sz w:val="24"/>
          <w:lang w:val="zh-CN"/>
        </w:rPr>
        <w:t xml:space="preserve"> </w:t>
      </w:r>
    </w:p>
    <w:p>
      <w:pPr>
        <w:adjustRightInd w:val="0"/>
        <w:snapToGrid w:val="0"/>
        <w:spacing w:line="360" w:lineRule="auto"/>
        <w:ind w:left="420" w:leftChars="200"/>
        <w:rPr>
          <w:rFonts w:ascii="仿宋" w:hAnsi="仿宋" w:eastAsia="仿宋" w:cs="仿宋"/>
          <w:color w:val="auto"/>
          <w:kern w:val="0"/>
          <w:sz w:val="24"/>
        </w:rPr>
      </w:pPr>
      <w:r>
        <w:rPr>
          <w:rFonts w:hint="eastAsia" w:ascii="仿宋" w:hAnsi="仿宋" w:eastAsia="仿宋" w:cs="仿宋"/>
          <w:color w:val="auto"/>
          <w:kern w:val="0"/>
          <w:sz w:val="24"/>
          <w:lang w:val="zh-CN"/>
        </w:rPr>
        <w:t>联系地址：</w:t>
      </w:r>
    </w:p>
    <w:p>
      <w:pPr>
        <w:adjustRightInd w:val="0"/>
        <w:snapToGrid w:val="0"/>
        <w:spacing w:line="360" w:lineRule="auto"/>
        <w:ind w:left="420" w:leftChars="200"/>
        <w:rPr>
          <w:rFonts w:ascii="仿宋" w:hAnsi="仿宋" w:eastAsia="仿宋" w:cs="仿宋"/>
          <w:color w:val="auto"/>
          <w:kern w:val="0"/>
          <w:sz w:val="24"/>
        </w:rPr>
      </w:pPr>
      <w:r>
        <w:rPr>
          <w:rFonts w:hint="eastAsia" w:ascii="仿宋" w:hAnsi="仿宋" w:eastAsia="仿宋" w:cs="仿宋"/>
          <w:color w:val="auto"/>
          <w:kern w:val="0"/>
          <w:sz w:val="24"/>
          <w:lang w:val="zh-CN"/>
        </w:rPr>
        <w:t>邮政编码：</w:t>
      </w:r>
      <w:r>
        <w:rPr>
          <w:rFonts w:ascii="仿宋" w:hAnsi="仿宋" w:eastAsia="仿宋" w:cs="仿宋"/>
          <w:color w:val="auto"/>
          <w:kern w:val="0"/>
          <w:sz w:val="24"/>
          <w:lang w:val="zh-CN"/>
        </w:rPr>
        <w:t xml:space="preserve">    </w:t>
      </w:r>
      <w:r>
        <w:rPr>
          <w:rFonts w:hint="eastAsia" w:ascii="仿宋" w:hAnsi="仿宋" w:eastAsia="仿宋" w:cs="仿宋"/>
          <w:color w:val="auto"/>
          <w:kern w:val="0"/>
          <w:sz w:val="24"/>
          <w:lang w:val="zh-CN"/>
        </w:rPr>
        <w:t>传真号码：</w:t>
      </w:r>
    </w:p>
    <w:p>
      <w:pPr>
        <w:adjustRightInd w:val="0"/>
        <w:snapToGrid w:val="0"/>
        <w:spacing w:line="360" w:lineRule="auto"/>
        <w:rPr>
          <w:rFonts w:ascii="仿宋" w:hAnsi="仿宋" w:eastAsia="仿宋" w:cs="仿宋"/>
          <w:color w:val="auto"/>
          <w:kern w:val="0"/>
          <w:sz w:val="24"/>
          <w:lang w:val="zh-CN"/>
        </w:rPr>
      </w:pPr>
      <w:r>
        <w:rPr>
          <w:rFonts w:hint="eastAsia" w:ascii="仿宋" w:hAnsi="仿宋" w:eastAsia="仿宋" w:cs="仿宋"/>
          <w:b/>
          <w:color w:val="auto"/>
          <w:kern w:val="0"/>
          <w:sz w:val="24"/>
          <w:lang w:val="zh-CN"/>
        </w:rPr>
        <w:t>注：未按照本磋商响应函要求填报的将被视为非实质性响应，从而可能导致被拒绝。</w:t>
      </w:r>
    </w:p>
    <w:p>
      <w:pPr>
        <w:pStyle w:val="15"/>
        <w:adjustRightInd w:val="0"/>
        <w:snapToGrid w:val="0"/>
        <w:spacing w:beforeLines="0" w:afterLines="0"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color w:val="auto"/>
        </w:rPr>
      </w:pPr>
    </w:p>
    <w:p>
      <w:pPr>
        <w:adjustRightInd w:val="0"/>
        <w:snapToGrid w:val="0"/>
        <w:spacing w:line="360" w:lineRule="auto"/>
        <w:rPr>
          <w:rFonts w:hint="eastAsia" w:ascii="仿宋_GB2312" w:hAnsi="仿宋" w:eastAsia="仿宋_GB2312" w:cs="仿宋"/>
          <w:b/>
          <w:bCs/>
          <w:color w:val="auto"/>
          <w:sz w:val="24"/>
        </w:rPr>
      </w:pPr>
      <w:r>
        <w:rPr>
          <w:rFonts w:hint="eastAsia" w:ascii="仿宋_GB2312" w:hAnsi="仿宋" w:eastAsia="仿宋_GB2312" w:cs="仿宋"/>
          <w:b/>
          <w:bCs/>
          <w:color w:val="auto"/>
          <w:sz w:val="24"/>
        </w:rPr>
        <w:br w:type="page"/>
      </w:r>
      <w:r>
        <w:rPr>
          <w:rFonts w:hint="eastAsia" w:ascii="仿宋_GB2312" w:hAnsi="仿宋" w:eastAsia="仿宋_GB2312" w:cs="仿宋"/>
          <w:b/>
          <w:bCs/>
          <w:color w:val="auto"/>
          <w:sz w:val="24"/>
        </w:rPr>
        <w:t>二、初次报价（开标）一览表格式：</w:t>
      </w:r>
    </w:p>
    <w:p>
      <w:pPr>
        <w:pStyle w:val="15"/>
        <w:adjustRightInd w:val="0"/>
        <w:snapToGrid w:val="0"/>
        <w:spacing w:beforeLines="0" w:afterLines="0" w:line="360" w:lineRule="auto"/>
        <w:jc w:val="center"/>
        <w:rPr>
          <w:rFonts w:hint="eastAsia" w:ascii="仿宋_GB2312" w:hAnsi="仿宋" w:eastAsia="仿宋_GB2312" w:cs="仿宋"/>
          <w:b/>
          <w:bCs/>
          <w:color w:val="auto"/>
        </w:rPr>
      </w:pPr>
    </w:p>
    <w:p>
      <w:pPr>
        <w:pStyle w:val="15"/>
        <w:adjustRightInd w:val="0"/>
        <w:snapToGrid w:val="0"/>
        <w:spacing w:beforeLines="0" w:afterLines="0" w:line="360" w:lineRule="auto"/>
        <w:jc w:val="center"/>
        <w:rPr>
          <w:rFonts w:hint="eastAsia" w:ascii="仿宋_GB2312" w:hAnsi="仿宋" w:eastAsia="仿宋_GB2312" w:cs="仿宋"/>
          <w:b/>
          <w:bCs/>
          <w:color w:val="auto"/>
        </w:rPr>
      </w:pPr>
      <w:r>
        <w:rPr>
          <w:rFonts w:hint="eastAsia" w:ascii="仿宋_GB2312" w:hAnsi="仿宋" w:eastAsia="仿宋_GB2312" w:cs="仿宋"/>
          <w:b/>
          <w:bCs/>
          <w:color w:val="auto"/>
        </w:rPr>
        <w:t>初次报价（开标）一览表</w:t>
      </w:r>
    </w:p>
    <w:p>
      <w:pPr>
        <w:pStyle w:val="15"/>
        <w:adjustRightInd w:val="0"/>
        <w:snapToGrid w:val="0"/>
        <w:spacing w:beforeLines="0" w:afterLines="0" w:line="360" w:lineRule="auto"/>
        <w:rPr>
          <w:rFonts w:hint="eastAsia" w:ascii="仿宋_GB2312" w:hAnsi="仿宋" w:eastAsia="仿宋_GB2312" w:cs="仿宋"/>
          <w:color w:val="auto"/>
        </w:rPr>
      </w:pPr>
      <w:r>
        <w:rPr>
          <w:rFonts w:hint="eastAsia" w:ascii="仿宋_GB2312" w:hAnsi="仿宋" w:eastAsia="仿宋_GB2312" w:cs="仿宋"/>
          <w:color w:val="auto"/>
        </w:rPr>
        <w:t>项目名称：</w:t>
      </w:r>
      <w:r>
        <w:rPr>
          <w:rFonts w:hint="eastAsia" w:ascii="仿宋_GB2312" w:hAnsi="仿宋" w:eastAsia="仿宋_GB2312" w:cs="仿宋"/>
          <w:color w:val="auto"/>
          <w:lang w:eastAsia="zh-CN"/>
        </w:rPr>
        <w:t>浙江省博物馆“丽人行-中国近现代女性图像”展运输项目</w:t>
      </w:r>
      <w:r>
        <w:rPr>
          <w:rFonts w:hint="eastAsia" w:ascii="仿宋_GB2312" w:hAnsi="仿宋" w:eastAsia="仿宋_GB2312" w:cs="仿宋"/>
          <w:color w:val="auto"/>
          <w:u w:val="none"/>
        </w:rPr>
        <w:t xml:space="preserve">   </w:t>
      </w:r>
      <w:r>
        <w:rPr>
          <w:rFonts w:hint="eastAsia" w:ascii="仿宋_GB2312" w:hAnsi="仿宋" w:eastAsia="仿宋_GB2312" w:cs="仿宋"/>
          <w:color w:val="auto"/>
          <w:u w:val="single"/>
        </w:rPr>
        <w:t xml:space="preserve">         </w:t>
      </w:r>
    </w:p>
    <w:p>
      <w:pPr>
        <w:pStyle w:val="15"/>
        <w:adjustRightInd w:val="0"/>
        <w:snapToGrid w:val="0"/>
        <w:spacing w:beforeLines="0" w:afterLines="0" w:line="360" w:lineRule="auto"/>
        <w:rPr>
          <w:rFonts w:hint="eastAsia" w:ascii="仿宋_GB2312" w:hAnsi="仿宋" w:eastAsia="仿宋_GB2312" w:cs="仿宋"/>
          <w:color w:val="auto"/>
        </w:rPr>
      </w:pPr>
      <w:r>
        <w:rPr>
          <w:rFonts w:hint="eastAsia" w:ascii="仿宋_GB2312" w:hAnsi="仿宋" w:eastAsia="仿宋_GB2312" w:cs="仿宋"/>
          <w:color w:val="auto"/>
        </w:rPr>
        <w:t>项目编号：ZJTY2024H-JF-005</w:t>
      </w:r>
      <w:r>
        <w:rPr>
          <w:rFonts w:hint="eastAsia" w:ascii="仿宋_GB2312" w:hAnsi="仿宋" w:eastAsia="仿宋_GB2312" w:cs="仿宋"/>
          <w:color w:val="auto"/>
          <w:u w:val="single"/>
        </w:rPr>
        <w:t xml:space="preserve">            </w:t>
      </w:r>
    </w:p>
    <w:p>
      <w:pPr>
        <w:adjustRightInd w:val="0"/>
        <w:snapToGrid w:val="0"/>
        <w:spacing w:line="360" w:lineRule="auto"/>
        <w:ind w:firstLine="240" w:firstLineChars="100"/>
        <w:jc w:val="right"/>
        <w:rPr>
          <w:rFonts w:hint="eastAsia" w:ascii="仿宋_GB2312" w:hAnsi="仿宋" w:eastAsia="仿宋_GB2312" w:cs="仿宋"/>
          <w:color w:val="auto"/>
          <w:sz w:val="24"/>
        </w:rPr>
      </w:pPr>
      <w:r>
        <w:rPr>
          <w:rFonts w:hint="eastAsia" w:ascii="仿宋_GB2312" w:hAnsi="仿宋" w:eastAsia="仿宋_GB2312" w:cs="仿宋"/>
          <w:color w:val="auto"/>
          <w:sz w:val="24"/>
        </w:rPr>
        <w:t xml:space="preserve">  金额单位：人民币（元）</w:t>
      </w:r>
    </w:p>
    <w:tbl>
      <w:tblPr>
        <w:tblStyle w:val="31"/>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423"/>
        <w:gridCol w:w="1995"/>
        <w:gridCol w:w="175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47"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序号</w:t>
            </w:r>
          </w:p>
        </w:tc>
        <w:tc>
          <w:tcPr>
            <w:tcW w:w="2423"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项目内容</w:t>
            </w:r>
          </w:p>
        </w:tc>
        <w:tc>
          <w:tcPr>
            <w:tcW w:w="1995"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投标报价</w:t>
            </w:r>
          </w:p>
        </w:tc>
        <w:tc>
          <w:tcPr>
            <w:tcW w:w="1755"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服务期</w:t>
            </w:r>
          </w:p>
        </w:tc>
        <w:tc>
          <w:tcPr>
            <w:tcW w:w="1665"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047"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1</w:t>
            </w:r>
          </w:p>
        </w:tc>
        <w:tc>
          <w:tcPr>
            <w:tcW w:w="2423"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lang w:eastAsia="zh-CN"/>
              </w:rPr>
            </w:pPr>
            <w:r>
              <w:rPr>
                <w:rFonts w:hint="eastAsia" w:ascii="仿宋_GB2312" w:hAnsi="仿宋" w:eastAsia="仿宋_GB2312" w:cs="仿宋"/>
                <w:color w:val="auto"/>
                <w:kern w:val="0"/>
                <w:sz w:val="24"/>
              </w:rPr>
              <w:t>“丽人行-中国近现代女性图像”展</w:t>
            </w:r>
            <w:r>
              <w:rPr>
                <w:rFonts w:hint="eastAsia" w:ascii="仿宋_GB2312" w:hAnsi="仿宋" w:eastAsia="仿宋_GB2312" w:cs="仿宋"/>
                <w:color w:val="auto"/>
                <w:kern w:val="0"/>
                <w:sz w:val="24"/>
                <w:lang w:eastAsia="zh-CN"/>
              </w:rPr>
              <w:t>运输</w:t>
            </w:r>
          </w:p>
        </w:tc>
        <w:tc>
          <w:tcPr>
            <w:tcW w:w="1995" w:type="dxa"/>
            <w:noWrap w:val="0"/>
            <w:vAlign w:val="center"/>
          </w:tcPr>
          <w:p>
            <w:pPr>
              <w:autoSpaceDE w:val="0"/>
              <w:autoSpaceDN w:val="0"/>
              <w:adjustRightInd w:val="0"/>
              <w:snapToGrid w:val="0"/>
              <w:spacing w:line="360" w:lineRule="auto"/>
              <w:outlineLvl w:val="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小写：￥</w:t>
            </w:r>
            <w:r>
              <w:rPr>
                <w:rFonts w:hint="eastAsia" w:ascii="仿宋_GB2312" w:hAnsi="仿宋" w:eastAsia="仿宋_GB2312" w:cs="仿宋"/>
                <w:color w:val="auto"/>
                <w:kern w:val="0"/>
                <w:sz w:val="24"/>
                <w:u w:val="single"/>
              </w:rPr>
              <w:t xml:space="preserve">               </w:t>
            </w:r>
          </w:p>
          <w:p>
            <w:pPr>
              <w:autoSpaceDE w:val="0"/>
              <w:autoSpaceDN w:val="0"/>
              <w:adjustRightInd w:val="0"/>
              <w:snapToGrid w:val="0"/>
              <w:spacing w:line="360" w:lineRule="auto"/>
              <w:outlineLvl w:val="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大写：</w:t>
            </w:r>
            <w:r>
              <w:rPr>
                <w:rFonts w:hint="eastAsia" w:ascii="仿宋_GB2312" w:hAnsi="仿宋" w:eastAsia="仿宋_GB2312" w:cs="仿宋"/>
                <w:color w:val="auto"/>
                <w:kern w:val="0"/>
                <w:sz w:val="24"/>
                <w:u w:val="single"/>
              </w:rPr>
              <w:t xml:space="preserve">                 </w:t>
            </w:r>
            <w:r>
              <w:rPr>
                <w:rFonts w:hint="eastAsia" w:ascii="仿宋_GB2312" w:hAnsi="仿宋" w:eastAsia="仿宋_GB2312" w:cs="仿宋"/>
                <w:color w:val="auto"/>
                <w:kern w:val="0"/>
                <w:sz w:val="24"/>
              </w:rPr>
              <w:t xml:space="preserve">  </w:t>
            </w:r>
          </w:p>
        </w:tc>
        <w:tc>
          <w:tcPr>
            <w:tcW w:w="1755"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rPr>
            </w:pPr>
          </w:p>
        </w:tc>
        <w:tc>
          <w:tcPr>
            <w:tcW w:w="1665" w:type="dxa"/>
            <w:noWrap w:val="0"/>
            <w:vAlign w:val="center"/>
          </w:tcPr>
          <w:p>
            <w:pPr>
              <w:autoSpaceDE w:val="0"/>
              <w:autoSpaceDN w:val="0"/>
              <w:adjustRightInd w:val="0"/>
              <w:snapToGrid w:val="0"/>
              <w:spacing w:line="360" w:lineRule="auto"/>
              <w:jc w:val="center"/>
              <w:outlineLvl w:val="0"/>
              <w:rPr>
                <w:rFonts w:hint="eastAsia" w:ascii="仿宋_GB2312" w:hAnsi="仿宋" w:eastAsia="仿宋_GB2312" w:cs="仿宋"/>
                <w:color w:val="auto"/>
                <w:kern w:val="0"/>
                <w:sz w:val="24"/>
              </w:rPr>
            </w:pPr>
          </w:p>
        </w:tc>
      </w:tr>
    </w:tbl>
    <w:p>
      <w:pPr>
        <w:adjustRightInd w:val="0"/>
        <w:snapToGrid w:val="0"/>
        <w:spacing w:line="360" w:lineRule="auto"/>
        <w:jc w:val="left"/>
        <w:rPr>
          <w:rFonts w:hint="eastAsia" w:ascii="仿宋_GB2312" w:hAnsi="仿宋" w:eastAsia="仿宋_GB2312" w:cs="仿宋"/>
          <w:color w:val="auto"/>
          <w:sz w:val="24"/>
        </w:rPr>
      </w:pPr>
      <w:r>
        <w:rPr>
          <w:rFonts w:hint="eastAsia" w:ascii="仿宋_GB2312" w:hAnsi="仿宋" w:eastAsia="仿宋_GB2312" w:cs="仿宋"/>
          <w:color w:val="auto"/>
          <w:sz w:val="24"/>
        </w:rPr>
        <w:t>注: 1、报价一经涂改，应在涂改处加盖单位公章或者由法定代表人或授权代表签字，否则其磋商响应作无效标处理；</w:t>
      </w:r>
    </w:p>
    <w:p>
      <w:pPr>
        <w:adjustRightInd w:val="0"/>
        <w:snapToGrid w:val="0"/>
        <w:spacing w:line="360" w:lineRule="auto"/>
        <w:ind w:firstLine="480" w:firstLineChars="200"/>
        <w:jc w:val="left"/>
        <w:rPr>
          <w:rFonts w:hint="eastAsia" w:ascii="仿宋_GB2312" w:hAnsi="仿宋" w:eastAsia="仿宋_GB2312" w:cs="仿宋"/>
          <w:color w:val="auto"/>
          <w:sz w:val="24"/>
        </w:rPr>
      </w:pPr>
      <w:r>
        <w:rPr>
          <w:rFonts w:hint="eastAsia" w:ascii="仿宋_GB2312" w:hAnsi="仿宋" w:eastAsia="仿宋_GB2312" w:cs="仿宋"/>
          <w:color w:val="auto"/>
          <w:sz w:val="24"/>
        </w:rPr>
        <w:t>2、磋商报价应包括为完成本项目所涉及的一切费用</w:t>
      </w:r>
      <w:r>
        <w:rPr>
          <w:rFonts w:hint="eastAsia" w:ascii="仿宋" w:hAnsi="仿宋" w:eastAsia="仿宋" w:cs="仿宋"/>
          <w:color w:val="auto"/>
          <w:sz w:val="24"/>
        </w:rPr>
        <w:t>并承担一切风险责任</w:t>
      </w:r>
      <w:r>
        <w:rPr>
          <w:rFonts w:hint="eastAsia" w:ascii="仿宋_GB2312" w:hAnsi="仿宋" w:eastAsia="仿宋_GB2312" w:cs="仿宋"/>
          <w:color w:val="auto"/>
          <w:sz w:val="24"/>
        </w:rPr>
        <w:t>；</w:t>
      </w:r>
    </w:p>
    <w:p>
      <w:pPr>
        <w:adjustRightInd w:val="0"/>
        <w:snapToGrid w:val="0"/>
        <w:spacing w:line="360" w:lineRule="auto"/>
        <w:ind w:firstLine="480" w:firstLineChars="200"/>
        <w:jc w:val="left"/>
        <w:rPr>
          <w:rFonts w:hint="eastAsia" w:ascii="仿宋_GB2312" w:hAnsi="仿宋" w:eastAsia="仿宋_GB2312" w:cs="仿宋"/>
          <w:color w:val="auto"/>
          <w:spacing w:val="20"/>
          <w:sz w:val="24"/>
          <w:lang w:val="en-US" w:eastAsia="zh-CN"/>
        </w:rPr>
      </w:pPr>
      <w:r>
        <w:rPr>
          <w:rFonts w:hint="eastAsia" w:ascii="仿宋_GB2312" w:hAnsi="仿宋" w:eastAsia="仿宋_GB2312" w:cs="仿宋"/>
          <w:color w:val="auto"/>
          <w:sz w:val="24"/>
        </w:rPr>
        <w:t>3、以上报价应与“报价明细表”中的“合计”相一致。</w:t>
      </w:r>
    </w:p>
    <w:p>
      <w:pPr>
        <w:adjustRightInd w:val="0"/>
        <w:snapToGrid w:val="0"/>
        <w:spacing w:line="360" w:lineRule="auto"/>
        <w:rPr>
          <w:rFonts w:hint="eastAsia" w:ascii="仿宋_GB2312" w:hAnsi="仿宋" w:eastAsia="仿宋_GB2312" w:cs="仿宋"/>
          <w:color w:val="auto"/>
          <w:spacing w:val="20"/>
          <w:sz w:val="24"/>
        </w:rPr>
      </w:pPr>
    </w:p>
    <w:p>
      <w:pPr>
        <w:adjustRightInd w:val="0"/>
        <w:snapToGrid w:val="0"/>
        <w:spacing w:line="360" w:lineRule="auto"/>
        <w:rPr>
          <w:rFonts w:hint="eastAsia" w:ascii="仿宋_GB2312" w:hAnsi="仿宋" w:eastAsia="仿宋_GB2312" w:cs="仿宋"/>
          <w:color w:val="auto"/>
          <w:spacing w:val="20"/>
          <w:sz w:val="24"/>
        </w:rPr>
      </w:pPr>
    </w:p>
    <w:p>
      <w:pPr>
        <w:adjustRightInd w:val="0"/>
        <w:snapToGrid w:val="0"/>
        <w:spacing w:line="360" w:lineRule="auto"/>
        <w:rPr>
          <w:rFonts w:hint="eastAsia" w:ascii="仿宋_GB2312" w:hAnsi="仿宋" w:eastAsia="仿宋_GB2312" w:cs="仿宋"/>
          <w:color w:val="auto"/>
          <w:spacing w:val="20"/>
          <w:sz w:val="24"/>
        </w:rPr>
      </w:pPr>
      <w:r>
        <w:rPr>
          <w:rFonts w:hint="eastAsia" w:ascii="仿宋_GB2312" w:hAnsi="仿宋" w:eastAsia="仿宋_GB2312" w:cs="仿宋"/>
          <w:color w:val="auto"/>
          <w:spacing w:val="20"/>
          <w:sz w:val="24"/>
        </w:rPr>
        <w:t>磋商供应商全称（公章）：</w:t>
      </w:r>
      <w:r>
        <w:rPr>
          <w:rFonts w:hint="eastAsia" w:ascii="仿宋_GB2312" w:hAnsi="仿宋" w:eastAsia="仿宋_GB2312" w:cs="仿宋"/>
          <w:color w:val="auto"/>
          <w:spacing w:val="20"/>
          <w:sz w:val="24"/>
          <w:u w:val="single"/>
        </w:rPr>
        <w:t xml:space="preserve">                 </w:t>
      </w:r>
      <w:r>
        <w:rPr>
          <w:rFonts w:hint="eastAsia" w:ascii="仿宋_GB2312" w:hAnsi="仿宋" w:eastAsia="仿宋_GB2312" w:cs="仿宋"/>
          <w:color w:val="auto"/>
          <w:spacing w:val="20"/>
          <w:sz w:val="24"/>
        </w:rPr>
        <w:t xml:space="preserve"> </w:t>
      </w:r>
    </w:p>
    <w:p>
      <w:pPr>
        <w:adjustRightInd w:val="0"/>
        <w:snapToGrid w:val="0"/>
        <w:spacing w:line="360" w:lineRule="auto"/>
        <w:ind w:right="-817" w:rightChars="-389"/>
        <w:rPr>
          <w:rFonts w:hint="eastAsia" w:ascii="仿宋_GB2312" w:hAnsi="仿宋" w:eastAsia="仿宋_GB2312" w:cs="仿宋"/>
          <w:color w:val="auto"/>
          <w:sz w:val="24"/>
        </w:rPr>
      </w:pPr>
      <w:r>
        <w:rPr>
          <w:rFonts w:hint="eastAsia" w:ascii="仿宋_GB2312" w:hAnsi="仿宋" w:eastAsia="仿宋_GB2312" w:cs="仿宋"/>
          <w:color w:val="auto"/>
          <w:sz w:val="24"/>
        </w:rPr>
        <w:t>法定代表人或授权代表（签字）：</w:t>
      </w:r>
      <w:r>
        <w:rPr>
          <w:rFonts w:hint="eastAsia" w:ascii="仿宋_GB2312" w:hAnsi="仿宋" w:eastAsia="仿宋_GB2312" w:cs="仿宋"/>
          <w:color w:val="auto"/>
          <w:sz w:val="24"/>
          <w:u w:val="single"/>
        </w:rPr>
        <w:t xml:space="preserve">               </w:t>
      </w:r>
      <w:r>
        <w:rPr>
          <w:rFonts w:hint="eastAsia" w:ascii="仿宋_GB2312" w:hAnsi="仿宋" w:eastAsia="仿宋_GB2312" w:cs="仿宋"/>
          <w:color w:val="auto"/>
          <w:sz w:val="24"/>
        </w:rPr>
        <w:t xml:space="preserve">     </w:t>
      </w:r>
    </w:p>
    <w:p>
      <w:pPr>
        <w:adjustRightInd w:val="0"/>
        <w:snapToGrid w:val="0"/>
        <w:spacing w:line="360" w:lineRule="auto"/>
        <w:rPr>
          <w:rFonts w:hint="eastAsia" w:ascii="仿宋_GB2312" w:hAnsi="仿宋" w:eastAsia="仿宋_GB2312" w:cs="仿宋"/>
          <w:color w:val="auto"/>
        </w:rPr>
      </w:pPr>
      <w:r>
        <w:rPr>
          <w:rFonts w:hint="eastAsia" w:ascii="仿宋_GB2312" w:hAnsi="仿宋" w:eastAsia="仿宋_GB2312" w:cs="仿宋"/>
          <w:color w:val="auto"/>
          <w:spacing w:val="20"/>
          <w:sz w:val="24"/>
        </w:rPr>
        <w:t>日 期：</w:t>
      </w:r>
      <w:r>
        <w:rPr>
          <w:rFonts w:hint="eastAsia" w:ascii="仿宋_GB2312" w:hAnsi="仿宋" w:eastAsia="仿宋_GB2312" w:cs="仿宋"/>
          <w:color w:val="auto"/>
          <w:spacing w:val="20"/>
          <w:sz w:val="24"/>
          <w:u w:val="single"/>
        </w:rPr>
        <w:t xml:space="preserve">            </w:t>
      </w: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b/>
          <w:bCs/>
          <w:color w:val="auto"/>
        </w:rPr>
      </w:pPr>
    </w:p>
    <w:p>
      <w:pPr>
        <w:pStyle w:val="15"/>
        <w:adjustRightInd w:val="0"/>
        <w:snapToGrid w:val="0"/>
        <w:spacing w:beforeLines="0" w:afterLines="0" w:line="360" w:lineRule="auto"/>
        <w:rPr>
          <w:rFonts w:hint="eastAsia" w:ascii="仿宋_GB2312" w:hAnsi="仿宋" w:eastAsia="仿宋_GB2312" w:cs="仿宋"/>
          <w:color w:val="auto"/>
        </w:rPr>
      </w:pPr>
      <w:r>
        <w:rPr>
          <w:rFonts w:hint="eastAsia" w:ascii="仿宋_GB2312" w:hAnsi="仿宋" w:eastAsia="仿宋_GB2312" w:cs="仿宋"/>
          <w:b/>
          <w:bCs/>
          <w:color w:val="auto"/>
        </w:rPr>
        <w:br w:type="page"/>
      </w:r>
      <w:r>
        <w:rPr>
          <w:rFonts w:hint="eastAsia" w:ascii="仿宋_GB2312" w:hAnsi="仿宋" w:eastAsia="仿宋_GB2312" w:cs="仿宋"/>
          <w:b/>
          <w:bCs/>
          <w:color w:val="auto"/>
        </w:rPr>
        <w:t>三、报价明细表格式：</w:t>
      </w:r>
      <w:r>
        <w:rPr>
          <w:rFonts w:hint="eastAsia" w:ascii="仿宋_GB2312" w:hAnsi="仿宋" w:eastAsia="仿宋_GB2312" w:cs="仿宋"/>
          <w:color w:val="auto"/>
        </w:rPr>
        <w:t xml:space="preserve">       </w:t>
      </w:r>
    </w:p>
    <w:p>
      <w:pPr>
        <w:pStyle w:val="15"/>
        <w:adjustRightInd w:val="0"/>
        <w:snapToGrid w:val="0"/>
        <w:spacing w:beforeLines="0" w:afterLines="0" w:line="360" w:lineRule="auto"/>
        <w:jc w:val="center"/>
        <w:rPr>
          <w:rFonts w:hint="eastAsia" w:ascii="仿宋_GB2312" w:hAnsi="仿宋" w:eastAsia="仿宋_GB2312" w:cs="仿宋"/>
          <w:b/>
          <w:color w:val="auto"/>
        </w:rPr>
      </w:pPr>
      <w:r>
        <w:rPr>
          <w:rFonts w:hint="eastAsia" w:ascii="仿宋_GB2312" w:hAnsi="仿宋" w:eastAsia="仿宋_GB2312" w:cs="仿宋"/>
          <w:b/>
          <w:color w:val="auto"/>
        </w:rPr>
        <w:t>报价明细表</w:t>
      </w:r>
    </w:p>
    <w:p>
      <w:pPr>
        <w:pStyle w:val="15"/>
        <w:adjustRightInd w:val="0"/>
        <w:snapToGrid w:val="0"/>
        <w:spacing w:beforeLines="0" w:afterLines="0" w:line="360" w:lineRule="auto"/>
        <w:rPr>
          <w:rFonts w:hint="eastAsia" w:ascii="仿宋_GB2312" w:hAnsi="仿宋" w:eastAsia="仿宋_GB2312" w:cs="仿宋"/>
          <w:color w:val="auto"/>
        </w:rPr>
      </w:pPr>
      <w:r>
        <w:rPr>
          <w:rFonts w:hint="eastAsia" w:ascii="仿宋_GB2312" w:hAnsi="仿宋" w:eastAsia="仿宋_GB2312" w:cs="仿宋"/>
          <w:color w:val="auto"/>
        </w:rPr>
        <w:t>项目名称：</w:t>
      </w:r>
      <w:r>
        <w:rPr>
          <w:rFonts w:hint="eastAsia" w:ascii="仿宋_GB2312" w:hAnsi="仿宋" w:eastAsia="仿宋_GB2312" w:cs="仿宋"/>
          <w:color w:val="auto"/>
          <w:lang w:eastAsia="zh-CN"/>
        </w:rPr>
        <w:t>浙江省博物馆“丽人行-中国近现代女性图像”展运输项目</w:t>
      </w:r>
      <w:r>
        <w:rPr>
          <w:rFonts w:hint="eastAsia" w:ascii="仿宋_GB2312" w:hAnsi="仿宋" w:eastAsia="仿宋_GB2312" w:cs="仿宋"/>
          <w:color w:val="auto"/>
          <w:u w:val="single"/>
        </w:rPr>
        <w:t xml:space="preserve">            </w:t>
      </w:r>
    </w:p>
    <w:p>
      <w:pPr>
        <w:pStyle w:val="15"/>
        <w:adjustRightInd w:val="0"/>
        <w:snapToGrid w:val="0"/>
        <w:spacing w:beforeLines="0" w:afterLines="0" w:line="360" w:lineRule="auto"/>
        <w:rPr>
          <w:rFonts w:hint="eastAsia" w:ascii="仿宋_GB2312" w:hAnsi="仿宋" w:eastAsia="仿宋_GB2312" w:cs="仿宋"/>
          <w:color w:val="auto"/>
        </w:rPr>
      </w:pPr>
      <w:r>
        <w:rPr>
          <w:rFonts w:hint="eastAsia" w:ascii="仿宋_GB2312" w:hAnsi="仿宋" w:eastAsia="仿宋_GB2312" w:cs="仿宋"/>
          <w:color w:val="auto"/>
        </w:rPr>
        <w:t>项目编号： ZJTY2024H-JF-005</w:t>
      </w:r>
      <w:r>
        <w:rPr>
          <w:rFonts w:hint="eastAsia" w:ascii="仿宋_GB2312" w:hAnsi="仿宋" w:eastAsia="仿宋_GB2312" w:cs="仿宋"/>
          <w:color w:val="auto"/>
          <w:u w:val="single"/>
        </w:rPr>
        <w:t xml:space="preserve">            </w:t>
      </w:r>
    </w:p>
    <w:p>
      <w:pPr>
        <w:pStyle w:val="15"/>
        <w:adjustRightInd w:val="0"/>
        <w:snapToGrid w:val="0"/>
        <w:spacing w:beforeLines="0" w:afterLines="0" w:line="360" w:lineRule="auto"/>
        <w:ind w:firstLine="3120" w:firstLineChars="1300"/>
        <w:jc w:val="right"/>
        <w:rPr>
          <w:rFonts w:hint="eastAsia" w:ascii="仿宋_GB2312" w:hAnsi="仿宋" w:eastAsia="仿宋_GB2312" w:cs="仿宋"/>
          <w:color w:val="auto"/>
        </w:rPr>
      </w:pPr>
      <w:r>
        <w:rPr>
          <w:rFonts w:hint="eastAsia" w:ascii="仿宋_GB2312" w:hAnsi="仿宋" w:eastAsia="仿宋_GB2312" w:cs="仿宋"/>
          <w:color w:val="auto"/>
        </w:rPr>
        <w:t xml:space="preserve"> 金额单位：人民币（元）</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160"/>
        <w:gridCol w:w="234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费用名称</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价格构成</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金额</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有关说明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1</w:t>
            </w:r>
          </w:p>
        </w:tc>
        <w:tc>
          <w:tcPr>
            <w:tcW w:w="21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16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2</w:t>
            </w:r>
          </w:p>
        </w:tc>
        <w:tc>
          <w:tcPr>
            <w:tcW w:w="21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16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0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3</w:t>
            </w:r>
          </w:p>
        </w:tc>
        <w:tc>
          <w:tcPr>
            <w:tcW w:w="21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90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16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4</w:t>
            </w:r>
          </w:p>
        </w:tc>
        <w:tc>
          <w:tcPr>
            <w:tcW w:w="21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16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w:t>
            </w:r>
          </w:p>
        </w:tc>
        <w:tc>
          <w:tcPr>
            <w:tcW w:w="21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16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540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r>
              <w:rPr>
                <w:rFonts w:hint="eastAsia" w:ascii="仿宋_GB2312" w:hAnsi="仿宋" w:eastAsia="仿宋_GB2312" w:cs="仿宋"/>
                <w:color w:val="auto"/>
                <w:sz w:val="24"/>
              </w:rPr>
              <w:t>合计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 w:eastAsia="仿宋_GB2312" w:cs="仿宋"/>
                <w:color w:val="auto"/>
                <w:sz w:val="24"/>
              </w:rPr>
            </w:pPr>
          </w:p>
        </w:tc>
      </w:tr>
    </w:tbl>
    <w:p>
      <w:pPr>
        <w:tabs>
          <w:tab w:val="left" w:pos="1418"/>
        </w:tabs>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注：1、此表合计金额应与 “开标一览表”中报价相一致；</w:t>
      </w:r>
    </w:p>
    <w:p>
      <w:pPr>
        <w:tabs>
          <w:tab w:val="left" w:pos="1418"/>
        </w:tabs>
        <w:adjustRightInd w:val="0"/>
        <w:snapToGrid w:val="0"/>
        <w:spacing w:line="360" w:lineRule="auto"/>
        <w:rPr>
          <w:rFonts w:hint="eastAsia" w:ascii="仿宋_GB2312" w:hAnsi="仿宋" w:eastAsia="仿宋_GB2312" w:cs="仿宋"/>
          <w:color w:val="auto"/>
          <w:sz w:val="24"/>
        </w:rPr>
      </w:pPr>
      <w:r>
        <w:rPr>
          <w:rFonts w:hint="eastAsia" w:ascii="仿宋_GB2312" w:hAnsi="仿宋" w:eastAsia="仿宋_GB2312" w:cs="仿宋"/>
          <w:color w:val="auto"/>
          <w:sz w:val="24"/>
        </w:rPr>
        <w:t xml:space="preserve">    2、此表可进一步细分，栏目可另加，应包括为完成本项目可能发生的全部费用。</w:t>
      </w:r>
    </w:p>
    <w:p>
      <w:pPr>
        <w:adjustRightInd w:val="0"/>
        <w:snapToGrid w:val="0"/>
        <w:spacing w:line="360" w:lineRule="auto"/>
        <w:rPr>
          <w:rFonts w:hint="eastAsia" w:ascii="仿宋_GB2312" w:hAnsi="仿宋" w:eastAsia="仿宋_GB2312" w:cs="仿宋"/>
          <w:color w:val="auto"/>
          <w:spacing w:val="20"/>
          <w:sz w:val="24"/>
        </w:rPr>
      </w:pPr>
    </w:p>
    <w:p>
      <w:pPr>
        <w:adjustRightInd w:val="0"/>
        <w:snapToGrid w:val="0"/>
        <w:spacing w:line="360" w:lineRule="auto"/>
        <w:rPr>
          <w:rFonts w:hint="eastAsia" w:ascii="仿宋_GB2312" w:hAnsi="仿宋" w:eastAsia="仿宋_GB2312" w:cs="仿宋"/>
          <w:color w:val="auto"/>
          <w:spacing w:val="20"/>
          <w:sz w:val="24"/>
          <w:u w:val="single"/>
        </w:rPr>
      </w:pPr>
      <w:r>
        <w:rPr>
          <w:rFonts w:hint="eastAsia" w:ascii="仿宋_GB2312" w:hAnsi="仿宋" w:eastAsia="仿宋_GB2312" w:cs="仿宋"/>
          <w:color w:val="auto"/>
          <w:sz w:val="24"/>
        </w:rPr>
        <w:t>磋商供应商全称（公章）</w:t>
      </w:r>
      <w:r>
        <w:rPr>
          <w:rFonts w:hint="eastAsia" w:ascii="仿宋_GB2312" w:hAnsi="仿宋" w:eastAsia="仿宋_GB2312" w:cs="仿宋"/>
          <w:color w:val="auto"/>
          <w:spacing w:val="20"/>
          <w:sz w:val="24"/>
        </w:rPr>
        <w:t>：</w:t>
      </w:r>
      <w:r>
        <w:rPr>
          <w:rFonts w:hint="eastAsia" w:ascii="仿宋_GB2312" w:hAnsi="仿宋" w:eastAsia="仿宋_GB2312" w:cs="仿宋"/>
          <w:color w:val="auto"/>
          <w:spacing w:val="20"/>
          <w:sz w:val="24"/>
          <w:u w:val="single"/>
        </w:rPr>
        <w:t xml:space="preserve">               </w:t>
      </w:r>
      <w:r>
        <w:rPr>
          <w:rFonts w:hint="eastAsia" w:ascii="仿宋_GB2312" w:hAnsi="仿宋" w:eastAsia="仿宋_GB2312" w:cs="仿宋"/>
          <w:color w:val="auto"/>
          <w:spacing w:val="20"/>
          <w:sz w:val="24"/>
        </w:rPr>
        <w:t xml:space="preserve">          </w:t>
      </w:r>
      <w:r>
        <w:rPr>
          <w:rFonts w:hint="eastAsia" w:ascii="仿宋_GB2312" w:hAnsi="仿宋" w:eastAsia="仿宋_GB2312" w:cs="仿宋"/>
          <w:color w:val="auto"/>
          <w:spacing w:val="20"/>
          <w:sz w:val="24"/>
          <w:u w:val="single"/>
        </w:rPr>
        <w:t xml:space="preserve">    </w:t>
      </w:r>
    </w:p>
    <w:p>
      <w:pPr>
        <w:adjustRightInd w:val="0"/>
        <w:snapToGrid w:val="0"/>
        <w:spacing w:line="360" w:lineRule="auto"/>
        <w:rPr>
          <w:rFonts w:hint="eastAsia" w:ascii="仿宋_GB2312" w:hAnsi="仿宋" w:eastAsia="仿宋_GB2312" w:cs="仿宋"/>
          <w:color w:val="auto"/>
          <w:spacing w:val="20"/>
          <w:sz w:val="24"/>
          <w:u w:val="single"/>
        </w:rPr>
      </w:pPr>
      <w:r>
        <w:rPr>
          <w:rFonts w:hint="eastAsia" w:ascii="仿宋_GB2312" w:hAnsi="仿宋" w:eastAsia="仿宋_GB2312" w:cs="仿宋"/>
          <w:color w:val="auto"/>
          <w:spacing w:val="20"/>
          <w:sz w:val="24"/>
        </w:rPr>
        <w:t>日  期：</w:t>
      </w:r>
      <w:r>
        <w:rPr>
          <w:rFonts w:hint="eastAsia" w:ascii="仿宋_GB2312" w:hAnsi="仿宋" w:eastAsia="仿宋_GB2312" w:cs="仿宋"/>
          <w:color w:val="auto"/>
          <w:sz w:val="24"/>
        </w:rPr>
        <w:t xml:space="preserve">     年    月    日</w:t>
      </w:r>
    </w:p>
    <w:p>
      <w:pPr>
        <w:pStyle w:val="15"/>
        <w:adjustRightInd w:val="0"/>
        <w:snapToGrid w:val="0"/>
        <w:spacing w:beforeLines="0" w:afterLines="0" w:line="360" w:lineRule="auto"/>
        <w:rPr>
          <w:rFonts w:hint="eastAsia" w:ascii="仿宋_GB2312" w:hAnsi="仿宋" w:eastAsia="仿宋_GB2312" w:cs="仿宋"/>
          <w:b/>
          <w:bCs/>
          <w:color w:val="auto"/>
        </w:rPr>
      </w:pPr>
      <w:r>
        <w:rPr>
          <w:rFonts w:hint="eastAsia" w:ascii="仿宋_GB2312" w:hAnsi="仿宋" w:eastAsia="仿宋_GB2312" w:cs="仿宋"/>
          <w:b/>
          <w:bCs/>
          <w:color w:val="auto"/>
          <w:lang w:eastAsia="zh-CN"/>
        </w:rPr>
        <w:t>四</w:t>
      </w:r>
      <w:r>
        <w:rPr>
          <w:rFonts w:hint="eastAsia" w:ascii="仿宋_GB2312" w:hAnsi="仿宋" w:eastAsia="仿宋_GB2312" w:cs="仿宋"/>
          <w:b/>
          <w:bCs/>
          <w:color w:val="auto"/>
        </w:rPr>
        <w:t>、磋商供应商针对报价需要说明的其他文件和说明（如有）</w:t>
      </w:r>
    </w:p>
    <w:p>
      <w:pPr>
        <w:ind w:firstLine="0" w:firstLineChars="0"/>
        <w:rPr>
          <w:rFonts w:hint="eastAsia"/>
          <w:color w:val="auto"/>
        </w:rPr>
      </w:pPr>
    </w:p>
    <w:sectPr>
      <w:footerReference r:id="rId13" w:type="first"/>
      <w:footerReference r:id="rId12"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hint="eastAsia" w:ascii="仿宋" w:hAnsi="仿宋" w:eastAsia="仿宋" w:cs="仿宋"/>
      </w:rPr>
    </w:pPr>
    <w:r>
      <w:rPr>
        <w:rFonts w:hint="eastAsia" w:ascii="仿宋" w:hAnsi="仿宋" w:eastAsia="仿宋" w:cs="仿宋"/>
      </w:rPr>
      <w:t>浙江通用招标代理有限公司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2</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hint="eastAsia" w:ascii="仿宋" w:hAnsi="仿宋" w:eastAsia="仿宋" w:cs="仿宋"/>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MTHR4sAgAAV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pJZopFPz84/v5&#10;5+/zr2/kKsrTWD9H1INFXGjfmRZNM5x7HEbWbelU/IIPgR/ini7iijYQHi/NprPZGC4O37ABfvZ0&#10;3Tof3gujSDRy6lC9JCo7bn3oQoeQmE2bTS1lqqDUpMnp9dXb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xMdHi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仿宋" w:hAnsi="仿宋" w:eastAsia="仿宋" w:cs="仿宋"/>
      </w:rPr>
      <w:t>浙江通用招标代理有限公司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bNrbKwIAAFUEAAAOAAAAAAAAAAEAIAAAAB8BAABkcnMvZTJvRG9jLnhtbFBLBQYAAAAABgAG&#10;AFkBAAC8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hint="eastAsia" w:ascii="仿宋" w:hAnsi="仿宋" w:eastAsia="仿宋" w:cs="仿宋"/>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ujtQrAgAAV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Ybo7UKwIAAFUEAAAOAAAAAAAAAAEAIAAAAB8BAABkcnMvZTJvRG9jLnhtbFBLBQYAAAAABgAG&#10;AFkBAAC8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仿宋" w:hAnsi="仿宋" w:eastAsia="仿宋" w:cs="仿宋"/>
      </w:rPr>
      <w:t>浙江通用招标代理有限公司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RSREsAgAAV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reRHla62eIerCIC91b06FphnOPw8i6q5yKX/Ah8EPc40Vc0QXC46XpZDrN4eLwDRvgZ4/X&#10;rfPhnTCKRKOgDtVLorLDxoc+dAiJ2bRZN1KmCkpN2oJev77K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FJES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hint="eastAsia" w:ascii="仿宋" w:hAnsi="仿宋" w:eastAsia="仿宋" w:cs="仿宋"/>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4"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rot="0" vert="horz" wrap="none" lIns="0" tIns="0" rIns="0" bIns="0" anchor="t" anchorCtr="0">
                      <a:spAutoFit/>
                    </wps:bodyPr>
                  </wps:wsp>
                </a:graphicData>
              </a:graphic>
            </wp:anchor>
          </w:drawing>
        </mc:Choice>
        <mc:Fallback>
          <w:pict>
            <v:shape id="文本框 5"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EKMjNQAAAAD&#10;AQAADwAAAAAAAAABACAAAAAiAAAAZHJzL2Rvd25yZXYueG1sUEsBAhQAFAAAAAgAh07iQMNa0RHn&#10;AQAAwQMAAA4AAAAAAAAAAQAgAAAAIwEAAGRycy9lMm9Eb2MueG1sUEsFBgAAAAAGAAYAWQEAAHwF&#10;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w:rPr>
        <w:rFonts w:hint="eastAsia" w:ascii="仿宋" w:hAnsi="仿宋" w:eastAsia="仿宋" w:cs="仿宋"/>
      </w:rPr>
      <w:t xml:space="preserve">     浙江通用招标代理有限公司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a:spAutoFit/>
                    </wps:bodyPr>
                  </wps:wsp>
                </a:graphicData>
              </a:graphic>
            </wp:anchor>
          </w:drawing>
        </mc:Choice>
        <mc:Fallback>
          <w:pict>
            <v:shape id="文本框 6" o:spid="_x0000_s1026"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QoyM1AAAAAMB&#10;AAAPAAAAAAAAAAEAIAAAACIAAABkcnMvZG93bnJldi54bWxQSwECFAAUAAAACACHTuJAHR+DK+YB&#10;AADBAwAADgAAAAAAAAABACAAAAAjAQAAZHJzL2Uyb0RvYy54bWxQSwUGAAAAAAYABgBZAQAAewUA&#10;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ascii="仿宋_GB2312" w:eastAsia="仿宋_GB2312"/>
        <w:color w:val="404040"/>
        <w:sz w:val="16"/>
        <w:szCs w:val="16"/>
        <w:lang w:eastAsia="zh-CN"/>
      </w:rPr>
    </w:pPr>
    <w:r>
      <w:rPr>
        <w:rFonts w:hint="eastAsia" w:ascii="仿宋_GB2312" w:eastAsia="仿宋_GB2312"/>
        <w:color w:val="404040"/>
        <w:sz w:val="16"/>
        <w:szCs w:val="16"/>
        <w:lang w:eastAsia="zh-CN"/>
      </w:rPr>
      <w:t>浙江省博物馆“丽人行-中国近现代女性图像”展运输项目</w:t>
    </w:r>
    <w:r>
      <w:rPr>
        <w:rFonts w:hint="eastAsia" w:ascii="仿宋_GB2312" w:eastAsia="仿宋_GB2312"/>
        <w:color w:val="404040"/>
        <w:sz w:val="16"/>
        <w:szCs w:val="16"/>
      </w:rPr>
      <w:t xml:space="preserve">磋商文件 </w:t>
    </w:r>
    <w:r>
      <w:rPr>
        <w:rFonts w:ascii="仿宋_GB2312" w:eastAsia="仿宋_GB2312"/>
        <w:color w:val="404040"/>
        <w:sz w:val="16"/>
        <w:szCs w:val="16"/>
      </w:rPr>
      <w:t xml:space="preserve">      </w:t>
    </w:r>
    <w:r>
      <w:rPr>
        <w:rFonts w:hint="eastAsia" w:ascii="仿宋_GB2312" w:eastAsia="仿宋_GB2312"/>
        <w:color w:val="404040"/>
        <w:sz w:val="16"/>
        <w:szCs w:val="16"/>
      </w:rPr>
      <w:t xml:space="preserve">      </w:t>
    </w:r>
    <w:r>
      <w:rPr>
        <w:rFonts w:hint="eastAsia" w:ascii="仿宋_GB2312" w:eastAsia="仿宋_GB2312"/>
        <w:color w:val="404040"/>
        <w:sz w:val="16"/>
        <w:szCs w:val="16"/>
        <w:lang w:val="en-US" w:eastAsia="zh-CN"/>
      </w:rPr>
      <w:t xml:space="preserve">          </w:t>
    </w:r>
    <w:r>
      <w:rPr>
        <w:rFonts w:hint="eastAsia" w:ascii="仿宋_GB2312" w:eastAsia="仿宋_GB2312"/>
        <w:color w:val="404040"/>
        <w:sz w:val="16"/>
        <w:szCs w:val="16"/>
      </w:rPr>
      <w:t xml:space="preserve">NO. </w:t>
    </w:r>
    <w:r>
      <w:rPr>
        <w:rFonts w:hint="eastAsia" w:ascii="仿宋_GB2312" w:eastAsia="仿宋_GB2312"/>
        <w:color w:val="404040"/>
        <w:sz w:val="16"/>
        <w:szCs w:val="16"/>
        <w:lang w:eastAsia="zh-CN"/>
      </w:rPr>
      <w:t>ZJTY2024H-JF-005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5D40C"/>
    <w:multiLevelType w:val="singleLevel"/>
    <w:tmpl w:val="C8F5D40C"/>
    <w:lvl w:ilvl="0" w:tentative="0">
      <w:start w:val="1"/>
      <w:numFmt w:val="decimal"/>
      <w:suff w:val="nothing"/>
      <w:lvlText w:val="%1、"/>
      <w:lvlJc w:val="left"/>
    </w:lvl>
  </w:abstractNum>
  <w:abstractNum w:abstractNumId="1">
    <w:nsid w:val="CFFF0F60"/>
    <w:multiLevelType w:val="singleLevel"/>
    <w:tmpl w:val="CFFF0F60"/>
    <w:lvl w:ilvl="0" w:tentative="0">
      <w:start w:val="2"/>
      <w:numFmt w:val="decimal"/>
      <w:suff w:val="nothing"/>
      <w:lvlText w:val="%1、"/>
      <w:lvlJc w:val="left"/>
    </w:lvl>
  </w:abstractNum>
  <w:abstractNum w:abstractNumId="2">
    <w:nsid w:val="00000005"/>
    <w:multiLevelType w:val="multilevel"/>
    <w:tmpl w:val="00000005"/>
    <w:lvl w:ilvl="0" w:tentative="0">
      <w:start w:val="1"/>
      <w:numFmt w:val="decimal"/>
      <w:pStyle w:val="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000000C"/>
    <w:multiLevelType w:val="multilevel"/>
    <w:tmpl w:val="0000000C"/>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51"/>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10"/>
    <w:multiLevelType w:val="multilevel"/>
    <w:tmpl w:val="00000010"/>
    <w:lvl w:ilvl="0" w:tentative="0">
      <w:start w:val="1"/>
      <w:numFmt w:val="chineseCountingThousand"/>
      <w:lvlText w:val="第%1章 "/>
      <w:lvlJc w:val="left"/>
      <w:pPr>
        <w:tabs>
          <w:tab w:val="left" w:pos="420"/>
        </w:tabs>
        <w:ind w:left="420" w:hanging="420"/>
      </w:pPr>
      <w:rPr>
        <w:rFonts w:hint="eastAsia"/>
      </w:rPr>
    </w:lvl>
    <w:lvl w:ilvl="1" w:tentative="0">
      <w:start w:val="1"/>
      <w:numFmt w:val="chineseCountingThousand"/>
      <w:lvlText w:val="第%2节"/>
      <w:lvlJc w:val="left"/>
      <w:pPr>
        <w:tabs>
          <w:tab w:val="left" w:pos="2315"/>
        </w:tabs>
        <w:ind w:left="2315" w:hanging="575"/>
      </w:pPr>
      <w:rPr>
        <w:rFonts w:hint="eastAsia"/>
      </w:rPr>
    </w:lvl>
    <w:lvl w:ilvl="2" w:tentative="0">
      <w:start w:val="1"/>
      <w:numFmt w:val="chineseCounting"/>
      <w:lvlText w:val="%3、"/>
      <w:lvlJc w:val="left"/>
      <w:pPr>
        <w:tabs>
          <w:tab w:val="left" w:pos="1020"/>
        </w:tabs>
        <w:ind w:left="1020" w:hanging="720"/>
      </w:pPr>
      <w:rPr>
        <w:rFonts w:hint="eastAsia" w:ascii="宋体" w:hAnsi="宋体" w:eastAsia="宋体"/>
      </w:rPr>
    </w:lvl>
    <w:lvl w:ilvl="3" w:tentative="0">
      <w:start w:val="1"/>
      <w:numFmt w:val="decimal"/>
      <w:lvlText w:val="%4"/>
      <w:lvlJc w:val="left"/>
      <w:pPr>
        <w:tabs>
          <w:tab w:val="left" w:pos="2604"/>
        </w:tabs>
        <w:ind w:left="2604" w:hanging="864"/>
      </w:pPr>
      <w:rPr>
        <w:rFonts w:hint="eastAsia" w:ascii="宋体" w:hAnsi="宋体" w:eastAsia="宋体"/>
      </w:rPr>
    </w:lvl>
    <w:lvl w:ilvl="4" w:tentative="0">
      <w:start w:val="1"/>
      <w:numFmt w:val="decimal"/>
      <w:pStyle w:val="64"/>
      <w:lvlText w:val="%3.%4.%5"/>
      <w:lvlJc w:val="left"/>
      <w:pPr>
        <w:tabs>
          <w:tab w:val="left" w:pos="1008"/>
        </w:tabs>
        <w:ind w:left="1008" w:hanging="1008"/>
      </w:pPr>
      <w:rPr>
        <w:rFonts w:hint="eastAsia"/>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5">
    <w:nsid w:val="20396685"/>
    <w:multiLevelType w:val="singleLevel"/>
    <w:tmpl w:val="20396685"/>
    <w:lvl w:ilvl="0" w:tentative="0">
      <w:start w:val="5"/>
      <w:numFmt w:val="chineseCounting"/>
      <w:suff w:val="nothing"/>
      <w:lvlText w:val="%1、"/>
      <w:lvlJc w:val="left"/>
      <w:rPr>
        <w:rFonts w:hint="eastAsia"/>
      </w:rPr>
    </w:lvl>
  </w:abstractNum>
  <w:abstractNum w:abstractNumId="6">
    <w:nsid w:val="552931DA"/>
    <w:multiLevelType w:val="singleLevel"/>
    <w:tmpl w:val="552931DA"/>
    <w:lvl w:ilvl="0" w:tentative="0">
      <w:start w:val="32"/>
      <w:numFmt w:val="decimal"/>
      <w:suff w:val="nothing"/>
      <w:lvlText w:val="%1、"/>
      <w:lvlJc w:val="left"/>
    </w:lvl>
  </w:abstractNum>
  <w:abstractNum w:abstractNumId="7">
    <w:nsid w:val="56555421"/>
    <w:multiLevelType w:val="singleLevel"/>
    <w:tmpl w:val="56555421"/>
    <w:lvl w:ilvl="0" w:tentative="0">
      <w:start w:val="3"/>
      <w:numFmt w:val="chineseCounting"/>
      <w:suff w:val="nothing"/>
      <w:lvlText w:val="%1、"/>
      <w:lvlJc w:val="left"/>
    </w:lvl>
  </w:abstractNum>
  <w:abstractNum w:abstractNumId="8">
    <w:nsid w:val="59F0223E"/>
    <w:multiLevelType w:val="singleLevel"/>
    <w:tmpl w:val="59F0223E"/>
    <w:lvl w:ilvl="0" w:tentative="0">
      <w:start w:val="2"/>
      <w:numFmt w:val="chineseCounting"/>
      <w:suff w:val="nothing"/>
      <w:lvlText w:val="%1、"/>
      <w:lvlJc w:val="left"/>
    </w:lvl>
  </w:abstractNum>
  <w:abstractNum w:abstractNumId="9">
    <w:nsid w:val="6D341451"/>
    <w:multiLevelType w:val="singleLevel"/>
    <w:tmpl w:val="6D341451"/>
    <w:lvl w:ilvl="0" w:tentative="0">
      <w:start w:val="3"/>
      <w:numFmt w:val="decimal"/>
      <w:pStyle w:val="61"/>
      <w:suff w:val="nothing"/>
      <w:lvlText w:val="（%1）"/>
      <w:lvlJc w:val="left"/>
      <w:rPr>
        <w:rFonts w:cs="Times New Roman"/>
      </w:rPr>
    </w:lvl>
  </w:abstractNum>
  <w:num w:numId="1">
    <w:abstractNumId w:val="2"/>
  </w:num>
  <w:num w:numId="2">
    <w:abstractNumId w:val="3"/>
  </w:num>
  <w:num w:numId="3">
    <w:abstractNumId w:val="9"/>
  </w:num>
  <w:num w:numId="4">
    <w:abstractNumId w:val="4"/>
  </w:num>
  <w:num w:numId="5">
    <w:abstractNumId w:val="5"/>
  </w:num>
  <w:num w:numId="6">
    <w:abstractNumId w:val="1"/>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MjM3MTMyZGZmNTQ1MWMxZWFhMzZjMjI5NzE2MDcifQ=="/>
  </w:docVars>
  <w:rsids>
    <w:rsidRoot w:val="00AD3374"/>
    <w:rsid w:val="000026B9"/>
    <w:rsid w:val="0000466D"/>
    <w:rsid w:val="0001055D"/>
    <w:rsid w:val="00011A8E"/>
    <w:rsid w:val="00014E4C"/>
    <w:rsid w:val="00016AFF"/>
    <w:rsid w:val="00020700"/>
    <w:rsid w:val="00024D05"/>
    <w:rsid w:val="0002664D"/>
    <w:rsid w:val="00026D2A"/>
    <w:rsid w:val="00033331"/>
    <w:rsid w:val="00034EA5"/>
    <w:rsid w:val="00034FC7"/>
    <w:rsid w:val="00041538"/>
    <w:rsid w:val="000425A0"/>
    <w:rsid w:val="0004336A"/>
    <w:rsid w:val="0004587C"/>
    <w:rsid w:val="0005033E"/>
    <w:rsid w:val="00051EE7"/>
    <w:rsid w:val="00052F5E"/>
    <w:rsid w:val="00053F4C"/>
    <w:rsid w:val="00054135"/>
    <w:rsid w:val="000543BA"/>
    <w:rsid w:val="00055C7B"/>
    <w:rsid w:val="000565EB"/>
    <w:rsid w:val="000579EC"/>
    <w:rsid w:val="00057AA1"/>
    <w:rsid w:val="00060FBD"/>
    <w:rsid w:val="000652D4"/>
    <w:rsid w:val="000675C0"/>
    <w:rsid w:val="000727A6"/>
    <w:rsid w:val="00073A02"/>
    <w:rsid w:val="000759DB"/>
    <w:rsid w:val="00075FC2"/>
    <w:rsid w:val="0007736E"/>
    <w:rsid w:val="00083E63"/>
    <w:rsid w:val="00083EE7"/>
    <w:rsid w:val="0008664E"/>
    <w:rsid w:val="00086C00"/>
    <w:rsid w:val="00090923"/>
    <w:rsid w:val="000936A3"/>
    <w:rsid w:val="00094BD9"/>
    <w:rsid w:val="00094F9E"/>
    <w:rsid w:val="000A0138"/>
    <w:rsid w:val="000A2AD7"/>
    <w:rsid w:val="000A3AD1"/>
    <w:rsid w:val="000A4400"/>
    <w:rsid w:val="000A4FAB"/>
    <w:rsid w:val="000A54C2"/>
    <w:rsid w:val="000B027C"/>
    <w:rsid w:val="000B0827"/>
    <w:rsid w:val="000B1977"/>
    <w:rsid w:val="000B6771"/>
    <w:rsid w:val="000C1DA1"/>
    <w:rsid w:val="000C5F27"/>
    <w:rsid w:val="000D024E"/>
    <w:rsid w:val="000D2551"/>
    <w:rsid w:val="000D3AB1"/>
    <w:rsid w:val="000D4355"/>
    <w:rsid w:val="000D4536"/>
    <w:rsid w:val="000D70F5"/>
    <w:rsid w:val="000D7C8F"/>
    <w:rsid w:val="000D7CAA"/>
    <w:rsid w:val="000D7FB6"/>
    <w:rsid w:val="000E0D1B"/>
    <w:rsid w:val="000E2C31"/>
    <w:rsid w:val="000E3C65"/>
    <w:rsid w:val="000E4737"/>
    <w:rsid w:val="000E5D57"/>
    <w:rsid w:val="000F05AA"/>
    <w:rsid w:val="000F10B8"/>
    <w:rsid w:val="000F176D"/>
    <w:rsid w:val="000F2B3F"/>
    <w:rsid w:val="000F4874"/>
    <w:rsid w:val="000F7A37"/>
    <w:rsid w:val="000F7BAE"/>
    <w:rsid w:val="00100FA6"/>
    <w:rsid w:val="0010215C"/>
    <w:rsid w:val="001027A9"/>
    <w:rsid w:val="00103535"/>
    <w:rsid w:val="00110B64"/>
    <w:rsid w:val="0011208B"/>
    <w:rsid w:val="0011504F"/>
    <w:rsid w:val="00115314"/>
    <w:rsid w:val="00115395"/>
    <w:rsid w:val="00115E41"/>
    <w:rsid w:val="00120E7D"/>
    <w:rsid w:val="00121D4A"/>
    <w:rsid w:val="0012552B"/>
    <w:rsid w:val="00136A4C"/>
    <w:rsid w:val="001377BE"/>
    <w:rsid w:val="00140A19"/>
    <w:rsid w:val="0014130A"/>
    <w:rsid w:val="00142839"/>
    <w:rsid w:val="0014302F"/>
    <w:rsid w:val="0014554A"/>
    <w:rsid w:val="001455E8"/>
    <w:rsid w:val="00146021"/>
    <w:rsid w:val="00146865"/>
    <w:rsid w:val="00146C45"/>
    <w:rsid w:val="0014763E"/>
    <w:rsid w:val="00153A31"/>
    <w:rsid w:val="00153EA9"/>
    <w:rsid w:val="00155FEC"/>
    <w:rsid w:val="0016148F"/>
    <w:rsid w:val="00164922"/>
    <w:rsid w:val="0016510C"/>
    <w:rsid w:val="0016514B"/>
    <w:rsid w:val="00166E94"/>
    <w:rsid w:val="00171455"/>
    <w:rsid w:val="00183593"/>
    <w:rsid w:val="00191064"/>
    <w:rsid w:val="00192513"/>
    <w:rsid w:val="001929E8"/>
    <w:rsid w:val="0019411B"/>
    <w:rsid w:val="0019655B"/>
    <w:rsid w:val="001A113E"/>
    <w:rsid w:val="001A1953"/>
    <w:rsid w:val="001A23F7"/>
    <w:rsid w:val="001A4B72"/>
    <w:rsid w:val="001B1F7E"/>
    <w:rsid w:val="001B48BA"/>
    <w:rsid w:val="001C13F8"/>
    <w:rsid w:val="001C4B09"/>
    <w:rsid w:val="001D3009"/>
    <w:rsid w:val="001D74C4"/>
    <w:rsid w:val="001E2D34"/>
    <w:rsid w:val="001E62AE"/>
    <w:rsid w:val="001F0494"/>
    <w:rsid w:val="001F2713"/>
    <w:rsid w:val="001F6A05"/>
    <w:rsid w:val="001F6FC1"/>
    <w:rsid w:val="002112B8"/>
    <w:rsid w:val="00212F11"/>
    <w:rsid w:val="0021437A"/>
    <w:rsid w:val="00215B44"/>
    <w:rsid w:val="00215D4A"/>
    <w:rsid w:val="0021672F"/>
    <w:rsid w:val="00217018"/>
    <w:rsid w:val="00217421"/>
    <w:rsid w:val="00217445"/>
    <w:rsid w:val="00217E8C"/>
    <w:rsid w:val="00225489"/>
    <w:rsid w:val="00225F99"/>
    <w:rsid w:val="00232455"/>
    <w:rsid w:val="002359FA"/>
    <w:rsid w:val="00235A32"/>
    <w:rsid w:val="00236B17"/>
    <w:rsid w:val="00237260"/>
    <w:rsid w:val="00240058"/>
    <w:rsid w:val="0024060B"/>
    <w:rsid w:val="00243570"/>
    <w:rsid w:val="00244815"/>
    <w:rsid w:val="00246923"/>
    <w:rsid w:val="00251EFF"/>
    <w:rsid w:val="00252AA8"/>
    <w:rsid w:val="00254A5D"/>
    <w:rsid w:val="002553B5"/>
    <w:rsid w:val="00255F72"/>
    <w:rsid w:val="00257A8E"/>
    <w:rsid w:val="00262032"/>
    <w:rsid w:val="002628D4"/>
    <w:rsid w:val="00262FD8"/>
    <w:rsid w:val="00264368"/>
    <w:rsid w:val="002649E9"/>
    <w:rsid w:val="002654BA"/>
    <w:rsid w:val="002718D7"/>
    <w:rsid w:val="002835BB"/>
    <w:rsid w:val="002848F5"/>
    <w:rsid w:val="0028655D"/>
    <w:rsid w:val="00287CBD"/>
    <w:rsid w:val="002904BF"/>
    <w:rsid w:val="002906FB"/>
    <w:rsid w:val="00292443"/>
    <w:rsid w:val="002944B9"/>
    <w:rsid w:val="002A028D"/>
    <w:rsid w:val="002A07FA"/>
    <w:rsid w:val="002A083D"/>
    <w:rsid w:val="002A0FE7"/>
    <w:rsid w:val="002A13F3"/>
    <w:rsid w:val="002A19CD"/>
    <w:rsid w:val="002A3B42"/>
    <w:rsid w:val="002A5B46"/>
    <w:rsid w:val="002A608F"/>
    <w:rsid w:val="002B0DF6"/>
    <w:rsid w:val="002B1388"/>
    <w:rsid w:val="002B26CC"/>
    <w:rsid w:val="002B3A9C"/>
    <w:rsid w:val="002B4A6C"/>
    <w:rsid w:val="002B52A9"/>
    <w:rsid w:val="002B6B26"/>
    <w:rsid w:val="002C28A8"/>
    <w:rsid w:val="002C292D"/>
    <w:rsid w:val="002C3497"/>
    <w:rsid w:val="002C4191"/>
    <w:rsid w:val="002C5B6E"/>
    <w:rsid w:val="002C7323"/>
    <w:rsid w:val="002D047A"/>
    <w:rsid w:val="002D2D93"/>
    <w:rsid w:val="002D5F22"/>
    <w:rsid w:val="002E3141"/>
    <w:rsid w:val="002E69BD"/>
    <w:rsid w:val="002E7DB8"/>
    <w:rsid w:val="002E7FA9"/>
    <w:rsid w:val="002F0238"/>
    <w:rsid w:val="002F1885"/>
    <w:rsid w:val="002F2401"/>
    <w:rsid w:val="002F25AA"/>
    <w:rsid w:val="002F5135"/>
    <w:rsid w:val="002F577B"/>
    <w:rsid w:val="00300C89"/>
    <w:rsid w:val="00302D8E"/>
    <w:rsid w:val="00303608"/>
    <w:rsid w:val="00303F7D"/>
    <w:rsid w:val="003041EB"/>
    <w:rsid w:val="00304795"/>
    <w:rsid w:val="003067A0"/>
    <w:rsid w:val="003073F0"/>
    <w:rsid w:val="00312FF0"/>
    <w:rsid w:val="00315B46"/>
    <w:rsid w:val="00316954"/>
    <w:rsid w:val="003174BF"/>
    <w:rsid w:val="003253B6"/>
    <w:rsid w:val="0032589D"/>
    <w:rsid w:val="00325B55"/>
    <w:rsid w:val="00326DAD"/>
    <w:rsid w:val="00327C34"/>
    <w:rsid w:val="00332CBC"/>
    <w:rsid w:val="003333B8"/>
    <w:rsid w:val="003341BD"/>
    <w:rsid w:val="00334EBE"/>
    <w:rsid w:val="00340E72"/>
    <w:rsid w:val="00342DE6"/>
    <w:rsid w:val="00351C52"/>
    <w:rsid w:val="00353525"/>
    <w:rsid w:val="00355D10"/>
    <w:rsid w:val="00360BD2"/>
    <w:rsid w:val="00365BB3"/>
    <w:rsid w:val="00375AC8"/>
    <w:rsid w:val="00375E60"/>
    <w:rsid w:val="00381A73"/>
    <w:rsid w:val="00382AEF"/>
    <w:rsid w:val="0038430F"/>
    <w:rsid w:val="00384F8E"/>
    <w:rsid w:val="0038633D"/>
    <w:rsid w:val="00387B13"/>
    <w:rsid w:val="00392DC3"/>
    <w:rsid w:val="00394950"/>
    <w:rsid w:val="00395648"/>
    <w:rsid w:val="003968D6"/>
    <w:rsid w:val="003A12EC"/>
    <w:rsid w:val="003A181C"/>
    <w:rsid w:val="003A3354"/>
    <w:rsid w:val="003A353C"/>
    <w:rsid w:val="003A3BDA"/>
    <w:rsid w:val="003A55AE"/>
    <w:rsid w:val="003A5A72"/>
    <w:rsid w:val="003A5F29"/>
    <w:rsid w:val="003A62D7"/>
    <w:rsid w:val="003A66CD"/>
    <w:rsid w:val="003A716E"/>
    <w:rsid w:val="003B75E7"/>
    <w:rsid w:val="003B7CC8"/>
    <w:rsid w:val="003C0074"/>
    <w:rsid w:val="003C09BD"/>
    <w:rsid w:val="003C0E41"/>
    <w:rsid w:val="003C2F09"/>
    <w:rsid w:val="003C3426"/>
    <w:rsid w:val="003C4F9F"/>
    <w:rsid w:val="003C7B64"/>
    <w:rsid w:val="003D2E67"/>
    <w:rsid w:val="003D7B27"/>
    <w:rsid w:val="003E542A"/>
    <w:rsid w:val="003F0E8C"/>
    <w:rsid w:val="003F691D"/>
    <w:rsid w:val="004038CE"/>
    <w:rsid w:val="0040400F"/>
    <w:rsid w:val="00404FA7"/>
    <w:rsid w:val="004103B2"/>
    <w:rsid w:val="00410C8C"/>
    <w:rsid w:val="004112F5"/>
    <w:rsid w:val="00413ABA"/>
    <w:rsid w:val="00424AF9"/>
    <w:rsid w:val="00425461"/>
    <w:rsid w:val="00425582"/>
    <w:rsid w:val="00425DA1"/>
    <w:rsid w:val="00427D10"/>
    <w:rsid w:val="00430B2A"/>
    <w:rsid w:val="00434266"/>
    <w:rsid w:val="0043485B"/>
    <w:rsid w:val="00435B0E"/>
    <w:rsid w:val="0044157F"/>
    <w:rsid w:val="00443967"/>
    <w:rsid w:val="00443F67"/>
    <w:rsid w:val="00444F9F"/>
    <w:rsid w:val="00444FD2"/>
    <w:rsid w:val="00446E48"/>
    <w:rsid w:val="0044740F"/>
    <w:rsid w:val="00447A38"/>
    <w:rsid w:val="004510FE"/>
    <w:rsid w:val="004515BC"/>
    <w:rsid w:val="00453DAE"/>
    <w:rsid w:val="00455905"/>
    <w:rsid w:val="00455FB1"/>
    <w:rsid w:val="00456235"/>
    <w:rsid w:val="004566F8"/>
    <w:rsid w:val="00456AC7"/>
    <w:rsid w:val="004602C7"/>
    <w:rsid w:val="004615DD"/>
    <w:rsid w:val="004623F0"/>
    <w:rsid w:val="0046249A"/>
    <w:rsid w:val="004631F1"/>
    <w:rsid w:val="00464486"/>
    <w:rsid w:val="00466698"/>
    <w:rsid w:val="004678E6"/>
    <w:rsid w:val="004716D3"/>
    <w:rsid w:val="00472831"/>
    <w:rsid w:val="00473DAC"/>
    <w:rsid w:val="00476193"/>
    <w:rsid w:val="00481889"/>
    <w:rsid w:val="00485E4C"/>
    <w:rsid w:val="004878F5"/>
    <w:rsid w:val="00487E64"/>
    <w:rsid w:val="00494274"/>
    <w:rsid w:val="00495F11"/>
    <w:rsid w:val="004A2087"/>
    <w:rsid w:val="004A2967"/>
    <w:rsid w:val="004A7339"/>
    <w:rsid w:val="004B3949"/>
    <w:rsid w:val="004B41EA"/>
    <w:rsid w:val="004B4F3C"/>
    <w:rsid w:val="004B52F7"/>
    <w:rsid w:val="004C0F8C"/>
    <w:rsid w:val="004C44C6"/>
    <w:rsid w:val="004C541C"/>
    <w:rsid w:val="004C6169"/>
    <w:rsid w:val="004D195A"/>
    <w:rsid w:val="004D1B53"/>
    <w:rsid w:val="004D291B"/>
    <w:rsid w:val="004D2F48"/>
    <w:rsid w:val="004D474C"/>
    <w:rsid w:val="004D5860"/>
    <w:rsid w:val="004D600E"/>
    <w:rsid w:val="004D6733"/>
    <w:rsid w:val="004D6D8A"/>
    <w:rsid w:val="004E44A4"/>
    <w:rsid w:val="004E6320"/>
    <w:rsid w:val="004E7659"/>
    <w:rsid w:val="004F2BBC"/>
    <w:rsid w:val="004F33C4"/>
    <w:rsid w:val="004F41D2"/>
    <w:rsid w:val="004F533D"/>
    <w:rsid w:val="004F5C13"/>
    <w:rsid w:val="004F73A4"/>
    <w:rsid w:val="005007DA"/>
    <w:rsid w:val="00503CC2"/>
    <w:rsid w:val="005051CE"/>
    <w:rsid w:val="005051DC"/>
    <w:rsid w:val="00505CBA"/>
    <w:rsid w:val="00511FBE"/>
    <w:rsid w:val="00513156"/>
    <w:rsid w:val="00515BDA"/>
    <w:rsid w:val="00516A17"/>
    <w:rsid w:val="00517F19"/>
    <w:rsid w:val="00522D9A"/>
    <w:rsid w:val="00526763"/>
    <w:rsid w:val="00530608"/>
    <w:rsid w:val="005332D4"/>
    <w:rsid w:val="005332E4"/>
    <w:rsid w:val="00536893"/>
    <w:rsid w:val="005374C9"/>
    <w:rsid w:val="00540774"/>
    <w:rsid w:val="00542A4F"/>
    <w:rsid w:val="00547A42"/>
    <w:rsid w:val="00547EB3"/>
    <w:rsid w:val="0056471D"/>
    <w:rsid w:val="0056475A"/>
    <w:rsid w:val="00566E4E"/>
    <w:rsid w:val="00567AF3"/>
    <w:rsid w:val="00574716"/>
    <w:rsid w:val="005759F6"/>
    <w:rsid w:val="00575AB3"/>
    <w:rsid w:val="00580BB9"/>
    <w:rsid w:val="00584936"/>
    <w:rsid w:val="00585079"/>
    <w:rsid w:val="0058796B"/>
    <w:rsid w:val="00590A75"/>
    <w:rsid w:val="005929DC"/>
    <w:rsid w:val="00592F98"/>
    <w:rsid w:val="0059466C"/>
    <w:rsid w:val="00594730"/>
    <w:rsid w:val="005955A8"/>
    <w:rsid w:val="00595DCA"/>
    <w:rsid w:val="005A120D"/>
    <w:rsid w:val="005A3B24"/>
    <w:rsid w:val="005A5273"/>
    <w:rsid w:val="005B0820"/>
    <w:rsid w:val="005B17DB"/>
    <w:rsid w:val="005B2FBF"/>
    <w:rsid w:val="005C146A"/>
    <w:rsid w:val="005C3F6E"/>
    <w:rsid w:val="005C40BD"/>
    <w:rsid w:val="005C4417"/>
    <w:rsid w:val="005C66C9"/>
    <w:rsid w:val="005C6F6C"/>
    <w:rsid w:val="005C7D18"/>
    <w:rsid w:val="005C7E94"/>
    <w:rsid w:val="005D045A"/>
    <w:rsid w:val="005D2CC2"/>
    <w:rsid w:val="005D39F4"/>
    <w:rsid w:val="005D3B80"/>
    <w:rsid w:val="005D4E05"/>
    <w:rsid w:val="005D4F27"/>
    <w:rsid w:val="005E0D97"/>
    <w:rsid w:val="005E337E"/>
    <w:rsid w:val="005E57AD"/>
    <w:rsid w:val="005F1D89"/>
    <w:rsid w:val="005F31B3"/>
    <w:rsid w:val="005F48FA"/>
    <w:rsid w:val="005F4BEE"/>
    <w:rsid w:val="006003D5"/>
    <w:rsid w:val="00604328"/>
    <w:rsid w:val="00607213"/>
    <w:rsid w:val="00610595"/>
    <w:rsid w:val="00612F39"/>
    <w:rsid w:val="00614CA9"/>
    <w:rsid w:val="00615C02"/>
    <w:rsid w:val="00620611"/>
    <w:rsid w:val="00621393"/>
    <w:rsid w:val="00621C3E"/>
    <w:rsid w:val="00624F5D"/>
    <w:rsid w:val="00626794"/>
    <w:rsid w:val="00631118"/>
    <w:rsid w:val="00633AFB"/>
    <w:rsid w:val="00633E54"/>
    <w:rsid w:val="006355C7"/>
    <w:rsid w:val="00635F49"/>
    <w:rsid w:val="00636006"/>
    <w:rsid w:val="00636FB5"/>
    <w:rsid w:val="006417E1"/>
    <w:rsid w:val="00643C3B"/>
    <w:rsid w:val="00650E62"/>
    <w:rsid w:val="00651EFF"/>
    <w:rsid w:val="00653690"/>
    <w:rsid w:val="00661AC9"/>
    <w:rsid w:val="00661F98"/>
    <w:rsid w:val="00662751"/>
    <w:rsid w:val="00662F9B"/>
    <w:rsid w:val="00664124"/>
    <w:rsid w:val="0066440F"/>
    <w:rsid w:val="00666041"/>
    <w:rsid w:val="00670F75"/>
    <w:rsid w:val="00671F54"/>
    <w:rsid w:val="006727F8"/>
    <w:rsid w:val="00676091"/>
    <w:rsid w:val="006776ED"/>
    <w:rsid w:val="0068046E"/>
    <w:rsid w:val="006834E8"/>
    <w:rsid w:val="00684C5A"/>
    <w:rsid w:val="00686476"/>
    <w:rsid w:val="006873F6"/>
    <w:rsid w:val="006912C0"/>
    <w:rsid w:val="006919E4"/>
    <w:rsid w:val="0069319B"/>
    <w:rsid w:val="006935FA"/>
    <w:rsid w:val="00695D5A"/>
    <w:rsid w:val="00695E45"/>
    <w:rsid w:val="006A00E1"/>
    <w:rsid w:val="006A532B"/>
    <w:rsid w:val="006A569D"/>
    <w:rsid w:val="006A7731"/>
    <w:rsid w:val="006B1457"/>
    <w:rsid w:val="006B1EFA"/>
    <w:rsid w:val="006C0EFB"/>
    <w:rsid w:val="006C39D5"/>
    <w:rsid w:val="006D05EA"/>
    <w:rsid w:val="006D183F"/>
    <w:rsid w:val="006D3E83"/>
    <w:rsid w:val="006E02AA"/>
    <w:rsid w:val="006E1071"/>
    <w:rsid w:val="006E1098"/>
    <w:rsid w:val="006E2CA5"/>
    <w:rsid w:val="006E6C3F"/>
    <w:rsid w:val="006E6F39"/>
    <w:rsid w:val="006F4126"/>
    <w:rsid w:val="006F4E54"/>
    <w:rsid w:val="006F515D"/>
    <w:rsid w:val="00700E7E"/>
    <w:rsid w:val="00701972"/>
    <w:rsid w:val="00701E67"/>
    <w:rsid w:val="007029CB"/>
    <w:rsid w:val="00705267"/>
    <w:rsid w:val="007102FE"/>
    <w:rsid w:val="007118A8"/>
    <w:rsid w:val="007138AC"/>
    <w:rsid w:val="0071447C"/>
    <w:rsid w:val="00715602"/>
    <w:rsid w:val="007176C8"/>
    <w:rsid w:val="00717F28"/>
    <w:rsid w:val="00720AAA"/>
    <w:rsid w:val="00722881"/>
    <w:rsid w:val="00724300"/>
    <w:rsid w:val="00724CAB"/>
    <w:rsid w:val="007250AD"/>
    <w:rsid w:val="0072608E"/>
    <w:rsid w:val="007328EF"/>
    <w:rsid w:val="00733075"/>
    <w:rsid w:val="007351C0"/>
    <w:rsid w:val="00743E5A"/>
    <w:rsid w:val="00747465"/>
    <w:rsid w:val="007531CF"/>
    <w:rsid w:val="00755047"/>
    <w:rsid w:val="00757997"/>
    <w:rsid w:val="00761D29"/>
    <w:rsid w:val="00762474"/>
    <w:rsid w:val="00764A15"/>
    <w:rsid w:val="00765A00"/>
    <w:rsid w:val="00780C2E"/>
    <w:rsid w:val="00780DCA"/>
    <w:rsid w:val="00781266"/>
    <w:rsid w:val="007840CE"/>
    <w:rsid w:val="0078509E"/>
    <w:rsid w:val="0079117F"/>
    <w:rsid w:val="007915F5"/>
    <w:rsid w:val="007919D5"/>
    <w:rsid w:val="00793C68"/>
    <w:rsid w:val="00794151"/>
    <w:rsid w:val="00795A17"/>
    <w:rsid w:val="00796F54"/>
    <w:rsid w:val="00797664"/>
    <w:rsid w:val="007A160D"/>
    <w:rsid w:val="007A5DE4"/>
    <w:rsid w:val="007A6B53"/>
    <w:rsid w:val="007B165C"/>
    <w:rsid w:val="007B3E52"/>
    <w:rsid w:val="007C22AD"/>
    <w:rsid w:val="007C77BA"/>
    <w:rsid w:val="007C7A92"/>
    <w:rsid w:val="007C7AB8"/>
    <w:rsid w:val="007C7D0E"/>
    <w:rsid w:val="007D0D4C"/>
    <w:rsid w:val="007D48DC"/>
    <w:rsid w:val="007D7991"/>
    <w:rsid w:val="007E1405"/>
    <w:rsid w:val="007E1F38"/>
    <w:rsid w:val="007E244B"/>
    <w:rsid w:val="007E3186"/>
    <w:rsid w:val="007E465F"/>
    <w:rsid w:val="007F00FD"/>
    <w:rsid w:val="007F0BD8"/>
    <w:rsid w:val="007F128F"/>
    <w:rsid w:val="007F20C3"/>
    <w:rsid w:val="007F3F3E"/>
    <w:rsid w:val="007F72D5"/>
    <w:rsid w:val="00802528"/>
    <w:rsid w:val="00803B9C"/>
    <w:rsid w:val="00805DD7"/>
    <w:rsid w:val="00806B52"/>
    <w:rsid w:val="00810EE7"/>
    <w:rsid w:val="00811A11"/>
    <w:rsid w:val="00817BF7"/>
    <w:rsid w:val="008220A3"/>
    <w:rsid w:val="00823474"/>
    <w:rsid w:val="0082347F"/>
    <w:rsid w:val="0082412D"/>
    <w:rsid w:val="00826656"/>
    <w:rsid w:val="00826A02"/>
    <w:rsid w:val="008272D8"/>
    <w:rsid w:val="0082738D"/>
    <w:rsid w:val="00830C6C"/>
    <w:rsid w:val="00834755"/>
    <w:rsid w:val="00835174"/>
    <w:rsid w:val="00837840"/>
    <w:rsid w:val="00843CDE"/>
    <w:rsid w:val="00844550"/>
    <w:rsid w:val="00845C90"/>
    <w:rsid w:val="00847123"/>
    <w:rsid w:val="00847A2A"/>
    <w:rsid w:val="008518B5"/>
    <w:rsid w:val="00852762"/>
    <w:rsid w:val="00853EDE"/>
    <w:rsid w:val="00856E85"/>
    <w:rsid w:val="00862F64"/>
    <w:rsid w:val="008672B2"/>
    <w:rsid w:val="008675E3"/>
    <w:rsid w:val="008703A6"/>
    <w:rsid w:val="008709B4"/>
    <w:rsid w:val="00872779"/>
    <w:rsid w:val="00872BDF"/>
    <w:rsid w:val="00872C63"/>
    <w:rsid w:val="00875463"/>
    <w:rsid w:val="00876178"/>
    <w:rsid w:val="008829A9"/>
    <w:rsid w:val="0088590E"/>
    <w:rsid w:val="00886431"/>
    <w:rsid w:val="00893194"/>
    <w:rsid w:val="00896C79"/>
    <w:rsid w:val="0089717A"/>
    <w:rsid w:val="00897FDD"/>
    <w:rsid w:val="008A6572"/>
    <w:rsid w:val="008B10D4"/>
    <w:rsid w:val="008B3BBD"/>
    <w:rsid w:val="008B402F"/>
    <w:rsid w:val="008B5408"/>
    <w:rsid w:val="008B77D4"/>
    <w:rsid w:val="008C153C"/>
    <w:rsid w:val="008C7478"/>
    <w:rsid w:val="008C7673"/>
    <w:rsid w:val="008D1943"/>
    <w:rsid w:val="008D195C"/>
    <w:rsid w:val="008D4C54"/>
    <w:rsid w:val="008D50B7"/>
    <w:rsid w:val="008E13DC"/>
    <w:rsid w:val="008E3111"/>
    <w:rsid w:val="008E3A97"/>
    <w:rsid w:val="008E4883"/>
    <w:rsid w:val="008E501C"/>
    <w:rsid w:val="008E51E9"/>
    <w:rsid w:val="008E5297"/>
    <w:rsid w:val="008E674E"/>
    <w:rsid w:val="008F1069"/>
    <w:rsid w:val="008F26D9"/>
    <w:rsid w:val="008F288F"/>
    <w:rsid w:val="008F3C6E"/>
    <w:rsid w:val="008F612D"/>
    <w:rsid w:val="008F6184"/>
    <w:rsid w:val="00912222"/>
    <w:rsid w:val="009137AE"/>
    <w:rsid w:val="009157FB"/>
    <w:rsid w:val="00922558"/>
    <w:rsid w:val="00923713"/>
    <w:rsid w:val="009263A0"/>
    <w:rsid w:val="00926EF8"/>
    <w:rsid w:val="00930449"/>
    <w:rsid w:val="0093171A"/>
    <w:rsid w:val="00931CC2"/>
    <w:rsid w:val="009377E5"/>
    <w:rsid w:val="0094177E"/>
    <w:rsid w:val="00941E6F"/>
    <w:rsid w:val="009422CA"/>
    <w:rsid w:val="00943B48"/>
    <w:rsid w:val="00952088"/>
    <w:rsid w:val="00952773"/>
    <w:rsid w:val="00952798"/>
    <w:rsid w:val="00953CA4"/>
    <w:rsid w:val="00955E6E"/>
    <w:rsid w:val="009618B6"/>
    <w:rsid w:val="00962205"/>
    <w:rsid w:val="00964FDF"/>
    <w:rsid w:val="00970459"/>
    <w:rsid w:val="0097051B"/>
    <w:rsid w:val="00971E52"/>
    <w:rsid w:val="00976E35"/>
    <w:rsid w:val="00980E22"/>
    <w:rsid w:val="00981C04"/>
    <w:rsid w:val="00981C2E"/>
    <w:rsid w:val="0098238E"/>
    <w:rsid w:val="00983A20"/>
    <w:rsid w:val="0099190E"/>
    <w:rsid w:val="009954A6"/>
    <w:rsid w:val="00997E33"/>
    <w:rsid w:val="00997F33"/>
    <w:rsid w:val="009A40EA"/>
    <w:rsid w:val="009A4DE6"/>
    <w:rsid w:val="009A5054"/>
    <w:rsid w:val="009A5208"/>
    <w:rsid w:val="009A7A48"/>
    <w:rsid w:val="009C3B8F"/>
    <w:rsid w:val="009C4430"/>
    <w:rsid w:val="009C562B"/>
    <w:rsid w:val="009C5E52"/>
    <w:rsid w:val="009D0720"/>
    <w:rsid w:val="009D0A35"/>
    <w:rsid w:val="009D28A7"/>
    <w:rsid w:val="009D4D9B"/>
    <w:rsid w:val="009E33A5"/>
    <w:rsid w:val="009E3762"/>
    <w:rsid w:val="009E4701"/>
    <w:rsid w:val="009E4E36"/>
    <w:rsid w:val="009F0753"/>
    <w:rsid w:val="009F109F"/>
    <w:rsid w:val="009F38AA"/>
    <w:rsid w:val="009F6527"/>
    <w:rsid w:val="00A0142F"/>
    <w:rsid w:val="00A0438C"/>
    <w:rsid w:val="00A047E5"/>
    <w:rsid w:val="00A05210"/>
    <w:rsid w:val="00A06A82"/>
    <w:rsid w:val="00A07BB2"/>
    <w:rsid w:val="00A11DCB"/>
    <w:rsid w:val="00A13D5B"/>
    <w:rsid w:val="00A144FF"/>
    <w:rsid w:val="00A21453"/>
    <w:rsid w:val="00A21E7E"/>
    <w:rsid w:val="00A321BA"/>
    <w:rsid w:val="00A32287"/>
    <w:rsid w:val="00A33180"/>
    <w:rsid w:val="00A3372F"/>
    <w:rsid w:val="00A35CB3"/>
    <w:rsid w:val="00A35DB3"/>
    <w:rsid w:val="00A37017"/>
    <w:rsid w:val="00A4146B"/>
    <w:rsid w:val="00A41C9C"/>
    <w:rsid w:val="00A442FB"/>
    <w:rsid w:val="00A45467"/>
    <w:rsid w:val="00A512DE"/>
    <w:rsid w:val="00A5157A"/>
    <w:rsid w:val="00A52BE8"/>
    <w:rsid w:val="00A56D70"/>
    <w:rsid w:val="00A5751B"/>
    <w:rsid w:val="00A652B3"/>
    <w:rsid w:val="00A71033"/>
    <w:rsid w:val="00A71635"/>
    <w:rsid w:val="00A72905"/>
    <w:rsid w:val="00A74229"/>
    <w:rsid w:val="00A74390"/>
    <w:rsid w:val="00A77C31"/>
    <w:rsid w:val="00A842AA"/>
    <w:rsid w:val="00A87ECD"/>
    <w:rsid w:val="00A94DF0"/>
    <w:rsid w:val="00A964BE"/>
    <w:rsid w:val="00A966EB"/>
    <w:rsid w:val="00AA04F7"/>
    <w:rsid w:val="00AA268E"/>
    <w:rsid w:val="00AA3B51"/>
    <w:rsid w:val="00AA55E2"/>
    <w:rsid w:val="00AA66B0"/>
    <w:rsid w:val="00AA773A"/>
    <w:rsid w:val="00AA7DB0"/>
    <w:rsid w:val="00AB0E4A"/>
    <w:rsid w:val="00AB1086"/>
    <w:rsid w:val="00AC5022"/>
    <w:rsid w:val="00AC7840"/>
    <w:rsid w:val="00AD3374"/>
    <w:rsid w:val="00AD3421"/>
    <w:rsid w:val="00AD5561"/>
    <w:rsid w:val="00AE1249"/>
    <w:rsid w:val="00AE1D12"/>
    <w:rsid w:val="00AE4930"/>
    <w:rsid w:val="00AE7164"/>
    <w:rsid w:val="00AE7C86"/>
    <w:rsid w:val="00AF0547"/>
    <w:rsid w:val="00AF2718"/>
    <w:rsid w:val="00AF7ADE"/>
    <w:rsid w:val="00B02AD0"/>
    <w:rsid w:val="00B0309E"/>
    <w:rsid w:val="00B04E68"/>
    <w:rsid w:val="00B164C6"/>
    <w:rsid w:val="00B21AE2"/>
    <w:rsid w:val="00B23467"/>
    <w:rsid w:val="00B23569"/>
    <w:rsid w:val="00B26475"/>
    <w:rsid w:val="00B27286"/>
    <w:rsid w:val="00B325DC"/>
    <w:rsid w:val="00B36C4B"/>
    <w:rsid w:val="00B37B98"/>
    <w:rsid w:val="00B4104A"/>
    <w:rsid w:val="00B46B21"/>
    <w:rsid w:val="00B4715E"/>
    <w:rsid w:val="00B54B87"/>
    <w:rsid w:val="00B55391"/>
    <w:rsid w:val="00B56612"/>
    <w:rsid w:val="00B56913"/>
    <w:rsid w:val="00B6021B"/>
    <w:rsid w:val="00B61CCC"/>
    <w:rsid w:val="00B65118"/>
    <w:rsid w:val="00B66165"/>
    <w:rsid w:val="00B705A5"/>
    <w:rsid w:val="00B808F1"/>
    <w:rsid w:val="00B80B70"/>
    <w:rsid w:val="00B82579"/>
    <w:rsid w:val="00B83AA0"/>
    <w:rsid w:val="00B8632E"/>
    <w:rsid w:val="00B873C5"/>
    <w:rsid w:val="00B90E68"/>
    <w:rsid w:val="00B93828"/>
    <w:rsid w:val="00BA1D43"/>
    <w:rsid w:val="00BA3CBD"/>
    <w:rsid w:val="00BA4AA9"/>
    <w:rsid w:val="00BA5E71"/>
    <w:rsid w:val="00BA6AE7"/>
    <w:rsid w:val="00BB0AA0"/>
    <w:rsid w:val="00BB13E3"/>
    <w:rsid w:val="00BB2E21"/>
    <w:rsid w:val="00BB57E3"/>
    <w:rsid w:val="00BB691F"/>
    <w:rsid w:val="00BC0B7B"/>
    <w:rsid w:val="00BC0CDA"/>
    <w:rsid w:val="00BC1901"/>
    <w:rsid w:val="00BC4815"/>
    <w:rsid w:val="00BC5775"/>
    <w:rsid w:val="00BD290C"/>
    <w:rsid w:val="00BE193D"/>
    <w:rsid w:val="00BE5021"/>
    <w:rsid w:val="00BE602A"/>
    <w:rsid w:val="00BE70DD"/>
    <w:rsid w:val="00BE7A6B"/>
    <w:rsid w:val="00BF0D15"/>
    <w:rsid w:val="00BF50A0"/>
    <w:rsid w:val="00BF67FA"/>
    <w:rsid w:val="00C00020"/>
    <w:rsid w:val="00C0174A"/>
    <w:rsid w:val="00C0239D"/>
    <w:rsid w:val="00C02719"/>
    <w:rsid w:val="00C03872"/>
    <w:rsid w:val="00C04128"/>
    <w:rsid w:val="00C06858"/>
    <w:rsid w:val="00C12158"/>
    <w:rsid w:val="00C12F33"/>
    <w:rsid w:val="00C138A8"/>
    <w:rsid w:val="00C165E1"/>
    <w:rsid w:val="00C23392"/>
    <w:rsid w:val="00C27351"/>
    <w:rsid w:val="00C30EAB"/>
    <w:rsid w:val="00C33021"/>
    <w:rsid w:val="00C40CCE"/>
    <w:rsid w:val="00C414CA"/>
    <w:rsid w:val="00C4757E"/>
    <w:rsid w:val="00C4784D"/>
    <w:rsid w:val="00C53422"/>
    <w:rsid w:val="00C53935"/>
    <w:rsid w:val="00C550CD"/>
    <w:rsid w:val="00C56AF8"/>
    <w:rsid w:val="00C56E11"/>
    <w:rsid w:val="00C57DAF"/>
    <w:rsid w:val="00C64ABB"/>
    <w:rsid w:val="00C6567F"/>
    <w:rsid w:val="00C6626A"/>
    <w:rsid w:val="00C77A6C"/>
    <w:rsid w:val="00C804EA"/>
    <w:rsid w:val="00C80C59"/>
    <w:rsid w:val="00C912F4"/>
    <w:rsid w:val="00C93959"/>
    <w:rsid w:val="00C94DC3"/>
    <w:rsid w:val="00CA6ABA"/>
    <w:rsid w:val="00CB003E"/>
    <w:rsid w:val="00CB2724"/>
    <w:rsid w:val="00CB2AA7"/>
    <w:rsid w:val="00CB3778"/>
    <w:rsid w:val="00CB3923"/>
    <w:rsid w:val="00CB55CE"/>
    <w:rsid w:val="00CB665C"/>
    <w:rsid w:val="00CC16DF"/>
    <w:rsid w:val="00CC73FC"/>
    <w:rsid w:val="00CD4AEE"/>
    <w:rsid w:val="00CD579A"/>
    <w:rsid w:val="00CE081F"/>
    <w:rsid w:val="00CE08EB"/>
    <w:rsid w:val="00CE0F86"/>
    <w:rsid w:val="00CE5C81"/>
    <w:rsid w:val="00CE74AA"/>
    <w:rsid w:val="00CE7609"/>
    <w:rsid w:val="00CF1353"/>
    <w:rsid w:val="00CF3B0C"/>
    <w:rsid w:val="00CF5500"/>
    <w:rsid w:val="00CF6A55"/>
    <w:rsid w:val="00CF6D42"/>
    <w:rsid w:val="00CF6E9E"/>
    <w:rsid w:val="00D05949"/>
    <w:rsid w:val="00D0678E"/>
    <w:rsid w:val="00D122F4"/>
    <w:rsid w:val="00D13369"/>
    <w:rsid w:val="00D15421"/>
    <w:rsid w:val="00D16104"/>
    <w:rsid w:val="00D215DD"/>
    <w:rsid w:val="00D230F4"/>
    <w:rsid w:val="00D234DB"/>
    <w:rsid w:val="00D34E9F"/>
    <w:rsid w:val="00D40B44"/>
    <w:rsid w:val="00D42F49"/>
    <w:rsid w:val="00D44FA8"/>
    <w:rsid w:val="00D469A0"/>
    <w:rsid w:val="00D4726D"/>
    <w:rsid w:val="00D47C09"/>
    <w:rsid w:val="00D555ED"/>
    <w:rsid w:val="00D55941"/>
    <w:rsid w:val="00D55B18"/>
    <w:rsid w:val="00D57D10"/>
    <w:rsid w:val="00D6635E"/>
    <w:rsid w:val="00D67A5F"/>
    <w:rsid w:val="00D67C44"/>
    <w:rsid w:val="00D74570"/>
    <w:rsid w:val="00D74C21"/>
    <w:rsid w:val="00D77996"/>
    <w:rsid w:val="00D82123"/>
    <w:rsid w:val="00D84622"/>
    <w:rsid w:val="00D87751"/>
    <w:rsid w:val="00D87CAD"/>
    <w:rsid w:val="00D91564"/>
    <w:rsid w:val="00D92419"/>
    <w:rsid w:val="00D940B3"/>
    <w:rsid w:val="00D96B9A"/>
    <w:rsid w:val="00DA0A53"/>
    <w:rsid w:val="00DA0B96"/>
    <w:rsid w:val="00DA3895"/>
    <w:rsid w:val="00DA79B5"/>
    <w:rsid w:val="00DB0507"/>
    <w:rsid w:val="00DB05F8"/>
    <w:rsid w:val="00DB1EC3"/>
    <w:rsid w:val="00DB4780"/>
    <w:rsid w:val="00DB4856"/>
    <w:rsid w:val="00DC0281"/>
    <w:rsid w:val="00DC0C59"/>
    <w:rsid w:val="00DC14F7"/>
    <w:rsid w:val="00DC389C"/>
    <w:rsid w:val="00DC4299"/>
    <w:rsid w:val="00DD70B2"/>
    <w:rsid w:val="00DD7BF9"/>
    <w:rsid w:val="00DE012F"/>
    <w:rsid w:val="00DE3052"/>
    <w:rsid w:val="00DE3493"/>
    <w:rsid w:val="00DE3823"/>
    <w:rsid w:val="00DE66EB"/>
    <w:rsid w:val="00DF011A"/>
    <w:rsid w:val="00DF0408"/>
    <w:rsid w:val="00DF0BB5"/>
    <w:rsid w:val="00DF14E4"/>
    <w:rsid w:val="00DF22BE"/>
    <w:rsid w:val="00DF3B67"/>
    <w:rsid w:val="00DF4548"/>
    <w:rsid w:val="00DF4E9E"/>
    <w:rsid w:val="00E02DA2"/>
    <w:rsid w:val="00E046D4"/>
    <w:rsid w:val="00E05660"/>
    <w:rsid w:val="00E077F8"/>
    <w:rsid w:val="00E07D3F"/>
    <w:rsid w:val="00E118DD"/>
    <w:rsid w:val="00E128DE"/>
    <w:rsid w:val="00E13AA0"/>
    <w:rsid w:val="00E17918"/>
    <w:rsid w:val="00E20753"/>
    <w:rsid w:val="00E224C2"/>
    <w:rsid w:val="00E2331B"/>
    <w:rsid w:val="00E277E7"/>
    <w:rsid w:val="00E300A8"/>
    <w:rsid w:val="00E30B87"/>
    <w:rsid w:val="00E30C12"/>
    <w:rsid w:val="00E32596"/>
    <w:rsid w:val="00E32836"/>
    <w:rsid w:val="00E33CC7"/>
    <w:rsid w:val="00E35263"/>
    <w:rsid w:val="00E358DF"/>
    <w:rsid w:val="00E365F4"/>
    <w:rsid w:val="00E36C9B"/>
    <w:rsid w:val="00E41051"/>
    <w:rsid w:val="00E41445"/>
    <w:rsid w:val="00E4282E"/>
    <w:rsid w:val="00E43325"/>
    <w:rsid w:val="00E45C2A"/>
    <w:rsid w:val="00E4640F"/>
    <w:rsid w:val="00E5201A"/>
    <w:rsid w:val="00E55F48"/>
    <w:rsid w:val="00E57E78"/>
    <w:rsid w:val="00E620E6"/>
    <w:rsid w:val="00E64B51"/>
    <w:rsid w:val="00E6689F"/>
    <w:rsid w:val="00E70A64"/>
    <w:rsid w:val="00E71060"/>
    <w:rsid w:val="00E749E7"/>
    <w:rsid w:val="00E775AC"/>
    <w:rsid w:val="00E77C5D"/>
    <w:rsid w:val="00E81684"/>
    <w:rsid w:val="00E82931"/>
    <w:rsid w:val="00E84788"/>
    <w:rsid w:val="00E860A9"/>
    <w:rsid w:val="00E86A9C"/>
    <w:rsid w:val="00E912A6"/>
    <w:rsid w:val="00E9445F"/>
    <w:rsid w:val="00E976D6"/>
    <w:rsid w:val="00EA04C3"/>
    <w:rsid w:val="00EA240F"/>
    <w:rsid w:val="00EA5859"/>
    <w:rsid w:val="00EC15B9"/>
    <w:rsid w:val="00EC52BB"/>
    <w:rsid w:val="00ED362C"/>
    <w:rsid w:val="00ED3C3B"/>
    <w:rsid w:val="00ED7C98"/>
    <w:rsid w:val="00EE3AE9"/>
    <w:rsid w:val="00EE53DC"/>
    <w:rsid w:val="00EE58E9"/>
    <w:rsid w:val="00EF2BA4"/>
    <w:rsid w:val="00EF3D0D"/>
    <w:rsid w:val="00EF55F5"/>
    <w:rsid w:val="00EF5C18"/>
    <w:rsid w:val="00F00A04"/>
    <w:rsid w:val="00F02E6D"/>
    <w:rsid w:val="00F054D7"/>
    <w:rsid w:val="00F07B00"/>
    <w:rsid w:val="00F111D8"/>
    <w:rsid w:val="00F12DEF"/>
    <w:rsid w:val="00F23EA7"/>
    <w:rsid w:val="00F25BAE"/>
    <w:rsid w:val="00F3128F"/>
    <w:rsid w:val="00F3198E"/>
    <w:rsid w:val="00F35147"/>
    <w:rsid w:val="00F35F27"/>
    <w:rsid w:val="00F37E2A"/>
    <w:rsid w:val="00F42E61"/>
    <w:rsid w:val="00F43C11"/>
    <w:rsid w:val="00F45172"/>
    <w:rsid w:val="00F51254"/>
    <w:rsid w:val="00F52848"/>
    <w:rsid w:val="00F53C90"/>
    <w:rsid w:val="00F54D4F"/>
    <w:rsid w:val="00F56371"/>
    <w:rsid w:val="00F56581"/>
    <w:rsid w:val="00F65F86"/>
    <w:rsid w:val="00F673B1"/>
    <w:rsid w:val="00F7025B"/>
    <w:rsid w:val="00F713B8"/>
    <w:rsid w:val="00F7580B"/>
    <w:rsid w:val="00F8073D"/>
    <w:rsid w:val="00F80CA2"/>
    <w:rsid w:val="00F80F6D"/>
    <w:rsid w:val="00F816CE"/>
    <w:rsid w:val="00F8352B"/>
    <w:rsid w:val="00F87AB3"/>
    <w:rsid w:val="00F90C08"/>
    <w:rsid w:val="00F91B4D"/>
    <w:rsid w:val="00F93983"/>
    <w:rsid w:val="00F93A39"/>
    <w:rsid w:val="00F96758"/>
    <w:rsid w:val="00F96A31"/>
    <w:rsid w:val="00F97D6C"/>
    <w:rsid w:val="00FA1EB1"/>
    <w:rsid w:val="00FA6B37"/>
    <w:rsid w:val="00FB11C7"/>
    <w:rsid w:val="00FB6F48"/>
    <w:rsid w:val="00FC235E"/>
    <w:rsid w:val="00FC23AF"/>
    <w:rsid w:val="00FC3C26"/>
    <w:rsid w:val="00FC7B2F"/>
    <w:rsid w:val="00FD0AD7"/>
    <w:rsid w:val="00FD1750"/>
    <w:rsid w:val="00FD194B"/>
    <w:rsid w:val="00FD5FF6"/>
    <w:rsid w:val="00FD682A"/>
    <w:rsid w:val="00FD682F"/>
    <w:rsid w:val="00FE047C"/>
    <w:rsid w:val="00FE1E68"/>
    <w:rsid w:val="00FE440E"/>
    <w:rsid w:val="00FE5D8F"/>
    <w:rsid w:val="00FF1070"/>
    <w:rsid w:val="00FF7963"/>
    <w:rsid w:val="00FF79FB"/>
    <w:rsid w:val="010D460F"/>
    <w:rsid w:val="011F65D6"/>
    <w:rsid w:val="01281720"/>
    <w:rsid w:val="013B676D"/>
    <w:rsid w:val="0158156C"/>
    <w:rsid w:val="0159247D"/>
    <w:rsid w:val="015D6E80"/>
    <w:rsid w:val="016E63F9"/>
    <w:rsid w:val="019A7C7D"/>
    <w:rsid w:val="01AD2E01"/>
    <w:rsid w:val="01AD5503"/>
    <w:rsid w:val="01B175E6"/>
    <w:rsid w:val="01B7598C"/>
    <w:rsid w:val="01CE26A0"/>
    <w:rsid w:val="01CF4023"/>
    <w:rsid w:val="01D053DF"/>
    <w:rsid w:val="01D06754"/>
    <w:rsid w:val="01D57F1B"/>
    <w:rsid w:val="01DA4561"/>
    <w:rsid w:val="01DB2B10"/>
    <w:rsid w:val="01DC6DAA"/>
    <w:rsid w:val="01F35C36"/>
    <w:rsid w:val="01F730F5"/>
    <w:rsid w:val="01FB30E3"/>
    <w:rsid w:val="020316CA"/>
    <w:rsid w:val="02143DAC"/>
    <w:rsid w:val="022162AA"/>
    <w:rsid w:val="024A1C45"/>
    <w:rsid w:val="025B7276"/>
    <w:rsid w:val="02825419"/>
    <w:rsid w:val="0294788F"/>
    <w:rsid w:val="02B4259E"/>
    <w:rsid w:val="02BB418F"/>
    <w:rsid w:val="02C238EF"/>
    <w:rsid w:val="02D02275"/>
    <w:rsid w:val="02D53E23"/>
    <w:rsid w:val="02E21655"/>
    <w:rsid w:val="02ED55BE"/>
    <w:rsid w:val="03272B56"/>
    <w:rsid w:val="032B5F26"/>
    <w:rsid w:val="03387AAA"/>
    <w:rsid w:val="033F18FD"/>
    <w:rsid w:val="036A389A"/>
    <w:rsid w:val="03733AC2"/>
    <w:rsid w:val="037D53E1"/>
    <w:rsid w:val="037E3260"/>
    <w:rsid w:val="038D3FB3"/>
    <w:rsid w:val="039D4A2B"/>
    <w:rsid w:val="03D3340F"/>
    <w:rsid w:val="03DB5DAC"/>
    <w:rsid w:val="03E35522"/>
    <w:rsid w:val="03E53E9E"/>
    <w:rsid w:val="03EC7CF2"/>
    <w:rsid w:val="03EF2588"/>
    <w:rsid w:val="041B7FFC"/>
    <w:rsid w:val="042626E8"/>
    <w:rsid w:val="042D11A4"/>
    <w:rsid w:val="049B5CCA"/>
    <w:rsid w:val="049C7496"/>
    <w:rsid w:val="04A9221D"/>
    <w:rsid w:val="04CC3487"/>
    <w:rsid w:val="04DB2099"/>
    <w:rsid w:val="04DF6864"/>
    <w:rsid w:val="04E71C6C"/>
    <w:rsid w:val="04E75B5B"/>
    <w:rsid w:val="04F0361C"/>
    <w:rsid w:val="04F70694"/>
    <w:rsid w:val="04F94FFF"/>
    <w:rsid w:val="04FA26A2"/>
    <w:rsid w:val="04FC0200"/>
    <w:rsid w:val="050B2CC2"/>
    <w:rsid w:val="0512425D"/>
    <w:rsid w:val="0518400C"/>
    <w:rsid w:val="051F2025"/>
    <w:rsid w:val="053C6B70"/>
    <w:rsid w:val="054618FA"/>
    <w:rsid w:val="05507C78"/>
    <w:rsid w:val="055E79A3"/>
    <w:rsid w:val="056A5307"/>
    <w:rsid w:val="056B2992"/>
    <w:rsid w:val="056B6B74"/>
    <w:rsid w:val="057000E1"/>
    <w:rsid w:val="0570507D"/>
    <w:rsid w:val="05811CB5"/>
    <w:rsid w:val="05852E0B"/>
    <w:rsid w:val="05962443"/>
    <w:rsid w:val="05987215"/>
    <w:rsid w:val="059C3CB5"/>
    <w:rsid w:val="05A51AA3"/>
    <w:rsid w:val="05CD5CE7"/>
    <w:rsid w:val="05CF2BE4"/>
    <w:rsid w:val="05D83331"/>
    <w:rsid w:val="060E6E80"/>
    <w:rsid w:val="06116DB7"/>
    <w:rsid w:val="06122A65"/>
    <w:rsid w:val="061E01D3"/>
    <w:rsid w:val="061F71EF"/>
    <w:rsid w:val="06222385"/>
    <w:rsid w:val="062D2548"/>
    <w:rsid w:val="063338C2"/>
    <w:rsid w:val="065906F6"/>
    <w:rsid w:val="065B6E0B"/>
    <w:rsid w:val="066B2C29"/>
    <w:rsid w:val="0675505B"/>
    <w:rsid w:val="06780C37"/>
    <w:rsid w:val="06A74BAC"/>
    <w:rsid w:val="06AA5B10"/>
    <w:rsid w:val="06CF495C"/>
    <w:rsid w:val="06F25F34"/>
    <w:rsid w:val="06F62E98"/>
    <w:rsid w:val="0703788F"/>
    <w:rsid w:val="070F52E0"/>
    <w:rsid w:val="071E5E0E"/>
    <w:rsid w:val="074A70C2"/>
    <w:rsid w:val="074F7BDE"/>
    <w:rsid w:val="07514875"/>
    <w:rsid w:val="0762510A"/>
    <w:rsid w:val="076F4FFC"/>
    <w:rsid w:val="0778001E"/>
    <w:rsid w:val="07846522"/>
    <w:rsid w:val="078F6F9D"/>
    <w:rsid w:val="079A08E7"/>
    <w:rsid w:val="07A6253A"/>
    <w:rsid w:val="07B96AD3"/>
    <w:rsid w:val="07C738B6"/>
    <w:rsid w:val="07C82CA9"/>
    <w:rsid w:val="07D948CC"/>
    <w:rsid w:val="07F65946"/>
    <w:rsid w:val="07FE5F45"/>
    <w:rsid w:val="080823CA"/>
    <w:rsid w:val="080A6A2A"/>
    <w:rsid w:val="08186EB3"/>
    <w:rsid w:val="081945D3"/>
    <w:rsid w:val="082B57A2"/>
    <w:rsid w:val="08311717"/>
    <w:rsid w:val="08426019"/>
    <w:rsid w:val="084B0A05"/>
    <w:rsid w:val="085362F9"/>
    <w:rsid w:val="08570D6B"/>
    <w:rsid w:val="086955C6"/>
    <w:rsid w:val="086E1ED4"/>
    <w:rsid w:val="08866B1D"/>
    <w:rsid w:val="088A2098"/>
    <w:rsid w:val="089B6F51"/>
    <w:rsid w:val="08A2298F"/>
    <w:rsid w:val="08A9562A"/>
    <w:rsid w:val="08AA247B"/>
    <w:rsid w:val="08B0686F"/>
    <w:rsid w:val="08DE110F"/>
    <w:rsid w:val="08F32CDB"/>
    <w:rsid w:val="08F50FD3"/>
    <w:rsid w:val="08F64A4B"/>
    <w:rsid w:val="09012DA9"/>
    <w:rsid w:val="090258CB"/>
    <w:rsid w:val="090410B1"/>
    <w:rsid w:val="090F23DD"/>
    <w:rsid w:val="09132EB8"/>
    <w:rsid w:val="09171A49"/>
    <w:rsid w:val="092714F6"/>
    <w:rsid w:val="093641E0"/>
    <w:rsid w:val="093950B0"/>
    <w:rsid w:val="095021AC"/>
    <w:rsid w:val="095B09E2"/>
    <w:rsid w:val="095C2F2D"/>
    <w:rsid w:val="09674FCB"/>
    <w:rsid w:val="0980458D"/>
    <w:rsid w:val="09813ACC"/>
    <w:rsid w:val="098F1F59"/>
    <w:rsid w:val="09B303ED"/>
    <w:rsid w:val="09B567A0"/>
    <w:rsid w:val="09C4706D"/>
    <w:rsid w:val="09D231A0"/>
    <w:rsid w:val="09E97422"/>
    <w:rsid w:val="09FE73D1"/>
    <w:rsid w:val="0A0F4485"/>
    <w:rsid w:val="0A1606A7"/>
    <w:rsid w:val="0A1B3427"/>
    <w:rsid w:val="0A2A09E0"/>
    <w:rsid w:val="0A2A37A9"/>
    <w:rsid w:val="0A2C3A60"/>
    <w:rsid w:val="0A2D4308"/>
    <w:rsid w:val="0A3138A8"/>
    <w:rsid w:val="0A324397"/>
    <w:rsid w:val="0A6069B8"/>
    <w:rsid w:val="0A686409"/>
    <w:rsid w:val="0A6C3D7E"/>
    <w:rsid w:val="0A8D3F1E"/>
    <w:rsid w:val="0AAB31A3"/>
    <w:rsid w:val="0AC47D81"/>
    <w:rsid w:val="0AC556F3"/>
    <w:rsid w:val="0ACC2E1A"/>
    <w:rsid w:val="0AD92868"/>
    <w:rsid w:val="0AF07E43"/>
    <w:rsid w:val="0B173A92"/>
    <w:rsid w:val="0B192521"/>
    <w:rsid w:val="0B1A4810"/>
    <w:rsid w:val="0B40744F"/>
    <w:rsid w:val="0B511945"/>
    <w:rsid w:val="0B6A2766"/>
    <w:rsid w:val="0B7B6D35"/>
    <w:rsid w:val="0B824424"/>
    <w:rsid w:val="0BA86E3D"/>
    <w:rsid w:val="0BB6747D"/>
    <w:rsid w:val="0BBE484B"/>
    <w:rsid w:val="0BC53752"/>
    <w:rsid w:val="0BCA0CC0"/>
    <w:rsid w:val="0BCB66DA"/>
    <w:rsid w:val="0BD26275"/>
    <w:rsid w:val="0BDB356B"/>
    <w:rsid w:val="0BE21763"/>
    <w:rsid w:val="0BE41065"/>
    <w:rsid w:val="0BE411E4"/>
    <w:rsid w:val="0C057375"/>
    <w:rsid w:val="0C09062B"/>
    <w:rsid w:val="0C0D514B"/>
    <w:rsid w:val="0C25769A"/>
    <w:rsid w:val="0C327D26"/>
    <w:rsid w:val="0C514399"/>
    <w:rsid w:val="0C666F41"/>
    <w:rsid w:val="0C6B7DEC"/>
    <w:rsid w:val="0C702A7A"/>
    <w:rsid w:val="0C702C11"/>
    <w:rsid w:val="0C772F27"/>
    <w:rsid w:val="0C7D0B32"/>
    <w:rsid w:val="0C7F1695"/>
    <w:rsid w:val="0C8541A6"/>
    <w:rsid w:val="0C8C1CFD"/>
    <w:rsid w:val="0C964437"/>
    <w:rsid w:val="0C972604"/>
    <w:rsid w:val="0CBC75AE"/>
    <w:rsid w:val="0CCB259D"/>
    <w:rsid w:val="0CCE3573"/>
    <w:rsid w:val="0CD37BC5"/>
    <w:rsid w:val="0CE26BC5"/>
    <w:rsid w:val="0CEF777F"/>
    <w:rsid w:val="0CFF7C91"/>
    <w:rsid w:val="0D0155DB"/>
    <w:rsid w:val="0D173089"/>
    <w:rsid w:val="0D1803B8"/>
    <w:rsid w:val="0D1852EF"/>
    <w:rsid w:val="0D232AA2"/>
    <w:rsid w:val="0D2C46A5"/>
    <w:rsid w:val="0D356C21"/>
    <w:rsid w:val="0D3C2416"/>
    <w:rsid w:val="0D4138D3"/>
    <w:rsid w:val="0D530F1C"/>
    <w:rsid w:val="0D612572"/>
    <w:rsid w:val="0D754ABD"/>
    <w:rsid w:val="0D814692"/>
    <w:rsid w:val="0D89409E"/>
    <w:rsid w:val="0D8D18C5"/>
    <w:rsid w:val="0D8D419A"/>
    <w:rsid w:val="0DA01520"/>
    <w:rsid w:val="0DA4275C"/>
    <w:rsid w:val="0DA8152A"/>
    <w:rsid w:val="0DB31D9E"/>
    <w:rsid w:val="0DBB62D2"/>
    <w:rsid w:val="0DDD5C0B"/>
    <w:rsid w:val="0DF82566"/>
    <w:rsid w:val="0E2C52BF"/>
    <w:rsid w:val="0E367CDC"/>
    <w:rsid w:val="0E3B6627"/>
    <w:rsid w:val="0E4C0AC3"/>
    <w:rsid w:val="0E502FE9"/>
    <w:rsid w:val="0E572DAA"/>
    <w:rsid w:val="0E6063E0"/>
    <w:rsid w:val="0E666EB5"/>
    <w:rsid w:val="0E8D2CAC"/>
    <w:rsid w:val="0E9139D9"/>
    <w:rsid w:val="0E951AEE"/>
    <w:rsid w:val="0EA07F1D"/>
    <w:rsid w:val="0EA55223"/>
    <w:rsid w:val="0EA73C39"/>
    <w:rsid w:val="0ECB2ED6"/>
    <w:rsid w:val="0EDA70F5"/>
    <w:rsid w:val="0F075DAA"/>
    <w:rsid w:val="0F327BF4"/>
    <w:rsid w:val="0F4C02F5"/>
    <w:rsid w:val="0F50311F"/>
    <w:rsid w:val="0F5959B7"/>
    <w:rsid w:val="0F6B2B33"/>
    <w:rsid w:val="0F890DA4"/>
    <w:rsid w:val="0F891A2A"/>
    <w:rsid w:val="0F901B80"/>
    <w:rsid w:val="0FBB7D13"/>
    <w:rsid w:val="0FC34D1F"/>
    <w:rsid w:val="0FD05DAE"/>
    <w:rsid w:val="0FDA1C1D"/>
    <w:rsid w:val="0FDC6874"/>
    <w:rsid w:val="0FDD363A"/>
    <w:rsid w:val="0FEC69EA"/>
    <w:rsid w:val="0FF26B15"/>
    <w:rsid w:val="100159A6"/>
    <w:rsid w:val="100B5F5D"/>
    <w:rsid w:val="100F4C2D"/>
    <w:rsid w:val="101651DC"/>
    <w:rsid w:val="10193D68"/>
    <w:rsid w:val="101A6E46"/>
    <w:rsid w:val="102452EF"/>
    <w:rsid w:val="102D0A5E"/>
    <w:rsid w:val="103344C5"/>
    <w:rsid w:val="103A65D2"/>
    <w:rsid w:val="10472C73"/>
    <w:rsid w:val="10511B53"/>
    <w:rsid w:val="105A52EC"/>
    <w:rsid w:val="107566F7"/>
    <w:rsid w:val="107D01A9"/>
    <w:rsid w:val="107F20D5"/>
    <w:rsid w:val="10875C4F"/>
    <w:rsid w:val="109B03CC"/>
    <w:rsid w:val="109C76C1"/>
    <w:rsid w:val="10B17732"/>
    <w:rsid w:val="10B30B8C"/>
    <w:rsid w:val="10BC70E5"/>
    <w:rsid w:val="10D31EEA"/>
    <w:rsid w:val="10F8590D"/>
    <w:rsid w:val="10FB4805"/>
    <w:rsid w:val="11040D83"/>
    <w:rsid w:val="110969E4"/>
    <w:rsid w:val="110E760C"/>
    <w:rsid w:val="11165A5A"/>
    <w:rsid w:val="111C224E"/>
    <w:rsid w:val="11251AF4"/>
    <w:rsid w:val="112E23FC"/>
    <w:rsid w:val="11372409"/>
    <w:rsid w:val="11420CF3"/>
    <w:rsid w:val="114D4BBD"/>
    <w:rsid w:val="114E56A0"/>
    <w:rsid w:val="115537EC"/>
    <w:rsid w:val="116160A5"/>
    <w:rsid w:val="118453B8"/>
    <w:rsid w:val="11874E13"/>
    <w:rsid w:val="1188437C"/>
    <w:rsid w:val="11890C6C"/>
    <w:rsid w:val="1194223F"/>
    <w:rsid w:val="119753D6"/>
    <w:rsid w:val="11975FEB"/>
    <w:rsid w:val="11A37219"/>
    <w:rsid w:val="11A70309"/>
    <w:rsid w:val="11D4034B"/>
    <w:rsid w:val="11D57C08"/>
    <w:rsid w:val="11DA4D81"/>
    <w:rsid w:val="11FC121B"/>
    <w:rsid w:val="11FF5DA5"/>
    <w:rsid w:val="12064EE1"/>
    <w:rsid w:val="120D05C9"/>
    <w:rsid w:val="120E7E1E"/>
    <w:rsid w:val="121E1A26"/>
    <w:rsid w:val="122B475E"/>
    <w:rsid w:val="122E4398"/>
    <w:rsid w:val="122F3EEA"/>
    <w:rsid w:val="124706B6"/>
    <w:rsid w:val="1279362F"/>
    <w:rsid w:val="127F0AF5"/>
    <w:rsid w:val="12826671"/>
    <w:rsid w:val="128A6D6A"/>
    <w:rsid w:val="128C2914"/>
    <w:rsid w:val="1290446D"/>
    <w:rsid w:val="129720B8"/>
    <w:rsid w:val="12A5703B"/>
    <w:rsid w:val="12B02D70"/>
    <w:rsid w:val="12B04250"/>
    <w:rsid w:val="12B37BD2"/>
    <w:rsid w:val="12C57CC3"/>
    <w:rsid w:val="12CA39E2"/>
    <w:rsid w:val="12CE792F"/>
    <w:rsid w:val="12DB29FE"/>
    <w:rsid w:val="12E85F4B"/>
    <w:rsid w:val="13047949"/>
    <w:rsid w:val="13267AB2"/>
    <w:rsid w:val="132E339F"/>
    <w:rsid w:val="13342F7B"/>
    <w:rsid w:val="1349653E"/>
    <w:rsid w:val="134B4017"/>
    <w:rsid w:val="136010D8"/>
    <w:rsid w:val="136E2B53"/>
    <w:rsid w:val="13794D5E"/>
    <w:rsid w:val="13891297"/>
    <w:rsid w:val="13D77957"/>
    <w:rsid w:val="13EC1308"/>
    <w:rsid w:val="13ED40A0"/>
    <w:rsid w:val="13EF3707"/>
    <w:rsid w:val="13F402E7"/>
    <w:rsid w:val="14031121"/>
    <w:rsid w:val="14187F72"/>
    <w:rsid w:val="142C2F63"/>
    <w:rsid w:val="145C0940"/>
    <w:rsid w:val="14615889"/>
    <w:rsid w:val="146530A5"/>
    <w:rsid w:val="14662AD7"/>
    <w:rsid w:val="146E6A9D"/>
    <w:rsid w:val="1492250A"/>
    <w:rsid w:val="14A45E34"/>
    <w:rsid w:val="14A73031"/>
    <w:rsid w:val="14AD4E3C"/>
    <w:rsid w:val="14C01668"/>
    <w:rsid w:val="14CA47A2"/>
    <w:rsid w:val="14E76E65"/>
    <w:rsid w:val="150D1A17"/>
    <w:rsid w:val="151C0408"/>
    <w:rsid w:val="15491A77"/>
    <w:rsid w:val="154E4F1D"/>
    <w:rsid w:val="1554208C"/>
    <w:rsid w:val="156575F4"/>
    <w:rsid w:val="15781EF5"/>
    <w:rsid w:val="1581171B"/>
    <w:rsid w:val="15854626"/>
    <w:rsid w:val="158F2835"/>
    <w:rsid w:val="15CB7E96"/>
    <w:rsid w:val="15D5483C"/>
    <w:rsid w:val="15E760CA"/>
    <w:rsid w:val="15F162AB"/>
    <w:rsid w:val="16072901"/>
    <w:rsid w:val="160830E6"/>
    <w:rsid w:val="160A611D"/>
    <w:rsid w:val="161C6C31"/>
    <w:rsid w:val="162911F7"/>
    <w:rsid w:val="163647E2"/>
    <w:rsid w:val="164E6A0F"/>
    <w:rsid w:val="16570D09"/>
    <w:rsid w:val="167C2CED"/>
    <w:rsid w:val="168020A8"/>
    <w:rsid w:val="1683477C"/>
    <w:rsid w:val="168F0F4C"/>
    <w:rsid w:val="16A545D7"/>
    <w:rsid w:val="16B55786"/>
    <w:rsid w:val="16B8444B"/>
    <w:rsid w:val="16C975DB"/>
    <w:rsid w:val="16CC6413"/>
    <w:rsid w:val="16CD1DCC"/>
    <w:rsid w:val="170F2D7A"/>
    <w:rsid w:val="17135EF3"/>
    <w:rsid w:val="171F2E38"/>
    <w:rsid w:val="1731099F"/>
    <w:rsid w:val="17315E05"/>
    <w:rsid w:val="17363E93"/>
    <w:rsid w:val="1744644A"/>
    <w:rsid w:val="175D0479"/>
    <w:rsid w:val="175D4012"/>
    <w:rsid w:val="176148B3"/>
    <w:rsid w:val="17642120"/>
    <w:rsid w:val="17686560"/>
    <w:rsid w:val="17B11F5F"/>
    <w:rsid w:val="17B403B9"/>
    <w:rsid w:val="17B83605"/>
    <w:rsid w:val="17C27CF7"/>
    <w:rsid w:val="17CD0B4B"/>
    <w:rsid w:val="17CD3D1E"/>
    <w:rsid w:val="17F5789E"/>
    <w:rsid w:val="18094A7F"/>
    <w:rsid w:val="181B1599"/>
    <w:rsid w:val="181F3EB1"/>
    <w:rsid w:val="182D5E7E"/>
    <w:rsid w:val="18321055"/>
    <w:rsid w:val="183337D8"/>
    <w:rsid w:val="18356386"/>
    <w:rsid w:val="18365A1B"/>
    <w:rsid w:val="18600ED9"/>
    <w:rsid w:val="186B32EC"/>
    <w:rsid w:val="188016DB"/>
    <w:rsid w:val="18823A2E"/>
    <w:rsid w:val="18996DCB"/>
    <w:rsid w:val="18A35A82"/>
    <w:rsid w:val="18BE16A2"/>
    <w:rsid w:val="18E046E8"/>
    <w:rsid w:val="18EB6C2D"/>
    <w:rsid w:val="18F17920"/>
    <w:rsid w:val="18F8099F"/>
    <w:rsid w:val="190D0912"/>
    <w:rsid w:val="190F4F8D"/>
    <w:rsid w:val="19112A65"/>
    <w:rsid w:val="1919436D"/>
    <w:rsid w:val="191E0AA7"/>
    <w:rsid w:val="193B099F"/>
    <w:rsid w:val="193B4E4B"/>
    <w:rsid w:val="19464B88"/>
    <w:rsid w:val="1954064D"/>
    <w:rsid w:val="195A701F"/>
    <w:rsid w:val="195B4D50"/>
    <w:rsid w:val="19613398"/>
    <w:rsid w:val="196906A5"/>
    <w:rsid w:val="196F3DD8"/>
    <w:rsid w:val="197F6B4D"/>
    <w:rsid w:val="199850B2"/>
    <w:rsid w:val="199E5C8B"/>
    <w:rsid w:val="19A20E66"/>
    <w:rsid w:val="19A4008A"/>
    <w:rsid w:val="19C162B6"/>
    <w:rsid w:val="19C415AD"/>
    <w:rsid w:val="1A091490"/>
    <w:rsid w:val="1A125F95"/>
    <w:rsid w:val="1A2E3DEE"/>
    <w:rsid w:val="1A322B37"/>
    <w:rsid w:val="1A36685B"/>
    <w:rsid w:val="1A531DA2"/>
    <w:rsid w:val="1A654DB4"/>
    <w:rsid w:val="1A732C90"/>
    <w:rsid w:val="1A757757"/>
    <w:rsid w:val="1A924A6C"/>
    <w:rsid w:val="1A9E451A"/>
    <w:rsid w:val="1A9E4F22"/>
    <w:rsid w:val="1AA87B24"/>
    <w:rsid w:val="1AE249E9"/>
    <w:rsid w:val="1B012F9C"/>
    <w:rsid w:val="1B0513EA"/>
    <w:rsid w:val="1B1A4214"/>
    <w:rsid w:val="1B3F7238"/>
    <w:rsid w:val="1B465224"/>
    <w:rsid w:val="1B4D5930"/>
    <w:rsid w:val="1B51178D"/>
    <w:rsid w:val="1B535373"/>
    <w:rsid w:val="1B5C23E0"/>
    <w:rsid w:val="1B6A0369"/>
    <w:rsid w:val="1B737368"/>
    <w:rsid w:val="1B7470FB"/>
    <w:rsid w:val="1B7A300F"/>
    <w:rsid w:val="1B910196"/>
    <w:rsid w:val="1BA727BD"/>
    <w:rsid w:val="1BA749BA"/>
    <w:rsid w:val="1BBA3C2E"/>
    <w:rsid w:val="1BCE1737"/>
    <w:rsid w:val="1BD9554B"/>
    <w:rsid w:val="1C005C05"/>
    <w:rsid w:val="1C1A62AA"/>
    <w:rsid w:val="1C1B2D45"/>
    <w:rsid w:val="1C1C3850"/>
    <w:rsid w:val="1C4F508F"/>
    <w:rsid w:val="1C5372E3"/>
    <w:rsid w:val="1C617D30"/>
    <w:rsid w:val="1C681261"/>
    <w:rsid w:val="1C887EFB"/>
    <w:rsid w:val="1CA714A8"/>
    <w:rsid w:val="1CA7693F"/>
    <w:rsid w:val="1CA81EF4"/>
    <w:rsid w:val="1CB471CD"/>
    <w:rsid w:val="1CBB2963"/>
    <w:rsid w:val="1CBD7AD8"/>
    <w:rsid w:val="1CC758AA"/>
    <w:rsid w:val="1CC95003"/>
    <w:rsid w:val="1CD049D9"/>
    <w:rsid w:val="1CD84490"/>
    <w:rsid w:val="1CEC325E"/>
    <w:rsid w:val="1CF106CF"/>
    <w:rsid w:val="1CF70261"/>
    <w:rsid w:val="1D227416"/>
    <w:rsid w:val="1D26769E"/>
    <w:rsid w:val="1D29748E"/>
    <w:rsid w:val="1D314954"/>
    <w:rsid w:val="1D377617"/>
    <w:rsid w:val="1D566C85"/>
    <w:rsid w:val="1D5D1A84"/>
    <w:rsid w:val="1D714D0F"/>
    <w:rsid w:val="1D716CB0"/>
    <w:rsid w:val="1D7475B4"/>
    <w:rsid w:val="1D783AB6"/>
    <w:rsid w:val="1D856233"/>
    <w:rsid w:val="1D8C35ED"/>
    <w:rsid w:val="1D8F0168"/>
    <w:rsid w:val="1DB2069D"/>
    <w:rsid w:val="1DB5331B"/>
    <w:rsid w:val="1DBC0322"/>
    <w:rsid w:val="1DCB6613"/>
    <w:rsid w:val="1DD43E86"/>
    <w:rsid w:val="1DDD214A"/>
    <w:rsid w:val="1DF7594B"/>
    <w:rsid w:val="1DFA0FEE"/>
    <w:rsid w:val="1E0008F4"/>
    <w:rsid w:val="1E0114CA"/>
    <w:rsid w:val="1E086871"/>
    <w:rsid w:val="1E255A22"/>
    <w:rsid w:val="1E3131DB"/>
    <w:rsid w:val="1E3A55B5"/>
    <w:rsid w:val="1E450384"/>
    <w:rsid w:val="1E4A1392"/>
    <w:rsid w:val="1E5C7B4C"/>
    <w:rsid w:val="1E6A3B7F"/>
    <w:rsid w:val="1E7B36A4"/>
    <w:rsid w:val="1E8F69F8"/>
    <w:rsid w:val="1E93502F"/>
    <w:rsid w:val="1E9F776E"/>
    <w:rsid w:val="1EA06440"/>
    <w:rsid w:val="1EA100C3"/>
    <w:rsid w:val="1EBC6E1F"/>
    <w:rsid w:val="1EDD2A7E"/>
    <w:rsid w:val="1F2B3721"/>
    <w:rsid w:val="1F543994"/>
    <w:rsid w:val="1F593A1A"/>
    <w:rsid w:val="1F7023CB"/>
    <w:rsid w:val="1F7A3314"/>
    <w:rsid w:val="1F7B03B9"/>
    <w:rsid w:val="1F844BEB"/>
    <w:rsid w:val="1F892A21"/>
    <w:rsid w:val="1F93542D"/>
    <w:rsid w:val="1F9A409A"/>
    <w:rsid w:val="1FCC2E8F"/>
    <w:rsid w:val="1FD14FDF"/>
    <w:rsid w:val="1FDD2AA6"/>
    <w:rsid w:val="1FEA2106"/>
    <w:rsid w:val="1FEC5182"/>
    <w:rsid w:val="1FF715A0"/>
    <w:rsid w:val="1FF7749B"/>
    <w:rsid w:val="1FF86D49"/>
    <w:rsid w:val="20445063"/>
    <w:rsid w:val="2059423F"/>
    <w:rsid w:val="205D55EE"/>
    <w:rsid w:val="207175F4"/>
    <w:rsid w:val="20730C4C"/>
    <w:rsid w:val="20850416"/>
    <w:rsid w:val="20A03A95"/>
    <w:rsid w:val="20AA7959"/>
    <w:rsid w:val="20AB5C1B"/>
    <w:rsid w:val="20BC0728"/>
    <w:rsid w:val="20C222FF"/>
    <w:rsid w:val="20CC5201"/>
    <w:rsid w:val="20D851C2"/>
    <w:rsid w:val="20DF4882"/>
    <w:rsid w:val="20E82622"/>
    <w:rsid w:val="20E8499B"/>
    <w:rsid w:val="20FB44E9"/>
    <w:rsid w:val="212717AC"/>
    <w:rsid w:val="21312494"/>
    <w:rsid w:val="213D585A"/>
    <w:rsid w:val="2144727F"/>
    <w:rsid w:val="21540BE4"/>
    <w:rsid w:val="215B3BBA"/>
    <w:rsid w:val="216471CE"/>
    <w:rsid w:val="218B7ED0"/>
    <w:rsid w:val="21904F9A"/>
    <w:rsid w:val="21997F25"/>
    <w:rsid w:val="219E49BB"/>
    <w:rsid w:val="21A50762"/>
    <w:rsid w:val="21CE0431"/>
    <w:rsid w:val="21E035B6"/>
    <w:rsid w:val="21EC1819"/>
    <w:rsid w:val="21F14BE5"/>
    <w:rsid w:val="21FC12D9"/>
    <w:rsid w:val="22017503"/>
    <w:rsid w:val="2211528B"/>
    <w:rsid w:val="223E6B84"/>
    <w:rsid w:val="22464820"/>
    <w:rsid w:val="225478BC"/>
    <w:rsid w:val="22570411"/>
    <w:rsid w:val="226C6475"/>
    <w:rsid w:val="226D1522"/>
    <w:rsid w:val="22A72B62"/>
    <w:rsid w:val="22C956EE"/>
    <w:rsid w:val="22D05863"/>
    <w:rsid w:val="22D917FA"/>
    <w:rsid w:val="22D96826"/>
    <w:rsid w:val="22E12431"/>
    <w:rsid w:val="22FA4F78"/>
    <w:rsid w:val="230D42C2"/>
    <w:rsid w:val="23107897"/>
    <w:rsid w:val="231A2F44"/>
    <w:rsid w:val="23231469"/>
    <w:rsid w:val="23273D4A"/>
    <w:rsid w:val="232F0790"/>
    <w:rsid w:val="233D2FCB"/>
    <w:rsid w:val="2360409F"/>
    <w:rsid w:val="236B0F91"/>
    <w:rsid w:val="236F0ED8"/>
    <w:rsid w:val="236F28AE"/>
    <w:rsid w:val="237E12CB"/>
    <w:rsid w:val="237E3A25"/>
    <w:rsid w:val="23BA05F0"/>
    <w:rsid w:val="23BD324D"/>
    <w:rsid w:val="23C31E7C"/>
    <w:rsid w:val="23CD5A54"/>
    <w:rsid w:val="23CE5EF1"/>
    <w:rsid w:val="23EA6DE7"/>
    <w:rsid w:val="23ED18EA"/>
    <w:rsid w:val="23F32496"/>
    <w:rsid w:val="241061BA"/>
    <w:rsid w:val="243A550E"/>
    <w:rsid w:val="24412133"/>
    <w:rsid w:val="24481592"/>
    <w:rsid w:val="244C73B5"/>
    <w:rsid w:val="245221F5"/>
    <w:rsid w:val="245D2237"/>
    <w:rsid w:val="24634EC1"/>
    <w:rsid w:val="2464133D"/>
    <w:rsid w:val="246D235C"/>
    <w:rsid w:val="247767B0"/>
    <w:rsid w:val="24792273"/>
    <w:rsid w:val="247A22FB"/>
    <w:rsid w:val="248A33E6"/>
    <w:rsid w:val="248F320D"/>
    <w:rsid w:val="24AD2392"/>
    <w:rsid w:val="24B029B7"/>
    <w:rsid w:val="24B72BDC"/>
    <w:rsid w:val="24D5117F"/>
    <w:rsid w:val="24E45DA7"/>
    <w:rsid w:val="250749A2"/>
    <w:rsid w:val="2508680C"/>
    <w:rsid w:val="2527615E"/>
    <w:rsid w:val="253138D4"/>
    <w:rsid w:val="253849E2"/>
    <w:rsid w:val="253F1357"/>
    <w:rsid w:val="254D7DF9"/>
    <w:rsid w:val="25605025"/>
    <w:rsid w:val="25623E46"/>
    <w:rsid w:val="257012E3"/>
    <w:rsid w:val="25755A46"/>
    <w:rsid w:val="25AC4F43"/>
    <w:rsid w:val="25AE5D63"/>
    <w:rsid w:val="25C414B8"/>
    <w:rsid w:val="25C878D4"/>
    <w:rsid w:val="25E4702A"/>
    <w:rsid w:val="25EA69A1"/>
    <w:rsid w:val="25ED149B"/>
    <w:rsid w:val="2603767D"/>
    <w:rsid w:val="26067D44"/>
    <w:rsid w:val="262E0C30"/>
    <w:rsid w:val="263415B6"/>
    <w:rsid w:val="263E4B6D"/>
    <w:rsid w:val="26667CF1"/>
    <w:rsid w:val="267C4BB7"/>
    <w:rsid w:val="268243F4"/>
    <w:rsid w:val="26996D27"/>
    <w:rsid w:val="26A0230D"/>
    <w:rsid w:val="26A31C5B"/>
    <w:rsid w:val="26A4247B"/>
    <w:rsid w:val="26A739CC"/>
    <w:rsid w:val="26A82E24"/>
    <w:rsid w:val="26B4291F"/>
    <w:rsid w:val="26DB0FF6"/>
    <w:rsid w:val="26E82FAE"/>
    <w:rsid w:val="26F811B5"/>
    <w:rsid w:val="27054874"/>
    <w:rsid w:val="27082C98"/>
    <w:rsid w:val="270A354F"/>
    <w:rsid w:val="2711434A"/>
    <w:rsid w:val="271B2318"/>
    <w:rsid w:val="276949FA"/>
    <w:rsid w:val="27711E9C"/>
    <w:rsid w:val="27746F17"/>
    <w:rsid w:val="2785238E"/>
    <w:rsid w:val="27A8132D"/>
    <w:rsid w:val="27AA368C"/>
    <w:rsid w:val="27D66BBA"/>
    <w:rsid w:val="27E9419D"/>
    <w:rsid w:val="27F142DE"/>
    <w:rsid w:val="27FD518D"/>
    <w:rsid w:val="28140829"/>
    <w:rsid w:val="281F59AE"/>
    <w:rsid w:val="282A4993"/>
    <w:rsid w:val="282E18EB"/>
    <w:rsid w:val="28534819"/>
    <w:rsid w:val="285A186A"/>
    <w:rsid w:val="286679FC"/>
    <w:rsid w:val="2878726B"/>
    <w:rsid w:val="2888382E"/>
    <w:rsid w:val="288C2568"/>
    <w:rsid w:val="28947F48"/>
    <w:rsid w:val="289B0253"/>
    <w:rsid w:val="28A62C44"/>
    <w:rsid w:val="28B51914"/>
    <w:rsid w:val="28C10DD6"/>
    <w:rsid w:val="28C6134F"/>
    <w:rsid w:val="28D05159"/>
    <w:rsid w:val="28D52467"/>
    <w:rsid w:val="28D86CF9"/>
    <w:rsid w:val="28E14993"/>
    <w:rsid w:val="28F717E3"/>
    <w:rsid w:val="28FF69FC"/>
    <w:rsid w:val="290221F3"/>
    <w:rsid w:val="290E37F1"/>
    <w:rsid w:val="2915456B"/>
    <w:rsid w:val="293B7993"/>
    <w:rsid w:val="29427126"/>
    <w:rsid w:val="29432817"/>
    <w:rsid w:val="294A6719"/>
    <w:rsid w:val="294D6120"/>
    <w:rsid w:val="2962449C"/>
    <w:rsid w:val="298266CA"/>
    <w:rsid w:val="29881391"/>
    <w:rsid w:val="298C24D6"/>
    <w:rsid w:val="2997499C"/>
    <w:rsid w:val="299B1DD6"/>
    <w:rsid w:val="299E7626"/>
    <w:rsid w:val="29A52B05"/>
    <w:rsid w:val="29AE6BE5"/>
    <w:rsid w:val="29B10EDD"/>
    <w:rsid w:val="29C07077"/>
    <w:rsid w:val="29D9156F"/>
    <w:rsid w:val="29DA2A1A"/>
    <w:rsid w:val="29DA5184"/>
    <w:rsid w:val="29E334E4"/>
    <w:rsid w:val="29E95A18"/>
    <w:rsid w:val="29FA05EA"/>
    <w:rsid w:val="29FE0468"/>
    <w:rsid w:val="29FF3157"/>
    <w:rsid w:val="2A0D0CC4"/>
    <w:rsid w:val="2A1F1193"/>
    <w:rsid w:val="2A2033A7"/>
    <w:rsid w:val="2A247F3C"/>
    <w:rsid w:val="2A3A70DC"/>
    <w:rsid w:val="2A3D7C26"/>
    <w:rsid w:val="2A586FF8"/>
    <w:rsid w:val="2A6E29A9"/>
    <w:rsid w:val="2A78635B"/>
    <w:rsid w:val="2A84669C"/>
    <w:rsid w:val="2A885C72"/>
    <w:rsid w:val="2A8A7838"/>
    <w:rsid w:val="2A92118D"/>
    <w:rsid w:val="2A9211C9"/>
    <w:rsid w:val="2AA60096"/>
    <w:rsid w:val="2AAA17F9"/>
    <w:rsid w:val="2AB865D9"/>
    <w:rsid w:val="2ABB48CC"/>
    <w:rsid w:val="2ABB77FB"/>
    <w:rsid w:val="2AC12BA6"/>
    <w:rsid w:val="2ADC58A9"/>
    <w:rsid w:val="2AE7630E"/>
    <w:rsid w:val="2AFB7172"/>
    <w:rsid w:val="2B116A9A"/>
    <w:rsid w:val="2B2358C0"/>
    <w:rsid w:val="2B27714B"/>
    <w:rsid w:val="2B296102"/>
    <w:rsid w:val="2B344107"/>
    <w:rsid w:val="2B370BC4"/>
    <w:rsid w:val="2B45651C"/>
    <w:rsid w:val="2B4C1531"/>
    <w:rsid w:val="2B511A8A"/>
    <w:rsid w:val="2B55180B"/>
    <w:rsid w:val="2B58521E"/>
    <w:rsid w:val="2B5C6D0E"/>
    <w:rsid w:val="2B635406"/>
    <w:rsid w:val="2B77064A"/>
    <w:rsid w:val="2B7F7EFC"/>
    <w:rsid w:val="2B99474B"/>
    <w:rsid w:val="2B9D03AD"/>
    <w:rsid w:val="2BA0147C"/>
    <w:rsid w:val="2BCD3CB9"/>
    <w:rsid w:val="2C037C56"/>
    <w:rsid w:val="2C0716D1"/>
    <w:rsid w:val="2C1523D8"/>
    <w:rsid w:val="2C1F77B1"/>
    <w:rsid w:val="2C274CFC"/>
    <w:rsid w:val="2C37527D"/>
    <w:rsid w:val="2C416A9D"/>
    <w:rsid w:val="2C4231A6"/>
    <w:rsid w:val="2C4D101D"/>
    <w:rsid w:val="2C4E7B43"/>
    <w:rsid w:val="2C5916FF"/>
    <w:rsid w:val="2C6D21CE"/>
    <w:rsid w:val="2C7E193A"/>
    <w:rsid w:val="2C7F60D3"/>
    <w:rsid w:val="2C8E5011"/>
    <w:rsid w:val="2C921FD5"/>
    <w:rsid w:val="2C944D34"/>
    <w:rsid w:val="2C970342"/>
    <w:rsid w:val="2C9B6C7C"/>
    <w:rsid w:val="2CAA0F80"/>
    <w:rsid w:val="2CBA5CAC"/>
    <w:rsid w:val="2CBD3580"/>
    <w:rsid w:val="2CC65387"/>
    <w:rsid w:val="2CD073D1"/>
    <w:rsid w:val="2CEA2359"/>
    <w:rsid w:val="2CF76641"/>
    <w:rsid w:val="2D055D4A"/>
    <w:rsid w:val="2D0D2719"/>
    <w:rsid w:val="2D2E398F"/>
    <w:rsid w:val="2D3E6864"/>
    <w:rsid w:val="2D490FC7"/>
    <w:rsid w:val="2D4F5290"/>
    <w:rsid w:val="2D5613C2"/>
    <w:rsid w:val="2D58337B"/>
    <w:rsid w:val="2D594881"/>
    <w:rsid w:val="2D69347C"/>
    <w:rsid w:val="2D6C416F"/>
    <w:rsid w:val="2D726C62"/>
    <w:rsid w:val="2D7B60DA"/>
    <w:rsid w:val="2D8A3EBA"/>
    <w:rsid w:val="2D96670C"/>
    <w:rsid w:val="2D9B034B"/>
    <w:rsid w:val="2D9F5A94"/>
    <w:rsid w:val="2DA33FD6"/>
    <w:rsid w:val="2DB44A76"/>
    <w:rsid w:val="2DBF2F4F"/>
    <w:rsid w:val="2DC02A9E"/>
    <w:rsid w:val="2DE675E5"/>
    <w:rsid w:val="2DF16206"/>
    <w:rsid w:val="2DF5263A"/>
    <w:rsid w:val="2E057BB2"/>
    <w:rsid w:val="2E0A6539"/>
    <w:rsid w:val="2E1E4F33"/>
    <w:rsid w:val="2E3B64D7"/>
    <w:rsid w:val="2E3C19F7"/>
    <w:rsid w:val="2E3C1EC2"/>
    <w:rsid w:val="2E402EF8"/>
    <w:rsid w:val="2E4F170A"/>
    <w:rsid w:val="2E566FC3"/>
    <w:rsid w:val="2E5D4FA8"/>
    <w:rsid w:val="2E6861D0"/>
    <w:rsid w:val="2E697CFA"/>
    <w:rsid w:val="2E7841C7"/>
    <w:rsid w:val="2E7F3379"/>
    <w:rsid w:val="2E913A1A"/>
    <w:rsid w:val="2E942420"/>
    <w:rsid w:val="2E9637FB"/>
    <w:rsid w:val="2E9F08DA"/>
    <w:rsid w:val="2EA25EC6"/>
    <w:rsid w:val="2EAA062B"/>
    <w:rsid w:val="2EB13BC8"/>
    <w:rsid w:val="2EBF2C92"/>
    <w:rsid w:val="2EC27208"/>
    <w:rsid w:val="2ED6372C"/>
    <w:rsid w:val="2EF92DC6"/>
    <w:rsid w:val="2F1C7A86"/>
    <w:rsid w:val="2F280B66"/>
    <w:rsid w:val="2F382599"/>
    <w:rsid w:val="2F3B018D"/>
    <w:rsid w:val="2F3B0E03"/>
    <w:rsid w:val="2F475C7C"/>
    <w:rsid w:val="2F4A4214"/>
    <w:rsid w:val="2F6D303A"/>
    <w:rsid w:val="2F7F59A5"/>
    <w:rsid w:val="2F894460"/>
    <w:rsid w:val="2F905F9A"/>
    <w:rsid w:val="2F9A2FE0"/>
    <w:rsid w:val="2FA66DCB"/>
    <w:rsid w:val="2FAF1763"/>
    <w:rsid w:val="2FB6281B"/>
    <w:rsid w:val="2FBD33AA"/>
    <w:rsid w:val="2FCF7BD0"/>
    <w:rsid w:val="2FE10987"/>
    <w:rsid w:val="2FEF5C9D"/>
    <w:rsid w:val="2FFC1D59"/>
    <w:rsid w:val="300A5FA6"/>
    <w:rsid w:val="302C2E7D"/>
    <w:rsid w:val="30317714"/>
    <w:rsid w:val="30331B18"/>
    <w:rsid w:val="30383DC8"/>
    <w:rsid w:val="304B643B"/>
    <w:rsid w:val="30616F90"/>
    <w:rsid w:val="3067426F"/>
    <w:rsid w:val="30736B99"/>
    <w:rsid w:val="307636C0"/>
    <w:rsid w:val="3078785B"/>
    <w:rsid w:val="307C201E"/>
    <w:rsid w:val="308465C8"/>
    <w:rsid w:val="30995E55"/>
    <w:rsid w:val="30A46938"/>
    <w:rsid w:val="30C34A07"/>
    <w:rsid w:val="30CC0271"/>
    <w:rsid w:val="30DA2B7B"/>
    <w:rsid w:val="30EF6BCD"/>
    <w:rsid w:val="30FE0403"/>
    <w:rsid w:val="310B425D"/>
    <w:rsid w:val="311656BC"/>
    <w:rsid w:val="311E1911"/>
    <w:rsid w:val="312B7547"/>
    <w:rsid w:val="312F39FB"/>
    <w:rsid w:val="313127E5"/>
    <w:rsid w:val="3133319A"/>
    <w:rsid w:val="313F0745"/>
    <w:rsid w:val="31614F93"/>
    <w:rsid w:val="31615691"/>
    <w:rsid w:val="31696406"/>
    <w:rsid w:val="316E2F94"/>
    <w:rsid w:val="316F1034"/>
    <w:rsid w:val="316F4622"/>
    <w:rsid w:val="317E0A53"/>
    <w:rsid w:val="318322A4"/>
    <w:rsid w:val="31B4439A"/>
    <w:rsid w:val="31C43DAD"/>
    <w:rsid w:val="31C5081F"/>
    <w:rsid w:val="31E800AC"/>
    <w:rsid w:val="31EF4A99"/>
    <w:rsid w:val="31F40056"/>
    <w:rsid w:val="31F554A8"/>
    <w:rsid w:val="32022A61"/>
    <w:rsid w:val="320740A8"/>
    <w:rsid w:val="320F34C8"/>
    <w:rsid w:val="3213596A"/>
    <w:rsid w:val="321808C8"/>
    <w:rsid w:val="321D17E7"/>
    <w:rsid w:val="322250C6"/>
    <w:rsid w:val="3226147E"/>
    <w:rsid w:val="32342C37"/>
    <w:rsid w:val="32352821"/>
    <w:rsid w:val="323F43EF"/>
    <w:rsid w:val="32421EBD"/>
    <w:rsid w:val="324F6087"/>
    <w:rsid w:val="3254043E"/>
    <w:rsid w:val="325B337C"/>
    <w:rsid w:val="325E0E0B"/>
    <w:rsid w:val="325E717A"/>
    <w:rsid w:val="326D2D74"/>
    <w:rsid w:val="32784A95"/>
    <w:rsid w:val="329665C7"/>
    <w:rsid w:val="32992167"/>
    <w:rsid w:val="32A4566A"/>
    <w:rsid w:val="32C1086D"/>
    <w:rsid w:val="32ED05F0"/>
    <w:rsid w:val="33054CF4"/>
    <w:rsid w:val="33382DC2"/>
    <w:rsid w:val="33620CF8"/>
    <w:rsid w:val="33772B98"/>
    <w:rsid w:val="33916089"/>
    <w:rsid w:val="339B7097"/>
    <w:rsid w:val="33B226E8"/>
    <w:rsid w:val="33C05DDD"/>
    <w:rsid w:val="33C36B88"/>
    <w:rsid w:val="33C43D2D"/>
    <w:rsid w:val="33CA29F9"/>
    <w:rsid w:val="33D71898"/>
    <w:rsid w:val="33E95412"/>
    <w:rsid w:val="33F84443"/>
    <w:rsid w:val="340E00BE"/>
    <w:rsid w:val="34266909"/>
    <w:rsid w:val="342C54F0"/>
    <w:rsid w:val="34386527"/>
    <w:rsid w:val="343B32CE"/>
    <w:rsid w:val="34467365"/>
    <w:rsid w:val="345155F6"/>
    <w:rsid w:val="34550E84"/>
    <w:rsid w:val="34597E64"/>
    <w:rsid w:val="3490016D"/>
    <w:rsid w:val="34925308"/>
    <w:rsid w:val="349730FB"/>
    <w:rsid w:val="34A82583"/>
    <w:rsid w:val="34AD6156"/>
    <w:rsid w:val="34AE011D"/>
    <w:rsid w:val="34BB42F6"/>
    <w:rsid w:val="34EC03CA"/>
    <w:rsid w:val="34EF37A8"/>
    <w:rsid w:val="350018B2"/>
    <w:rsid w:val="35016A01"/>
    <w:rsid w:val="351A6630"/>
    <w:rsid w:val="351C7907"/>
    <w:rsid w:val="3529391A"/>
    <w:rsid w:val="35297257"/>
    <w:rsid w:val="353A2A41"/>
    <w:rsid w:val="353E5E68"/>
    <w:rsid w:val="3542161F"/>
    <w:rsid w:val="35422082"/>
    <w:rsid w:val="354F14FD"/>
    <w:rsid w:val="354F1592"/>
    <w:rsid w:val="35607857"/>
    <w:rsid w:val="35634238"/>
    <w:rsid w:val="35734284"/>
    <w:rsid w:val="35753657"/>
    <w:rsid w:val="35764AB7"/>
    <w:rsid w:val="35892423"/>
    <w:rsid w:val="35BF67E5"/>
    <w:rsid w:val="35C24A9A"/>
    <w:rsid w:val="35C42EEA"/>
    <w:rsid w:val="35D50B9D"/>
    <w:rsid w:val="35DB4C68"/>
    <w:rsid w:val="35DC1210"/>
    <w:rsid w:val="35E52B8A"/>
    <w:rsid w:val="360017C8"/>
    <w:rsid w:val="36045B33"/>
    <w:rsid w:val="362A1EF9"/>
    <w:rsid w:val="36382D67"/>
    <w:rsid w:val="363953F9"/>
    <w:rsid w:val="36604909"/>
    <w:rsid w:val="367F31DB"/>
    <w:rsid w:val="36830C35"/>
    <w:rsid w:val="368E2F5E"/>
    <w:rsid w:val="369A40A7"/>
    <w:rsid w:val="36A4237E"/>
    <w:rsid w:val="36A63D04"/>
    <w:rsid w:val="36AF6AFE"/>
    <w:rsid w:val="36BF09B9"/>
    <w:rsid w:val="36C111E5"/>
    <w:rsid w:val="36C507D2"/>
    <w:rsid w:val="36D84EEE"/>
    <w:rsid w:val="36EB4718"/>
    <w:rsid w:val="37010417"/>
    <w:rsid w:val="3709445E"/>
    <w:rsid w:val="37107EAE"/>
    <w:rsid w:val="37156BC9"/>
    <w:rsid w:val="37200923"/>
    <w:rsid w:val="37346D30"/>
    <w:rsid w:val="374E1098"/>
    <w:rsid w:val="376A313E"/>
    <w:rsid w:val="3771508C"/>
    <w:rsid w:val="377C2FE5"/>
    <w:rsid w:val="377D11C0"/>
    <w:rsid w:val="378B0037"/>
    <w:rsid w:val="378E7AEF"/>
    <w:rsid w:val="379337C8"/>
    <w:rsid w:val="37B41876"/>
    <w:rsid w:val="37C5317C"/>
    <w:rsid w:val="37C563A8"/>
    <w:rsid w:val="37D253D5"/>
    <w:rsid w:val="37DE4095"/>
    <w:rsid w:val="37F73C28"/>
    <w:rsid w:val="37FD1712"/>
    <w:rsid w:val="37FD63B9"/>
    <w:rsid w:val="38114913"/>
    <w:rsid w:val="38210F83"/>
    <w:rsid w:val="38432489"/>
    <w:rsid w:val="38626C48"/>
    <w:rsid w:val="386555B4"/>
    <w:rsid w:val="38666EE1"/>
    <w:rsid w:val="3870649F"/>
    <w:rsid w:val="387E576C"/>
    <w:rsid w:val="3885539C"/>
    <w:rsid w:val="3887584F"/>
    <w:rsid w:val="38981261"/>
    <w:rsid w:val="38A411E0"/>
    <w:rsid w:val="38AE0F21"/>
    <w:rsid w:val="38C60F14"/>
    <w:rsid w:val="38D54DC4"/>
    <w:rsid w:val="38DE1292"/>
    <w:rsid w:val="390834CD"/>
    <w:rsid w:val="391C4F97"/>
    <w:rsid w:val="39336439"/>
    <w:rsid w:val="393568CC"/>
    <w:rsid w:val="39622CDA"/>
    <w:rsid w:val="39B177BE"/>
    <w:rsid w:val="39BB19A5"/>
    <w:rsid w:val="39C53B8C"/>
    <w:rsid w:val="39D5245F"/>
    <w:rsid w:val="39DF4418"/>
    <w:rsid w:val="39F138EC"/>
    <w:rsid w:val="39F63EA1"/>
    <w:rsid w:val="39FE7722"/>
    <w:rsid w:val="3A0C17F2"/>
    <w:rsid w:val="3A12442F"/>
    <w:rsid w:val="3A251997"/>
    <w:rsid w:val="3A4C07DF"/>
    <w:rsid w:val="3A660C00"/>
    <w:rsid w:val="3A754624"/>
    <w:rsid w:val="3A827441"/>
    <w:rsid w:val="3A850EC8"/>
    <w:rsid w:val="3A8C1BF6"/>
    <w:rsid w:val="3A8C2297"/>
    <w:rsid w:val="3A8D5226"/>
    <w:rsid w:val="3A965040"/>
    <w:rsid w:val="3AB427C9"/>
    <w:rsid w:val="3AC450D9"/>
    <w:rsid w:val="3AD311DF"/>
    <w:rsid w:val="3AF33BDC"/>
    <w:rsid w:val="3AF64B29"/>
    <w:rsid w:val="3B0B0879"/>
    <w:rsid w:val="3B0F4C2F"/>
    <w:rsid w:val="3B191E9E"/>
    <w:rsid w:val="3B191FF9"/>
    <w:rsid w:val="3B1E15B7"/>
    <w:rsid w:val="3B1E1B96"/>
    <w:rsid w:val="3B274B26"/>
    <w:rsid w:val="3B3119A1"/>
    <w:rsid w:val="3B374F7E"/>
    <w:rsid w:val="3B432326"/>
    <w:rsid w:val="3B44718A"/>
    <w:rsid w:val="3B647267"/>
    <w:rsid w:val="3B655AAB"/>
    <w:rsid w:val="3B80237D"/>
    <w:rsid w:val="3B8826F3"/>
    <w:rsid w:val="3B885FA4"/>
    <w:rsid w:val="3B916533"/>
    <w:rsid w:val="3B936383"/>
    <w:rsid w:val="3B995321"/>
    <w:rsid w:val="3BCA6ED6"/>
    <w:rsid w:val="3BCF1A22"/>
    <w:rsid w:val="3BD30FAD"/>
    <w:rsid w:val="3BD940DA"/>
    <w:rsid w:val="3BE62AE4"/>
    <w:rsid w:val="3BEA5867"/>
    <w:rsid w:val="3BF05DAE"/>
    <w:rsid w:val="3C0E5C63"/>
    <w:rsid w:val="3C132906"/>
    <w:rsid w:val="3C141232"/>
    <w:rsid w:val="3C2C7715"/>
    <w:rsid w:val="3C3D30FE"/>
    <w:rsid w:val="3C5E1EDB"/>
    <w:rsid w:val="3C606893"/>
    <w:rsid w:val="3C612750"/>
    <w:rsid w:val="3C6757FF"/>
    <w:rsid w:val="3C8955F2"/>
    <w:rsid w:val="3C9056E6"/>
    <w:rsid w:val="3C9A6D17"/>
    <w:rsid w:val="3CA5415A"/>
    <w:rsid w:val="3CB53C62"/>
    <w:rsid w:val="3CBB3471"/>
    <w:rsid w:val="3CBC33CF"/>
    <w:rsid w:val="3CCD7EF5"/>
    <w:rsid w:val="3CD65FD0"/>
    <w:rsid w:val="3CEE30A8"/>
    <w:rsid w:val="3CF4775F"/>
    <w:rsid w:val="3D0C0A3A"/>
    <w:rsid w:val="3D0E7A1D"/>
    <w:rsid w:val="3D20259F"/>
    <w:rsid w:val="3D207BF6"/>
    <w:rsid w:val="3D2F046D"/>
    <w:rsid w:val="3D360098"/>
    <w:rsid w:val="3D376379"/>
    <w:rsid w:val="3D3E5F4C"/>
    <w:rsid w:val="3D4D0964"/>
    <w:rsid w:val="3D660FF2"/>
    <w:rsid w:val="3D6809A9"/>
    <w:rsid w:val="3D697CF1"/>
    <w:rsid w:val="3D7274AE"/>
    <w:rsid w:val="3D86312A"/>
    <w:rsid w:val="3DA553EB"/>
    <w:rsid w:val="3DA84EF3"/>
    <w:rsid w:val="3DBA119B"/>
    <w:rsid w:val="3DC333D6"/>
    <w:rsid w:val="3DC66193"/>
    <w:rsid w:val="3DD82D02"/>
    <w:rsid w:val="3DE36249"/>
    <w:rsid w:val="3DE73901"/>
    <w:rsid w:val="3DF02A80"/>
    <w:rsid w:val="3DF4531C"/>
    <w:rsid w:val="3E02579D"/>
    <w:rsid w:val="3E217729"/>
    <w:rsid w:val="3E282408"/>
    <w:rsid w:val="3E4953ED"/>
    <w:rsid w:val="3E81070D"/>
    <w:rsid w:val="3E826F6C"/>
    <w:rsid w:val="3E946A02"/>
    <w:rsid w:val="3E955F9A"/>
    <w:rsid w:val="3E9561B2"/>
    <w:rsid w:val="3EA73BD7"/>
    <w:rsid w:val="3EA83BCF"/>
    <w:rsid w:val="3EBA139B"/>
    <w:rsid w:val="3EE53886"/>
    <w:rsid w:val="3EF11D7C"/>
    <w:rsid w:val="3EFA79A1"/>
    <w:rsid w:val="3EFB7A4F"/>
    <w:rsid w:val="3F03785A"/>
    <w:rsid w:val="3F05034E"/>
    <w:rsid w:val="3F064091"/>
    <w:rsid w:val="3F344620"/>
    <w:rsid w:val="3F484DCF"/>
    <w:rsid w:val="3F4F373E"/>
    <w:rsid w:val="3F5127CF"/>
    <w:rsid w:val="3F685F8A"/>
    <w:rsid w:val="3F6A1D94"/>
    <w:rsid w:val="3F762CC8"/>
    <w:rsid w:val="3F963197"/>
    <w:rsid w:val="3FCE54C1"/>
    <w:rsid w:val="3FCE7F87"/>
    <w:rsid w:val="3FD61F9B"/>
    <w:rsid w:val="3FDB1B34"/>
    <w:rsid w:val="3FE41675"/>
    <w:rsid w:val="3FEB0829"/>
    <w:rsid w:val="402E37B1"/>
    <w:rsid w:val="403E5FE4"/>
    <w:rsid w:val="404844BF"/>
    <w:rsid w:val="404E1D8E"/>
    <w:rsid w:val="4054420F"/>
    <w:rsid w:val="405B441C"/>
    <w:rsid w:val="40641431"/>
    <w:rsid w:val="406E49F7"/>
    <w:rsid w:val="407E1D82"/>
    <w:rsid w:val="40864A45"/>
    <w:rsid w:val="40870463"/>
    <w:rsid w:val="40A11B62"/>
    <w:rsid w:val="40B32F61"/>
    <w:rsid w:val="40DD65FC"/>
    <w:rsid w:val="40EB76D4"/>
    <w:rsid w:val="40F65D5D"/>
    <w:rsid w:val="40F73205"/>
    <w:rsid w:val="40F849C7"/>
    <w:rsid w:val="41014156"/>
    <w:rsid w:val="410876A2"/>
    <w:rsid w:val="41223BE8"/>
    <w:rsid w:val="412C5B37"/>
    <w:rsid w:val="412D0014"/>
    <w:rsid w:val="412E4C7F"/>
    <w:rsid w:val="41444ABD"/>
    <w:rsid w:val="41456331"/>
    <w:rsid w:val="414A6C45"/>
    <w:rsid w:val="414A79A8"/>
    <w:rsid w:val="414F4C40"/>
    <w:rsid w:val="41746FA7"/>
    <w:rsid w:val="417A41AA"/>
    <w:rsid w:val="41995CE7"/>
    <w:rsid w:val="419B12EE"/>
    <w:rsid w:val="41A40187"/>
    <w:rsid w:val="41B50FA2"/>
    <w:rsid w:val="41CC44D2"/>
    <w:rsid w:val="41D0471B"/>
    <w:rsid w:val="41D863EE"/>
    <w:rsid w:val="41EF1B20"/>
    <w:rsid w:val="420C649C"/>
    <w:rsid w:val="42150EFF"/>
    <w:rsid w:val="423C539D"/>
    <w:rsid w:val="4243063A"/>
    <w:rsid w:val="424675AB"/>
    <w:rsid w:val="42534E2F"/>
    <w:rsid w:val="42574BEA"/>
    <w:rsid w:val="425E660F"/>
    <w:rsid w:val="42830482"/>
    <w:rsid w:val="42A50A45"/>
    <w:rsid w:val="42B17DBF"/>
    <w:rsid w:val="42B36E09"/>
    <w:rsid w:val="42C336BA"/>
    <w:rsid w:val="42CD3428"/>
    <w:rsid w:val="42E136AC"/>
    <w:rsid w:val="431B1FB4"/>
    <w:rsid w:val="4345143A"/>
    <w:rsid w:val="435512E9"/>
    <w:rsid w:val="43597A55"/>
    <w:rsid w:val="435F7C37"/>
    <w:rsid w:val="43671BEF"/>
    <w:rsid w:val="43787630"/>
    <w:rsid w:val="43805E07"/>
    <w:rsid w:val="43892E9A"/>
    <w:rsid w:val="438A28CF"/>
    <w:rsid w:val="43976403"/>
    <w:rsid w:val="43B13EA8"/>
    <w:rsid w:val="43C1604C"/>
    <w:rsid w:val="43CC21DD"/>
    <w:rsid w:val="43D27B13"/>
    <w:rsid w:val="43E3316F"/>
    <w:rsid w:val="43E34D2B"/>
    <w:rsid w:val="43E64655"/>
    <w:rsid w:val="43F02E1F"/>
    <w:rsid w:val="43F26F93"/>
    <w:rsid w:val="43F95CCB"/>
    <w:rsid w:val="44063823"/>
    <w:rsid w:val="440F1C8C"/>
    <w:rsid w:val="44116086"/>
    <w:rsid w:val="44190296"/>
    <w:rsid w:val="441931FA"/>
    <w:rsid w:val="4429305A"/>
    <w:rsid w:val="442E35D5"/>
    <w:rsid w:val="44412B90"/>
    <w:rsid w:val="444E0C83"/>
    <w:rsid w:val="44510C6F"/>
    <w:rsid w:val="44514E55"/>
    <w:rsid w:val="44673F42"/>
    <w:rsid w:val="44825313"/>
    <w:rsid w:val="449338E1"/>
    <w:rsid w:val="449E0263"/>
    <w:rsid w:val="44A551D8"/>
    <w:rsid w:val="44B10E6D"/>
    <w:rsid w:val="44C43D1D"/>
    <w:rsid w:val="44C45548"/>
    <w:rsid w:val="44C546BA"/>
    <w:rsid w:val="44E47101"/>
    <w:rsid w:val="44EF0A3B"/>
    <w:rsid w:val="450E3EE3"/>
    <w:rsid w:val="451A3E3B"/>
    <w:rsid w:val="451E2865"/>
    <w:rsid w:val="453759A4"/>
    <w:rsid w:val="454410E5"/>
    <w:rsid w:val="454B1417"/>
    <w:rsid w:val="454E0377"/>
    <w:rsid w:val="455A7376"/>
    <w:rsid w:val="4568594A"/>
    <w:rsid w:val="456C7CFF"/>
    <w:rsid w:val="45807091"/>
    <w:rsid w:val="45931377"/>
    <w:rsid w:val="45960F2B"/>
    <w:rsid w:val="459D461A"/>
    <w:rsid w:val="459F4215"/>
    <w:rsid w:val="45BD3779"/>
    <w:rsid w:val="45C313C6"/>
    <w:rsid w:val="45DF2FF2"/>
    <w:rsid w:val="45E57E63"/>
    <w:rsid w:val="46285FB9"/>
    <w:rsid w:val="462C4169"/>
    <w:rsid w:val="46391366"/>
    <w:rsid w:val="463E05AC"/>
    <w:rsid w:val="4641307B"/>
    <w:rsid w:val="46475ED6"/>
    <w:rsid w:val="464A73D4"/>
    <w:rsid w:val="465D43AB"/>
    <w:rsid w:val="466B3889"/>
    <w:rsid w:val="468031B0"/>
    <w:rsid w:val="468C3A74"/>
    <w:rsid w:val="46902F02"/>
    <w:rsid w:val="469E683E"/>
    <w:rsid w:val="46A31B07"/>
    <w:rsid w:val="46B66BF7"/>
    <w:rsid w:val="46BE1699"/>
    <w:rsid w:val="46CC7DB4"/>
    <w:rsid w:val="46E16BF5"/>
    <w:rsid w:val="470A4F43"/>
    <w:rsid w:val="470B29E1"/>
    <w:rsid w:val="47125FE7"/>
    <w:rsid w:val="471A7416"/>
    <w:rsid w:val="472262E4"/>
    <w:rsid w:val="47301C52"/>
    <w:rsid w:val="47303B2D"/>
    <w:rsid w:val="474747FF"/>
    <w:rsid w:val="47534928"/>
    <w:rsid w:val="475632E3"/>
    <w:rsid w:val="475723EA"/>
    <w:rsid w:val="4764152B"/>
    <w:rsid w:val="47652F79"/>
    <w:rsid w:val="47710F29"/>
    <w:rsid w:val="47737A6F"/>
    <w:rsid w:val="477910CF"/>
    <w:rsid w:val="47925833"/>
    <w:rsid w:val="479676D9"/>
    <w:rsid w:val="47B36D63"/>
    <w:rsid w:val="47BD1304"/>
    <w:rsid w:val="47C63C03"/>
    <w:rsid w:val="47C64BD8"/>
    <w:rsid w:val="47C67FBD"/>
    <w:rsid w:val="47CD0C87"/>
    <w:rsid w:val="47FE3F2B"/>
    <w:rsid w:val="480C26CA"/>
    <w:rsid w:val="480F6688"/>
    <w:rsid w:val="481E64CC"/>
    <w:rsid w:val="482C3EBF"/>
    <w:rsid w:val="483B6DB4"/>
    <w:rsid w:val="485058E6"/>
    <w:rsid w:val="48591D36"/>
    <w:rsid w:val="4859285B"/>
    <w:rsid w:val="48784B0A"/>
    <w:rsid w:val="488D1AA5"/>
    <w:rsid w:val="48A826FA"/>
    <w:rsid w:val="48EE587A"/>
    <w:rsid w:val="48F76E2E"/>
    <w:rsid w:val="48FB7D62"/>
    <w:rsid w:val="49050DEB"/>
    <w:rsid w:val="4911682E"/>
    <w:rsid w:val="491264B9"/>
    <w:rsid w:val="49156CA9"/>
    <w:rsid w:val="491E5C7E"/>
    <w:rsid w:val="49206672"/>
    <w:rsid w:val="492B795E"/>
    <w:rsid w:val="49302C55"/>
    <w:rsid w:val="49343FC8"/>
    <w:rsid w:val="493447C1"/>
    <w:rsid w:val="49443508"/>
    <w:rsid w:val="494D2F51"/>
    <w:rsid w:val="495E3CEB"/>
    <w:rsid w:val="496C2A23"/>
    <w:rsid w:val="497629BB"/>
    <w:rsid w:val="49791F9F"/>
    <w:rsid w:val="497E2966"/>
    <w:rsid w:val="497F084F"/>
    <w:rsid w:val="49857A23"/>
    <w:rsid w:val="49980E94"/>
    <w:rsid w:val="49BD5DE3"/>
    <w:rsid w:val="49C02175"/>
    <w:rsid w:val="49CC40D2"/>
    <w:rsid w:val="49DB4ECC"/>
    <w:rsid w:val="49F42431"/>
    <w:rsid w:val="49FC4EF2"/>
    <w:rsid w:val="4A101CA4"/>
    <w:rsid w:val="4A105DA5"/>
    <w:rsid w:val="4A106F62"/>
    <w:rsid w:val="4A135453"/>
    <w:rsid w:val="4A144831"/>
    <w:rsid w:val="4A283DF9"/>
    <w:rsid w:val="4A2F038B"/>
    <w:rsid w:val="4A2F7299"/>
    <w:rsid w:val="4A3A377A"/>
    <w:rsid w:val="4A530032"/>
    <w:rsid w:val="4A5568B3"/>
    <w:rsid w:val="4A6D0D80"/>
    <w:rsid w:val="4AA86B75"/>
    <w:rsid w:val="4AE372D9"/>
    <w:rsid w:val="4AF51102"/>
    <w:rsid w:val="4B1F451A"/>
    <w:rsid w:val="4B2E7C1C"/>
    <w:rsid w:val="4B33684F"/>
    <w:rsid w:val="4B5405D3"/>
    <w:rsid w:val="4B617F6B"/>
    <w:rsid w:val="4B7342AE"/>
    <w:rsid w:val="4B7E0A90"/>
    <w:rsid w:val="4BB05301"/>
    <w:rsid w:val="4BC64349"/>
    <w:rsid w:val="4BCD3094"/>
    <w:rsid w:val="4BD51B2A"/>
    <w:rsid w:val="4BD63583"/>
    <w:rsid w:val="4BE56F98"/>
    <w:rsid w:val="4BFB1FA4"/>
    <w:rsid w:val="4C001A04"/>
    <w:rsid w:val="4C1341C2"/>
    <w:rsid w:val="4C247629"/>
    <w:rsid w:val="4C3E0566"/>
    <w:rsid w:val="4C524305"/>
    <w:rsid w:val="4C544A7A"/>
    <w:rsid w:val="4C634134"/>
    <w:rsid w:val="4C820264"/>
    <w:rsid w:val="4C92481A"/>
    <w:rsid w:val="4C947C88"/>
    <w:rsid w:val="4C962BFE"/>
    <w:rsid w:val="4C980B53"/>
    <w:rsid w:val="4CA87FD7"/>
    <w:rsid w:val="4CB93C83"/>
    <w:rsid w:val="4CBF66E9"/>
    <w:rsid w:val="4CC139D6"/>
    <w:rsid w:val="4CD7529E"/>
    <w:rsid w:val="4CE2183B"/>
    <w:rsid w:val="4CE973D7"/>
    <w:rsid w:val="4CEB7BD6"/>
    <w:rsid w:val="4CEE70B3"/>
    <w:rsid w:val="4CF52634"/>
    <w:rsid w:val="4CFF09E1"/>
    <w:rsid w:val="4D01667A"/>
    <w:rsid w:val="4D021A27"/>
    <w:rsid w:val="4D051423"/>
    <w:rsid w:val="4D097393"/>
    <w:rsid w:val="4D0E0661"/>
    <w:rsid w:val="4D2E5C7C"/>
    <w:rsid w:val="4D3A1FB5"/>
    <w:rsid w:val="4D3F6D90"/>
    <w:rsid w:val="4D471E37"/>
    <w:rsid w:val="4D4A5919"/>
    <w:rsid w:val="4D6417EC"/>
    <w:rsid w:val="4D6C2220"/>
    <w:rsid w:val="4D775099"/>
    <w:rsid w:val="4D7A31C3"/>
    <w:rsid w:val="4D89380C"/>
    <w:rsid w:val="4D9F78AC"/>
    <w:rsid w:val="4DAC359B"/>
    <w:rsid w:val="4DC55016"/>
    <w:rsid w:val="4DC652DE"/>
    <w:rsid w:val="4DC757CC"/>
    <w:rsid w:val="4DCD48CB"/>
    <w:rsid w:val="4DDF6419"/>
    <w:rsid w:val="4DE933BC"/>
    <w:rsid w:val="4E0A17C8"/>
    <w:rsid w:val="4E0B1188"/>
    <w:rsid w:val="4E114FF9"/>
    <w:rsid w:val="4E3C59E2"/>
    <w:rsid w:val="4E402294"/>
    <w:rsid w:val="4E52609C"/>
    <w:rsid w:val="4E653753"/>
    <w:rsid w:val="4E7E2FDB"/>
    <w:rsid w:val="4E7E5AEE"/>
    <w:rsid w:val="4E813DB3"/>
    <w:rsid w:val="4E82017F"/>
    <w:rsid w:val="4E90275C"/>
    <w:rsid w:val="4E9F6974"/>
    <w:rsid w:val="4EB72D26"/>
    <w:rsid w:val="4EBB1E14"/>
    <w:rsid w:val="4EBB3140"/>
    <w:rsid w:val="4EBF1BEC"/>
    <w:rsid w:val="4ED6441E"/>
    <w:rsid w:val="4EDA59D6"/>
    <w:rsid w:val="4EE07D55"/>
    <w:rsid w:val="4EE9515B"/>
    <w:rsid w:val="4EEA2FE3"/>
    <w:rsid w:val="4EEB1EB1"/>
    <w:rsid w:val="4EEC684A"/>
    <w:rsid w:val="4EFD0864"/>
    <w:rsid w:val="4F01142E"/>
    <w:rsid w:val="4F16110F"/>
    <w:rsid w:val="4F1A4209"/>
    <w:rsid w:val="4F345FED"/>
    <w:rsid w:val="4F4776C7"/>
    <w:rsid w:val="4F5E0689"/>
    <w:rsid w:val="4F5E684F"/>
    <w:rsid w:val="4F6C3FFC"/>
    <w:rsid w:val="4F7830DA"/>
    <w:rsid w:val="4F8E6190"/>
    <w:rsid w:val="4F9F28B4"/>
    <w:rsid w:val="4FA13518"/>
    <w:rsid w:val="4FA871BC"/>
    <w:rsid w:val="4FB809FA"/>
    <w:rsid w:val="4FC33130"/>
    <w:rsid w:val="4FCE3EE9"/>
    <w:rsid w:val="4FD91F9C"/>
    <w:rsid w:val="500E7DD7"/>
    <w:rsid w:val="500F4E81"/>
    <w:rsid w:val="50103224"/>
    <w:rsid w:val="50110C51"/>
    <w:rsid w:val="502D0FD0"/>
    <w:rsid w:val="503A5EA1"/>
    <w:rsid w:val="503E1E86"/>
    <w:rsid w:val="504537D5"/>
    <w:rsid w:val="50474B4B"/>
    <w:rsid w:val="505B66A8"/>
    <w:rsid w:val="506023A2"/>
    <w:rsid w:val="506F3298"/>
    <w:rsid w:val="50732566"/>
    <w:rsid w:val="50737F88"/>
    <w:rsid w:val="50824E95"/>
    <w:rsid w:val="508E16F8"/>
    <w:rsid w:val="508F526C"/>
    <w:rsid w:val="509131D3"/>
    <w:rsid w:val="509809C5"/>
    <w:rsid w:val="50B633E8"/>
    <w:rsid w:val="50BD7727"/>
    <w:rsid w:val="50CF6263"/>
    <w:rsid w:val="50DA014D"/>
    <w:rsid w:val="50DF535C"/>
    <w:rsid w:val="50F63058"/>
    <w:rsid w:val="50FD0D6A"/>
    <w:rsid w:val="51077749"/>
    <w:rsid w:val="51086075"/>
    <w:rsid w:val="510C3E9A"/>
    <w:rsid w:val="5115171D"/>
    <w:rsid w:val="5123467C"/>
    <w:rsid w:val="5127789B"/>
    <w:rsid w:val="51387953"/>
    <w:rsid w:val="514964FB"/>
    <w:rsid w:val="514A3AA4"/>
    <w:rsid w:val="51510778"/>
    <w:rsid w:val="515C6578"/>
    <w:rsid w:val="51675C77"/>
    <w:rsid w:val="516A572D"/>
    <w:rsid w:val="51717DE6"/>
    <w:rsid w:val="51813467"/>
    <w:rsid w:val="5189354A"/>
    <w:rsid w:val="518B643F"/>
    <w:rsid w:val="519417C2"/>
    <w:rsid w:val="51C05501"/>
    <w:rsid w:val="51EE6B6D"/>
    <w:rsid w:val="51F03193"/>
    <w:rsid w:val="51F0370F"/>
    <w:rsid w:val="51F03DA8"/>
    <w:rsid w:val="51FA5BF2"/>
    <w:rsid w:val="52087F52"/>
    <w:rsid w:val="521D0688"/>
    <w:rsid w:val="523652AF"/>
    <w:rsid w:val="52381DD5"/>
    <w:rsid w:val="52521515"/>
    <w:rsid w:val="52643AFF"/>
    <w:rsid w:val="52697528"/>
    <w:rsid w:val="526A2A93"/>
    <w:rsid w:val="527132DF"/>
    <w:rsid w:val="52952322"/>
    <w:rsid w:val="5298074E"/>
    <w:rsid w:val="52A918D2"/>
    <w:rsid w:val="52AC77BD"/>
    <w:rsid w:val="52B0061C"/>
    <w:rsid w:val="52B72F2C"/>
    <w:rsid w:val="52C929CA"/>
    <w:rsid w:val="52D3028F"/>
    <w:rsid w:val="52D51F86"/>
    <w:rsid w:val="52EE6514"/>
    <w:rsid w:val="53145940"/>
    <w:rsid w:val="53257A64"/>
    <w:rsid w:val="53272EB7"/>
    <w:rsid w:val="5327371E"/>
    <w:rsid w:val="534742EE"/>
    <w:rsid w:val="534E46C4"/>
    <w:rsid w:val="535918FA"/>
    <w:rsid w:val="535D606F"/>
    <w:rsid w:val="537E0193"/>
    <w:rsid w:val="537F3909"/>
    <w:rsid w:val="53853D18"/>
    <w:rsid w:val="53887AD1"/>
    <w:rsid w:val="53A013D5"/>
    <w:rsid w:val="53C24823"/>
    <w:rsid w:val="53C70004"/>
    <w:rsid w:val="53E02890"/>
    <w:rsid w:val="53F5677C"/>
    <w:rsid w:val="53FB4BFE"/>
    <w:rsid w:val="54120258"/>
    <w:rsid w:val="541D1F85"/>
    <w:rsid w:val="54274A39"/>
    <w:rsid w:val="542C4BD4"/>
    <w:rsid w:val="54307162"/>
    <w:rsid w:val="54391219"/>
    <w:rsid w:val="545D18DF"/>
    <w:rsid w:val="54614722"/>
    <w:rsid w:val="547B7A48"/>
    <w:rsid w:val="54890DFE"/>
    <w:rsid w:val="54A63098"/>
    <w:rsid w:val="54AC1F64"/>
    <w:rsid w:val="54BB7EE1"/>
    <w:rsid w:val="550B1E12"/>
    <w:rsid w:val="550F42B5"/>
    <w:rsid w:val="552A41DC"/>
    <w:rsid w:val="553C04C8"/>
    <w:rsid w:val="553E0B76"/>
    <w:rsid w:val="554B12D2"/>
    <w:rsid w:val="554F065E"/>
    <w:rsid w:val="5563065A"/>
    <w:rsid w:val="55715C9F"/>
    <w:rsid w:val="55780C9E"/>
    <w:rsid w:val="558104D8"/>
    <w:rsid w:val="558141BB"/>
    <w:rsid w:val="558C1F03"/>
    <w:rsid w:val="55BC3F7C"/>
    <w:rsid w:val="55CE2491"/>
    <w:rsid w:val="55DF63F2"/>
    <w:rsid w:val="55EC2DC2"/>
    <w:rsid w:val="55F15FA1"/>
    <w:rsid w:val="55FC6B00"/>
    <w:rsid w:val="55FF3195"/>
    <w:rsid w:val="55FF4EC1"/>
    <w:rsid w:val="56052641"/>
    <w:rsid w:val="562F501F"/>
    <w:rsid w:val="563E5749"/>
    <w:rsid w:val="565B28FA"/>
    <w:rsid w:val="56856E12"/>
    <w:rsid w:val="56955B08"/>
    <w:rsid w:val="5698718B"/>
    <w:rsid w:val="56A06BCD"/>
    <w:rsid w:val="56AA0DEB"/>
    <w:rsid w:val="56AF56F2"/>
    <w:rsid w:val="56BA1244"/>
    <w:rsid w:val="56C074D5"/>
    <w:rsid w:val="56C13933"/>
    <w:rsid w:val="56C2057C"/>
    <w:rsid w:val="56CE526A"/>
    <w:rsid w:val="56CE666D"/>
    <w:rsid w:val="56D148D5"/>
    <w:rsid w:val="56DC03C5"/>
    <w:rsid w:val="5700425A"/>
    <w:rsid w:val="57231549"/>
    <w:rsid w:val="57351294"/>
    <w:rsid w:val="57361D03"/>
    <w:rsid w:val="574542B8"/>
    <w:rsid w:val="57526C5D"/>
    <w:rsid w:val="575C2DC2"/>
    <w:rsid w:val="5766386E"/>
    <w:rsid w:val="578E1FD6"/>
    <w:rsid w:val="57972DA2"/>
    <w:rsid w:val="57986160"/>
    <w:rsid w:val="57A33912"/>
    <w:rsid w:val="57AF5F4B"/>
    <w:rsid w:val="57B442B6"/>
    <w:rsid w:val="57B51DD3"/>
    <w:rsid w:val="57BC509B"/>
    <w:rsid w:val="57D87F78"/>
    <w:rsid w:val="57DD28B4"/>
    <w:rsid w:val="58086526"/>
    <w:rsid w:val="5813033D"/>
    <w:rsid w:val="581969B8"/>
    <w:rsid w:val="581D0082"/>
    <w:rsid w:val="582E1CE6"/>
    <w:rsid w:val="582E2A4D"/>
    <w:rsid w:val="58584CAD"/>
    <w:rsid w:val="58621AE2"/>
    <w:rsid w:val="586C1237"/>
    <w:rsid w:val="587428E3"/>
    <w:rsid w:val="587D515F"/>
    <w:rsid w:val="58970993"/>
    <w:rsid w:val="589F42E9"/>
    <w:rsid w:val="58A4773F"/>
    <w:rsid w:val="58B07BF1"/>
    <w:rsid w:val="58BE35B3"/>
    <w:rsid w:val="58C078B2"/>
    <w:rsid w:val="58DC7839"/>
    <w:rsid w:val="58E53191"/>
    <w:rsid w:val="58F85491"/>
    <w:rsid w:val="59071224"/>
    <w:rsid w:val="59106A9F"/>
    <w:rsid w:val="59154DDB"/>
    <w:rsid w:val="59216CC0"/>
    <w:rsid w:val="592579AD"/>
    <w:rsid w:val="594A78E9"/>
    <w:rsid w:val="59527937"/>
    <w:rsid w:val="596156F2"/>
    <w:rsid w:val="59657B9E"/>
    <w:rsid w:val="596B1334"/>
    <w:rsid w:val="596F044C"/>
    <w:rsid w:val="598B31E8"/>
    <w:rsid w:val="598C7F5D"/>
    <w:rsid w:val="599576CD"/>
    <w:rsid w:val="59B50E67"/>
    <w:rsid w:val="59BF6BB8"/>
    <w:rsid w:val="59D7056A"/>
    <w:rsid w:val="59E73167"/>
    <w:rsid w:val="59ED1C93"/>
    <w:rsid w:val="59EF6B6F"/>
    <w:rsid w:val="59FD4806"/>
    <w:rsid w:val="5A03009A"/>
    <w:rsid w:val="5A072F12"/>
    <w:rsid w:val="5A1D528A"/>
    <w:rsid w:val="5A2E560A"/>
    <w:rsid w:val="5A326E61"/>
    <w:rsid w:val="5A3751DE"/>
    <w:rsid w:val="5A3E25F5"/>
    <w:rsid w:val="5A485884"/>
    <w:rsid w:val="5A554DF9"/>
    <w:rsid w:val="5A557759"/>
    <w:rsid w:val="5A566C04"/>
    <w:rsid w:val="5A5C5ECC"/>
    <w:rsid w:val="5A604CAB"/>
    <w:rsid w:val="5A644108"/>
    <w:rsid w:val="5A664F19"/>
    <w:rsid w:val="5A78262C"/>
    <w:rsid w:val="5ABB17A3"/>
    <w:rsid w:val="5AC90DCD"/>
    <w:rsid w:val="5ACE4595"/>
    <w:rsid w:val="5ADF1DEB"/>
    <w:rsid w:val="5AE414FC"/>
    <w:rsid w:val="5AFE499B"/>
    <w:rsid w:val="5B0C1F26"/>
    <w:rsid w:val="5B1203C7"/>
    <w:rsid w:val="5B137EB7"/>
    <w:rsid w:val="5B405245"/>
    <w:rsid w:val="5B61247F"/>
    <w:rsid w:val="5B775F09"/>
    <w:rsid w:val="5B972F52"/>
    <w:rsid w:val="5BA567E0"/>
    <w:rsid w:val="5BBE6CA4"/>
    <w:rsid w:val="5BBF0A74"/>
    <w:rsid w:val="5BC23B87"/>
    <w:rsid w:val="5BCC5665"/>
    <w:rsid w:val="5BCF3E05"/>
    <w:rsid w:val="5C1702CD"/>
    <w:rsid w:val="5C250C50"/>
    <w:rsid w:val="5C2634F1"/>
    <w:rsid w:val="5C332244"/>
    <w:rsid w:val="5C39767F"/>
    <w:rsid w:val="5C3D0FE3"/>
    <w:rsid w:val="5C650502"/>
    <w:rsid w:val="5C7B02F6"/>
    <w:rsid w:val="5C9914B8"/>
    <w:rsid w:val="5CAA1051"/>
    <w:rsid w:val="5CBE62CB"/>
    <w:rsid w:val="5CDE5E89"/>
    <w:rsid w:val="5CDF2E42"/>
    <w:rsid w:val="5CED0783"/>
    <w:rsid w:val="5CF63EA3"/>
    <w:rsid w:val="5CF71724"/>
    <w:rsid w:val="5CF926A0"/>
    <w:rsid w:val="5CFF4A50"/>
    <w:rsid w:val="5D1C584A"/>
    <w:rsid w:val="5D4120CB"/>
    <w:rsid w:val="5D4263AD"/>
    <w:rsid w:val="5D5C5716"/>
    <w:rsid w:val="5D7128A4"/>
    <w:rsid w:val="5D774C05"/>
    <w:rsid w:val="5D7C3C41"/>
    <w:rsid w:val="5D8F5D8E"/>
    <w:rsid w:val="5D91339B"/>
    <w:rsid w:val="5D981E45"/>
    <w:rsid w:val="5DB64AAB"/>
    <w:rsid w:val="5DB725E1"/>
    <w:rsid w:val="5DC60467"/>
    <w:rsid w:val="5DDB6CD6"/>
    <w:rsid w:val="5DDE4028"/>
    <w:rsid w:val="5DE41518"/>
    <w:rsid w:val="5DEE6868"/>
    <w:rsid w:val="5DEF6FA8"/>
    <w:rsid w:val="5DFC29D7"/>
    <w:rsid w:val="5E0604AF"/>
    <w:rsid w:val="5E2A3CC9"/>
    <w:rsid w:val="5E3116E4"/>
    <w:rsid w:val="5E4252AA"/>
    <w:rsid w:val="5E4C6944"/>
    <w:rsid w:val="5E724473"/>
    <w:rsid w:val="5E8372FD"/>
    <w:rsid w:val="5E967515"/>
    <w:rsid w:val="5EA509F1"/>
    <w:rsid w:val="5EA778C3"/>
    <w:rsid w:val="5EAB380E"/>
    <w:rsid w:val="5EB6769C"/>
    <w:rsid w:val="5EB7198A"/>
    <w:rsid w:val="5EBD215E"/>
    <w:rsid w:val="5EBF1341"/>
    <w:rsid w:val="5EC969EE"/>
    <w:rsid w:val="5ED2390C"/>
    <w:rsid w:val="5EDC6B50"/>
    <w:rsid w:val="5EE270FC"/>
    <w:rsid w:val="5EFB68FD"/>
    <w:rsid w:val="5F0A33C6"/>
    <w:rsid w:val="5F0E50AD"/>
    <w:rsid w:val="5F243F08"/>
    <w:rsid w:val="5F373EF0"/>
    <w:rsid w:val="5F3A56A0"/>
    <w:rsid w:val="5F51419C"/>
    <w:rsid w:val="5F700385"/>
    <w:rsid w:val="5F8C2F91"/>
    <w:rsid w:val="5F93077F"/>
    <w:rsid w:val="5FA54E49"/>
    <w:rsid w:val="5FAC69CB"/>
    <w:rsid w:val="5FB456AB"/>
    <w:rsid w:val="5FB7374D"/>
    <w:rsid w:val="5FBC2921"/>
    <w:rsid w:val="5FD2578C"/>
    <w:rsid w:val="5FF1063A"/>
    <w:rsid w:val="5FFE2FE8"/>
    <w:rsid w:val="601873CD"/>
    <w:rsid w:val="602411D3"/>
    <w:rsid w:val="60243E22"/>
    <w:rsid w:val="60263074"/>
    <w:rsid w:val="603A250A"/>
    <w:rsid w:val="603F5C77"/>
    <w:rsid w:val="6041745B"/>
    <w:rsid w:val="60444071"/>
    <w:rsid w:val="60594B9A"/>
    <w:rsid w:val="605D101B"/>
    <w:rsid w:val="606B3DDE"/>
    <w:rsid w:val="60770546"/>
    <w:rsid w:val="607E0535"/>
    <w:rsid w:val="6085088A"/>
    <w:rsid w:val="60A60CEE"/>
    <w:rsid w:val="60B34C1D"/>
    <w:rsid w:val="60B80463"/>
    <w:rsid w:val="60BC19E2"/>
    <w:rsid w:val="60C85458"/>
    <w:rsid w:val="60D46ED9"/>
    <w:rsid w:val="60EF16F9"/>
    <w:rsid w:val="60F74CAA"/>
    <w:rsid w:val="60FA6EB1"/>
    <w:rsid w:val="60FF0F02"/>
    <w:rsid w:val="610A7FB0"/>
    <w:rsid w:val="610C4AF7"/>
    <w:rsid w:val="611B0393"/>
    <w:rsid w:val="611D092D"/>
    <w:rsid w:val="612130E7"/>
    <w:rsid w:val="612C1431"/>
    <w:rsid w:val="612E086E"/>
    <w:rsid w:val="612F6C17"/>
    <w:rsid w:val="613F5E83"/>
    <w:rsid w:val="61413752"/>
    <w:rsid w:val="61426A38"/>
    <w:rsid w:val="615E5BFE"/>
    <w:rsid w:val="6162096D"/>
    <w:rsid w:val="61743D08"/>
    <w:rsid w:val="61757866"/>
    <w:rsid w:val="618539C7"/>
    <w:rsid w:val="61AE3E54"/>
    <w:rsid w:val="61BC7C60"/>
    <w:rsid w:val="61D66E62"/>
    <w:rsid w:val="6208266D"/>
    <w:rsid w:val="62131828"/>
    <w:rsid w:val="6216307C"/>
    <w:rsid w:val="62200874"/>
    <w:rsid w:val="62243C92"/>
    <w:rsid w:val="62267E7B"/>
    <w:rsid w:val="62283E25"/>
    <w:rsid w:val="62354946"/>
    <w:rsid w:val="6236438F"/>
    <w:rsid w:val="62405A9C"/>
    <w:rsid w:val="6252656D"/>
    <w:rsid w:val="625E363F"/>
    <w:rsid w:val="62621ABC"/>
    <w:rsid w:val="62726F47"/>
    <w:rsid w:val="62783A5A"/>
    <w:rsid w:val="629063D9"/>
    <w:rsid w:val="62996A76"/>
    <w:rsid w:val="62A85104"/>
    <w:rsid w:val="62AB1846"/>
    <w:rsid w:val="62F07586"/>
    <w:rsid w:val="62F6223D"/>
    <w:rsid w:val="63063BB8"/>
    <w:rsid w:val="630644BB"/>
    <w:rsid w:val="630D30D8"/>
    <w:rsid w:val="63144199"/>
    <w:rsid w:val="63165876"/>
    <w:rsid w:val="63214BF3"/>
    <w:rsid w:val="63217BD1"/>
    <w:rsid w:val="6330796A"/>
    <w:rsid w:val="633E6FD1"/>
    <w:rsid w:val="633F0AF4"/>
    <w:rsid w:val="63487D75"/>
    <w:rsid w:val="6355299A"/>
    <w:rsid w:val="636B32A7"/>
    <w:rsid w:val="63711A5B"/>
    <w:rsid w:val="637C4399"/>
    <w:rsid w:val="63AB4C15"/>
    <w:rsid w:val="63BB1E61"/>
    <w:rsid w:val="63C04103"/>
    <w:rsid w:val="63C16289"/>
    <w:rsid w:val="63D251F4"/>
    <w:rsid w:val="63D73744"/>
    <w:rsid w:val="63D77DAC"/>
    <w:rsid w:val="63E91405"/>
    <w:rsid w:val="63EB0F88"/>
    <w:rsid w:val="63EB5986"/>
    <w:rsid w:val="63FB74A7"/>
    <w:rsid w:val="64032C45"/>
    <w:rsid w:val="640F5D56"/>
    <w:rsid w:val="641420D7"/>
    <w:rsid w:val="64234A30"/>
    <w:rsid w:val="64296E58"/>
    <w:rsid w:val="642C1CCB"/>
    <w:rsid w:val="642E7C9C"/>
    <w:rsid w:val="64330A04"/>
    <w:rsid w:val="64394612"/>
    <w:rsid w:val="643B5E4A"/>
    <w:rsid w:val="64484A60"/>
    <w:rsid w:val="644A09E9"/>
    <w:rsid w:val="645526AF"/>
    <w:rsid w:val="64597C54"/>
    <w:rsid w:val="646112A5"/>
    <w:rsid w:val="6464342C"/>
    <w:rsid w:val="646F3B90"/>
    <w:rsid w:val="647428DB"/>
    <w:rsid w:val="647567C3"/>
    <w:rsid w:val="64992C68"/>
    <w:rsid w:val="64AC2F08"/>
    <w:rsid w:val="64C85668"/>
    <w:rsid w:val="64CD2DFE"/>
    <w:rsid w:val="64DA03F1"/>
    <w:rsid w:val="64DA7F84"/>
    <w:rsid w:val="64E65869"/>
    <w:rsid w:val="64EF2D41"/>
    <w:rsid w:val="650A43DA"/>
    <w:rsid w:val="650C56D2"/>
    <w:rsid w:val="651A52A6"/>
    <w:rsid w:val="652146B3"/>
    <w:rsid w:val="65452BDC"/>
    <w:rsid w:val="654F51BB"/>
    <w:rsid w:val="65585BC1"/>
    <w:rsid w:val="65610F5A"/>
    <w:rsid w:val="6573285D"/>
    <w:rsid w:val="657423EE"/>
    <w:rsid w:val="657C1BFB"/>
    <w:rsid w:val="65B61DEF"/>
    <w:rsid w:val="65D3662E"/>
    <w:rsid w:val="65D85783"/>
    <w:rsid w:val="65ED716B"/>
    <w:rsid w:val="65F81CA5"/>
    <w:rsid w:val="66053D3B"/>
    <w:rsid w:val="660F58E0"/>
    <w:rsid w:val="66100DFA"/>
    <w:rsid w:val="66240B2A"/>
    <w:rsid w:val="665954BC"/>
    <w:rsid w:val="665F60FD"/>
    <w:rsid w:val="66650177"/>
    <w:rsid w:val="66715664"/>
    <w:rsid w:val="6672584F"/>
    <w:rsid w:val="667543D3"/>
    <w:rsid w:val="66861F2D"/>
    <w:rsid w:val="668734C3"/>
    <w:rsid w:val="669D26DE"/>
    <w:rsid w:val="66BE303F"/>
    <w:rsid w:val="66C35AAF"/>
    <w:rsid w:val="66EB7FF4"/>
    <w:rsid w:val="66ED0929"/>
    <w:rsid w:val="67041086"/>
    <w:rsid w:val="671634A4"/>
    <w:rsid w:val="67190C46"/>
    <w:rsid w:val="67221EC2"/>
    <w:rsid w:val="672B07F3"/>
    <w:rsid w:val="672C1DB0"/>
    <w:rsid w:val="6757019B"/>
    <w:rsid w:val="675D569D"/>
    <w:rsid w:val="67622E70"/>
    <w:rsid w:val="676E4DA3"/>
    <w:rsid w:val="67820224"/>
    <w:rsid w:val="679057CB"/>
    <w:rsid w:val="67993AC6"/>
    <w:rsid w:val="67A61DC6"/>
    <w:rsid w:val="67B61CEA"/>
    <w:rsid w:val="67BC6E04"/>
    <w:rsid w:val="67BE5BE6"/>
    <w:rsid w:val="67C43F9F"/>
    <w:rsid w:val="67E95BA4"/>
    <w:rsid w:val="67F508D9"/>
    <w:rsid w:val="67FF048B"/>
    <w:rsid w:val="68004BFC"/>
    <w:rsid w:val="680E58AE"/>
    <w:rsid w:val="6821063A"/>
    <w:rsid w:val="68241AC0"/>
    <w:rsid w:val="682A1ABE"/>
    <w:rsid w:val="683347FB"/>
    <w:rsid w:val="68553D37"/>
    <w:rsid w:val="685B27B5"/>
    <w:rsid w:val="686F7DB3"/>
    <w:rsid w:val="6891551C"/>
    <w:rsid w:val="689B1921"/>
    <w:rsid w:val="68A03591"/>
    <w:rsid w:val="68B55766"/>
    <w:rsid w:val="68E85A05"/>
    <w:rsid w:val="68F2495E"/>
    <w:rsid w:val="68F72177"/>
    <w:rsid w:val="68FA5F25"/>
    <w:rsid w:val="69005336"/>
    <w:rsid w:val="6916746C"/>
    <w:rsid w:val="691B013B"/>
    <w:rsid w:val="69234BCC"/>
    <w:rsid w:val="692767C0"/>
    <w:rsid w:val="692B4C72"/>
    <w:rsid w:val="692F74DA"/>
    <w:rsid w:val="693C38BA"/>
    <w:rsid w:val="695C0779"/>
    <w:rsid w:val="695F68F3"/>
    <w:rsid w:val="696D26DD"/>
    <w:rsid w:val="69877444"/>
    <w:rsid w:val="699041ED"/>
    <w:rsid w:val="69986730"/>
    <w:rsid w:val="69A62B90"/>
    <w:rsid w:val="69A72E68"/>
    <w:rsid w:val="69B7165E"/>
    <w:rsid w:val="69C7309A"/>
    <w:rsid w:val="69CC62C5"/>
    <w:rsid w:val="69CD585E"/>
    <w:rsid w:val="69D0781E"/>
    <w:rsid w:val="69E27919"/>
    <w:rsid w:val="69E758F4"/>
    <w:rsid w:val="69FB7826"/>
    <w:rsid w:val="6A0279CE"/>
    <w:rsid w:val="6A0826C9"/>
    <w:rsid w:val="6A09215A"/>
    <w:rsid w:val="6A26227A"/>
    <w:rsid w:val="6A3F2B7F"/>
    <w:rsid w:val="6A4C12FD"/>
    <w:rsid w:val="6A5C43AC"/>
    <w:rsid w:val="6A5E6B92"/>
    <w:rsid w:val="6A6133EB"/>
    <w:rsid w:val="6A761C76"/>
    <w:rsid w:val="6A820F58"/>
    <w:rsid w:val="6A8304A9"/>
    <w:rsid w:val="6A88015F"/>
    <w:rsid w:val="6A9016A9"/>
    <w:rsid w:val="6A93424C"/>
    <w:rsid w:val="6AA206DF"/>
    <w:rsid w:val="6AAF23B6"/>
    <w:rsid w:val="6AD349EC"/>
    <w:rsid w:val="6AE378A8"/>
    <w:rsid w:val="6AE51A58"/>
    <w:rsid w:val="6AE971FE"/>
    <w:rsid w:val="6AFD1F7A"/>
    <w:rsid w:val="6B0529C2"/>
    <w:rsid w:val="6B092EAC"/>
    <w:rsid w:val="6B181A4A"/>
    <w:rsid w:val="6B1B7AAA"/>
    <w:rsid w:val="6B23506E"/>
    <w:rsid w:val="6B546EA6"/>
    <w:rsid w:val="6B5501DA"/>
    <w:rsid w:val="6B7A0DFE"/>
    <w:rsid w:val="6B801EE1"/>
    <w:rsid w:val="6B8D60F7"/>
    <w:rsid w:val="6B8F2FA0"/>
    <w:rsid w:val="6B907347"/>
    <w:rsid w:val="6B9333B5"/>
    <w:rsid w:val="6B976C33"/>
    <w:rsid w:val="6B9A2455"/>
    <w:rsid w:val="6B9B601D"/>
    <w:rsid w:val="6BA01140"/>
    <w:rsid w:val="6BA54F9D"/>
    <w:rsid w:val="6BA73B92"/>
    <w:rsid w:val="6BB62736"/>
    <w:rsid w:val="6BC645E3"/>
    <w:rsid w:val="6BC64A88"/>
    <w:rsid w:val="6BF1695D"/>
    <w:rsid w:val="6C0B689E"/>
    <w:rsid w:val="6C263EF7"/>
    <w:rsid w:val="6C2665EA"/>
    <w:rsid w:val="6C2E2D9D"/>
    <w:rsid w:val="6C3E3820"/>
    <w:rsid w:val="6C512E26"/>
    <w:rsid w:val="6C5778E3"/>
    <w:rsid w:val="6C6B7EA5"/>
    <w:rsid w:val="6C6F59CB"/>
    <w:rsid w:val="6C712EE4"/>
    <w:rsid w:val="6C84644B"/>
    <w:rsid w:val="6C872799"/>
    <w:rsid w:val="6C900637"/>
    <w:rsid w:val="6CB24EBA"/>
    <w:rsid w:val="6CCC0689"/>
    <w:rsid w:val="6CCC44CE"/>
    <w:rsid w:val="6CD53B16"/>
    <w:rsid w:val="6CF312E2"/>
    <w:rsid w:val="6D0A12D1"/>
    <w:rsid w:val="6D0D340F"/>
    <w:rsid w:val="6D2C1403"/>
    <w:rsid w:val="6D2F74EA"/>
    <w:rsid w:val="6D352E02"/>
    <w:rsid w:val="6D482FEB"/>
    <w:rsid w:val="6D5737A7"/>
    <w:rsid w:val="6D5B64A9"/>
    <w:rsid w:val="6D650E7C"/>
    <w:rsid w:val="6D6D07C9"/>
    <w:rsid w:val="6D791F82"/>
    <w:rsid w:val="6D8635F9"/>
    <w:rsid w:val="6D9B6F83"/>
    <w:rsid w:val="6DAF6F54"/>
    <w:rsid w:val="6DB0498B"/>
    <w:rsid w:val="6DC275EA"/>
    <w:rsid w:val="6DCE44A1"/>
    <w:rsid w:val="6DD00390"/>
    <w:rsid w:val="6DDB2EB5"/>
    <w:rsid w:val="6DE4225A"/>
    <w:rsid w:val="6E18322B"/>
    <w:rsid w:val="6E1934B8"/>
    <w:rsid w:val="6E2E1466"/>
    <w:rsid w:val="6E305292"/>
    <w:rsid w:val="6E6320D5"/>
    <w:rsid w:val="6E727911"/>
    <w:rsid w:val="6E753CB3"/>
    <w:rsid w:val="6E8A617B"/>
    <w:rsid w:val="6E946D95"/>
    <w:rsid w:val="6EB542C6"/>
    <w:rsid w:val="6EB94BA3"/>
    <w:rsid w:val="6EC93A08"/>
    <w:rsid w:val="6ECD5CF4"/>
    <w:rsid w:val="6ED06AFB"/>
    <w:rsid w:val="6EDC1DEF"/>
    <w:rsid w:val="6EE70F44"/>
    <w:rsid w:val="6EF70B20"/>
    <w:rsid w:val="6F1D4AB8"/>
    <w:rsid w:val="6F2409A2"/>
    <w:rsid w:val="6F3A2AFE"/>
    <w:rsid w:val="6F3E3E3A"/>
    <w:rsid w:val="6F490E35"/>
    <w:rsid w:val="6F4A533F"/>
    <w:rsid w:val="6F4B6468"/>
    <w:rsid w:val="6F4D6995"/>
    <w:rsid w:val="6F543687"/>
    <w:rsid w:val="6F5C5BA9"/>
    <w:rsid w:val="6F5E5779"/>
    <w:rsid w:val="6F681A7E"/>
    <w:rsid w:val="6F720184"/>
    <w:rsid w:val="6F8F7FF3"/>
    <w:rsid w:val="6F906565"/>
    <w:rsid w:val="6F934EEE"/>
    <w:rsid w:val="6FA40305"/>
    <w:rsid w:val="6FB67043"/>
    <w:rsid w:val="6FB9400A"/>
    <w:rsid w:val="6FD90FCE"/>
    <w:rsid w:val="6FE4753E"/>
    <w:rsid w:val="6FE57E66"/>
    <w:rsid w:val="70061129"/>
    <w:rsid w:val="7023326E"/>
    <w:rsid w:val="702C5338"/>
    <w:rsid w:val="7030263F"/>
    <w:rsid w:val="70546C18"/>
    <w:rsid w:val="70602F42"/>
    <w:rsid w:val="709902CC"/>
    <w:rsid w:val="70AB40B7"/>
    <w:rsid w:val="70B0281C"/>
    <w:rsid w:val="70C97A28"/>
    <w:rsid w:val="70D96C0B"/>
    <w:rsid w:val="71065DDE"/>
    <w:rsid w:val="710D43F3"/>
    <w:rsid w:val="711C76A0"/>
    <w:rsid w:val="712E4386"/>
    <w:rsid w:val="713F6856"/>
    <w:rsid w:val="714012EC"/>
    <w:rsid w:val="71497745"/>
    <w:rsid w:val="714B0C72"/>
    <w:rsid w:val="715D66BF"/>
    <w:rsid w:val="7168384B"/>
    <w:rsid w:val="71692F0B"/>
    <w:rsid w:val="716E5656"/>
    <w:rsid w:val="7172280B"/>
    <w:rsid w:val="717434F4"/>
    <w:rsid w:val="71764C49"/>
    <w:rsid w:val="719105FF"/>
    <w:rsid w:val="71A03A3E"/>
    <w:rsid w:val="71A84F80"/>
    <w:rsid w:val="71AD0EB9"/>
    <w:rsid w:val="71AE796D"/>
    <w:rsid w:val="71B15DFA"/>
    <w:rsid w:val="71B5609B"/>
    <w:rsid w:val="71BB1CB0"/>
    <w:rsid w:val="71C42D5F"/>
    <w:rsid w:val="71C728EC"/>
    <w:rsid w:val="71C74A19"/>
    <w:rsid w:val="71C92755"/>
    <w:rsid w:val="71D72443"/>
    <w:rsid w:val="71DF10BD"/>
    <w:rsid w:val="71E13C5E"/>
    <w:rsid w:val="71F76900"/>
    <w:rsid w:val="7200750B"/>
    <w:rsid w:val="72011EAD"/>
    <w:rsid w:val="7215158B"/>
    <w:rsid w:val="721E1CA7"/>
    <w:rsid w:val="721F3CCD"/>
    <w:rsid w:val="722A2F37"/>
    <w:rsid w:val="722D3DCC"/>
    <w:rsid w:val="722E6C9F"/>
    <w:rsid w:val="723112E2"/>
    <w:rsid w:val="72382263"/>
    <w:rsid w:val="72384F64"/>
    <w:rsid w:val="72394CDF"/>
    <w:rsid w:val="723D0E8D"/>
    <w:rsid w:val="724617CF"/>
    <w:rsid w:val="72471115"/>
    <w:rsid w:val="7251579C"/>
    <w:rsid w:val="72575FC0"/>
    <w:rsid w:val="726D68D7"/>
    <w:rsid w:val="728007C0"/>
    <w:rsid w:val="729B335C"/>
    <w:rsid w:val="729D5BEB"/>
    <w:rsid w:val="72A43F66"/>
    <w:rsid w:val="72A458D7"/>
    <w:rsid w:val="72BB07CE"/>
    <w:rsid w:val="72BC0798"/>
    <w:rsid w:val="72C61A0E"/>
    <w:rsid w:val="72E32351"/>
    <w:rsid w:val="72FA6E7B"/>
    <w:rsid w:val="730E15CD"/>
    <w:rsid w:val="73110991"/>
    <w:rsid w:val="73111BDD"/>
    <w:rsid w:val="73162030"/>
    <w:rsid w:val="73174141"/>
    <w:rsid w:val="7325752B"/>
    <w:rsid w:val="73421A23"/>
    <w:rsid w:val="73582D06"/>
    <w:rsid w:val="7388140B"/>
    <w:rsid w:val="73893016"/>
    <w:rsid w:val="73AB03D7"/>
    <w:rsid w:val="73D471E3"/>
    <w:rsid w:val="73E02311"/>
    <w:rsid w:val="73F623F9"/>
    <w:rsid w:val="740005C9"/>
    <w:rsid w:val="74156AF6"/>
    <w:rsid w:val="741D2E8B"/>
    <w:rsid w:val="742B42A9"/>
    <w:rsid w:val="743401C8"/>
    <w:rsid w:val="743D4602"/>
    <w:rsid w:val="743F117C"/>
    <w:rsid w:val="744676C1"/>
    <w:rsid w:val="74543212"/>
    <w:rsid w:val="74557BCA"/>
    <w:rsid w:val="74575767"/>
    <w:rsid w:val="74734D48"/>
    <w:rsid w:val="74840E7C"/>
    <w:rsid w:val="74842BF8"/>
    <w:rsid w:val="748E65FE"/>
    <w:rsid w:val="74A03302"/>
    <w:rsid w:val="74A21BD1"/>
    <w:rsid w:val="74A60D6B"/>
    <w:rsid w:val="74BB046E"/>
    <w:rsid w:val="74C974CE"/>
    <w:rsid w:val="74D23C44"/>
    <w:rsid w:val="74F07512"/>
    <w:rsid w:val="74F6632E"/>
    <w:rsid w:val="750D646B"/>
    <w:rsid w:val="750E2482"/>
    <w:rsid w:val="750F0DF5"/>
    <w:rsid w:val="75374793"/>
    <w:rsid w:val="754A5374"/>
    <w:rsid w:val="755C1417"/>
    <w:rsid w:val="75757B3C"/>
    <w:rsid w:val="757C63C6"/>
    <w:rsid w:val="758A737F"/>
    <w:rsid w:val="75975609"/>
    <w:rsid w:val="759770CB"/>
    <w:rsid w:val="75991C1A"/>
    <w:rsid w:val="75A14214"/>
    <w:rsid w:val="75DB12A8"/>
    <w:rsid w:val="75E31C97"/>
    <w:rsid w:val="75E43415"/>
    <w:rsid w:val="76091A03"/>
    <w:rsid w:val="760D62FF"/>
    <w:rsid w:val="761C1C5D"/>
    <w:rsid w:val="761C6E55"/>
    <w:rsid w:val="763D7C1D"/>
    <w:rsid w:val="76443D2D"/>
    <w:rsid w:val="764A32CE"/>
    <w:rsid w:val="765E3E2A"/>
    <w:rsid w:val="765E4D89"/>
    <w:rsid w:val="766B1D7C"/>
    <w:rsid w:val="768E5A3F"/>
    <w:rsid w:val="769512A8"/>
    <w:rsid w:val="769F702E"/>
    <w:rsid w:val="76A00377"/>
    <w:rsid w:val="76C00489"/>
    <w:rsid w:val="76C22BC6"/>
    <w:rsid w:val="76C60B1B"/>
    <w:rsid w:val="76D16C4B"/>
    <w:rsid w:val="76D404DC"/>
    <w:rsid w:val="76E24DD1"/>
    <w:rsid w:val="76E9794A"/>
    <w:rsid w:val="76F870FD"/>
    <w:rsid w:val="76FA5FE0"/>
    <w:rsid w:val="77073F6D"/>
    <w:rsid w:val="771F3B49"/>
    <w:rsid w:val="774B64DE"/>
    <w:rsid w:val="774E5E6B"/>
    <w:rsid w:val="774E7E3C"/>
    <w:rsid w:val="77565376"/>
    <w:rsid w:val="775D2713"/>
    <w:rsid w:val="77650853"/>
    <w:rsid w:val="776A3DA3"/>
    <w:rsid w:val="7776728E"/>
    <w:rsid w:val="77871CE3"/>
    <w:rsid w:val="7799379B"/>
    <w:rsid w:val="779F3AC0"/>
    <w:rsid w:val="77B94888"/>
    <w:rsid w:val="77C15F85"/>
    <w:rsid w:val="77C22121"/>
    <w:rsid w:val="77E1504B"/>
    <w:rsid w:val="77E531E0"/>
    <w:rsid w:val="77E867EA"/>
    <w:rsid w:val="77EB06C6"/>
    <w:rsid w:val="77F119B6"/>
    <w:rsid w:val="77F80A01"/>
    <w:rsid w:val="780A60B5"/>
    <w:rsid w:val="7813126F"/>
    <w:rsid w:val="78151B0A"/>
    <w:rsid w:val="78210934"/>
    <w:rsid w:val="78231F18"/>
    <w:rsid w:val="78281A63"/>
    <w:rsid w:val="782E5C3A"/>
    <w:rsid w:val="783A6A35"/>
    <w:rsid w:val="784D3AF3"/>
    <w:rsid w:val="78512557"/>
    <w:rsid w:val="78530C1C"/>
    <w:rsid w:val="785F0C95"/>
    <w:rsid w:val="786F737B"/>
    <w:rsid w:val="787A0AF1"/>
    <w:rsid w:val="787A3FFD"/>
    <w:rsid w:val="788009AC"/>
    <w:rsid w:val="78825C64"/>
    <w:rsid w:val="7896116A"/>
    <w:rsid w:val="78B869BD"/>
    <w:rsid w:val="78BF0B7C"/>
    <w:rsid w:val="78C1793F"/>
    <w:rsid w:val="78C7519A"/>
    <w:rsid w:val="78D87FE6"/>
    <w:rsid w:val="78EC72C3"/>
    <w:rsid w:val="78ED1CAE"/>
    <w:rsid w:val="78F814BA"/>
    <w:rsid w:val="78FA3925"/>
    <w:rsid w:val="790B1CE7"/>
    <w:rsid w:val="790B3F5B"/>
    <w:rsid w:val="790B7E30"/>
    <w:rsid w:val="79120949"/>
    <w:rsid w:val="79176695"/>
    <w:rsid w:val="791A5A03"/>
    <w:rsid w:val="794D0644"/>
    <w:rsid w:val="79513BF2"/>
    <w:rsid w:val="795B2899"/>
    <w:rsid w:val="7995131B"/>
    <w:rsid w:val="79A22925"/>
    <w:rsid w:val="79A25218"/>
    <w:rsid w:val="79BD1115"/>
    <w:rsid w:val="79BE6EBF"/>
    <w:rsid w:val="79CD44BD"/>
    <w:rsid w:val="79DA1428"/>
    <w:rsid w:val="79F77597"/>
    <w:rsid w:val="79FF5FB9"/>
    <w:rsid w:val="7A0468A5"/>
    <w:rsid w:val="7A1E6873"/>
    <w:rsid w:val="7A2C079B"/>
    <w:rsid w:val="7A2F5864"/>
    <w:rsid w:val="7A3E45E6"/>
    <w:rsid w:val="7A420A25"/>
    <w:rsid w:val="7A4E51BE"/>
    <w:rsid w:val="7A7A3F3B"/>
    <w:rsid w:val="7A7E6175"/>
    <w:rsid w:val="7A866F24"/>
    <w:rsid w:val="7A931334"/>
    <w:rsid w:val="7A983EEB"/>
    <w:rsid w:val="7ABB2CAB"/>
    <w:rsid w:val="7ADE6784"/>
    <w:rsid w:val="7B0537C3"/>
    <w:rsid w:val="7B196C4C"/>
    <w:rsid w:val="7B310F16"/>
    <w:rsid w:val="7B393376"/>
    <w:rsid w:val="7B5A4ED4"/>
    <w:rsid w:val="7B5A73A1"/>
    <w:rsid w:val="7B654FEA"/>
    <w:rsid w:val="7B6E2289"/>
    <w:rsid w:val="7B7D2DEA"/>
    <w:rsid w:val="7B837402"/>
    <w:rsid w:val="7B8C5267"/>
    <w:rsid w:val="7B8E6C66"/>
    <w:rsid w:val="7B8F25DF"/>
    <w:rsid w:val="7B9B65DC"/>
    <w:rsid w:val="7B9E1553"/>
    <w:rsid w:val="7BA72545"/>
    <w:rsid w:val="7BA7747E"/>
    <w:rsid w:val="7BBC2DAE"/>
    <w:rsid w:val="7BE375EE"/>
    <w:rsid w:val="7BE6291F"/>
    <w:rsid w:val="7BF738DC"/>
    <w:rsid w:val="7C161F55"/>
    <w:rsid w:val="7C1A7142"/>
    <w:rsid w:val="7C1F0C9E"/>
    <w:rsid w:val="7C2802CA"/>
    <w:rsid w:val="7C427891"/>
    <w:rsid w:val="7C4505EB"/>
    <w:rsid w:val="7C6E0BAB"/>
    <w:rsid w:val="7C711686"/>
    <w:rsid w:val="7C7249DA"/>
    <w:rsid w:val="7C8266DE"/>
    <w:rsid w:val="7C9A0624"/>
    <w:rsid w:val="7CA35FF5"/>
    <w:rsid w:val="7CA6029F"/>
    <w:rsid w:val="7CAE37D1"/>
    <w:rsid w:val="7CB83873"/>
    <w:rsid w:val="7CC6351F"/>
    <w:rsid w:val="7CC913D0"/>
    <w:rsid w:val="7CCD7A78"/>
    <w:rsid w:val="7CDA4902"/>
    <w:rsid w:val="7CDD3AC7"/>
    <w:rsid w:val="7CDE30E7"/>
    <w:rsid w:val="7CDF111D"/>
    <w:rsid w:val="7CF03127"/>
    <w:rsid w:val="7CF4572C"/>
    <w:rsid w:val="7D0B1FE0"/>
    <w:rsid w:val="7D1056C2"/>
    <w:rsid w:val="7D5116E6"/>
    <w:rsid w:val="7D512049"/>
    <w:rsid w:val="7D633CDA"/>
    <w:rsid w:val="7D6D6670"/>
    <w:rsid w:val="7D6E4BE1"/>
    <w:rsid w:val="7D76251A"/>
    <w:rsid w:val="7D7A5D6C"/>
    <w:rsid w:val="7D87797E"/>
    <w:rsid w:val="7DA01648"/>
    <w:rsid w:val="7DB47BF4"/>
    <w:rsid w:val="7DB75715"/>
    <w:rsid w:val="7DC94E81"/>
    <w:rsid w:val="7DD218F8"/>
    <w:rsid w:val="7DD3489F"/>
    <w:rsid w:val="7E0B41A0"/>
    <w:rsid w:val="7E303A17"/>
    <w:rsid w:val="7E341BA0"/>
    <w:rsid w:val="7E385FE4"/>
    <w:rsid w:val="7E41719A"/>
    <w:rsid w:val="7E511DCA"/>
    <w:rsid w:val="7E5F6A40"/>
    <w:rsid w:val="7E661D6C"/>
    <w:rsid w:val="7E68516F"/>
    <w:rsid w:val="7E6B2E2E"/>
    <w:rsid w:val="7E775C36"/>
    <w:rsid w:val="7E782E68"/>
    <w:rsid w:val="7E7E44EE"/>
    <w:rsid w:val="7E820419"/>
    <w:rsid w:val="7E854308"/>
    <w:rsid w:val="7EAA5207"/>
    <w:rsid w:val="7EC16F4F"/>
    <w:rsid w:val="7EC94123"/>
    <w:rsid w:val="7ED3483A"/>
    <w:rsid w:val="7EDB5192"/>
    <w:rsid w:val="7EDF1237"/>
    <w:rsid w:val="7EF66695"/>
    <w:rsid w:val="7F093D76"/>
    <w:rsid w:val="7F115D3D"/>
    <w:rsid w:val="7F49724B"/>
    <w:rsid w:val="7F5D1D4D"/>
    <w:rsid w:val="7F6110BD"/>
    <w:rsid w:val="7F624FF2"/>
    <w:rsid w:val="7F645D25"/>
    <w:rsid w:val="7F6B033A"/>
    <w:rsid w:val="7F830F83"/>
    <w:rsid w:val="7F835D30"/>
    <w:rsid w:val="7F9D61FD"/>
    <w:rsid w:val="7FA11F32"/>
    <w:rsid w:val="7FB94A32"/>
    <w:rsid w:val="7FBC5675"/>
    <w:rsid w:val="7FC845AE"/>
    <w:rsid w:val="7FDF53AC"/>
    <w:rsid w:val="7FE13ECE"/>
    <w:rsid w:val="7FE6789F"/>
    <w:rsid w:val="7FE73CE6"/>
    <w:rsid w:val="7FF350A7"/>
    <w:rsid w:val="7FF65F0F"/>
    <w:rsid w:val="7FFD24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nhideWhenUsed="0" w:uiPriority="0"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qFormat="1" w:unhideWhenUsed="0" w:uiPriority="0" w:semiHidden="0" w:name="Normal Indent"/>
    <w:lsdException w:unhideWhenUsed="0"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99" w:semiHidden="0" w:name="index heading"/>
    <w:lsdException w:qFormat="1" w:unhideWhenUsed="0" w:uiPriority="0"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qFormat="1" w:unhideWhenUsed="0" w:uiPriority="0" w:name="annotation reference"/>
    <w:lsdException w:unhideWhenUsed="0" w:uiPriority="99" w:semiHidden="0" w:name="line number"/>
    <w:lsdException w:qFormat="1" w:unhideWhenUsed="0" w:uiPriority="0"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qFormat="1" w:unhideWhenUsed="0" w:uiPriority="0" w:semiHidden="0" w:name="List"/>
    <w:lsdException w:unhideWhenUsed="0" w:uiPriority="99" w:semiHidden="0" w:name="List Bullet"/>
    <w:lsdException w:qFormat="1" w:unhideWhenUsed="0" w:uiPriority="0" w:semiHidden="0" w:name="List Number"/>
    <w:lsdException w:qFormat="1" w:unhideWhenUsed="0" w:uiPriority="0"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99" w:semiHidden="0" w:name="Block Text"/>
    <w:lsdException w:qFormat="1" w:unhideWhenUsed="0" w:uiPriority="0" w:semiHidden="0" w:name="Hyperlink"/>
    <w:lsdException w:unhideWhenUsed="0" w:uiPriority="99" w:semiHidden="0" w:name="FollowedHyperlink"/>
    <w:lsdException w:qFormat="1" w:unhideWhenUsed="0" w:uiPriority="0" w:semiHidden="0" w:name="Strong"/>
    <w:lsdException w:unhideWhenUsed="0" w:uiPriority="99" w:semiHidden="0" w:name="Emphasis"/>
    <w:lsdException w:unhideWhenUsed="0" w:uiPriority="99" w:semiHidden="0" w:name="Document Map"/>
    <w:lsdException w:qFormat="1" w:unhideWhenUsed="0" w:uiPriority="0"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qFormat="1" w:unhideWhenUsed="0" w:uiPriority="0"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semiHidden="0" w:name="Normal Table"/>
    <w:lsdException w:qFormat="1" w:unhideWhenUsed="0" w:uiPriority="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link w:val="38"/>
    <w:autoRedefine/>
    <w:qFormat/>
    <w:uiPriority w:val="0"/>
    <w:pPr>
      <w:keepNext/>
      <w:keepLines/>
      <w:spacing w:before="340" w:beforeLines="0" w:after="330" w:afterLines="0" w:line="576" w:lineRule="auto"/>
      <w:ind w:firstLine="0" w:firstLineChars="0"/>
      <w:outlineLvl w:val="0"/>
    </w:pPr>
    <w:rPr>
      <w:bCs/>
      <w:kern w:val="44"/>
      <w:sz w:val="44"/>
      <w:szCs w:val="44"/>
    </w:rPr>
  </w:style>
  <w:style w:type="paragraph" w:styleId="4">
    <w:name w:val="heading 2"/>
    <w:basedOn w:val="1"/>
    <w:link w:val="39"/>
    <w:autoRedefine/>
    <w:qFormat/>
    <w:uiPriority w:val="9"/>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autoRedefine/>
    <w:qFormat/>
    <w:uiPriority w:val="0"/>
    <w:pPr>
      <w:keepNext/>
      <w:keepLines/>
      <w:spacing w:before="260" w:beforeLines="0" w:after="260" w:afterLines="0" w:line="413" w:lineRule="auto"/>
      <w:ind w:firstLine="0" w:firstLineChars="0"/>
      <w:outlineLvl w:val="2"/>
    </w:pPr>
    <w:rPr>
      <w:rFonts w:eastAsia="宋体"/>
      <w:b/>
      <w:bCs/>
      <w:szCs w:val="32"/>
    </w:rPr>
  </w:style>
  <w:style w:type="paragraph" w:styleId="6">
    <w:name w:val="heading 4"/>
    <w:basedOn w:val="1"/>
    <w:autoRedefine/>
    <w:qFormat/>
    <w:uiPriority w:val="0"/>
    <w:pPr>
      <w:keepNext/>
      <w:keepLines/>
      <w:spacing w:before="280" w:after="290" w:line="376" w:lineRule="auto"/>
      <w:outlineLvl w:val="3"/>
    </w:pPr>
    <w:rPr>
      <w:rFonts w:ascii="Calibri Light" w:hAnsi="Calibri Light"/>
      <w:b/>
      <w:bCs/>
      <w:sz w:val="28"/>
      <w:szCs w:val="28"/>
    </w:rPr>
  </w:style>
  <w:style w:type="paragraph" w:styleId="7">
    <w:name w:val="heading 5"/>
    <w:basedOn w:val="1"/>
    <w:autoRedefine/>
    <w:qFormat/>
    <w:uiPriority w:val="9"/>
    <w:pPr>
      <w:keepNext/>
      <w:keepLines/>
      <w:spacing w:before="280" w:after="290" w:line="376" w:lineRule="auto"/>
      <w:outlineLvl w:val="4"/>
    </w:pPr>
    <w:rPr>
      <w:b/>
      <w:bCs/>
      <w:kern w:val="0"/>
      <w:sz w:val="28"/>
      <w:szCs w:val="28"/>
    </w:rPr>
  </w:style>
  <w:style w:type="character" w:default="1" w:styleId="33">
    <w:name w:val="Default Paragraph Font"/>
    <w:autoRedefine/>
    <w:unhideWhenUsed/>
    <w:qFormat/>
    <w:uiPriority w:val="1"/>
  </w:style>
  <w:style w:type="table" w:default="1" w:styleId="31">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8">
    <w:name w:val="List Number"/>
    <w:basedOn w:val="1"/>
    <w:autoRedefine/>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9">
    <w:name w:val="Normal Indent"/>
    <w:basedOn w:val="1"/>
    <w:autoRedefine/>
    <w:qFormat/>
    <w:uiPriority w:val="0"/>
    <w:pPr>
      <w:ind w:firstLine="420"/>
    </w:pPr>
    <w:rPr>
      <w:szCs w:val="20"/>
    </w:rPr>
  </w:style>
  <w:style w:type="paragraph" w:styleId="10">
    <w:name w:val="caption"/>
    <w:basedOn w:val="1"/>
    <w:autoRedefine/>
    <w:qFormat/>
    <w:uiPriority w:val="0"/>
    <w:pPr>
      <w:spacing w:before="152" w:after="160"/>
    </w:pPr>
    <w:rPr>
      <w:rFonts w:ascii="Arial" w:hAnsi="Arial" w:eastAsia="黑体" w:cs="Arial"/>
      <w:sz w:val="20"/>
      <w:szCs w:val="20"/>
    </w:rPr>
  </w:style>
  <w:style w:type="paragraph" w:styleId="11">
    <w:name w:val="annotation text"/>
    <w:basedOn w:val="1"/>
    <w:autoRedefine/>
    <w:semiHidden/>
    <w:qFormat/>
    <w:uiPriority w:val="0"/>
    <w:pPr>
      <w:jc w:val="left"/>
    </w:pPr>
  </w:style>
  <w:style w:type="paragraph" w:styleId="12">
    <w:name w:val="Body Text 3"/>
    <w:basedOn w:val="1"/>
    <w:autoRedefine/>
    <w:qFormat/>
    <w:uiPriority w:val="0"/>
    <w:pPr>
      <w:spacing w:after="120"/>
    </w:pPr>
    <w:rPr>
      <w:sz w:val="16"/>
      <w:szCs w:val="16"/>
    </w:rPr>
  </w:style>
  <w:style w:type="paragraph" w:styleId="13">
    <w:name w:val="Body Text Indent"/>
    <w:basedOn w:val="1"/>
    <w:autoRedefine/>
    <w:qFormat/>
    <w:uiPriority w:val="0"/>
    <w:pPr>
      <w:spacing w:after="120"/>
      <w:ind w:left="420" w:leftChars="200"/>
    </w:pPr>
  </w:style>
  <w:style w:type="paragraph" w:styleId="14">
    <w:name w:val="List 2"/>
    <w:basedOn w:val="1"/>
    <w:autoRedefine/>
    <w:qFormat/>
    <w:uiPriority w:val="0"/>
    <w:pPr>
      <w:ind w:left="100" w:leftChars="200" w:hanging="200" w:hangingChars="200"/>
    </w:pPr>
  </w:style>
  <w:style w:type="paragraph" w:styleId="15">
    <w:name w:val="Plain Text"/>
    <w:basedOn w:val="1"/>
    <w:next w:val="1"/>
    <w:link w:val="40"/>
    <w:autoRedefine/>
    <w:qFormat/>
    <w:uiPriority w:val="0"/>
    <w:pPr>
      <w:spacing w:beforeLines="50" w:afterLines="50" w:line="400" w:lineRule="exact"/>
    </w:pPr>
    <w:rPr>
      <w:rFonts w:ascii="宋体" w:hAnsi="Courier New"/>
      <w:sz w:val="24"/>
    </w:rPr>
  </w:style>
  <w:style w:type="paragraph" w:styleId="16">
    <w:name w:val="Date"/>
    <w:basedOn w:val="1"/>
    <w:link w:val="41"/>
    <w:autoRedefine/>
    <w:qFormat/>
    <w:uiPriority w:val="0"/>
    <w:pPr>
      <w:ind w:left="2500" w:leftChars="2500"/>
    </w:pPr>
    <w:rPr>
      <w:rFonts w:eastAsia="楷体_GB2312"/>
      <w:sz w:val="32"/>
      <w:szCs w:val="20"/>
    </w:rPr>
  </w:style>
  <w:style w:type="paragraph" w:styleId="17">
    <w:name w:val="Body Text Indent 2"/>
    <w:basedOn w:val="1"/>
    <w:autoRedefine/>
    <w:qFormat/>
    <w:uiPriority w:val="0"/>
    <w:pPr>
      <w:snapToGrid w:val="0"/>
      <w:ind w:firstLine="542" w:firstLineChars="225"/>
    </w:pPr>
    <w:rPr>
      <w:rFonts w:ascii="仿宋_GB2312" w:hAnsi="宋体" w:cs="Arial"/>
      <w:b/>
      <w:bCs/>
      <w:color w:val="000000"/>
      <w:sz w:val="24"/>
    </w:rPr>
  </w:style>
  <w:style w:type="paragraph" w:styleId="18">
    <w:name w:val="Balloon Text"/>
    <w:basedOn w:val="1"/>
    <w:link w:val="42"/>
    <w:autoRedefine/>
    <w:qFormat/>
    <w:uiPriority w:val="0"/>
    <w:rPr>
      <w:sz w:val="18"/>
      <w:szCs w:val="18"/>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autoRedefine/>
    <w:qFormat/>
    <w:uiPriority w:val="0"/>
  </w:style>
  <w:style w:type="paragraph" w:styleId="22">
    <w:name w:val="Subtitle"/>
    <w:basedOn w:val="1"/>
    <w:autoRedefine/>
    <w:qFormat/>
    <w:uiPriority w:val="11"/>
    <w:pPr>
      <w:spacing w:afterLines="50"/>
      <w:jc w:val="center"/>
    </w:pPr>
    <w:rPr>
      <w:rFonts w:ascii="Times New Roman" w:hAnsi="Times New Roman" w:eastAsia="Times New Roman"/>
      <w:sz w:val="18"/>
      <w:szCs w:val="18"/>
    </w:rPr>
  </w:style>
  <w:style w:type="paragraph" w:styleId="23">
    <w:name w:val="List"/>
    <w:basedOn w:val="1"/>
    <w:autoRedefine/>
    <w:qFormat/>
    <w:uiPriority w:val="0"/>
    <w:pPr>
      <w:ind w:left="200" w:hanging="200" w:hangingChars="200"/>
    </w:pPr>
  </w:style>
  <w:style w:type="paragraph" w:styleId="24">
    <w:name w:val="Body Text Indent 3"/>
    <w:basedOn w:val="1"/>
    <w:autoRedefine/>
    <w:qFormat/>
    <w:uiPriority w:val="0"/>
    <w:pPr>
      <w:spacing w:after="120"/>
      <w:ind w:left="420" w:leftChars="200"/>
    </w:pPr>
    <w:rPr>
      <w:sz w:val="16"/>
      <w:szCs w:val="16"/>
    </w:rPr>
  </w:style>
  <w:style w:type="paragraph" w:styleId="25">
    <w:name w:val="Body Text 2"/>
    <w:basedOn w:val="1"/>
    <w:autoRedefine/>
    <w:qFormat/>
    <w:uiPriority w:val="0"/>
    <w:pPr>
      <w:spacing w:after="120" w:line="480" w:lineRule="auto"/>
    </w:pPr>
  </w:style>
  <w:style w:type="paragraph" w:styleId="2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7">
    <w:name w:val="Normal (Web)"/>
    <w:basedOn w:val="1"/>
    <w:autoRedefine/>
    <w:qFormat/>
    <w:uiPriority w:val="0"/>
    <w:pPr>
      <w:widowControl/>
      <w:spacing w:before="100" w:beforeLines="0" w:beforeAutospacing="1" w:after="100" w:afterLines="0" w:afterAutospacing="1" w:line="300" w:lineRule="atLeast"/>
      <w:jc w:val="left"/>
    </w:pPr>
    <w:rPr>
      <w:rFonts w:ascii="宋体" w:hAnsi="宋体"/>
      <w:color w:val="000000"/>
      <w:kern w:val="0"/>
      <w:sz w:val="18"/>
    </w:rPr>
  </w:style>
  <w:style w:type="paragraph" w:styleId="28">
    <w:name w:val="annotation subject"/>
    <w:basedOn w:val="11"/>
    <w:autoRedefine/>
    <w:semiHidden/>
    <w:qFormat/>
    <w:uiPriority w:val="0"/>
    <w:rPr>
      <w:b/>
      <w:bCs/>
    </w:rPr>
  </w:style>
  <w:style w:type="paragraph" w:styleId="29">
    <w:name w:val="Body Text First Indent"/>
    <w:basedOn w:val="2"/>
    <w:autoRedefine/>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30">
    <w:name w:val="Body Text First Indent 2"/>
    <w:basedOn w:val="13"/>
    <w:autoRedefine/>
    <w:unhideWhenUsed/>
    <w:qFormat/>
    <w:uiPriority w:val="99"/>
    <w:pPr>
      <w:adjustRightInd/>
      <w:spacing w:after="120" w:line="240" w:lineRule="auto"/>
      <w:ind w:left="420" w:leftChars="200" w:firstLine="420" w:firstLineChars="200"/>
      <w:jc w:val="both"/>
    </w:pPr>
    <w:rPr>
      <w:rFonts w:ascii="Calibri" w:hAnsi="Calibri" w:eastAsia="宋体"/>
      <w:sz w:val="21"/>
    </w:rPr>
  </w:style>
  <w:style w:type="table" w:styleId="32">
    <w:name w:val="Table Grid"/>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autoRedefine/>
    <w:qFormat/>
    <w:uiPriority w:val="0"/>
    <w:rPr>
      <w:b/>
      <w:bCs/>
    </w:rPr>
  </w:style>
  <w:style w:type="character" w:styleId="35">
    <w:name w:val="page number"/>
    <w:autoRedefine/>
    <w:qFormat/>
    <w:uiPriority w:val="0"/>
  </w:style>
  <w:style w:type="character" w:styleId="36">
    <w:name w:val="Hyperlink"/>
    <w:autoRedefine/>
    <w:qFormat/>
    <w:uiPriority w:val="0"/>
    <w:rPr>
      <w:color w:val="0000FF"/>
      <w:u w:val="single"/>
    </w:rPr>
  </w:style>
  <w:style w:type="character" w:styleId="37">
    <w:name w:val="annotation reference"/>
    <w:autoRedefine/>
    <w:semiHidden/>
    <w:qFormat/>
    <w:uiPriority w:val="0"/>
    <w:rPr>
      <w:sz w:val="21"/>
      <w:szCs w:val="21"/>
    </w:rPr>
  </w:style>
  <w:style w:type="character" w:customStyle="1" w:styleId="38">
    <w:name w:val="标题 1 Char"/>
    <w:link w:val="3"/>
    <w:autoRedefine/>
    <w:qFormat/>
    <w:uiPriority w:val="0"/>
    <w:rPr>
      <w:rFonts w:eastAsia="宋体"/>
      <w:bCs/>
      <w:kern w:val="44"/>
      <w:sz w:val="44"/>
      <w:szCs w:val="44"/>
    </w:rPr>
  </w:style>
  <w:style w:type="character" w:customStyle="1" w:styleId="39">
    <w:name w:val="标题 2 Char"/>
    <w:link w:val="4"/>
    <w:autoRedefine/>
    <w:qFormat/>
    <w:uiPriority w:val="9"/>
    <w:rPr>
      <w:rFonts w:ascii="Arial" w:hAnsi="Arial" w:eastAsia="黑体"/>
      <w:b/>
      <w:bCs/>
      <w:sz w:val="32"/>
      <w:szCs w:val="32"/>
    </w:rPr>
  </w:style>
  <w:style w:type="character" w:customStyle="1" w:styleId="40">
    <w:name w:val="纯文本 Char"/>
    <w:link w:val="15"/>
    <w:autoRedefine/>
    <w:qFormat/>
    <w:uiPriority w:val="0"/>
    <w:rPr>
      <w:rFonts w:ascii="宋体" w:hAnsi="Courier New" w:eastAsia="宋体"/>
      <w:kern w:val="2"/>
      <w:sz w:val="24"/>
      <w:szCs w:val="24"/>
      <w:lang w:val="en-US" w:eastAsia="zh-CN" w:bidi="ar-SA"/>
    </w:rPr>
  </w:style>
  <w:style w:type="character" w:customStyle="1" w:styleId="41">
    <w:name w:val="日期 Char"/>
    <w:link w:val="16"/>
    <w:autoRedefine/>
    <w:qFormat/>
    <w:uiPriority w:val="0"/>
    <w:rPr>
      <w:rFonts w:eastAsia="楷体_GB2312"/>
      <w:kern w:val="2"/>
      <w:sz w:val="32"/>
      <w:lang w:val="en-US" w:eastAsia="zh-CN" w:bidi="ar-SA"/>
    </w:rPr>
  </w:style>
  <w:style w:type="character" w:customStyle="1" w:styleId="42">
    <w:name w:val="批注框文本 Char"/>
    <w:link w:val="18"/>
    <w:autoRedefine/>
    <w:qFormat/>
    <w:uiPriority w:val="0"/>
    <w:rPr>
      <w:kern w:val="2"/>
      <w:sz w:val="18"/>
      <w:szCs w:val="18"/>
    </w:rPr>
  </w:style>
  <w:style w:type="paragraph" w:customStyle="1" w:styleId="43">
    <w:name w:val="表格文字"/>
    <w:basedOn w:val="15"/>
    <w:autoRedefine/>
    <w:qFormat/>
    <w:uiPriority w:val="0"/>
    <w:rPr>
      <w:rFonts w:ascii="Arial" w:hAnsi="Arial"/>
      <w:szCs w:val="21"/>
    </w:rPr>
  </w:style>
  <w:style w:type="paragraph" w:customStyle="1" w:styleId="44">
    <w:name w:val="[Normal]"/>
    <w:autoRedefine/>
    <w:qFormat/>
    <w:uiPriority w:val="0"/>
    <w:rPr>
      <w:rFonts w:ascii="宋体" w:hAnsi="宋体" w:eastAsia="宋体" w:cs="Times New Roman"/>
      <w:sz w:val="24"/>
      <w:szCs w:val="22"/>
      <w:lang w:val="zh-CN" w:eastAsia="zh-CN" w:bidi="ar-SA"/>
    </w:rPr>
  </w:style>
  <w:style w:type="character" w:customStyle="1" w:styleId="45">
    <w:name w:val="标题 1 Char Char"/>
    <w:autoRedefine/>
    <w:qFormat/>
    <w:uiPriority w:val="0"/>
    <w:rPr>
      <w:rFonts w:eastAsia="宋体"/>
      <w:b/>
      <w:spacing w:val="-2"/>
      <w:sz w:val="24"/>
      <w:lang w:val="en-US" w:eastAsia="zh-CN"/>
    </w:rPr>
  </w:style>
  <w:style w:type="character" w:customStyle="1" w:styleId="46">
    <w:name w:val="10f0000001"/>
    <w:autoRedefine/>
    <w:qFormat/>
    <w:uiPriority w:val="0"/>
    <w:rPr>
      <w:b/>
      <w:bCs/>
      <w:spacing w:val="320"/>
      <w:sz w:val="20"/>
      <w:szCs w:val="20"/>
    </w:rPr>
  </w:style>
  <w:style w:type="character" w:customStyle="1" w:styleId="47">
    <w:name w:val="p141"/>
    <w:autoRedefine/>
    <w:qFormat/>
    <w:uiPriority w:val="0"/>
    <w:rPr>
      <w:sz w:val="21"/>
      <w:szCs w:val="21"/>
    </w:rPr>
  </w:style>
  <w:style w:type="character" w:customStyle="1" w:styleId="48">
    <w:name w:val="正文2 Char"/>
    <w:link w:val="49"/>
    <w:autoRedefine/>
    <w:qFormat/>
    <w:uiPriority w:val="0"/>
    <w:rPr>
      <w:rFonts w:eastAsia="宋体"/>
      <w:kern w:val="2"/>
      <w:sz w:val="24"/>
      <w:lang w:val="en-US" w:eastAsia="zh-CN" w:bidi="ar-SA"/>
    </w:rPr>
  </w:style>
  <w:style w:type="paragraph" w:customStyle="1" w:styleId="49">
    <w:name w:val="正文2"/>
    <w:basedOn w:val="1"/>
    <w:link w:val="48"/>
    <w:autoRedefine/>
    <w:qFormat/>
    <w:uiPriority w:val="0"/>
    <w:pPr>
      <w:spacing w:before="156" w:line="360" w:lineRule="auto"/>
      <w:ind w:firstLine="510" w:firstLineChars="200"/>
    </w:pPr>
    <w:rPr>
      <w:sz w:val="24"/>
      <w:szCs w:val="20"/>
    </w:rPr>
  </w:style>
  <w:style w:type="character" w:customStyle="1" w:styleId="50">
    <w:name w:val="Char Char4"/>
    <w:autoRedefine/>
    <w:qFormat/>
    <w:uiPriority w:val="0"/>
    <w:rPr>
      <w:rFonts w:ascii="宋体" w:hAnsi="Courier New" w:eastAsia="宋体"/>
      <w:sz w:val="21"/>
      <w:lang w:val="en-US" w:eastAsia="zh-CN"/>
    </w:rPr>
  </w:style>
  <w:style w:type="paragraph" w:customStyle="1" w:styleId="51">
    <w:name w:val="样式 标题 3 +"/>
    <w:basedOn w:val="5"/>
    <w:autoRedefine/>
    <w:qFormat/>
    <w:uiPriority w:val="0"/>
    <w:pPr>
      <w:numPr>
        <w:ilvl w:val="2"/>
        <w:numId w:val="2"/>
      </w:numPr>
    </w:pPr>
    <w:rPr>
      <w:kern w:val="0"/>
    </w:rPr>
  </w:style>
  <w:style w:type="paragraph" w:customStyle="1" w:styleId="52">
    <w:name w:val="_Style 5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53">
    <w:name w:val="Body Text Indent 2"/>
    <w:basedOn w:val="1"/>
    <w:autoRedefine/>
    <w:qFormat/>
    <w:uiPriority w:val="0"/>
    <w:pPr>
      <w:spacing w:after="120" w:line="480" w:lineRule="auto"/>
      <w:ind w:left="420" w:leftChars="200"/>
    </w:pPr>
    <w:rPr>
      <w:rFonts w:ascii="Times New Roman" w:hAnsi="Times New Roman"/>
      <w:szCs w:val="20"/>
    </w:rPr>
  </w:style>
  <w:style w:type="paragraph" w:customStyle="1" w:styleId="54">
    <w:name w:val="部分1"/>
    <w:basedOn w:val="1"/>
    <w:autoRedefine/>
    <w:qFormat/>
    <w:uiPriority w:val="99"/>
    <w:pPr>
      <w:keepNext/>
      <w:pageBreakBefore/>
      <w:tabs>
        <w:tab w:val="left" w:pos="720"/>
      </w:tabs>
      <w:spacing w:line="360" w:lineRule="auto"/>
      <w:jc w:val="center"/>
      <w:outlineLvl w:val="0"/>
    </w:pPr>
    <w:rPr>
      <w:rFonts w:ascii="Times New Roman" w:hAnsi="Times New Roman" w:eastAsia="黑体"/>
      <w:b/>
      <w:kern w:val="44"/>
      <w:sz w:val="36"/>
      <w:szCs w:val="20"/>
    </w:rPr>
  </w:style>
  <w:style w:type="paragraph" w:customStyle="1" w:styleId="5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56">
    <w:name w:val="No Spacing"/>
    <w:autoRedefine/>
    <w:qFormat/>
    <w:uiPriority w:val="0"/>
    <w:rPr>
      <w:rFonts w:ascii="Times New Roman" w:hAnsi="Times New Roman" w:eastAsia="宋体" w:cs="Times New Roman"/>
      <w:sz w:val="22"/>
      <w:szCs w:val="22"/>
      <w:lang w:val="en-US" w:eastAsia="en-US" w:bidi="ar-SA"/>
    </w:rPr>
  </w:style>
  <w:style w:type="paragraph" w:customStyle="1" w:styleId="57">
    <w:name w:val="样式3"/>
    <w:basedOn w:val="15"/>
    <w:autoRedefine/>
    <w:qFormat/>
    <w:uiPriority w:val="99"/>
    <w:pPr>
      <w:spacing w:line="240" w:lineRule="atLeast"/>
      <w:outlineLvl w:val="0"/>
    </w:pPr>
    <w:rPr>
      <w:rFonts w:ascii="Calibri" w:hAnsi="Calibri" w:eastAsia="宋体" w:cs="Times New Roman"/>
      <w:sz w:val="28"/>
      <w:szCs w:val="20"/>
    </w:rPr>
  </w:style>
  <w:style w:type="paragraph" w:customStyle="1" w:styleId="58">
    <w:name w:val="Char Char Char Char Char Char Char Char Char Char"/>
    <w:basedOn w:val="1"/>
    <w:autoRedefine/>
    <w:qFormat/>
    <w:uiPriority w:val="0"/>
    <w:rPr>
      <w:rFonts w:ascii="Tahoma" w:hAnsi="Tahoma"/>
      <w:sz w:val="24"/>
      <w:szCs w:val="20"/>
    </w:rPr>
  </w:style>
  <w:style w:type="paragraph" w:customStyle="1" w:styleId="59">
    <w:name w:val="Bullets"/>
    <w:basedOn w:val="1"/>
    <w:autoRedefine/>
    <w:qFormat/>
    <w:uiPriority w:val="0"/>
    <w:pPr>
      <w:widowControl/>
      <w:adjustRightInd w:val="0"/>
      <w:snapToGrid w:val="0"/>
      <w:spacing w:before="60" w:after="60"/>
    </w:pPr>
    <w:rPr>
      <w:rFonts w:ascii="Calibri" w:hAnsi="Calibri"/>
      <w:kern w:val="0"/>
      <w:sz w:val="24"/>
      <w:szCs w:val="22"/>
      <w:lang w:val="en-GB"/>
    </w:rPr>
  </w:style>
  <w:style w:type="paragraph" w:customStyle="1" w:styleId="60">
    <w:name w:val="_Style 48"/>
    <w:basedOn w:val="9"/>
    <w:autoRedefine/>
    <w:qFormat/>
    <w:uiPriority w:val="0"/>
    <w:pPr>
      <w:widowControl/>
      <w:spacing w:after="156" w:afterLines="50" w:line="360" w:lineRule="auto"/>
      <w:ind w:firstLine="480" w:firstLineChars="200"/>
      <w:jc w:val="left"/>
    </w:pPr>
  </w:style>
  <w:style w:type="paragraph" w:customStyle="1" w:styleId="61">
    <w:name w:val="样式1"/>
    <w:basedOn w:val="1"/>
    <w:autoRedefine/>
    <w:semiHidden/>
    <w:qFormat/>
    <w:uiPriority w:val="99"/>
    <w:pPr>
      <w:numPr>
        <w:ilvl w:val="0"/>
        <w:numId w:val="3"/>
      </w:numPr>
      <w:tabs>
        <w:tab w:val="left" w:pos="709"/>
      </w:tabs>
      <w:adjustRightInd w:val="0"/>
    </w:pPr>
    <w:rPr>
      <w:rFonts w:ascii="宋体" w:hAnsi="宋体"/>
      <w:kern w:val="0"/>
      <w:szCs w:val="21"/>
    </w:rPr>
  </w:style>
  <w:style w:type="paragraph" w:customStyle="1" w:styleId="62">
    <w:name w:val="KS表格"/>
    <w:basedOn w:val="1"/>
    <w:autoRedefine/>
    <w:qFormat/>
    <w:uiPriority w:val="0"/>
    <w:pPr>
      <w:spacing w:line="300" w:lineRule="auto"/>
    </w:pPr>
    <w:rPr>
      <w:rFonts w:ascii="Times New Roman" w:hAnsi="Times New Roman"/>
      <w:kern w:val="0"/>
      <w:sz w:val="20"/>
      <w:szCs w:val="20"/>
    </w:rPr>
  </w:style>
  <w:style w:type="paragraph" w:styleId="63">
    <w:name w:val="List Paragraph"/>
    <w:basedOn w:val="1"/>
    <w:autoRedefine/>
    <w:qFormat/>
    <w:uiPriority w:val="34"/>
    <w:pPr>
      <w:ind w:firstLine="420" w:firstLineChars="200"/>
    </w:pPr>
    <w:rPr>
      <w:rFonts w:ascii="Calibri" w:hAnsi="Calibri" w:eastAsia="宋体" w:cs="Times New Roman"/>
      <w:szCs w:val="22"/>
    </w:rPr>
  </w:style>
  <w:style w:type="paragraph" w:customStyle="1" w:styleId="64">
    <w:name w:val="样式 标题 5 + 右侧:  -0.18 字符"/>
    <w:basedOn w:val="1"/>
    <w:autoRedefine/>
    <w:qFormat/>
    <w:uiPriority w:val="0"/>
    <w:pPr>
      <w:numPr>
        <w:ilvl w:val="4"/>
        <w:numId w:val="4"/>
      </w:numPr>
    </w:pPr>
  </w:style>
  <w:style w:type="paragraph" w:customStyle="1" w:styleId="65">
    <w:name w:val="无间隔1"/>
    <w:autoRedefine/>
    <w:qFormat/>
    <w:uiPriority w:val="0"/>
    <w:rPr>
      <w:rFonts w:ascii="Times New Roman" w:hAnsi="Times New Roman" w:eastAsia="宋体" w:cs="Times New Roman"/>
      <w:sz w:val="22"/>
      <w:szCs w:val="22"/>
      <w:lang w:val="en-US" w:eastAsia="en-US" w:bidi="ar-SA"/>
    </w:rPr>
  </w:style>
  <w:style w:type="paragraph" w:customStyle="1" w:styleId="66">
    <w:name w:val="默认段落字体 Para Char Char Char Char Char Char Char Char Char1 Char Char Char Char"/>
    <w:basedOn w:val="1"/>
    <w:autoRedefine/>
    <w:qFormat/>
    <w:uiPriority w:val="0"/>
    <w:rPr>
      <w:rFonts w:ascii="Tahoma" w:hAnsi="Tahoma"/>
      <w:sz w:val="24"/>
      <w:szCs w:val="20"/>
    </w:rPr>
  </w:style>
  <w:style w:type="paragraph" w:customStyle="1" w:styleId="67">
    <w:name w:val="IBM 正文"/>
    <w:basedOn w:val="1"/>
    <w:autoRedefine/>
    <w:qFormat/>
    <w:uiPriority w:val="0"/>
    <w:pPr>
      <w:spacing w:line="360" w:lineRule="atLeast"/>
    </w:pPr>
    <w:rPr>
      <w:sz w:val="24"/>
    </w:rPr>
  </w:style>
  <w:style w:type="paragraph" w:customStyle="1" w:styleId="68">
    <w:name w:val="标准小三"/>
    <w:basedOn w:val="1"/>
    <w:autoRedefine/>
    <w:qFormat/>
    <w:uiPriority w:val="0"/>
    <w:pPr>
      <w:spacing w:line="700" w:lineRule="exact"/>
      <w:ind w:firstLine="200" w:firstLineChars="200"/>
    </w:pPr>
    <w:rPr>
      <w:rFonts w:ascii="仿宋_GB2312" w:hAnsi="Arial" w:eastAsia="仿宋_GB2312"/>
      <w:color w:val="000000"/>
      <w:kern w:val="0"/>
      <w:sz w:val="30"/>
      <w:szCs w:val="32"/>
    </w:rPr>
  </w:style>
  <w:style w:type="paragraph" w:customStyle="1" w:styleId="69">
    <w:name w:val="列出段落1"/>
    <w:basedOn w:val="1"/>
    <w:autoRedefine/>
    <w:qFormat/>
    <w:uiPriority w:val="99"/>
    <w:pPr>
      <w:ind w:firstLine="420" w:firstLineChars="200"/>
    </w:pPr>
    <w:rPr>
      <w:rFonts w:ascii="Calibri" w:hAnsi="Calibri" w:eastAsia="宋体" w:cs="Times New Roman"/>
      <w:sz w:val="24"/>
    </w:rPr>
  </w:style>
  <w:style w:type="paragraph" w:customStyle="1" w:styleId="70">
    <w:name w:val="_Style 2"/>
    <w:basedOn w:val="1"/>
    <w:autoRedefine/>
    <w:qFormat/>
    <w:uiPriority w:val="0"/>
    <w:pPr>
      <w:tabs>
        <w:tab w:val="left" w:pos="1008"/>
      </w:tabs>
      <w:ind w:left="1008" w:hanging="1008"/>
    </w:pPr>
  </w:style>
  <w:style w:type="paragraph" w:customStyle="1" w:styleId="71">
    <w:name w:val="正文段"/>
    <w:basedOn w:val="1"/>
    <w:autoRedefine/>
    <w:qFormat/>
    <w:uiPriority w:val="0"/>
    <w:pPr>
      <w:widowControl/>
      <w:snapToGrid w:val="0"/>
      <w:spacing w:afterLines="50"/>
      <w:ind w:firstLine="200" w:firstLineChars="200"/>
    </w:pPr>
    <w:rPr>
      <w:kern w:val="0"/>
      <w:sz w:val="24"/>
      <w:szCs w:val="20"/>
    </w:rPr>
  </w:style>
  <w:style w:type="paragraph" w:customStyle="1" w:styleId="72">
    <w:name w:val="列表段落1"/>
    <w:basedOn w:val="1"/>
    <w:autoRedefine/>
    <w:qFormat/>
    <w:uiPriority w:val="34"/>
    <w:pPr>
      <w:widowControl w:val="0"/>
      <w:ind w:firstLine="420" w:firstLineChars="200"/>
      <w:jc w:val="both"/>
    </w:pPr>
    <w:rPr>
      <w:rFonts w:ascii="Times New Roman" w:hAnsi="Times New Roman"/>
      <w:spacing w:val="0"/>
      <w:kern w:val="2"/>
      <w:szCs w:val="24"/>
    </w:rPr>
  </w:style>
  <w:style w:type="paragraph" w:customStyle="1" w:styleId="73">
    <w:name w:val="Char Char Char Char Char Char"/>
    <w:basedOn w:val="1"/>
    <w:autoRedefine/>
    <w:qFormat/>
    <w:uiPriority w:val="0"/>
    <w:pPr>
      <w:ind w:firstLine="200" w:firstLineChars="200"/>
    </w:pPr>
    <w:rPr>
      <w:rFonts w:ascii="Tahoma" w:hAnsi="Tahoma"/>
      <w:sz w:val="24"/>
      <w:szCs w:val="20"/>
    </w:rPr>
  </w:style>
  <w:style w:type="paragraph" w:customStyle="1" w:styleId="74">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75">
    <w:name w:val="列出段落11"/>
    <w:basedOn w:val="1"/>
    <w:autoRedefine/>
    <w:qFormat/>
    <w:uiPriority w:val="34"/>
    <w:pPr>
      <w:ind w:firstLine="420" w:firstLineChars="200"/>
    </w:pPr>
    <w:rPr>
      <w:rFonts w:ascii="等线" w:hAnsi="等线" w:cs="Times New Roman"/>
      <w:sz w:val="24"/>
      <w:szCs w:val="22"/>
    </w:rPr>
  </w:style>
  <w:style w:type="paragraph" w:customStyle="1" w:styleId="76">
    <w:name w:val="正文空2格  1."/>
    <w:basedOn w:val="1"/>
    <w:autoRedefine/>
    <w:qFormat/>
    <w:uiPriority w:val="0"/>
    <w:pPr>
      <w:ind w:firstLine="480" w:firstLineChars="200"/>
    </w:pPr>
    <w:rPr>
      <w:rFonts w:cs="宋体"/>
      <w:sz w:val="28"/>
      <w:szCs w:val="20"/>
    </w:rPr>
  </w:style>
  <w:style w:type="paragraph" w:customStyle="1" w:styleId="77">
    <w:name w:val="List Paragraph1"/>
    <w:basedOn w:val="1"/>
    <w:autoRedefine/>
    <w:qFormat/>
    <w:uiPriority w:val="0"/>
    <w:pPr>
      <w:ind w:firstLine="420" w:firstLineChars="200"/>
    </w:pPr>
  </w:style>
  <w:style w:type="paragraph" w:customStyle="1" w:styleId="78">
    <w:name w:val="_Style 3"/>
    <w:autoRedefine/>
    <w:qFormat/>
    <w:uiPriority w:val="0"/>
    <w:pPr>
      <w:widowControl w:val="0"/>
      <w:jc w:val="both"/>
    </w:pPr>
    <w:rPr>
      <w:rFonts w:ascii="Times New Roman" w:hAnsi="Times New Roman" w:eastAsia="Arial" w:cs="Times New Roman"/>
      <w:kern w:val="2"/>
      <w:sz w:val="21"/>
      <w:szCs w:val="22"/>
      <w:lang w:val="en-US" w:eastAsia="zh-CN" w:bidi="ar-SA"/>
    </w:rPr>
  </w:style>
  <w:style w:type="paragraph" w:customStyle="1" w:styleId="7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80">
    <w:name w:val="trs_edit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1">
    <w:name w:val="标题 41"/>
    <w:basedOn w:val="1"/>
    <w:autoRedefine/>
    <w:qFormat/>
    <w:uiPriority w:val="0"/>
    <w:pPr>
      <w:autoSpaceDE w:val="0"/>
      <w:autoSpaceDN w:val="0"/>
      <w:adjustRightInd w:val="0"/>
      <w:ind w:left="400"/>
      <w:jc w:val="left"/>
      <w:outlineLvl w:val="3"/>
    </w:pPr>
    <w:rPr>
      <w:rFonts w:cs="宋体"/>
      <w:b/>
      <w:bCs/>
      <w:kern w:val="0"/>
      <w:sz w:val="24"/>
    </w:rPr>
  </w:style>
  <w:style w:type="paragraph" w:customStyle="1" w:styleId="82">
    <w:name w:val="Table Paragraph"/>
    <w:basedOn w:val="1"/>
    <w:autoRedefine/>
    <w:qFormat/>
    <w:uiPriority w:val="0"/>
    <w:pPr>
      <w:autoSpaceDE w:val="0"/>
      <w:autoSpaceDN w:val="0"/>
      <w:adjustRightInd w:val="0"/>
      <w:jc w:val="left"/>
    </w:pPr>
    <w:rPr>
      <w:rFonts w:cs="宋体"/>
      <w:kern w:val="0"/>
      <w:sz w:val="24"/>
    </w:rPr>
  </w:style>
  <w:style w:type="paragraph" w:customStyle="1" w:styleId="83">
    <w:name w:val="Plain Text"/>
    <w:basedOn w:val="84"/>
    <w:autoRedefine/>
    <w:qFormat/>
    <w:uiPriority w:val="0"/>
    <w:pPr>
      <w:widowControl/>
      <w:jc w:val="left"/>
    </w:pPr>
    <w:rPr>
      <w:rFonts w:hint="eastAsia" w:ascii="宋体" w:hAnsi="Courier New"/>
    </w:rPr>
  </w:style>
  <w:style w:type="paragraph" w:customStyle="1" w:styleId="84">
    <w:name w:val="Normal"/>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85">
    <w:name w:val="Table Normal"/>
    <w:autoRedefine/>
    <w:unhideWhenUsed/>
    <w:qFormat/>
    <w:uiPriority w:val="0"/>
    <w:rPr>
      <w:lang w:val="en-US" w:eastAsia="zh-CN" w:bidi="ar-SA"/>
    </w:rPr>
    <w:tblPr>
      <w:tblCellMar>
        <w:top w:w="0" w:type="dxa"/>
        <w:left w:w="0" w:type="dxa"/>
        <w:bottom w:w="0" w:type="dxa"/>
        <w:right w:w="0" w:type="dxa"/>
      </w:tblCellMar>
    </w:tblPr>
  </w:style>
  <w:style w:type="paragraph" w:customStyle="1" w:styleId="86">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87">
    <w:name w:val="目录 71"/>
    <w:autoRedefine/>
    <w:qFormat/>
    <w:uiPriority w:val="0"/>
    <w:pPr>
      <w:wordWrap w:val="0"/>
      <w:ind w:left="2550"/>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28809</Words>
  <Characters>30217</Characters>
  <Lines>287</Lines>
  <Paragraphs>80</Paragraphs>
  <TotalTime>1</TotalTime>
  <ScaleCrop>false</ScaleCrop>
  <LinksUpToDate>false</LinksUpToDate>
  <CharactersWithSpaces>32952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2021-08-18T03:57:00Z</dcterms:created>
  <dc:creator>微软用户</dc:creator>
  <cp:lastModifiedBy>小桃儿</cp:lastModifiedBy>
  <dcterms:modified xsi:type="dcterms:W3CDTF">2024-03-28T07:21:13Z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3CB206F68B7046D1AD964A52738C6178_13</vt:lpwstr>
  </property>
</Properties>
</file>