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1E7B6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19" w:hRule="atLeast"/>
          <w:jc w:val="center"/>
        </w:trPr>
        <w:tc>
          <w:tcPr>
            <w:tcW w:w="8440" w:type="dxa"/>
          </w:tcPr>
          <w:p w14:paraId="63BB219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highlight w:val="none"/>
                <w:vertAlign w:val="baseline"/>
              </w:rPr>
            </w:pPr>
            <w:bookmarkStart w:id="0" w:name="_Hlt74649545"/>
            <w:bookmarkEnd w:id="0"/>
            <w:bookmarkStart w:id="1" w:name="_Hlt74707423"/>
            <w:bookmarkEnd w:id="1"/>
            <w:bookmarkStart w:id="2" w:name="_Hlt74729822"/>
            <w:bookmarkEnd w:id="2"/>
            <w:bookmarkStart w:id="3" w:name="_Hlt74728647"/>
            <w:bookmarkEnd w:id="3"/>
            <w:bookmarkStart w:id="4" w:name="第二部分"/>
            <w:bookmarkStart w:id="5" w:name="_Toc91899870"/>
            <w:bookmarkStart w:id="6" w:name="_Toc91899871"/>
            <w:bookmarkStart w:id="522" w:name="_GoBack"/>
          </w:p>
        </w:tc>
      </w:tr>
      <w:tr w14:paraId="7E55C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12D6B07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highlight w:val="none"/>
                <w:vertAlign w:val="baseline"/>
              </w:rPr>
            </w:pPr>
            <w:r>
              <w:rPr>
                <w:rFonts w:hint="eastAsia" w:ascii="仿宋" w:hAnsi="仿宋" w:eastAsia="仿宋" w:cs="仿宋"/>
                <w:color w:val="auto"/>
                <w:sz w:val="48"/>
                <w:szCs w:val="48"/>
                <w:highlight w:val="none"/>
              </w:rPr>
              <w:t>杭州市萧山区综合行政执法局2025年政府法律顾问服务</w:t>
            </w:r>
          </w:p>
        </w:tc>
      </w:tr>
      <w:tr w14:paraId="256A9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58918BC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58CFBA0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highlight w:val="none"/>
              </w:rPr>
            </w:pPr>
            <w:r>
              <w:rPr>
                <w:rFonts w:hint="eastAsia" w:ascii="仿宋" w:hAnsi="仿宋" w:eastAsia="仿宋" w:cs="仿宋"/>
                <w:b/>
                <w:color w:val="auto"/>
                <w:sz w:val="44"/>
                <w:szCs w:val="44"/>
                <w:highlight w:val="none"/>
              </w:rPr>
              <w:t>（电子招投标）</w:t>
            </w:r>
          </w:p>
        </w:tc>
      </w:tr>
      <w:tr w14:paraId="16E9C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39616FF7">
            <w:pPr>
              <w:pStyle w:val="4"/>
              <w:jc w:val="center"/>
              <w:rPr>
                <w:rFonts w:hint="eastAsia" w:ascii="仿宋" w:hAnsi="仿宋" w:eastAsia="仿宋" w:cs="仿宋"/>
                <w:color w:val="auto"/>
                <w:highlight w:val="none"/>
              </w:rPr>
            </w:pPr>
            <w:r>
              <w:rPr>
                <w:rFonts w:hint="eastAsia" w:ascii="仿宋" w:hAnsi="仿宋" w:eastAsia="仿宋" w:cs="仿宋"/>
                <w:color w:val="auto"/>
                <w:sz w:val="30"/>
                <w:szCs w:val="30"/>
                <w:highlight w:val="none"/>
              </w:rPr>
              <w:t>编号:</w:t>
            </w:r>
            <w:r>
              <w:rPr>
                <w:rFonts w:hint="eastAsia" w:ascii="仿宋" w:eastAsia="仿宋" w:cs="仿宋"/>
                <w:color w:val="auto"/>
                <w:sz w:val="30"/>
                <w:szCs w:val="30"/>
                <w:highlight w:val="none"/>
                <w:lang w:val="en-US" w:eastAsia="zh-CN"/>
              </w:rPr>
              <w:t>ZJHC(XS)-20250620</w:t>
            </w:r>
          </w:p>
        </w:tc>
      </w:tr>
      <w:tr w14:paraId="5A2F7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7730CCA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48"/>
                <w:szCs w:val="48"/>
                <w:highlight w:val="none"/>
                <w:vertAlign w:val="baseline"/>
              </w:rPr>
            </w:pPr>
          </w:p>
        </w:tc>
      </w:tr>
      <w:tr w14:paraId="60EE6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27B3C712">
            <w:pPr>
              <w:snapToGrid w:val="0"/>
              <w:spacing w:line="360" w:lineRule="auto"/>
              <w:jc w:val="center"/>
              <w:rPr>
                <w:rFonts w:hint="eastAsia" w:ascii="仿宋" w:hAnsi="仿宋" w:eastAsia="仿宋" w:cs="仿宋"/>
                <w:color w:val="auto"/>
                <w:sz w:val="48"/>
                <w:szCs w:val="48"/>
                <w:highlight w:val="none"/>
                <w:vertAlign w:val="baseli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0"/>
                <w:highlight w:val="none"/>
                <w:lang w:eastAsia="zh-CN"/>
              </w:rPr>
              <w:t>杭州市萧山区综合行政执法局</w:t>
            </w:r>
          </w:p>
        </w:tc>
      </w:tr>
      <w:tr w14:paraId="09818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4E6CF534">
            <w:pPr>
              <w:snapToGrid w:val="0"/>
              <w:spacing w:line="360" w:lineRule="auto"/>
              <w:jc w:val="center"/>
              <w:rPr>
                <w:rFonts w:hint="eastAsia" w:ascii="仿宋" w:hAnsi="仿宋" w:eastAsia="仿宋" w:cs="仿宋"/>
                <w:color w:val="auto"/>
                <w:sz w:val="32"/>
                <w:szCs w:val="30"/>
                <w:highlight w:val="none"/>
                <w:lang w:eastAsia="zh-CN"/>
              </w:rPr>
            </w:pPr>
            <w:r>
              <w:rPr>
                <w:rFonts w:hint="eastAsia" w:ascii="仿宋" w:hAnsi="仿宋" w:eastAsia="仿宋" w:cs="仿宋"/>
                <w:color w:val="auto"/>
                <w:sz w:val="32"/>
                <w:szCs w:val="30"/>
                <w:highlight w:val="none"/>
              </w:rPr>
              <w:t>代理机构：</w:t>
            </w:r>
            <w:r>
              <w:rPr>
                <w:rFonts w:hint="eastAsia" w:ascii="仿宋" w:hAnsi="仿宋" w:eastAsia="仿宋" w:cs="仿宋"/>
                <w:color w:val="auto"/>
                <w:sz w:val="32"/>
                <w:szCs w:val="30"/>
                <w:highlight w:val="none"/>
                <w:lang w:eastAsia="zh-CN"/>
              </w:rPr>
              <w:t>华诚工程咨询集团有限公司</w:t>
            </w:r>
          </w:p>
          <w:p w14:paraId="3C796F64">
            <w:pPr>
              <w:snapToGrid w:val="0"/>
              <w:spacing w:line="360" w:lineRule="auto"/>
              <w:jc w:val="center"/>
              <w:rPr>
                <w:rFonts w:hint="eastAsia" w:ascii="仿宋" w:hAnsi="仿宋" w:eastAsia="仿宋" w:cs="仿宋"/>
                <w:color w:val="auto"/>
                <w:sz w:val="48"/>
                <w:szCs w:val="48"/>
                <w:highlight w:val="none"/>
                <w:vertAlign w:val="baseline"/>
              </w:rPr>
            </w:pPr>
            <w:r>
              <w:rPr>
                <w:rFonts w:hint="eastAsia" w:ascii="仿宋" w:hAnsi="仿宋" w:eastAsia="仿宋" w:cs="仿宋"/>
                <w:bCs/>
                <w:color w:val="auto"/>
                <w:sz w:val="32"/>
                <w:szCs w:val="32"/>
                <w:highlight w:val="none"/>
                <w:lang w:val="en-US" w:eastAsia="zh-CN"/>
              </w:rPr>
              <w:t xml:space="preserve">  2025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6</w:t>
            </w:r>
            <w:r>
              <w:rPr>
                <w:rFonts w:hint="eastAsia" w:ascii="仿宋" w:hAnsi="仿宋" w:eastAsia="仿宋" w:cs="仿宋"/>
                <w:bCs/>
                <w:color w:val="auto"/>
                <w:sz w:val="32"/>
                <w:szCs w:val="32"/>
                <w:highlight w:val="none"/>
              </w:rPr>
              <w:t>月</w:t>
            </w:r>
          </w:p>
        </w:tc>
      </w:tr>
    </w:tbl>
    <w:p w14:paraId="6BD6A772">
      <w:pPr>
        <w:jc w:val="left"/>
        <w:rPr>
          <w:rFonts w:hint="eastAsia" w:ascii="仿宋" w:hAnsi="仿宋" w:eastAsia="仿宋" w:cs="仿宋"/>
          <w:color w:val="auto"/>
          <w:highlight w:val="none"/>
        </w:rPr>
      </w:pPr>
      <w:r>
        <w:rPr>
          <w:rFonts w:hint="eastAsia" w:ascii="仿宋" w:hAnsi="仿宋" w:eastAsia="仿宋" w:cs="仿宋"/>
          <w:color w:val="auto"/>
          <w:highlight w:val="none"/>
        </w:rPr>
        <w:t>本招标文件为202</w:t>
      </w:r>
      <w:r>
        <w:rPr>
          <w:rFonts w:hint="eastAsia" w:ascii="仿宋" w:hAnsi="仿宋" w:eastAsia="仿宋" w:cs="仿宋"/>
          <w:color w:val="auto"/>
          <w:highlight w:val="none"/>
          <w:lang w:val="en-US" w:eastAsia="zh-CN"/>
        </w:rPr>
        <w:t>5年4月1日稿</w:t>
      </w:r>
    </w:p>
    <w:p w14:paraId="7F6DDC29">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4C68211">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BBD83A1">
      <w:pPr>
        <w:spacing w:line="360" w:lineRule="auto"/>
        <w:rPr>
          <w:rFonts w:hint="eastAsia" w:ascii="仿宋" w:hAnsi="仿宋" w:eastAsia="仿宋" w:cs="仿宋"/>
          <w:color w:val="auto"/>
          <w:sz w:val="32"/>
          <w:szCs w:val="32"/>
          <w:highlight w:val="none"/>
        </w:rPr>
      </w:pPr>
    </w:p>
    <w:p w14:paraId="6CDF5B5A">
      <w:pPr>
        <w:spacing w:line="360" w:lineRule="auto"/>
        <w:rPr>
          <w:rFonts w:hint="eastAsia" w:ascii="仿宋" w:hAnsi="仿宋" w:eastAsia="仿宋" w:cs="仿宋"/>
          <w:color w:val="auto"/>
          <w:sz w:val="32"/>
          <w:szCs w:val="32"/>
          <w:highlight w:val="none"/>
        </w:rPr>
      </w:pPr>
    </w:p>
    <w:p w14:paraId="3C999EE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4486379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D27534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249A134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28FB82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209E62D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82A7592">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4A7847DD">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46AB968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3BDD4F96">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（杭州市萧山区综合行政执法局2025年政府法律顾问服务）</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Style w:val="76"/>
          <w:rFonts w:hint="eastAsia" w:ascii="仿宋" w:hAnsi="仿宋" w:eastAsia="仿宋" w:cs="仿宋"/>
          <w:snapToGrid/>
          <w:color w:val="auto"/>
          <w:kern w:val="2"/>
          <w:sz w:val="24"/>
          <w:szCs w:val="24"/>
          <w:highlight w:val="none"/>
          <w:lang w:val="en-US" w:eastAsia="zh-CN"/>
        </w:rPr>
        <w:t>2025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11</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B47BC2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02FDB6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项目编号：ZJHC(XS)-20250620</w:t>
      </w:r>
    </w:p>
    <w:p w14:paraId="62B522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rPr>
        <w:t>杭州市萧山区综合行政执法局2025年政府法律顾问服务</w:t>
      </w:r>
    </w:p>
    <w:p w14:paraId="61C24FAB">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500000</w:t>
      </w:r>
    </w:p>
    <w:p w14:paraId="6A2D69E6">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500000</w:t>
      </w:r>
    </w:p>
    <w:p w14:paraId="24CACF18">
      <w:pPr>
        <w:pStyle w:val="16"/>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杭州市萧山区综合行政执法局2025年政府法律顾问服务主要内容：</w:t>
      </w:r>
      <w:r>
        <w:rPr>
          <w:rFonts w:hint="eastAsia" w:ascii="仿宋" w:hAnsi="仿宋" w:eastAsia="仿宋" w:cs="仿宋"/>
          <w:bCs/>
          <w:snapToGrid/>
          <w:color w:val="auto"/>
          <w:kern w:val="2"/>
          <w:sz w:val="24"/>
          <w:szCs w:val="24"/>
          <w:highlight w:val="none"/>
          <w:lang w:val="en-US" w:eastAsia="zh-CN"/>
        </w:rPr>
        <w:t>为杭州市萧山区综合行政执法局提供城市管理、综合行政执法领域的法律咨询服务与诉讼法律服务。包括</w:t>
      </w:r>
      <w:r>
        <w:rPr>
          <w:rFonts w:hint="eastAsia" w:ascii="仿宋" w:hAnsi="仿宋" w:eastAsia="仿宋" w:cs="仿宋"/>
          <w:bCs/>
          <w:snapToGrid/>
          <w:color w:val="auto"/>
          <w:kern w:val="2"/>
          <w:sz w:val="24"/>
          <w:szCs w:val="24"/>
          <w:highlight w:val="none"/>
        </w:rPr>
        <w:t>协助完成行政合同审核、</w:t>
      </w:r>
      <w:r>
        <w:rPr>
          <w:rFonts w:hint="eastAsia" w:ascii="仿宋" w:hAnsi="仿宋" w:eastAsia="仿宋" w:cs="仿宋"/>
          <w:bCs/>
          <w:snapToGrid/>
          <w:color w:val="auto"/>
          <w:kern w:val="2"/>
          <w:sz w:val="24"/>
          <w:szCs w:val="24"/>
          <w:highlight w:val="none"/>
          <w:lang w:val="en-US" w:eastAsia="zh-CN"/>
        </w:rPr>
        <w:t>规范性文件审查、公平竞争审查</w:t>
      </w:r>
      <w:r>
        <w:rPr>
          <w:rFonts w:hint="eastAsia" w:ascii="仿宋" w:hAnsi="仿宋" w:eastAsia="仿宋" w:cs="仿宋"/>
          <w:bCs/>
          <w:snapToGrid/>
          <w:color w:val="auto"/>
          <w:kern w:val="2"/>
          <w:sz w:val="24"/>
          <w:szCs w:val="24"/>
          <w:highlight w:val="none"/>
        </w:rPr>
        <w:t>；参与处理重大行政复议、诉讼、仲裁案件，</w:t>
      </w:r>
      <w:r>
        <w:rPr>
          <w:rFonts w:hint="eastAsia" w:ascii="仿宋" w:hAnsi="仿宋" w:eastAsia="仿宋" w:cs="仿宋"/>
          <w:bCs/>
          <w:snapToGrid/>
          <w:color w:val="auto"/>
          <w:kern w:val="2"/>
          <w:sz w:val="24"/>
          <w:szCs w:val="24"/>
          <w:highlight w:val="none"/>
          <w:lang w:val="en-US" w:eastAsia="zh-CN"/>
        </w:rPr>
        <w:t>提供</w:t>
      </w:r>
      <w:r>
        <w:rPr>
          <w:rFonts w:hint="eastAsia" w:ascii="仿宋" w:hAnsi="仿宋" w:eastAsia="仿宋" w:cs="仿宋"/>
          <w:bCs/>
          <w:snapToGrid/>
          <w:color w:val="auto"/>
          <w:kern w:val="2"/>
          <w:sz w:val="24"/>
          <w:szCs w:val="24"/>
          <w:highlight w:val="none"/>
        </w:rPr>
        <w:t>法律意见</w:t>
      </w:r>
      <w:r>
        <w:rPr>
          <w:rFonts w:hint="eastAsia" w:ascii="仿宋" w:hAnsi="仿宋" w:eastAsia="仿宋" w:cs="仿宋"/>
          <w:bCs/>
          <w:snapToGrid/>
          <w:color w:val="auto"/>
          <w:kern w:val="2"/>
          <w:sz w:val="24"/>
          <w:szCs w:val="24"/>
          <w:highlight w:val="none"/>
          <w:lang w:val="en-US" w:eastAsia="zh-CN"/>
        </w:rPr>
        <w:t>与代理服务，</w:t>
      </w:r>
      <w:r>
        <w:rPr>
          <w:rFonts w:hint="eastAsia" w:ascii="仿宋" w:hAnsi="仿宋" w:eastAsia="仿宋" w:cs="仿宋"/>
          <w:bCs/>
          <w:snapToGrid/>
          <w:color w:val="auto"/>
          <w:kern w:val="2"/>
          <w:sz w:val="24"/>
          <w:szCs w:val="24"/>
          <w:highlight w:val="none"/>
        </w:rPr>
        <w:t>办理</w:t>
      </w:r>
      <w:r>
        <w:rPr>
          <w:rFonts w:hint="eastAsia" w:ascii="仿宋" w:hAnsi="仿宋" w:eastAsia="仿宋" w:cs="仿宋"/>
          <w:bCs/>
          <w:snapToGrid/>
          <w:color w:val="auto"/>
          <w:kern w:val="2"/>
          <w:sz w:val="24"/>
          <w:szCs w:val="24"/>
          <w:highlight w:val="none"/>
          <w:lang w:eastAsia="zh-Hans"/>
        </w:rPr>
        <w:t>区</w:t>
      </w:r>
      <w:r>
        <w:rPr>
          <w:rFonts w:hint="eastAsia" w:ascii="仿宋" w:hAnsi="仿宋" w:eastAsia="仿宋" w:cs="仿宋"/>
          <w:bCs/>
          <w:snapToGrid/>
          <w:color w:val="auto"/>
          <w:kern w:val="2"/>
          <w:sz w:val="24"/>
          <w:szCs w:val="24"/>
          <w:highlight w:val="none"/>
          <w:lang w:val="en-US" w:eastAsia="zh-CN"/>
        </w:rPr>
        <w:t>综合行政执法</w:t>
      </w:r>
      <w:r>
        <w:rPr>
          <w:rFonts w:hint="eastAsia" w:ascii="仿宋" w:hAnsi="仿宋" w:eastAsia="仿宋" w:cs="仿宋"/>
          <w:bCs/>
          <w:snapToGrid/>
          <w:color w:val="auto"/>
          <w:kern w:val="2"/>
          <w:sz w:val="24"/>
          <w:szCs w:val="24"/>
          <w:highlight w:val="none"/>
          <w:lang w:eastAsia="zh-Hans"/>
        </w:rPr>
        <w:t>局</w:t>
      </w:r>
      <w:r>
        <w:rPr>
          <w:rFonts w:hint="eastAsia" w:ascii="仿宋" w:hAnsi="仿宋" w:eastAsia="仿宋" w:cs="仿宋"/>
          <w:bCs/>
          <w:snapToGrid/>
          <w:color w:val="auto"/>
          <w:kern w:val="2"/>
          <w:sz w:val="24"/>
          <w:szCs w:val="24"/>
          <w:highlight w:val="none"/>
        </w:rPr>
        <w:t>委托的其他常规性法律事务。</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739AB1C2">
      <w:pPr>
        <w:pStyle w:val="128"/>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详见</w:t>
      </w:r>
      <w:r>
        <w:rPr>
          <w:rFonts w:hint="eastAsia" w:ascii="仿宋" w:hAnsi="仿宋" w:eastAsia="仿宋" w:cs="仿宋"/>
          <w:b/>
          <w:color w:val="auto"/>
          <w:highlight w:val="none"/>
          <w:lang w:val="en-US" w:eastAsia="zh-CN"/>
        </w:rPr>
        <w:t>采购需求。</w:t>
      </w:r>
    </w:p>
    <w:p w14:paraId="14A7B3B2">
      <w:pPr>
        <w:pStyle w:val="16"/>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5D0B7EE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74694EB0">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0E22F7D">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0C805952">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584D4E9">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696E80C4">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78F66C94">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highlight w:val="none"/>
        </w:rPr>
        <w:t>企业承接，提供中小企业声明函；</w:t>
      </w:r>
    </w:p>
    <w:p w14:paraId="7F8EC10F">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小微</w:t>
      </w:r>
      <w:r>
        <w:rPr>
          <w:rFonts w:hint="eastAsia" w:ascii="仿宋" w:hAnsi="仿宋" w:eastAsia="仿宋" w:cs="仿宋"/>
          <w:color w:val="auto"/>
          <w:sz w:val="24"/>
          <w:highlight w:val="none"/>
        </w:rPr>
        <w:t>企业承接，提供中小企业声明函；</w:t>
      </w:r>
    </w:p>
    <w:p w14:paraId="41182367">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bookmarkStart w:id="7" w:name="_Hlk101132524"/>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sz w:val="24"/>
          <w:szCs w:val="24"/>
          <w:highlight w:val="none"/>
        </w:rPr>
        <w:t>以联合体形式参加，并按要求提供联合协议和中小企业声明函，联合协议中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bookmarkEnd w:id="7"/>
    <w:p w14:paraId="6785E80A">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kern w:val="2"/>
          <w:sz w:val="24"/>
          <w:szCs w:val="24"/>
          <w:highlight w:val="none"/>
          <w:lang w:val="en-US" w:eastAsia="zh-CN"/>
        </w:rPr>
        <w:t>以</w:t>
      </w:r>
      <w:r>
        <w:rPr>
          <w:rFonts w:hint="eastAsia" w:ascii="仿宋" w:hAnsi="仿宋" w:eastAsia="仿宋" w:cs="仿宋"/>
          <w:color w:val="auto"/>
          <w:sz w:val="24"/>
          <w:szCs w:val="24"/>
          <w:highlight w:val="none"/>
        </w:rPr>
        <w:t>合同分包形式参加，并按要求提供分包意向协议和中小企业声明函，分包意向协议中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所有标的均由中小企业制造、承建或承接，并相应达到了前述比例要求，无需再向中小企业分包，</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p w14:paraId="5E81F635">
      <w:pPr>
        <w:numPr>
          <w:ilvl w:val="0"/>
          <w:numId w:val="1"/>
        </w:num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本项目的特定资格要求：</w:t>
      </w:r>
    </w:p>
    <w:p w14:paraId="6009B694">
      <w:pPr>
        <w:spacing w:line="360" w:lineRule="auto"/>
        <w:ind w:firstLine="480" w:firstLineChars="200"/>
        <w:rPr>
          <w:rFonts w:hint="eastAsia" w:ascii="仿宋" w:hAnsi="仿宋" w:eastAsia="仿宋" w:cs="仿宋"/>
          <w:b/>
          <w:bCs/>
          <w:color w:val="auto"/>
          <w:highlight w:val="none"/>
        </w:rPr>
      </w:pPr>
      <w:sdt>
        <w:sdtPr>
          <w:rPr>
            <w:rFonts w:hint="eastAsia" w:ascii="仿宋" w:hAnsi="仿宋" w:eastAsia="仿宋" w:cs="仿宋"/>
            <w:color w:val="auto"/>
            <w:sz w:val="24"/>
            <w:szCs w:val="24"/>
            <w:highlight w:val="none"/>
          </w:rPr>
          <w:id w:val="4657"/>
          <w14:checkbox>
            <w14:checked w14:val="1"/>
            <w14:checkedState w14:val="00FE" w14:font="Wingdings"/>
            <w14:uncheckedState w14:val="2610" w14:font="MS Gothic"/>
          </w14:checkbox>
        </w:sdtPr>
        <w:sdtEndPr>
          <w:rPr>
            <w:rFonts w:hint="eastAsia" w:ascii="仿宋" w:hAnsi="仿宋" w:eastAsia="仿宋" w:cs="仿宋"/>
            <w:b/>
            <w:bCs/>
            <w:color w:val="auto"/>
            <w:sz w:val="24"/>
            <w:szCs w:val="24"/>
            <w:highlight w:val="none"/>
          </w:rPr>
        </w:sdtEndPr>
        <w:sdtContent>
          <w:r>
            <w:rPr>
              <w:rFonts w:hint="eastAsia" w:ascii="Wingdings" w:hAnsi="Wingdings" w:eastAsia="仿宋" w:cs="仿宋"/>
              <w:b/>
              <w:bCs/>
              <w:color w:val="auto"/>
              <w:kern w:val="2"/>
              <w:sz w:val="24"/>
              <w:szCs w:val="24"/>
              <w:highlight w:val="none"/>
              <w:lang w:val="en-US" w:eastAsia="zh-CN" w:bidi="ar-SA"/>
            </w:rPr>
            <w:t>þ</w:t>
          </w:r>
        </w:sdtContent>
      </w:sdt>
      <w:r>
        <w:rPr>
          <w:rFonts w:hint="eastAsia" w:ascii="仿宋" w:hAnsi="仿宋" w:eastAsia="仿宋" w:cs="仿宋"/>
          <w:b/>
          <w:bCs/>
          <w:color w:val="auto"/>
          <w:sz w:val="24"/>
          <w:szCs w:val="24"/>
          <w:highlight w:val="none"/>
        </w:rPr>
        <w:t>有特定资格要求：</w:t>
      </w:r>
      <w:r>
        <w:rPr>
          <w:rFonts w:hint="eastAsia" w:ascii="仿宋" w:hAnsi="仿宋" w:eastAsia="仿宋" w:cs="仿宋"/>
          <w:b/>
          <w:bCs/>
          <w:color w:val="auto"/>
          <w:sz w:val="24"/>
          <w:highlight w:val="none"/>
          <w:u w:val="single"/>
          <w:lang w:val="en-US" w:eastAsia="zh-CN"/>
        </w:rPr>
        <w:t>依法设立并取得执业许可证的律师事务所</w:t>
      </w:r>
      <w:r>
        <w:rPr>
          <w:rFonts w:hint="eastAsia" w:ascii="仿宋" w:hAnsi="仿宋" w:eastAsia="仿宋" w:cs="仿宋"/>
          <w:b/>
          <w:bCs/>
          <w:color w:val="auto"/>
          <w:sz w:val="24"/>
          <w:szCs w:val="24"/>
          <w:highlight w:val="none"/>
        </w:rPr>
        <w:t>，该特定条件的法律法规据：</w:t>
      </w:r>
      <w:r>
        <w:rPr>
          <w:rFonts w:hint="eastAsia" w:ascii="仿宋" w:hAnsi="仿宋" w:eastAsia="仿宋" w:cs="仿宋"/>
          <w:b/>
          <w:bCs/>
          <w:color w:val="auto"/>
          <w:sz w:val="24"/>
          <w:highlight w:val="none"/>
          <w:u w:val="single"/>
          <w:lang w:eastAsia="zh-CN"/>
        </w:rPr>
        <w:t>《律师事务所管理办法》</w:t>
      </w:r>
      <w:r>
        <w:rPr>
          <w:rFonts w:hint="eastAsia" w:ascii="仿宋" w:hAnsi="仿宋" w:eastAsia="仿宋" w:cs="仿宋"/>
          <w:b/>
          <w:bCs/>
          <w:color w:val="auto"/>
          <w:sz w:val="24"/>
          <w:szCs w:val="24"/>
          <w:highlight w:val="none"/>
        </w:rPr>
        <w:t>。</w:t>
      </w:r>
    </w:p>
    <w:p w14:paraId="0E93B7B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9F933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83FD3E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highlight w:val="none"/>
          <w:u w:val="single"/>
          <w:lang w:val="en-US" w:eastAsia="zh-CN"/>
        </w:rPr>
        <w:t xml:space="preserve"> 2025年7</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11</w:t>
      </w:r>
      <w:r>
        <w:rPr>
          <w:rFonts w:hint="eastAsia" w:ascii="仿宋" w:hAnsi="仿宋" w:eastAsia="仿宋" w:cs="仿宋"/>
          <w:color w:val="auto"/>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284F99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396934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7AF41DF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B901CB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5EF956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Style w:val="76"/>
          <w:rFonts w:hint="eastAsia" w:ascii="仿宋" w:hAnsi="仿宋" w:eastAsia="仿宋" w:cs="仿宋"/>
          <w:snapToGrid/>
          <w:color w:val="auto"/>
          <w:kern w:val="2"/>
          <w:sz w:val="24"/>
          <w:szCs w:val="24"/>
          <w:highlight w:val="none"/>
          <w:u w:val="single"/>
          <w:lang w:val="en-US" w:eastAsia="zh-CN"/>
        </w:rPr>
        <w:t>2025</w:t>
      </w:r>
      <w:r>
        <w:rPr>
          <w:rStyle w:val="76"/>
          <w:rFonts w:hint="eastAsia" w:ascii="仿宋" w:hAnsi="仿宋" w:eastAsia="仿宋" w:cs="仿宋"/>
          <w:snapToGrid/>
          <w:color w:val="auto"/>
          <w:kern w:val="2"/>
          <w:sz w:val="24"/>
          <w:szCs w:val="24"/>
          <w:highlight w:val="none"/>
          <w:u w:val="single"/>
        </w:rPr>
        <w:t>年</w:t>
      </w:r>
      <w:r>
        <w:rPr>
          <w:rStyle w:val="76"/>
          <w:rFonts w:hint="eastAsia" w:ascii="仿宋" w:hAnsi="仿宋" w:eastAsia="仿宋" w:cs="仿宋"/>
          <w:snapToGrid/>
          <w:color w:val="auto"/>
          <w:kern w:val="2"/>
          <w:sz w:val="24"/>
          <w:szCs w:val="24"/>
          <w:highlight w:val="none"/>
          <w:u w:val="single"/>
          <w:lang w:val="en-US" w:eastAsia="zh-CN"/>
        </w:rPr>
        <w:t>7</w:t>
      </w:r>
      <w:r>
        <w:rPr>
          <w:rStyle w:val="76"/>
          <w:rFonts w:hint="eastAsia" w:ascii="仿宋" w:hAnsi="仿宋" w:eastAsia="仿宋" w:cs="仿宋"/>
          <w:snapToGrid/>
          <w:color w:val="auto"/>
          <w:kern w:val="2"/>
          <w:sz w:val="24"/>
          <w:szCs w:val="24"/>
          <w:highlight w:val="none"/>
          <w:u w:val="single"/>
        </w:rPr>
        <w:t>月</w:t>
      </w:r>
      <w:r>
        <w:rPr>
          <w:rStyle w:val="76"/>
          <w:rFonts w:hint="eastAsia" w:ascii="仿宋" w:hAnsi="仿宋" w:eastAsia="仿宋" w:cs="仿宋"/>
          <w:snapToGrid/>
          <w:color w:val="auto"/>
          <w:kern w:val="2"/>
          <w:sz w:val="24"/>
          <w:szCs w:val="24"/>
          <w:highlight w:val="none"/>
          <w:u w:val="single"/>
          <w:lang w:val="en-US" w:eastAsia="zh-CN"/>
        </w:rPr>
        <w:t>11</w:t>
      </w:r>
      <w:r>
        <w:rPr>
          <w:rStyle w:val="76"/>
          <w:rFonts w:hint="eastAsia" w:ascii="仿宋" w:hAnsi="仿宋" w:eastAsia="仿宋" w:cs="仿宋"/>
          <w:snapToGrid/>
          <w:color w:val="auto"/>
          <w:kern w:val="2"/>
          <w:sz w:val="24"/>
          <w:szCs w:val="24"/>
          <w:highlight w:val="none"/>
          <w:u w:val="single"/>
        </w:rPr>
        <w:t>日</w:t>
      </w:r>
      <w:r>
        <w:rPr>
          <w:rStyle w:val="76"/>
          <w:rFonts w:hint="eastAsia" w:ascii="仿宋" w:hAnsi="仿宋" w:eastAsia="仿宋" w:cs="仿宋"/>
          <w:snapToGrid/>
          <w:color w:val="auto"/>
          <w:kern w:val="2"/>
          <w:sz w:val="24"/>
          <w:szCs w:val="24"/>
          <w:highlight w:val="none"/>
          <w:u w:val="single"/>
          <w:lang w:val="en-US" w:eastAsia="zh-CN"/>
        </w:rPr>
        <w:t>09</w:t>
      </w:r>
      <w:r>
        <w:rPr>
          <w:rStyle w:val="76"/>
          <w:rFonts w:hint="eastAsia" w:ascii="仿宋" w:hAnsi="仿宋" w:eastAsia="仿宋" w:cs="仿宋"/>
          <w:snapToGrid/>
          <w:color w:val="auto"/>
          <w:kern w:val="2"/>
          <w:sz w:val="24"/>
          <w:szCs w:val="24"/>
          <w:highlight w:val="none"/>
          <w:u w:val="single"/>
        </w:rPr>
        <w:t>点</w:t>
      </w:r>
      <w:r>
        <w:rPr>
          <w:rStyle w:val="76"/>
          <w:rFonts w:hint="eastAsia" w:ascii="仿宋" w:hAnsi="仿宋" w:eastAsia="仿宋" w:cs="仿宋"/>
          <w:snapToGrid/>
          <w:color w:val="auto"/>
          <w:kern w:val="2"/>
          <w:sz w:val="24"/>
          <w:szCs w:val="24"/>
          <w:highlight w:val="none"/>
          <w:u w:val="single"/>
          <w:lang w:val="en-US" w:eastAsia="zh-CN"/>
        </w:rPr>
        <w:t>30</w:t>
      </w:r>
      <w:r>
        <w:rPr>
          <w:rStyle w:val="76"/>
          <w:rFonts w:hint="eastAsia" w:ascii="仿宋" w:hAnsi="仿宋" w:eastAsia="仿宋" w:cs="仿宋"/>
          <w:snapToGrid/>
          <w:color w:val="auto"/>
          <w:kern w:val="2"/>
          <w:sz w:val="24"/>
          <w:szCs w:val="24"/>
          <w:highlight w:val="none"/>
          <w:u w:val="single"/>
        </w:rPr>
        <w:t>分</w:t>
      </w:r>
      <w:r>
        <w:rPr>
          <w:rStyle w:val="76"/>
          <w:rFonts w:hint="eastAsia" w:ascii="仿宋" w:hAnsi="仿宋" w:eastAsia="仿宋" w:cs="仿宋"/>
          <w:bCs/>
          <w:snapToGrid/>
          <w:color w:val="auto"/>
          <w:kern w:val="2"/>
          <w:sz w:val="24"/>
          <w:szCs w:val="24"/>
          <w:highlight w:val="none"/>
          <w:u w:val="single"/>
        </w:rPr>
        <w:t>00秒</w:t>
      </w:r>
      <w:r>
        <w:rPr>
          <w:rFonts w:hint="eastAsia" w:ascii="仿宋" w:hAnsi="仿宋" w:eastAsia="仿宋" w:cs="仿宋"/>
          <w:color w:val="auto"/>
          <w:sz w:val="24"/>
          <w:highlight w:val="none"/>
        </w:rPr>
        <w:t>（北京时间）</w:t>
      </w:r>
    </w:p>
    <w:p w14:paraId="0F81B58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BE6772F">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76"/>
          <w:rFonts w:hint="eastAsia" w:ascii="仿宋" w:hAnsi="仿宋" w:eastAsia="仿宋" w:cs="仿宋"/>
          <w:snapToGrid/>
          <w:color w:val="auto"/>
          <w:kern w:val="2"/>
          <w:sz w:val="24"/>
          <w:szCs w:val="24"/>
          <w:highlight w:val="none"/>
          <w:u w:val="single"/>
          <w:lang w:val="en-US" w:eastAsia="zh-CN"/>
        </w:rPr>
        <w:t>2025</w:t>
      </w:r>
      <w:r>
        <w:rPr>
          <w:rStyle w:val="76"/>
          <w:rFonts w:hint="eastAsia" w:ascii="仿宋" w:hAnsi="仿宋" w:eastAsia="仿宋" w:cs="仿宋"/>
          <w:snapToGrid/>
          <w:color w:val="auto"/>
          <w:kern w:val="2"/>
          <w:sz w:val="24"/>
          <w:szCs w:val="24"/>
          <w:highlight w:val="none"/>
          <w:u w:val="single"/>
        </w:rPr>
        <w:t>年</w:t>
      </w:r>
      <w:r>
        <w:rPr>
          <w:rStyle w:val="76"/>
          <w:rFonts w:hint="eastAsia" w:ascii="仿宋" w:hAnsi="仿宋" w:eastAsia="仿宋" w:cs="仿宋"/>
          <w:snapToGrid/>
          <w:color w:val="auto"/>
          <w:kern w:val="2"/>
          <w:sz w:val="24"/>
          <w:szCs w:val="24"/>
          <w:highlight w:val="none"/>
          <w:u w:val="single"/>
          <w:lang w:val="en-US" w:eastAsia="zh-CN"/>
        </w:rPr>
        <w:t>7</w:t>
      </w:r>
      <w:r>
        <w:rPr>
          <w:rStyle w:val="76"/>
          <w:rFonts w:hint="eastAsia" w:ascii="仿宋" w:hAnsi="仿宋" w:eastAsia="仿宋" w:cs="仿宋"/>
          <w:snapToGrid/>
          <w:color w:val="auto"/>
          <w:kern w:val="2"/>
          <w:sz w:val="24"/>
          <w:szCs w:val="24"/>
          <w:highlight w:val="none"/>
          <w:u w:val="single"/>
        </w:rPr>
        <w:t>月</w:t>
      </w:r>
      <w:r>
        <w:rPr>
          <w:rStyle w:val="76"/>
          <w:rFonts w:hint="eastAsia" w:ascii="仿宋" w:hAnsi="仿宋" w:eastAsia="仿宋" w:cs="仿宋"/>
          <w:snapToGrid/>
          <w:color w:val="auto"/>
          <w:kern w:val="2"/>
          <w:sz w:val="24"/>
          <w:szCs w:val="24"/>
          <w:highlight w:val="none"/>
          <w:u w:val="single"/>
          <w:lang w:val="en-US" w:eastAsia="zh-CN"/>
        </w:rPr>
        <w:t>11</w:t>
      </w:r>
      <w:r>
        <w:rPr>
          <w:rStyle w:val="76"/>
          <w:rFonts w:hint="eastAsia" w:ascii="仿宋" w:hAnsi="仿宋" w:eastAsia="仿宋" w:cs="仿宋"/>
          <w:snapToGrid/>
          <w:color w:val="auto"/>
          <w:kern w:val="2"/>
          <w:sz w:val="24"/>
          <w:szCs w:val="24"/>
          <w:highlight w:val="none"/>
          <w:u w:val="single"/>
        </w:rPr>
        <w:t>日</w:t>
      </w:r>
      <w:r>
        <w:rPr>
          <w:rStyle w:val="76"/>
          <w:rFonts w:hint="eastAsia" w:ascii="仿宋" w:hAnsi="仿宋" w:eastAsia="仿宋" w:cs="仿宋"/>
          <w:snapToGrid/>
          <w:color w:val="auto"/>
          <w:kern w:val="2"/>
          <w:sz w:val="24"/>
          <w:szCs w:val="24"/>
          <w:highlight w:val="none"/>
          <w:u w:val="single"/>
          <w:lang w:val="en-US" w:eastAsia="zh-CN"/>
        </w:rPr>
        <w:t>09</w:t>
      </w:r>
      <w:r>
        <w:rPr>
          <w:rStyle w:val="76"/>
          <w:rFonts w:hint="eastAsia" w:ascii="仿宋" w:hAnsi="仿宋" w:eastAsia="仿宋" w:cs="仿宋"/>
          <w:snapToGrid/>
          <w:color w:val="auto"/>
          <w:kern w:val="2"/>
          <w:sz w:val="24"/>
          <w:szCs w:val="24"/>
          <w:highlight w:val="none"/>
          <w:u w:val="single"/>
        </w:rPr>
        <w:t>点</w:t>
      </w:r>
      <w:r>
        <w:rPr>
          <w:rStyle w:val="76"/>
          <w:rFonts w:hint="eastAsia" w:ascii="仿宋" w:hAnsi="仿宋" w:eastAsia="仿宋" w:cs="仿宋"/>
          <w:snapToGrid/>
          <w:color w:val="auto"/>
          <w:kern w:val="2"/>
          <w:sz w:val="24"/>
          <w:szCs w:val="24"/>
          <w:highlight w:val="none"/>
          <w:u w:val="single"/>
          <w:lang w:val="en-US" w:eastAsia="zh-CN"/>
        </w:rPr>
        <w:t>30</w:t>
      </w:r>
      <w:r>
        <w:rPr>
          <w:rStyle w:val="76"/>
          <w:rFonts w:hint="eastAsia" w:ascii="仿宋" w:hAnsi="仿宋" w:eastAsia="仿宋" w:cs="仿宋"/>
          <w:snapToGrid/>
          <w:color w:val="auto"/>
          <w:kern w:val="2"/>
          <w:sz w:val="24"/>
          <w:szCs w:val="24"/>
          <w:highlight w:val="none"/>
          <w:u w:val="single"/>
        </w:rPr>
        <w:t>分</w:t>
      </w:r>
      <w:r>
        <w:rPr>
          <w:rStyle w:val="76"/>
          <w:rFonts w:hint="eastAsia" w:ascii="仿宋" w:hAnsi="仿宋" w:eastAsia="仿宋" w:cs="仿宋"/>
          <w:bCs/>
          <w:snapToGrid/>
          <w:color w:val="auto"/>
          <w:kern w:val="2"/>
          <w:sz w:val="24"/>
          <w:szCs w:val="24"/>
          <w:highlight w:val="none"/>
          <w:u w:val="single"/>
        </w:rPr>
        <w:t>00秒</w:t>
      </w:r>
      <w:r>
        <w:rPr>
          <w:rFonts w:hint="eastAsia" w:ascii="仿宋" w:hAnsi="仿宋" w:eastAsia="仿宋" w:cs="仿宋"/>
          <w:color w:val="auto"/>
          <w:sz w:val="24"/>
          <w:highlight w:val="none"/>
        </w:rPr>
        <w:t>（北京时间）</w:t>
      </w:r>
    </w:p>
    <w:p w14:paraId="60B27AB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政采云平台（https://www.zcygov.cn/）萧山区新塘街道通货路365号杭州火车南站东广场产业园1栋902室</w:t>
      </w:r>
    </w:p>
    <w:p w14:paraId="71296C25">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572F9C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6A3809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1D925A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EF68F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F035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D8108C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3AD688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68BF6B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2E220D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名称：杭州市萧山区综合行政执法局</w:t>
      </w:r>
    </w:p>
    <w:p w14:paraId="272D2A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地址：萧山区北干街道博学路618号萧山科创中心C座4楼       </w:t>
      </w:r>
    </w:p>
    <w:p w14:paraId="3300AE7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1E98718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项目联系人（询问）： 徐婷 </w:t>
      </w:r>
    </w:p>
    <w:p w14:paraId="1C7A47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w:t>
      </w:r>
      <w:r>
        <w:rPr>
          <w:rFonts w:hint="eastAsia" w:ascii="仿宋" w:hAnsi="仿宋" w:eastAsia="仿宋" w:cs="仿宋"/>
          <w:color w:val="auto"/>
          <w:sz w:val="24"/>
          <w:highlight w:val="none"/>
        </w:rPr>
        <w:t xml:space="preserve">89615800  </w:t>
      </w:r>
    </w:p>
    <w:p w14:paraId="77AC8FD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 赵旭 </w:t>
      </w:r>
    </w:p>
    <w:p w14:paraId="612F9C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质疑联系方式：0571-89615804</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58ACDF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184AB839">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华诚工程咨询集团有限公司</w:t>
      </w:r>
    </w:p>
    <w:p w14:paraId="0A691EA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址：萧山区新塘街道通货路365号杭州火车南站东广场产业园1栋902室</w:t>
      </w:r>
    </w:p>
    <w:p w14:paraId="40D518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6B04D39B">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项目联系人（询问）： </w:t>
      </w:r>
      <w:r>
        <w:rPr>
          <w:rFonts w:hint="eastAsia" w:ascii="仿宋" w:hAnsi="仿宋" w:eastAsia="仿宋" w:cs="仿宋"/>
          <w:color w:val="auto"/>
          <w:sz w:val="24"/>
          <w:highlight w:val="none"/>
          <w:lang w:val="en-US" w:eastAsia="zh-CN"/>
        </w:rPr>
        <w:t>孔益平</w:t>
      </w:r>
    </w:p>
    <w:p w14:paraId="2D0F0D51">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15167164267</w:t>
      </w:r>
    </w:p>
    <w:p w14:paraId="40246C9E">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 </w:t>
      </w:r>
      <w:r>
        <w:rPr>
          <w:rFonts w:hint="eastAsia" w:ascii="仿宋" w:hAnsi="仿宋" w:eastAsia="仿宋" w:cs="仿宋"/>
          <w:color w:val="auto"/>
          <w:sz w:val="24"/>
          <w:highlight w:val="none"/>
          <w:lang w:val="en-US" w:eastAsia="zh-CN"/>
        </w:rPr>
        <w:t>李能</w:t>
      </w:r>
    </w:p>
    <w:p w14:paraId="0316999E">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0571-87013538</w:t>
      </w:r>
    </w:p>
    <w:p w14:paraId="6DDBD0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（请通过以下路径在线提起质疑：政采云-项目采购-询问质疑投诉-质疑列表）</w:t>
      </w:r>
    </w:p>
    <w:p w14:paraId="1F2478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77B1428B">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称：萧山区财政局、浙江省政府采购行政裁决服务中心（杭州）</w:t>
      </w:r>
    </w:p>
    <w:p w14:paraId="6FAFB94C">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531399BB">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12988146">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w:t>
      </w:r>
      <w:r>
        <w:rPr>
          <w:rFonts w:hint="eastAsia" w:ascii="仿宋" w:hAnsi="仿宋" w:eastAsia="仿宋" w:cs="仿宋"/>
          <w:color w:val="auto"/>
          <w:sz w:val="24"/>
          <w:highlight w:val="none"/>
          <w:lang w:val="en-US" w:eastAsia="zh-CN"/>
        </w:rPr>
        <w:t>朱老师</w:t>
      </w:r>
    </w:p>
    <w:p w14:paraId="5BF2907B">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监督投诉电话：0571-87800218 </w:t>
      </w:r>
    </w:p>
    <w:p w14:paraId="73B21E61">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政策咨询电话：</w:t>
      </w:r>
      <w:r>
        <w:rPr>
          <w:rFonts w:hint="eastAsia" w:ascii="仿宋" w:hAnsi="仿宋" w:eastAsia="仿宋" w:cs="仿宋"/>
          <w:color w:val="auto"/>
          <w:sz w:val="24"/>
          <w:highlight w:val="none"/>
        </w:rPr>
        <w:t>0571-82756122</w:t>
      </w:r>
      <w:r>
        <w:rPr>
          <w:rFonts w:hint="eastAsia" w:ascii="仿宋" w:hAnsi="仿宋" w:eastAsia="仿宋" w:cs="仿宋"/>
          <w:color w:val="auto"/>
          <w:sz w:val="24"/>
          <w:highlight w:val="none"/>
          <w:lang w:eastAsia="zh-CN"/>
        </w:rPr>
        <w:t>（汤先生）</w:t>
      </w:r>
    </w:p>
    <w:p w14:paraId="154BCA0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85F4AD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7CC9EE3">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7F45694">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564DA049">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5594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C3B12D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D80462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00F0FF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E93F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79E7AE">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001E72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6FDB2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41DD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861C1F">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0FC303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A3F457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rPr>
              <w:t>杭州市萧山区综合行政执法局2025年政府法律顾问服务</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租赁和商务服务业 </w:t>
            </w:r>
            <w:r>
              <w:rPr>
                <w:rFonts w:hint="eastAsia" w:ascii="仿宋" w:hAnsi="仿宋" w:eastAsia="仿宋" w:cs="仿宋"/>
                <w:color w:val="auto"/>
                <w:sz w:val="24"/>
                <w:highlight w:val="none"/>
              </w:rPr>
              <w:t>行业；</w:t>
            </w:r>
          </w:p>
          <w:p w14:paraId="04193B2A">
            <w:pPr>
              <w:rPr>
                <w:rFonts w:hint="eastAsia" w:ascii="仿宋" w:hAnsi="仿宋" w:eastAsia="仿宋" w:cs="仿宋"/>
                <w:color w:val="auto"/>
                <w:highlight w:val="none"/>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334B1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C6C9F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C76865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FC3CAE3">
            <w:pPr>
              <w:bidi w:val="0"/>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tc>
      </w:tr>
      <w:tr w14:paraId="45645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5BED14">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253FDD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AF4E935">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1059F6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注：不得限制大中型企业向小微企业合理分包。</w:t>
            </w:r>
          </w:p>
        </w:tc>
      </w:tr>
      <w:tr w14:paraId="13F74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BDBAD2">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327115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C1C0C">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6108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7791B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2CFEFC">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8ABFEA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47E0C50">
            <w:pPr>
              <w:spacing w:line="360" w:lineRule="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tc>
      </w:tr>
      <w:tr w14:paraId="26D89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EB02F2">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FC6C368">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DD5BA7C">
            <w:pPr>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szCs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tc>
      </w:tr>
      <w:tr w14:paraId="385B8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0B4584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50BB5A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4742F8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7CF2271B">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7390B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9B0985C">
            <w:pPr>
              <w:snapToGrid w:val="0"/>
              <w:spacing w:line="360" w:lineRule="auto"/>
              <w:jc w:val="center"/>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CE5D6B6">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5446C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single"/>
              </w:rPr>
              <w:t>。</w:t>
            </w:r>
          </w:p>
        </w:tc>
      </w:tr>
      <w:tr w14:paraId="79D41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E03058">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7DA6D1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18A129">
            <w:pPr>
              <w:snapToGrid/>
              <w:spacing w:line="360" w:lineRule="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tc>
      </w:tr>
      <w:tr w14:paraId="10C18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6D8BD4">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5174CC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3145F36">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277590C2">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579A5BD7">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7938FCE6">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4818BCD1">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17978C32">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3E1C3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160C08CF">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5E2C27A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8C6CE1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9677EF8">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26171E19">
            <w:pPr>
              <w:spacing w:after="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1D987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C53481">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1B9157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3E8EE33">
            <w:pPr>
              <w:pStyle w:val="34"/>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lang w:eastAsia="zh-CN"/>
              </w:rPr>
              <w:t>（</w:t>
            </w:r>
            <w:r>
              <w:rPr>
                <w:rFonts w:hint="eastAsia" w:ascii="仿宋" w:hAnsi="仿宋" w:eastAsia="仿宋" w:cs="仿宋"/>
                <w:color w:val="auto"/>
                <w:kern w:val="28"/>
                <w:sz w:val="24"/>
                <w:szCs w:val="24"/>
                <w:highlight w:val="none"/>
                <w:lang w:val="en-US" w:eastAsia="zh-CN"/>
              </w:rPr>
              <w:t>如</w:t>
            </w:r>
            <w:r>
              <w:rPr>
                <w:rFonts w:hint="eastAsia" w:ascii="仿宋" w:hAnsi="仿宋" w:eastAsia="仿宋" w:cs="仿宋"/>
                <w:color w:val="auto"/>
                <w:kern w:val="28"/>
                <w:sz w:val="24"/>
                <w:szCs w:val="24"/>
                <w:highlight w:val="none"/>
                <w:lang w:eastAsia="zh-CN"/>
              </w:rPr>
              <w:t>）</w:t>
            </w: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 xml:space="preserve"> 萧山区新塘街道通货路365号杭州火车南站东广场产业园1栋902室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 xml:space="preserve"> 孔益平、15167164267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65725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3891E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F68FBD0">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6E2F403">
            <w:pPr>
              <w:spacing w:after="0"/>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本项目的采购代理费及其他相关费用由成交人支付。代理费按计价格〔2002〕1980号文件服务类收费标准60%收取。结算方式及时间为：成交人在中标通知书发出时候按代理机构要求一次性向采购代理机构付清。</w:t>
            </w:r>
          </w:p>
        </w:tc>
      </w:tr>
      <w:tr w14:paraId="42839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A56F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6F8AB84">
            <w:pPr>
              <w:jc w:val="center"/>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C57C0D4">
            <w:pPr>
              <w:spacing w:after="0"/>
              <w:rPr>
                <w:rFonts w:hint="eastAsia" w:ascii="仿宋" w:hAnsi="仿宋" w:eastAsia="仿宋" w:cs="仿宋"/>
                <w:color w:val="auto"/>
                <w:highlight w:val="none"/>
              </w:rPr>
            </w:pPr>
            <w:r>
              <w:rPr>
                <w:rFonts w:hint="eastAsia" w:ascii="仿宋" w:hAnsi="仿宋" w:eastAsia="仿宋" w:cs="仿宋"/>
                <w:color w:val="auto"/>
                <w:sz w:val="24"/>
                <w:szCs w:val="24"/>
                <w:highlight w:val="none"/>
              </w:rPr>
              <w:t>本项目由采购人进行资格文件及信用信息查询。</w:t>
            </w:r>
          </w:p>
        </w:tc>
      </w:tr>
      <w:tr w14:paraId="368F8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474D7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2330DD5">
            <w:pPr>
              <w:jc w:val="center"/>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3A77E5B">
            <w:pPr>
              <w:snapToGrid w:val="0"/>
              <w:spacing w:after="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5F1A322C">
            <w:pPr>
              <w:snapToGrid w:val="0"/>
              <w:spacing w:after="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4BFFC645">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rPr>
              <w:t>采购人</w:t>
            </w:r>
            <w:r>
              <w:rPr>
                <w:rFonts w:hint="eastAsia" w:ascii="仿宋" w:hAnsi="仿宋" w:eastAsia="仿宋" w:cs="仿宋"/>
                <w:color w:val="auto"/>
                <w:sz w:val="24"/>
                <w:szCs w:val="24"/>
                <w:highlight w:val="none"/>
              </w:rPr>
              <w:t>进行答复。</w:t>
            </w:r>
          </w:p>
          <w:p w14:paraId="5B88358B">
            <w:pPr>
              <w:spacing w:after="0"/>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rPr>
              <w:t>涉及流程规范性、组织程序等相关事项，由</w:t>
            </w:r>
            <w:r>
              <w:rPr>
                <w:rFonts w:hint="eastAsia" w:ascii="仿宋" w:hAnsi="仿宋" w:eastAsia="仿宋" w:cs="仿宋"/>
                <w:b/>
                <w:bCs/>
                <w:color w:val="auto"/>
                <w:sz w:val="24"/>
                <w:szCs w:val="24"/>
                <w:highlight w:val="none"/>
              </w:rPr>
              <w:t>采购</w:t>
            </w:r>
            <w:r>
              <w:rPr>
                <w:rFonts w:hint="eastAsia" w:ascii="仿宋" w:hAnsi="仿宋" w:eastAsia="仿宋" w:cs="仿宋"/>
                <w:b/>
                <w:bCs/>
                <w:color w:val="auto"/>
                <w:sz w:val="24"/>
                <w:szCs w:val="24"/>
                <w:highlight w:val="none"/>
                <w:lang w:eastAsia="zh-CN"/>
              </w:rPr>
              <w:t>代理</w:t>
            </w:r>
            <w:r>
              <w:rPr>
                <w:rFonts w:hint="eastAsia" w:ascii="仿宋" w:hAnsi="仿宋" w:eastAsia="仿宋" w:cs="仿宋"/>
                <w:b/>
                <w:bCs/>
                <w:color w:val="auto"/>
                <w:sz w:val="24"/>
                <w:szCs w:val="24"/>
                <w:highlight w:val="none"/>
              </w:rPr>
              <w:t>机构</w:t>
            </w:r>
            <w:r>
              <w:rPr>
                <w:rFonts w:hint="eastAsia" w:ascii="仿宋" w:hAnsi="仿宋" w:eastAsia="仿宋" w:cs="仿宋"/>
                <w:color w:val="auto"/>
                <w:sz w:val="24"/>
                <w:szCs w:val="24"/>
                <w:highlight w:val="none"/>
              </w:rPr>
              <w:t>进行答复。</w:t>
            </w:r>
          </w:p>
        </w:tc>
      </w:tr>
      <w:tr w14:paraId="518D0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1753B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313C46E">
            <w:pPr>
              <w:jc w:val="center"/>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192C3204">
            <w:pPr>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6AC1F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6074C59">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12416E2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9DF3644">
            <w:pPr>
              <w:pStyle w:val="4"/>
              <w:ind w:left="0" w:leftChars="0" w:firstLine="0" w:firstLineChars="0"/>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41BDE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4AE56F7">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0B126214">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61D19BB">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147DD1F5">
            <w:pPr>
              <w:pStyle w:val="4"/>
              <w:ind w:left="0" w:leftChars="0" w:firstLine="0" w:firstLineChars="0"/>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eastAsia="zh-CN" w:bidi="ar-SA"/>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6F3CE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17A505A">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7E4BD074">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69AC6F2">
            <w:pPr>
              <w:spacing w:line="360" w:lineRule="auto"/>
              <w:rPr>
                <w:rFonts w:hint="eastAsia" w:ascii="仿宋" w:hAnsi="仿宋" w:eastAsia="仿宋" w:cs="仿宋"/>
                <w:b/>
                <w:bCs/>
                <w:color w:val="auto"/>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tr w14:paraId="7A913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20E77F75">
            <w:pPr>
              <w:snapToGrid w:val="0"/>
              <w:spacing w:line="360" w:lineRule="auto"/>
              <w:jc w:val="center"/>
              <w:rPr>
                <w:rFonts w:hint="eastAsia" w:ascii="仿宋" w:hAnsi="仿宋" w:eastAsia="仿宋" w:cs="仿宋"/>
                <w:color w:val="auto"/>
                <w:sz w:val="24"/>
                <w:highlight w:val="none"/>
              </w:rPr>
            </w:pPr>
            <w:bookmarkStart w:id="8" w:name="第三部分"/>
            <w:bookmarkStart w:id="9" w:name="_Toc164416483"/>
          </w:p>
        </w:tc>
        <w:tc>
          <w:tcPr>
            <w:tcW w:w="1843" w:type="dxa"/>
            <w:tcBorders>
              <w:left w:val="single" w:color="000000" w:sz="2" w:space="0"/>
              <w:bottom w:val="single" w:color="000000" w:sz="8" w:space="0"/>
              <w:right w:val="single" w:color="000000" w:sz="8" w:space="0"/>
            </w:tcBorders>
            <w:vAlign w:val="center"/>
          </w:tcPr>
          <w:p w14:paraId="04336BFA">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3D1EE3B">
            <w:pPr>
              <w:pStyle w:val="34"/>
              <w:kinsoku/>
              <w:wordWrap/>
              <w:overflowPunct/>
              <w:topLinePunct w:val="0"/>
              <w:bidi w:val="0"/>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以联合体形式投标的，除联合协议、符合参加政府采购活动应当具备的一般条件的承诺函、中小企业声明函、授权委托书之外的需盖章处仅由联合体牵头人加盖单位印章即可。</w:t>
            </w:r>
          </w:p>
          <w:p w14:paraId="4C3C8B99">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tc>
      </w:tr>
      <w:bookmarkEnd w:id="6"/>
    </w:tbl>
    <w:p w14:paraId="157791BA">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0E527539">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E2391BC">
      <w:pPr>
        <w:snapToGrid w:val="0"/>
        <w:spacing w:line="360" w:lineRule="auto"/>
        <w:jc w:val="left"/>
        <w:outlineLvl w:val="1"/>
        <w:rPr>
          <w:rFonts w:hint="eastAsia"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1. 适用范围</w:t>
      </w:r>
    </w:p>
    <w:p w14:paraId="4F8B1A2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B43F86D">
      <w:pPr>
        <w:numPr>
          <w:ilvl w:val="0"/>
          <w:numId w:val="2"/>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11B2BA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7A2A7B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350630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02504F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13591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7073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09F84A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14AF5BA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52ECB43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61F5003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FA238D6">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42278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BB7CD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3178CA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39BD3B8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1A1290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81CF6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5B4CC6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8929AB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926FE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2F2CD5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294DA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EB843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1466A27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A93AE24">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411258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6F1CC0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73CB804C">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6A9E751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61955E79">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2D4B37A6">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0157CDC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418E03">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6FC0856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92B859B">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737E7F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081E19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171F7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768DD775">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50581640">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1DD07575">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11A75DAF">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710613E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115C067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761BFA35">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33A7638E">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5EB165AE">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319C664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064BA07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DF28AF7">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080F06B6">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1F408C58">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0959A348">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229FA42E">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01C233D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4FBD6B7A">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杭州市上城区清泰街549号城建综合大楼11楼（快递仅限ems或顺丰），</w:t>
      </w:r>
      <w:r>
        <w:rPr>
          <w:rFonts w:hint="eastAsia" w:ascii="仿宋" w:hAnsi="仿宋" w:eastAsia="仿宋" w:cs="仿宋"/>
          <w:color w:val="auto"/>
          <w:highlight w:val="none"/>
        </w:rPr>
        <w:t>收件人：朱老师，电话：0571-87800218。</w:t>
      </w:r>
    </w:p>
    <w:p w14:paraId="55BA7B98">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796006DC">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581A2C38">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1D005BF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5628B37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0A31527B">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41DBE949">
      <w:pPr>
        <w:pStyle w:val="34"/>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29F95593">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309EF50D">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258229B">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0A84AA77">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0779BC6">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64CFB2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4BCCD07F">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395F616B">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100DE191">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D966F63">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6F4D10EE">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3EE926AC">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2D632FE1">
      <w:pPr>
        <w:pStyle w:val="34"/>
        <w:numPr>
          <w:ilvl w:val="0"/>
          <w:numId w:val="3"/>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3C67A94E">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249B680">
      <w:pPr>
        <w:pStyle w:val="34"/>
        <w:numPr>
          <w:ilvl w:val="0"/>
          <w:numId w:val="3"/>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19B4767C">
      <w:pPr>
        <w:pStyle w:val="1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7EC4C2FD">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8C9AD90">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4A111230">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73FCC37E">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highlight w:val="none"/>
        </w:rPr>
        <w:t>▲投标文件至少应包括以下文件。</w:t>
      </w:r>
    </w:p>
    <w:p w14:paraId="3A120DB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D93C73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32523D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2C41CAAD">
      <w:pPr>
        <w:snapToGrid w:val="0"/>
        <w:spacing w:line="360" w:lineRule="auto"/>
        <w:ind w:firstLine="960" w:firstLineChars="4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b/>
          <w:bCs/>
          <w:color w:val="auto"/>
          <w:sz w:val="24"/>
          <w:highlight w:val="none"/>
        </w:rPr>
        <w:t>（注意：本项目专门面向中小企业，必须按规定提供中小企业声明函）</w:t>
      </w:r>
    </w:p>
    <w:p w14:paraId="00F9287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p>
    <w:p w14:paraId="6A330042">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3B349BC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6DD664A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60158A3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97D15B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7783C06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C21B9F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EF2214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2AA10E80">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070D8773">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EC1849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69B45B4">
      <w:pPr>
        <w:pStyle w:val="964"/>
        <w:adjustRightInd w:val="0"/>
        <w:spacing w:line="360" w:lineRule="auto"/>
        <w:ind w:firstLine="960" w:firstLineChars="400"/>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3CC75D9A">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E1059E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7D6CBD05">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452AE997">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61FFAA88">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378E147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2EE622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AF6246A">
      <w:pPr>
        <w:numPr>
          <w:ilvl w:val="0"/>
          <w:numId w:val="4"/>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2EE36DD2">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243B79A">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4A1B0AD">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102BE155">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58E181E6">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4DC9FE4">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539A1B1">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65BF991">
      <w:pPr>
        <w:pStyle w:val="34"/>
        <w:numPr>
          <w:ilvl w:val="0"/>
          <w:numId w:val="5"/>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46F86685">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2D3DFE65">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6222DC2A">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CA25B46">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259AC6D">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0B33DC66">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1B534C26">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3792626D">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721494F9">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09399CA5">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9F12600">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2D5022B">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70B6BA6C">
      <w:pPr>
        <w:pStyle w:val="128"/>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4EF881E4">
      <w:pPr>
        <w:pStyle w:val="554"/>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6F33ACE0">
      <w:pPr>
        <w:pStyle w:val="5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36AFF31E">
      <w:pPr>
        <w:pStyle w:val="55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7D7BC06E">
      <w:pPr>
        <w:pStyle w:val="55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412557B3">
      <w:pPr>
        <w:pStyle w:val="128"/>
        <w:spacing w:before="0"/>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五</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资格审查</w:t>
      </w:r>
    </w:p>
    <w:p w14:paraId="3A71EFE0">
      <w:pPr>
        <w:widowControl/>
        <w:numPr>
          <w:ilvl w:val="0"/>
          <w:numId w:val="7"/>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0389B5C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6AC89D67">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13CF23EA">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074ABE27">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154B19D7">
      <w:pPr>
        <w:pStyle w:val="128"/>
        <w:numPr>
          <w:ilvl w:val="0"/>
          <w:numId w:val="7"/>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1C96088B">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36744E35">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27888B7">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ED79486">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353C38C">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、评标</w:t>
      </w:r>
    </w:p>
    <w:p w14:paraId="39B8AD4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639D64B3">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、定标</w:t>
      </w:r>
    </w:p>
    <w:p w14:paraId="2B8E7043">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3A63ADAF">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34C2CBC9">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4FC2E9EE">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F409B48">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4D51D19">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3F51C3A">
      <w:pPr>
        <w:pStyle w:val="4"/>
        <w:tabs>
          <w:tab w:val="clear" w:pos="432"/>
        </w:tabs>
        <w:ind w:left="12" w:hanging="12"/>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zh-CN" w:eastAsia="zh-CN" w:bidi="ar-SA"/>
        </w:rPr>
        <w:t>24.</w:t>
      </w:r>
      <w:r>
        <w:rPr>
          <w:rFonts w:hint="eastAsia" w:ascii="仿宋" w:hAnsi="仿宋" w:eastAsia="仿宋" w:cs="仿宋"/>
          <w:b/>
          <w:bCs/>
          <w:color w:val="auto"/>
          <w:kern w:val="2"/>
          <w:sz w:val="24"/>
          <w:szCs w:val="24"/>
          <w:highlight w:val="none"/>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3461FA28">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八</w:t>
      </w:r>
      <w:r>
        <w:rPr>
          <w:rFonts w:hint="eastAsia" w:ascii="仿宋" w:hAnsi="仿宋" w:eastAsia="仿宋" w:cs="仿宋"/>
          <w:b/>
          <w:color w:val="auto"/>
          <w:sz w:val="32"/>
          <w:highlight w:val="none"/>
        </w:rPr>
        <w:t>、合同授予</w:t>
      </w:r>
    </w:p>
    <w:p w14:paraId="6E4B070D">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19F5C892">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38841B73">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A172649">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73423482">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756A55AF">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455E3607">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087CD180">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3A60698D">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2AAFC746">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1F7F26B5">
      <w:pPr>
        <w:pStyle w:val="4"/>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48ED3371">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71EB6230">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九</w:t>
      </w:r>
      <w:r>
        <w:rPr>
          <w:rFonts w:hint="eastAsia" w:ascii="仿宋" w:hAnsi="仿宋" w:eastAsia="仿宋" w:cs="仿宋"/>
          <w:b/>
          <w:color w:val="auto"/>
          <w:sz w:val="32"/>
          <w:highlight w:val="none"/>
        </w:rPr>
        <w:t>、电子交易活动的中止</w:t>
      </w:r>
    </w:p>
    <w:p w14:paraId="6C825F84">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6D9B374B">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25819B94">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68AB4331">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5B5B99E0">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0D1F59DE">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35F9FCF9">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55B94C0">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十</w:t>
      </w:r>
      <w:r>
        <w:rPr>
          <w:rFonts w:hint="eastAsia" w:ascii="仿宋" w:hAnsi="仿宋" w:eastAsia="仿宋" w:cs="仿宋"/>
          <w:b/>
          <w:color w:val="auto"/>
          <w:sz w:val="32"/>
          <w:highlight w:val="none"/>
        </w:rPr>
        <w:t>、验收</w:t>
      </w:r>
    </w:p>
    <w:p w14:paraId="6BAA3972">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441FE4D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AB8DF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44F718D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0FD68C">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highlight w:val="none"/>
          <w:lang w:eastAsia="zh-CN"/>
        </w:rPr>
        <w:t>。</w:t>
      </w:r>
    </w:p>
    <w:bookmarkEnd w:id="8"/>
    <w:bookmarkEnd w:id="9"/>
    <w:bookmarkEnd w:id="10"/>
    <w:p w14:paraId="0FF3DE6F">
      <w:pPr>
        <w:widowControl/>
        <w:adjustRightInd/>
        <w:jc w:val="left"/>
        <w:rPr>
          <w:rFonts w:hint="eastAsia" w:ascii="仿宋" w:hAnsi="仿宋" w:eastAsia="仿宋" w:cs="仿宋"/>
          <w:color w:val="auto"/>
          <w:kern w:val="0"/>
          <w:sz w:val="24"/>
          <w:highlight w:val="none"/>
        </w:rPr>
      </w:pPr>
      <w:bookmarkStart w:id="14" w:name="_Hlt68057669"/>
      <w:bookmarkEnd w:id="14"/>
      <w:bookmarkStart w:id="15" w:name="_Hlt75236011"/>
      <w:bookmarkEnd w:id="15"/>
      <w:bookmarkStart w:id="16" w:name="_Hlt74714665"/>
      <w:bookmarkEnd w:id="16"/>
      <w:bookmarkStart w:id="17" w:name="_Hlt74729768"/>
      <w:bookmarkEnd w:id="17"/>
      <w:bookmarkStart w:id="18" w:name="_Hlt68073093"/>
      <w:bookmarkEnd w:id="18"/>
      <w:bookmarkStart w:id="19" w:name="_Hlt68403820"/>
      <w:bookmarkEnd w:id="19"/>
      <w:bookmarkStart w:id="20" w:name="_Hlt75236101"/>
      <w:bookmarkEnd w:id="20"/>
      <w:bookmarkStart w:id="21" w:name="_Hlt68072998"/>
      <w:bookmarkEnd w:id="21"/>
      <w:bookmarkStart w:id="22" w:name="_Hlt74730295"/>
      <w:bookmarkEnd w:id="22"/>
      <w:bookmarkStart w:id="23" w:name="_Hlt74707468"/>
      <w:bookmarkEnd w:id="23"/>
      <w:bookmarkStart w:id="24" w:name="_Hlt75236290"/>
      <w:bookmarkEnd w:id="24"/>
      <w:bookmarkStart w:id="25" w:name="_Hlt68072990"/>
      <w:bookmarkEnd w:id="25"/>
      <w:bookmarkStart w:id="26" w:name="第四部分"/>
      <w:r>
        <w:rPr>
          <w:rFonts w:hint="eastAsia" w:ascii="仿宋" w:hAnsi="仿宋" w:eastAsia="仿宋" w:cs="仿宋"/>
          <w:color w:val="auto"/>
          <w:kern w:val="0"/>
          <w:sz w:val="24"/>
          <w:highlight w:val="none"/>
        </w:rPr>
        <w:br w:type="page"/>
      </w:r>
    </w:p>
    <w:p w14:paraId="7D8DF46E">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6480D414">
      <w:pPr>
        <w:snapToGrid w:val="0"/>
        <w:rPr>
          <w:rStyle w:val="962"/>
          <w:rFonts w:hint="eastAsia" w:ascii="仿宋" w:hAnsi="仿宋" w:eastAsia="仿宋" w:cs="仿宋"/>
          <w:i w:val="0"/>
          <w:iCs w:val="0"/>
          <w:color w:val="auto"/>
          <w:highlight w:val="none"/>
        </w:rPr>
      </w:pPr>
      <w:r>
        <w:rPr>
          <w:rStyle w:val="962"/>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3DB0EFE7">
      <w:pPr>
        <w:pStyle w:val="4"/>
        <w:keepNext/>
        <w:keepLines/>
        <w:pageBreakBefore w:val="0"/>
        <w:widowControl w:val="0"/>
        <w:numPr>
          <w:ilvl w:val="0"/>
          <w:numId w:val="0"/>
        </w:numPr>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highlight w:val="none"/>
          <w:shd w:val="clear" w:color="auto" w:fill="auto"/>
        </w:rPr>
      </w:pPr>
      <w:bookmarkStart w:id="27" w:name="_Toc21755"/>
      <w:bookmarkStart w:id="28" w:name="_Toc418846105"/>
      <w:bookmarkStart w:id="29" w:name="_Toc22609"/>
      <w:bookmarkStart w:id="30" w:name="_Toc30857"/>
      <w:bookmarkStart w:id="31" w:name="_Toc32166"/>
      <w:bookmarkStart w:id="32" w:name="_Toc12471"/>
    </w:p>
    <w:p w14:paraId="5C8B3BB1">
      <w:pPr>
        <w:pStyle w:val="4"/>
        <w:keepNext/>
        <w:keepLines/>
        <w:pageBreakBefore w:val="0"/>
        <w:widowControl w:val="0"/>
        <w:numPr>
          <w:ilvl w:val="0"/>
          <w:numId w:val="0"/>
        </w:numPr>
        <w:kinsoku/>
        <w:wordWrap/>
        <w:overflowPunct/>
        <w:topLinePunct w:val="0"/>
        <w:autoSpaceDE/>
        <w:autoSpaceDN/>
        <w:bidi w:val="0"/>
        <w:adjustRightInd w:val="0"/>
        <w:snapToGrid w:val="0"/>
        <w:spacing w:line="500" w:lineRule="exact"/>
        <w:ind w:left="0" w:leftChars="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一、项目概况</w:t>
      </w:r>
      <w:bookmarkEnd w:id="27"/>
      <w:bookmarkEnd w:id="28"/>
      <w:bookmarkEnd w:id="29"/>
      <w:bookmarkEnd w:id="30"/>
      <w:bookmarkEnd w:id="31"/>
    </w:p>
    <w:p w14:paraId="1ABDEBA2">
      <w:pPr>
        <w:pageBreakBefore w:val="0"/>
        <w:widowControl w:val="0"/>
        <w:tabs>
          <w:tab w:val="left" w:pos="0"/>
        </w:tabs>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shd w:val="clear" w:color="auto" w:fill="auto"/>
        </w:rPr>
      </w:pPr>
      <w:bookmarkStart w:id="33" w:name="_Toc418846106"/>
      <w:r>
        <w:rPr>
          <w:rFonts w:hint="eastAsia" w:ascii="仿宋" w:hAnsi="仿宋" w:eastAsia="仿宋" w:cs="仿宋"/>
          <w:color w:val="auto"/>
          <w:sz w:val="24"/>
          <w:highlight w:val="none"/>
          <w:shd w:val="clear" w:color="auto" w:fill="auto"/>
        </w:rPr>
        <w:t>1、项目名称：杭州市萧山区综合行政执法局2025年政府法律顾问服务。</w:t>
      </w:r>
    </w:p>
    <w:p w14:paraId="70492214">
      <w:pPr>
        <w:pageBreakBefore w:val="0"/>
        <w:widowControl w:val="0"/>
        <w:tabs>
          <w:tab w:val="left" w:pos="0"/>
        </w:tabs>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shd w:val="clear" w:color="auto" w:fill="auto"/>
        </w:rPr>
        <w:t>2、</w:t>
      </w:r>
      <w:bookmarkEnd w:id="33"/>
      <w:r>
        <w:rPr>
          <w:rFonts w:hint="eastAsia" w:ascii="仿宋" w:hAnsi="仿宋" w:eastAsia="仿宋" w:cs="仿宋"/>
          <w:color w:val="auto"/>
          <w:sz w:val="24"/>
          <w:highlight w:val="none"/>
          <w:lang w:val="en-US" w:eastAsia="zh-CN"/>
        </w:rPr>
        <w:t>项目基本内容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根据采购人要求，提供专业法律顾问团队，</w:t>
      </w:r>
      <w:r>
        <w:rPr>
          <w:rFonts w:hint="eastAsia" w:ascii="仿宋" w:hAnsi="仿宋" w:eastAsia="仿宋" w:cs="仿宋"/>
          <w:bCs/>
          <w:snapToGrid/>
          <w:color w:val="auto"/>
          <w:kern w:val="2"/>
          <w:sz w:val="24"/>
          <w:szCs w:val="24"/>
          <w:highlight w:val="none"/>
          <w:lang w:val="en-US" w:eastAsia="zh-CN"/>
        </w:rPr>
        <w:t>为采购人提供城市管理、综合行政执法领域的法律咨询服务与诉讼法律服务。包括</w:t>
      </w:r>
      <w:r>
        <w:rPr>
          <w:rFonts w:hint="eastAsia" w:ascii="仿宋" w:hAnsi="仿宋" w:eastAsia="仿宋" w:cs="仿宋"/>
          <w:bCs/>
          <w:snapToGrid/>
          <w:color w:val="auto"/>
          <w:kern w:val="2"/>
          <w:sz w:val="24"/>
          <w:szCs w:val="24"/>
          <w:highlight w:val="none"/>
        </w:rPr>
        <w:t>协助完成行政合同审核、</w:t>
      </w:r>
      <w:r>
        <w:rPr>
          <w:rFonts w:hint="eastAsia" w:ascii="仿宋" w:hAnsi="仿宋" w:eastAsia="仿宋" w:cs="仿宋"/>
          <w:bCs/>
          <w:snapToGrid/>
          <w:color w:val="auto"/>
          <w:kern w:val="2"/>
          <w:sz w:val="24"/>
          <w:szCs w:val="24"/>
          <w:highlight w:val="none"/>
          <w:lang w:val="en-US" w:eastAsia="zh-CN"/>
        </w:rPr>
        <w:t>规范性文件审查、公平竞争审查</w:t>
      </w:r>
      <w:r>
        <w:rPr>
          <w:rFonts w:hint="eastAsia" w:ascii="仿宋" w:hAnsi="仿宋" w:eastAsia="仿宋" w:cs="仿宋"/>
          <w:bCs/>
          <w:snapToGrid/>
          <w:color w:val="auto"/>
          <w:kern w:val="2"/>
          <w:sz w:val="24"/>
          <w:szCs w:val="24"/>
          <w:highlight w:val="none"/>
        </w:rPr>
        <w:t>；</w:t>
      </w:r>
      <w:r>
        <w:rPr>
          <w:rFonts w:hint="eastAsia" w:ascii="仿宋" w:hAnsi="仿宋" w:eastAsia="仿宋" w:cs="仿宋"/>
          <w:bCs/>
          <w:snapToGrid/>
          <w:color w:val="auto"/>
          <w:kern w:val="2"/>
          <w:sz w:val="24"/>
          <w:szCs w:val="24"/>
          <w:highlight w:val="none"/>
          <w:lang w:val="en-US" w:eastAsia="zh-CN"/>
        </w:rPr>
        <w:t>协助</w:t>
      </w:r>
      <w:r>
        <w:rPr>
          <w:rFonts w:hint="eastAsia" w:ascii="仿宋" w:hAnsi="仿宋" w:eastAsia="仿宋" w:cs="仿宋"/>
          <w:bCs/>
          <w:snapToGrid/>
          <w:color w:val="auto"/>
          <w:kern w:val="2"/>
          <w:sz w:val="24"/>
          <w:szCs w:val="24"/>
          <w:highlight w:val="none"/>
        </w:rPr>
        <w:t>处理重大行政复议、诉讼、仲裁案件，</w:t>
      </w:r>
      <w:r>
        <w:rPr>
          <w:rFonts w:hint="eastAsia" w:ascii="仿宋" w:hAnsi="仿宋" w:eastAsia="仿宋" w:cs="仿宋"/>
          <w:bCs/>
          <w:snapToGrid/>
          <w:color w:val="auto"/>
          <w:kern w:val="2"/>
          <w:sz w:val="24"/>
          <w:szCs w:val="24"/>
          <w:highlight w:val="none"/>
          <w:lang w:val="en-US" w:eastAsia="zh-CN"/>
        </w:rPr>
        <w:t>提供</w:t>
      </w:r>
      <w:r>
        <w:rPr>
          <w:rFonts w:hint="eastAsia" w:ascii="仿宋" w:hAnsi="仿宋" w:eastAsia="仿宋" w:cs="仿宋"/>
          <w:bCs/>
          <w:snapToGrid/>
          <w:color w:val="auto"/>
          <w:kern w:val="2"/>
          <w:sz w:val="24"/>
          <w:szCs w:val="24"/>
          <w:highlight w:val="none"/>
        </w:rPr>
        <w:t>法律意见</w:t>
      </w:r>
      <w:r>
        <w:rPr>
          <w:rFonts w:hint="eastAsia" w:ascii="仿宋" w:hAnsi="仿宋" w:eastAsia="仿宋" w:cs="仿宋"/>
          <w:bCs/>
          <w:snapToGrid/>
          <w:color w:val="auto"/>
          <w:kern w:val="2"/>
          <w:sz w:val="24"/>
          <w:szCs w:val="24"/>
          <w:highlight w:val="none"/>
          <w:lang w:val="en-US" w:eastAsia="zh-CN"/>
        </w:rPr>
        <w:t>与代理服务及</w:t>
      </w:r>
      <w:r>
        <w:rPr>
          <w:rFonts w:hint="eastAsia" w:ascii="仿宋" w:hAnsi="仿宋" w:eastAsia="仿宋" w:cs="仿宋"/>
          <w:bCs/>
          <w:snapToGrid/>
          <w:color w:val="auto"/>
          <w:kern w:val="2"/>
          <w:sz w:val="24"/>
          <w:szCs w:val="24"/>
          <w:highlight w:val="none"/>
        </w:rPr>
        <w:t>办理</w:t>
      </w:r>
      <w:r>
        <w:rPr>
          <w:rFonts w:hint="eastAsia" w:ascii="仿宋" w:hAnsi="仿宋" w:eastAsia="仿宋" w:cs="仿宋"/>
          <w:bCs/>
          <w:snapToGrid/>
          <w:color w:val="auto"/>
          <w:kern w:val="2"/>
          <w:sz w:val="24"/>
          <w:szCs w:val="24"/>
          <w:highlight w:val="none"/>
          <w:lang w:eastAsia="zh-Hans"/>
        </w:rPr>
        <w:t>区</w:t>
      </w:r>
      <w:r>
        <w:rPr>
          <w:rFonts w:hint="eastAsia" w:ascii="仿宋" w:hAnsi="仿宋" w:eastAsia="仿宋" w:cs="仿宋"/>
          <w:bCs/>
          <w:snapToGrid/>
          <w:color w:val="auto"/>
          <w:kern w:val="2"/>
          <w:sz w:val="24"/>
          <w:szCs w:val="24"/>
          <w:highlight w:val="none"/>
          <w:lang w:val="en-US" w:eastAsia="zh-CN"/>
        </w:rPr>
        <w:t>综合行政执法</w:t>
      </w:r>
      <w:r>
        <w:rPr>
          <w:rFonts w:hint="eastAsia" w:ascii="仿宋" w:hAnsi="仿宋" w:eastAsia="仿宋" w:cs="仿宋"/>
          <w:bCs/>
          <w:snapToGrid/>
          <w:color w:val="auto"/>
          <w:kern w:val="2"/>
          <w:sz w:val="24"/>
          <w:szCs w:val="24"/>
          <w:highlight w:val="none"/>
          <w:lang w:eastAsia="zh-Hans"/>
        </w:rPr>
        <w:t>局</w:t>
      </w:r>
      <w:r>
        <w:rPr>
          <w:rFonts w:hint="eastAsia" w:ascii="仿宋" w:hAnsi="仿宋" w:eastAsia="仿宋" w:cs="仿宋"/>
          <w:bCs/>
          <w:snapToGrid/>
          <w:color w:val="auto"/>
          <w:kern w:val="2"/>
          <w:sz w:val="24"/>
          <w:szCs w:val="24"/>
          <w:highlight w:val="none"/>
        </w:rPr>
        <w:t>委托的其他常规性法律事务。</w:t>
      </w:r>
    </w:p>
    <w:p w14:paraId="1965848D">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3、服务期：整体服务期为一年</w:t>
      </w:r>
      <w:r>
        <w:rPr>
          <w:rFonts w:hint="eastAsia" w:ascii="仿宋" w:hAnsi="仿宋" w:eastAsia="仿宋" w:cs="仿宋"/>
          <w:color w:val="auto"/>
          <w:sz w:val="24"/>
          <w:highlight w:val="none"/>
        </w:rPr>
        <w:t>。在服务期内，成交供应商接受采购人具体项目委托，并根据采购人的时间计划安排相关工作</w:t>
      </w:r>
      <w:r>
        <w:rPr>
          <w:rFonts w:hint="eastAsia" w:ascii="仿宋" w:hAnsi="仿宋" w:eastAsia="仿宋" w:cs="仿宋"/>
          <w:color w:val="auto"/>
          <w:sz w:val="24"/>
          <w:highlight w:val="none"/>
          <w:lang w:eastAsia="zh-CN"/>
        </w:rPr>
        <w:t>。</w:t>
      </w:r>
    </w:p>
    <w:p w14:paraId="4C78C829">
      <w:pPr>
        <w:pStyle w:val="4"/>
        <w:keepNext/>
        <w:keepLines/>
        <w:pageBreakBefore w:val="0"/>
        <w:widowControl w:val="0"/>
        <w:numPr>
          <w:ilvl w:val="0"/>
          <w:numId w:val="0"/>
        </w:numPr>
        <w:kinsoku/>
        <w:wordWrap/>
        <w:overflowPunct/>
        <w:topLinePunct w:val="0"/>
        <w:autoSpaceDE/>
        <w:autoSpaceDN/>
        <w:bidi w:val="0"/>
        <w:adjustRightInd w:val="0"/>
        <w:snapToGrid w:val="0"/>
        <w:spacing w:line="500" w:lineRule="exact"/>
        <w:ind w:left="0" w:leftChars="0"/>
        <w:textAlignment w:val="auto"/>
        <w:rPr>
          <w:rFonts w:hint="eastAsia" w:ascii="仿宋" w:hAnsi="仿宋" w:eastAsia="仿宋" w:cs="仿宋"/>
          <w:color w:val="auto"/>
          <w:sz w:val="24"/>
          <w:szCs w:val="24"/>
          <w:highlight w:val="none"/>
          <w:shd w:val="clear" w:color="auto" w:fill="auto"/>
          <w:lang w:val="en-US" w:eastAsia="zh-CN"/>
        </w:rPr>
      </w:pPr>
      <w:bookmarkStart w:id="34" w:name="_Toc3454"/>
      <w:r>
        <w:rPr>
          <w:rFonts w:hint="eastAsia" w:ascii="仿宋" w:hAnsi="仿宋" w:eastAsia="仿宋" w:cs="仿宋"/>
          <w:color w:val="auto"/>
          <w:sz w:val="24"/>
          <w:szCs w:val="24"/>
          <w:highlight w:val="none"/>
          <w:shd w:val="clear" w:color="auto" w:fill="auto"/>
          <w:lang w:val="en-US" w:eastAsia="zh-CN"/>
        </w:rPr>
        <w:t>二、服务要求</w:t>
      </w:r>
      <w:bookmarkEnd w:id="34"/>
    </w:p>
    <w:p w14:paraId="6126E9F4">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（一）工作职责</w:t>
      </w:r>
    </w:p>
    <w:p w14:paraId="11F525DA">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color w:val="auto"/>
          <w:sz w:val="24"/>
          <w:highlight w:val="none"/>
          <w:lang w:val="en-US" w:eastAsia="zh-CN"/>
        </w:rPr>
        <w:t>1、</w:t>
      </w:r>
      <w:r>
        <w:rPr>
          <w:rFonts w:hint="eastAsia" w:ascii="仿宋" w:hAnsi="仿宋" w:eastAsia="仿宋" w:cs="仿宋"/>
          <w:snapToGrid w:val="0"/>
          <w:color w:val="auto"/>
          <w:kern w:val="2"/>
          <w:sz w:val="24"/>
          <w:szCs w:val="21"/>
          <w:highlight w:val="none"/>
          <w:lang w:val="en-US" w:eastAsia="zh-CN" w:bidi="ar-SA"/>
        </w:rPr>
        <w:t>提供日常法律事务咨询服务，承担调查研究、评估论证并出具法律意见；</w:t>
      </w:r>
    </w:p>
    <w:p w14:paraId="60A3CDD7">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kern w:val="2"/>
          <w:sz w:val="24"/>
          <w:szCs w:val="21"/>
          <w:highlight w:val="none"/>
          <w:lang w:val="en-US" w:eastAsia="zh-CN" w:bidi="ar-SA"/>
        </w:rPr>
        <w:t>2、</w:t>
      </w:r>
      <w:r>
        <w:rPr>
          <w:rFonts w:hint="eastAsia" w:ascii="仿宋" w:hAnsi="仿宋" w:eastAsia="仿宋" w:cs="仿宋"/>
          <w:color w:val="auto"/>
          <w:sz w:val="24"/>
          <w:highlight w:val="none"/>
          <w:lang w:val="en-US" w:eastAsia="zh-CN"/>
        </w:rPr>
        <w:t>对区综合行政执法局重大改革、重大决策、重大行政行为、重大资产处置和重大民生项目等进行法律论证，提供法律意见；</w:t>
      </w:r>
    </w:p>
    <w:p w14:paraId="25B76085">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3、参与规范性文件送审稿的起草、论证、合法合规性审查；参与规范性文件、其他政策措施项目的公平竞争审查；</w:t>
      </w:r>
    </w:p>
    <w:p w14:paraId="6BE0FDE8">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4、参与处理重大行政复议、诉讼、仲裁、疑难信访案件，或者提交法律意见；</w:t>
      </w:r>
    </w:p>
    <w:p w14:paraId="582098D9">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5、参与合作项目的洽谈，协助起草、修改、审查重要的法律文书或者以区综合行政执法局为一方当事人的重大合同审查； </w:t>
      </w:r>
    </w:p>
    <w:p w14:paraId="0766F2D9">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6、为处置涉法涉诉案件、信访案件和重大突发事件等提供法律服务；</w:t>
      </w:r>
    </w:p>
    <w:p w14:paraId="39741039">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7、代理参加复议、诉讼、仲裁案件以及其它民事案件；</w:t>
      </w:r>
    </w:p>
    <w:p w14:paraId="7DCE28E7">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snapToGrid w:val="0"/>
          <w:color w:val="auto"/>
          <w:kern w:val="2"/>
          <w:sz w:val="24"/>
          <w:szCs w:val="21"/>
          <w:highlight w:val="none"/>
          <w:lang w:val="en-US" w:eastAsia="zh-CN" w:bidi="ar-SA"/>
        </w:rPr>
        <w:t>8、参与处理信息公开答复、履职申请答复、国家赔偿申请答复、专项信访答复；</w:t>
      </w:r>
    </w:p>
    <w:p w14:paraId="54D9ED61">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snapToGrid w:val="0"/>
          <w:color w:val="auto"/>
          <w:kern w:val="2"/>
          <w:sz w:val="24"/>
          <w:szCs w:val="21"/>
          <w:highlight w:val="none"/>
          <w:lang w:val="en-US" w:eastAsia="zh-CN" w:bidi="ar-SA"/>
        </w:rPr>
        <w:t>9、协助区综合行政执法局开展法制宣传教育和培训工作，每年开展培训一次以上；</w:t>
      </w:r>
    </w:p>
    <w:p w14:paraId="15D37CFC">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kern w:val="2"/>
          <w:sz w:val="24"/>
          <w:szCs w:val="21"/>
          <w:highlight w:val="none"/>
          <w:lang w:val="en-US" w:eastAsia="zh-CN" w:bidi="ar-SA"/>
        </w:rPr>
        <w:t>10、为杭州市</w:t>
      </w:r>
      <w:r>
        <w:rPr>
          <w:rFonts w:hint="eastAsia" w:ascii="仿宋" w:hAnsi="仿宋" w:eastAsia="仿宋" w:cs="仿宋"/>
          <w:color w:val="auto"/>
          <w:sz w:val="24"/>
          <w:highlight w:val="none"/>
          <w:lang w:val="en-US" w:eastAsia="zh-CN"/>
        </w:rPr>
        <w:t>萧山区综合行政执法指导办公室提供法律意见和法律咨询服务；</w:t>
      </w:r>
    </w:p>
    <w:p w14:paraId="0A9E3B50">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11、办理区综合行政执法局委托的其他常规性法律事务。</w:t>
      </w:r>
    </w:p>
    <w:p w14:paraId="338D0ADA">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12、单位要求</w:t>
      </w:r>
    </w:p>
    <w:p w14:paraId="2D77DEF1">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依法注册并正常通过年检，持有有效执业许可证，具备提供常年法律服务能力的律师事务所；总体业务素质过硬，有较强的专业优势，有政府法律服务的经验和业绩；遵守国家有关法律、法规，职业道德和社会信誉良好；具有广泛、良好的协调能力和解决疑难法律问题、代理重大疑难诉讼案件的能力；能够客观、公正、诚实、廉洁地履行职责。</w:t>
      </w:r>
    </w:p>
    <w:p w14:paraId="41B64599">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（二）法律咨询</w:t>
      </w:r>
    </w:p>
    <w:p w14:paraId="35EBFC38">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1.为服务对象的各科室工作人员提供日常法律咨询服务，对服务对象的法律咨询及法律事务应按服务对象要求作出及时解答，一般应在 24小时（紧急事务应在3小时）内作出回复，并对相关问题提出具体的可操作方案和解决途径。</w:t>
      </w:r>
    </w:p>
    <w:p w14:paraId="462C2D35">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2.修改、审查服务对象需要的合同、协议以及其他有关法律事务文书和规章制度。</w:t>
      </w:r>
    </w:p>
    <w:p w14:paraId="7F9E9F93">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3.根据服务对象通知列席服务对象召开的会议，及时了解服务对象动态，为服务对象重大行政决策提供法律意见及法律依据，或者应服务对象要求，对服务对象的决策进行法律论证和法律风险的评价。</w:t>
      </w:r>
    </w:p>
    <w:p w14:paraId="2BFE5C40">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4.应服务对象要求审阅其对外公告，出具或签署与服务对象有关的法律文件。</w:t>
      </w:r>
    </w:p>
    <w:p w14:paraId="01C44DA5">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5.为服务对象涉及的各类纠纷、重大行政决策规范性文件、其他服务对象需要供应商提供法律支持或行政（复议、诉讼）案件，必要时向对方出具律师函。</w:t>
      </w:r>
    </w:p>
    <w:p w14:paraId="7D78CEAC">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6.代理服务对象行政诉讼或仲裁、行政复议、民事案件等，维护服务对象的合法权益。</w:t>
      </w:r>
    </w:p>
    <w:p w14:paraId="6E328B10">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7.出具的法律意见书（行政（复议、诉讼）案件）应由成交供应商盖章。</w:t>
      </w:r>
    </w:p>
    <w:p w14:paraId="1B720253">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（三）风险排查及评估</w:t>
      </w:r>
    </w:p>
    <w:p w14:paraId="31007230">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1.应建立完善的项目合同审核管理制度，协助服务对象做好合同把关工作。</w:t>
      </w:r>
    </w:p>
    <w:p w14:paraId="42D47DB1">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2.优化完善服务对象的合同范本。</w:t>
      </w:r>
    </w:p>
    <w:p w14:paraId="760C05CD">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3.直接参与服务对象重要的谈判并提供全程的法律服务，协助服务对象方起草或修改、审查项目谈判所需的法律文本，从法律上最大限度地预防及控制风险，尽最大努力保护服务对象的利益。</w:t>
      </w:r>
    </w:p>
    <w:p w14:paraId="47B41E34">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4.为服务对象开展法律风险评估，给予服务对象合理性整改意见，控制法律风险。</w:t>
      </w:r>
    </w:p>
    <w:p w14:paraId="1A476C4E">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5.能根据服务对象要求或随时指示处理其他杂项法律事务。</w:t>
      </w:r>
    </w:p>
    <w:p w14:paraId="4E0ADDC1">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（四）法律宣传及培训服务</w:t>
      </w:r>
    </w:p>
    <w:p w14:paraId="40E6562B">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1.为服务对象行业监管、执法规范、舆情应对、履职答复等方面提供法律知识和业务培训。</w:t>
      </w:r>
    </w:p>
    <w:p w14:paraId="10566570">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2.协助服务对象对全体工作人员进行执法业务技能培训。</w:t>
      </w:r>
    </w:p>
    <w:p w14:paraId="0372A9E8">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3.对服务对象内部的法律工作人员的工作进行指导。</w:t>
      </w:r>
    </w:p>
    <w:p w14:paraId="1E90DF54">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（五）其他</w:t>
      </w:r>
    </w:p>
    <w:p w14:paraId="32B49602">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 接服务单位通知，可及时响应，2个小时到达现场；对相关法律咨询，24小时（紧急事务应在3小时）内作出回复。</w:t>
      </w:r>
    </w:p>
    <w:p w14:paraId="7826E06F">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 主动做好服务期间涉及采购人涉密信息、资料的保密措施。</w:t>
      </w:r>
    </w:p>
    <w:p w14:paraId="32D3A594">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 主动做好与服务单位的配合服务。</w:t>
      </w:r>
    </w:p>
    <w:p w14:paraId="7B34BEB4">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default"/>
          <w:color w:val="auto"/>
          <w:highlight w:val="none"/>
          <w:lang w:val="en-US" w:eastAsia="zh-CN"/>
        </w:rPr>
      </w:pPr>
      <w:r>
        <w:rPr>
          <w:rFonts w:hint="eastAsia" w:ascii="仿宋" w:hAnsi="仿宋" w:eastAsia="仿宋" w:cs="仿宋"/>
          <w:color w:val="auto"/>
          <w:sz w:val="24"/>
          <w:highlight w:val="none"/>
          <w:lang w:val="en-US" w:eastAsia="zh-CN"/>
        </w:rPr>
        <w:t>4、成交供应商同时需按采购人要求，对法律服务、文书等进行审核、监督。</w:t>
      </w:r>
    </w:p>
    <w:p w14:paraId="5C319F34">
      <w:pPr>
        <w:pStyle w:val="4"/>
        <w:keepNext/>
        <w:keepLines/>
        <w:pageBreakBefore w:val="0"/>
        <w:widowControl w:val="0"/>
        <w:numPr>
          <w:ilvl w:val="0"/>
          <w:numId w:val="0"/>
        </w:numPr>
        <w:kinsoku/>
        <w:wordWrap/>
        <w:overflowPunct/>
        <w:topLinePunct w:val="0"/>
        <w:autoSpaceDE/>
        <w:autoSpaceDN/>
        <w:bidi w:val="0"/>
        <w:adjustRightInd w:val="0"/>
        <w:snapToGrid w:val="0"/>
        <w:spacing w:line="500" w:lineRule="exact"/>
        <w:ind w:left="0" w:leftChars="0"/>
        <w:textAlignment w:val="auto"/>
        <w:rPr>
          <w:rFonts w:hint="eastAsia" w:ascii="仿宋" w:hAnsi="仿宋" w:eastAsia="仿宋" w:cs="仿宋"/>
          <w:color w:val="auto"/>
          <w:sz w:val="24"/>
          <w:szCs w:val="24"/>
          <w:highlight w:val="none"/>
          <w:shd w:val="clear" w:color="auto" w:fill="auto"/>
          <w:lang w:val="en-US" w:eastAsia="zh-CN"/>
        </w:rPr>
      </w:pPr>
      <w:bookmarkStart w:id="35" w:name="_Toc6924"/>
      <w:bookmarkStart w:id="36" w:name="_Toc29371"/>
      <w:r>
        <w:rPr>
          <w:rFonts w:hint="eastAsia" w:ascii="仿宋" w:eastAsia="仿宋" w:cs="仿宋"/>
          <w:color w:val="auto"/>
          <w:sz w:val="24"/>
          <w:szCs w:val="24"/>
          <w:highlight w:val="none"/>
          <w:shd w:val="clear" w:color="auto" w:fill="auto"/>
          <w:lang w:val="en-US" w:eastAsia="zh-CN"/>
        </w:rPr>
        <w:t>三</w:t>
      </w:r>
      <w:r>
        <w:rPr>
          <w:rFonts w:hint="eastAsia" w:ascii="仿宋" w:hAnsi="仿宋" w:eastAsia="仿宋" w:cs="仿宋"/>
          <w:color w:val="auto"/>
          <w:sz w:val="24"/>
          <w:szCs w:val="24"/>
          <w:highlight w:val="none"/>
          <w:shd w:val="clear" w:color="auto" w:fill="auto"/>
          <w:lang w:val="en-US" w:eastAsia="zh-CN"/>
        </w:rPr>
        <w:t>、商务要求</w:t>
      </w:r>
      <w:bookmarkEnd w:id="35"/>
      <w:bookmarkEnd w:id="36"/>
    </w:p>
    <w:p w14:paraId="1DBF968C">
      <w:pPr>
        <w:pStyle w:val="24"/>
        <w:keepNext w:val="0"/>
        <w:keepLines w:val="0"/>
        <w:pageBreakBefore w:val="0"/>
        <w:widowControl w:val="0"/>
        <w:kinsoku/>
        <w:wordWrap/>
        <w:overflowPunct/>
        <w:topLinePunct w:val="0"/>
        <w:autoSpaceDE/>
        <w:autoSpaceDN/>
        <w:bidi w:val="0"/>
        <w:adjustRightInd w:val="0"/>
        <w:snapToGrid w:val="0"/>
        <w:spacing w:line="500" w:lineRule="exact"/>
        <w:ind w:left="0" w:firstLine="482" w:firstLineChars="200"/>
        <w:textAlignment w:val="auto"/>
        <w:outlineLvl w:val="2"/>
        <w:rPr>
          <w:rFonts w:hint="eastAsia" w:ascii="仿宋" w:hAnsi="仿宋" w:eastAsia="仿宋" w:cs="仿宋"/>
          <w:b/>
          <w:bCs/>
          <w:color w:val="auto"/>
          <w:sz w:val="24"/>
          <w:highlight w:val="none"/>
          <w:shd w:val="clear" w:color="auto" w:fill="auto"/>
          <w:lang w:eastAsia="zh-CN"/>
        </w:rPr>
      </w:pPr>
      <w:bookmarkStart w:id="37" w:name="_Toc18522"/>
      <w:r>
        <w:rPr>
          <w:rFonts w:hint="eastAsia" w:ascii="仿宋" w:hAnsi="仿宋" w:eastAsia="仿宋" w:cs="仿宋"/>
          <w:b/>
          <w:bCs/>
          <w:color w:val="auto"/>
          <w:sz w:val="24"/>
          <w:highlight w:val="none"/>
          <w:shd w:val="clear" w:color="auto" w:fill="auto"/>
          <w:lang w:eastAsia="zh-CN"/>
        </w:rPr>
        <w:t>（一）报价要求</w:t>
      </w:r>
    </w:p>
    <w:p w14:paraId="523FBD9D">
      <w:pPr>
        <w:pStyle w:val="24"/>
        <w:pageBreakBefore w:val="0"/>
        <w:widowControl w:val="0"/>
        <w:kinsoku/>
        <w:wordWrap/>
        <w:overflowPunct/>
        <w:topLinePunct w:val="0"/>
        <w:bidi w:val="0"/>
        <w:adjustRightInd w:val="0"/>
        <w:snapToGrid w:val="0"/>
        <w:spacing w:line="500" w:lineRule="exact"/>
        <w:ind w:left="0" w:firstLine="482" w:firstLineChars="200"/>
        <w:textAlignment w:val="auto"/>
        <w:rPr>
          <w:rFonts w:hint="eastAsia" w:ascii="仿宋" w:hAnsi="仿宋" w:eastAsia="仿宋" w:cs="仿宋"/>
          <w:b/>
          <w:bCs/>
          <w:snapToGrid w:val="0"/>
          <w:color w:val="auto"/>
          <w:kern w:val="0"/>
          <w:sz w:val="24"/>
          <w:highlight w:val="none"/>
          <w:shd w:val="clear" w:color="auto" w:fill="auto"/>
          <w:lang w:val="en-US" w:eastAsia="zh-CN"/>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snapToGrid w:val="0"/>
          <w:color w:val="auto"/>
          <w:kern w:val="0"/>
          <w:sz w:val="24"/>
          <w:highlight w:val="none"/>
          <w:shd w:val="clear" w:color="auto" w:fill="auto"/>
        </w:rPr>
        <w:t>本项目</w:t>
      </w:r>
      <w:r>
        <w:rPr>
          <w:rFonts w:hint="eastAsia" w:ascii="仿宋" w:hAnsi="仿宋" w:eastAsia="仿宋" w:cs="仿宋"/>
          <w:b/>
          <w:bCs/>
          <w:snapToGrid w:val="0"/>
          <w:color w:val="auto"/>
          <w:kern w:val="0"/>
          <w:sz w:val="24"/>
          <w:highlight w:val="none"/>
          <w:shd w:val="clear" w:color="auto" w:fill="auto"/>
          <w:lang w:val="en-US" w:eastAsia="zh-CN"/>
        </w:rPr>
        <w:t>报价分三部分内容，一部分为年度常年法律顾问服务（A）：</w:t>
      </w:r>
      <w:r>
        <w:rPr>
          <w:rFonts w:hint="eastAsia" w:ascii="仿宋" w:hAnsi="仿宋" w:eastAsia="仿宋" w:cs="仿宋"/>
          <w:b/>
          <w:bCs/>
          <w:snapToGrid w:val="0"/>
          <w:color w:val="auto"/>
          <w:kern w:val="0"/>
          <w:sz w:val="24"/>
          <w:highlight w:val="none"/>
          <w:shd w:val="clear" w:color="auto" w:fill="auto"/>
        </w:rPr>
        <w:t>为</w:t>
      </w:r>
      <w:r>
        <w:rPr>
          <w:rFonts w:hint="eastAsia" w:ascii="仿宋" w:hAnsi="仿宋" w:eastAsia="仿宋" w:cs="仿宋"/>
          <w:b/>
          <w:bCs/>
          <w:snapToGrid w:val="0"/>
          <w:color w:val="auto"/>
          <w:kern w:val="0"/>
          <w:sz w:val="24"/>
          <w:highlight w:val="none"/>
          <w:shd w:val="clear" w:color="auto" w:fill="auto"/>
          <w:lang w:val="en-US" w:eastAsia="zh-CN"/>
        </w:rPr>
        <w:t>总价</w:t>
      </w:r>
      <w:r>
        <w:rPr>
          <w:rFonts w:hint="eastAsia" w:ascii="仿宋" w:hAnsi="仿宋" w:eastAsia="仿宋" w:cs="仿宋"/>
          <w:b/>
          <w:bCs/>
          <w:snapToGrid w:val="0"/>
          <w:color w:val="auto"/>
          <w:kern w:val="0"/>
          <w:sz w:val="24"/>
          <w:highlight w:val="none"/>
          <w:shd w:val="clear" w:color="auto" w:fill="auto"/>
        </w:rPr>
        <w:t>包干</w:t>
      </w:r>
      <w:r>
        <w:rPr>
          <w:rFonts w:hint="eastAsia" w:ascii="仿宋" w:hAnsi="仿宋" w:eastAsia="仿宋" w:cs="仿宋"/>
          <w:b/>
          <w:bCs/>
          <w:snapToGrid w:val="0"/>
          <w:color w:val="auto"/>
          <w:kern w:val="0"/>
          <w:sz w:val="24"/>
          <w:highlight w:val="none"/>
          <w:shd w:val="clear" w:color="auto" w:fill="auto"/>
          <w:lang w:val="en-US" w:eastAsia="zh-CN"/>
        </w:rPr>
        <w:t>方式，年度最高限价为10万元</w:t>
      </w:r>
      <w:r>
        <w:rPr>
          <w:rFonts w:hint="eastAsia" w:ascii="仿宋" w:hAnsi="仿宋" w:eastAsia="仿宋" w:cs="仿宋"/>
          <w:b/>
          <w:bCs/>
          <w:snapToGrid w:val="0"/>
          <w:color w:val="auto"/>
          <w:kern w:val="0"/>
          <w:sz w:val="24"/>
          <w:highlight w:val="none"/>
          <w:shd w:val="clear" w:color="auto" w:fill="auto"/>
          <w:lang w:eastAsia="zh-CN"/>
        </w:rPr>
        <w:t>；</w:t>
      </w:r>
      <w:r>
        <w:rPr>
          <w:rFonts w:hint="eastAsia" w:ascii="仿宋" w:hAnsi="仿宋" w:eastAsia="仿宋" w:cs="仿宋"/>
          <w:b/>
          <w:bCs/>
          <w:snapToGrid w:val="0"/>
          <w:color w:val="auto"/>
          <w:kern w:val="0"/>
          <w:sz w:val="24"/>
          <w:highlight w:val="none"/>
          <w:shd w:val="clear" w:color="auto" w:fill="auto"/>
          <w:lang w:val="en-US" w:eastAsia="zh-CN"/>
        </w:rPr>
        <w:t>一部分为行政诉讼案件代理费（B），按“件”计费，其中行政诉讼最高限价为15000元/件，为综合单价包干；一部分为行政复议案件代理费（C），按“件”计费，其中行政复议最高限价为12000元/件，为综合单价包干。</w:t>
      </w:r>
    </w:p>
    <w:p w14:paraId="590A8F95">
      <w:pPr>
        <w:pStyle w:val="24"/>
        <w:pageBreakBefore w:val="0"/>
        <w:widowControl w:val="0"/>
        <w:kinsoku/>
        <w:wordWrap/>
        <w:overflowPunct/>
        <w:topLinePunct w:val="0"/>
        <w:bidi w:val="0"/>
        <w:adjustRightInd w:val="0"/>
        <w:snapToGrid w:val="0"/>
        <w:spacing w:line="500" w:lineRule="exact"/>
        <w:ind w:left="0" w:firstLine="482" w:firstLineChars="200"/>
        <w:textAlignment w:val="auto"/>
        <w:rPr>
          <w:rFonts w:hint="eastAsia" w:ascii="仿宋" w:hAnsi="仿宋" w:eastAsia="仿宋" w:cs="仿宋"/>
          <w:b/>
          <w:bCs/>
          <w:snapToGrid w:val="0"/>
          <w:color w:val="auto"/>
          <w:kern w:val="0"/>
          <w:sz w:val="24"/>
          <w:highlight w:val="none"/>
          <w:shd w:val="clear" w:color="auto" w:fill="auto"/>
          <w:lang w:val="en-US" w:eastAsia="zh-CN"/>
        </w:rPr>
      </w:pPr>
      <w:r>
        <w:rPr>
          <w:rFonts w:hint="eastAsia" w:ascii="仿宋" w:hAnsi="仿宋" w:eastAsia="仿宋" w:cs="仿宋"/>
          <w:b/>
          <w:bCs/>
          <w:snapToGrid w:val="0"/>
          <w:color w:val="auto"/>
          <w:kern w:val="0"/>
          <w:sz w:val="24"/>
          <w:highlight w:val="none"/>
          <w:shd w:val="clear" w:color="auto" w:fill="auto"/>
          <w:lang w:val="en-US" w:eastAsia="zh-CN"/>
        </w:rPr>
        <w:t>▲A部分总价超过相应最高限价，B部分或者C部分综合单价超过相应最高限价的，均作无效标处理。</w:t>
      </w:r>
    </w:p>
    <w:p w14:paraId="197C39CC">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2、报价均应充分考虑完成</w:t>
      </w:r>
      <w:r>
        <w:rPr>
          <w:rFonts w:hint="eastAsia" w:ascii="仿宋" w:hAnsi="仿宋" w:eastAsia="仿宋" w:cs="仿宋"/>
          <w:color w:val="auto"/>
          <w:highlight w:val="none"/>
        </w:rPr>
        <w:t>服务工作所需的人力物力成本、直接费用（包括但不限于杭州市区以外的交通、住宿、通讯、电信、文印等）</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间接费用（包括但不限于委托审计、鉴定费、公证费、查档费，其他用于收集资料的费用）</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管理费、其他费用、利润、税金等</w:t>
      </w:r>
      <w:r>
        <w:rPr>
          <w:rFonts w:hint="eastAsia" w:ascii="仿宋" w:hAnsi="仿宋" w:eastAsia="仿宋" w:cs="仿宋"/>
          <w:color w:val="auto"/>
          <w:highlight w:val="none"/>
          <w:lang w:eastAsia="zh-CN"/>
        </w:rPr>
        <w:t>各项</w:t>
      </w:r>
      <w:r>
        <w:rPr>
          <w:rFonts w:hint="eastAsia" w:ascii="仿宋" w:hAnsi="仿宋" w:eastAsia="仿宋" w:cs="仿宋"/>
          <w:color w:val="auto"/>
          <w:highlight w:val="none"/>
        </w:rPr>
        <w:t>费用</w:t>
      </w:r>
      <w:r>
        <w:rPr>
          <w:rFonts w:hint="eastAsia" w:ascii="仿宋" w:hAnsi="仿宋" w:eastAsia="仿宋" w:cs="仿宋"/>
          <w:color w:val="auto"/>
          <w:highlight w:val="none"/>
          <w:lang w:eastAsia="zh-CN"/>
        </w:rPr>
        <w:t>支出</w:t>
      </w:r>
      <w:r>
        <w:rPr>
          <w:rFonts w:hint="eastAsia" w:ascii="仿宋" w:hAnsi="仿宋" w:eastAsia="仿宋" w:cs="仿宋"/>
          <w:color w:val="auto"/>
          <w:highlight w:val="none"/>
        </w:rPr>
        <w:t>。</w:t>
      </w:r>
    </w:p>
    <w:p w14:paraId="10C5FC0A">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3、A报价中、B报价或者C报价低于最高限价的50%，</w:t>
      </w:r>
      <w:r>
        <w:rPr>
          <w:rFonts w:hint="eastAsia" w:ascii="仿宋" w:hAnsi="仿宋" w:eastAsia="仿宋" w:cs="仿宋"/>
          <w:color w:val="auto"/>
          <w:highlight w:val="none"/>
          <w:lang w:val="zh-CN"/>
        </w:rPr>
        <w:t>应当在报价文件中出具《报价情况说明》，详细阐述不影响服务质量或者诚信履约的具体理由及依据</w:t>
      </w:r>
      <w:r>
        <w:rPr>
          <w:rFonts w:hint="eastAsia" w:ascii="仿宋" w:hAnsi="仿宋" w:eastAsia="仿宋" w:cs="仿宋"/>
          <w:color w:val="auto"/>
          <w:highlight w:val="none"/>
          <w:lang w:val="en-US" w:eastAsia="zh-CN"/>
        </w:rPr>
        <w:t>。</w:t>
      </w:r>
    </w:p>
    <w:p w14:paraId="635AA990">
      <w:pPr>
        <w:pStyle w:val="24"/>
        <w:keepNext w:val="0"/>
        <w:keepLines w:val="0"/>
        <w:pageBreakBefore w:val="0"/>
        <w:widowControl w:val="0"/>
        <w:kinsoku/>
        <w:wordWrap/>
        <w:overflowPunct/>
        <w:topLinePunct w:val="0"/>
        <w:autoSpaceDE/>
        <w:autoSpaceDN/>
        <w:bidi w:val="0"/>
        <w:adjustRightInd w:val="0"/>
        <w:snapToGrid w:val="0"/>
        <w:spacing w:line="500" w:lineRule="exact"/>
        <w:ind w:left="0" w:firstLine="482" w:firstLineChars="200"/>
        <w:textAlignment w:val="auto"/>
        <w:outlineLvl w:val="2"/>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eastAsia="zh-CN"/>
        </w:rPr>
        <w:t>（二）履约保证金</w:t>
      </w:r>
    </w:p>
    <w:p w14:paraId="181E3063">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不需交纳履约保证金。</w:t>
      </w:r>
      <w:r>
        <w:rPr>
          <w:rFonts w:hint="eastAsia" w:ascii="仿宋" w:hAnsi="仿宋" w:eastAsia="仿宋" w:cs="仿宋"/>
          <w:color w:val="auto"/>
          <w:sz w:val="24"/>
          <w:highlight w:val="none"/>
          <w:lang w:val="en-US" w:eastAsia="zh-CN"/>
        </w:rPr>
        <w:t>如有违约行为，从应付合同费用中扣除。</w:t>
      </w:r>
    </w:p>
    <w:p w14:paraId="6E5BAD9C">
      <w:pPr>
        <w:pStyle w:val="24"/>
        <w:keepNext w:val="0"/>
        <w:keepLines w:val="0"/>
        <w:pageBreakBefore w:val="0"/>
        <w:widowControl w:val="0"/>
        <w:kinsoku/>
        <w:wordWrap/>
        <w:overflowPunct/>
        <w:topLinePunct w:val="0"/>
        <w:autoSpaceDE/>
        <w:autoSpaceDN/>
        <w:bidi w:val="0"/>
        <w:adjustRightInd w:val="0"/>
        <w:snapToGrid w:val="0"/>
        <w:spacing w:line="500" w:lineRule="exact"/>
        <w:ind w:left="0" w:firstLine="482" w:firstLineChars="200"/>
        <w:textAlignment w:val="auto"/>
        <w:outlineLvl w:val="2"/>
        <w:rPr>
          <w:rFonts w:hint="eastAsia" w:ascii="仿宋" w:hAnsi="仿宋" w:eastAsia="仿宋" w:cs="仿宋"/>
          <w:b/>
          <w:bCs/>
          <w:color w:val="auto"/>
          <w:sz w:val="24"/>
          <w:highlight w:val="none"/>
          <w:shd w:val="clear" w:color="auto" w:fill="auto"/>
          <w:lang w:eastAsia="zh-CN"/>
        </w:rPr>
      </w:pPr>
      <w:r>
        <w:rPr>
          <w:rFonts w:hint="eastAsia" w:ascii="仿宋" w:hAnsi="仿宋" w:eastAsia="仿宋" w:cs="仿宋"/>
          <w:b/>
          <w:bCs/>
          <w:color w:val="auto"/>
          <w:sz w:val="24"/>
          <w:highlight w:val="none"/>
          <w:shd w:val="clear" w:color="auto" w:fill="auto"/>
          <w:lang w:eastAsia="zh-CN"/>
        </w:rPr>
        <w:t>（三）合同款支付</w:t>
      </w:r>
    </w:p>
    <w:p w14:paraId="1C591491">
      <w:pPr>
        <w:pStyle w:val="24"/>
        <w:keepNext w:val="0"/>
        <w:keepLines w:val="0"/>
        <w:pageBreakBefore w:val="0"/>
        <w:widowControl w:val="0"/>
        <w:kinsoku/>
        <w:wordWrap/>
        <w:overflowPunct/>
        <w:topLinePunct w:val="0"/>
        <w:bidi w:val="0"/>
        <w:adjustRightInd w:val="0"/>
        <w:snapToGrid w:val="0"/>
        <w:spacing w:line="500" w:lineRule="exact"/>
        <w:ind w:left="0" w:firstLine="482" w:firstLineChars="200"/>
        <w:textAlignment w:val="auto"/>
        <w:rPr>
          <w:rFonts w:hint="eastAsia" w:ascii="仿宋" w:hAnsi="仿宋" w:eastAsia="仿宋" w:cs="仿宋"/>
          <w:b/>
          <w:bCs/>
          <w:snapToGrid w:val="0"/>
          <w:color w:val="auto"/>
          <w:sz w:val="24"/>
          <w:szCs w:val="24"/>
          <w:highlight w:val="none"/>
          <w:lang w:val="en-US" w:eastAsia="zh-CN"/>
        </w:rPr>
      </w:pPr>
      <w:r>
        <w:rPr>
          <w:rFonts w:hint="eastAsia" w:ascii="仿宋" w:hAnsi="仿宋" w:eastAsia="仿宋" w:cs="仿宋"/>
          <w:b/>
          <w:bCs/>
          <w:snapToGrid w:val="0"/>
          <w:color w:val="auto"/>
          <w:sz w:val="24"/>
          <w:szCs w:val="24"/>
          <w:highlight w:val="none"/>
          <w:lang w:val="en-US" w:eastAsia="zh-CN"/>
        </w:rPr>
        <w:t>1、预付款</w:t>
      </w:r>
    </w:p>
    <w:p w14:paraId="7F511810">
      <w:pPr>
        <w:pStyle w:val="24"/>
        <w:keepNext w:val="0"/>
        <w:keepLines w:val="0"/>
        <w:pageBreakBefore w:val="0"/>
        <w:widowControl w:val="0"/>
        <w:kinsoku/>
        <w:wordWrap/>
        <w:overflowPunct/>
        <w:topLinePunct w:val="0"/>
        <w:bidi w:val="0"/>
        <w:adjustRightInd w:val="0"/>
        <w:snapToGrid w:val="0"/>
        <w:spacing w:line="500" w:lineRule="exact"/>
        <w:ind w:left="0" w:firstLine="480" w:firstLineChars="200"/>
        <w:textAlignment w:val="auto"/>
        <w:rPr>
          <w:rFonts w:hint="default"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1</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合同生效后具备实施条件</w:t>
      </w:r>
      <w:r>
        <w:rPr>
          <w:rFonts w:hint="eastAsia" w:ascii="仿宋" w:hAnsi="仿宋" w:eastAsia="仿宋" w:cs="仿宋"/>
          <w:snapToGrid w:val="0"/>
          <w:color w:val="auto"/>
          <w:sz w:val="24"/>
          <w:szCs w:val="24"/>
          <w:highlight w:val="none"/>
          <w:lang w:val="en-US" w:eastAsia="zh-CN"/>
        </w:rPr>
        <w:t>7</w:t>
      </w:r>
      <w:r>
        <w:rPr>
          <w:rFonts w:hint="eastAsia" w:ascii="仿宋" w:hAnsi="仿宋" w:eastAsia="仿宋" w:cs="仿宋"/>
          <w:snapToGrid w:val="0"/>
          <w:color w:val="auto"/>
          <w:sz w:val="24"/>
          <w:szCs w:val="24"/>
          <w:highlight w:val="none"/>
        </w:rPr>
        <w:t>个工作日内</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采购人</w:t>
      </w:r>
      <w:r>
        <w:rPr>
          <w:rFonts w:hint="eastAsia" w:ascii="仿宋" w:hAnsi="仿宋" w:eastAsia="仿宋" w:cs="仿宋"/>
          <w:snapToGrid w:val="0"/>
          <w:color w:val="auto"/>
          <w:sz w:val="24"/>
          <w:szCs w:val="24"/>
          <w:highlight w:val="none"/>
        </w:rPr>
        <w:t>向</w:t>
      </w:r>
      <w:r>
        <w:rPr>
          <w:rFonts w:hint="eastAsia" w:ascii="仿宋" w:hAnsi="仿宋" w:eastAsia="仿宋" w:cs="仿宋"/>
          <w:snapToGrid w:val="0"/>
          <w:color w:val="auto"/>
          <w:sz w:val="24"/>
          <w:szCs w:val="24"/>
          <w:highlight w:val="none"/>
          <w:lang w:val="en-US" w:eastAsia="zh-CN"/>
        </w:rPr>
        <w:t>成交供应商</w:t>
      </w:r>
      <w:r>
        <w:rPr>
          <w:rFonts w:hint="eastAsia" w:ascii="仿宋" w:hAnsi="仿宋" w:eastAsia="仿宋" w:cs="仿宋"/>
          <w:snapToGrid w:val="0"/>
          <w:color w:val="auto"/>
          <w:sz w:val="24"/>
          <w:szCs w:val="24"/>
          <w:highlight w:val="none"/>
        </w:rPr>
        <w:t>支付</w:t>
      </w:r>
      <w:r>
        <w:rPr>
          <w:rFonts w:hint="eastAsia" w:ascii="仿宋" w:hAnsi="仿宋" w:eastAsia="仿宋" w:cs="仿宋"/>
          <w:snapToGrid w:val="0"/>
          <w:color w:val="auto"/>
          <w:sz w:val="24"/>
          <w:szCs w:val="24"/>
          <w:highlight w:val="none"/>
          <w:lang w:val="en-US" w:eastAsia="zh-CN"/>
        </w:rPr>
        <w:t>暂定合同总价</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即预算价</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的</w:t>
      </w:r>
      <w:r>
        <w:rPr>
          <w:rFonts w:hint="eastAsia" w:ascii="仿宋" w:hAnsi="仿宋" w:eastAsia="仿宋" w:cs="仿宋"/>
          <w:snapToGrid w:val="0"/>
          <w:color w:val="auto"/>
          <w:sz w:val="24"/>
          <w:szCs w:val="24"/>
          <w:highlight w:val="none"/>
          <w:lang w:val="en-US" w:eastAsia="zh-CN"/>
        </w:rPr>
        <w:t>4</w:t>
      </w:r>
      <w:r>
        <w:rPr>
          <w:rFonts w:hint="eastAsia" w:ascii="仿宋" w:hAnsi="仿宋" w:eastAsia="仿宋" w:cs="仿宋"/>
          <w:snapToGrid w:val="0"/>
          <w:color w:val="auto"/>
          <w:sz w:val="24"/>
          <w:szCs w:val="24"/>
          <w:highlight w:val="none"/>
        </w:rPr>
        <w:t>0%</w:t>
      </w:r>
      <w:r>
        <w:rPr>
          <w:rFonts w:hint="eastAsia" w:ascii="仿宋" w:hAnsi="仿宋" w:eastAsia="仿宋" w:cs="仿宋"/>
          <w:snapToGrid w:val="0"/>
          <w:color w:val="auto"/>
          <w:sz w:val="24"/>
          <w:szCs w:val="24"/>
          <w:highlight w:val="none"/>
          <w:lang w:val="en-US" w:eastAsia="zh-CN"/>
        </w:rPr>
        <w:t>作为预付款</w:t>
      </w:r>
      <w:r>
        <w:rPr>
          <w:rFonts w:hint="eastAsia" w:ascii="仿宋" w:hAnsi="仿宋" w:eastAsia="仿宋" w:cs="仿宋"/>
          <w:snapToGrid w:val="0"/>
          <w:color w:val="auto"/>
          <w:sz w:val="24"/>
          <w:szCs w:val="24"/>
          <w:highlight w:val="none"/>
        </w:rPr>
        <w:t>；</w:t>
      </w:r>
      <w:r>
        <w:rPr>
          <w:rFonts w:hint="eastAsia" w:ascii="仿宋" w:hAnsi="仿宋" w:eastAsia="仿宋" w:cs="仿宋"/>
          <w:snapToGrid w:val="0"/>
          <w:color w:val="auto"/>
          <w:sz w:val="24"/>
          <w:szCs w:val="24"/>
          <w:highlight w:val="none"/>
          <w:lang w:val="en-US" w:eastAsia="zh-CN"/>
        </w:rPr>
        <w:t>此预付款包含年度</w:t>
      </w:r>
      <w:r>
        <w:rPr>
          <w:rFonts w:hint="eastAsia" w:ascii="仿宋" w:hAnsi="仿宋" w:eastAsia="仿宋" w:cs="仿宋"/>
          <w:snapToGrid w:val="0"/>
          <w:color w:val="auto"/>
          <w:sz w:val="24"/>
          <w:szCs w:val="24"/>
          <w:highlight w:val="none"/>
          <w:lang w:eastAsia="zh-CN"/>
        </w:rPr>
        <w:t>常年法律顾问服务费</w:t>
      </w:r>
      <w:r>
        <w:rPr>
          <w:rFonts w:hint="eastAsia" w:ascii="仿宋" w:hAnsi="仿宋" w:eastAsia="仿宋" w:cs="仿宋"/>
          <w:snapToGrid w:val="0"/>
          <w:color w:val="auto"/>
          <w:sz w:val="24"/>
          <w:szCs w:val="24"/>
          <w:highlight w:val="none"/>
          <w:lang w:val="en-US" w:eastAsia="zh-CN"/>
        </w:rPr>
        <w:t>及部分行政（复议、诉讼）案件代理费。行政（复议、诉讼）案件代理费根据实际发生的服务数量以及服务单价，优先从预付款内回扣，预付款内扣完后，按每季度期满后的15日、以及具备付款实施条件的7个工作日内，一次性结算该季度服务费用，直至本项目服务期满止。</w:t>
      </w:r>
    </w:p>
    <w:p w14:paraId="66F539B8">
      <w:pPr>
        <w:pStyle w:val="24"/>
        <w:keepNext w:val="0"/>
        <w:keepLines w:val="0"/>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2</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支付了预付款的，采购人有权要求成交供应商提供预付款金额等额的且不可撤销的预付款保函。预付款金额可抵扣合同款；</w:t>
      </w:r>
    </w:p>
    <w:p w14:paraId="5C3050AA">
      <w:pPr>
        <w:pStyle w:val="24"/>
        <w:keepNext w:val="0"/>
        <w:keepLines w:val="0"/>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3</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在签订合同时，成交供应商明确表示无需预付款或者主动要求降低预付款比例的，可不适用预付款相关规定。</w:t>
      </w:r>
    </w:p>
    <w:p w14:paraId="77E289CB">
      <w:pPr>
        <w:pStyle w:val="24"/>
        <w:keepNext w:val="0"/>
        <w:keepLines w:val="0"/>
        <w:pageBreakBefore w:val="0"/>
        <w:widowControl w:val="0"/>
        <w:kinsoku/>
        <w:wordWrap/>
        <w:overflowPunct/>
        <w:topLinePunct w:val="0"/>
        <w:bidi w:val="0"/>
        <w:adjustRightInd w:val="0"/>
        <w:snapToGrid w:val="0"/>
        <w:spacing w:line="500" w:lineRule="exact"/>
        <w:ind w:left="0" w:firstLine="482" w:firstLineChars="2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b/>
          <w:bCs/>
          <w:snapToGrid w:val="0"/>
          <w:color w:val="auto"/>
          <w:sz w:val="24"/>
          <w:szCs w:val="24"/>
          <w:highlight w:val="none"/>
          <w:lang w:val="en-US" w:eastAsia="zh-CN"/>
        </w:rPr>
        <w:t>3、其他注意事项</w:t>
      </w:r>
    </w:p>
    <w:p w14:paraId="2035E260">
      <w:pPr>
        <w:pStyle w:val="24"/>
        <w:keepNext w:val="0"/>
        <w:keepLines w:val="0"/>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sz w:val="24"/>
          <w:szCs w:val="24"/>
          <w:highlight w:val="none"/>
          <w:lang w:val="en-US" w:eastAsia="zh-CN"/>
        </w:rPr>
        <w:t>采购人本项目支付的服务费用不超过年度预算金额（即500000元）。在服务期内，成交供应商应完成所有服务内容及数量，按实际数量计酬如超出预算的，采购人实际最多支付至年度预算金额。如未超过年度预算金额的，按实际进行结算后支付。</w:t>
      </w:r>
    </w:p>
    <w:p w14:paraId="4C20EC87">
      <w:pPr>
        <w:pStyle w:val="24"/>
        <w:keepNext w:val="0"/>
        <w:keepLines w:val="0"/>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（2）付款前，成交供应商须向采购人提供正规、等额、合法、有效的发票，以及服务台账清单。根据资金支付情况及财政支付制度，最终付款方式以双方确认，合同明确为准。</w:t>
      </w:r>
    </w:p>
    <w:p w14:paraId="02F6C9AD">
      <w:pPr>
        <w:pStyle w:val="24"/>
        <w:keepNext w:val="0"/>
        <w:keepLines w:val="0"/>
        <w:pageBreakBefore w:val="0"/>
        <w:widowControl w:val="0"/>
        <w:kinsoku/>
        <w:wordWrap/>
        <w:overflowPunct/>
        <w:topLinePunct w:val="0"/>
        <w:bidi w:val="0"/>
        <w:adjustRightInd w:val="0"/>
        <w:snapToGrid w:val="0"/>
        <w:spacing w:line="500" w:lineRule="exact"/>
        <w:ind w:left="0" w:firstLine="482" w:firstLineChars="200"/>
        <w:textAlignment w:val="auto"/>
        <w:rPr>
          <w:rFonts w:hint="eastAsia" w:ascii="仿宋" w:hAnsi="仿宋" w:eastAsia="仿宋" w:cs="仿宋"/>
          <w:b/>
          <w:bCs/>
          <w:snapToGrid w:val="0"/>
          <w:color w:val="auto"/>
          <w:sz w:val="24"/>
          <w:szCs w:val="24"/>
          <w:highlight w:val="none"/>
          <w:lang w:val="en-US" w:eastAsia="zh-CN"/>
        </w:rPr>
      </w:pPr>
      <w:r>
        <w:rPr>
          <w:rFonts w:hint="eastAsia" w:ascii="仿宋" w:hAnsi="仿宋" w:eastAsia="仿宋" w:cs="仿宋"/>
          <w:b/>
          <w:bCs/>
          <w:snapToGrid w:val="0"/>
          <w:color w:val="auto"/>
          <w:sz w:val="24"/>
          <w:szCs w:val="24"/>
          <w:highlight w:val="none"/>
          <w:lang w:val="en-US" w:eastAsia="zh-CN"/>
        </w:rPr>
        <w:t>四、验收</w:t>
      </w:r>
    </w:p>
    <w:p w14:paraId="29707FD2">
      <w:pPr>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lang w:val="zh-CN"/>
        </w:rPr>
        <w:t>本项目</w:t>
      </w:r>
      <w:r>
        <w:rPr>
          <w:rFonts w:hint="eastAsia" w:ascii="仿宋" w:hAnsi="仿宋" w:eastAsia="仿宋" w:cs="仿宋"/>
          <w:snapToGrid w:val="0"/>
          <w:color w:val="auto"/>
          <w:kern w:val="0"/>
          <w:sz w:val="24"/>
          <w:szCs w:val="24"/>
          <w:highlight w:val="none"/>
        </w:rPr>
        <w:t>组织</w:t>
      </w:r>
      <w:r>
        <w:rPr>
          <w:rFonts w:hint="eastAsia" w:ascii="仿宋" w:hAnsi="仿宋" w:eastAsia="仿宋" w:cs="仿宋"/>
          <w:snapToGrid w:val="0"/>
          <w:color w:val="auto"/>
          <w:kern w:val="0"/>
          <w:sz w:val="24"/>
          <w:szCs w:val="24"/>
          <w:highlight w:val="none"/>
          <w:lang w:val="zh-CN"/>
        </w:rPr>
        <w:t>履约验收，验收合格的情况作为项目支付的依据。</w:t>
      </w:r>
    </w:p>
    <w:p w14:paraId="21321C0A">
      <w:pPr>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lang w:val="zh-CN"/>
        </w:rPr>
        <w:t>验收依据：①采购文件确定的技术指标或者服务要求；②</w:t>
      </w:r>
      <w:r>
        <w:rPr>
          <w:rFonts w:hint="eastAsia" w:ascii="仿宋" w:hAnsi="仿宋" w:eastAsia="仿宋" w:cs="仿宋"/>
          <w:snapToGrid w:val="0"/>
          <w:color w:val="auto"/>
          <w:kern w:val="0"/>
          <w:sz w:val="24"/>
          <w:szCs w:val="24"/>
          <w:highlight w:val="none"/>
          <w:lang w:val="en-US" w:eastAsia="zh-CN"/>
        </w:rPr>
        <w:t>响应</w:t>
      </w:r>
      <w:r>
        <w:rPr>
          <w:rFonts w:hint="eastAsia" w:ascii="仿宋" w:hAnsi="仿宋" w:eastAsia="仿宋" w:cs="仿宋"/>
          <w:snapToGrid w:val="0"/>
          <w:color w:val="auto"/>
          <w:kern w:val="0"/>
          <w:sz w:val="24"/>
          <w:szCs w:val="24"/>
          <w:highlight w:val="none"/>
          <w:lang w:val="zh-CN"/>
        </w:rPr>
        <w:t>文件承诺、询标回复；③服务合同。未进行相应约定的，应当符合国家强制性规定、政策要求、安全标准、行业或企业有关标准等。</w:t>
      </w:r>
    </w:p>
    <w:p w14:paraId="5223B76F">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rPr>
        <w:t>本项目的验收标准：①</w:t>
      </w:r>
      <w:r>
        <w:rPr>
          <w:rFonts w:hint="eastAsia" w:ascii="仿宋" w:hAnsi="仿宋" w:eastAsia="仿宋" w:cs="仿宋"/>
          <w:snapToGrid w:val="0"/>
          <w:color w:val="auto"/>
          <w:kern w:val="0"/>
          <w:sz w:val="24"/>
          <w:szCs w:val="24"/>
          <w:highlight w:val="none"/>
          <w:lang w:val="en-US" w:eastAsia="zh-CN"/>
        </w:rPr>
        <w:t>供应商</w:t>
      </w:r>
      <w:r>
        <w:rPr>
          <w:rFonts w:hint="eastAsia" w:ascii="仿宋" w:hAnsi="仿宋" w:eastAsia="仿宋" w:cs="仿宋"/>
          <w:snapToGrid w:val="0"/>
          <w:color w:val="auto"/>
          <w:kern w:val="0"/>
          <w:sz w:val="24"/>
          <w:szCs w:val="24"/>
          <w:highlight w:val="none"/>
        </w:rPr>
        <w:t>服务</w:t>
      </w:r>
      <w:r>
        <w:rPr>
          <w:rFonts w:hint="eastAsia" w:ascii="仿宋" w:hAnsi="仿宋" w:eastAsia="仿宋" w:cs="仿宋"/>
          <w:snapToGrid w:val="0"/>
          <w:color w:val="auto"/>
          <w:kern w:val="0"/>
          <w:sz w:val="24"/>
          <w:szCs w:val="24"/>
          <w:highlight w:val="none"/>
          <w:lang w:val="zh-CN"/>
        </w:rPr>
        <w:t>质量反馈；</w:t>
      </w:r>
      <w:r>
        <w:rPr>
          <w:rFonts w:hint="eastAsia" w:ascii="仿宋" w:hAnsi="仿宋" w:eastAsia="仿宋" w:cs="仿宋"/>
          <w:color w:val="auto"/>
          <w:highlight w:val="none"/>
          <w:lang w:val="zh-CN" w:eastAsia="zh-CN"/>
        </w:rPr>
        <w:t>②</w:t>
      </w:r>
      <w:r>
        <w:rPr>
          <w:rFonts w:hint="eastAsia" w:ascii="仿宋" w:hAnsi="仿宋" w:eastAsia="仿宋" w:cs="仿宋"/>
          <w:snapToGrid w:val="0"/>
          <w:color w:val="auto"/>
          <w:kern w:val="0"/>
          <w:sz w:val="24"/>
          <w:szCs w:val="24"/>
          <w:highlight w:val="none"/>
        </w:rPr>
        <w:t>服务台账，要求台账记录清晰完整、</w:t>
      </w:r>
      <w:r>
        <w:rPr>
          <w:rFonts w:hint="eastAsia" w:ascii="仿宋" w:hAnsi="仿宋" w:eastAsia="仿宋" w:cs="仿宋"/>
          <w:snapToGrid w:val="0"/>
          <w:color w:val="auto"/>
          <w:kern w:val="0"/>
          <w:sz w:val="24"/>
          <w:szCs w:val="24"/>
          <w:highlight w:val="none"/>
          <w:lang w:val="zh-CN"/>
        </w:rPr>
        <w:t>材料完备。</w:t>
      </w:r>
    </w:p>
    <w:p w14:paraId="3366A0C0">
      <w:pPr>
        <w:pStyle w:val="4"/>
        <w:keepNext/>
        <w:keepLines/>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2" w:firstLineChars="200"/>
        <w:textAlignment w:val="auto"/>
        <w:rPr>
          <w:rFonts w:hint="eastAsia" w:ascii="仿宋" w:hAnsi="仿宋" w:eastAsia="仿宋" w:cs="仿宋"/>
          <w:color w:val="auto"/>
          <w:sz w:val="24"/>
          <w:szCs w:val="24"/>
          <w:highlight w:val="none"/>
          <w:shd w:val="clear" w:color="auto" w:fill="auto"/>
          <w:lang w:val="en-US" w:eastAsia="zh-CN"/>
        </w:rPr>
      </w:pPr>
      <w:bookmarkStart w:id="38" w:name="_Toc18964"/>
      <w:bookmarkStart w:id="39" w:name="_Toc1552"/>
      <w:r>
        <w:rPr>
          <w:rFonts w:hint="eastAsia" w:ascii="仿宋" w:hAnsi="仿宋" w:eastAsia="仿宋" w:cs="仿宋"/>
          <w:color w:val="auto"/>
          <w:sz w:val="24"/>
          <w:szCs w:val="24"/>
          <w:highlight w:val="none"/>
          <w:shd w:val="clear" w:color="auto" w:fill="auto"/>
          <w:lang w:val="en-US" w:eastAsia="zh-CN"/>
        </w:rPr>
        <w:t>五、响应要求</w:t>
      </w:r>
      <w:bookmarkEnd w:id="37"/>
      <w:bookmarkEnd w:id="38"/>
      <w:bookmarkEnd w:id="39"/>
    </w:p>
    <w:p w14:paraId="4538C8E1">
      <w:pPr>
        <w:pStyle w:val="24"/>
        <w:keepNext w:val="0"/>
        <w:keepLines w:val="0"/>
        <w:pageBreakBefore w:val="0"/>
        <w:widowControl w:val="0"/>
        <w:kinsoku/>
        <w:wordWrap/>
        <w:overflowPunct/>
        <w:topLinePunct w:val="0"/>
        <w:autoSpaceDE/>
        <w:autoSpaceDN/>
        <w:bidi w:val="0"/>
        <w:adjustRightInd w:val="0"/>
        <w:snapToGrid w:val="0"/>
        <w:spacing w:line="500" w:lineRule="exact"/>
        <w:ind w:left="0" w:firstLine="482" w:firstLineChars="200"/>
        <w:textAlignment w:val="auto"/>
        <w:outlineLvl w:val="2"/>
        <w:rPr>
          <w:rFonts w:hint="eastAsia" w:ascii="仿宋" w:hAnsi="仿宋" w:eastAsia="仿宋" w:cs="仿宋"/>
          <w:b/>
          <w:bCs/>
          <w:color w:val="auto"/>
          <w:sz w:val="24"/>
          <w:highlight w:val="none"/>
          <w:shd w:val="clear" w:color="auto" w:fill="auto"/>
        </w:rPr>
      </w:pPr>
      <w:bookmarkStart w:id="40" w:name="_Toc21693"/>
      <w:r>
        <w:rPr>
          <w:rFonts w:hint="eastAsia" w:ascii="仿宋" w:hAnsi="仿宋" w:eastAsia="仿宋" w:cs="仿宋"/>
          <w:b/>
          <w:bCs/>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lang w:val="en-US" w:eastAsia="zh-CN"/>
        </w:rPr>
        <w:t>一</w:t>
      </w:r>
      <w:r>
        <w:rPr>
          <w:rFonts w:hint="eastAsia" w:ascii="仿宋" w:hAnsi="仿宋" w:eastAsia="仿宋" w:cs="仿宋"/>
          <w:b/>
          <w:bCs/>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lang w:val="en-US" w:eastAsia="zh-CN"/>
        </w:rPr>
        <w:t>供应商</w:t>
      </w:r>
      <w:r>
        <w:rPr>
          <w:rFonts w:hint="eastAsia" w:ascii="仿宋" w:hAnsi="仿宋" w:eastAsia="仿宋" w:cs="仿宋"/>
          <w:b/>
          <w:bCs/>
          <w:color w:val="auto"/>
          <w:sz w:val="24"/>
          <w:highlight w:val="none"/>
          <w:shd w:val="clear" w:color="auto" w:fill="auto"/>
        </w:rPr>
        <w:t>要求</w:t>
      </w:r>
      <w:bookmarkEnd w:id="40"/>
    </w:p>
    <w:p w14:paraId="52EB758D">
      <w:pPr>
        <w:pStyle w:val="24"/>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lang w:val="en-US" w:eastAsia="zh-CN"/>
        </w:rPr>
        <w:t>1、供应商应</w:t>
      </w:r>
      <w:r>
        <w:rPr>
          <w:rFonts w:hint="eastAsia" w:ascii="仿宋" w:hAnsi="仿宋" w:eastAsia="仿宋" w:cs="仿宋"/>
          <w:bCs/>
          <w:color w:val="auto"/>
          <w:sz w:val="24"/>
          <w:highlight w:val="none"/>
        </w:rPr>
        <w:t>承担过各级党委、</w:t>
      </w:r>
      <w:r>
        <w:rPr>
          <w:rFonts w:hint="eastAsia" w:ascii="仿宋" w:hAnsi="仿宋" w:eastAsia="仿宋" w:cs="仿宋"/>
          <w:bCs/>
          <w:color w:val="auto"/>
          <w:sz w:val="24"/>
          <w:highlight w:val="none"/>
          <w:lang w:val="en-US" w:eastAsia="zh-CN"/>
        </w:rPr>
        <w:t>或</w:t>
      </w:r>
      <w:r>
        <w:rPr>
          <w:rFonts w:hint="eastAsia" w:ascii="仿宋" w:hAnsi="仿宋" w:eastAsia="仿宋" w:cs="仿宋"/>
          <w:bCs/>
          <w:color w:val="auto"/>
          <w:sz w:val="24"/>
          <w:highlight w:val="none"/>
        </w:rPr>
        <w:t>政府机关、</w:t>
      </w:r>
      <w:r>
        <w:rPr>
          <w:rFonts w:hint="eastAsia" w:ascii="仿宋" w:hAnsi="仿宋" w:eastAsia="仿宋" w:cs="仿宋"/>
          <w:bCs/>
          <w:color w:val="auto"/>
          <w:sz w:val="24"/>
          <w:highlight w:val="none"/>
          <w:lang w:val="en-US" w:eastAsia="zh-CN"/>
        </w:rPr>
        <w:t>或</w:t>
      </w:r>
      <w:r>
        <w:rPr>
          <w:rFonts w:hint="eastAsia" w:ascii="仿宋" w:hAnsi="仿宋" w:eastAsia="仿宋" w:cs="仿宋"/>
          <w:bCs/>
          <w:color w:val="auto"/>
          <w:sz w:val="24"/>
          <w:highlight w:val="none"/>
        </w:rPr>
        <w:t>事业单位的</w:t>
      </w:r>
      <w:r>
        <w:rPr>
          <w:rFonts w:hint="eastAsia" w:ascii="仿宋" w:hAnsi="仿宋" w:eastAsia="仿宋" w:cs="仿宋"/>
          <w:bCs/>
          <w:color w:val="auto"/>
          <w:sz w:val="24"/>
          <w:highlight w:val="none"/>
          <w:lang w:val="en-US" w:eastAsia="zh-CN"/>
        </w:rPr>
        <w:t>年度</w:t>
      </w:r>
      <w:r>
        <w:rPr>
          <w:rFonts w:hint="eastAsia" w:ascii="仿宋" w:hAnsi="仿宋" w:eastAsia="仿宋" w:cs="仿宋"/>
          <w:bCs/>
          <w:color w:val="auto"/>
          <w:sz w:val="24"/>
          <w:highlight w:val="none"/>
        </w:rPr>
        <w:t>法律顾问项目</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shd w:val="clear" w:color="auto" w:fill="auto"/>
        </w:rPr>
        <w:t>建议有</w:t>
      </w:r>
      <w:r>
        <w:rPr>
          <w:rFonts w:hint="eastAsia" w:ascii="仿宋" w:hAnsi="仿宋" w:eastAsia="仿宋" w:cs="仿宋"/>
          <w:bCs/>
          <w:color w:val="auto"/>
          <w:sz w:val="24"/>
          <w:highlight w:val="none"/>
          <w:lang w:val="en-US" w:eastAsia="zh-CN"/>
        </w:rPr>
        <w:t>招商、政策文件、政府采购、招投标、行政复议、行政诉讼、国家赔偿、融</w:t>
      </w:r>
      <w:r>
        <w:rPr>
          <w:rFonts w:hint="eastAsia" w:ascii="仿宋" w:hAnsi="仿宋" w:eastAsia="仿宋" w:cs="仿宋"/>
          <w:bCs/>
          <w:color w:val="auto"/>
          <w:sz w:val="24"/>
          <w:szCs w:val="22"/>
          <w:highlight w:val="none"/>
          <w:lang w:val="en-US" w:eastAsia="zh-CN"/>
        </w:rPr>
        <w:t>资等各方面（类型）项目的经验和专业能力</w:t>
      </w:r>
      <w:r>
        <w:rPr>
          <w:rFonts w:hint="eastAsia" w:ascii="仿宋" w:hAnsi="仿宋" w:eastAsia="仿宋" w:cs="仿宋"/>
          <w:bCs/>
          <w:color w:val="auto"/>
          <w:sz w:val="24"/>
          <w:highlight w:val="none"/>
          <w:shd w:val="clear" w:color="auto" w:fill="auto"/>
        </w:rPr>
        <w:t>，能提供快速的服务响应，具有较强的项目管理、技术服务和组织实施能力。</w:t>
      </w:r>
    </w:p>
    <w:p w14:paraId="013BDF09">
      <w:pPr>
        <w:pStyle w:val="24"/>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lang w:val="en-US" w:eastAsia="zh-CN"/>
        </w:rPr>
        <w:t>2、成交供应商在</w:t>
      </w:r>
      <w:r>
        <w:rPr>
          <w:rFonts w:hint="eastAsia" w:ascii="仿宋" w:hAnsi="仿宋" w:eastAsia="仿宋" w:cs="仿宋"/>
          <w:bCs/>
          <w:color w:val="auto"/>
          <w:sz w:val="24"/>
          <w:highlight w:val="none"/>
          <w:shd w:val="clear" w:color="auto" w:fill="auto"/>
        </w:rPr>
        <w:t>项目参与过程中必须保证不将</w:t>
      </w:r>
      <w:r>
        <w:rPr>
          <w:rFonts w:hint="eastAsia" w:ascii="仿宋" w:hAnsi="仿宋" w:eastAsia="仿宋" w:cs="仿宋"/>
          <w:bCs/>
          <w:color w:val="auto"/>
          <w:sz w:val="24"/>
          <w:highlight w:val="none"/>
          <w:shd w:val="clear" w:color="auto" w:fill="auto"/>
          <w:lang w:val="en-US" w:eastAsia="zh-CN"/>
        </w:rPr>
        <w:t>委托方</w:t>
      </w:r>
      <w:r>
        <w:rPr>
          <w:rFonts w:hint="eastAsia" w:ascii="仿宋" w:hAnsi="仿宋" w:eastAsia="仿宋" w:cs="仿宋"/>
          <w:bCs/>
          <w:color w:val="auto"/>
          <w:sz w:val="24"/>
          <w:highlight w:val="none"/>
          <w:shd w:val="clear" w:color="auto" w:fill="auto"/>
        </w:rPr>
        <w:t>各种数据资料及各类信息等向第三方透露</w:t>
      </w:r>
      <w:r>
        <w:rPr>
          <w:rFonts w:hint="eastAsia" w:ascii="仿宋" w:hAnsi="仿宋" w:eastAsia="仿宋" w:cs="仿宋"/>
          <w:bCs/>
          <w:color w:val="auto"/>
          <w:sz w:val="24"/>
          <w:highlight w:val="none"/>
          <w:shd w:val="clear" w:color="auto" w:fill="auto"/>
          <w:lang w:eastAsia="zh-CN"/>
        </w:rPr>
        <w:t>，</w:t>
      </w:r>
      <w:r>
        <w:rPr>
          <w:rFonts w:hint="eastAsia" w:ascii="仿宋" w:hAnsi="仿宋" w:eastAsia="仿宋" w:cs="仿宋"/>
          <w:bCs/>
          <w:color w:val="auto"/>
          <w:sz w:val="24"/>
          <w:highlight w:val="none"/>
          <w:shd w:val="clear" w:color="auto" w:fill="auto"/>
        </w:rPr>
        <w:t>在服务过程中严格执行保密相关要求。</w:t>
      </w:r>
      <w:r>
        <w:rPr>
          <w:rFonts w:hint="eastAsia" w:ascii="仿宋" w:hAnsi="仿宋" w:eastAsia="仿宋" w:cs="仿宋"/>
          <w:bCs/>
          <w:color w:val="auto"/>
          <w:sz w:val="24"/>
          <w:highlight w:val="none"/>
          <w:shd w:val="clear" w:color="auto" w:fill="auto"/>
          <w:lang w:val="en-US" w:eastAsia="zh-CN"/>
        </w:rPr>
        <w:t>响应文件中应提供</w:t>
      </w:r>
      <w:r>
        <w:rPr>
          <w:rFonts w:hint="eastAsia" w:ascii="仿宋" w:hAnsi="仿宋" w:eastAsia="仿宋" w:cs="宋体"/>
          <w:color w:val="auto"/>
          <w:sz w:val="24"/>
          <w:highlight w:val="none"/>
          <w:lang w:val="en-US" w:eastAsia="zh-CN"/>
        </w:rPr>
        <w:t>对采购人的涉密信息、资料保密方面切实可行的保密措施和方案，并承诺</w:t>
      </w:r>
      <w:r>
        <w:rPr>
          <w:rFonts w:hint="eastAsia" w:ascii="仿宋" w:hAnsi="仿宋" w:eastAsia="仿宋" w:cs="仿宋"/>
          <w:bCs/>
          <w:color w:val="auto"/>
          <w:sz w:val="24"/>
          <w:highlight w:val="none"/>
          <w:shd w:val="clear" w:color="auto" w:fill="auto"/>
        </w:rPr>
        <w:t>如</w:t>
      </w:r>
      <w:r>
        <w:rPr>
          <w:rFonts w:hint="eastAsia" w:ascii="仿宋" w:hAnsi="仿宋" w:eastAsia="仿宋" w:cs="仿宋"/>
          <w:bCs/>
          <w:color w:val="auto"/>
          <w:sz w:val="24"/>
          <w:highlight w:val="none"/>
          <w:shd w:val="clear" w:color="auto" w:fill="auto"/>
          <w:lang w:val="en-US" w:eastAsia="zh-CN"/>
        </w:rPr>
        <w:t>成交</w:t>
      </w:r>
      <w:r>
        <w:rPr>
          <w:rFonts w:hint="eastAsia" w:ascii="仿宋" w:hAnsi="仿宋" w:eastAsia="仿宋" w:cs="仿宋"/>
          <w:bCs/>
          <w:color w:val="auto"/>
          <w:sz w:val="24"/>
          <w:highlight w:val="none"/>
          <w:shd w:val="clear" w:color="auto" w:fill="auto"/>
        </w:rPr>
        <w:t>，</w:t>
      </w:r>
      <w:r>
        <w:rPr>
          <w:rFonts w:hint="eastAsia" w:ascii="仿宋" w:hAnsi="仿宋" w:eastAsia="仿宋" w:cs="仿宋"/>
          <w:bCs/>
          <w:color w:val="auto"/>
          <w:sz w:val="24"/>
          <w:highlight w:val="none"/>
          <w:shd w:val="clear" w:color="auto" w:fill="auto"/>
          <w:lang w:val="en-US" w:eastAsia="zh-CN"/>
        </w:rPr>
        <w:t>成交供应商</w:t>
      </w:r>
      <w:r>
        <w:rPr>
          <w:rFonts w:hint="eastAsia" w:ascii="仿宋" w:hAnsi="仿宋" w:eastAsia="仿宋" w:cs="仿宋"/>
          <w:bCs/>
          <w:color w:val="auto"/>
          <w:sz w:val="24"/>
          <w:highlight w:val="none"/>
          <w:shd w:val="clear" w:color="auto" w:fill="auto"/>
        </w:rPr>
        <w:t>还必须随合同一同签署保密协议。</w:t>
      </w:r>
    </w:p>
    <w:p w14:paraId="40AC6F50">
      <w:pPr>
        <w:pStyle w:val="24"/>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ascii="仿宋" w:hAnsi="仿宋" w:eastAsia="仿宋" w:cs="仿宋"/>
          <w:bCs/>
          <w:color w:val="auto"/>
          <w:sz w:val="24"/>
          <w:szCs w:val="22"/>
          <w:highlight w:val="none"/>
          <w:shd w:val="clear" w:color="auto" w:fill="auto"/>
          <w:lang w:val="en-US" w:eastAsia="zh-CN"/>
        </w:rPr>
      </w:pPr>
      <w:r>
        <w:rPr>
          <w:rFonts w:hint="eastAsia" w:ascii="仿宋" w:hAnsi="仿宋" w:eastAsia="仿宋" w:cs="仿宋"/>
          <w:bCs/>
          <w:color w:val="auto"/>
          <w:sz w:val="24"/>
          <w:szCs w:val="22"/>
          <w:highlight w:val="none"/>
          <w:shd w:val="clear" w:color="auto" w:fill="auto"/>
          <w:lang w:val="en-US" w:eastAsia="zh-CN"/>
        </w:rPr>
        <w:t>3、供应商应根据自身经验、优势，对行政机关等本项目相关服务对象的日常工作内容</w:t>
      </w:r>
      <w:r>
        <w:rPr>
          <w:rFonts w:hint="eastAsia" w:ascii="仿宋" w:hAnsi="仿宋" w:eastAsia="仿宋" w:cs="仿宋"/>
          <w:bCs/>
          <w:color w:val="auto"/>
          <w:sz w:val="24"/>
          <w:szCs w:val="22"/>
          <w:highlight w:val="none"/>
          <w:shd w:val="clear" w:color="auto" w:fill="auto"/>
        </w:rPr>
        <w:t>、</w:t>
      </w:r>
      <w:r>
        <w:rPr>
          <w:rFonts w:hint="eastAsia" w:ascii="仿宋" w:hAnsi="仿宋" w:eastAsia="仿宋" w:cs="仿宋"/>
          <w:bCs/>
          <w:color w:val="auto"/>
          <w:sz w:val="24"/>
          <w:szCs w:val="22"/>
          <w:highlight w:val="none"/>
          <w:shd w:val="clear" w:color="auto" w:fill="auto"/>
          <w:lang w:val="en-US" w:eastAsia="zh-CN"/>
        </w:rPr>
        <w:t>可能涉及的法律服务</w:t>
      </w:r>
      <w:r>
        <w:rPr>
          <w:rFonts w:hint="eastAsia" w:ascii="仿宋" w:hAnsi="仿宋" w:eastAsia="仿宋" w:cs="仿宋"/>
          <w:bCs/>
          <w:color w:val="auto"/>
          <w:sz w:val="24"/>
          <w:szCs w:val="22"/>
          <w:highlight w:val="none"/>
          <w:shd w:val="clear" w:color="auto" w:fill="auto"/>
        </w:rPr>
        <w:t>现状及存在问题的</w:t>
      </w:r>
      <w:r>
        <w:rPr>
          <w:rFonts w:hint="eastAsia" w:ascii="仿宋" w:hAnsi="仿宋" w:eastAsia="仿宋" w:cs="仿宋"/>
          <w:bCs/>
          <w:color w:val="auto"/>
          <w:sz w:val="24"/>
          <w:szCs w:val="22"/>
          <w:highlight w:val="none"/>
          <w:shd w:val="clear" w:color="auto" w:fill="auto"/>
          <w:lang w:val="en-US" w:eastAsia="zh-CN"/>
        </w:rPr>
        <w:t>有相当的</w:t>
      </w:r>
      <w:r>
        <w:rPr>
          <w:rFonts w:hint="eastAsia" w:ascii="仿宋" w:hAnsi="仿宋" w:eastAsia="仿宋" w:cs="仿宋"/>
          <w:bCs/>
          <w:color w:val="auto"/>
          <w:sz w:val="24"/>
          <w:szCs w:val="22"/>
          <w:highlight w:val="none"/>
          <w:shd w:val="clear" w:color="auto" w:fill="auto"/>
        </w:rPr>
        <w:t>理解</w:t>
      </w:r>
      <w:r>
        <w:rPr>
          <w:rFonts w:hint="eastAsia" w:ascii="仿宋" w:hAnsi="仿宋" w:eastAsia="仿宋" w:cs="仿宋"/>
          <w:bCs/>
          <w:color w:val="auto"/>
          <w:sz w:val="24"/>
          <w:szCs w:val="22"/>
          <w:highlight w:val="none"/>
          <w:shd w:val="clear" w:color="auto" w:fill="auto"/>
          <w:lang w:val="en-US" w:eastAsia="zh-CN"/>
        </w:rPr>
        <w:t>与成熟应对措施。</w:t>
      </w:r>
    </w:p>
    <w:p w14:paraId="1BF063E0">
      <w:pPr>
        <w:pStyle w:val="24"/>
        <w:pageBreakBefore w:val="0"/>
        <w:widowControl w:val="0"/>
        <w:kinsoku/>
        <w:wordWrap/>
        <w:overflowPunct/>
        <w:topLinePunct w:val="0"/>
        <w:bidi w:val="0"/>
        <w:adjustRightInd w:val="0"/>
        <w:snapToGrid w:val="0"/>
        <w:spacing w:line="500" w:lineRule="exact"/>
        <w:ind w:left="0" w:firstLine="482" w:firstLineChars="200"/>
        <w:textAlignment w:val="auto"/>
        <w:outlineLvl w:val="2"/>
        <w:rPr>
          <w:rFonts w:hint="eastAsia" w:ascii="仿宋" w:hAnsi="仿宋" w:eastAsia="仿宋" w:cs="仿宋"/>
          <w:b/>
          <w:bCs/>
          <w:color w:val="auto"/>
          <w:sz w:val="24"/>
          <w:highlight w:val="none"/>
          <w:shd w:val="clear" w:color="auto" w:fill="auto"/>
          <w:lang w:val="en-US" w:eastAsia="zh-CN"/>
        </w:rPr>
      </w:pPr>
      <w:bookmarkStart w:id="41" w:name="_Toc465"/>
      <w:r>
        <w:rPr>
          <w:rFonts w:hint="eastAsia" w:ascii="仿宋" w:hAnsi="仿宋" w:eastAsia="仿宋" w:cs="仿宋"/>
          <w:b/>
          <w:bCs/>
          <w:color w:val="auto"/>
          <w:sz w:val="24"/>
          <w:highlight w:val="none"/>
          <w:shd w:val="clear" w:color="auto" w:fill="auto"/>
          <w:lang w:val="en-US" w:eastAsia="zh-CN"/>
        </w:rPr>
        <w:t>（二）项目团队要求</w:t>
      </w:r>
      <w:bookmarkEnd w:id="41"/>
    </w:p>
    <w:p w14:paraId="56C379B9">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供应商需</w:t>
      </w:r>
      <w:r>
        <w:rPr>
          <w:rFonts w:hint="eastAsia" w:ascii="仿宋" w:hAnsi="仿宋" w:eastAsia="仿宋" w:cs="仿宋"/>
          <w:color w:val="auto"/>
          <w:sz w:val="24"/>
          <w:highlight w:val="none"/>
        </w:rPr>
        <w:t>为本项目配备</w:t>
      </w:r>
      <w:r>
        <w:rPr>
          <w:rFonts w:hint="eastAsia" w:ascii="仿宋" w:hAnsi="仿宋" w:eastAsia="仿宋" w:cs="仿宋"/>
          <w:color w:val="auto"/>
          <w:sz w:val="24"/>
          <w:highlight w:val="none"/>
          <w:lang w:val="en-US" w:eastAsia="zh-CN"/>
        </w:rPr>
        <w:t>法律顾问</w:t>
      </w:r>
      <w:r>
        <w:rPr>
          <w:rFonts w:hint="eastAsia" w:ascii="仿宋" w:hAnsi="仿宋" w:eastAsia="仿宋" w:cs="仿宋"/>
          <w:color w:val="auto"/>
          <w:sz w:val="24"/>
          <w:highlight w:val="none"/>
        </w:rPr>
        <w:t>团队</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rPr>
        <w:t>投入本项目人员</w:t>
      </w:r>
      <w:r>
        <w:rPr>
          <w:rFonts w:hint="eastAsia" w:ascii="仿宋" w:hAnsi="仿宋" w:eastAsia="仿宋" w:cs="仿宋"/>
          <w:bCs/>
          <w:color w:val="auto"/>
          <w:sz w:val="24"/>
          <w:highlight w:val="none"/>
          <w:lang w:val="zh-CN"/>
        </w:rPr>
        <w:t>须提供社保机构出具</w:t>
      </w:r>
      <w:r>
        <w:rPr>
          <w:rFonts w:hint="eastAsia" w:ascii="仿宋" w:hAnsi="仿宋" w:eastAsia="仿宋" w:cs="仿宋"/>
          <w:bCs/>
          <w:color w:val="auto"/>
          <w:sz w:val="24"/>
          <w:highlight w:val="none"/>
          <w:lang w:val="en-US" w:eastAsia="zh-CN"/>
        </w:rPr>
        <w:t>供应商</w:t>
      </w:r>
      <w:r>
        <w:rPr>
          <w:rFonts w:hint="eastAsia" w:ascii="仿宋" w:hAnsi="仿宋" w:eastAsia="仿宋" w:cs="仿宋"/>
          <w:bCs/>
          <w:color w:val="auto"/>
          <w:sz w:val="24"/>
          <w:highlight w:val="none"/>
          <w:lang w:val="zh-CN"/>
        </w:rPr>
        <w:t>为其缴纳的</w:t>
      </w:r>
      <w:r>
        <w:rPr>
          <w:rFonts w:hint="eastAsia" w:ascii="仿宋" w:hAnsi="仿宋" w:eastAsia="仿宋" w:cs="仿宋"/>
          <w:bCs/>
          <w:color w:val="auto"/>
          <w:sz w:val="24"/>
          <w:highlight w:val="none"/>
          <w:lang w:val="en-US" w:eastAsia="zh-CN"/>
        </w:rPr>
        <w:t>至投标截止时间3个月任意一个月的</w:t>
      </w:r>
      <w:r>
        <w:rPr>
          <w:rFonts w:hint="eastAsia" w:ascii="仿宋" w:hAnsi="仿宋" w:eastAsia="仿宋" w:cs="仿宋"/>
          <w:bCs/>
          <w:color w:val="auto"/>
          <w:sz w:val="24"/>
          <w:highlight w:val="none"/>
          <w:lang w:val="zh-CN"/>
        </w:rPr>
        <w:t>社保证明，</w:t>
      </w:r>
      <w:r>
        <w:rPr>
          <w:rFonts w:hint="eastAsia" w:ascii="仿宋" w:hAnsi="仿宋" w:eastAsia="仿宋" w:cs="仿宋"/>
          <w:b/>
          <w:bCs w:val="0"/>
          <w:color w:val="auto"/>
          <w:sz w:val="24"/>
          <w:highlight w:val="none"/>
          <w:lang w:val="zh-CN"/>
        </w:rPr>
        <w:t>否则</w:t>
      </w:r>
      <w:r>
        <w:rPr>
          <w:rFonts w:hint="eastAsia" w:ascii="仿宋" w:hAnsi="仿宋" w:eastAsia="仿宋" w:cs="仿宋"/>
          <w:b/>
          <w:bCs w:val="0"/>
          <w:color w:val="auto"/>
          <w:sz w:val="24"/>
          <w:highlight w:val="none"/>
          <w:lang w:val="en-US" w:eastAsia="zh-CN"/>
        </w:rPr>
        <w:t>人员不予认可</w:t>
      </w:r>
      <w:r>
        <w:rPr>
          <w:rFonts w:hint="eastAsia" w:ascii="仿宋" w:hAnsi="仿宋" w:eastAsia="仿宋" w:cs="仿宋"/>
          <w:bCs/>
          <w:color w:val="auto"/>
          <w:sz w:val="24"/>
          <w:highlight w:val="none"/>
          <w:lang w:val="zh-CN"/>
        </w:rPr>
        <w:t>。</w:t>
      </w:r>
    </w:p>
    <w:p w14:paraId="41D6C5C2">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2、法律顾问团队清单应包括人员姓名、</w:t>
      </w:r>
      <w:r>
        <w:rPr>
          <w:rFonts w:hint="eastAsia" w:ascii="仿宋" w:hAnsi="仿宋" w:eastAsia="仿宋" w:cs="仿宋"/>
          <w:bCs/>
          <w:color w:val="auto"/>
          <w:sz w:val="24"/>
          <w:highlight w:val="none"/>
          <w:lang w:val="zh-CN" w:eastAsia="zh-CN"/>
        </w:rPr>
        <w:t>本项目拟任岗位、</w:t>
      </w:r>
      <w:r>
        <w:rPr>
          <w:rFonts w:hint="eastAsia" w:ascii="仿宋" w:hAnsi="仿宋" w:eastAsia="仿宋" w:cs="仿宋"/>
          <w:bCs/>
          <w:color w:val="auto"/>
          <w:sz w:val="24"/>
          <w:highlight w:val="none"/>
          <w:lang w:val="en-US" w:eastAsia="zh-CN"/>
        </w:rPr>
        <w:t>年龄、性别、从业年限、身份证号码、联系电话，并提供本人签名，</w:t>
      </w:r>
      <w:r>
        <w:rPr>
          <w:rFonts w:hint="eastAsia" w:ascii="仿宋" w:hAnsi="仿宋" w:eastAsia="仿宋" w:cs="仿宋"/>
          <w:b/>
          <w:bCs w:val="0"/>
          <w:color w:val="auto"/>
          <w:sz w:val="24"/>
          <w:highlight w:val="none"/>
          <w:lang w:val="en-US" w:eastAsia="zh-CN"/>
        </w:rPr>
        <w:t>否则人员不予认可</w:t>
      </w:r>
      <w:r>
        <w:rPr>
          <w:rFonts w:hint="eastAsia" w:ascii="仿宋" w:hAnsi="仿宋" w:eastAsia="仿宋" w:cs="仿宋"/>
          <w:bCs/>
          <w:color w:val="auto"/>
          <w:sz w:val="24"/>
          <w:highlight w:val="none"/>
          <w:lang w:val="en-US" w:eastAsia="zh-CN"/>
        </w:rPr>
        <w:t>。清单格式如下：</w:t>
      </w:r>
    </w:p>
    <w:tbl>
      <w:tblPr>
        <w:tblStyle w:val="62"/>
        <w:tblW w:w="9358" w:type="dxa"/>
        <w:tblInd w:w="108" w:type="dxa"/>
        <w:tblLayout w:type="fixed"/>
        <w:tblCellMar>
          <w:top w:w="0" w:type="dxa"/>
          <w:left w:w="108" w:type="dxa"/>
          <w:bottom w:w="0" w:type="dxa"/>
          <w:right w:w="108" w:type="dxa"/>
        </w:tblCellMar>
      </w:tblPr>
      <w:tblGrid>
        <w:gridCol w:w="487"/>
        <w:gridCol w:w="997"/>
        <w:gridCol w:w="1025"/>
        <w:gridCol w:w="711"/>
        <w:gridCol w:w="683"/>
        <w:gridCol w:w="683"/>
        <w:gridCol w:w="1254"/>
        <w:gridCol w:w="1069"/>
        <w:gridCol w:w="1025"/>
        <w:gridCol w:w="826"/>
        <w:gridCol w:w="598"/>
      </w:tblGrid>
      <w:tr w14:paraId="3258CFDF">
        <w:tblPrEx>
          <w:tblCellMar>
            <w:top w:w="0" w:type="dxa"/>
            <w:left w:w="108" w:type="dxa"/>
            <w:bottom w:w="0" w:type="dxa"/>
            <w:right w:w="108" w:type="dxa"/>
          </w:tblCellMar>
        </w:tblPrEx>
        <w:trPr>
          <w:trHeight w:val="396" w:hRule="atLeast"/>
        </w:trPr>
        <w:tc>
          <w:tcPr>
            <w:tcW w:w="487" w:type="dxa"/>
            <w:tcBorders>
              <w:top w:val="single" w:color="auto" w:sz="12" w:space="0"/>
              <w:left w:val="single" w:color="auto" w:sz="12" w:space="0"/>
              <w:bottom w:val="single" w:color="auto" w:sz="12" w:space="0"/>
              <w:right w:val="single" w:color="auto" w:sz="6" w:space="0"/>
            </w:tcBorders>
            <w:noWrap w:val="0"/>
            <w:vAlign w:val="center"/>
          </w:tcPr>
          <w:p w14:paraId="5C53D75F">
            <w:pPr>
              <w:pageBreakBefore w:val="0"/>
              <w:widowControl w:val="0"/>
              <w:kinsoku/>
              <w:wordWrap/>
              <w:overflowPunct/>
              <w:topLinePunct w:val="0"/>
              <w:autoSpaceDE w:val="0"/>
              <w:autoSpaceDN w:val="0"/>
              <w:bidi w:val="0"/>
              <w:adjustRightInd w:val="0"/>
              <w:spacing w:line="50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997" w:type="dxa"/>
            <w:tcBorders>
              <w:top w:val="single" w:color="auto" w:sz="12" w:space="0"/>
              <w:left w:val="single" w:color="auto" w:sz="6" w:space="0"/>
              <w:bottom w:val="single" w:color="auto" w:sz="12" w:space="0"/>
              <w:right w:val="single" w:color="auto" w:sz="6" w:space="0"/>
            </w:tcBorders>
            <w:noWrap w:val="0"/>
            <w:vAlign w:val="center"/>
          </w:tcPr>
          <w:p w14:paraId="59E89937">
            <w:pPr>
              <w:pageBreakBefore w:val="0"/>
              <w:widowControl w:val="0"/>
              <w:kinsoku/>
              <w:wordWrap/>
              <w:overflowPunct/>
              <w:topLinePunct w:val="0"/>
              <w:autoSpaceDE w:val="0"/>
              <w:autoSpaceDN w:val="0"/>
              <w:bidi w:val="0"/>
              <w:adjustRightInd w:val="0"/>
              <w:spacing w:line="500" w:lineRule="exact"/>
              <w:jc w:val="center"/>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姓名</w:t>
            </w: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18C1F45F">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本项目拟任岗位</w:t>
            </w:r>
          </w:p>
        </w:tc>
        <w:tc>
          <w:tcPr>
            <w:tcW w:w="711" w:type="dxa"/>
            <w:tcBorders>
              <w:top w:val="single" w:color="auto" w:sz="12" w:space="0"/>
              <w:left w:val="single" w:color="auto" w:sz="6" w:space="0"/>
              <w:bottom w:val="single" w:color="auto" w:sz="12" w:space="0"/>
              <w:right w:val="single" w:color="auto" w:sz="6" w:space="0"/>
            </w:tcBorders>
            <w:noWrap w:val="0"/>
            <w:vAlign w:val="center"/>
          </w:tcPr>
          <w:p w14:paraId="49968273">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年龄</w:t>
            </w: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168A1D6C">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性别</w:t>
            </w: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7A2C6032">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从业</w:t>
            </w:r>
          </w:p>
          <w:p w14:paraId="79360621">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年限</w:t>
            </w:r>
          </w:p>
        </w:tc>
        <w:tc>
          <w:tcPr>
            <w:tcW w:w="1254" w:type="dxa"/>
            <w:tcBorders>
              <w:top w:val="single" w:color="auto" w:sz="12" w:space="0"/>
              <w:left w:val="single" w:color="auto" w:sz="6" w:space="0"/>
              <w:bottom w:val="single" w:color="auto" w:sz="12" w:space="0"/>
              <w:right w:val="single" w:color="auto" w:sz="4" w:space="0"/>
            </w:tcBorders>
            <w:noWrap w:val="0"/>
            <w:vAlign w:val="center"/>
          </w:tcPr>
          <w:p w14:paraId="71418946">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身份证号码</w:t>
            </w:r>
          </w:p>
        </w:tc>
        <w:tc>
          <w:tcPr>
            <w:tcW w:w="1069" w:type="dxa"/>
            <w:tcBorders>
              <w:top w:val="single" w:color="auto" w:sz="12" w:space="0"/>
              <w:left w:val="single" w:color="auto" w:sz="4" w:space="0"/>
              <w:bottom w:val="single" w:color="auto" w:sz="12" w:space="0"/>
              <w:right w:val="single" w:color="auto" w:sz="6" w:space="0"/>
            </w:tcBorders>
            <w:noWrap w:val="0"/>
            <w:vAlign w:val="center"/>
          </w:tcPr>
          <w:p w14:paraId="0AFB0CD7">
            <w:pPr>
              <w:pageBreakBefore w:val="0"/>
              <w:widowControl w:val="0"/>
              <w:kinsoku/>
              <w:wordWrap/>
              <w:overflowPunct/>
              <w:topLinePunct w:val="0"/>
              <w:autoSpaceDE w:val="0"/>
              <w:autoSpaceDN w:val="0"/>
              <w:bidi w:val="0"/>
              <w:adjustRightInd w:val="0"/>
              <w:spacing w:line="500" w:lineRule="exact"/>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联系手机</w:t>
            </w: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39F0E57C">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本人</w:t>
            </w:r>
          </w:p>
          <w:p w14:paraId="2A73EDA2">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签名</w:t>
            </w:r>
          </w:p>
        </w:tc>
        <w:tc>
          <w:tcPr>
            <w:tcW w:w="826" w:type="dxa"/>
            <w:tcBorders>
              <w:top w:val="single" w:color="auto" w:sz="12" w:space="0"/>
              <w:left w:val="single" w:color="auto" w:sz="6" w:space="0"/>
              <w:bottom w:val="single" w:color="auto" w:sz="12" w:space="0"/>
              <w:right w:val="single" w:color="auto" w:sz="12" w:space="0"/>
            </w:tcBorders>
            <w:noWrap w:val="0"/>
            <w:vAlign w:val="center"/>
          </w:tcPr>
          <w:p w14:paraId="63561CE4">
            <w:pPr>
              <w:pageBreakBefore w:val="0"/>
              <w:widowControl w:val="0"/>
              <w:kinsoku/>
              <w:wordWrap/>
              <w:overflowPunct/>
              <w:topLinePunct w:val="0"/>
              <w:autoSpaceDE w:val="0"/>
              <w:autoSpaceDN w:val="0"/>
              <w:bidi w:val="0"/>
              <w:adjustRightInd w:val="0"/>
              <w:spacing w:line="50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承诺</w:t>
            </w:r>
          </w:p>
        </w:tc>
        <w:tc>
          <w:tcPr>
            <w:tcW w:w="598" w:type="dxa"/>
            <w:tcBorders>
              <w:top w:val="single" w:color="auto" w:sz="12" w:space="0"/>
              <w:left w:val="single" w:color="auto" w:sz="6" w:space="0"/>
              <w:bottom w:val="single" w:color="auto" w:sz="12" w:space="0"/>
              <w:right w:val="single" w:color="auto" w:sz="12" w:space="0"/>
            </w:tcBorders>
            <w:noWrap w:val="0"/>
            <w:vAlign w:val="center"/>
          </w:tcPr>
          <w:p w14:paraId="19C848B0">
            <w:pPr>
              <w:pageBreakBefore w:val="0"/>
              <w:widowControl w:val="0"/>
              <w:kinsoku/>
              <w:wordWrap/>
              <w:overflowPunct/>
              <w:topLinePunct w:val="0"/>
              <w:autoSpaceDE w:val="0"/>
              <w:autoSpaceDN w:val="0"/>
              <w:bidi w:val="0"/>
              <w:adjustRightInd w:val="0"/>
              <w:spacing w:line="500" w:lineRule="exact"/>
              <w:jc w:val="center"/>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备注</w:t>
            </w:r>
          </w:p>
        </w:tc>
      </w:tr>
      <w:tr w14:paraId="6BFB0EC4">
        <w:tblPrEx>
          <w:tblCellMar>
            <w:top w:w="0" w:type="dxa"/>
            <w:left w:w="108" w:type="dxa"/>
            <w:bottom w:w="0" w:type="dxa"/>
            <w:right w:w="108" w:type="dxa"/>
          </w:tblCellMar>
        </w:tblPrEx>
        <w:trPr>
          <w:trHeight w:val="408" w:hRule="atLeast"/>
        </w:trPr>
        <w:tc>
          <w:tcPr>
            <w:tcW w:w="487" w:type="dxa"/>
            <w:tcBorders>
              <w:top w:val="single" w:color="auto" w:sz="12" w:space="0"/>
              <w:left w:val="single" w:color="auto" w:sz="12" w:space="0"/>
              <w:bottom w:val="single" w:color="auto" w:sz="12" w:space="0"/>
              <w:right w:val="single" w:color="auto" w:sz="6" w:space="0"/>
            </w:tcBorders>
            <w:noWrap w:val="0"/>
            <w:vAlign w:val="center"/>
          </w:tcPr>
          <w:p w14:paraId="71DA0923">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997" w:type="dxa"/>
            <w:tcBorders>
              <w:top w:val="single" w:color="auto" w:sz="12" w:space="0"/>
              <w:left w:val="single" w:color="auto" w:sz="6" w:space="0"/>
              <w:bottom w:val="single" w:color="auto" w:sz="12" w:space="0"/>
              <w:right w:val="single" w:color="auto" w:sz="6" w:space="0"/>
            </w:tcBorders>
            <w:noWrap w:val="0"/>
            <w:vAlign w:val="top"/>
          </w:tcPr>
          <w:p w14:paraId="55B1497B">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1571863E">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711" w:type="dxa"/>
            <w:tcBorders>
              <w:top w:val="single" w:color="auto" w:sz="12" w:space="0"/>
              <w:left w:val="single" w:color="auto" w:sz="6" w:space="0"/>
              <w:bottom w:val="single" w:color="auto" w:sz="12" w:space="0"/>
              <w:right w:val="single" w:color="auto" w:sz="6" w:space="0"/>
            </w:tcBorders>
            <w:noWrap w:val="0"/>
            <w:vAlign w:val="center"/>
          </w:tcPr>
          <w:p w14:paraId="2551C34C">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2EF8AF61">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57E2D5A9">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254" w:type="dxa"/>
            <w:tcBorders>
              <w:top w:val="single" w:color="auto" w:sz="12" w:space="0"/>
              <w:left w:val="single" w:color="auto" w:sz="6" w:space="0"/>
              <w:bottom w:val="single" w:color="auto" w:sz="12" w:space="0"/>
              <w:right w:val="single" w:color="auto" w:sz="4" w:space="0"/>
            </w:tcBorders>
            <w:noWrap w:val="0"/>
            <w:vAlign w:val="center"/>
          </w:tcPr>
          <w:p w14:paraId="52FA02FE">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69" w:type="dxa"/>
            <w:tcBorders>
              <w:top w:val="single" w:color="auto" w:sz="12" w:space="0"/>
              <w:left w:val="single" w:color="auto" w:sz="4" w:space="0"/>
              <w:bottom w:val="single" w:color="auto" w:sz="12" w:space="0"/>
              <w:right w:val="single" w:color="auto" w:sz="6" w:space="0"/>
            </w:tcBorders>
            <w:noWrap w:val="0"/>
            <w:vAlign w:val="center"/>
          </w:tcPr>
          <w:p w14:paraId="17DBD4E6">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1ECD6490">
            <w:pPr>
              <w:pageBreakBefore w:val="0"/>
              <w:widowControl w:val="0"/>
              <w:kinsoku/>
              <w:wordWrap/>
              <w:overflowPunct/>
              <w:topLinePunct w:val="0"/>
              <w:autoSpaceDE w:val="0"/>
              <w:autoSpaceDN w:val="0"/>
              <w:bidi w:val="0"/>
              <w:adjustRightInd w:val="0"/>
              <w:spacing w:line="500" w:lineRule="exact"/>
              <w:ind w:left="5250"/>
              <w:textAlignment w:val="auto"/>
              <w:rPr>
                <w:rFonts w:hint="eastAsia" w:ascii="仿宋" w:hAnsi="仿宋" w:eastAsia="仿宋" w:cs="仿宋"/>
                <w:color w:val="auto"/>
                <w:szCs w:val="21"/>
                <w:highlight w:val="none"/>
              </w:rPr>
            </w:pPr>
          </w:p>
        </w:tc>
        <w:tc>
          <w:tcPr>
            <w:tcW w:w="826" w:type="dxa"/>
            <w:vMerge w:val="restart"/>
            <w:tcBorders>
              <w:top w:val="single" w:color="auto" w:sz="12" w:space="0"/>
              <w:left w:val="single" w:color="auto" w:sz="6" w:space="0"/>
              <w:right w:val="single" w:color="auto" w:sz="12" w:space="0"/>
            </w:tcBorders>
            <w:noWrap w:val="0"/>
            <w:vAlign w:val="center"/>
          </w:tcPr>
          <w:p w14:paraId="1B8169E7">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未经甲方同意，清单中人员不得随意更换</w:t>
            </w:r>
          </w:p>
        </w:tc>
        <w:tc>
          <w:tcPr>
            <w:tcW w:w="598" w:type="dxa"/>
            <w:tcBorders>
              <w:top w:val="single" w:color="auto" w:sz="12" w:space="0"/>
              <w:left w:val="single" w:color="auto" w:sz="6" w:space="0"/>
              <w:bottom w:val="single" w:color="auto" w:sz="12" w:space="0"/>
              <w:right w:val="single" w:color="auto" w:sz="12" w:space="0"/>
            </w:tcBorders>
            <w:noWrap w:val="0"/>
            <w:vAlign w:val="center"/>
          </w:tcPr>
          <w:p w14:paraId="5AC94850">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r>
      <w:tr w14:paraId="46B25F93">
        <w:tblPrEx>
          <w:tblCellMar>
            <w:top w:w="0" w:type="dxa"/>
            <w:left w:w="108" w:type="dxa"/>
            <w:bottom w:w="0" w:type="dxa"/>
            <w:right w:w="108" w:type="dxa"/>
          </w:tblCellMar>
        </w:tblPrEx>
        <w:trPr>
          <w:trHeight w:val="408" w:hRule="atLeast"/>
        </w:trPr>
        <w:tc>
          <w:tcPr>
            <w:tcW w:w="487" w:type="dxa"/>
            <w:tcBorders>
              <w:top w:val="single" w:color="auto" w:sz="12" w:space="0"/>
              <w:left w:val="single" w:color="auto" w:sz="12" w:space="0"/>
              <w:bottom w:val="single" w:color="auto" w:sz="12" w:space="0"/>
              <w:right w:val="single" w:color="auto" w:sz="6" w:space="0"/>
            </w:tcBorders>
            <w:noWrap w:val="0"/>
            <w:vAlign w:val="center"/>
          </w:tcPr>
          <w:p w14:paraId="753324D7">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997" w:type="dxa"/>
            <w:tcBorders>
              <w:top w:val="single" w:color="auto" w:sz="12" w:space="0"/>
              <w:left w:val="single" w:color="auto" w:sz="6" w:space="0"/>
              <w:bottom w:val="single" w:color="auto" w:sz="12" w:space="0"/>
              <w:right w:val="single" w:color="auto" w:sz="6" w:space="0"/>
            </w:tcBorders>
            <w:noWrap w:val="0"/>
            <w:vAlign w:val="top"/>
          </w:tcPr>
          <w:p w14:paraId="59C1B7D4">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59BDC52E">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711" w:type="dxa"/>
            <w:tcBorders>
              <w:top w:val="single" w:color="auto" w:sz="12" w:space="0"/>
              <w:left w:val="single" w:color="auto" w:sz="6" w:space="0"/>
              <w:bottom w:val="single" w:color="auto" w:sz="12" w:space="0"/>
              <w:right w:val="single" w:color="auto" w:sz="6" w:space="0"/>
            </w:tcBorders>
            <w:noWrap w:val="0"/>
            <w:vAlign w:val="center"/>
          </w:tcPr>
          <w:p w14:paraId="27BBCB5C">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14CFB035">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535808FD">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254" w:type="dxa"/>
            <w:tcBorders>
              <w:top w:val="single" w:color="auto" w:sz="12" w:space="0"/>
              <w:left w:val="single" w:color="auto" w:sz="6" w:space="0"/>
              <w:bottom w:val="single" w:color="auto" w:sz="12" w:space="0"/>
              <w:right w:val="single" w:color="auto" w:sz="4" w:space="0"/>
            </w:tcBorders>
            <w:noWrap w:val="0"/>
            <w:vAlign w:val="center"/>
          </w:tcPr>
          <w:p w14:paraId="255E9028">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69" w:type="dxa"/>
            <w:tcBorders>
              <w:top w:val="single" w:color="auto" w:sz="12" w:space="0"/>
              <w:left w:val="single" w:color="auto" w:sz="4" w:space="0"/>
              <w:bottom w:val="single" w:color="auto" w:sz="12" w:space="0"/>
              <w:right w:val="single" w:color="auto" w:sz="6" w:space="0"/>
            </w:tcBorders>
            <w:noWrap w:val="0"/>
            <w:vAlign w:val="center"/>
          </w:tcPr>
          <w:p w14:paraId="47773921">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593D4947">
            <w:pPr>
              <w:pageBreakBefore w:val="0"/>
              <w:widowControl w:val="0"/>
              <w:kinsoku/>
              <w:wordWrap/>
              <w:overflowPunct/>
              <w:topLinePunct w:val="0"/>
              <w:autoSpaceDE w:val="0"/>
              <w:autoSpaceDN w:val="0"/>
              <w:bidi w:val="0"/>
              <w:adjustRightInd w:val="0"/>
              <w:spacing w:line="500" w:lineRule="exact"/>
              <w:ind w:left="5250"/>
              <w:textAlignment w:val="auto"/>
              <w:rPr>
                <w:rFonts w:hint="eastAsia" w:ascii="仿宋" w:hAnsi="仿宋" w:eastAsia="仿宋" w:cs="仿宋"/>
                <w:color w:val="auto"/>
                <w:szCs w:val="21"/>
                <w:highlight w:val="none"/>
              </w:rPr>
            </w:pPr>
          </w:p>
        </w:tc>
        <w:tc>
          <w:tcPr>
            <w:tcW w:w="826" w:type="dxa"/>
            <w:vMerge w:val="continue"/>
            <w:tcBorders>
              <w:left w:val="single" w:color="auto" w:sz="6" w:space="0"/>
              <w:right w:val="single" w:color="auto" w:sz="12" w:space="0"/>
            </w:tcBorders>
            <w:noWrap w:val="0"/>
            <w:vAlign w:val="center"/>
          </w:tcPr>
          <w:p w14:paraId="4ED26E64">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lang w:val="en-US" w:eastAsia="zh-CN"/>
              </w:rPr>
            </w:pPr>
          </w:p>
        </w:tc>
        <w:tc>
          <w:tcPr>
            <w:tcW w:w="598" w:type="dxa"/>
            <w:tcBorders>
              <w:top w:val="single" w:color="auto" w:sz="12" w:space="0"/>
              <w:left w:val="single" w:color="auto" w:sz="6" w:space="0"/>
              <w:bottom w:val="single" w:color="auto" w:sz="12" w:space="0"/>
              <w:right w:val="single" w:color="auto" w:sz="12" w:space="0"/>
            </w:tcBorders>
            <w:noWrap w:val="0"/>
            <w:vAlign w:val="center"/>
          </w:tcPr>
          <w:p w14:paraId="75BE6792">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r>
      <w:tr w14:paraId="0C9DBE0A">
        <w:tblPrEx>
          <w:tblCellMar>
            <w:top w:w="0" w:type="dxa"/>
            <w:left w:w="108" w:type="dxa"/>
            <w:bottom w:w="0" w:type="dxa"/>
            <w:right w:w="108" w:type="dxa"/>
          </w:tblCellMar>
        </w:tblPrEx>
        <w:trPr>
          <w:trHeight w:val="408" w:hRule="atLeast"/>
        </w:trPr>
        <w:tc>
          <w:tcPr>
            <w:tcW w:w="487" w:type="dxa"/>
            <w:tcBorders>
              <w:top w:val="single" w:color="auto" w:sz="12" w:space="0"/>
              <w:left w:val="single" w:color="auto" w:sz="12" w:space="0"/>
              <w:bottom w:val="single" w:color="auto" w:sz="12" w:space="0"/>
              <w:right w:val="single" w:color="auto" w:sz="6" w:space="0"/>
            </w:tcBorders>
            <w:noWrap w:val="0"/>
            <w:vAlign w:val="center"/>
          </w:tcPr>
          <w:p w14:paraId="63AEBBC1">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997" w:type="dxa"/>
            <w:tcBorders>
              <w:top w:val="single" w:color="auto" w:sz="12" w:space="0"/>
              <w:left w:val="single" w:color="auto" w:sz="6" w:space="0"/>
              <w:bottom w:val="single" w:color="auto" w:sz="12" w:space="0"/>
              <w:right w:val="single" w:color="auto" w:sz="6" w:space="0"/>
            </w:tcBorders>
            <w:noWrap w:val="0"/>
            <w:vAlign w:val="top"/>
          </w:tcPr>
          <w:p w14:paraId="78A8E96E">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7E0DEEB5">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711" w:type="dxa"/>
            <w:tcBorders>
              <w:top w:val="single" w:color="auto" w:sz="12" w:space="0"/>
              <w:left w:val="single" w:color="auto" w:sz="6" w:space="0"/>
              <w:bottom w:val="single" w:color="auto" w:sz="12" w:space="0"/>
              <w:right w:val="single" w:color="auto" w:sz="6" w:space="0"/>
            </w:tcBorders>
            <w:noWrap w:val="0"/>
            <w:vAlign w:val="center"/>
          </w:tcPr>
          <w:p w14:paraId="201F56C6">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6F72C563">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7867C626">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254" w:type="dxa"/>
            <w:tcBorders>
              <w:top w:val="single" w:color="auto" w:sz="12" w:space="0"/>
              <w:left w:val="single" w:color="auto" w:sz="6" w:space="0"/>
              <w:bottom w:val="single" w:color="auto" w:sz="12" w:space="0"/>
              <w:right w:val="single" w:color="auto" w:sz="4" w:space="0"/>
            </w:tcBorders>
            <w:noWrap w:val="0"/>
            <w:vAlign w:val="center"/>
          </w:tcPr>
          <w:p w14:paraId="14FE7872">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69" w:type="dxa"/>
            <w:tcBorders>
              <w:top w:val="single" w:color="auto" w:sz="12" w:space="0"/>
              <w:left w:val="single" w:color="auto" w:sz="4" w:space="0"/>
              <w:bottom w:val="single" w:color="auto" w:sz="12" w:space="0"/>
              <w:right w:val="single" w:color="auto" w:sz="6" w:space="0"/>
            </w:tcBorders>
            <w:noWrap w:val="0"/>
            <w:vAlign w:val="center"/>
          </w:tcPr>
          <w:p w14:paraId="1D0AA900">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0A6D8FB7">
            <w:pPr>
              <w:pageBreakBefore w:val="0"/>
              <w:widowControl w:val="0"/>
              <w:kinsoku/>
              <w:wordWrap/>
              <w:overflowPunct/>
              <w:topLinePunct w:val="0"/>
              <w:autoSpaceDE w:val="0"/>
              <w:autoSpaceDN w:val="0"/>
              <w:bidi w:val="0"/>
              <w:adjustRightInd w:val="0"/>
              <w:spacing w:line="500" w:lineRule="exact"/>
              <w:ind w:left="5250"/>
              <w:textAlignment w:val="auto"/>
              <w:rPr>
                <w:rFonts w:hint="eastAsia" w:ascii="仿宋" w:hAnsi="仿宋" w:eastAsia="仿宋" w:cs="仿宋"/>
                <w:color w:val="auto"/>
                <w:szCs w:val="21"/>
                <w:highlight w:val="none"/>
              </w:rPr>
            </w:pPr>
          </w:p>
        </w:tc>
        <w:tc>
          <w:tcPr>
            <w:tcW w:w="826" w:type="dxa"/>
            <w:vMerge w:val="continue"/>
            <w:tcBorders>
              <w:left w:val="single" w:color="auto" w:sz="6" w:space="0"/>
              <w:right w:val="single" w:color="auto" w:sz="12" w:space="0"/>
            </w:tcBorders>
            <w:noWrap w:val="0"/>
            <w:vAlign w:val="center"/>
          </w:tcPr>
          <w:p w14:paraId="727C9BAC">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lang w:val="en-US" w:eastAsia="zh-CN"/>
              </w:rPr>
            </w:pPr>
          </w:p>
        </w:tc>
        <w:tc>
          <w:tcPr>
            <w:tcW w:w="598" w:type="dxa"/>
            <w:tcBorders>
              <w:top w:val="single" w:color="auto" w:sz="12" w:space="0"/>
              <w:left w:val="single" w:color="auto" w:sz="6" w:space="0"/>
              <w:bottom w:val="single" w:color="auto" w:sz="12" w:space="0"/>
              <w:right w:val="single" w:color="auto" w:sz="12" w:space="0"/>
            </w:tcBorders>
            <w:noWrap w:val="0"/>
            <w:vAlign w:val="center"/>
          </w:tcPr>
          <w:p w14:paraId="53C015C4">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r>
      <w:tr w14:paraId="2B16F9CC">
        <w:tblPrEx>
          <w:tblCellMar>
            <w:top w:w="0" w:type="dxa"/>
            <w:left w:w="108" w:type="dxa"/>
            <w:bottom w:w="0" w:type="dxa"/>
            <w:right w:w="108" w:type="dxa"/>
          </w:tblCellMar>
        </w:tblPrEx>
        <w:trPr>
          <w:trHeight w:val="408" w:hRule="atLeast"/>
        </w:trPr>
        <w:tc>
          <w:tcPr>
            <w:tcW w:w="487" w:type="dxa"/>
            <w:tcBorders>
              <w:top w:val="single" w:color="auto" w:sz="12" w:space="0"/>
              <w:left w:val="single" w:color="auto" w:sz="12" w:space="0"/>
              <w:bottom w:val="single" w:color="auto" w:sz="12" w:space="0"/>
              <w:right w:val="single" w:color="auto" w:sz="6" w:space="0"/>
            </w:tcBorders>
            <w:noWrap w:val="0"/>
            <w:vAlign w:val="center"/>
          </w:tcPr>
          <w:p w14:paraId="7E00C57F">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997" w:type="dxa"/>
            <w:tcBorders>
              <w:top w:val="single" w:color="auto" w:sz="12" w:space="0"/>
              <w:left w:val="single" w:color="auto" w:sz="6" w:space="0"/>
              <w:bottom w:val="single" w:color="auto" w:sz="12" w:space="0"/>
              <w:right w:val="single" w:color="auto" w:sz="6" w:space="0"/>
            </w:tcBorders>
            <w:noWrap w:val="0"/>
            <w:vAlign w:val="top"/>
          </w:tcPr>
          <w:p w14:paraId="0DC61F5D">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5D935C98">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711" w:type="dxa"/>
            <w:tcBorders>
              <w:top w:val="single" w:color="auto" w:sz="12" w:space="0"/>
              <w:left w:val="single" w:color="auto" w:sz="6" w:space="0"/>
              <w:bottom w:val="single" w:color="auto" w:sz="12" w:space="0"/>
              <w:right w:val="single" w:color="auto" w:sz="6" w:space="0"/>
            </w:tcBorders>
            <w:noWrap w:val="0"/>
            <w:vAlign w:val="center"/>
          </w:tcPr>
          <w:p w14:paraId="17B87683">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16B56069">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576B9F78">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254" w:type="dxa"/>
            <w:tcBorders>
              <w:top w:val="single" w:color="auto" w:sz="12" w:space="0"/>
              <w:left w:val="single" w:color="auto" w:sz="6" w:space="0"/>
              <w:bottom w:val="single" w:color="auto" w:sz="12" w:space="0"/>
              <w:right w:val="single" w:color="auto" w:sz="4" w:space="0"/>
            </w:tcBorders>
            <w:noWrap w:val="0"/>
            <w:vAlign w:val="center"/>
          </w:tcPr>
          <w:p w14:paraId="73D0DF4E">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69" w:type="dxa"/>
            <w:tcBorders>
              <w:top w:val="single" w:color="auto" w:sz="12" w:space="0"/>
              <w:left w:val="single" w:color="auto" w:sz="4" w:space="0"/>
              <w:bottom w:val="single" w:color="auto" w:sz="12" w:space="0"/>
              <w:right w:val="single" w:color="auto" w:sz="6" w:space="0"/>
            </w:tcBorders>
            <w:noWrap w:val="0"/>
            <w:vAlign w:val="center"/>
          </w:tcPr>
          <w:p w14:paraId="6B125990">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333ADE6A">
            <w:pPr>
              <w:pageBreakBefore w:val="0"/>
              <w:widowControl w:val="0"/>
              <w:kinsoku/>
              <w:wordWrap/>
              <w:overflowPunct/>
              <w:topLinePunct w:val="0"/>
              <w:autoSpaceDE w:val="0"/>
              <w:autoSpaceDN w:val="0"/>
              <w:bidi w:val="0"/>
              <w:adjustRightInd w:val="0"/>
              <w:spacing w:line="500" w:lineRule="exact"/>
              <w:ind w:left="5250"/>
              <w:textAlignment w:val="auto"/>
              <w:rPr>
                <w:rFonts w:hint="eastAsia" w:ascii="仿宋" w:hAnsi="仿宋" w:eastAsia="仿宋" w:cs="仿宋"/>
                <w:color w:val="auto"/>
                <w:szCs w:val="21"/>
                <w:highlight w:val="none"/>
              </w:rPr>
            </w:pPr>
          </w:p>
        </w:tc>
        <w:tc>
          <w:tcPr>
            <w:tcW w:w="826" w:type="dxa"/>
            <w:vMerge w:val="continue"/>
            <w:tcBorders>
              <w:left w:val="single" w:color="auto" w:sz="6" w:space="0"/>
              <w:right w:val="single" w:color="auto" w:sz="12" w:space="0"/>
            </w:tcBorders>
            <w:noWrap w:val="0"/>
            <w:vAlign w:val="center"/>
          </w:tcPr>
          <w:p w14:paraId="0A50EDD9">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lang w:val="en-US" w:eastAsia="zh-CN"/>
              </w:rPr>
            </w:pPr>
          </w:p>
        </w:tc>
        <w:tc>
          <w:tcPr>
            <w:tcW w:w="598" w:type="dxa"/>
            <w:tcBorders>
              <w:top w:val="single" w:color="auto" w:sz="12" w:space="0"/>
              <w:left w:val="single" w:color="auto" w:sz="6" w:space="0"/>
              <w:bottom w:val="single" w:color="auto" w:sz="12" w:space="0"/>
              <w:right w:val="single" w:color="auto" w:sz="12" w:space="0"/>
            </w:tcBorders>
            <w:noWrap w:val="0"/>
            <w:vAlign w:val="center"/>
          </w:tcPr>
          <w:p w14:paraId="58F8291A">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r>
      <w:tr w14:paraId="5A1AC77C">
        <w:tblPrEx>
          <w:tblCellMar>
            <w:top w:w="0" w:type="dxa"/>
            <w:left w:w="108" w:type="dxa"/>
            <w:bottom w:w="0" w:type="dxa"/>
            <w:right w:w="108" w:type="dxa"/>
          </w:tblCellMar>
        </w:tblPrEx>
        <w:trPr>
          <w:trHeight w:val="408" w:hRule="atLeast"/>
        </w:trPr>
        <w:tc>
          <w:tcPr>
            <w:tcW w:w="487" w:type="dxa"/>
            <w:tcBorders>
              <w:top w:val="single" w:color="auto" w:sz="12" w:space="0"/>
              <w:left w:val="single" w:color="auto" w:sz="12" w:space="0"/>
              <w:bottom w:val="single" w:color="auto" w:sz="12" w:space="0"/>
              <w:right w:val="single" w:color="auto" w:sz="6" w:space="0"/>
            </w:tcBorders>
            <w:noWrap w:val="0"/>
            <w:vAlign w:val="center"/>
          </w:tcPr>
          <w:p w14:paraId="794A9DD5">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997" w:type="dxa"/>
            <w:tcBorders>
              <w:top w:val="single" w:color="auto" w:sz="12" w:space="0"/>
              <w:left w:val="single" w:color="auto" w:sz="6" w:space="0"/>
              <w:bottom w:val="single" w:color="auto" w:sz="12" w:space="0"/>
              <w:right w:val="single" w:color="auto" w:sz="6" w:space="0"/>
            </w:tcBorders>
            <w:noWrap w:val="0"/>
            <w:vAlign w:val="top"/>
          </w:tcPr>
          <w:p w14:paraId="1F0D32E3">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78D6489B">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711" w:type="dxa"/>
            <w:tcBorders>
              <w:top w:val="single" w:color="auto" w:sz="12" w:space="0"/>
              <w:left w:val="single" w:color="auto" w:sz="6" w:space="0"/>
              <w:bottom w:val="single" w:color="auto" w:sz="12" w:space="0"/>
              <w:right w:val="single" w:color="auto" w:sz="6" w:space="0"/>
            </w:tcBorders>
            <w:noWrap w:val="0"/>
            <w:vAlign w:val="center"/>
          </w:tcPr>
          <w:p w14:paraId="6A28C014">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27D921E0">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3BD3CEDD">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254" w:type="dxa"/>
            <w:tcBorders>
              <w:top w:val="single" w:color="auto" w:sz="12" w:space="0"/>
              <w:left w:val="single" w:color="auto" w:sz="6" w:space="0"/>
              <w:bottom w:val="single" w:color="auto" w:sz="12" w:space="0"/>
              <w:right w:val="single" w:color="auto" w:sz="4" w:space="0"/>
            </w:tcBorders>
            <w:noWrap w:val="0"/>
            <w:vAlign w:val="center"/>
          </w:tcPr>
          <w:p w14:paraId="35D77927">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69" w:type="dxa"/>
            <w:tcBorders>
              <w:top w:val="single" w:color="auto" w:sz="12" w:space="0"/>
              <w:left w:val="single" w:color="auto" w:sz="4" w:space="0"/>
              <w:bottom w:val="single" w:color="auto" w:sz="12" w:space="0"/>
              <w:right w:val="single" w:color="auto" w:sz="6" w:space="0"/>
            </w:tcBorders>
            <w:noWrap w:val="0"/>
            <w:vAlign w:val="center"/>
          </w:tcPr>
          <w:p w14:paraId="35B292D5">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6B075F1D">
            <w:pPr>
              <w:pageBreakBefore w:val="0"/>
              <w:widowControl w:val="0"/>
              <w:kinsoku/>
              <w:wordWrap/>
              <w:overflowPunct/>
              <w:topLinePunct w:val="0"/>
              <w:autoSpaceDE w:val="0"/>
              <w:autoSpaceDN w:val="0"/>
              <w:bidi w:val="0"/>
              <w:adjustRightInd w:val="0"/>
              <w:spacing w:line="500" w:lineRule="exact"/>
              <w:ind w:left="5250"/>
              <w:textAlignment w:val="auto"/>
              <w:rPr>
                <w:rFonts w:hint="eastAsia" w:ascii="仿宋" w:hAnsi="仿宋" w:eastAsia="仿宋" w:cs="仿宋"/>
                <w:color w:val="auto"/>
                <w:szCs w:val="21"/>
                <w:highlight w:val="none"/>
              </w:rPr>
            </w:pPr>
          </w:p>
        </w:tc>
        <w:tc>
          <w:tcPr>
            <w:tcW w:w="826" w:type="dxa"/>
            <w:vMerge w:val="continue"/>
            <w:tcBorders>
              <w:left w:val="single" w:color="auto" w:sz="6" w:space="0"/>
              <w:right w:val="single" w:color="auto" w:sz="12" w:space="0"/>
            </w:tcBorders>
            <w:noWrap w:val="0"/>
            <w:vAlign w:val="center"/>
          </w:tcPr>
          <w:p w14:paraId="33D620DD">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lang w:val="en-US" w:eastAsia="zh-CN"/>
              </w:rPr>
            </w:pPr>
          </w:p>
        </w:tc>
        <w:tc>
          <w:tcPr>
            <w:tcW w:w="598" w:type="dxa"/>
            <w:tcBorders>
              <w:top w:val="single" w:color="auto" w:sz="12" w:space="0"/>
              <w:left w:val="single" w:color="auto" w:sz="6" w:space="0"/>
              <w:bottom w:val="single" w:color="auto" w:sz="12" w:space="0"/>
              <w:right w:val="single" w:color="auto" w:sz="12" w:space="0"/>
            </w:tcBorders>
            <w:noWrap w:val="0"/>
            <w:vAlign w:val="center"/>
          </w:tcPr>
          <w:p w14:paraId="3C54C385">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r>
      <w:tr w14:paraId="7CB3A28C">
        <w:tblPrEx>
          <w:tblCellMar>
            <w:top w:w="0" w:type="dxa"/>
            <w:left w:w="108" w:type="dxa"/>
            <w:bottom w:w="0" w:type="dxa"/>
            <w:right w:w="108" w:type="dxa"/>
          </w:tblCellMar>
        </w:tblPrEx>
        <w:trPr>
          <w:trHeight w:val="408" w:hRule="atLeast"/>
        </w:trPr>
        <w:tc>
          <w:tcPr>
            <w:tcW w:w="487" w:type="dxa"/>
            <w:tcBorders>
              <w:top w:val="single" w:color="auto" w:sz="12" w:space="0"/>
              <w:left w:val="single" w:color="auto" w:sz="12" w:space="0"/>
              <w:bottom w:val="single" w:color="auto" w:sz="6" w:space="0"/>
              <w:right w:val="single" w:color="auto" w:sz="6" w:space="0"/>
            </w:tcBorders>
            <w:noWrap w:val="0"/>
            <w:vAlign w:val="center"/>
          </w:tcPr>
          <w:p w14:paraId="3A65699A">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997" w:type="dxa"/>
            <w:tcBorders>
              <w:top w:val="single" w:color="auto" w:sz="12" w:space="0"/>
              <w:left w:val="single" w:color="auto" w:sz="6" w:space="0"/>
              <w:bottom w:val="single" w:color="auto" w:sz="6" w:space="0"/>
              <w:right w:val="single" w:color="auto" w:sz="6" w:space="0"/>
            </w:tcBorders>
            <w:noWrap w:val="0"/>
            <w:vAlign w:val="top"/>
          </w:tcPr>
          <w:p w14:paraId="231F0949">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6" w:space="0"/>
              <w:right w:val="single" w:color="auto" w:sz="6" w:space="0"/>
            </w:tcBorders>
            <w:noWrap w:val="0"/>
            <w:vAlign w:val="center"/>
          </w:tcPr>
          <w:p w14:paraId="6526CFEE">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711" w:type="dxa"/>
            <w:tcBorders>
              <w:top w:val="single" w:color="auto" w:sz="12" w:space="0"/>
              <w:left w:val="single" w:color="auto" w:sz="6" w:space="0"/>
              <w:bottom w:val="single" w:color="auto" w:sz="6" w:space="0"/>
              <w:right w:val="single" w:color="auto" w:sz="6" w:space="0"/>
            </w:tcBorders>
            <w:noWrap w:val="0"/>
            <w:vAlign w:val="center"/>
          </w:tcPr>
          <w:p w14:paraId="1744CBCD">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6" w:space="0"/>
              <w:right w:val="single" w:color="auto" w:sz="6" w:space="0"/>
            </w:tcBorders>
            <w:noWrap w:val="0"/>
            <w:vAlign w:val="center"/>
          </w:tcPr>
          <w:p w14:paraId="6C25193A">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6" w:space="0"/>
              <w:right w:val="single" w:color="auto" w:sz="6" w:space="0"/>
            </w:tcBorders>
            <w:noWrap w:val="0"/>
            <w:vAlign w:val="center"/>
          </w:tcPr>
          <w:p w14:paraId="666A09B0">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254" w:type="dxa"/>
            <w:tcBorders>
              <w:top w:val="single" w:color="auto" w:sz="12" w:space="0"/>
              <w:left w:val="single" w:color="auto" w:sz="6" w:space="0"/>
              <w:bottom w:val="single" w:color="auto" w:sz="6" w:space="0"/>
              <w:right w:val="single" w:color="auto" w:sz="4" w:space="0"/>
            </w:tcBorders>
            <w:noWrap w:val="0"/>
            <w:vAlign w:val="center"/>
          </w:tcPr>
          <w:p w14:paraId="6FF9E0CC">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69" w:type="dxa"/>
            <w:tcBorders>
              <w:top w:val="single" w:color="auto" w:sz="12" w:space="0"/>
              <w:left w:val="single" w:color="auto" w:sz="4" w:space="0"/>
              <w:bottom w:val="single" w:color="auto" w:sz="6" w:space="0"/>
              <w:right w:val="single" w:color="auto" w:sz="6" w:space="0"/>
            </w:tcBorders>
            <w:noWrap w:val="0"/>
            <w:vAlign w:val="center"/>
          </w:tcPr>
          <w:p w14:paraId="04EE906B">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6" w:space="0"/>
              <w:right w:val="single" w:color="auto" w:sz="6" w:space="0"/>
            </w:tcBorders>
            <w:noWrap w:val="0"/>
            <w:vAlign w:val="center"/>
          </w:tcPr>
          <w:p w14:paraId="53C1A07F">
            <w:pPr>
              <w:pageBreakBefore w:val="0"/>
              <w:widowControl w:val="0"/>
              <w:kinsoku/>
              <w:wordWrap/>
              <w:overflowPunct/>
              <w:topLinePunct w:val="0"/>
              <w:autoSpaceDE w:val="0"/>
              <w:autoSpaceDN w:val="0"/>
              <w:bidi w:val="0"/>
              <w:adjustRightInd w:val="0"/>
              <w:spacing w:line="500" w:lineRule="exact"/>
              <w:ind w:left="5250"/>
              <w:textAlignment w:val="auto"/>
              <w:rPr>
                <w:rFonts w:hint="eastAsia" w:ascii="仿宋" w:hAnsi="仿宋" w:eastAsia="仿宋" w:cs="仿宋"/>
                <w:color w:val="auto"/>
                <w:szCs w:val="21"/>
                <w:highlight w:val="none"/>
              </w:rPr>
            </w:pPr>
          </w:p>
        </w:tc>
        <w:tc>
          <w:tcPr>
            <w:tcW w:w="826" w:type="dxa"/>
            <w:vMerge w:val="continue"/>
            <w:tcBorders>
              <w:left w:val="single" w:color="auto" w:sz="6" w:space="0"/>
              <w:bottom w:val="single" w:color="auto" w:sz="6" w:space="0"/>
              <w:right w:val="single" w:color="auto" w:sz="12" w:space="0"/>
            </w:tcBorders>
            <w:noWrap w:val="0"/>
            <w:vAlign w:val="center"/>
          </w:tcPr>
          <w:p w14:paraId="5C7111AC">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598" w:type="dxa"/>
            <w:tcBorders>
              <w:top w:val="single" w:color="auto" w:sz="12" w:space="0"/>
              <w:left w:val="single" w:color="auto" w:sz="6" w:space="0"/>
              <w:bottom w:val="single" w:color="auto" w:sz="6" w:space="0"/>
              <w:right w:val="single" w:color="auto" w:sz="12" w:space="0"/>
            </w:tcBorders>
            <w:noWrap w:val="0"/>
            <w:vAlign w:val="center"/>
          </w:tcPr>
          <w:p w14:paraId="55432114">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r>
    </w:tbl>
    <w:p w14:paraId="4DE61A72">
      <w:pPr>
        <w:pStyle w:val="26"/>
        <w:pageBreakBefore w:val="0"/>
        <w:widowControl w:val="0"/>
        <w:kinsoku/>
        <w:wordWrap/>
        <w:overflowPunct/>
        <w:topLinePunct w:val="0"/>
        <w:bidi w:val="0"/>
        <w:adjustRightInd w:val="0"/>
        <w:snapToGrid w:val="0"/>
        <w:spacing w:line="500" w:lineRule="exact"/>
        <w:ind w:left="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投标文件</w:t>
      </w:r>
      <w:r>
        <w:rPr>
          <w:rFonts w:hint="eastAsia" w:ascii="仿宋" w:hAnsi="仿宋" w:eastAsia="仿宋" w:cs="仿宋"/>
          <w:bCs/>
          <w:color w:val="auto"/>
          <w:highlight w:val="none"/>
        </w:rPr>
        <w:t>中明确的人员在项目开展过程中不得擅自更换，如需更换应提前10个工作日以书面形式通知采购人，经采购人同意后方可更换。更换后的人员资质及经验不得低于更换前。</w:t>
      </w:r>
    </w:p>
    <w:p w14:paraId="3CA4394E">
      <w:pPr>
        <w:pStyle w:val="4"/>
        <w:keepNext/>
        <w:keepLines/>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2" w:firstLineChars="200"/>
        <w:textAlignment w:val="auto"/>
        <w:rPr>
          <w:rFonts w:hint="eastAsia" w:ascii="仿宋" w:hAnsi="仿宋" w:eastAsia="仿宋" w:cs="仿宋"/>
          <w:color w:val="auto"/>
          <w:sz w:val="24"/>
          <w:szCs w:val="24"/>
          <w:highlight w:val="none"/>
          <w:shd w:val="clear" w:color="auto" w:fill="auto"/>
          <w:lang w:val="en-US" w:eastAsia="zh-CN"/>
        </w:rPr>
      </w:pPr>
      <w:bookmarkStart w:id="42" w:name="_Toc16533"/>
      <w:bookmarkStart w:id="43" w:name="_Toc26923"/>
      <w:bookmarkStart w:id="44" w:name="_Toc6028"/>
      <w:r>
        <w:rPr>
          <w:rFonts w:hint="eastAsia" w:ascii="仿宋" w:hAnsi="仿宋" w:eastAsia="仿宋" w:cs="仿宋"/>
          <w:color w:val="auto"/>
          <w:sz w:val="24"/>
          <w:szCs w:val="24"/>
          <w:highlight w:val="none"/>
          <w:shd w:val="clear" w:color="auto" w:fill="auto"/>
          <w:lang w:val="en-US" w:eastAsia="zh-CN"/>
        </w:rPr>
        <w:t>六、其他</w:t>
      </w:r>
      <w:bookmarkEnd w:id="42"/>
      <w:bookmarkEnd w:id="43"/>
      <w:bookmarkEnd w:id="44"/>
    </w:p>
    <w:bookmarkEnd w:id="32"/>
    <w:p w14:paraId="4E34ACF5">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outlineLvl w:val="9"/>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成交供应商</w:t>
      </w:r>
      <w:r>
        <w:rPr>
          <w:rFonts w:hint="eastAsia" w:ascii="仿宋" w:hAnsi="仿宋" w:eastAsia="仿宋" w:cs="仿宋"/>
          <w:color w:val="auto"/>
          <w:sz w:val="24"/>
          <w:highlight w:val="none"/>
          <w:shd w:val="clear" w:color="auto" w:fill="auto"/>
        </w:rPr>
        <w:t>保证其</w:t>
      </w:r>
      <w:r>
        <w:rPr>
          <w:rFonts w:hint="eastAsia" w:ascii="仿宋" w:hAnsi="仿宋" w:eastAsia="仿宋" w:cs="仿宋"/>
          <w:color w:val="auto"/>
          <w:sz w:val="24"/>
          <w:highlight w:val="none"/>
          <w:shd w:val="clear" w:color="auto" w:fill="auto"/>
          <w:lang w:val="en-US" w:eastAsia="zh-CN"/>
        </w:rPr>
        <w:t>提供</w:t>
      </w:r>
      <w:r>
        <w:rPr>
          <w:rFonts w:hint="eastAsia" w:ascii="仿宋" w:hAnsi="仿宋" w:eastAsia="仿宋" w:cs="仿宋"/>
          <w:color w:val="auto"/>
          <w:sz w:val="24"/>
          <w:highlight w:val="none"/>
          <w:shd w:val="clear" w:color="auto" w:fill="auto"/>
        </w:rPr>
        <w:t>的所有服务，不会侵犯任何第三方的知识产权和其它权益。如因此发生任何针对</w:t>
      </w:r>
      <w:r>
        <w:rPr>
          <w:rFonts w:hint="eastAsia" w:ascii="仿宋" w:hAnsi="仿宋" w:eastAsia="仿宋" w:cs="仿宋"/>
          <w:color w:val="auto"/>
          <w:sz w:val="24"/>
          <w:highlight w:val="none"/>
          <w:shd w:val="clear" w:color="auto" w:fill="auto"/>
          <w:lang w:val="en-US" w:eastAsia="zh-CN"/>
        </w:rPr>
        <w:t>采购人</w:t>
      </w:r>
      <w:r>
        <w:rPr>
          <w:rFonts w:hint="eastAsia" w:ascii="仿宋" w:hAnsi="仿宋" w:eastAsia="仿宋" w:cs="仿宋"/>
          <w:color w:val="auto"/>
          <w:sz w:val="24"/>
          <w:highlight w:val="none"/>
          <w:shd w:val="clear" w:color="auto" w:fill="auto"/>
        </w:rPr>
        <w:t>的争议、索赔、诉讼等，产生的一切法律责任与费用均由</w:t>
      </w:r>
      <w:r>
        <w:rPr>
          <w:rFonts w:hint="eastAsia" w:ascii="仿宋" w:hAnsi="仿宋" w:eastAsia="仿宋" w:cs="仿宋"/>
          <w:color w:val="auto"/>
          <w:sz w:val="24"/>
          <w:highlight w:val="none"/>
          <w:shd w:val="clear" w:color="auto" w:fill="auto"/>
          <w:lang w:val="en-US" w:eastAsia="zh-CN"/>
        </w:rPr>
        <w:t>成交供应商</w:t>
      </w:r>
      <w:r>
        <w:rPr>
          <w:rFonts w:hint="eastAsia" w:ascii="仿宋" w:hAnsi="仿宋" w:eastAsia="仿宋" w:cs="仿宋"/>
          <w:color w:val="auto"/>
          <w:sz w:val="24"/>
          <w:highlight w:val="none"/>
          <w:shd w:val="clear" w:color="auto" w:fill="auto"/>
        </w:rPr>
        <w:t>承担。</w:t>
      </w:r>
    </w:p>
    <w:p w14:paraId="2CD0F898">
      <w:pPr>
        <w:pStyle w:val="25"/>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2、成交供应商自行负责其工作人员的食宿、交通、相关保险等费用。</w:t>
      </w:r>
    </w:p>
    <w:p w14:paraId="5D6B15CC">
      <w:pPr>
        <w:pStyle w:val="25"/>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3、因项目参与、涉及人员众多，成交供应商应做好与采购人、其他单位的配合、协调工作。供应商需在</w:t>
      </w:r>
      <w:r>
        <w:rPr>
          <w:rFonts w:hint="eastAsia" w:ascii="仿宋" w:hAnsi="仿宋" w:eastAsia="仿宋" w:cs="仿宋"/>
          <w:bCs/>
          <w:color w:val="auto"/>
          <w:highlight w:val="none"/>
          <w:lang w:val="en-US" w:eastAsia="zh-CN"/>
        </w:rPr>
        <w:t>投标</w:t>
      </w:r>
      <w:r>
        <w:rPr>
          <w:rFonts w:hint="eastAsia" w:ascii="仿宋" w:hAnsi="仿宋" w:eastAsia="仿宋" w:cs="仿宋"/>
          <w:color w:val="auto"/>
          <w:sz w:val="24"/>
          <w:highlight w:val="none"/>
          <w:shd w:val="clear" w:color="auto" w:fill="auto"/>
          <w:lang w:val="en-US" w:eastAsia="zh-CN"/>
        </w:rPr>
        <w:t>文件中阐述做好与服务单位配合服务的具体措施。</w:t>
      </w:r>
    </w:p>
    <w:p w14:paraId="476B434C">
      <w:pPr>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0"/>
          <w:sz w:val="24"/>
          <w:highlight w:val="none"/>
          <w:shd w:val="clear" w:color="auto" w:fill="auto"/>
          <w:lang w:val="zh-CN"/>
        </w:rPr>
        <w:t>未尽事宜可进一步参阅合同条款、</w:t>
      </w:r>
      <w:r>
        <w:rPr>
          <w:rFonts w:hint="eastAsia" w:ascii="仿宋" w:hAnsi="仿宋" w:eastAsia="仿宋" w:cs="仿宋"/>
          <w:snapToGrid w:val="0"/>
          <w:color w:val="auto"/>
          <w:kern w:val="0"/>
          <w:sz w:val="24"/>
          <w:highlight w:val="none"/>
          <w:shd w:val="clear" w:color="auto" w:fill="auto"/>
          <w:lang w:val="en-US" w:eastAsia="zh-CN"/>
        </w:rPr>
        <w:t>采购</w:t>
      </w:r>
      <w:r>
        <w:rPr>
          <w:rFonts w:hint="eastAsia" w:ascii="仿宋" w:hAnsi="仿宋" w:eastAsia="仿宋" w:cs="仿宋"/>
          <w:snapToGrid w:val="0"/>
          <w:color w:val="auto"/>
          <w:kern w:val="0"/>
          <w:sz w:val="24"/>
          <w:highlight w:val="none"/>
          <w:shd w:val="clear" w:color="auto" w:fill="auto"/>
        </w:rPr>
        <w:t>文件其他内容</w:t>
      </w:r>
      <w:r>
        <w:rPr>
          <w:rFonts w:hint="eastAsia" w:ascii="仿宋" w:hAnsi="仿宋" w:eastAsia="仿宋" w:cs="仿宋"/>
          <w:snapToGrid w:val="0"/>
          <w:color w:val="auto"/>
          <w:kern w:val="0"/>
          <w:sz w:val="24"/>
          <w:highlight w:val="none"/>
          <w:shd w:val="clear" w:color="auto" w:fill="auto"/>
          <w:lang w:val="zh-CN"/>
        </w:rPr>
        <w:t>。</w:t>
      </w:r>
    </w:p>
    <w:p w14:paraId="1B1F961D">
      <w:pPr>
        <w:pStyle w:val="25"/>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注：</w:t>
      </w:r>
    </w:p>
    <w:p w14:paraId="5CCDBA31">
      <w:pPr>
        <w:pStyle w:val="25"/>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1、如有附图，仅作参考。</w:t>
      </w:r>
    </w:p>
    <w:p w14:paraId="1EC23120">
      <w:pPr>
        <w:pStyle w:val="25"/>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2、打▲内容为实质性要求，不允许有负偏离，否则将以涉及无效投标条款作无效投标。</w:t>
      </w:r>
    </w:p>
    <w:p w14:paraId="6CEF66FD">
      <w:pPr>
        <w:pStyle w:val="25"/>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3、中标人所提供的货物、服务须与投标承诺一致，不得以次充好、偷工减料，若在项目验收中发现有上述情况，将向有关部门举报，根据相关规定进行处理。</w:t>
      </w:r>
    </w:p>
    <w:p w14:paraId="608F0B74">
      <w:pPr>
        <w:pageBreakBefore w:val="0"/>
        <w:widowControl w:val="0"/>
        <w:kinsoku/>
        <w:wordWrap/>
        <w:overflowPunct/>
        <w:topLinePunct w:val="0"/>
        <w:bidi w:val="0"/>
        <w:adjustRightInd w:val="0"/>
        <w:spacing w:line="500" w:lineRule="exac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D591354">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45" w:name="_Toc184308091"/>
      <w:bookmarkEnd w:id="45"/>
      <w:bookmarkStart w:id="46" w:name="_Toc184310335"/>
      <w:bookmarkEnd w:id="46"/>
      <w:bookmarkStart w:id="47" w:name="_Toc184312100"/>
      <w:bookmarkEnd w:id="47"/>
      <w:bookmarkStart w:id="48" w:name="_Toc184314449"/>
      <w:bookmarkEnd w:id="48"/>
      <w:bookmarkStart w:id="49" w:name="_Toc184312081"/>
      <w:bookmarkEnd w:id="49"/>
      <w:bookmarkStart w:id="50" w:name="_Toc184313260"/>
      <w:bookmarkEnd w:id="50"/>
      <w:bookmarkStart w:id="51" w:name="_Toc184314456"/>
      <w:bookmarkEnd w:id="51"/>
      <w:bookmarkStart w:id="52" w:name="_Toc184308049"/>
      <w:bookmarkEnd w:id="52"/>
      <w:bookmarkStart w:id="53" w:name="_Toc184314469"/>
      <w:bookmarkEnd w:id="53"/>
      <w:bookmarkStart w:id="54" w:name="_Toc184312113"/>
      <w:bookmarkEnd w:id="54"/>
      <w:bookmarkStart w:id="55" w:name="_Toc184314476"/>
      <w:bookmarkEnd w:id="55"/>
      <w:bookmarkStart w:id="56" w:name="_Toc184313254"/>
      <w:bookmarkEnd w:id="56"/>
      <w:bookmarkStart w:id="57" w:name="_Toc184312090"/>
      <w:bookmarkEnd w:id="57"/>
      <w:bookmarkStart w:id="58" w:name="_Toc184312072"/>
      <w:bookmarkEnd w:id="58"/>
      <w:bookmarkStart w:id="59" w:name="_Toc184314410"/>
      <w:bookmarkEnd w:id="59"/>
      <w:bookmarkStart w:id="60" w:name="_Toc184313306"/>
      <w:bookmarkEnd w:id="60"/>
      <w:bookmarkStart w:id="61" w:name="_Toc184310296"/>
      <w:bookmarkEnd w:id="61"/>
      <w:bookmarkStart w:id="62" w:name="_Toc184314452"/>
      <w:bookmarkEnd w:id="62"/>
      <w:bookmarkStart w:id="63" w:name="_Toc184313288"/>
      <w:bookmarkEnd w:id="63"/>
      <w:bookmarkStart w:id="64" w:name="_Toc184313310"/>
      <w:bookmarkEnd w:id="64"/>
      <w:bookmarkStart w:id="65" w:name="_Toc184312104"/>
      <w:bookmarkEnd w:id="65"/>
      <w:bookmarkStart w:id="66" w:name="_Toc184308107"/>
      <w:bookmarkEnd w:id="66"/>
      <w:bookmarkStart w:id="67" w:name="_Toc184308061"/>
      <w:bookmarkEnd w:id="67"/>
      <w:bookmarkStart w:id="68" w:name="_Toc184308065"/>
      <w:bookmarkEnd w:id="68"/>
      <w:bookmarkStart w:id="69" w:name="_Toc184312138"/>
      <w:bookmarkEnd w:id="69"/>
      <w:bookmarkStart w:id="70" w:name="_Toc184312093"/>
      <w:bookmarkEnd w:id="70"/>
      <w:bookmarkStart w:id="71" w:name="_Toc184313258"/>
      <w:bookmarkEnd w:id="71"/>
      <w:bookmarkStart w:id="72" w:name="_Toc184310299"/>
      <w:bookmarkEnd w:id="72"/>
      <w:bookmarkStart w:id="73" w:name="_Toc184308036"/>
      <w:bookmarkEnd w:id="73"/>
      <w:bookmarkStart w:id="74" w:name="_Toc184308043"/>
      <w:bookmarkEnd w:id="74"/>
      <w:bookmarkStart w:id="75" w:name="_Toc184312094"/>
      <w:bookmarkEnd w:id="75"/>
      <w:bookmarkStart w:id="76" w:name="_Toc184313291"/>
      <w:bookmarkEnd w:id="76"/>
      <w:bookmarkStart w:id="77" w:name="_Toc184308056"/>
      <w:bookmarkEnd w:id="77"/>
      <w:bookmarkStart w:id="78" w:name="_Toc184314480"/>
      <w:bookmarkEnd w:id="78"/>
      <w:bookmarkStart w:id="79" w:name="_Toc184313272"/>
      <w:bookmarkEnd w:id="79"/>
      <w:bookmarkStart w:id="80" w:name="_Toc184313268"/>
      <w:bookmarkEnd w:id="80"/>
      <w:bookmarkStart w:id="81" w:name="_Toc184308047"/>
      <w:bookmarkEnd w:id="81"/>
      <w:bookmarkStart w:id="82" w:name="_Toc184313274"/>
      <w:bookmarkEnd w:id="82"/>
      <w:bookmarkStart w:id="83" w:name="_Toc184308102"/>
      <w:bookmarkEnd w:id="83"/>
      <w:bookmarkStart w:id="84" w:name="_Toc184313289"/>
      <w:bookmarkEnd w:id="84"/>
      <w:bookmarkStart w:id="85" w:name="_Toc184312118"/>
      <w:bookmarkEnd w:id="85"/>
      <w:bookmarkStart w:id="86" w:name="_Toc184310324"/>
      <w:bookmarkEnd w:id="86"/>
      <w:bookmarkStart w:id="87" w:name="_Toc184313284"/>
      <w:bookmarkEnd w:id="87"/>
      <w:bookmarkStart w:id="88" w:name="_Toc184310342"/>
      <w:bookmarkEnd w:id="88"/>
      <w:bookmarkStart w:id="89" w:name="_Toc184314420"/>
      <w:bookmarkEnd w:id="89"/>
      <w:bookmarkStart w:id="90" w:name="_Toc184312128"/>
      <w:bookmarkEnd w:id="90"/>
      <w:bookmarkStart w:id="91" w:name="_Toc184314448"/>
      <w:bookmarkEnd w:id="91"/>
      <w:bookmarkStart w:id="92" w:name="_Toc184313305"/>
      <w:bookmarkEnd w:id="92"/>
      <w:bookmarkStart w:id="93" w:name="_Toc184313299"/>
      <w:bookmarkEnd w:id="93"/>
      <w:bookmarkStart w:id="94" w:name="_Toc184308050"/>
      <w:bookmarkEnd w:id="94"/>
      <w:bookmarkStart w:id="95" w:name="_Toc184310325"/>
      <w:bookmarkEnd w:id="95"/>
      <w:bookmarkStart w:id="96" w:name="_Toc184313290"/>
      <w:bookmarkEnd w:id="96"/>
      <w:bookmarkStart w:id="97" w:name="_Toc184314471"/>
      <w:bookmarkEnd w:id="97"/>
      <w:bookmarkStart w:id="98" w:name="_Toc184310344"/>
      <w:bookmarkEnd w:id="98"/>
      <w:bookmarkStart w:id="99" w:name="_Toc184312110"/>
      <w:bookmarkEnd w:id="99"/>
      <w:bookmarkStart w:id="100" w:name="_Toc184313263"/>
      <w:bookmarkEnd w:id="100"/>
      <w:bookmarkStart w:id="101" w:name="_Toc184308038"/>
      <w:bookmarkEnd w:id="101"/>
      <w:bookmarkStart w:id="102" w:name="_Toc184314411"/>
      <w:bookmarkEnd w:id="102"/>
      <w:bookmarkStart w:id="103" w:name="_Toc184313243"/>
      <w:bookmarkEnd w:id="103"/>
      <w:bookmarkStart w:id="104" w:name="_Toc184308100"/>
      <w:bookmarkEnd w:id="104"/>
      <w:bookmarkStart w:id="105" w:name="_Toc184308103"/>
      <w:bookmarkEnd w:id="105"/>
      <w:bookmarkStart w:id="106" w:name="_Toc184313276"/>
      <w:bookmarkEnd w:id="106"/>
      <w:bookmarkStart w:id="107" w:name="_Toc184312080"/>
      <w:bookmarkEnd w:id="107"/>
      <w:bookmarkStart w:id="108" w:name="_Toc184308074"/>
      <w:bookmarkEnd w:id="108"/>
      <w:bookmarkStart w:id="109" w:name="_Toc184312137"/>
      <w:bookmarkEnd w:id="109"/>
      <w:bookmarkStart w:id="110" w:name="_Toc184313251"/>
      <w:bookmarkEnd w:id="110"/>
      <w:bookmarkStart w:id="111" w:name="_Toc184314421"/>
      <w:bookmarkEnd w:id="111"/>
      <w:bookmarkStart w:id="112" w:name="_Toc184312079"/>
      <w:bookmarkEnd w:id="112"/>
      <w:bookmarkStart w:id="113" w:name="_Toc184312088"/>
      <w:bookmarkEnd w:id="113"/>
      <w:bookmarkStart w:id="114" w:name="_Toc184308055"/>
      <w:bookmarkEnd w:id="114"/>
      <w:bookmarkStart w:id="115" w:name="_Toc184310314"/>
      <w:bookmarkEnd w:id="115"/>
      <w:bookmarkStart w:id="116" w:name="_Toc184312129"/>
      <w:bookmarkEnd w:id="116"/>
      <w:bookmarkStart w:id="117" w:name="_Toc184313275"/>
      <w:bookmarkEnd w:id="117"/>
      <w:bookmarkStart w:id="118" w:name="_Toc184314460"/>
      <w:bookmarkEnd w:id="118"/>
      <w:bookmarkStart w:id="119" w:name="_Toc184308088"/>
      <w:bookmarkEnd w:id="119"/>
      <w:bookmarkStart w:id="120" w:name="_Toc184312108"/>
      <w:bookmarkEnd w:id="120"/>
      <w:bookmarkStart w:id="121" w:name="_Toc184310318"/>
      <w:bookmarkEnd w:id="121"/>
      <w:bookmarkStart w:id="122" w:name="_Toc184314431"/>
      <w:bookmarkEnd w:id="122"/>
      <w:bookmarkStart w:id="123" w:name="_Toc184313246"/>
      <w:bookmarkEnd w:id="123"/>
      <w:bookmarkStart w:id="124" w:name="_Toc184314482"/>
      <w:bookmarkEnd w:id="124"/>
      <w:bookmarkStart w:id="125" w:name="_Toc184312106"/>
      <w:bookmarkEnd w:id="125"/>
      <w:bookmarkStart w:id="126" w:name="_Toc184312111"/>
      <w:bookmarkEnd w:id="126"/>
      <w:bookmarkStart w:id="127" w:name="_Toc184313242"/>
      <w:bookmarkEnd w:id="127"/>
      <w:bookmarkStart w:id="128" w:name="_Toc184308037"/>
      <w:bookmarkEnd w:id="128"/>
      <w:bookmarkStart w:id="129" w:name="_Toc184314436"/>
      <w:bookmarkEnd w:id="129"/>
      <w:bookmarkStart w:id="130" w:name="_Toc184308070"/>
      <w:bookmarkEnd w:id="130"/>
      <w:bookmarkStart w:id="131" w:name="_Toc184310303"/>
      <w:bookmarkEnd w:id="131"/>
      <w:bookmarkStart w:id="132" w:name="_Toc184314443"/>
      <w:bookmarkEnd w:id="132"/>
      <w:bookmarkStart w:id="133" w:name="_Toc184310310"/>
      <w:bookmarkEnd w:id="133"/>
      <w:bookmarkStart w:id="134" w:name="_Toc184310286"/>
      <w:bookmarkEnd w:id="134"/>
      <w:bookmarkStart w:id="135" w:name="_Toc184308094"/>
      <w:bookmarkEnd w:id="135"/>
      <w:bookmarkStart w:id="136" w:name="_Toc184310320"/>
      <w:bookmarkEnd w:id="136"/>
      <w:bookmarkStart w:id="137" w:name="_Toc184312076"/>
      <w:bookmarkEnd w:id="137"/>
      <w:bookmarkStart w:id="138" w:name="_Toc184310332"/>
      <w:bookmarkEnd w:id="138"/>
      <w:bookmarkStart w:id="139" w:name="_Toc184312121"/>
      <w:bookmarkEnd w:id="139"/>
      <w:bookmarkStart w:id="140" w:name="_Toc184312133"/>
      <w:bookmarkEnd w:id="140"/>
      <w:bookmarkStart w:id="141" w:name="_Toc184310293"/>
      <w:bookmarkEnd w:id="141"/>
      <w:bookmarkStart w:id="142" w:name="_Toc184312123"/>
      <w:bookmarkEnd w:id="142"/>
      <w:bookmarkStart w:id="143" w:name="_Toc184314466"/>
      <w:bookmarkEnd w:id="143"/>
      <w:bookmarkStart w:id="144" w:name="_Toc184310340"/>
      <w:bookmarkEnd w:id="144"/>
      <w:bookmarkStart w:id="145" w:name="_Toc184312107"/>
      <w:bookmarkEnd w:id="145"/>
      <w:bookmarkStart w:id="146" w:name="_Toc184310307"/>
      <w:bookmarkEnd w:id="146"/>
      <w:bookmarkStart w:id="147" w:name="_Toc184313278"/>
      <w:bookmarkEnd w:id="147"/>
      <w:bookmarkStart w:id="148" w:name="_Toc184312092"/>
      <w:bookmarkEnd w:id="148"/>
      <w:bookmarkStart w:id="149" w:name="_Toc184313308"/>
      <w:bookmarkEnd w:id="149"/>
      <w:bookmarkStart w:id="150" w:name="_Toc184314464"/>
      <w:bookmarkEnd w:id="150"/>
      <w:bookmarkStart w:id="151" w:name="_Toc184314413"/>
      <w:bookmarkEnd w:id="151"/>
      <w:bookmarkStart w:id="152" w:name="_Toc184310330"/>
      <w:bookmarkEnd w:id="152"/>
      <w:bookmarkStart w:id="153" w:name="_Toc184308106"/>
      <w:bookmarkEnd w:id="153"/>
      <w:bookmarkStart w:id="154" w:name="_Toc184312117"/>
      <w:bookmarkEnd w:id="154"/>
      <w:bookmarkStart w:id="155" w:name="_Toc184308087"/>
      <w:bookmarkEnd w:id="155"/>
      <w:bookmarkStart w:id="156" w:name="_Toc184314455"/>
      <w:bookmarkEnd w:id="156"/>
      <w:bookmarkStart w:id="157" w:name="_Toc184312135"/>
      <w:bookmarkEnd w:id="157"/>
      <w:bookmarkStart w:id="158" w:name="_Toc184312087"/>
      <w:bookmarkEnd w:id="158"/>
      <w:bookmarkStart w:id="159" w:name="_Toc184310312"/>
      <w:bookmarkEnd w:id="159"/>
      <w:bookmarkStart w:id="160" w:name="_Toc184312120"/>
      <w:bookmarkEnd w:id="160"/>
      <w:bookmarkStart w:id="161" w:name="_Toc184314479"/>
      <w:bookmarkEnd w:id="161"/>
      <w:bookmarkStart w:id="162" w:name="_Toc184308097"/>
      <w:bookmarkEnd w:id="162"/>
      <w:bookmarkStart w:id="163" w:name="_Toc184312115"/>
      <w:bookmarkEnd w:id="163"/>
      <w:bookmarkStart w:id="164" w:name="_Toc184313292"/>
      <w:bookmarkEnd w:id="164"/>
      <w:bookmarkStart w:id="165" w:name="_Toc184308058"/>
      <w:bookmarkEnd w:id="165"/>
      <w:bookmarkStart w:id="166" w:name="_Toc184313296"/>
      <w:bookmarkEnd w:id="166"/>
      <w:bookmarkStart w:id="167" w:name="_Toc184308041"/>
      <w:bookmarkEnd w:id="167"/>
      <w:bookmarkStart w:id="168" w:name="_Toc184314428"/>
      <w:bookmarkEnd w:id="168"/>
      <w:bookmarkStart w:id="169" w:name="_Toc184308105"/>
      <w:bookmarkEnd w:id="169"/>
      <w:bookmarkStart w:id="170" w:name="_Toc184312103"/>
      <w:bookmarkEnd w:id="170"/>
      <w:bookmarkStart w:id="171" w:name="_Toc184313297"/>
      <w:bookmarkEnd w:id="171"/>
      <w:bookmarkStart w:id="172" w:name="_Toc184314441"/>
      <w:bookmarkEnd w:id="172"/>
      <w:bookmarkStart w:id="173" w:name="_Toc184314430"/>
      <w:bookmarkEnd w:id="173"/>
      <w:bookmarkStart w:id="174" w:name="_Toc184314461"/>
      <w:bookmarkEnd w:id="174"/>
      <w:bookmarkStart w:id="175" w:name="_Toc184310329"/>
      <w:bookmarkEnd w:id="175"/>
      <w:bookmarkStart w:id="176" w:name="_Toc184314414"/>
      <w:bookmarkEnd w:id="176"/>
      <w:bookmarkStart w:id="177" w:name="_Toc184313264"/>
      <w:bookmarkEnd w:id="177"/>
      <w:bookmarkStart w:id="178" w:name="_Toc184314419"/>
      <w:bookmarkEnd w:id="178"/>
      <w:bookmarkStart w:id="179" w:name="_Toc184314473"/>
      <w:bookmarkEnd w:id="179"/>
      <w:bookmarkStart w:id="180" w:name="_Toc184313259"/>
      <w:bookmarkEnd w:id="180"/>
      <w:bookmarkStart w:id="181" w:name="_Toc184308081"/>
      <w:bookmarkEnd w:id="181"/>
      <w:bookmarkStart w:id="182" w:name="_Toc184312069"/>
      <w:bookmarkEnd w:id="182"/>
      <w:bookmarkStart w:id="183" w:name="_Toc184310311"/>
      <w:bookmarkEnd w:id="183"/>
      <w:bookmarkStart w:id="184" w:name="_Toc184310343"/>
      <w:bookmarkEnd w:id="184"/>
      <w:bookmarkStart w:id="185" w:name="_Toc184308067"/>
      <w:bookmarkEnd w:id="185"/>
      <w:bookmarkStart w:id="186" w:name="_Toc184308084"/>
      <w:bookmarkEnd w:id="186"/>
      <w:bookmarkStart w:id="187" w:name="_Toc184314425"/>
      <w:bookmarkEnd w:id="187"/>
      <w:bookmarkStart w:id="188" w:name="_Toc184312101"/>
      <w:bookmarkEnd w:id="188"/>
      <w:bookmarkStart w:id="189" w:name="_Toc184310313"/>
      <w:bookmarkEnd w:id="189"/>
      <w:bookmarkStart w:id="190" w:name="_Toc184308069"/>
      <w:bookmarkEnd w:id="190"/>
      <w:bookmarkStart w:id="191" w:name="_Toc184314467"/>
      <w:bookmarkEnd w:id="191"/>
      <w:bookmarkStart w:id="192" w:name="_Toc184310300"/>
      <w:bookmarkEnd w:id="192"/>
      <w:bookmarkStart w:id="193" w:name="_Toc184308078"/>
      <w:bookmarkEnd w:id="193"/>
      <w:bookmarkStart w:id="194" w:name="_Toc184308057"/>
      <w:bookmarkEnd w:id="194"/>
      <w:bookmarkStart w:id="195" w:name="_Toc184312116"/>
      <w:bookmarkEnd w:id="195"/>
      <w:bookmarkStart w:id="196" w:name="_Toc184310341"/>
      <w:bookmarkEnd w:id="196"/>
      <w:bookmarkStart w:id="197" w:name="_Toc184308082"/>
      <w:bookmarkEnd w:id="197"/>
      <w:bookmarkStart w:id="198" w:name="_Toc184313287"/>
      <w:bookmarkEnd w:id="198"/>
      <w:bookmarkStart w:id="199" w:name="_Toc184308071"/>
      <w:bookmarkEnd w:id="199"/>
      <w:bookmarkStart w:id="200" w:name="_Toc184313280"/>
      <w:bookmarkEnd w:id="200"/>
      <w:bookmarkStart w:id="201" w:name="_Toc184308104"/>
      <w:bookmarkEnd w:id="201"/>
      <w:bookmarkStart w:id="202" w:name="_Toc184310306"/>
      <w:bookmarkEnd w:id="202"/>
      <w:bookmarkStart w:id="203" w:name="_Toc184314438"/>
      <w:bookmarkEnd w:id="203"/>
      <w:bookmarkStart w:id="204" w:name="_Toc184314454"/>
      <w:bookmarkEnd w:id="204"/>
      <w:bookmarkStart w:id="205" w:name="_Toc184314432"/>
      <w:bookmarkEnd w:id="205"/>
      <w:bookmarkStart w:id="206" w:name="_Toc184308053"/>
      <w:bookmarkEnd w:id="206"/>
      <w:bookmarkStart w:id="207" w:name="_Toc184310326"/>
      <w:bookmarkEnd w:id="207"/>
      <w:bookmarkStart w:id="208" w:name="_Toc184310290"/>
      <w:bookmarkEnd w:id="208"/>
      <w:bookmarkStart w:id="209" w:name="_Toc184313269"/>
      <w:bookmarkEnd w:id="209"/>
      <w:bookmarkStart w:id="210" w:name="_Toc184310295"/>
      <w:bookmarkEnd w:id="210"/>
      <w:bookmarkStart w:id="211" w:name="_Toc184313277"/>
      <w:bookmarkEnd w:id="211"/>
      <w:bookmarkStart w:id="212" w:name="_Toc184312122"/>
      <w:bookmarkEnd w:id="212"/>
      <w:bookmarkStart w:id="213" w:name="_Toc184313301"/>
      <w:bookmarkEnd w:id="213"/>
      <w:bookmarkStart w:id="214" w:name="_Toc184314415"/>
      <w:bookmarkEnd w:id="214"/>
      <w:bookmarkStart w:id="215" w:name="_Toc184310336"/>
      <w:bookmarkEnd w:id="215"/>
      <w:bookmarkStart w:id="216" w:name="_Toc184312098"/>
      <w:bookmarkEnd w:id="216"/>
      <w:bookmarkStart w:id="217" w:name="_Toc184313248"/>
      <w:bookmarkEnd w:id="217"/>
      <w:bookmarkStart w:id="218" w:name="_Toc184313307"/>
      <w:bookmarkEnd w:id="218"/>
      <w:bookmarkStart w:id="219" w:name="_Toc184310315"/>
      <w:bookmarkEnd w:id="219"/>
      <w:bookmarkStart w:id="220" w:name="_Toc184310308"/>
      <w:bookmarkEnd w:id="220"/>
      <w:bookmarkStart w:id="221" w:name="_Toc184312112"/>
      <w:bookmarkEnd w:id="221"/>
      <w:bookmarkStart w:id="222" w:name="_Toc184312124"/>
      <w:bookmarkEnd w:id="222"/>
      <w:bookmarkStart w:id="223" w:name="_Toc184310281"/>
      <w:bookmarkEnd w:id="223"/>
      <w:bookmarkStart w:id="224" w:name="_Toc184314477"/>
      <w:bookmarkEnd w:id="224"/>
      <w:bookmarkStart w:id="225" w:name="_Toc184313270"/>
      <w:bookmarkEnd w:id="225"/>
      <w:bookmarkStart w:id="226" w:name="_Toc184310294"/>
      <w:bookmarkEnd w:id="226"/>
      <w:bookmarkStart w:id="227" w:name="_Toc184312091"/>
      <w:bookmarkEnd w:id="227"/>
      <w:bookmarkStart w:id="228" w:name="_Toc184312136"/>
      <w:bookmarkEnd w:id="228"/>
      <w:bookmarkStart w:id="229" w:name="_Toc184312119"/>
      <w:bookmarkEnd w:id="229"/>
      <w:bookmarkStart w:id="230" w:name="_Toc184312074"/>
      <w:bookmarkEnd w:id="230"/>
      <w:bookmarkStart w:id="231" w:name="_Toc184314463"/>
      <w:bookmarkEnd w:id="231"/>
      <w:bookmarkStart w:id="232" w:name="_Toc184310291"/>
      <w:bookmarkEnd w:id="232"/>
      <w:bookmarkStart w:id="233" w:name="_Toc184308092"/>
      <w:bookmarkEnd w:id="233"/>
      <w:bookmarkStart w:id="234" w:name="_Toc184312132"/>
      <w:bookmarkEnd w:id="234"/>
      <w:bookmarkStart w:id="235" w:name="_Toc184313302"/>
      <w:bookmarkEnd w:id="235"/>
      <w:bookmarkStart w:id="236" w:name="_Toc184312083"/>
      <w:bookmarkEnd w:id="236"/>
      <w:bookmarkStart w:id="237" w:name="_Toc184313240"/>
      <w:bookmarkEnd w:id="237"/>
      <w:bookmarkStart w:id="238" w:name="_Toc184314412"/>
      <w:bookmarkEnd w:id="238"/>
      <w:bookmarkStart w:id="239" w:name="_Toc184310317"/>
      <w:bookmarkEnd w:id="239"/>
      <w:bookmarkStart w:id="240" w:name="_Toc184310333"/>
      <w:bookmarkEnd w:id="240"/>
      <w:bookmarkStart w:id="241" w:name="_Toc184314423"/>
      <w:bookmarkEnd w:id="241"/>
      <w:bookmarkStart w:id="242" w:name="_Toc184312099"/>
      <w:bookmarkEnd w:id="242"/>
      <w:bookmarkStart w:id="243" w:name="_Toc184314426"/>
      <w:bookmarkEnd w:id="243"/>
      <w:bookmarkStart w:id="244" w:name="_Toc184314418"/>
      <w:bookmarkEnd w:id="244"/>
      <w:bookmarkStart w:id="245" w:name="_Toc184314451"/>
      <w:bookmarkEnd w:id="245"/>
      <w:bookmarkStart w:id="246" w:name="_Toc184310298"/>
      <w:bookmarkEnd w:id="246"/>
      <w:bookmarkStart w:id="247" w:name="_Toc184314416"/>
      <w:bookmarkEnd w:id="247"/>
      <w:bookmarkStart w:id="248" w:name="_Toc184314470"/>
      <w:bookmarkEnd w:id="248"/>
      <w:bookmarkStart w:id="249" w:name="_Toc184314459"/>
      <w:bookmarkEnd w:id="249"/>
      <w:bookmarkStart w:id="250" w:name="_Toc184312096"/>
      <w:bookmarkEnd w:id="250"/>
      <w:bookmarkStart w:id="251" w:name="_Toc184313262"/>
      <w:bookmarkEnd w:id="251"/>
      <w:bookmarkStart w:id="252" w:name="_Toc184314422"/>
      <w:bookmarkEnd w:id="252"/>
      <w:bookmarkStart w:id="253" w:name="_Toc184308101"/>
      <w:bookmarkEnd w:id="253"/>
      <w:bookmarkStart w:id="254" w:name="_Toc184308072"/>
      <w:bookmarkEnd w:id="254"/>
      <w:bookmarkStart w:id="255" w:name="_Toc184312077"/>
      <w:bookmarkEnd w:id="255"/>
      <w:bookmarkStart w:id="256" w:name="_Toc184312134"/>
      <w:bookmarkEnd w:id="256"/>
      <w:bookmarkStart w:id="257" w:name="_Toc184310274"/>
      <w:bookmarkEnd w:id="257"/>
      <w:bookmarkStart w:id="258" w:name="_Toc184312097"/>
      <w:bookmarkEnd w:id="258"/>
      <w:bookmarkStart w:id="259" w:name="_Toc184308095"/>
      <w:bookmarkEnd w:id="259"/>
      <w:bookmarkStart w:id="260" w:name="_Toc184310289"/>
      <w:bookmarkEnd w:id="260"/>
      <w:bookmarkStart w:id="261" w:name="_Toc184314450"/>
      <w:bookmarkEnd w:id="261"/>
      <w:bookmarkStart w:id="262" w:name="_Toc184314435"/>
      <w:bookmarkEnd w:id="262"/>
      <w:bookmarkStart w:id="263" w:name="_Toc184313304"/>
      <w:bookmarkEnd w:id="263"/>
      <w:bookmarkStart w:id="264" w:name="_Toc184314417"/>
      <w:bookmarkEnd w:id="264"/>
      <w:bookmarkStart w:id="265" w:name="_Toc184308099"/>
      <w:bookmarkEnd w:id="265"/>
      <w:bookmarkStart w:id="266" w:name="_Toc184310323"/>
      <w:bookmarkEnd w:id="266"/>
      <w:bookmarkStart w:id="267" w:name="_Toc184314442"/>
      <w:bookmarkEnd w:id="267"/>
      <w:bookmarkStart w:id="268" w:name="_Toc184310276"/>
      <w:bookmarkEnd w:id="268"/>
      <w:bookmarkStart w:id="269" w:name="_Toc184310275"/>
      <w:bookmarkEnd w:id="269"/>
      <w:bookmarkStart w:id="270" w:name="_Toc184312114"/>
      <w:bookmarkEnd w:id="270"/>
      <w:bookmarkStart w:id="271" w:name="_Toc184313285"/>
      <w:bookmarkEnd w:id="271"/>
      <w:bookmarkStart w:id="272" w:name="_Toc184310328"/>
      <w:bookmarkEnd w:id="272"/>
      <w:bookmarkStart w:id="273" w:name="_Toc184312127"/>
      <w:bookmarkEnd w:id="273"/>
      <w:bookmarkStart w:id="274" w:name="_Toc184308044"/>
      <w:bookmarkEnd w:id="274"/>
      <w:bookmarkStart w:id="275" w:name="_Toc184313255"/>
      <w:bookmarkEnd w:id="275"/>
      <w:bookmarkStart w:id="276" w:name="_Toc184310319"/>
      <w:bookmarkEnd w:id="276"/>
      <w:bookmarkStart w:id="277" w:name="_Toc184308051"/>
      <w:bookmarkEnd w:id="277"/>
      <w:bookmarkStart w:id="278" w:name="_Toc184314465"/>
      <w:bookmarkEnd w:id="278"/>
      <w:bookmarkStart w:id="279" w:name="_Toc184313252"/>
      <w:bookmarkEnd w:id="279"/>
      <w:bookmarkStart w:id="280" w:name="_Toc184308077"/>
      <w:bookmarkEnd w:id="280"/>
      <w:bookmarkStart w:id="281" w:name="_Toc184310302"/>
      <w:bookmarkEnd w:id="281"/>
      <w:bookmarkStart w:id="282" w:name="_Toc184308086"/>
      <w:bookmarkEnd w:id="282"/>
      <w:bookmarkStart w:id="283" w:name="_Toc184308076"/>
      <w:bookmarkEnd w:id="283"/>
      <w:bookmarkStart w:id="284" w:name="_Toc184313257"/>
      <w:bookmarkEnd w:id="284"/>
      <w:bookmarkStart w:id="285" w:name="_Toc184313282"/>
      <w:bookmarkEnd w:id="285"/>
      <w:bookmarkStart w:id="286" w:name="_Toc184314468"/>
      <w:bookmarkEnd w:id="286"/>
      <w:bookmarkStart w:id="287" w:name="_Toc184310304"/>
      <w:bookmarkEnd w:id="287"/>
      <w:bookmarkStart w:id="288" w:name="_Toc184310337"/>
      <w:bookmarkEnd w:id="288"/>
      <w:bookmarkStart w:id="289" w:name="_Toc184314478"/>
      <w:bookmarkEnd w:id="289"/>
      <w:bookmarkStart w:id="290" w:name="_Toc184308085"/>
      <w:bookmarkEnd w:id="290"/>
      <w:bookmarkStart w:id="291" w:name="_Toc184313279"/>
      <w:bookmarkEnd w:id="291"/>
      <w:bookmarkStart w:id="292" w:name="_Toc184314447"/>
      <w:bookmarkEnd w:id="292"/>
      <w:bookmarkStart w:id="293" w:name="_Toc184310278"/>
      <w:bookmarkEnd w:id="293"/>
      <w:bookmarkStart w:id="294" w:name="_Toc184308098"/>
      <w:bookmarkEnd w:id="294"/>
      <w:bookmarkStart w:id="295" w:name="_Toc184310283"/>
      <w:bookmarkEnd w:id="295"/>
      <w:bookmarkStart w:id="296" w:name="_Toc184310321"/>
      <w:bookmarkEnd w:id="296"/>
      <w:bookmarkStart w:id="297" w:name="_Toc184313298"/>
      <w:bookmarkEnd w:id="297"/>
      <w:bookmarkStart w:id="298" w:name="_Toc184308054"/>
      <w:bookmarkEnd w:id="298"/>
      <w:bookmarkStart w:id="299" w:name="_Toc184308079"/>
      <w:bookmarkEnd w:id="299"/>
      <w:bookmarkStart w:id="300" w:name="_Toc184312095"/>
      <w:bookmarkEnd w:id="300"/>
      <w:bookmarkStart w:id="301" w:name="_Toc184310338"/>
      <w:bookmarkEnd w:id="301"/>
      <w:bookmarkStart w:id="302" w:name="_Toc184312070"/>
      <w:bookmarkEnd w:id="302"/>
      <w:bookmarkStart w:id="303" w:name="_Toc184314458"/>
      <w:bookmarkEnd w:id="303"/>
      <w:bookmarkStart w:id="304" w:name="_Toc184312102"/>
      <w:bookmarkEnd w:id="304"/>
      <w:bookmarkStart w:id="305" w:name="_Toc184308089"/>
      <w:bookmarkEnd w:id="305"/>
      <w:bookmarkStart w:id="306" w:name="_Toc184310297"/>
      <w:bookmarkEnd w:id="306"/>
      <w:bookmarkStart w:id="307" w:name="_Toc184314434"/>
      <w:bookmarkEnd w:id="307"/>
      <w:bookmarkStart w:id="308" w:name="_Toc184313241"/>
      <w:bookmarkEnd w:id="308"/>
      <w:bookmarkStart w:id="309" w:name="_Toc184313253"/>
      <w:bookmarkEnd w:id="309"/>
      <w:bookmarkStart w:id="310" w:name="_Toc184312084"/>
      <w:bookmarkEnd w:id="310"/>
      <w:bookmarkStart w:id="311" w:name="_Toc184310339"/>
      <w:bookmarkEnd w:id="311"/>
      <w:bookmarkStart w:id="312" w:name="_Toc184313249"/>
      <w:bookmarkEnd w:id="312"/>
      <w:bookmarkStart w:id="313" w:name="_Toc184310282"/>
      <w:bookmarkEnd w:id="313"/>
      <w:bookmarkStart w:id="314" w:name="_Toc184313256"/>
      <w:bookmarkEnd w:id="314"/>
      <w:bookmarkStart w:id="315" w:name="_Toc184308042"/>
      <w:bookmarkEnd w:id="315"/>
      <w:bookmarkStart w:id="316" w:name="_Toc184310331"/>
      <w:bookmarkEnd w:id="316"/>
      <w:bookmarkStart w:id="317" w:name="_Toc184314439"/>
      <w:bookmarkEnd w:id="317"/>
      <w:bookmarkStart w:id="318" w:name="_Toc184308066"/>
      <w:bookmarkEnd w:id="318"/>
      <w:bookmarkStart w:id="319" w:name="_Toc184308064"/>
      <w:bookmarkEnd w:id="319"/>
      <w:bookmarkStart w:id="320" w:name="_Toc184308093"/>
      <w:bookmarkEnd w:id="320"/>
      <w:bookmarkStart w:id="321" w:name="_Toc184313244"/>
      <w:bookmarkEnd w:id="321"/>
      <w:bookmarkStart w:id="322" w:name="_Toc184312105"/>
      <w:bookmarkEnd w:id="322"/>
      <w:bookmarkStart w:id="323" w:name="_Toc184313271"/>
      <w:bookmarkEnd w:id="323"/>
      <w:bookmarkStart w:id="324" w:name="_Toc184308073"/>
      <w:bookmarkEnd w:id="324"/>
      <w:bookmarkStart w:id="325" w:name="_Toc184310285"/>
      <w:bookmarkEnd w:id="325"/>
      <w:bookmarkStart w:id="326" w:name="_Toc184313238"/>
      <w:bookmarkEnd w:id="326"/>
      <w:bookmarkStart w:id="327" w:name="_Toc184313245"/>
      <w:bookmarkEnd w:id="327"/>
      <w:bookmarkStart w:id="328" w:name="_Toc184314481"/>
      <w:bookmarkEnd w:id="328"/>
      <w:bookmarkStart w:id="329" w:name="_Toc184308083"/>
      <w:bookmarkEnd w:id="329"/>
      <w:bookmarkStart w:id="330" w:name="_Toc184313261"/>
      <w:bookmarkEnd w:id="330"/>
      <w:bookmarkStart w:id="331" w:name="_Toc184314457"/>
      <w:bookmarkEnd w:id="331"/>
      <w:bookmarkStart w:id="332" w:name="_Toc184314427"/>
      <w:bookmarkEnd w:id="332"/>
      <w:bookmarkStart w:id="333" w:name="_Toc184313295"/>
      <w:bookmarkEnd w:id="333"/>
      <w:bookmarkStart w:id="334" w:name="_Toc184308040"/>
      <w:bookmarkEnd w:id="334"/>
      <w:bookmarkStart w:id="335" w:name="_Toc184314475"/>
      <w:bookmarkEnd w:id="335"/>
      <w:bookmarkStart w:id="336" w:name="_Toc184310309"/>
      <w:bookmarkEnd w:id="336"/>
      <w:bookmarkStart w:id="337" w:name="_Toc184310273"/>
      <w:bookmarkEnd w:id="337"/>
      <w:bookmarkStart w:id="338" w:name="_Toc184312075"/>
      <w:bookmarkEnd w:id="338"/>
      <w:bookmarkStart w:id="339" w:name="_Toc184312125"/>
      <w:bookmarkEnd w:id="339"/>
      <w:bookmarkStart w:id="340" w:name="_Toc184312139"/>
      <w:bookmarkEnd w:id="340"/>
      <w:bookmarkStart w:id="341" w:name="_Toc184312086"/>
      <w:bookmarkEnd w:id="341"/>
      <w:bookmarkStart w:id="342" w:name="_Toc184310272"/>
      <w:bookmarkEnd w:id="342"/>
      <w:bookmarkStart w:id="343" w:name="_Toc184314429"/>
      <w:bookmarkEnd w:id="343"/>
      <w:bookmarkStart w:id="344" w:name="_Toc184313250"/>
      <w:bookmarkEnd w:id="344"/>
      <w:bookmarkStart w:id="345" w:name="_Toc184313293"/>
      <w:bookmarkEnd w:id="345"/>
      <w:bookmarkStart w:id="346" w:name="_Toc184308090"/>
      <w:bookmarkEnd w:id="346"/>
      <w:bookmarkStart w:id="347" w:name="_Toc184314437"/>
      <w:bookmarkEnd w:id="347"/>
      <w:bookmarkStart w:id="348" w:name="_Toc184313281"/>
      <w:bookmarkEnd w:id="348"/>
      <w:bookmarkStart w:id="349" w:name="_Toc184310287"/>
      <w:bookmarkEnd w:id="349"/>
      <w:bookmarkStart w:id="350" w:name="_Toc184308048"/>
      <w:bookmarkEnd w:id="350"/>
      <w:bookmarkStart w:id="351" w:name="_Toc184308080"/>
      <w:bookmarkEnd w:id="351"/>
      <w:bookmarkStart w:id="352" w:name="_Toc184314446"/>
      <w:bookmarkEnd w:id="352"/>
      <w:bookmarkStart w:id="353" w:name="_Toc184314445"/>
      <w:bookmarkEnd w:id="353"/>
      <w:bookmarkStart w:id="354" w:name="_Toc184312073"/>
      <w:bookmarkEnd w:id="354"/>
      <w:bookmarkStart w:id="355" w:name="_Toc184313283"/>
      <w:bookmarkEnd w:id="355"/>
      <w:bookmarkStart w:id="356" w:name="_Toc184308096"/>
      <w:bookmarkEnd w:id="356"/>
      <w:bookmarkStart w:id="357" w:name="_Toc184312089"/>
      <w:bookmarkEnd w:id="357"/>
      <w:bookmarkStart w:id="358" w:name="_Toc184310277"/>
      <w:bookmarkEnd w:id="358"/>
      <w:bookmarkStart w:id="359" w:name="_Toc184312130"/>
      <w:bookmarkEnd w:id="359"/>
      <w:bookmarkStart w:id="360" w:name="_Toc184312109"/>
      <w:bookmarkEnd w:id="360"/>
      <w:bookmarkStart w:id="361" w:name="_Toc184313300"/>
      <w:bookmarkEnd w:id="361"/>
      <w:bookmarkStart w:id="362" w:name="_Toc184310280"/>
      <w:bookmarkEnd w:id="362"/>
      <w:bookmarkStart w:id="363" w:name="_Toc184313273"/>
      <w:bookmarkEnd w:id="363"/>
      <w:bookmarkStart w:id="364" w:name="_Toc184308039"/>
      <w:bookmarkEnd w:id="364"/>
      <w:bookmarkStart w:id="365" w:name="_Toc184312131"/>
      <w:bookmarkEnd w:id="365"/>
      <w:bookmarkStart w:id="366" w:name="_Toc184312067"/>
      <w:bookmarkEnd w:id="366"/>
      <w:bookmarkStart w:id="367" w:name="_Toc184312078"/>
      <w:bookmarkEnd w:id="367"/>
      <w:bookmarkStart w:id="368" w:name="_Toc184312085"/>
      <w:bookmarkEnd w:id="368"/>
      <w:bookmarkStart w:id="369" w:name="_Toc184310288"/>
      <w:bookmarkEnd w:id="369"/>
      <w:bookmarkStart w:id="370" w:name="_Toc184308075"/>
      <w:bookmarkEnd w:id="370"/>
      <w:bookmarkStart w:id="371" w:name="_Toc184308046"/>
      <w:bookmarkEnd w:id="371"/>
      <w:bookmarkStart w:id="372" w:name="_Toc184310292"/>
      <w:bookmarkEnd w:id="372"/>
      <w:bookmarkStart w:id="373" w:name="_Toc184310284"/>
      <w:bookmarkEnd w:id="373"/>
      <w:bookmarkStart w:id="374" w:name="_Toc184308045"/>
      <w:bookmarkEnd w:id="374"/>
      <w:bookmarkStart w:id="375" w:name="_Toc184314433"/>
      <w:bookmarkEnd w:id="375"/>
      <w:bookmarkStart w:id="376" w:name="_Toc184313286"/>
      <w:bookmarkEnd w:id="376"/>
      <w:bookmarkStart w:id="377" w:name="_Toc184310327"/>
      <w:bookmarkEnd w:id="377"/>
      <w:bookmarkStart w:id="378" w:name="_Toc184310301"/>
      <w:bookmarkEnd w:id="378"/>
      <w:bookmarkStart w:id="379" w:name="_Toc184313266"/>
      <w:bookmarkEnd w:id="379"/>
      <w:bookmarkStart w:id="380" w:name="_Toc184312126"/>
      <w:bookmarkEnd w:id="380"/>
      <w:bookmarkStart w:id="381" w:name="_Toc184313303"/>
      <w:bookmarkEnd w:id="381"/>
      <w:bookmarkStart w:id="382" w:name="_Toc184308062"/>
      <w:bookmarkEnd w:id="382"/>
      <w:bookmarkStart w:id="383" w:name="_Toc184314472"/>
      <w:bookmarkEnd w:id="383"/>
      <w:bookmarkStart w:id="384" w:name="_Toc184310305"/>
      <w:bookmarkEnd w:id="384"/>
      <w:bookmarkStart w:id="385" w:name="_Toc184310334"/>
      <w:bookmarkEnd w:id="385"/>
      <w:bookmarkStart w:id="386" w:name="_Toc184308060"/>
      <w:bookmarkEnd w:id="386"/>
      <w:bookmarkStart w:id="387" w:name="_Toc184308068"/>
      <w:bookmarkEnd w:id="387"/>
      <w:bookmarkStart w:id="388" w:name="_Toc184310316"/>
      <w:bookmarkEnd w:id="388"/>
      <w:bookmarkStart w:id="389" w:name="_Toc184314444"/>
      <w:bookmarkEnd w:id="389"/>
      <w:bookmarkStart w:id="390" w:name="_Toc184313294"/>
      <w:bookmarkEnd w:id="390"/>
      <w:bookmarkStart w:id="391" w:name="_Toc184312068"/>
      <w:bookmarkEnd w:id="391"/>
      <w:bookmarkStart w:id="392" w:name="_Toc184313309"/>
      <w:bookmarkEnd w:id="392"/>
      <w:bookmarkStart w:id="393" w:name="_Toc184313239"/>
      <w:bookmarkEnd w:id="393"/>
      <w:bookmarkStart w:id="394" w:name="_Toc184314424"/>
      <w:bookmarkEnd w:id="394"/>
      <w:bookmarkStart w:id="395" w:name="_Toc184308059"/>
      <w:bookmarkEnd w:id="395"/>
      <w:bookmarkStart w:id="396" w:name="_Toc184312082"/>
      <w:bookmarkEnd w:id="396"/>
      <w:bookmarkStart w:id="397" w:name="_Toc184314453"/>
      <w:bookmarkEnd w:id="397"/>
      <w:bookmarkStart w:id="398" w:name="_Toc184313247"/>
      <w:bookmarkEnd w:id="398"/>
      <w:bookmarkStart w:id="399" w:name="_Toc184313265"/>
      <w:bookmarkEnd w:id="399"/>
      <w:bookmarkStart w:id="400" w:name="_Toc184308052"/>
      <w:bookmarkEnd w:id="400"/>
      <w:bookmarkStart w:id="401" w:name="_Toc184312071"/>
      <w:bookmarkEnd w:id="401"/>
      <w:bookmarkStart w:id="402" w:name="_Toc184314440"/>
      <w:bookmarkEnd w:id="402"/>
      <w:bookmarkStart w:id="403" w:name="_Toc184314474"/>
      <w:bookmarkEnd w:id="403"/>
      <w:bookmarkStart w:id="404" w:name="_Toc184308063"/>
      <w:bookmarkEnd w:id="404"/>
      <w:bookmarkStart w:id="405" w:name="_Toc184310322"/>
      <w:bookmarkEnd w:id="405"/>
      <w:bookmarkStart w:id="406" w:name="_Toc184310279"/>
      <w:bookmarkEnd w:id="406"/>
      <w:bookmarkStart w:id="407" w:name="_Toc184308108"/>
      <w:bookmarkEnd w:id="407"/>
      <w:bookmarkStart w:id="408" w:name="_Toc184314462"/>
      <w:bookmarkEnd w:id="408"/>
      <w:bookmarkStart w:id="409" w:name="_Toc184313267"/>
      <w:bookmarkEnd w:id="409"/>
      <w:r>
        <w:rPr>
          <w:rFonts w:hint="eastAsia" w:ascii="仿宋" w:hAnsi="仿宋" w:eastAsia="仿宋" w:cs="仿宋"/>
          <w:b/>
          <w:color w:val="auto"/>
          <w:sz w:val="36"/>
          <w:szCs w:val="36"/>
          <w:highlight w:val="none"/>
        </w:rPr>
        <w:t>评标办法</w:t>
      </w:r>
    </w:p>
    <w:p w14:paraId="399427A8">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bookmarkEnd w:id="26"/>
    <w:p w14:paraId="14F2B974">
      <w:pPr>
        <w:spacing w:line="360" w:lineRule="auto"/>
        <w:rPr>
          <w:rFonts w:hint="eastAsia" w:ascii="仿宋" w:hAnsi="仿宋" w:eastAsia="仿宋" w:cs="仿宋"/>
          <w:color w:val="auto"/>
          <w:sz w:val="20"/>
          <w:szCs w:val="20"/>
          <w:highlight w:val="none"/>
          <w:shd w:val="clear" w:color="auto" w:fill="FFFFFF"/>
          <w:lang w:val="en-US" w:eastAsia="zh-CN"/>
        </w:rPr>
      </w:pPr>
      <w:bookmarkStart w:id="410" w:name="第五部分"/>
      <w:bookmarkStart w:id="411" w:name="_Toc86217003"/>
      <w:r>
        <w:rPr>
          <w:rFonts w:hint="eastAsia" w:ascii="仿宋" w:hAnsi="仿宋" w:eastAsia="仿宋" w:cs="仿宋"/>
          <w:color w:val="auto"/>
          <w:sz w:val="20"/>
          <w:szCs w:val="20"/>
          <w:highlight w:val="none"/>
          <w:shd w:val="clear" w:color="auto" w:fill="FFFFFF"/>
          <w:lang w:val="en-US" w:eastAsia="zh-CN"/>
        </w:rPr>
        <w:t>资信技术：90分</w:t>
      </w:r>
    </w:p>
    <w:tbl>
      <w:tblPr>
        <w:tblStyle w:val="62"/>
        <w:tblW w:w="891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55"/>
        <w:gridCol w:w="4428"/>
        <w:gridCol w:w="1076"/>
        <w:gridCol w:w="1077"/>
      </w:tblGrid>
      <w:tr w14:paraId="3A57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5CC9A21D">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983" w:type="dxa"/>
            <w:gridSpan w:val="2"/>
            <w:tcBorders>
              <w:top w:val="single" w:color="auto" w:sz="4" w:space="0"/>
              <w:left w:val="single" w:color="auto" w:sz="4" w:space="0"/>
              <w:bottom w:val="single" w:color="auto" w:sz="4" w:space="0"/>
              <w:right w:val="single" w:color="auto" w:sz="4" w:space="0"/>
            </w:tcBorders>
            <w:noWrap w:val="0"/>
            <w:vAlign w:val="center"/>
          </w:tcPr>
          <w:p w14:paraId="01C636DC">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5951C69">
            <w:pPr>
              <w:spacing w:after="0"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分值范围</w:t>
            </w:r>
          </w:p>
        </w:tc>
        <w:tc>
          <w:tcPr>
            <w:tcW w:w="1077" w:type="dxa"/>
            <w:tcBorders>
              <w:top w:val="single" w:color="auto" w:sz="4" w:space="0"/>
              <w:left w:val="single" w:color="auto" w:sz="4" w:space="0"/>
              <w:bottom w:val="single" w:color="auto" w:sz="4" w:space="0"/>
              <w:right w:val="single" w:color="auto" w:sz="4" w:space="0"/>
            </w:tcBorders>
            <w:noWrap w:val="0"/>
            <w:vAlign w:val="top"/>
          </w:tcPr>
          <w:p w14:paraId="5B0519F6">
            <w:pPr>
              <w:spacing w:after="0"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0488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right w:val="single" w:color="auto" w:sz="4" w:space="0"/>
            </w:tcBorders>
            <w:noWrap w:val="0"/>
            <w:vAlign w:val="center"/>
          </w:tcPr>
          <w:p w14:paraId="7ADAA6B7">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55" w:type="dxa"/>
            <w:tcBorders>
              <w:top w:val="single" w:color="auto" w:sz="4" w:space="0"/>
              <w:left w:val="single" w:color="auto" w:sz="4" w:space="0"/>
              <w:right w:val="single" w:color="auto" w:sz="4" w:space="0"/>
            </w:tcBorders>
            <w:noWrap w:val="0"/>
            <w:vAlign w:val="center"/>
          </w:tcPr>
          <w:p w14:paraId="7B37FE3A">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服务经验</w:t>
            </w:r>
          </w:p>
        </w:tc>
        <w:tc>
          <w:tcPr>
            <w:tcW w:w="4428" w:type="dxa"/>
            <w:tcBorders>
              <w:top w:val="single" w:color="auto" w:sz="4" w:space="0"/>
              <w:left w:val="single" w:color="auto" w:sz="4" w:space="0"/>
              <w:bottom w:val="single" w:color="auto" w:sz="4" w:space="0"/>
              <w:right w:val="single" w:color="auto" w:sz="4" w:space="0"/>
            </w:tcBorders>
            <w:noWrap w:val="0"/>
            <w:vAlign w:val="center"/>
          </w:tcPr>
          <w:p w14:paraId="24F09C04">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供应商自20</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月1日以来有政府机关</w:t>
            </w:r>
            <w:r>
              <w:rPr>
                <w:rFonts w:hint="eastAsia" w:ascii="仿宋" w:hAnsi="仿宋" w:eastAsia="仿宋" w:cs="仿宋"/>
                <w:color w:val="auto"/>
                <w:sz w:val="24"/>
                <w:szCs w:val="24"/>
                <w:highlight w:val="none"/>
                <w:lang w:eastAsia="zh-CN"/>
              </w:rPr>
              <w:t>、事业</w:t>
            </w:r>
            <w:r>
              <w:rPr>
                <w:rFonts w:hint="eastAsia" w:ascii="仿宋" w:hAnsi="仿宋" w:eastAsia="仿宋" w:cs="仿宋"/>
                <w:color w:val="auto"/>
                <w:sz w:val="24"/>
                <w:szCs w:val="24"/>
                <w:highlight w:val="none"/>
              </w:rPr>
              <w:t>单位类似常年法律顾问服务</w:t>
            </w:r>
            <w:r>
              <w:rPr>
                <w:rFonts w:hint="eastAsia" w:ascii="仿宋" w:hAnsi="仿宋" w:eastAsia="仿宋" w:cs="仿宋"/>
                <w:color w:val="auto"/>
                <w:sz w:val="24"/>
                <w:szCs w:val="24"/>
                <w:highlight w:val="none"/>
                <w:lang w:val="en-US" w:eastAsia="zh-CN"/>
              </w:rPr>
              <w:t>经验的（需提供合同扫描件并加盖投标单位公章），</w:t>
            </w:r>
            <w:r>
              <w:rPr>
                <w:rFonts w:hint="eastAsia" w:ascii="仿宋" w:hAnsi="仿宋" w:eastAsia="仿宋" w:cs="仿宋"/>
                <w:color w:val="auto"/>
                <w:sz w:val="24"/>
                <w:szCs w:val="24"/>
                <w:highlight w:val="none"/>
              </w:rPr>
              <w:t>每提供一个得0.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65A69DD">
            <w:pPr>
              <w:spacing w:after="0" w:line="3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0-1</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098E8E8">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4AD9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right w:val="single" w:color="auto" w:sz="4" w:space="0"/>
            </w:tcBorders>
            <w:noWrap w:val="0"/>
            <w:vAlign w:val="center"/>
          </w:tcPr>
          <w:p w14:paraId="4A70414A">
            <w:pPr>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55" w:type="dxa"/>
            <w:tcBorders>
              <w:top w:val="single" w:color="auto" w:sz="4" w:space="0"/>
              <w:left w:val="single" w:color="auto" w:sz="4" w:space="0"/>
              <w:right w:val="single" w:color="auto" w:sz="4" w:space="0"/>
            </w:tcBorders>
            <w:noWrap w:val="0"/>
            <w:vAlign w:val="center"/>
          </w:tcPr>
          <w:p w14:paraId="180DD7A9">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项目目标和需求的理解和认识</w:t>
            </w:r>
          </w:p>
        </w:tc>
        <w:tc>
          <w:tcPr>
            <w:tcW w:w="4428" w:type="dxa"/>
            <w:tcBorders>
              <w:top w:val="single" w:color="auto" w:sz="4" w:space="0"/>
              <w:left w:val="single" w:color="auto" w:sz="4" w:space="0"/>
              <w:bottom w:val="single" w:color="auto" w:sz="4" w:space="0"/>
              <w:right w:val="single" w:color="auto" w:sz="4" w:space="0"/>
            </w:tcBorders>
            <w:noWrap w:val="0"/>
            <w:vAlign w:val="center"/>
          </w:tcPr>
          <w:p w14:paraId="6C6F6590">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供应商对本项目目标和需求的把握程度，现状了解分析到位，目标任务定位准确，对项目内容分析到位进行评审，是否准确、全面、到位等情况进行综合评定。</w:t>
            </w:r>
            <w:r>
              <w:rPr>
                <w:rFonts w:hint="eastAsia" w:ascii="仿宋" w:hAnsi="仿宋" w:eastAsia="仿宋" w:cs="仿宋"/>
                <w:color w:val="auto"/>
                <w:sz w:val="24"/>
                <w:szCs w:val="24"/>
                <w:highlight w:val="none"/>
                <w:lang w:val="en-US" w:eastAsia="zh-CN"/>
              </w:rPr>
              <w:t>方案内容完整合理的得5分；方案内容较为完整合理的得4分；方案内容基本完整合理的得3分；方案内容存在缺失的得2分；方案内容严重缺失的得1分，未提供不得分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34C3BB0">
            <w:pPr>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D1BAF6B">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3861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74" w:type="dxa"/>
            <w:vMerge w:val="restart"/>
            <w:tcBorders>
              <w:top w:val="single" w:color="auto" w:sz="4" w:space="0"/>
              <w:left w:val="single" w:color="auto" w:sz="4" w:space="0"/>
              <w:right w:val="single" w:color="auto" w:sz="4" w:space="0"/>
            </w:tcBorders>
            <w:noWrap w:val="0"/>
            <w:vAlign w:val="center"/>
          </w:tcPr>
          <w:p w14:paraId="6D66ABAF">
            <w:pPr>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55" w:type="dxa"/>
            <w:vMerge w:val="restart"/>
            <w:tcBorders>
              <w:top w:val="single" w:color="auto" w:sz="4" w:space="0"/>
              <w:left w:val="single" w:color="auto" w:sz="4" w:space="0"/>
              <w:right w:val="single" w:color="auto" w:sz="4" w:space="0"/>
            </w:tcBorders>
            <w:noWrap w:val="0"/>
            <w:vAlign w:val="center"/>
          </w:tcPr>
          <w:p w14:paraId="28A62305">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管理制度情况</w:t>
            </w:r>
          </w:p>
        </w:tc>
        <w:tc>
          <w:tcPr>
            <w:tcW w:w="4428" w:type="dxa"/>
            <w:tcBorders>
              <w:top w:val="single" w:color="auto" w:sz="4" w:space="0"/>
              <w:left w:val="single" w:color="auto" w:sz="4" w:space="0"/>
              <w:bottom w:val="single" w:color="auto" w:sz="4" w:space="0"/>
              <w:right w:val="single" w:color="auto" w:sz="4" w:space="0"/>
            </w:tcBorders>
            <w:noWrap w:val="0"/>
            <w:vAlign w:val="center"/>
          </w:tcPr>
          <w:p w14:paraId="1C3F84B3">
            <w:pPr>
              <w:spacing w:after="0"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根据人员管理（考核制度）的完整性、合理性进行综合评定。</w:t>
            </w:r>
            <w:r>
              <w:rPr>
                <w:rFonts w:hint="eastAsia" w:ascii="仿宋" w:hAnsi="仿宋" w:eastAsia="仿宋" w:cs="仿宋"/>
                <w:color w:val="auto"/>
                <w:sz w:val="24"/>
                <w:szCs w:val="24"/>
                <w:highlight w:val="none"/>
                <w:lang w:val="en-US" w:eastAsia="zh-CN"/>
              </w:rPr>
              <w:t>方案内容完整合理的得3分；方案内容基本完整合理的得2分；方案内容存在缺失的得1分；未提供的不得分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C86AC21">
            <w:pPr>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C78F00A">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0FF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vMerge w:val="continue"/>
            <w:tcBorders>
              <w:left w:val="single" w:color="auto" w:sz="4" w:space="0"/>
              <w:right w:val="single" w:color="auto" w:sz="4" w:space="0"/>
            </w:tcBorders>
            <w:noWrap w:val="0"/>
            <w:vAlign w:val="center"/>
          </w:tcPr>
          <w:p w14:paraId="5A6A98E4">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7EE7E0CA">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65D9022A">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根据分配机制和财务制度的完整性、合理性进行综合评价。</w:t>
            </w:r>
            <w:r>
              <w:rPr>
                <w:rFonts w:hint="eastAsia" w:ascii="仿宋" w:hAnsi="仿宋" w:eastAsia="仿宋" w:cs="仿宋"/>
                <w:color w:val="auto"/>
                <w:sz w:val="24"/>
                <w:szCs w:val="24"/>
                <w:highlight w:val="none"/>
                <w:lang w:val="en-US" w:eastAsia="zh-CN"/>
              </w:rPr>
              <w:t>方案内容完整合理的得3分；方案内容基本完整合理的得2分；方案内容存在缺失的得1分；未提供的不得分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D984179">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0-3</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264CF69">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5968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vMerge w:val="continue"/>
            <w:tcBorders>
              <w:left w:val="single" w:color="auto" w:sz="4" w:space="0"/>
              <w:right w:val="single" w:color="auto" w:sz="4" w:space="0"/>
            </w:tcBorders>
            <w:noWrap w:val="0"/>
            <w:vAlign w:val="center"/>
          </w:tcPr>
          <w:p w14:paraId="14569BE7">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7DBE09B1">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460893E1">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根据案件讨论制度的完整性、合理性进行综合评定。</w:t>
            </w:r>
            <w:r>
              <w:rPr>
                <w:rFonts w:hint="eastAsia" w:ascii="仿宋" w:hAnsi="仿宋" w:eastAsia="仿宋" w:cs="仿宋"/>
                <w:color w:val="auto"/>
                <w:sz w:val="24"/>
                <w:szCs w:val="24"/>
                <w:highlight w:val="none"/>
                <w:lang w:val="en-US" w:eastAsia="zh-CN"/>
              </w:rPr>
              <w:t>方案内容完整合理的得2分；方案内容基本完整合理的得1分；方案内容存在缺失或未提供的不得分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202F56E">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0-2</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170E7E1">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BFE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vMerge w:val="continue"/>
            <w:tcBorders>
              <w:left w:val="single" w:color="auto" w:sz="4" w:space="0"/>
              <w:right w:val="single" w:color="auto" w:sz="4" w:space="0"/>
            </w:tcBorders>
            <w:noWrap w:val="0"/>
            <w:vAlign w:val="center"/>
          </w:tcPr>
          <w:p w14:paraId="36641C93">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6850FE0F">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05B39E42">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服务质量和风险防控制度的完整性、合理性进行综合评定。</w:t>
            </w:r>
            <w:r>
              <w:rPr>
                <w:rFonts w:hint="eastAsia" w:ascii="仿宋" w:hAnsi="仿宋" w:eastAsia="仿宋" w:cs="仿宋"/>
                <w:color w:val="auto"/>
                <w:sz w:val="24"/>
                <w:szCs w:val="24"/>
                <w:highlight w:val="none"/>
                <w:lang w:val="en-US" w:eastAsia="zh-CN"/>
              </w:rPr>
              <w:t>方案内容完整合理的得2分；方案内容基本完整合理的得1分；方案内容存在缺失或未提供的不得分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EF983CC">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0-2</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6AF2DBF">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3F2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vMerge w:val="continue"/>
            <w:tcBorders>
              <w:left w:val="single" w:color="auto" w:sz="4" w:space="0"/>
              <w:right w:val="single" w:color="auto" w:sz="4" w:space="0"/>
            </w:tcBorders>
            <w:noWrap w:val="0"/>
            <w:vAlign w:val="center"/>
          </w:tcPr>
          <w:p w14:paraId="1E5F0155">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51638249">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5C628555">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律师分派制度的完整性、合理性进行综合评定。</w:t>
            </w:r>
            <w:r>
              <w:rPr>
                <w:rFonts w:hint="eastAsia" w:ascii="仿宋" w:hAnsi="仿宋" w:eastAsia="仿宋" w:cs="仿宋"/>
                <w:color w:val="auto"/>
                <w:sz w:val="24"/>
                <w:szCs w:val="24"/>
                <w:highlight w:val="none"/>
                <w:lang w:val="en-US" w:eastAsia="zh-CN"/>
              </w:rPr>
              <w:t>方案内容完整合理的得2分；方案内容基本完整合理的得1分；方案内容存在缺失或未提供的不得分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7AAF0F6">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0-2</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6D531E0">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E75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vMerge w:val="continue"/>
            <w:tcBorders>
              <w:left w:val="single" w:color="auto" w:sz="4" w:space="0"/>
              <w:right w:val="single" w:color="auto" w:sz="4" w:space="0"/>
            </w:tcBorders>
            <w:noWrap w:val="0"/>
            <w:vAlign w:val="center"/>
          </w:tcPr>
          <w:p w14:paraId="1B78CA1F">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756C4C73">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1397B954">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律所利益冲突排除制度的完整性、合理性进行综合评定。</w:t>
            </w:r>
            <w:r>
              <w:rPr>
                <w:rFonts w:hint="eastAsia" w:ascii="仿宋" w:hAnsi="仿宋" w:eastAsia="仿宋" w:cs="仿宋"/>
                <w:color w:val="auto"/>
                <w:sz w:val="24"/>
                <w:szCs w:val="24"/>
                <w:highlight w:val="none"/>
                <w:lang w:val="en-US" w:eastAsia="zh-CN"/>
              </w:rPr>
              <w:t>方案内容完整合理的得2分；方案内容基本完整合理的得1分；方案内容存在缺失或未提供的不得分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7838EFE">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0-2</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EE66DF9">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668D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vMerge w:val="continue"/>
            <w:tcBorders>
              <w:left w:val="single" w:color="auto" w:sz="4" w:space="0"/>
              <w:right w:val="single" w:color="auto" w:sz="4" w:space="0"/>
            </w:tcBorders>
            <w:noWrap w:val="0"/>
            <w:vAlign w:val="center"/>
          </w:tcPr>
          <w:p w14:paraId="32D089BE">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1F68E804">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31F7DB0F">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律所决策制度的完整性、合理性进行综合评定。</w:t>
            </w:r>
            <w:r>
              <w:rPr>
                <w:rFonts w:hint="eastAsia" w:ascii="仿宋" w:hAnsi="仿宋" w:eastAsia="仿宋" w:cs="仿宋"/>
                <w:color w:val="auto"/>
                <w:sz w:val="24"/>
                <w:szCs w:val="24"/>
                <w:highlight w:val="none"/>
                <w:lang w:val="en-US" w:eastAsia="zh-CN"/>
              </w:rPr>
              <w:t>方案内容完整合理的得2分；方案内容基本完整合理的得1分；方案内容存在缺失或未提供的不得分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62E8334">
            <w:pPr>
              <w:spacing w:after="0" w:line="360" w:lineRule="exact"/>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0-2</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D7A45FB">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2797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74" w:type="dxa"/>
            <w:vMerge w:val="continue"/>
            <w:tcBorders>
              <w:left w:val="single" w:color="auto" w:sz="4" w:space="0"/>
              <w:right w:val="single" w:color="auto" w:sz="4" w:space="0"/>
            </w:tcBorders>
            <w:noWrap w:val="0"/>
            <w:vAlign w:val="center"/>
          </w:tcPr>
          <w:p w14:paraId="59016BDB">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076898F1">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4CD89F5D">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档案管理制度的完整性、合理性进行综合评定。</w:t>
            </w:r>
            <w:r>
              <w:rPr>
                <w:rFonts w:hint="eastAsia" w:ascii="仿宋" w:hAnsi="仿宋" w:eastAsia="仿宋" w:cs="仿宋"/>
                <w:color w:val="auto"/>
                <w:sz w:val="24"/>
                <w:szCs w:val="24"/>
                <w:highlight w:val="none"/>
                <w:lang w:val="en-US" w:eastAsia="zh-CN"/>
              </w:rPr>
              <w:t>方案内容完整合理的得2分；方案内容基本完整合理的得1分；方案内容存在缺失或未提供的不得分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16207E8">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0-2</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F471E6E">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CCF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vMerge w:val="continue"/>
            <w:tcBorders>
              <w:left w:val="single" w:color="auto" w:sz="4" w:space="0"/>
              <w:right w:val="single" w:color="auto" w:sz="4" w:space="0"/>
            </w:tcBorders>
            <w:noWrap w:val="0"/>
            <w:vAlign w:val="center"/>
          </w:tcPr>
          <w:p w14:paraId="48A19813">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335D5ED6">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37821954">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投诉处理机制的完整性、合理性进行综合评定。</w:t>
            </w:r>
            <w:r>
              <w:rPr>
                <w:rFonts w:hint="eastAsia" w:ascii="仿宋" w:hAnsi="仿宋" w:eastAsia="仿宋" w:cs="仿宋"/>
                <w:color w:val="auto"/>
                <w:sz w:val="24"/>
                <w:szCs w:val="24"/>
                <w:highlight w:val="none"/>
                <w:lang w:val="en-US" w:eastAsia="zh-CN"/>
              </w:rPr>
              <w:t>方案内容完整合理的得2分；方案内容基本完整合理的得1分；方案内容存在缺失或未提供的不得分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3E1F722">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0-2</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618360D">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067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774" w:type="dxa"/>
            <w:vMerge w:val="restart"/>
            <w:tcBorders>
              <w:left w:val="single" w:color="auto" w:sz="4" w:space="0"/>
              <w:right w:val="single" w:color="auto" w:sz="4" w:space="0"/>
            </w:tcBorders>
            <w:noWrap w:val="0"/>
            <w:vAlign w:val="center"/>
          </w:tcPr>
          <w:p w14:paraId="072BE5E8">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55" w:type="dxa"/>
            <w:vMerge w:val="restart"/>
            <w:tcBorders>
              <w:top w:val="single" w:color="auto" w:sz="4" w:space="0"/>
              <w:left w:val="single" w:color="auto" w:sz="4" w:space="0"/>
              <w:right w:val="single" w:color="auto" w:sz="4" w:space="0"/>
            </w:tcBorders>
            <w:noWrap w:val="0"/>
            <w:vAlign w:val="center"/>
          </w:tcPr>
          <w:p w14:paraId="351D313C">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团队情况</w:t>
            </w:r>
          </w:p>
        </w:tc>
        <w:tc>
          <w:tcPr>
            <w:tcW w:w="4428" w:type="dxa"/>
            <w:tcBorders>
              <w:top w:val="single" w:color="auto" w:sz="4" w:space="0"/>
              <w:left w:val="single" w:color="auto" w:sz="4" w:space="0"/>
              <w:right w:val="single" w:color="auto" w:sz="4" w:space="0"/>
            </w:tcBorders>
            <w:noWrap w:val="0"/>
            <w:vAlign w:val="center"/>
          </w:tcPr>
          <w:p w14:paraId="1A49AB59">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拟派项目负责人及团队成员中执业年限10年（含）以上，每一名得1分；执业年限5年（含）以上，每一名得0.5分（</w:t>
            </w:r>
            <w:r>
              <w:rPr>
                <w:rFonts w:hint="eastAsia" w:ascii="仿宋" w:hAnsi="仿宋" w:eastAsia="仿宋" w:cs="仿宋"/>
                <w:bCs/>
                <w:color w:val="auto"/>
                <w:sz w:val="24"/>
                <w:highlight w:val="none"/>
                <w:shd w:val="clear" w:color="auto" w:fill="auto"/>
                <w:lang w:val="en-US" w:eastAsia="zh-CN"/>
              </w:rPr>
              <w:t>从取得律师资格证之日起计算）</w:t>
            </w:r>
            <w:r>
              <w:rPr>
                <w:rFonts w:hint="eastAsia" w:ascii="仿宋" w:hAnsi="仿宋" w:eastAsia="仿宋" w:cs="仿宋"/>
                <w:color w:val="auto"/>
                <w:sz w:val="24"/>
                <w:szCs w:val="24"/>
                <w:highlight w:val="none"/>
                <w:lang w:val="en-US" w:eastAsia="zh-CN"/>
              </w:rPr>
              <w:t>，本项最高6分（证明材料：投标文件中需提供</w:t>
            </w:r>
            <w:r>
              <w:rPr>
                <w:rFonts w:hint="eastAsia" w:ascii="仿宋" w:hAnsi="仿宋" w:eastAsia="仿宋" w:cs="仿宋"/>
                <w:color w:val="auto"/>
                <w:sz w:val="24"/>
                <w:highlight w:val="none"/>
                <w:lang w:val="en-US" w:eastAsia="zh-CN"/>
              </w:rPr>
              <w:t>至投标截止时间3个月内任意一个月的</w:t>
            </w:r>
            <w:r>
              <w:rPr>
                <w:rFonts w:hint="eastAsia" w:ascii="仿宋" w:hAnsi="仿宋" w:eastAsia="仿宋" w:cs="仿宋"/>
                <w:color w:val="auto"/>
                <w:sz w:val="24"/>
                <w:highlight w:val="none"/>
                <w:lang w:val="zh-CN" w:eastAsia="zh-CN"/>
              </w:rPr>
              <w:t>社保证明、</w:t>
            </w:r>
            <w:r>
              <w:rPr>
                <w:rFonts w:hint="eastAsia" w:ascii="仿宋" w:hAnsi="仿宋" w:eastAsia="仿宋" w:cs="仿宋"/>
                <w:color w:val="auto"/>
                <w:sz w:val="24"/>
                <w:szCs w:val="24"/>
                <w:highlight w:val="none"/>
                <w:lang w:val="en-US" w:eastAsia="zh-CN"/>
              </w:rPr>
              <w:t>律师执业证书复印件并加盖投标人公章）。</w:t>
            </w:r>
          </w:p>
        </w:tc>
        <w:tc>
          <w:tcPr>
            <w:tcW w:w="1076" w:type="dxa"/>
            <w:tcBorders>
              <w:left w:val="single" w:color="auto" w:sz="4" w:space="0"/>
              <w:right w:val="single" w:color="auto" w:sz="4" w:space="0"/>
            </w:tcBorders>
            <w:noWrap w:val="0"/>
            <w:vAlign w:val="center"/>
          </w:tcPr>
          <w:p w14:paraId="67EBABC0">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0-6</w:t>
            </w:r>
          </w:p>
        </w:tc>
        <w:tc>
          <w:tcPr>
            <w:tcW w:w="1077" w:type="dxa"/>
            <w:tcBorders>
              <w:left w:val="single" w:color="auto" w:sz="4" w:space="0"/>
              <w:bottom w:val="single" w:color="auto" w:sz="4" w:space="0"/>
              <w:right w:val="single" w:color="auto" w:sz="4" w:space="0"/>
            </w:tcBorders>
            <w:noWrap w:val="0"/>
            <w:vAlign w:val="center"/>
          </w:tcPr>
          <w:p w14:paraId="11963986">
            <w:pPr>
              <w:spacing w:after="0"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客观</w:t>
            </w:r>
            <w:r>
              <w:rPr>
                <w:rFonts w:hint="eastAsia" w:ascii="仿宋" w:hAnsi="仿宋" w:eastAsia="仿宋" w:cs="仿宋"/>
                <w:color w:val="auto"/>
                <w:sz w:val="24"/>
                <w:szCs w:val="24"/>
                <w:highlight w:val="none"/>
                <w:lang w:val="en-US" w:eastAsia="zh-CN"/>
              </w:rPr>
              <w:t>分</w:t>
            </w:r>
          </w:p>
        </w:tc>
      </w:tr>
      <w:tr w14:paraId="24FC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74" w:type="dxa"/>
            <w:vMerge w:val="continue"/>
            <w:tcBorders>
              <w:left w:val="single" w:color="auto" w:sz="4" w:space="0"/>
              <w:right w:val="single" w:color="auto" w:sz="4" w:space="0"/>
            </w:tcBorders>
            <w:noWrap w:val="0"/>
            <w:vAlign w:val="center"/>
          </w:tcPr>
          <w:p w14:paraId="0534ED28">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4B4C866C">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E67B78">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项目负责人自 2023年1月1日起，</w:t>
            </w:r>
            <w:r>
              <w:rPr>
                <w:rFonts w:hint="eastAsia" w:ascii="仿宋" w:hAnsi="仿宋" w:eastAsia="仿宋" w:cs="仿宋"/>
                <w:color w:val="auto"/>
                <w:sz w:val="24"/>
                <w:highlight w:val="none"/>
                <w:lang w:val="zh-CN" w:eastAsia="zh-CN"/>
              </w:rPr>
              <w:t>具有</w:t>
            </w:r>
            <w:r>
              <w:rPr>
                <w:rFonts w:hint="eastAsia" w:ascii="仿宋" w:hAnsi="仿宋" w:eastAsia="仿宋" w:cs="仿宋"/>
                <w:color w:val="auto"/>
                <w:sz w:val="24"/>
                <w:highlight w:val="none"/>
                <w:lang w:val="en-US" w:eastAsia="zh-CN"/>
              </w:rPr>
              <w:t>各级党委、或政府机关、或事业单位</w:t>
            </w:r>
            <w:r>
              <w:rPr>
                <w:rFonts w:hint="eastAsia" w:ascii="仿宋" w:hAnsi="仿宋" w:eastAsia="仿宋" w:cs="仿宋"/>
                <w:color w:val="auto"/>
                <w:sz w:val="24"/>
                <w:szCs w:val="24"/>
                <w:highlight w:val="none"/>
              </w:rPr>
              <w:t>常年法律顾问服务经验的</w:t>
            </w:r>
            <w:r>
              <w:rPr>
                <w:rFonts w:hint="eastAsia" w:ascii="仿宋" w:hAnsi="仿宋" w:eastAsia="仿宋" w:cs="仿宋"/>
                <w:color w:val="auto"/>
                <w:sz w:val="24"/>
                <w:highlight w:val="none"/>
                <w:lang w:val="en-US" w:eastAsia="zh-CN"/>
              </w:rPr>
              <w:t>,一个委托单位得0.3分，最高得3分。</w:t>
            </w:r>
          </w:p>
          <w:p w14:paraId="62630B99">
            <w:pPr>
              <w:spacing w:after="0"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说明：①投标文件中提供相关合同证明，合同无法证明项目负责人工作经历的，经补充有委托方或业主单位盖章的说明或证明材料；</w:t>
            </w:r>
            <w:r>
              <w:rPr>
                <w:rFonts w:hint="eastAsia" w:ascii="宋体" w:hAnsi="宋体" w:eastAsia="宋体" w:cs="宋体"/>
                <w:color w:val="auto"/>
                <w:sz w:val="24"/>
                <w:highlight w:val="none"/>
                <w:lang w:val="en-US" w:eastAsia="zh-CN"/>
              </w:rPr>
              <w:t>②</w:t>
            </w:r>
            <w:r>
              <w:rPr>
                <w:rFonts w:hint="eastAsia" w:ascii="仿宋" w:hAnsi="仿宋" w:eastAsia="仿宋" w:cs="仿宋"/>
                <w:color w:val="auto"/>
                <w:sz w:val="24"/>
                <w:highlight w:val="none"/>
                <w:lang w:val="en-US" w:eastAsia="zh-CN"/>
              </w:rPr>
              <w:t>证明材料时间</w:t>
            </w:r>
            <w:r>
              <w:rPr>
                <w:rFonts w:hint="eastAsia" w:ascii="仿宋" w:hAnsi="仿宋" w:eastAsia="仿宋" w:cs="仿宋"/>
                <w:b w:val="0"/>
                <w:bCs w:val="0"/>
                <w:color w:val="auto"/>
                <w:sz w:val="24"/>
                <w:highlight w:val="none"/>
                <w:lang w:val="en-US" w:eastAsia="zh-CN"/>
              </w:rPr>
              <w:t>以合同签订时间为准</w:t>
            </w:r>
            <w:r>
              <w:rPr>
                <w:rFonts w:hint="eastAsia" w:ascii="仿宋" w:hAnsi="仿宋" w:eastAsia="仿宋" w:cs="仿宋"/>
                <w:color w:val="auto"/>
                <w:sz w:val="24"/>
                <w:highlight w:val="none"/>
                <w:lang w:val="en-US" w:eastAsia="zh-CN"/>
              </w:rPr>
              <w:t>；</w:t>
            </w:r>
            <w:r>
              <w:rPr>
                <w:rFonts w:hint="eastAsia" w:ascii="宋体" w:hAnsi="宋体" w:eastAsia="宋体" w:cs="宋体"/>
                <w:color w:val="auto"/>
                <w:sz w:val="24"/>
                <w:highlight w:val="none"/>
                <w:lang w:val="en-US" w:eastAsia="zh-CN"/>
              </w:rPr>
              <w:t>③</w:t>
            </w:r>
            <w:r>
              <w:rPr>
                <w:rFonts w:hint="eastAsia" w:ascii="仿宋" w:hAnsi="仿宋" w:eastAsia="仿宋" w:cs="仿宋"/>
                <w:color w:val="auto"/>
                <w:sz w:val="24"/>
                <w:highlight w:val="none"/>
                <w:lang w:val="en-US" w:eastAsia="zh-CN"/>
              </w:rPr>
              <w:t xml:space="preserve">同一个甲方单位不重复计分。 </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34DD83">
            <w:pPr>
              <w:keepNext w:val="0"/>
              <w:keepLines w:val="0"/>
              <w:pageBreakBefore w:val="0"/>
              <w:widowControl/>
              <w:kinsoku/>
              <w:wordWrap/>
              <w:overflowPunct/>
              <w:topLinePunct w:val="0"/>
              <w:autoSpaceDE/>
              <w:autoSpaceDN/>
              <w:bidi w:val="0"/>
              <w:adjustRightInd/>
              <w:spacing w:line="360" w:lineRule="auto"/>
              <w:ind w:firstLine="240" w:firstLineChars="1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0-3</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89F35C">
            <w:pPr>
              <w:spacing w:after="0" w:line="360" w:lineRule="exac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r>
      <w:tr w14:paraId="3605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74" w:type="dxa"/>
            <w:vMerge w:val="continue"/>
            <w:tcBorders>
              <w:left w:val="single" w:color="auto" w:sz="4" w:space="0"/>
              <w:right w:val="single" w:color="auto" w:sz="4" w:space="0"/>
            </w:tcBorders>
            <w:noWrap w:val="0"/>
            <w:vAlign w:val="center"/>
          </w:tcPr>
          <w:p w14:paraId="3384D297">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4DD3C47D">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078696C7">
            <w:pPr>
              <w:spacing w:after="0"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拟派项目负责人及团队成员中有一级律师职称每个加1.5分，二级律师职称每个加1分，三级律师职称每个加0.5分，其余不得分，最高得4分（证明材料：投标文件中需提供律师职称证书复印件并加盖投标人公章）。</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D7AC79F">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0-4</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8254165">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Hans"/>
              </w:rPr>
              <w:t>客观分</w:t>
            </w:r>
          </w:p>
        </w:tc>
      </w:tr>
      <w:tr w14:paraId="6EE2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74" w:type="dxa"/>
            <w:vMerge w:val="continue"/>
            <w:tcBorders>
              <w:left w:val="single" w:color="auto" w:sz="4" w:space="0"/>
              <w:right w:val="single" w:color="auto" w:sz="4" w:space="0"/>
            </w:tcBorders>
            <w:noWrap w:val="0"/>
            <w:vAlign w:val="center"/>
          </w:tcPr>
          <w:p w14:paraId="18F2B450">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36B6F38D">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5ED4D1D8">
            <w:pPr>
              <w:spacing w:after="0"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专业覆盖范围，根据拟派团队人员情况、参与项目情况、获得表彰情况，根据尽可能覆盖各法律服务范围进行评价（具备政策文件方面内容的得1分，具备行政机关合同及规范性文件审查方面内容的得1分，具备招投标（包含政府采购）方面内容的得1分，具备行政复议方面内容的得1分，具备行政诉讼方面内容的得1分，具备国家赔偿方面内容的得1分。证明材料：投标文件中需提供相关证明材料并加盖投标单位公章，未提供的不得分）。</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20DB872">
            <w:pPr>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88FB975">
            <w:pPr>
              <w:spacing w:after="0" w:line="36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客观分</w:t>
            </w:r>
          </w:p>
        </w:tc>
      </w:tr>
      <w:tr w14:paraId="4B07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74" w:type="dxa"/>
            <w:vMerge w:val="continue"/>
            <w:tcBorders>
              <w:left w:val="single" w:color="auto" w:sz="4" w:space="0"/>
              <w:right w:val="single" w:color="auto" w:sz="4" w:space="0"/>
            </w:tcBorders>
            <w:noWrap w:val="0"/>
            <w:vAlign w:val="center"/>
          </w:tcPr>
          <w:p w14:paraId="31C57F4F">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39339CE6">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2907EFD7">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团队成员内部分工及工作机制：</w:t>
            </w:r>
          </w:p>
          <w:p w14:paraId="74089D8A">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根据投标人提交的服务团队内部分工安排和工作机制是否合理高效情况，包括到服务响应及时性，人员稳定性，进行综合评定。</w:t>
            </w:r>
            <w:r>
              <w:rPr>
                <w:rFonts w:hint="eastAsia" w:ascii="仿宋" w:hAnsi="仿宋" w:eastAsia="仿宋" w:cs="仿宋"/>
                <w:color w:val="auto"/>
                <w:sz w:val="24"/>
                <w:szCs w:val="24"/>
                <w:highlight w:val="none"/>
                <w:lang w:val="en-US" w:eastAsia="zh-CN"/>
              </w:rPr>
              <w:t>方案内容完整合理的得5分；方案内容较为完整合理的得4分；方案内容基本完整合理的得3分；方案内容存在缺失的得2分；方案内容严重缺失的得1分，未提供不得分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90DE395">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0-5</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8D77E30">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231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74" w:type="dxa"/>
            <w:vMerge w:val="continue"/>
            <w:tcBorders>
              <w:left w:val="single" w:color="auto" w:sz="4" w:space="0"/>
              <w:right w:val="single" w:color="auto" w:sz="4" w:space="0"/>
            </w:tcBorders>
            <w:noWrap w:val="0"/>
            <w:vAlign w:val="center"/>
          </w:tcPr>
          <w:p w14:paraId="65AB3B02">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7A510B04">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15A3F40A">
            <w:pPr>
              <w:spacing w:after="0" w:line="36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项目负责人资历、执业年限、类似项目服务经验、行业影响力、社会职务等情况综合评定，资历深经验丰富，职业年限长且行业影响力大的得4分，资历深经验较丰富，职业年限较长且行业影响力较大的得3分，资历深经验一般，职业年限短且行业影响力一般的得1分，未提供的不得分。（证明材料：投标文件中需提供相关证明材料并加盖投标单位公章）</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3FBD0AB">
            <w:pPr>
              <w:spacing w:after="0"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12B41A3">
            <w:pPr>
              <w:spacing w:after="0"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3F30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74" w:type="dxa"/>
            <w:vMerge w:val="continue"/>
            <w:tcBorders>
              <w:left w:val="single" w:color="auto" w:sz="4" w:space="0"/>
              <w:right w:val="single" w:color="auto" w:sz="4" w:space="0"/>
            </w:tcBorders>
            <w:noWrap w:val="0"/>
            <w:vAlign w:val="center"/>
          </w:tcPr>
          <w:p w14:paraId="0A4DD075">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2A01236D">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57B1D505">
            <w:pPr>
              <w:spacing w:after="0" w:line="36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团队成员自2023年1月1日至今，具有为行政单位（镇、街道）、事业单位、国企出具社会风险评估报告相关经验的，每提供一个备案证书得0.5分，最高得3分。（证明材料：投标文件中需提供社会风险评估备案材料，未提供的不得分）</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BCFCA59">
            <w:pPr>
              <w:spacing w:after="0"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3CFCF35">
            <w:pPr>
              <w:spacing w:after="0"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4179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74" w:type="dxa"/>
            <w:vMerge w:val="continue"/>
            <w:tcBorders>
              <w:left w:val="single" w:color="auto" w:sz="4" w:space="0"/>
              <w:right w:val="single" w:color="auto" w:sz="4" w:space="0"/>
            </w:tcBorders>
            <w:noWrap w:val="0"/>
            <w:vAlign w:val="center"/>
          </w:tcPr>
          <w:p w14:paraId="7001ADBF">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bottom w:val="single" w:color="auto" w:sz="4" w:space="0"/>
              <w:right w:val="single" w:color="auto" w:sz="4" w:space="0"/>
            </w:tcBorders>
            <w:noWrap w:val="0"/>
            <w:vAlign w:val="center"/>
          </w:tcPr>
          <w:p w14:paraId="0270EC3B">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0B95F21B">
            <w:pPr>
              <w:spacing w:after="0" w:line="36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法律服务团队的负责人或团队律师自2023年1月1日以来所代理的涉及行政处罚的行政复议、行政诉讼案件数量，低于5件不得分，超过5件的得1分。超过15件的得3分，超过25件的得5分。（证明材料：投标文件中需提供对应决定书、裁定书、判决书的首页、尾页以及载明代理律师姓名页或案件代理委托合同并加盖投标单位公章）</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813E227">
            <w:pPr>
              <w:spacing w:after="0"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369CD4B">
            <w:pPr>
              <w:spacing w:after="0"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1880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74" w:type="dxa"/>
            <w:vMerge w:val="restart"/>
            <w:tcBorders>
              <w:top w:val="single" w:color="auto" w:sz="4" w:space="0"/>
              <w:left w:val="single" w:color="auto" w:sz="4" w:space="0"/>
              <w:right w:val="single" w:color="auto" w:sz="4" w:space="0"/>
            </w:tcBorders>
            <w:noWrap w:val="0"/>
            <w:vAlign w:val="center"/>
          </w:tcPr>
          <w:p w14:paraId="07E22836">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55" w:type="dxa"/>
            <w:vMerge w:val="restart"/>
            <w:tcBorders>
              <w:top w:val="single" w:color="auto" w:sz="4" w:space="0"/>
              <w:left w:val="single" w:color="auto" w:sz="4" w:space="0"/>
              <w:right w:val="single" w:color="auto" w:sz="4" w:space="0"/>
            </w:tcBorders>
            <w:noWrap w:val="0"/>
            <w:vAlign w:val="center"/>
          </w:tcPr>
          <w:p w14:paraId="40CC2723">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服务方案</w:t>
            </w:r>
          </w:p>
          <w:p w14:paraId="66FCBBFC">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right w:val="single" w:color="auto" w:sz="4" w:space="0"/>
            </w:tcBorders>
            <w:noWrap w:val="0"/>
            <w:vAlign w:val="center"/>
          </w:tcPr>
          <w:p w14:paraId="3DDA051A">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根据供应商提供的法律服务计划：针对本项目的具体工作内容、流程及安排方案详细、清晰、合理等情况进行综合评定。</w:t>
            </w:r>
            <w:r>
              <w:rPr>
                <w:rFonts w:hint="eastAsia" w:ascii="仿宋" w:hAnsi="仿宋" w:eastAsia="仿宋" w:cs="仿宋"/>
                <w:color w:val="auto"/>
                <w:sz w:val="24"/>
                <w:szCs w:val="24"/>
                <w:highlight w:val="none"/>
                <w:lang w:val="en-US" w:eastAsia="zh-CN"/>
              </w:rPr>
              <w:t>方案内容完整合理的得5分；方案内容较为完整合理的得4分；方案内容基本完整合理的得3分；方案内容存在缺失的得2分；方案内容严重缺失的得1分，未提供不得分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right w:val="single" w:color="auto" w:sz="4" w:space="0"/>
            </w:tcBorders>
            <w:noWrap w:val="0"/>
            <w:vAlign w:val="center"/>
          </w:tcPr>
          <w:p w14:paraId="3D6AA5C7">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0-5</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9B7D284">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798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74" w:type="dxa"/>
            <w:vMerge w:val="continue"/>
            <w:tcBorders>
              <w:left w:val="single" w:color="auto" w:sz="4" w:space="0"/>
              <w:right w:val="single" w:color="auto" w:sz="4" w:space="0"/>
            </w:tcBorders>
            <w:noWrap w:val="0"/>
            <w:vAlign w:val="center"/>
          </w:tcPr>
          <w:p w14:paraId="080DE1D0">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088B26C8">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0D6AE9CC">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日常法律服务响应时间进行综合评定。</w:t>
            </w:r>
            <w:r>
              <w:rPr>
                <w:rFonts w:hint="eastAsia" w:ascii="仿宋" w:hAnsi="仿宋" w:eastAsia="仿宋" w:cs="仿宋"/>
                <w:color w:val="auto"/>
                <w:sz w:val="24"/>
                <w:szCs w:val="24"/>
                <w:highlight w:val="none"/>
                <w:lang w:val="en-US" w:eastAsia="zh-CN"/>
              </w:rPr>
              <w:t>方案内容完整合理的得5分；方案内容较为完整合理的得4分；方案内容基本完整合理的得3分；方案内容存在缺失的得2分；方案内容严重缺失的得1分，未提供不得分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62005B9">
            <w:pPr>
              <w:spacing w:after="0" w:line="3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EB6DE62">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5A62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74" w:type="dxa"/>
            <w:vMerge w:val="continue"/>
            <w:tcBorders>
              <w:left w:val="single" w:color="auto" w:sz="4" w:space="0"/>
              <w:bottom w:val="single" w:color="auto" w:sz="4" w:space="0"/>
              <w:right w:val="single" w:color="auto" w:sz="4" w:space="0"/>
            </w:tcBorders>
            <w:noWrap w:val="0"/>
            <w:vAlign w:val="center"/>
          </w:tcPr>
          <w:p w14:paraId="7CAE3996">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08EB659E">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275FE3B7">
            <w:pPr>
              <w:spacing w:after="0" w:line="360" w:lineRule="exac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提供普法培训、法律知识普及等服务方案。计划合理、内容丰富，具有较强可操作性和实用性进行综合评定。</w:t>
            </w:r>
            <w:r>
              <w:rPr>
                <w:rFonts w:hint="eastAsia" w:ascii="仿宋" w:hAnsi="仿宋" w:eastAsia="仿宋" w:cs="仿宋"/>
                <w:color w:val="auto"/>
                <w:sz w:val="24"/>
                <w:szCs w:val="24"/>
                <w:highlight w:val="none"/>
                <w:lang w:val="en-US" w:eastAsia="zh-CN"/>
              </w:rPr>
              <w:t>方案内容完整合理的得5分；方案内容较为完整合理的得4分；方案内容基本完整合理的得3分；方案内容存在缺失的得2分；方案内容严重缺失的得1分，未提供不得分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4022651">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0-5</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B538C8A">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AE1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5725E9DB">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F56689D">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保密制度和保密措施</w:t>
            </w:r>
          </w:p>
        </w:tc>
        <w:tc>
          <w:tcPr>
            <w:tcW w:w="4428" w:type="dxa"/>
            <w:tcBorders>
              <w:top w:val="single" w:color="auto" w:sz="4" w:space="0"/>
              <w:left w:val="single" w:color="auto" w:sz="4" w:space="0"/>
              <w:bottom w:val="single" w:color="auto" w:sz="4" w:space="0"/>
              <w:right w:val="single" w:color="auto" w:sz="4" w:space="0"/>
            </w:tcBorders>
            <w:noWrap w:val="0"/>
            <w:vAlign w:val="center"/>
          </w:tcPr>
          <w:p w14:paraId="529CBB22">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根据供应商在服务期间，涉及</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涉密信息、资料的保密措施以及承诺等进行综合评定。</w:t>
            </w:r>
            <w:r>
              <w:rPr>
                <w:rFonts w:hint="eastAsia" w:ascii="仿宋" w:hAnsi="仿宋" w:eastAsia="仿宋" w:cs="仿宋"/>
                <w:color w:val="auto"/>
                <w:sz w:val="24"/>
                <w:szCs w:val="24"/>
                <w:highlight w:val="none"/>
                <w:lang w:val="en-US" w:eastAsia="zh-CN"/>
              </w:rPr>
              <w:t>方案内容完整合理的得5分；方案内容较为完整合理的得4分；方案内容基本完整合理的得3分；方案内容存在缺失的得2分；方案内容严重缺失的得1分，未提供不得分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A4CE815">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0-5</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03889D9">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3D0A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2F1DF4D1">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932CA26">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风险防控</w:t>
            </w:r>
          </w:p>
        </w:tc>
        <w:tc>
          <w:tcPr>
            <w:tcW w:w="4428" w:type="dxa"/>
            <w:tcBorders>
              <w:top w:val="single" w:color="auto" w:sz="4" w:space="0"/>
              <w:left w:val="single" w:color="auto" w:sz="4" w:space="0"/>
              <w:bottom w:val="single" w:color="auto" w:sz="4" w:space="0"/>
              <w:right w:val="single" w:color="auto" w:sz="4" w:space="0"/>
            </w:tcBorders>
            <w:noWrap w:val="0"/>
            <w:vAlign w:val="center"/>
          </w:tcPr>
          <w:p w14:paraId="229018F1">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根据供应商提出对采购人目前有实际作用的相关法律风险防控建议进行综合评定。</w:t>
            </w:r>
            <w:r>
              <w:rPr>
                <w:rFonts w:hint="eastAsia" w:ascii="仿宋" w:hAnsi="仿宋" w:eastAsia="仿宋" w:cs="仿宋"/>
                <w:color w:val="auto"/>
                <w:sz w:val="24"/>
                <w:szCs w:val="24"/>
                <w:highlight w:val="none"/>
                <w:lang w:val="en-US" w:eastAsia="zh-CN"/>
              </w:rPr>
              <w:t>方案内容完整合理的得4分；方案内容较为完整合理的得3分；方案内容基本完整合理的得2分；方案内容存在缺失的得1分；方案内容严重缺失或未提供的不得分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61D39BD">
            <w:pPr>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13787F6">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5AE5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05563192">
            <w:pPr>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E613EFC">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廉洁和守信制度</w:t>
            </w:r>
          </w:p>
        </w:tc>
        <w:tc>
          <w:tcPr>
            <w:tcW w:w="4428" w:type="dxa"/>
            <w:tcBorders>
              <w:top w:val="single" w:color="auto" w:sz="4" w:space="0"/>
              <w:left w:val="single" w:color="auto" w:sz="4" w:space="0"/>
              <w:bottom w:val="single" w:color="auto" w:sz="4" w:space="0"/>
              <w:right w:val="single" w:color="auto" w:sz="4" w:space="0"/>
            </w:tcBorders>
            <w:noWrap w:val="0"/>
            <w:vAlign w:val="center"/>
          </w:tcPr>
          <w:p w14:paraId="485D0C1C">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根据供应商提供的廉洁和守信制度承诺进行综合评定。</w:t>
            </w:r>
            <w:r>
              <w:rPr>
                <w:rFonts w:hint="eastAsia" w:ascii="仿宋" w:hAnsi="仿宋" w:eastAsia="仿宋" w:cs="仿宋"/>
                <w:color w:val="auto"/>
                <w:sz w:val="24"/>
                <w:szCs w:val="24"/>
                <w:highlight w:val="none"/>
                <w:lang w:val="en-US" w:eastAsia="zh-CN"/>
              </w:rPr>
              <w:t>方案内容完整合理的得4分；方案内容较为完整合理的得3分；方案内容基本完整合理的得2分；方案内容存在缺失的得1分；方案内容严重缺失或未提供的不得分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5639D5D">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0-4</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BCA9278">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bl>
    <w:p w14:paraId="2D73C53E">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价格分（</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1D6E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5F049895">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047BC02E">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14:paraId="6840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14110A44">
            <w:pPr>
              <w:widowControl/>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价格权值=0.</w:t>
            </w:r>
            <w:r>
              <w:rPr>
                <w:rFonts w:hint="eastAsia" w:ascii="仿宋" w:hAnsi="仿宋" w:eastAsia="仿宋" w:cs="仿宋"/>
                <w:color w:val="auto"/>
                <w:sz w:val="24"/>
                <w:highlight w:val="none"/>
                <w:lang w:val="en-US" w:eastAsia="zh-CN"/>
              </w:rPr>
              <w:t>10</w:t>
            </w:r>
          </w:p>
        </w:tc>
        <w:tc>
          <w:tcPr>
            <w:tcW w:w="6599" w:type="dxa"/>
            <w:tcBorders>
              <w:top w:val="single" w:color="auto" w:sz="4" w:space="0"/>
              <w:left w:val="single" w:color="auto" w:sz="4" w:space="0"/>
              <w:bottom w:val="single" w:color="auto" w:sz="4" w:space="0"/>
              <w:right w:val="single" w:color="auto" w:sz="4" w:space="0"/>
            </w:tcBorders>
            <w:noWrap/>
            <w:vAlign w:val="center"/>
          </w:tcPr>
          <w:p w14:paraId="696C60C6">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w:t>
            </w:r>
          </w:p>
          <w:p w14:paraId="75444AB2">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（1）报价分为报价A、报价B</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报价C</w:t>
            </w:r>
            <w:r>
              <w:rPr>
                <w:rFonts w:hint="eastAsia" w:ascii="仿宋" w:hAnsi="仿宋" w:eastAsia="仿宋" w:cs="仿宋"/>
                <w:color w:val="auto"/>
                <w:sz w:val="24"/>
                <w:highlight w:val="none"/>
              </w:rPr>
              <w:t>。报价分=报价A得分+报价B得分</w:t>
            </w:r>
            <w:r>
              <w:rPr>
                <w:rFonts w:hint="eastAsia" w:ascii="仿宋" w:hAnsi="仿宋" w:eastAsia="仿宋" w:cs="仿宋"/>
                <w:color w:val="auto"/>
                <w:sz w:val="24"/>
                <w:highlight w:val="none"/>
                <w:lang w:val="en-US" w:eastAsia="zh-CN"/>
              </w:rPr>
              <w:t>+报价C得分</w:t>
            </w:r>
            <w:r>
              <w:rPr>
                <w:rFonts w:hint="eastAsia" w:ascii="仿宋" w:hAnsi="仿宋" w:eastAsia="仿宋" w:cs="仿宋"/>
                <w:color w:val="auto"/>
                <w:sz w:val="24"/>
                <w:highlight w:val="none"/>
              </w:rPr>
              <w:t>，满分为10分。</w:t>
            </w:r>
          </w:p>
          <w:p w14:paraId="758A33A9">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（2）报价A常年法律顾问服务（评审时以年度常年法律顾问服务费用计算），报价方式为总价。</w:t>
            </w:r>
          </w:p>
          <w:p w14:paraId="5B011A8A">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综合评分法中的价格分统一采用低价优先法计算，即满足采购文件要求且报价最低的供应商的价格为基准价，其价格分为满分。其他供应商的价格分统一按照下列公式计算：</w:t>
            </w:r>
          </w:p>
          <w:p w14:paraId="3F464211">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A报价得分=（基准价/投标报价）×</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%×100</w:t>
            </w:r>
          </w:p>
          <w:p w14:paraId="24703D27">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（3）报价B</w:t>
            </w:r>
            <w:r>
              <w:rPr>
                <w:rFonts w:hint="eastAsia" w:ascii="仿宋" w:hAnsi="仿宋" w:eastAsia="仿宋" w:cs="仿宋"/>
                <w:color w:val="auto"/>
                <w:sz w:val="24"/>
                <w:highlight w:val="none"/>
                <w:lang w:val="en-US" w:eastAsia="zh-CN"/>
              </w:rPr>
              <w:t>行政诉讼案件代理费</w:t>
            </w:r>
            <w:r>
              <w:rPr>
                <w:rFonts w:hint="eastAsia" w:ascii="仿宋" w:hAnsi="仿宋" w:eastAsia="仿宋" w:cs="仿宋"/>
                <w:color w:val="auto"/>
                <w:sz w:val="24"/>
                <w:highlight w:val="none"/>
              </w:rPr>
              <w:t>，报价方式为综合单价。</w:t>
            </w:r>
          </w:p>
          <w:p w14:paraId="22918A31">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综合评分法中的价格分统一采用低价优先法计算，即满足采购文件要求且报价最低的供应商的价格为基准价，其价格分为满分。其他供应商的价格分统一按照下列公式计算：</w:t>
            </w:r>
          </w:p>
          <w:p w14:paraId="020BA010">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B报价得分=（基准价/投标报价）×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%×100</w:t>
            </w:r>
          </w:p>
          <w:p w14:paraId="54A47D83">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）报价</w:t>
            </w:r>
            <w:r>
              <w:rPr>
                <w:rFonts w:hint="eastAsia" w:ascii="仿宋" w:hAnsi="仿宋" w:eastAsia="仿宋" w:cs="仿宋"/>
                <w:color w:val="auto"/>
                <w:sz w:val="24"/>
                <w:highlight w:val="none"/>
                <w:lang w:val="en-US" w:eastAsia="zh-CN"/>
              </w:rPr>
              <w:t>C行政复议案件代理费</w:t>
            </w:r>
            <w:r>
              <w:rPr>
                <w:rFonts w:hint="eastAsia" w:ascii="仿宋" w:hAnsi="仿宋" w:eastAsia="仿宋" w:cs="仿宋"/>
                <w:color w:val="auto"/>
                <w:sz w:val="24"/>
                <w:highlight w:val="none"/>
              </w:rPr>
              <w:t>，报价方式为综合单价。</w:t>
            </w:r>
          </w:p>
          <w:p w14:paraId="139B375E">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综合评分法中的价格分统一采用低价优先法计算，即满足采购文件要求且报价最低的供应商的价格为基准价，其价格分为满分。其他供应商的价格分统一按照下列公式计算：</w:t>
            </w:r>
          </w:p>
          <w:p w14:paraId="5502065F">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C</w:t>
            </w:r>
            <w:r>
              <w:rPr>
                <w:rFonts w:hint="eastAsia" w:ascii="仿宋" w:hAnsi="仿宋" w:eastAsia="仿宋" w:cs="仿宋"/>
                <w:color w:val="auto"/>
                <w:sz w:val="24"/>
                <w:highlight w:val="none"/>
              </w:rPr>
              <w:t>报价得分=（基准价/投标报价）×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%×100</w:t>
            </w:r>
          </w:p>
        </w:tc>
      </w:tr>
    </w:tbl>
    <w:p w14:paraId="30C51D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7D8040E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3B6E88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19F02F03">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48B9835">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D38A45D">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1D987203">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0BB4A472">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174AD02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E99C62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572990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148708B">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95EA283">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735B7353">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077E9BF3">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299A1391">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167ADD81">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68D6C1A">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4AFA330">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DE85258">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B24A742">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00987D4">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058F39B">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9F0F905">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517C1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DAAF18">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FF10453">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5746AA">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6E7AA6B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5BEE878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322C4B5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B2CF12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52918ED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6E9E4D63">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2CB2450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0EFDEED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DF28DD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E525D1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124FE8EE">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7DDEC20">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7A32F3A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26FED3B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44567F6A">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72F82BB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67378A85">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4BD979B">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5668EAED">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5242C64">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A1F1FD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CB1F780">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3AF4C79F">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C6483D6">
      <w:pPr>
        <w:pStyle w:val="2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038E664C">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306D38D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10AE904F">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500B037C">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B4BD70C">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0E1C42C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82B35A0">
      <w:pPr>
        <w:numPr>
          <w:ilvl w:val="0"/>
          <w:numId w:val="8"/>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103F7485">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C7B677D">
      <w:pPr>
        <w:pStyle w:val="4"/>
        <w:ind w:left="0" w:firstLine="0"/>
        <w:rPr>
          <w:rFonts w:hint="eastAsia" w:ascii="仿宋" w:hAnsi="仿宋" w:eastAsia="仿宋" w:cs="仿宋"/>
          <w:color w:val="auto"/>
          <w:highlight w:val="none"/>
        </w:rPr>
      </w:pPr>
    </w:p>
    <w:p w14:paraId="0E16E228">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696543D3">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5AA20AB3">
      <w:pPr>
        <w:pStyle w:val="699"/>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4C883B2B">
      <w:pPr>
        <w:spacing w:before="120" w:line="22" w:lineRule="atLeast"/>
        <w:rPr>
          <w:rFonts w:hint="eastAsia" w:ascii="仿宋" w:hAnsi="仿宋" w:eastAsia="仿宋" w:cs="仿宋"/>
          <w:color w:val="auto"/>
          <w:sz w:val="24"/>
          <w:highlight w:val="none"/>
        </w:rPr>
      </w:pPr>
    </w:p>
    <w:p w14:paraId="2F7419F1">
      <w:pPr>
        <w:pStyle w:val="4"/>
        <w:rPr>
          <w:rFonts w:hint="eastAsia" w:ascii="仿宋" w:hAnsi="仿宋" w:eastAsia="仿宋" w:cs="仿宋"/>
          <w:color w:val="auto"/>
          <w:highlight w:val="none"/>
        </w:rPr>
      </w:pPr>
    </w:p>
    <w:p w14:paraId="7EFDDAAD">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BEE81CD">
      <w:pPr>
        <w:pStyle w:val="596"/>
        <w:spacing w:before="120" w:line="22" w:lineRule="atLeast"/>
        <w:rPr>
          <w:rFonts w:hint="eastAsia" w:ascii="仿宋" w:hAnsi="仿宋" w:eastAsia="仿宋" w:cs="仿宋"/>
          <w:color w:val="auto"/>
          <w:szCs w:val="24"/>
          <w:highlight w:val="none"/>
        </w:rPr>
      </w:pPr>
    </w:p>
    <w:p w14:paraId="37DCF76E">
      <w:pPr>
        <w:pStyle w:val="596"/>
        <w:spacing w:before="120" w:line="22" w:lineRule="atLeast"/>
        <w:rPr>
          <w:rFonts w:hint="eastAsia" w:ascii="仿宋" w:hAnsi="仿宋" w:eastAsia="仿宋" w:cs="仿宋"/>
          <w:color w:val="auto"/>
          <w:szCs w:val="24"/>
          <w:highlight w:val="none"/>
        </w:rPr>
      </w:pPr>
    </w:p>
    <w:p w14:paraId="5B92C028">
      <w:pPr>
        <w:rPr>
          <w:rFonts w:hint="eastAsia" w:ascii="仿宋" w:hAnsi="仿宋" w:eastAsia="仿宋" w:cs="仿宋"/>
          <w:color w:val="auto"/>
          <w:sz w:val="24"/>
          <w:highlight w:val="none"/>
        </w:rPr>
      </w:pPr>
    </w:p>
    <w:p w14:paraId="6A4E18C0">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56FF228C">
      <w:pPr>
        <w:spacing w:before="120" w:line="22" w:lineRule="atLeast"/>
        <w:rPr>
          <w:rFonts w:hint="eastAsia" w:ascii="仿宋" w:hAnsi="仿宋" w:eastAsia="仿宋" w:cs="仿宋"/>
          <w:color w:val="auto"/>
          <w:sz w:val="24"/>
          <w:highlight w:val="none"/>
        </w:rPr>
      </w:pPr>
    </w:p>
    <w:p w14:paraId="771DFFD7">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85DBDB4">
      <w:pPr>
        <w:spacing w:before="120" w:line="22" w:lineRule="atLeast"/>
        <w:rPr>
          <w:rFonts w:hint="eastAsia" w:ascii="仿宋" w:hAnsi="仿宋" w:eastAsia="仿宋" w:cs="仿宋"/>
          <w:color w:val="auto"/>
          <w:sz w:val="24"/>
          <w:highlight w:val="none"/>
        </w:rPr>
      </w:pPr>
    </w:p>
    <w:p w14:paraId="371026A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7034D67">
      <w:pPr>
        <w:spacing w:before="120" w:line="22" w:lineRule="atLeast"/>
        <w:rPr>
          <w:rFonts w:hint="eastAsia" w:ascii="仿宋" w:hAnsi="仿宋" w:eastAsia="仿宋" w:cs="仿宋"/>
          <w:color w:val="auto"/>
          <w:sz w:val="24"/>
          <w:highlight w:val="none"/>
        </w:rPr>
      </w:pPr>
    </w:p>
    <w:p w14:paraId="71E6E596">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BB8BDED">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F3B782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18E01C7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19514D0">
      <w:pPr>
        <w:spacing w:line="560" w:lineRule="exact"/>
        <w:ind w:firstLine="482" w:firstLineChars="200"/>
        <w:outlineLvl w:val="0"/>
        <w:rPr>
          <w:rFonts w:hint="eastAsia" w:ascii="仿宋" w:hAnsi="仿宋" w:eastAsia="仿宋" w:cs="仿宋"/>
          <w:color w:val="auto"/>
          <w:sz w:val="24"/>
          <w:highlight w:val="none"/>
        </w:rPr>
      </w:pPr>
      <w:bookmarkStart w:id="412" w:name="_Toc20421"/>
      <w:bookmarkStart w:id="413" w:name="_Toc22967"/>
      <w:bookmarkStart w:id="414" w:name="_Toc28855"/>
      <w:bookmarkStart w:id="415" w:name="_Toc15367"/>
      <w:bookmarkStart w:id="416" w:name="_Toc19273"/>
      <w:r>
        <w:rPr>
          <w:rFonts w:hint="eastAsia" w:ascii="仿宋" w:hAnsi="仿宋" w:eastAsia="仿宋" w:cs="仿宋"/>
          <w:b/>
          <w:color w:val="auto"/>
          <w:sz w:val="24"/>
          <w:highlight w:val="none"/>
        </w:rPr>
        <w:t>1.1 合同组成部分</w:t>
      </w:r>
      <w:bookmarkEnd w:id="412"/>
      <w:bookmarkEnd w:id="413"/>
      <w:bookmarkEnd w:id="414"/>
      <w:bookmarkEnd w:id="415"/>
      <w:bookmarkEnd w:id="416"/>
    </w:p>
    <w:p w14:paraId="2FD9AE9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89DE4C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33723BC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7FEE9B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652A31E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2DFB295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54325FC2">
      <w:pPr>
        <w:spacing w:line="560" w:lineRule="exact"/>
        <w:ind w:firstLine="482" w:firstLineChars="200"/>
        <w:outlineLvl w:val="0"/>
        <w:rPr>
          <w:rFonts w:hint="eastAsia" w:ascii="仿宋" w:hAnsi="仿宋" w:eastAsia="仿宋" w:cs="仿宋"/>
          <w:b/>
          <w:color w:val="auto"/>
          <w:sz w:val="24"/>
          <w:highlight w:val="none"/>
        </w:rPr>
      </w:pPr>
      <w:bookmarkStart w:id="417" w:name="_Toc22185"/>
      <w:bookmarkStart w:id="418" w:name="_Toc18585"/>
      <w:bookmarkStart w:id="419" w:name="_Toc6773"/>
      <w:bookmarkStart w:id="420" w:name="_Toc6311"/>
      <w:bookmarkStart w:id="421" w:name="_Toc2918"/>
      <w:r>
        <w:rPr>
          <w:rFonts w:hint="eastAsia" w:ascii="仿宋" w:hAnsi="仿宋" w:eastAsia="仿宋" w:cs="仿宋"/>
          <w:b/>
          <w:color w:val="auto"/>
          <w:sz w:val="24"/>
          <w:highlight w:val="none"/>
        </w:rPr>
        <w:t>1.2 标的</w:t>
      </w:r>
      <w:bookmarkEnd w:id="417"/>
      <w:bookmarkEnd w:id="418"/>
      <w:bookmarkEnd w:id="419"/>
      <w:bookmarkEnd w:id="420"/>
      <w:bookmarkEnd w:id="421"/>
    </w:p>
    <w:p w14:paraId="5E03144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988313B">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DE4B4B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41F84804">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AA2A846">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6580A808">
      <w:pPr>
        <w:spacing w:line="560" w:lineRule="exact"/>
        <w:ind w:firstLine="480" w:firstLineChars="200"/>
        <w:rPr>
          <w:rFonts w:hint="eastAsia" w:ascii="仿宋" w:hAnsi="仿宋" w:eastAsia="仿宋" w:cs="仿宋"/>
          <w:color w:val="auto"/>
          <w:sz w:val="24"/>
          <w:highlight w:val="none"/>
          <w:u w:val="single"/>
        </w:rPr>
      </w:pPr>
      <w:bookmarkStart w:id="422" w:name="_Toc21124"/>
      <w:bookmarkStart w:id="423" w:name="_Toc5635"/>
      <w:bookmarkStart w:id="424" w:name="_Toc13918"/>
      <w:bookmarkStart w:id="425" w:name="_Toc1386"/>
      <w:bookmarkStart w:id="426" w:name="_Toc4929"/>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09A268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22D18B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F99B88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22"/>
      <w:bookmarkEnd w:id="423"/>
      <w:bookmarkEnd w:id="424"/>
      <w:bookmarkEnd w:id="425"/>
      <w:bookmarkEnd w:id="426"/>
    </w:p>
    <w:p w14:paraId="6A7DEBF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795C15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18AAF4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481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0F6A59">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2914226F">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5AF4E6C">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137D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39798C">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BEBEBC3">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590433E">
            <w:pPr>
              <w:pStyle w:val="317"/>
              <w:spacing w:line="560" w:lineRule="exact"/>
              <w:ind w:firstLine="200"/>
              <w:jc w:val="center"/>
              <w:rPr>
                <w:rFonts w:hint="eastAsia" w:ascii="仿宋" w:hAnsi="仿宋" w:eastAsia="仿宋" w:cs="仿宋"/>
                <w:color w:val="auto"/>
                <w:sz w:val="24"/>
                <w:szCs w:val="24"/>
                <w:highlight w:val="none"/>
              </w:rPr>
            </w:pPr>
          </w:p>
        </w:tc>
      </w:tr>
      <w:tr w14:paraId="1AB8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10BF82">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D4490F1">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6C7629ED">
            <w:pPr>
              <w:pStyle w:val="317"/>
              <w:spacing w:line="560" w:lineRule="exact"/>
              <w:ind w:firstLine="200"/>
              <w:jc w:val="center"/>
              <w:rPr>
                <w:rFonts w:hint="eastAsia" w:ascii="仿宋" w:hAnsi="仿宋" w:eastAsia="仿宋" w:cs="仿宋"/>
                <w:color w:val="auto"/>
                <w:sz w:val="24"/>
                <w:szCs w:val="24"/>
                <w:highlight w:val="none"/>
              </w:rPr>
            </w:pPr>
          </w:p>
        </w:tc>
      </w:tr>
      <w:tr w14:paraId="75FE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F3CF34">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2D450F9">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6C4FC30A">
            <w:pPr>
              <w:pStyle w:val="317"/>
              <w:spacing w:line="560" w:lineRule="exact"/>
              <w:ind w:firstLine="200"/>
              <w:jc w:val="center"/>
              <w:rPr>
                <w:rFonts w:hint="eastAsia" w:ascii="仿宋" w:hAnsi="仿宋" w:eastAsia="仿宋" w:cs="仿宋"/>
                <w:color w:val="auto"/>
                <w:sz w:val="24"/>
                <w:szCs w:val="24"/>
                <w:highlight w:val="none"/>
              </w:rPr>
            </w:pPr>
          </w:p>
        </w:tc>
      </w:tr>
      <w:tr w14:paraId="1694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7E33EA">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344CF80E">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1C64ECEA">
            <w:pPr>
              <w:pStyle w:val="317"/>
              <w:spacing w:line="560" w:lineRule="exact"/>
              <w:ind w:firstLine="200"/>
              <w:jc w:val="center"/>
              <w:rPr>
                <w:rFonts w:hint="eastAsia" w:ascii="仿宋" w:hAnsi="仿宋" w:eastAsia="仿宋" w:cs="仿宋"/>
                <w:color w:val="auto"/>
                <w:sz w:val="24"/>
                <w:szCs w:val="24"/>
                <w:highlight w:val="none"/>
              </w:rPr>
            </w:pPr>
          </w:p>
        </w:tc>
      </w:tr>
      <w:tr w14:paraId="6F60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0E79A60">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5EC6163D">
            <w:pPr>
              <w:pStyle w:val="317"/>
              <w:spacing w:line="560" w:lineRule="exact"/>
              <w:ind w:firstLine="200"/>
              <w:jc w:val="center"/>
              <w:rPr>
                <w:rFonts w:hint="eastAsia" w:ascii="仿宋" w:hAnsi="仿宋" w:eastAsia="仿宋" w:cs="仿宋"/>
                <w:color w:val="auto"/>
                <w:sz w:val="24"/>
                <w:szCs w:val="24"/>
                <w:highlight w:val="none"/>
              </w:rPr>
            </w:pPr>
          </w:p>
        </w:tc>
      </w:tr>
    </w:tbl>
    <w:p w14:paraId="7C83644D">
      <w:pPr>
        <w:spacing w:line="560" w:lineRule="exact"/>
        <w:ind w:firstLine="480" w:firstLineChars="200"/>
        <w:rPr>
          <w:rFonts w:hint="eastAsia" w:ascii="仿宋" w:hAnsi="仿宋" w:eastAsia="仿宋" w:cs="仿宋"/>
          <w:color w:val="auto"/>
          <w:sz w:val="24"/>
          <w:highlight w:val="none"/>
        </w:rPr>
      </w:pPr>
      <w:bookmarkStart w:id="427" w:name="_Toc26916"/>
      <w:bookmarkStart w:id="428" w:name="_Toc14993"/>
      <w:bookmarkStart w:id="429" w:name="_Toc3654"/>
      <w:bookmarkStart w:id="430" w:name="_Toc30506"/>
      <w:bookmarkStart w:id="431" w:name="_Toc30158"/>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76A06B0">
      <w:pPr>
        <w:pStyle w:val="4"/>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27"/>
    <w:bookmarkEnd w:id="428"/>
    <w:bookmarkEnd w:id="429"/>
    <w:bookmarkEnd w:id="430"/>
    <w:bookmarkEnd w:id="431"/>
    <w:p w14:paraId="667844A2">
      <w:pPr>
        <w:pStyle w:val="957"/>
        <w:spacing w:before="0" w:beforeAutospacing="0" w:after="0" w:afterAutospacing="0" w:line="360" w:lineRule="auto"/>
        <w:ind w:firstLine="480"/>
        <w:rPr>
          <w:rFonts w:hint="eastAsia" w:ascii="仿宋" w:hAnsi="仿宋" w:eastAsia="仿宋" w:cs="仿宋"/>
          <w:b/>
          <w:color w:val="auto"/>
          <w:highlight w:val="none"/>
        </w:rPr>
      </w:pPr>
      <w:bookmarkStart w:id="432" w:name="_Toc3625"/>
      <w:bookmarkStart w:id="433" w:name="_Toc8772"/>
      <w:bookmarkStart w:id="434" w:name="_Toc11108"/>
      <w:bookmarkStart w:id="435" w:name="_Toc4760"/>
      <w:bookmarkStart w:id="436" w:name="_Toc31421"/>
      <w:r>
        <w:rPr>
          <w:rFonts w:hint="eastAsia" w:ascii="仿宋" w:hAnsi="仿宋" w:eastAsia="仿宋" w:cs="仿宋"/>
          <w:b/>
          <w:color w:val="auto"/>
          <w:highlight w:val="none"/>
        </w:rPr>
        <w:t>1.4履约保证金</w:t>
      </w:r>
    </w:p>
    <w:p w14:paraId="1DF64381">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17515A4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381C2E0">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AC9F866">
      <w:pPr>
        <w:pStyle w:val="4"/>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88D6093">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730350EE">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187324ED">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2A346C79">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83AC981">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4E26F7E">
      <w:pPr>
        <w:pStyle w:val="957"/>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124101A">
      <w:pPr>
        <w:pStyle w:val="957"/>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208BA9AC">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F7F4F26">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D1B46E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32"/>
      <w:bookmarkEnd w:id="433"/>
      <w:bookmarkEnd w:id="434"/>
      <w:bookmarkEnd w:id="435"/>
      <w:bookmarkEnd w:id="436"/>
    </w:p>
    <w:p w14:paraId="42551C6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6D948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ECC8C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C36F882">
      <w:pPr>
        <w:spacing w:line="560" w:lineRule="exact"/>
        <w:ind w:firstLine="480" w:firstLineChars="200"/>
        <w:outlineLvl w:val="0"/>
        <w:rPr>
          <w:rFonts w:hint="eastAsia" w:ascii="仿宋" w:hAnsi="仿宋" w:eastAsia="仿宋" w:cs="仿宋"/>
          <w:bCs/>
          <w:color w:val="auto"/>
          <w:sz w:val="24"/>
          <w:highlight w:val="none"/>
        </w:rPr>
      </w:pPr>
      <w:bookmarkStart w:id="437" w:name="_Toc8586"/>
      <w:bookmarkStart w:id="438" w:name="_Toc5698"/>
      <w:bookmarkStart w:id="439" w:name="_Toc2375"/>
      <w:bookmarkStart w:id="440" w:name="_Toc3079"/>
      <w:bookmarkStart w:id="441" w:name="_Toc24662"/>
      <w:r>
        <w:rPr>
          <w:rFonts w:hint="eastAsia" w:ascii="仿宋" w:hAnsi="仿宋" w:eastAsia="仿宋" w:cs="仿宋"/>
          <w:bCs/>
          <w:color w:val="auto"/>
          <w:sz w:val="24"/>
          <w:highlight w:val="none"/>
        </w:rPr>
        <w:t>1.7.4若服务涉及货物的，则货物的：</w:t>
      </w:r>
    </w:p>
    <w:p w14:paraId="4907527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821CC6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3E7366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2712E57">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37"/>
      <w:bookmarkEnd w:id="438"/>
      <w:bookmarkEnd w:id="439"/>
      <w:bookmarkEnd w:id="440"/>
      <w:bookmarkEnd w:id="441"/>
    </w:p>
    <w:p w14:paraId="3358193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610CD5D1">
      <w:pPr>
        <w:pStyle w:val="4"/>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ED2C16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78EF68E">
      <w:pPr>
        <w:spacing w:line="560" w:lineRule="exact"/>
        <w:ind w:firstLine="480" w:firstLineChars="200"/>
        <w:rPr>
          <w:rFonts w:hint="eastAsia" w:ascii="仿宋" w:hAnsi="仿宋" w:eastAsia="仿宋" w:cs="仿宋"/>
          <w:color w:val="auto"/>
          <w:sz w:val="24"/>
          <w:highlight w:val="none"/>
        </w:rPr>
      </w:pPr>
      <w:bookmarkStart w:id="442" w:name="_Toc32454"/>
      <w:bookmarkStart w:id="443" w:name="_Toc30329"/>
      <w:bookmarkStart w:id="444" w:name="_Toc26807"/>
      <w:bookmarkStart w:id="445" w:name="_Toc18683"/>
      <w:bookmarkStart w:id="446"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4505D4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33841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C4A4066">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42"/>
    <w:bookmarkEnd w:id="443"/>
    <w:bookmarkEnd w:id="444"/>
    <w:bookmarkEnd w:id="445"/>
    <w:bookmarkEnd w:id="446"/>
    <w:p w14:paraId="1FD6BB96">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3A8CCB3C">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61470BC0">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0D43EAAD">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7F0B0910">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1D9E4753">
      <w:pPr>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本合同自双方当事人盖章签字时生效。</w:t>
      </w:r>
    </w:p>
    <w:p w14:paraId="33058FF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268BF65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550B71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E87DA1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D583D1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3818E81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A8D60C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FD98EC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4A770C1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07279EF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46A53AA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04FBA7FF">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7C565C4F">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7CE5D9F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64ED4492">
      <w:pPr>
        <w:pStyle w:val="699"/>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6ABF80CD">
      <w:pPr>
        <w:spacing w:line="560" w:lineRule="exact"/>
        <w:ind w:firstLine="482" w:firstLineChars="200"/>
        <w:outlineLvl w:val="0"/>
        <w:rPr>
          <w:rFonts w:hint="eastAsia" w:ascii="仿宋" w:hAnsi="仿宋" w:eastAsia="仿宋" w:cs="仿宋"/>
          <w:b/>
          <w:color w:val="auto"/>
          <w:sz w:val="24"/>
          <w:highlight w:val="none"/>
        </w:rPr>
      </w:pPr>
      <w:bookmarkStart w:id="447" w:name="_Toc31297"/>
      <w:bookmarkStart w:id="448" w:name="_Toc25079"/>
      <w:bookmarkStart w:id="449" w:name="_Toc5228"/>
      <w:bookmarkStart w:id="450" w:name="_Toc19680"/>
      <w:bookmarkStart w:id="451" w:name="_Toc14021"/>
      <w:r>
        <w:rPr>
          <w:rFonts w:hint="eastAsia" w:ascii="仿宋" w:hAnsi="仿宋" w:eastAsia="仿宋" w:cs="仿宋"/>
          <w:b/>
          <w:color w:val="auto"/>
          <w:sz w:val="24"/>
          <w:highlight w:val="none"/>
        </w:rPr>
        <w:t>2.1 定义</w:t>
      </w:r>
      <w:bookmarkEnd w:id="447"/>
      <w:bookmarkEnd w:id="448"/>
      <w:bookmarkEnd w:id="449"/>
      <w:bookmarkEnd w:id="450"/>
      <w:bookmarkEnd w:id="451"/>
    </w:p>
    <w:p w14:paraId="41001AE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59C401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140494F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15EDED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B3B55E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7AC477C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E31006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0EFB5EA8">
      <w:pPr>
        <w:spacing w:line="560" w:lineRule="exact"/>
        <w:ind w:firstLine="482" w:firstLineChars="200"/>
        <w:outlineLvl w:val="0"/>
        <w:rPr>
          <w:rFonts w:hint="eastAsia" w:ascii="仿宋" w:hAnsi="仿宋" w:eastAsia="仿宋" w:cs="仿宋"/>
          <w:b/>
          <w:color w:val="auto"/>
          <w:sz w:val="24"/>
          <w:highlight w:val="none"/>
        </w:rPr>
      </w:pPr>
      <w:bookmarkStart w:id="452" w:name="_Toc19539"/>
      <w:bookmarkStart w:id="453" w:name="_Toc3769"/>
      <w:bookmarkStart w:id="454" w:name="_Toc23289"/>
      <w:bookmarkStart w:id="455" w:name="_Toc16752"/>
      <w:bookmarkStart w:id="456" w:name="_Toc31402"/>
      <w:r>
        <w:rPr>
          <w:rFonts w:hint="eastAsia" w:ascii="仿宋" w:hAnsi="仿宋" w:eastAsia="仿宋" w:cs="仿宋"/>
          <w:b/>
          <w:color w:val="auto"/>
          <w:sz w:val="24"/>
          <w:highlight w:val="none"/>
        </w:rPr>
        <w:t>2.2 技术规范</w:t>
      </w:r>
      <w:bookmarkEnd w:id="452"/>
      <w:bookmarkEnd w:id="453"/>
      <w:bookmarkEnd w:id="454"/>
      <w:bookmarkEnd w:id="455"/>
      <w:bookmarkEnd w:id="456"/>
    </w:p>
    <w:p w14:paraId="522A20C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1629753">
      <w:pPr>
        <w:spacing w:line="560" w:lineRule="exact"/>
        <w:ind w:firstLine="482" w:firstLineChars="200"/>
        <w:outlineLvl w:val="0"/>
        <w:rPr>
          <w:rFonts w:hint="eastAsia" w:ascii="仿宋" w:hAnsi="仿宋" w:eastAsia="仿宋" w:cs="仿宋"/>
          <w:b/>
          <w:color w:val="auto"/>
          <w:sz w:val="24"/>
          <w:highlight w:val="none"/>
        </w:rPr>
      </w:pPr>
      <w:bookmarkStart w:id="457" w:name="_Toc27945"/>
      <w:bookmarkStart w:id="458" w:name="_Toc9161"/>
      <w:bookmarkStart w:id="459" w:name="_Toc13673"/>
      <w:bookmarkStart w:id="460" w:name="_Toc4133"/>
      <w:bookmarkStart w:id="461" w:name="_Toc12412"/>
      <w:r>
        <w:rPr>
          <w:rFonts w:hint="eastAsia" w:ascii="仿宋" w:hAnsi="仿宋" w:eastAsia="仿宋" w:cs="仿宋"/>
          <w:b/>
          <w:color w:val="auto"/>
          <w:sz w:val="24"/>
          <w:highlight w:val="none"/>
        </w:rPr>
        <w:t>2.3 知识产权</w:t>
      </w:r>
      <w:bookmarkEnd w:id="457"/>
      <w:bookmarkEnd w:id="458"/>
      <w:bookmarkEnd w:id="459"/>
      <w:bookmarkEnd w:id="460"/>
      <w:bookmarkEnd w:id="461"/>
    </w:p>
    <w:p w14:paraId="52A2B5A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37C2E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EB97B4D">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08D9A48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43B839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0B7D2CBF">
      <w:pPr>
        <w:spacing w:line="560" w:lineRule="exact"/>
        <w:ind w:firstLine="482" w:firstLineChars="200"/>
        <w:outlineLvl w:val="0"/>
        <w:rPr>
          <w:rFonts w:hint="eastAsia" w:ascii="仿宋" w:hAnsi="仿宋" w:eastAsia="仿宋" w:cs="仿宋"/>
          <w:b/>
          <w:color w:val="auto"/>
          <w:sz w:val="24"/>
          <w:highlight w:val="none"/>
        </w:rPr>
      </w:pPr>
      <w:bookmarkStart w:id="462" w:name="_Toc31233"/>
      <w:bookmarkStart w:id="463" w:name="_Toc32670"/>
      <w:bookmarkStart w:id="464" w:name="_Toc22011"/>
      <w:bookmarkStart w:id="465" w:name="_Toc26555"/>
      <w:bookmarkStart w:id="466" w:name="_Toc15447"/>
      <w:r>
        <w:rPr>
          <w:rFonts w:hint="eastAsia" w:ascii="仿宋" w:hAnsi="仿宋" w:eastAsia="仿宋" w:cs="仿宋"/>
          <w:b/>
          <w:color w:val="auto"/>
          <w:sz w:val="24"/>
          <w:highlight w:val="none"/>
        </w:rPr>
        <w:t>2.5 结算方式和付款条件</w:t>
      </w:r>
      <w:bookmarkEnd w:id="462"/>
      <w:bookmarkEnd w:id="463"/>
      <w:bookmarkEnd w:id="464"/>
      <w:bookmarkEnd w:id="465"/>
      <w:bookmarkEnd w:id="466"/>
    </w:p>
    <w:p w14:paraId="0EA3F14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EC875FA">
      <w:pPr>
        <w:spacing w:line="560" w:lineRule="exact"/>
        <w:ind w:firstLine="482" w:firstLineChars="200"/>
        <w:outlineLvl w:val="0"/>
        <w:rPr>
          <w:rFonts w:hint="eastAsia" w:ascii="仿宋" w:hAnsi="仿宋" w:eastAsia="仿宋" w:cs="仿宋"/>
          <w:b/>
          <w:color w:val="auto"/>
          <w:sz w:val="24"/>
          <w:highlight w:val="none"/>
        </w:rPr>
      </w:pPr>
      <w:bookmarkStart w:id="467" w:name="_Toc13467"/>
      <w:bookmarkStart w:id="468" w:name="_Toc30507"/>
      <w:bookmarkStart w:id="469" w:name="_Toc18990"/>
      <w:bookmarkStart w:id="470" w:name="_Toc13154"/>
      <w:bookmarkStart w:id="471" w:name="_Toc16163"/>
      <w:r>
        <w:rPr>
          <w:rFonts w:hint="eastAsia" w:ascii="仿宋" w:hAnsi="仿宋" w:eastAsia="仿宋" w:cs="仿宋"/>
          <w:b/>
          <w:color w:val="auto"/>
          <w:sz w:val="24"/>
          <w:highlight w:val="none"/>
        </w:rPr>
        <w:t>2.6 技术资料和保密义务</w:t>
      </w:r>
      <w:bookmarkEnd w:id="467"/>
      <w:bookmarkEnd w:id="468"/>
      <w:bookmarkEnd w:id="469"/>
      <w:bookmarkEnd w:id="470"/>
      <w:bookmarkEnd w:id="471"/>
    </w:p>
    <w:p w14:paraId="59D5D4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61D34F4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2CC72FB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472190E">
      <w:pPr>
        <w:spacing w:line="560" w:lineRule="exact"/>
        <w:ind w:firstLine="482" w:firstLineChars="200"/>
        <w:outlineLvl w:val="0"/>
        <w:rPr>
          <w:rFonts w:hint="eastAsia" w:ascii="仿宋" w:hAnsi="仿宋" w:eastAsia="仿宋" w:cs="仿宋"/>
          <w:b/>
          <w:color w:val="auto"/>
          <w:sz w:val="24"/>
          <w:highlight w:val="none"/>
        </w:rPr>
      </w:pPr>
      <w:bookmarkStart w:id="472" w:name="_Toc19069"/>
      <w:r>
        <w:rPr>
          <w:rFonts w:hint="eastAsia" w:ascii="仿宋" w:hAnsi="仿宋" w:eastAsia="仿宋" w:cs="仿宋"/>
          <w:b/>
          <w:color w:val="auto"/>
          <w:sz w:val="24"/>
          <w:highlight w:val="none"/>
        </w:rPr>
        <w:t>2.7 质量保证</w:t>
      </w:r>
      <w:bookmarkEnd w:id="472"/>
    </w:p>
    <w:p w14:paraId="7636136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5B5DB70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6CE03222">
      <w:pPr>
        <w:spacing w:line="560" w:lineRule="exact"/>
        <w:ind w:firstLine="482" w:firstLineChars="200"/>
        <w:outlineLvl w:val="0"/>
        <w:rPr>
          <w:rFonts w:hint="eastAsia" w:ascii="仿宋" w:hAnsi="仿宋" w:eastAsia="仿宋" w:cs="仿宋"/>
          <w:b/>
          <w:color w:val="auto"/>
          <w:sz w:val="24"/>
          <w:highlight w:val="none"/>
        </w:rPr>
      </w:pPr>
      <w:bookmarkStart w:id="473" w:name="_Toc22267"/>
      <w:r>
        <w:rPr>
          <w:rFonts w:hint="eastAsia" w:ascii="仿宋" w:hAnsi="仿宋" w:eastAsia="仿宋" w:cs="仿宋"/>
          <w:b/>
          <w:color w:val="auto"/>
          <w:sz w:val="24"/>
          <w:highlight w:val="none"/>
        </w:rPr>
        <w:t>2.8 延迟履行</w:t>
      </w:r>
      <w:bookmarkEnd w:id="473"/>
    </w:p>
    <w:p w14:paraId="276BD2A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5892089">
      <w:pPr>
        <w:spacing w:line="560" w:lineRule="exact"/>
        <w:ind w:firstLine="482" w:firstLineChars="200"/>
        <w:outlineLvl w:val="0"/>
        <w:rPr>
          <w:rFonts w:hint="eastAsia" w:ascii="仿宋" w:hAnsi="仿宋" w:eastAsia="仿宋" w:cs="仿宋"/>
          <w:b/>
          <w:color w:val="auto"/>
          <w:sz w:val="24"/>
          <w:highlight w:val="none"/>
        </w:rPr>
      </w:pPr>
      <w:bookmarkStart w:id="474" w:name="_Toc10611"/>
      <w:r>
        <w:rPr>
          <w:rFonts w:hint="eastAsia" w:ascii="仿宋" w:hAnsi="仿宋" w:eastAsia="仿宋" w:cs="仿宋"/>
          <w:b/>
          <w:color w:val="auto"/>
          <w:sz w:val="24"/>
          <w:highlight w:val="none"/>
        </w:rPr>
        <w:t>2.9 合同变更</w:t>
      </w:r>
      <w:bookmarkEnd w:id="474"/>
    </w:p>
    <w:p w14:paraId="0D16430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5085C63">
      <w:pPr>
        <w:spacing w:line="560" w:lineRule="exact"/>
        <w:ind w:firstLine="482" w:firstLineChars="200"/>
        <w:outlineLvl w:val="0"/>
        <w:rPr>
          <w:rFonts w:hint="eastAsia" w:ascii="仿宋" w:hAnsi="仿宋" w:eastAsia="仿宋" w:cs="仿宋"/>
          <w:b/>
          <w:color w:val="auto"/>
          <w:sz w:val="24"/>
          <w:highlight w:val="none"/>
        </w:rPr>
      </w:pPr>
      <w:bookmarkStart w:id="475" w:name="_Toc21830"/>
      <w:bookmarkStart w:id="476" w:name="_Toc42"/>
      <w:bookmarkStart w:id="477" w:name="_Toc10663"/>
      <w:bookmarkStart w:id="478" w:name="_Toc23368"/>
      <w:bookmarkStart w:id="479" w:name="_Toc26689"/>
      <w:r>
        <w:rPr>
          <w:rFonts w:hint="eastAsia" w:ascii="仿宋" w:hAnsi="仿宋" w:eastAsia="仿宋" w:cs="仿宋"/>
          <w:b/>
          <w:color w:val="auto"/>
          <w:sz w:val="24"/>
          <w:highlight w:val="none"/>
        </w:rPr>
        <w:t>2.10 合同转让和分包</w:t>
      </w:r>
      <w:bookmarkEnd w:id="475"/>
      <w:bookmarkEnd w:id="476"/>
      <w:bookmarkEnd w:id="477"/>
      <w:bookmarkEnd w:id="478"/>
      <w:bookmarkEnd w:id="479"/>
    </w:p>
    <w:p w14:paraId="13D9D70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EEB1F3C">
      <w:pPr>
        <w:spacing w:line="560" w:lineRule="exact"/>
        <w:ind w:firstLine="482" w:firstLineChars="200"/>
        <w:outlineLvl w:val="0"/>
        <w:rPr>
          <w:rFonts w:hint="eastAsia" w:ascii="仿宋" w:hAnsi="仿宋" w:eastAsia="仿宋" w:cs="仿宋"/>
          <w:b/>
          <w:color w:val="auto"/>
          <w:sz w:val="24"/>
          <w:highlight w:val="none"/>
        </w:rPr>
      </w:pPr>
      <w:bookmarkStart w:id="480" w:name="_Toc26633"/>
      <w:bookmarkStart w:id="481" w:name="_Toc25571"/>
      <w:bookmarkStart w:id="482" w:name="_Toc32494"/>
      <w:bookmarkStart w:id="483" w:name="_Toc4720"/>
      <w:bookmarkStart w:id="484" w:name="_Toc14371"/>
      <w:r>
        <w:rPr>
          <w:rFonts w:hint="eastAsia" w:ascii="仿宋" w:hAnsi="仿宋" w:eastAsia="仿宋" w:cs="仿宋"/>
          <w:b/>
          <w:color w:val="auto"/>
          <w:sz w:val="24"/>
          <w:highlight w:val="none"/>
        </w:rPr>
        <w:t>2.11 不可抗力</w:t>
      </w:r>
      <w:bookmarkEnd w:id="480"/>
      <w:bookmarkEnd w:id="481"/>
      <w:bookmarkEnd w:id="482"/>
      <w:bookmarkEnd w:id="483"/>
      <w:bookmarkEnd w:id="484"/>
    </w:p>
    <w:p w14:paraId="2065E2E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230BB3F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0B7760E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1504FBF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286A545">
      <w:pPr>
        <w:spacing w:line="560" w:lineRule="exact"/>
        <w:ind w:firstLine="482" w:firstLineChars="200"/>
        <w:outlineLvl w:val="0"/>
        <w:rPr>
          <w:rFonts w:hint="eastAsia" w:ascii="仿宋" w:hAnsi="仿宋" w:eastAsia="仿宋" w:cs="仿宋"/>
          <w:b/>
          <w:color w:val="auto"/>
          <w:sz w:val="24"/>
          <w:highlight w:val="none"/>
        </w:rPr>
      </w:pPr>
      <w:bookmarkStart w:id="485" w:name="_Toc3638"/>
      <w:bookmarkStart w:id="486" w:name="_Toc23854"/>
      <w:bookmarkStart w:id="487" w:name="_Toc25783"/>
      <w:bookmarkStart w:id="488" w:name="_Toc14115"/>
      <w:bookmarkStart w:id="489" w:name="_Toc24465"/>
      <w:r>
        <w:rPr>
          <w:rFonts w:hint="eastAsia" w:ascii="仿宋" w:hAnsi="仿宋" w:eastAsia="仿宋" w:cs="仿宋"/>
          <w:b/>
          <w:color w:val="auto"/>
          <w:sz w:val="24"/>
          <w:highlight w:val="none"/>
        </w:rPr>
        <w:t>2.12 税费</w:t>
      </w:r>
      <w:bookmarkEnd w:id="485"/>
      <w:bookmarkEnd w:id="486"/>
      <w:bookmarkEnd w:id="487"/>
      <w:bookmarkEnd w:id="488"/>
      <w:bookmarkEnd w:id="489"/>
    </w:p>
    <w:p w14:paraId="7895342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554D0558">
      <w:pPr>
        <w:spacing w:line="560" w:lineRule="exact"/>
        <w:ind w:firstLine="482" w:firstLineChars="200"/>
        <w:outlineLvl w:val="0"/>
        <w:rPr>
          <w:rFonts w:hint="eastAsia" w:ascii="仿宋" w:hAnsi="仿宋" w:eastAsia="仿宋" w:cs="仿宋"/>
          <w:b/>
          <w:color w:val="auto"/>
          <w:sz w:val="24"/>
          <w:highlight w:val="none"/>
        </w:rPr>
      </w:pPr>
      <w:bookmarkStart w:id="490" w:name="_Toc30105"/>
      <w:bookmarkStart w:id="491" w:name="_Toc14814"/>
      <w:bookmarkStart w:id="492" w:name="_Toc25525"/>
      <w:bookmarkStart w:id="493" w:name="_Toc7315"/>
      <w:bookmarkStart w:id="494" w:name="_Toc26883"/>
      <w:r>
        <w:rPr>
          <w:rFonts w:hint="eastAsia" w:ascii="仿宋" w:hAnsi="仿宋" w:eastAsia="仿宋" w:cs="仿宋"/>
          <w:b/>
          <w:color w:val="auto"/>
          <w:sz w:val="24"/>
          <w:highlight w:val="none"/>
        </w:rPr>
        <w:t>2.13 乙方破产</w:t>
      </w:r>
      <w:bookmarkEnd w:id="490"/>
      <w:bookmarkEnd w:id="491"/>
      <w:bookmarkEnd w:id="492"/>
      <w:bookmarkEnd w:id="493"/>
      <w:bookmarkEnd w:id="494"/>
    </w:p>
    <w:p w14:paraId="76BE130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E1C8F20">
      <w:pPr>
        <w:spacing w:line="560" w:lineRule="exact"/>
        <w:ind w:firstLine="482" w:firstLineChars="200"/>
        <w:outlineLvl w:val="0"/>
        <w:rPr>
          <w:rFonts w:hint="eastAsia" w:ascii="仿宋" w:hAnsi="仿宋" w:eastAsia="仿宋" w:cs="仿宋"/>
          <w:b/>
          <w:color w:val="auto"/>
          <w:sz w:val="24"/>
          <w:highlight w:val="none"/>
        </w:rPr>
      </w:pPr>
      <w:bookmarkStart w:id="495" w:name="_Toc1123"/>
      <w:bookmarkStart w:id="496" w:name="_Toc23323"/>
      <w:bookmarkStart w:id="497" w:name="_Toc2016"/>
      <w:r>
        <w:rPr>
          <w:rFonts w:hint="eastAsia" w:ascii="仿宋" w:hAnsi="仿宋" w:eastAsia="仿宋" w:cs="仿宋"/>
          <w:b/>
          <w:color w:val="auto"/>
          <w:sz w:val="24"/>
          <w:highlight w:val="none"/>
        </w:rPr>
        <w:t>2.14 合同中止、终止</w:t>
      </w:r>
      <w:bookmarkEnd w:id="495"/>
      <w:bookmarkEnd w:id="496"/>
      <w:bookmarkEnd w:id="497"/>
    </w:p>
    <w:p w14:paraId="201ADE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0FB610B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F557A17">
      <w:pPr>
        <w:spacing w:line="560" w:lineRule="exact"/>
        <w:ind w:firstLine="482" w:firstLineChars="200"/>
        <w:outlineLvl w:val="0"/>
        <w:rPr>
          <w:rFonts w:hint="eastAsia" w:ascii="仿宋" w:hAnsi="仿宋" w:eastAsia="仿宋" w:cs="仿宋"/>
          <w:b/>
          <w:color w:val="auto"/>
          <w:sz w:val="24"/>
          <w:highlight w:val="none"/>
        </w:rPr>
      </w:pPr>
      <w:bookmarkStart w:id="498" w:name="_Toc14525"/>
      <w:bookmarkStart w:id="499" w:name="_Toc1969"/>
      <w:bookmarkStart w:id="500" w:name="_Toc17363"/>
      <w:r>
        <w:rPr>
          <w:rFonts w:hint="eastAsia" w:ascii="仿宋" w:hAnsi="仿宋" w:eastAsia="仿宋" w:cs="仿宋"/>
          <w:b/>
          <w:color w:val="auto"/>
          <w:sz w:val="24"/>
          <w:highlight w:val="none"/>
        </w:rPr>
        <w:t>2.15 检验和验收</w:t>
      </w:r>
      <w:bookmarkEnd w:id="498"/>
      <w:bookmarkEnd w:id="499"/>
      <w:bookmarkEnd w:id="500"/>
    </w:p>
    <w:p w14:paraId="57AADD82">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189ED7A9">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290B9AA">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209817B8">
      <w:pPr>
        <w:spacing w:line="560" w:lineRule="exact"/>
        <w:ind w:firstLine="482" w:firstLineChars="200"/>
        <w:outlineLvl w:val="0"/>
        <w:rPr>
          <w:rFonts w:hint="eastAsia" w:ascii="仿宋" w:hAnsi="仿宋" w:eastAsia="仿宋" w:cs="仿宋"/>
          <w:b/>
          <w:color w:val="auto"/>
          <w:sz w:val="24"/>
          <w:highlight w:val="none"/>
        </w:rPr>
      </w:pPr>
      <w:bookmarkStart w:id="501" w:name="_Toc12666"/>
      <w:bookmarkStart w:id="502" w:name="_Toc2308"/>
      <w:bookmarkStart w:id="503" w:name="_Toc25198"/>
      <w:bookmarkStart w:id="504" w:name="_Toc9808"/>
      <w:bookmarkStart w:id="505" w:name="_Toc31892"/>
      <w:r>
        <w:rPr>
          <w:rFonts w:hint="eastAsia" w:ascii="仿宋" w:hAnsi="仿宋" w:eastAsia="仿宋" w:cs="仿宋"/>
          <w:b/>
          <w:color w:val="auto"/>
          <w:sz w:val="24"/>
          <w:highlight w:val="none"/>
        </w:rPr>
        <w:t>2.16 通知和送达</w:t>
      </w:r>
      <w:bookmarkEnd w:id="501"/>
      <w:bookmarkEnd w:id="502"/>
      <w:bookmarkEnd w:id="503"/>
      <w:bookmarkEnd w:id="504"/>
      <w:bookmarkEnd w:id="505"/>
    </w:p>
    <w:p w14:paraId="095BD374">
      <w:pPr>
        <w:spacing w:line="560" w:lineRule="exact"/>
        <w:ind w:firstLine="480" w:firstLineChars="200"/>
        <w:rPr>
          <w:rFonts w:hint="eastAsia" w:ascii="仿宋" w:hAnsi="仿宋" w:eastAsia="仿宋" w:cs="仿宋"/>
          <w:color w:val="auto"/>
          <w:sz w:val="24"/>
          <w:highlight w:val="none"/>
        </w:rPr>
      </w:pPr>
      <w:bookmarkStart w:id="506" w:name="_Toc27674"/>
      <w:bookmarkStart w:id="507"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343784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6"/>
      <w:bookmarkEnd w:id="507"/>
    </w:p>
    <w:p w14:paraId="26774147">
      <w:pPr>
        <w:spacing w:line="560" w:lineRule="exact"/>
        <w:ind w:firstLine="482" w:firstLineChars="200"/>
        <w:outlineLvl w:val="0"/>
        <w:rPr>
          <w:rFonts w:hint="eastAsia" w:ascii="仿宋" w:hAnsi="仿宋" w:eastAsia="仿宋" w:cs="仿宋"/>
          <w:b/>
          <w:color w:val="auto"/>
          <w:sz w:val="24"/>
          <w:highlight w:val="none"/>
        </w:rPr>
      </w:pPr>
      <w:bookmarkStart w:id="508" w:name="_Toc12254"/>
      <w:bookmarkStart w:id="509" w:name="_Toc27644"/>
      <w:bookmarkStart w:id="510" w:name="_Toc5063"/>
      <w:bookmarkStart w:id="511" w:name="_Toc28906"/>
      <w:bookmarkStart w:id="512" w:name="_Toc20808"/>
      <w:r>
        <w:rPr>
          <w:rFonts w:hint="eastAsia" w:ascii="仿宋" w:hAnsi="仿宋" w:eastAsia="仿宋" w:cs="仿宋"/>
          <w:b/>
          <w:color w:val="auto"/>
          <w:sz w:val="24"/>
          <w:highlight w:val="none"/>
        </w:rPr>
        <w:t>2.17 合同使用的文字和适用的法律</w:t>
      </w:r>
      <w:bookmarkEnd w:id="508"/>
      <w:bookmarkEnd w:id="509"/>
      <w:bookmarkEnd w:id="510"/>
      <w:bookmarkEnd w:id="511"/>
      <w:bookmarkEnd w:id="512"/>
    </w:p>
    <w:p w14:paraId="4DCE8B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39539BC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3B6A8E3">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79B4D71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3E2B48D1">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28CFAB5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1BA95737">
      <w:pPr>
        <w:spacing w:line="360" w:lineRule="auto"/>
        <w:jc w:val="center"/>
        <w:outlineLvl w:val="0"/>
        <w:rPr>
          <w:rFonts w:hint="eastAsia" w:ascii="仿宋" w:hAnsi="仿宋" w:eastAsia="仿宋" w:cs="仿宋"/>
          <w:b/>
          <w:color w:val="auto"/>
          <w:sz w:val="24"/>
          <w:highlight w:val="none"/>
        </w:rPr>
      </w:pPr>
    </w:p>
    <w:p w14:paraId="43F43437">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383394BB">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6EC8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7E0CBE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01CEBD9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24748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0739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0B5ACB3C">
            <w:pPr>
              <w:spacing w:line="360" w:lineRule="auto"/>
              <w:rPr>
                <w:rFonts w:hint="eastAsia" w:ascii="仿宋" w:hAnsi="仿宋" w:eastAsia="仿宋" w:cs="仿宋"/>
                <w:color w:val="auto"/>
                <w:sz w:val="24"/>
                <w:highlight w:val="none"/>
              </w:rPr>
            </w:pPr>
          </w:p>
        </w:tc>
      </w:tr>
      <w:tr w14:paraId="7D3DE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A30C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40750E7F">
            <w:pPr>
              <w:spacing w:line="360" w:lineRule="auto"/>
              <w:rPr>
                <w:rFonts w:hint="eastAsia" w:ascii="仿宋" w:hAnsi="仿宋" w:eastAsia="仿宋" w:cs="仿宋"/>
                <w:color w:val="auto"/>
                <w:sz w:val="24"/>
                <w:highlight w:val="none"/>
              </w:rPr>
            </w:pPr>
          </w:p>
        </w:tc>
      </w:tr>
      <w:tr w14:paraId="22568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2E563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7D4165FD">
            <w:pPr>
              <w:spacing w:line="360" w:lineRule="auto"/>
              <w:rPr>
                <w:rFonts w:hint="eastAsia" w:ascii="仿宋" w:hAnsi="仿宋" w:eastAsia="仿宋" w:cs="仿宋"/>
                <w:color w:val="auto"/>
                <w:sz w:val="24"/>
                <w:highlight w:val="none"/>
              </w:rPr>
            </w:pPr>
          </w:p>
        </w:tc>
      </w:tr>
      <w:tr w14:paraId="19704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65604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0F9B631D">
            <w:pPr>
              <w:spacing w:line="360" w:lineRule="auto"/>
              <w:rPr>
                <w:rFonts w:hint="eastAsia" w:ascii="仿宋" w:hAnsi="仿宋" w:eastAsia="仿宋" w:cs="仿宋"/>
                <w:color w:val="auto"/>
                <w:sz w:val="24"/>
                <w:highlight w:val="none"/>
              </w:rPr>
            </w:pPr>
          </w:p>
        </w:tc>
      </w:tr>
      <w:tr w14:paraId="38138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DEF3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100C9DDD">
            <w:pPr>
              <w:spacing w:line="360" w:lineRule="auto"/>
              <w:rPr>
                <w:rFonts w:hint="eastAsia" w:ascii="仿宋" w:hAnsi="仿宋" w:eastAsia="仿宋" w:cs="仿宋"/>
                <w:color w:val="auto"/>
                <w:sz w:val="24"/>
                <w:highlight w:val="none"/>
              </w:rPr>
            </w:pPr>
          </w:p>
        </w:tc>
      </w:tr>
      <w:tr w14:paraId="2AF69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621B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0D58B0CA">
            <w:pPr>
              <w:spacing w:line="360" w:lineRule="auto"/>
              <w:rPr>
                <w:rFonts w:hint="eastAsia" w:ascii="仿宋" w:hAnsi="仿宋" w:eastAsia="仿宋" w:cs="仿宋"/>
                <w:color w:val="auto"/>
                <w:sz w:val="24"/>
                <w:highlight w:val="none"/>
              </w:rPr>
            </w:pPr>
          </w:p>
        </w:tc>
      </w:tr>
      <w:tr w14:paraId="77348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0DB2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5552C0AE">
            <w:pPr>
              <w:spacing w:line="360" w:lineRule="auto"/>
              <w:rPr>
                <w:rFonts w:hint="eastAsia" w:ascii="仿宋" w:hAnsi="仿宋" w:eastAsia="仿宋" w:cs="仿宋"/>
                <w:color w:val="auto"/>
                <w:sz w:val="24"/>
                <w:highlight w:val="none"/>
              </w:rPr>
            </w:pPr>
          </w:p>
        </w:tc>
      </w:tr>
      <w:tr w14:paraId="62F8E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D5FB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65EBB693">
            <w:pPr>
              <w:spacing w:line="360" w:lineRule="auto"/>
              <w:rPr>
                <w:rFonts w:hint="eastAsia" w:ascii="仿宋" w:hAnsi="仿宋" w:eastAsia="仿宋" w:cs="仿宋"/>
                <w:color w:val="auto"/>
                <w:sz w:val="24"/>
                <w:highlight w:val="none"/>
              </w:rPr>
            </w:pPr>
          </w:p>
        </w:tc>
      </w:tr>
      <w:tr w14:paraId="2B6BE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72058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1885400E">
            <w:pPr>
              <w:spacing w:line="360" w:lineRule="auto"/>
              <w:rPr>
                <w:rFonts w:hint="eastAsia" w:ascii="仿宋" w:hAnsi="仿宋" w:eastAsia="仿宋" w:cs="仿宋"/>
                <w:color w:val="auto"/>
                <w:sz w:val="24"/>
                <w:highlight w:val="none"/>
              </w:rPr>
            </w:pPr>
          </w:p>
        </w:tc>
      </w:tr>
      <w:tr w14:paraId="7C304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9941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09DBAE00">
            <w:pPr>
              <w:spacing w:line="360" w:lineRule="auto"/>
              <w:rPr>
                <w:rFonts w:hint="eastAsia" w:ascii="仿宋" w:hAnsi="仿宋" w:eastAsia="仿宋" w:cs="仿宋"/>
                <w:color w:val="auto"/>
                <w:sz w:val="24"/>
                <w:highlight w:val="none"/>
              </w:rPr>
            </w:pPr>
          </w:p>
        </w:tc>
      </w:tr>
      <w:tr w14:paraId="66EF9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BBAF9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7A094FA0">
            <w:pPr>
              <w:spacing w:line="360" w:lineRule="auto"/>
              <w:rPr>
                <w:rFonts w:hint="eastAsia" w:ascii="仿宋" w:hAnsi="仿宋" w:eastAsia="仿宋" w:cs="仿宋"/>
                <w:color w:val="auto"/>
                <w:sz w:val="24"/>
                <w:highlight w:val="none"/>
              </w:rPr>
            </w:pPr>
          </w:p>
        </w:tc>
      </w:tr>
      <w:tr w14:paraId="67F93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60A2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02DCEE14">
            <w:pPr>
              <w:spacing w:line="360" w:lineRule="auto"/>
              <w:rPr>
                <w:rFonts w:hint="eastAsia" w:ascii="仿宋" w:hAnsi="仿宋" w:eastAsia="仿宋" w:cs="仿宋"/>
                <w:color w:val="auto"/>
                <w:sz w:val="24"/>
                <w:highlight w:val="none"/>
              </w:rPr>
            </w:pPr>
          </w:p>
        </w:tc>
      </w:tr>
      <w:tr w14:paraId="6DD7E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EACB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1D2D9442">
            <w:pPr>
              <w:spacing w:line="360" w:lineRule="auto"/>
              <w:rPr>
                <w:rFonts w:hint="eastAsia" w:ascii="仿宋" w:hAnsi="仿宋" w:eastAsia="仿宋" w:cs="仿宋"/>
                <w:color w:val="auto"/>
                <w:sz w:val="24"/>
                <w:highlight w:val="none"/>
              </w:rPr>
            </w:pPr>
          </w:p>
        </w:tc>
      </w:tr>
      <w:tr w14:paraId="6AC39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1C0A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761E829F">
            <w:pPr>
              <w:spacing w:line="360" w:lineRule="auto"/>
              <w:rPr>
                <w:rFonts w:hint="eastAsia" w:ascii="仿宋" w:hAnsi="仿宋" w:eastAsia="仿宋" w:cs="仿宋"/>
                <w:color w:val="auto"/>
                <w:sz w:val="24"/>
                <w:highlight w:val="none"/>
              </w:rPr>
            </w:pPr>
          </w:p>
        </w:tc>
      </w:tr>
      <w:tr w14:paraId="24920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9852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05C458A2">
            <w:pPr>
              <w:spacing w:line="360" w:lineRule="auto"/>
              <w:rPr>
                <w:rFonts w:hint="eastAsia" w:ascii="仿宋" w:hAnsi="仿宋" w:eastAsia="仿宋" w:cs="仿宋"/>
                <w:color w:val="auto"/>
                <w:sz w:val="24"/>
                <w:highlight w:val="none"/>
              </w:rPr>
            </w:pPr>
          </w:p>
        </w:tc>
      </w:tr>
      <w:tr w14:paraId="3BE59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B10C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02D1BD06">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5007F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3A6C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5ABD4C5D">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1C69F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635D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3552F0C3">
            <w:pPr>
              <w:spacing w:line="360" w:lineRule="auto"/>
              <w:rPr>
                <w:rFonts w:hint="eastAsia" w:ascii="仿宋" w:hAnsi="仿宋" w:eastAsia="仿宋" w:cs="仿宋"/>
                <w:color w:val="auto"/>
                <w:sz w:val="24"/>
                <w:highlight w:val="none"/>
              </w:rPr>
            </w:pPr>
          </w:p>
        </w:tc>
      </w:tr>
      <w:tr w14:paraId="089CF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23BBAA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42BDF263">
            <w:pPr>
              <w:spacing w:line="360" w:lineRule="auto"/>
              <w:rPr>
                <w:rFonts w:hint="eastAsia" w:ascii="仿宋" w:hAnsi="仿宋" w:eastAsia="仿宋" w:cs="仿宋"/>
                <w:color w:val="auto"/>
                <w:sz w:val="24"/>
                <w:highlight w:val="none"/>
              </w:rPr>
            </w:pPr>
          </w:p>
        </w:tc>
      </w:tr>
      <w:tr w14:paraId="4E747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6521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4206805C">
            <w:pPr>
              <w:spacing w:line="360" w:lineRule="auto"/>
              <w:rPr>
                <w:rFonts w:hint="eastAsia" w:ascii="仿宋" w:hAnsi="仿宋" w:eastAsia="仿宋" w:cs="仿宋"/>
                <w:color w:val="auto"/>
                <w:sz w:val="24"/>
                <w:highlight w:val="none"/>
              </w:rPr>
            </w:pPr>
          </w:p>
        </w:tc>
      </w:tr>
      <w:tr w14:paraId="437DB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8D3A9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38668DDE">
            <w:pPr>
              <w:spacing w:line="360" w:lineRule="auto"/>
              <w:rPr>
                <w:rFonts w:hint="eastAsia" w:ascii="仿宋" w:hAnsi="仿宋" w:eastAsia="仿宋" w:cs="仿宋"/>
                <w:color w:val="auto"/>
                <w:sz w:val="24"/>
                <w:highlight w:val="none"/>
              </w:rPr>
            </w:pPr>
          </w:p>
        </w:tc>
      </w:tr>
      <w:tr w14:paraId="7611B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3613C29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6519F8F7">
            <w:pPr>
              <w:spacing w:line="360" w:lineRule="auto"/>
              <w:rPr>
                <w:rFonts w:hint="eastAsia" w:ascii="仿宋" w:hAnsi="仿宋" w:eastAsia="仿宋" w:cs="仿宋"/>
                <w:color w:val="auto"/>
                <w:sz w:val="24"/>
                <w:highlight w:val="none"/>
              </w:rPr>
            </w:pPr>
          </w:p>
        </w:tc>
      </w:tr>
    </w:tbl>
    <w:p w14:paraId="0E8175A8">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72CFA0B">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10"/>
      <w:r>
        <w:rPr>
          <w:rFonts w:hint="eastAsia" w:ascii="仿宋" w:hAnsi="仿宋" w:eastAsia="仿宋" w:cs="仿宋"/>
          <w:b/>
          <w:color w:val="auto"/>
          <w:sz w:val="36"/>
          <w:szCs w:val="20"/>
          <w:highlight w:val="none"/>
        </w:rPr>
        <w:t xml:space="preserve"> </w:t>
      </w:r>
      <w:bookmarkEnd w:id="411"/>
      <w:r>
        <w:rPr>
          <w:rFonts w:hint="eastAsia" w:ascii="仿宋" w:hAnsi="仿宋" w:eastAsia="仿宋" w:cs="仿宋"/>
          <w:b/>
          <w:color w:val="auto"/>
          <w:sz w:val="36"/>
          <w:szCs w:val="20"/>
          <w:highlight w:val="none"/>
        </w:rPr>
        <w:t>应提交的有关格式范例</w:t>
      </w:r>
    </w:p>
    <w:p w14:paraId="04A7C01E">
      <w:pPr>
        <w:spacing w:line="360" w:lineRule="auto"/>
        <w:jc w:val="center"/>
        <w:outlineLvl w:val="0"/>
        <w:rPr>
          <w:rFonts w:hint="eastAsia" w:ascii="仿宋" w:hAnsi="仿宋" w:eastAsia="仿宋" w:cs="仿宋"/>
          <w:b/>
          <w:color w:val="auto"/>
          <w:kern w:val="0"/>
          <w:sz w:val="36"/>
          <w:szCs w:val="36"/>
          <w:highlight w:val="none"/>
        </w:rPr>
      </w:pPr>
    </w:p>
    <w:p w14:paraId="567B4E7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A86336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6B8AB64">
      <w:pPr>
        <w:spacing w:line="360" w:lineRule="auto"/>
        <w:jc w:val="center"/>
        <w:outlineLvl w:val="0"/>
        <w:rPr>
          <w:rFonts w:hint="eastAsia" w:ascii="仿宋" w:hAnsi="仿宋" w:eastAsia="仿宋" w:cs="仿宋"/>
          <w:b/>
          <w:color w:val="auto"/>
          <w:kern w:val="0"/>
          <w:sz w:val="36"/>
          <w:szCs w:val="36"/>
          <w:highlight w:val="none"/>
        </w:rPr>
      </w:pPr>
    </w:p>
    <w:p w14:paraId="3C54806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E9F1F0C">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53CC9E1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2BDACC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17F7B60">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8374B22">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7EE91FA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30B516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39FE30E4">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6CB0B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005056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9503BC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F9BA6D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AD9FA3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741942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2CFA40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84B03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8274D6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531BA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4CB4A45">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D88AD2E">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809C827">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DD9917A">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787B61FA">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30797E26">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6499266A">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C4AAB74">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5F4703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5D01EABC">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60426F22">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04800B0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48A835DA">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5C6F508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DB0F208">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6DFD7C5">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3DADD13">
      <w:pPr>
        <w:spacing w:line="360" w:lineRule="auto"/>
        <w:jc w:val="center"/>
        <w:outlineLvl w:val="0"/>
        <w:rPr>
          <w:rFonts w:hint="eastAsia" w:ascii="仿宋" w:hAnsi="仿宋" w:eastAsia="仿宋" w:cs="仿宋"/>
          <w:b/>
          <w:color w:val="auto"/>
          <w:kern w:val="0"/>
          <w:sz w:val="24"/>
          <w:highlight w:val="none"/>
        </w:rPr>
      </w:pPr>
    </w:p>
    <w:p w14:paraId="2401DFC6">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4B4A52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C65695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2850CF81">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0588604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4ED845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668474BC">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DCD60AC">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ED40CA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E18720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644157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796D2FB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26854FF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0A0AFBB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459A6B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3" w:name="_Hlk101257010"/>
      <w:r>
        <w:rPr>
          <w:rFonts w:hint="eastAsia" w:ascii="仿宋" w:hAnsi="仿宋" w:eastAsia="仿宋" w:cs="仿宋"/>
          <w:color w:val="auto"/>
          <w:sz w:val="24"/>
          <w:highlight w:val="none"/>
        </w:rPr>
        <w:t>（如果有)</w:t>
      </w:r>
      <w:bookmarkEnd w:id="513"/>
      <w:r>
        <w:rPr>
          <w:rFonts w:hint="eastAsia" w:ascii="仿宋" w:hAnsi="仿宋" w:eastAsia="仿宋" w:cs="仿宋"/>
          <w:snapToGrid w:val="0"/>
          <w:color w:val="auto"/>
          <w:kern w:val="28"/>
          <w:sz w:val="24"/>
          <w:szCs w:val="20"/>
          <w:highlight w:val="none"/>
        </w:rPr>
        <w:t>；</w:t>
      </w:r>
    </w:p>
    <w:p w14:paraId="09EA5E7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p>
    <w:p w14:paraId="7628C9B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p>
    <w:p w14:paraId="6256C9A4">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FA3459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085CA38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B49F41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1DD96F9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1A71791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2D96A21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7744A6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1E17BE93">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0B2B99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995D2E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EF0DF1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2.3.2报价情况说明；（如果有）</w:t>
      </w:r>
    </w:p>
    <w:p w14:paraId="3FD70F3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5E94CBF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65858D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9ACB46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4455D89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DF3546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C9FC0AC">
      <w:pPr>
        <w:numPr>
          <w:ilvl w:val="0"/>
          <w:numId w:val="9"/>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B410BEE">
      <w:pPr>
        <w:numPr>
          <w:ilvl w:val="0"/>
          <w:numId w:val="9"/>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80EC899">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7C0A372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1BFBBEE">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1A1F5C4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576F2C8">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529B354">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7F9D74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1654225">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7FF4F39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E74DCCC">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DF4DB9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DDC40F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8F9A12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9BE33E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7366A04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5DF5DAD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E4DD051">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366850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4252CB8">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8D2215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1DD281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78BD5FE">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30D38C6">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7B527F6">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7118D9B0">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FF33033">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8E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7275DC9">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291C6DD">
            <w:pPr>
              <w:pStyle w:val="146"/>
              <w:adjustRightInd w:val="0"/>
              <w:spacing w:line="360" w:lineRule="auto"/>
              <w:rPr>
                <w:rFonts w:hint="eastAsia" w:ascii="仿宋" w:hAnsi="仿宋" w:eastAsia="仿宋" w:cs="仿宋"/>
                <w:bCs/>
                <w:color w:val="auto"/>
                <w:sz w:val="24"/>
                <w:highlight w:val="none"/>
              </w:rPr>
            </w:pPr>
          </w:p>
        </w:tc>
      </w:tr>
    </w:tbl>
    <w:p w14:paraId="544E40CC">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7F2E28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425554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F8BD641">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DEA3A94">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EBFDE3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23876291">
      <w:pPr>
        <w:snapToGrid w:val="0"/>
        <w:spacing w:line="360" w:lineRule="auto"/>
        <w:rPr>
          <w:rFonts w:hint="eastAsia" w:ascii="仿宋" w:hAnsi="仿宋" w:eastAsia="仿宋" w:cs="仿宋"/>
          <w:color w:val="auto"/>
          <w:kern w:val="0"/>
          <w:sz w:val="24"/>
          <w:highlight w:val="none"/>
        </w:rPr>
      </w:pPr>
    </w:p>
    <w:p w14:paraId="75B6426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524DCD75">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F69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F74254B">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0771963">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531937B">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8AC7C9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1CE1694">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页码位置</w:t>
            </w:r>
          </w:p>
        </w:tc>
      </w:tr>
      <w:tr w14:paraId="623B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73DD48">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1</w:t>
            </w:r>
          </w:p>
        </w:tc>
        <w:tc>
          <w:tcPr>
            <w:tcW w:w="4991" w:type="dxa"/>
            <w:vAlign w:val="top"/>
          </w:tcPr>
          <w:p w14:paraId="41B12A21">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1374CE3D">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2B2E59E0">
            <w:pPr>
              <w:rPr>
                <w:rFonts w:hint="eastAsia" w:ascii="仿宋" w:hAnsi="仿宋" w:eastAsia="仿宋" w:cs="仿宋"/>
                <w:color w:val="auto"/>
                <w:sz w:val="24"/>
                <w:highlight w:val="none"/>
              </w:rPr>
            </w:pPr>
          </w:p>
          <w:p w14:paraId="6DF4DC0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55C04548">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5F7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4F8A77">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2</w:t>
            </w:r>
          </w:p>
        </w:tc>
        <w:tc>
          <w:tcPr>
            <w:tcW w:w="4991" w:type="dxa"/>
            <w:vAlign w:val="top"/>
          </w:tcPr>
          <w:p w14:paraId="59861CBC">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DB35CDB">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16E614A8">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EB4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3D9D43">
            <w:pPr>
              <w:jc w:val="cente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1422BD8D">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5860080F">
            <w:pPr>
              <w:spacing w:line="360" w:lineRule="auto"/>
              <w:rPr>
                <w:rFonts w:hint="eastAsia" w:ascii="仿宋" w:hAnsi="仿宋" w:eastAsia="仿宋" w:cs="仿宋"/>
                <w:b w:val="0"/>
                <w:bCs/>
                <w:color w:val="auto"/>
                <w:sz w:val="24"/>
                <w:highlight w:val="none"/>
              </w:rPr>
            </w:pPr>
          </w:p>
        </w:tc>
        <w:tc>
          <w:tcPr>
            <w:tcW w:w="2551" w:type="dxa"/>
            <w:vAlign w:val="center"/>
          </w:tcPr>
          <w:p w14:paraId="65EF5D9B">
            <w:pP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2A7ACCC2">
            <w:pPr>
              <w:rPr>
                <w:rFonts w:hint="eastAsia" w:ascii="仿宋" w:hAnsi="仿宋" w:eastAsia="仿宋" w:cs="仿宋"/>
                <w:b w:val="0"/>
                <w:bCs/>
                <w:color w:val="auto"/>
                <w:highlight w:val="none"/>
              </w:rPr>
            </w:pPr>
            <w:r>
              <w:rPr>
                <w:rFonts w:hint="eastAsia" w:ascii="仿宋" w:hAnsi="仿宋" w:eastAsia="仿宋" w:cs="仿宋"/>
                <w:b w:val="0"/>
                <w:bCs w:val="0"/>
                <w:color w:val="auto"/>
                <w:sz w:val="24"/>
                <w:highlight w:val="none"/>
                <w:lang w:val="en-US" w:eastAsia="zh-CN"/>
              </w:rPr>
              <w:t>/</w:t>
            </w:r>
          </w:p>
        </w:tc>
      </w:tr>
      <w:tr w14:paraId="5FA3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93090F">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1F583817">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0F8846A1">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4C03D8EF">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1B25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CF82DC">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08A0F1EF">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7A815F0E">
            <w:pPr>
              <w:rPr>
                <w:rFonts w:hint="eastAsia" w:ascii="仿宋" w:hAnsi="仿宋" w:eastAsia="仿宋" w:cs="仿宋"/>
                <w:b/>
                <w:bCs/>
                <w:color w:val="auto"/>
                <w:sz w:val="24"/>
                <w:highlight w:val="none"/>
                <w:lang w:val="en-US" w:eastAsia="zh-CN"/>
              </w:rPr>
            </w:pPr>
          </w:p>
        </w:tc>
        <w:tc>
          <w:tcPr>
            <w:tcW w:w="1418" w:type="dxa"/>
            <w:vAlign w:val="top"/>
          </w:tcPr>
          <w:p w14:paraId="5D5E5C16">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A89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21F615">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3F926667">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128FFC47">
            <w:pPr>
              <w:rPr>
                <w:rFonts w:hint="eastAsia" w:ascii="仿宋" w:hAnsi="仿宋" w:eastAsia="仿宋" w:cs="仿宋"/>
                <w:b/>
                <w:bCs/>
                <w:color w:val="auto"/>
                <w:sz w:val="24"/>
                <w:highlight w:val="none"/>
                <w:lang w:val="en-US" w:eastAsia="zh-CN"/>
              </w:rPr>
            </w:pPr>
          </w:p>
        </w:tc>
        <w:tc>
          <w:tcPr>
            <w:tcW w:w="1418" w:type="dxa"/>
            <w:vAlign w:val="top"/>
          </w:tcPr>
          <w:p w14:paraId="21D9A8D6">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668D6AE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A8634A0">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1AA445B9">
      <w:pPr>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870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7793DE">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2D3F25E1">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2C922191">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2F0A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580136">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07B7CF46">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3DB6EFAA">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2D4D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42FD437">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777BF6C6">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1263CF57">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3731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82D1D5E">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01828681">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039299A2">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61022472">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8B3D7E9">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C68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08553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E9E508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368EDD7">
            <w:pPr>
              <w:spacing w:line="360" w:lineRule="auto"/>
              <w:jc w:val="center"/>
              <w:rPr>
                <w:rFonts w:hint="eastAsia" w:ascii="仿宋" w:hAnsi="仿宋" w:eastAsia="仿宋" w:cs="仿宋"/>
                <w:b/>
                <w:color w:val="auto"/>
                <w:sz w:val="24"/>
                <w:highlight w:val="none"/>
              </w:rPr>
            </w:pPr>
          </w:p>
          <w:p w14:paraId="180021A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103F25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8919D3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51A3FD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E5A980A">
            <w:pPr>
              <w:spacing w:line="360" w:lineRule="auto"/>
              <w:jc w:val="center"/>
              <w:rPr>
                <w:rFonts w:hint="eastAsia" w:ascii="仿宋" w:hAnsi="仿宋" w:eastAsia="仿宋" w:cs="仿宋"/>
                <w:b/>
                <w:color w:val="auto"/>
                <w:sz w:val="24"/>
                <w:highlight w:val="none"/>
              </w:rPr>
            </w:pPr>
          </w:p>
          <w:p w14:paraId="04DF1C4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49F25B44">
            <w:pPr>
              <w:spacing w:line="360" w:lineRule="auto"/>
              <w:jc w:val="center"/>
              <w:rPr>
                <w:rFonts w:hint="eastAsia" w:ascii="仿宋" w:hAnsi="仿宋" w:eastAsia="仿宋" w:cs="仿宋"/>
                <w:b/>
                <w:color w:val="auto"/>
                <w:sz w:val="24"/>
                <w:highlight w:val="none"/>
              </w:rPr>
            </w:pPr>
          </w:p>
        </w:tc>
      </w:tr>
      <w:tr w14:paraId="1C99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AB43A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276F5B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C46A4F2">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60FC417">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4EAFF3">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A3FCB2A">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74554D6">
            <w:pPr>
              <w:spacing w:line="360" w:lineRule="auto"/>
              <w:jc w:val="center"/>
              <w:rPr>
                <w:rFonts w:hint="eastAsia" w:ascii="仿宋" w:hAnsi="仿宋" w:eastAsia="仿宋" w:cs="仿宋"/>
                <w:color w:val="auto"/>
                <w:sz w:val="24"/>
                <w:highlight w:val="none"/>
              </w:rPr>
            </w:pPr>
          </w:p>
        </w:tc>
      </w:tr>
      <w:tr w14:paraId="7D1A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FD2B7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79999EB">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3D6673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2C172C5">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9ECDCC7">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3A19AA">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E8FC11">
            <w:pPr>
              <w:spacing w:line="360" w:lineRule="auto"/>
              <w:jc w:val="center"/>
              <w:rPr>
                <w:rFonts w:hint="eastAsia" w:ascii="仿宋" w:hAnsi="仿宋" w:eastAsia="仿宋" w:cs="仿宋"/>
                <w:color w:val="auto"/>
                <w:sz w:val="24"/>
                <w:highlight w:val="none"/>
              </w:rPr>
            </w:pPr>
          </w:p>
        </w:tc>
      </w:tr>
      <w:tr w14:paraId="1C28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709E4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2A5B44A">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890B1D0">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66E9D5">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36EB64">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3FD4314">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F421634">
            <w:pPr>
              <w:spacing w:line="360" w:lineRule="auto"/>
              <w:jc w:val="center"/>
              <w:rPr>
                <w:rFonts w:hint="eastAsia" w:ascii="仿宋" w:hAnsi="仿宋" w:eastAsia="仿宋" w:cs="仿宋"/>
                <w:color w:val="auto"/>
                <w:sz w:val="24"/>
                <w:highlight w:val="none"/>
              </w:rPr>
            </w:pPr>
          </w:p>
        </w:tc>
      </w:tr>
    </w:tbl>
    <w:p w14:paraId="44EEC86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78357B0">
      <w:pPr>
        <w:jc w:val="center"/>
        <w:rPr>
          <w:rFonts w:hint="eastAsia" w:ascii="仿宋" w:hAnsi="仿宋" w:eastAsia="仿宋" w:cs="仿宋"/>
          <w:b/>
          <w:color w:val="auto"/>
          <w:kern w:val="0"/>
          <w:sz w:val="32"/>
          <w:szCs w:val="32"/>
          <w:highlight w:val="none"/>
        </w:rPr>
      </w:pPr>
    </w:p>
    <w:p w14:paraId="169360A8">
      <w:pPr>
        <w:jc w:val="center"/>
        <w:rPr>
          <w:rFonts w:hint="eastAsia" w:ascii="仿宋" w:hAnsi="仿宋" w:eastAsia="仿宋" w:cs="仿宋"/>
          <w:b/>
          <w:color w:val="auto"/>
          <w:kern w:val="0"/>
          <w:sz w:val="32"/>
          <w:szCs w:val="32"/>
          <w:highlight w:val="none"/>
        </w:rPr>
      </w:pPr>
    </w:p>
    <w:p w14:paraId="4421283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6EC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46A3D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1398318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346D164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C3B586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A51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27BEC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557982DB">
            <w:pPr>
              <w:jc w:val="center"/>
              <w:rPr>
                <w:rFonts w:hint="eastAsia" w:ascii="仿宋" w:hAnsi="仿宋" w:eastAsia="仿宋" w:cs="仿宋"/>
                <w:b/>
                <w:color w:val="auto"/>
                <w:kern w:val="0"/>
                <w:sz w:val="32"/>
                <w:szCs w:val="32"/>
                <w:highlight w:val="none"/>
              </w:rPr>
            </w:pPr>
          </w:p>
        </w:tc>
        <w:tc>
          <w:tcPr>
            <w:tcW w:w="3546" w:type="dxa"/>
          </w:tcPr>
          <w:p w14:paraId="6DB0EC02">
            <w:pPr>
              <w:jc w:val="center"/>
              <w:rPr>
                <w:rFonts w:hint="eastAsia" w:ascii="仿宋" w:hAnsi="仿宋" w:eastAsia="仿宋" w:cs="仿宋"/>
                <w:b/>
                <w:color w:val="auto"/>
                <w:kern w:val="0"/>
                <w:sz w:val="32"/>
                <w:szCs w:val="32"/>
                <w:highlight w:val="none"/>
              </w:rPr>
            </w:pPr>
          </w:p>
        </w:tc>
        <w:tc>
          <w:tcPr>
            <w:tcW w:w="1276" w:type="dxa"/>
          </w:tcPr>
          <w:p w14:paraId="6A876A0B">
            <w:pPr>
              <w:jc w:val="center"/>
              <w:rPr>
                <w:rFonts w:hint="eastAsia" w:ascii="仿宋" w:hAnsi="仿宋" w:eastAsia="仿宋" w:cs="仿宋"/>
                <w:b/>
                <w:color w:val="auto"/>
                <w:kern w:val="0"/>
                <w:sz w:val="32"/>
                <w:szCs w:val="32"/>
                <w:highlight w:val="none"/>
              </w:rPr>
            </w:pPr>
          </w:p>
        </w:tc>
      </w:tr>
      <w:tr w14:paraId="499D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77CE7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20B1435E">
            <w:pPr>
              <w:jc w:val="center"/>
              <w:rPr>
                <w:rFonts w:hint="eastAsia" w:ascii="仿宋" w:hAnsi="仿宋" w:eastAsia="仿宋" w:cs="仿宋"/>
                <w:b/>
                <w:color w:val="auto"/>
                <w:kern w:val="0"/>
                <w:sz w:val="32"/>
                <w:szCs w:val="32"/>
                <w:highlight w:val="none"/>
              </w:rPr>
            </w:pPr>
          </w:p>
        </w:tc>
        <w:tc>
          <w:tcPr>
            <w:tcW w:w="3546" w:type="dxa"/>
          </w:tcPr>
          <w:p w14:paraId="4903E301">
            <w:pPr>
              <w:jc w:val="center"/>
              <w:rPr>
                <w:rFonts w:hint="eastAsia" w:ascii="仿宋" w:hAnsi="仿宋" w:eastAsia="仿宋" w:cs="仿宋"/>
                <w:b/>
                <w:color w:val="auto"/>
                <w:kern w:val="0"/>
                <w:sz w:val="32"/>
                <w:szCs w:val="32"/>
                <w:highlight w:val="none"/>
              </w:rPr>
            </w:pPr>
          </w:p>
        </w:tc>
        <w:tc>
          <w:tcPr>
            <w:tcW w:w="1276" w:type="dxa"/>
          </w:tcPr>
          <w:p w14:paraId="6060D152">
            <w:pPr>
              <w:jc w:val="center"/>
              <w:rPr>
                <w:rFonts w:hint="eastAsia" w:ascii="仿宋" w:hAnsi="仿宋" w:eastAsia="仿宋" w:cs="仿宋"/>
                <w:b/>
                <w:color w:val="auto"/>
                <w:kern w:val="0"/>
                <w:sz w:val="32"/>
                <w:szCs w:val="32"/>
                <w:highlight w:val="none"/>
              </w:rPr>
            </w:pPr>
          </w:p>
        </w:tc>
      </w:tr>
      <w:tr w14:paraId="1651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E486F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19EAEFE5">
            <w:pPr>
              <w:jc w:val="center"/>
              <w:rPr>
                <w:rFonts w:hint="eastAsia" w:ascii="仿宋" w:hAnsi="仿宋" w:eastAsia="仿宋" w:cs="仿宋"/>
                <w:b/>
                <w:color w:val="auto"/>
                <w:kern w:val="0"/>
                <w:sz w:val="32"/>
                <w:szCs w:val="32"/>
                <w:highlight w:val="none"/>
              </w:rPr>
            </w:pPr>
          </w:p>
        </w:tc>
        <w:tc>
          <w:tcPr>
            <w:tcW w:w="3546" w:type="dxa"/>
          </w:tcPr>
          <w:p w14:paraId="6F6805B7">
            <w:pPr>
              <w:jc w:val="center"/>
              <w:rPr>
                <w:rFonts w:hint="eastAsia" w:ascii="仿宋" w:hAnsi="仿宋" w:eastAsia="仿宋" w:cs="仿宋"/>
                <w:b/>
                <w:color w:val="auto"/>
                <w:kern w:val="0"/>
                <w:sz w:val="32"/>
                <w:szCs w:val="32"/>
                <w:highlight w:val="none"/>
              </w:rPr>
            </w:pPr>
          </w:p>
        </w:tc>
        <w:tc>
          <w:tcPr>
            <w:tcW w:w="1276" w:type="dxa"/>
          </w:tcPr>
          <w:p w14:paraId="57E3EC38">
            <w:pPr>
              <w:jc w:val="center"/>
              <w:rPr>
                <w:rFonts w:hint="eastAsia" w:ascii="仿宋" w:hAnsi="仿宋" w:eastAsia="仿宋" w:cs="仿宋"/>
                <w:b/>
                <w:color w:val="auto"/>
                <w:kern w:val="0"/>
                <w:sz w:val="32"/>
                <w:szCs w:val="32"/>
                <w:highlight w:val="none"/>
              </w:rPr>
            </w:pPr>
          </w:p>
        </w:tc>
      </w:tr>
    </w:tbl>
    <w:p w14:paraId="040D27E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6D1720F4">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1BBF72AB">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6A7BA0B7">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5BE5B484">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207B10D">
      <w:pPr>
        <w:snapToGrid w:val="0"/>
        <w:spacing w:line="360" w:lineRule="auto"/>
        <w:rPr>
          <w:rFonts w:hint="eastAsia" w:ascii="仿宋" w:hAnsi="仿宋" w:eastAsia="仿宋" w:cs="仿宋"/>
          <w:color w:val="auto"/>
          <w:sz w:val="24"/>
          <w:highlight w:val="none"/>
        </w:rPr>
      </w:pPr>
    </w:p>
    <w:p w14:paraId="32DD5EC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C037B0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6E9CBD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C9E63C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D7419B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9B9F4B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3E1E68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72BE28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C75FA8B">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6E50B59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98A4B1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5BE00C7">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0F2E2D6">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C39EF50">
      <w:pPr>
        <w:spacing w:line="360" w:lineRule="auto"/>
        <w:jc w:val="center"/>
        <w:rPr>
          <w:rFonts w:hint="eastAsia" w:ascii="仿宋" w:hAnsi="仿宋" w:eastAsia="仿宋" w:cs="仿宋"/>
          <w:b/>
          <w:bCs/>
          <w:color w:val="auto"/>
          <w:sz w:val="24"/>
          <w:highlight w:val="none"/>
        </w:rPr>
      </w:pPr>
    </w:p>
    <w:p w14:paraId="58DB7C6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574513B">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BD077B7">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0D2C59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23E3FF1">
      <w:pPr>
        <w:spacing w:line="360" w:lineRule="auto"/>
        <w:jc w:val="center"/>
        <w:outlineLvl w:val="0"/>
        <w:rPr>
          <w:rFonts w:hint="eastAsia" w:ascii="仿宋" w:hAnsi="仿宋" w:eastAsia="仿宋" w:cs="仿宋"/>
          <w:b/>
          <w:color w:val="auto"/>
          <w:kern w:val="0"/>
          <w:sz w:val="36"/>
          <w:szCs w:val="36"/>
          <w:highlight w:val="none"/>
        </w:rPr>
      </w:pPr>
    </w:p>
    <w:p w14:paraId="673A15DE">
      <w:pPr>
        <w:numPr>
          <w:ilvl w:val="0"/>
          <w:numId w:val="10"/>
        </w:numPr>
        <w:snapToGrid w:val="0"/>
        <w:spacing w:line="360" w:lineRule="auto"/>
        <w:ind w:left="425" w:leftChars="0" w:hanging="5" w:firstLineChars="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初始报价一览表</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…………（页码）</w:t>
      </w:r>
    </w:p>
    <w:p w14:paraId="0F703CDD">
      <w:pPr>
        <w:numPr>
          <w:ilvl w:val="0"/>
          <w:numId w:val="10"/>
        </w:numPr>
        <w:snapToGrid w:val="0"/>
        <w:spacing w:line="360" w:lineRule="auto"/>
        <w:ind w:left="425" w:leftChars="0" w:hanging="5" w:firstLineChars="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报价情况说明</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…………（页码）</w:t>
      </w:r>
    </w:p>
    <w:p w14:paraId="3E2BE10B">
      <w:pPr>
        <w:snapToGrid w:val="0"/>
        <w:spacing w:line="360" w:lineRule="auto"/>
        <w:rPr>
          <w:rFonts w:hint="eastAsia" w:ascii="仿宋" w:hAnsi="仿宋" w:eastAsia="仿宋" w:cs="仿宋"/>
          <w:color w:val="auto"/>
          <w:highlight w:val="none"/>
        </w:rPr>
      </w:pPr>
    </w:p>
    <w:p w14:paraId="0D56316E">
      <w:pPr>
        <w:rPr>
          <w:rFonts w:hint="eastAsia" w:ascii="仿宋" w:hAnsi="仿宋" w:eastAsia="仿宋" w:cs="仿宋"/>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706FE941">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381646A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3146672">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16680441">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E76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5CAFFA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1DD7913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229DC3B1">
            <w:pPr>
              <w:spacing w:line="360" w:lineRule="auto"/>
              <w:jc w:val="center"/>
              <w:rPr>
                <w:rFonts w:hint="eastAsia" w:ascii="仿宋" w:hAnsi="仿宋" w:eastAsia="仿宋" w:cs="仿宋"/>
                <w:b/>
                <w:color w:val="auto"/>
                <w:sz w:val="24"/>
                <w:highlight w:val="none"/>
              </w:rPr>
            </w:pPr>
          </w:p>
          <w:p w14:paraId="74CC62D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15DC411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19BF828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13112C3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3B11BB3B">
            <w:pPr>
              <w:spacing w:line="360" w:lineRule="auto"/>
              <w:jc w:val="center"/>
              <w:rPr>
                <w:rFonts w:hint="eastAsia" w:ascii="仿宋" w:hAnsi="仿宋" w:eastAsia="仿宋" w:cs="仿宋"/>
                <w:b/>
                <w:color w:val="auto"/>
                <w:sz w:val="24"/>
                <w:highlight w:val="none"/>
              </w:rPr>
            </w:pPr>
          </w:p>
          <w:p w14:paraId="22F8AEA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6060FA31">
            <w:pPr>
              <w:spacing w:line="360" w:lineRule="auto"/>
              <w:jc w:val="center"/>
              <w:rPr>
                <w:rFonts w:hint="eastAsia" w:ascii="仿宋" w:hAnsi="仿宋" w:eastAsia="仿宋" w:cs="仿宋"/>
                <w:b/>
                <w:color w:val="auto"/>
                <w:sz w:val="24"/>
                <w:highlight w:val="none"/>
              </w:rPr>
            </w:pPr>
          </w:p>
          <w:p w14:paraId="65D6F30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7010950B">
            <w:pPr>
              <w:spacing w:line="360" w:lineRule="auto"/>
              <w:jc w:val="center"/>
              <w:rPr>
                <w:rFonts w:hint="eastAsia" w:ascii="仿宋" w:hAnsi="仿宋" w:eastAsia="仿宋" w:cs="仿宋"/>
                <w:b/>
                <w:color w:val="auto"/>
                <w:sz w:val="24"/>
                <w:highlight w:val="none"/>
              </w:rPr>
            </w:pPr>
          </w:p>
        </w:tc>
      </w:tr>
      <w:tr w14:paraId="3994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85AB02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0833DFC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66119D91">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6DE22787">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178C6F8">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797DA437">
            <w:pPr>
              <w:spacing w:line="360" w:lineRule="auto"/>
              <w:jc w:val="center"/>
              <w:rPr>
                <w:rFonts w:hint="eastAsia" w:ascii="仿宋" w:hAnsi="仿宋" w:eastAsia="仿宋" w:cs="仿宋"/>
                <w:color w:val="auto"/>
                <w:sz w:val="24"/>
                <w:highlight w:val="none"/>
              </w:rPr>
            </w:pPr>
          </w:p>
        </w:tc>
        <w:tc>
          <w:tcPr>
            <w:tcW w:w="2127" w:type="dxa"/>
          </w:tcPr>
          <w:p w14:paraId="4058756F">
            <w:pPr>
              <w:spacing w:line="360" w:lineRule="auto"/>
              <w:jc w:val="center"/>
              <w:rPr>
                <w:rFonts w:hint="eastAsia" w:ascii="仿宋" w:hAnsi="仿宋" w:eastAsia="仿宋" w:cs="仿宋"/>
                <w:color w:val="auto"/>
                <w:sz w:val="24"/>
                <w:highlight w:val="none"/>
              </w:rPr>
            </w:pPr>
          </w:p>
        </w:tc>
        <w:tc>
          <w:tcPr>
            <w:tcW w:w="2126" w:type="dxa"/>
            <w:vAlign w:val="center"/>
          </w:tcPr>
          <w:p w14:paraId="2608A1A7">
            <w:pPr>
              <w:spacing w:line="360" w:lineRule="auto"/>
              <w:jc w:val="center"/>
              <w:rPr>
                <w:rFonts w:hint="eastAsia" w:ascii="仿宋" w:hAnsi="仿宋" w:eastAsia="仿宋" w:cs="仿宋"/>
                <w:color w:val="auto"/>
                <w:sz w:val="24"/>
                <w:highlight w:val="none"/>
              </w:rPr>
            </w:pPr>
          </w:p>
        </w:tc>
      </w:tr>
      <w:tr w14:paraId="1A00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8BA65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5B2FB8F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3CADDA1C">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F95AE57">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C32FCA6">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78C17A75">
            <w:pPr>
              <w:spacing w:line="360" w:lineRule="auto"/>
              <w:jc w:val="center"/>
              <w:rPr>
                <w:rFonts w:hint="eastAsia" w:ascii="仿宋" w:hAnsi="仿宋" w:eastAsia="仿宋" w:cs="仿宋"/>
                <w:color w:val="auto"/>
                <w:sz w:val="24"/>
                <w:highlight w:val="none"/>
              </w:rPr>
            </w:pPr>
          </w:p>
        </w:tc>
        <w:tc>
          <w:tcPr>
            <w:tcW w:w="2127" w:type="dxa"/>
          </w:tcPr>
          <w:p w14:paraId="40B549C8">
            <w:pPr>
              <w:spacing w:line="360" w:lineRule="auto"/>
              <w:jc w:val="center"/>
              <w:rPr>
                <w:rFonts w:hint="eastAsia" w:ascii="仿宋" w:hAnsi="仿宋" w:eastAsia="仿宋" w:cs="仿宋"/>
                <w:color w:val="auto"/>
                <w:sz w:val="24"/>
                <w:highlight w:val="none"/>
              </w:rPr>
            </w:pPr>
          </w:p>
        </w:tc>
        <w:tc>
          <w:tcPr>
            <w:tcW w:w="2126" w:type="dxa"/>
            <w:vAlign w:val="center"/>
          </w:tcPr>
          <w:p w14:paraId="46D05DAA">
            <w:pPr>
              <w:spacing w:line="360" w:lineRule="auto"/>
              <w:jc w:val="center"/>
              <w:rPr>
                <w:rFonts w:hint="eastAsia" w:ascii="仿宋" w:hAnsi="仿宋" w:eastAsia="仿宋" w:cs="仿宋"/>
                <w:color w:val="auto"/>
                <w:sz w:val="24"/>
                <w:highlight w:val="none"/>
              </w:rPr>
            </w:pPr>
          </w:p>
        </w:tc>
      </w:tr>
      <w:tr w14:paraId="7268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091C36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2D4BDB3E">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E4B008F">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388B88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517B51C">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069E140C">
            <w:pPr>
              <w:spacing w:line="360" w:lineRule="auto"/>
              <w:jc w:val="center"/>
              <w:rPr>
                <w:rFonts w:hint="eastAsia" w:ascii="仿宋" w:hAnsi="仿宋" w:eastAsia="仿宋" w:cs="仿宋"/>
                <w:color w:val="auto"/>
                <w:sz w:val="24"/>
                <w:highlight w:val="none"/>
              </w:rPr>
            </w:pPr>
          </w:p>
        </w:tc>
        <w:tc>
          <w:tcPr>
            <w:tcW w:w="2127" w:type="dxa"/>
          </w:tcPr>
          <w:p w14:paraId="57604A3E">
            <w:pPr>
              <w:spacing w:line="360" w:lineRule="auto"/>
              <w:jc w:val="center"/>
              <w:rPr>
                <w:rFonts w:hint="eastAsia" w:ascii="仿宋" w:hAnsi="仿宋" w:eastAsia="仿宋" w:cs="仿宋"/>
                <w:color w:val="auto"/>
                <w:sz w:val="24"/>
                <w:highlight w:val="none"/>
              </w:rPr>
            </w:pPr>
          </w:p>
        </w:tc>
        <w:tc>
          <w:tcPr>
            <w:tcW w:w="2126" w:type="dxa"/>
            <w:vAlign w:val="center"/>
          </w:tcPr>
          <w:p w14:paraId="421E4D61">
            <w:pPr>
              <w:spacing w:line="360" w:lineRule="auto"/>
              <w:jc w:val="center"/>
              <w:rPr>
                <w:rFonts w:hint="eastAsia" w:ascii="仿宋" w:hAnsi="仿宋" w:eastAsia="仿宋" w:cs="仿宋"/>
                <w:color w:val="auto"/>
                <w:sz w:val="24"/>
                <w:highlight w:val="none"/>
              </w:rPr>
            </w:pPr>
          </w:p>
        </w:tc>
      </w:tr>
      <w:tr w14:paraId="0BCE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51630AD">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bCs/>
                <w:snapToGrid w:val="0"/>
                <w:color w:val="auto"/>
                <w:kern w:val="0"/>
                <w:sz w:val="24"/>
                <w:highlight w:val="none"/>
                <w:shd w:val="clear" w:color="auto" w:fill="auto"/>
                <w:lang w:val="en-US" w:eastAsia="zh-CN"/>
              </w:rPr>
              <w:t>报价A年度常年法律顾问服务（总价）</w:t>
            </w:r>
          </w:p>
        </w:tc>
        <w:tc>
          <w:tcPr>
            <w:tcW w:w="8647" w:type="dxa"/>
            <w:gridSpan w:val="4"/>
            <w:vAlign w:val="center"/>
          </w:tcPr>
          <w:p w14:paraId="2923B16E">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元/年</w:t>
            </w:r>
          </w:p>
        </w:tc>
      </w:tr>
      <w:tr w14:paraId="58D7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FB2F24">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bCs/>
                <w:snapToGrid w:val="0"/>
                <w:color w:val="auto"/>
                <w:kern w:val="0"/>
                <w:sz w:val="24"/>
                <w:highlight w:val="none"/>
                <w:shd w:val="clear" w:color="auto" w:fill="auto"/>
                <w:lang w:val="en-US" w:eastAsia="zh-CN"/>
              </w:rPr>
              <w:t>报价B行政诉讼案件代理费</w:t>
            </w:r>
            <w:r>
              <w:rPr>
                <w:rFonts w:hint="eastAsia" w:ascii="仿宋" w:hAnsi="仿宋" w:eastAsia="仿宋" w:cs="仿宋"/>
                <w:b/>
                <w:color w:val="auto"/>
                <w:sz w:val="24"/>
                <w:highlight w:val="none"/>
                <w:lang w:val="en-US" w:eastAsia="zh-CN"/>
              </w:rPr>
              <w:t>（单价）</w:t>
            </w:r>
          </w:p>
        </w:tc>
        <w:tc>
          <w:tcPr>
            <w:tcW w:w="8647" w:type="dxa"/>
            <w:gridSpan w:val="4"/>
            <w:vAlign w:val="center"/>
          </w:tcPr>
          <w:p w14:paraId="1A94F4A8">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元/件</w:t>
            </w:r>
          </w:p>
        </w:tc>
      </w:tr>
      <w:tr w14:paraId="3B29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4DE7C52">
            <w:pPr>
              <w:spacing w:line="360" w:lineRule="auto"/>
              <w:jc w:val="center"/>
              <w:rPr>
                <w:rFonts w:hint="eastAsia" w:ascii="仿宋" w:hAnsi="仿宋" w:eastAsia="仿宋" w:cs="仿宋"/>
                <w:b/>
                <w:bCs/>
                <w:snapToGrid w:val="0"/>
                <w:color w:val="auto"/>
                <w:kern w:val="0"/>
                <w:sz w:val="24"/>
                <w:highlight w:val="none"/>
                <w:shd w:val="clear" w:color="auto" w:fill="auto"/>
                <w:lang w:val="en-US" w:eastAsia="zh-CN"/>
              </w:rPr>
            </w:pPr>
            <w:r>
              <w:rPr>
                <w:rFonts w:hint="eastAsia" w:ascii="仿宋" w:hAnsi="仿宋" w:eastAsia="仿宋" w:cs="仿宋"/>
                <w:b/>
                <w:bCs/>
                <w:snapToGrid w:val="0"/>
                <w:color w:val="auto"/>
                <w:kern w:val="0"/>
                <w:sz w:val="24"/>
                <w:highlight w:val="none"/>
                <w:shd w:val="clear" w:color="auto" w:fill="auto"/>
                <w:lang w:val="en-US" w:eastAsia="zh-CN"/>
              </w:rPr>
              <w:t>报价C行政复议案件代理费</w:t>
            </w:r>
            <w:r>
              <w:rPr>
                <w:rFonts w:hint="eastAsia" w:ascii="仿宋" w:hAnsi="仿宋" w:eastAsia="仿宋" w:cs="仿宋"/>
                <w:b/>
                <w:color w:val="auto"/>
                <w:sz w:val="24"/>
                <w:highlight w:val="none"/>
                <w:lang w:val="en-US" w:eastAsia="zh-CN"/>
              </w:rPr>
              <w:t>（单价）</w:t>
            </w:r>
          </w:p>
        </w:tc>
        <w:tc>
          <w:tcPr>
            <w:tcW w:w="8647" w:type="dxa"/>
            <w:gridSpan w:val="4"/>
            <w:vAlign w:val="center"/>
          </w:tcPr>
          <w:p w14:paraId="55181BDB">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元/件</w:t>
            </w:r>
          </w:p>
        </w:tc>
      </w:tr>
    </w:tbl>
    <w:p w14:paraId="0BB24F3A">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BA7395C">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35A83DF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DC1F680">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0D7C3CD">
      <w:pPr>
        <w:rPr>
          <w:rFonts w:hint="eastAsia" w:ascii="仿宋" w:hAnsi="仿宋" w:eastAsia="仿宋" w:cs="仿宋"/>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077F7323">
      <w:pPr>
        <w:pStyle w:val="690"/>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613CDBD6">
      <w:pPr>
        <w:pStyle w:val="690"/>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5F8FAB26">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p>
    <w:p w14:paraId="15EAEC76">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4000B3B">
      <w:pPr>
        <w:pStyle w:val="3"/>
        <w:keepNext w:val="0"/>
        <w:keepLines w:val="0"/>
        <w:pageBreakBefore/>
        <w:widowControl/>
        <w:spacing w:before="100" w:beforeAutospacing="1" w:after="100" w:afterAutospacing="1"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3A98443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87B1A8F">
      <w:pPr>
        <w:spacing w:line="360" w:lineRule="auto"/>
        <w:jc w:val="center"/>
        <w:rPr>
          <w:rFonts w:hint="eastAsia" w:ascii="仿宋" w:hAnsi="仿宋" w:eastAsia="仿宋" w:cs="仿宋"/>
          <w:b/>
          <w:color w:val="auto"/>
          <w:spacing w:val="6"/>
          <w:sz w:val="32"/>
          <w:szCs w:val="32"/>
          <w:highlight w:val="none"/>
        </w:rPr>
      </w:pPr>
      <w:bookmarkStart w:id="514" w:name="OLE_LINK13"/>
      <w:bookmarkStart w:id="515" w:name="OLE_LINK14"/>
      <w:r>
        <w:rPr>
          <w:rFonts w:hint="eastAsia" w:ascii="仿宋" w:hAnsi="仿宋" w:eastAsia="仿宋" w:cs="仿宋"/>
          <w:b/>
          <w:color w:val="auto"/>
          <w:spacing w:val="6"/>
          <w:sz w:val="32"/>
          <w:szCs w:val="32"/>
          <w:highlight w:val="none"/>
        </w:rPr>
        <w:t>残疾人福利性单位声明函</w:t>
      </w:r>
    </w:p>
    <w:bookmarkEnd w:id="514"/>
    <w:bookmarkEnd w:id="515"/>
    <w:p w14:paraId="26D78579">
      <w:pPr>
        <w:spacing w:line="360" w:lineRule="auto"/>
        <w:rPr>
          <w:rFonts w:hint="eastAsia" w:ascii="仿宋" w:hAnsi="仿宋" w:eastAsia="仿宋" w:cs="仿宋"/>
          <w:b/>
          <w:color w:val="auto"/>
          <w:spacing w:val="6"/>
          <w:sz w:val="30"/>
          <w:szCs w:val="30"/>
          <w:highlight w:val="none"/>
        </w:rPr>
      </w:pPr>
    </w:p>
    <w:p w14:paraId="2F04A7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FDDEC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C2EA1AD">
      <w:pPr>
        <w:spacing w:line="360" w:lineRule="auto"/>
        <w:ind w:firstLine="480" w:firstLineChars="200"/>
        <w:rPr>
          <w:rFonts w:hint="eastAsia" w:ascii="仿宋" w:hAnsi="仿宋" w:eastAsia="仿宋" w:cs="仿宋"/>
          <w:color w:val="auto"/>
          <w:sz w:val="24"/>
          <w:highlight w:val="none"/>
        </w:rPr>
      </w:pPr>
    </w:p>
    <w:p w14:paraId="5697125B">
      <w:pPr>
        <w:spacing w:line="360" w:lineRule="auto"/>
        <w:ind w:firstLine="480" w:firstLineChars="200"/>
        <w:rPr>
          <w:rFonts w:hint="eastAsia" w:ascii="仿宋" w:hAnsi="仿宋" w:eastAsia="仿宋" w:cs="仿宋"/>
          <w:color w:val="auto"/>
          <w:sz w:val="24"/>
          <w:highlight w:val="none"/>
        </w:rPr>
      </w:pPr>
    </w:p>
    <w:p w14:paraId="5F041AC4">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56DFD643">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49A5C30">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BCE9C1F">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A7B26E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C2E1712">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21E136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364A9F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EB53EA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5B1664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77F3C7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CB8C3C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4B7A3F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0FB94D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25276C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E79D3A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980830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7C269F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33B736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CF3262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F1E657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8A3EA2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F2459E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74C5A9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BDFF57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87E393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23F6A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6FCC5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DFDDAD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DFE9EC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B1D228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8A7807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D8B5A5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342846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18BCE6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FAA9166">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7A8F58F">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7021F8E">
      <w:pPr>
        <w:spacing w:line="360" w:lineRule="auto"/>
        <w:jc w:val="center"/>
        <w:rPr>
          <w:rFonts w:hint="eastAsia" w:ascii="仿宋" w:hAnsi="仿宋" w:eastAsia="仿宋" w:cs="仿宋"/>
          <w:b/>
          <w:color w:val="auto"/>
          <w:sz w:val="24"/>
          <w:highlight w:val="none"/>
        </w:rPr>
      </w:pPr>
    </w:p>
    <w:p w14:paraId="5A910A4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EBC3C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D94DE0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59E99E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8480B18">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F2901AE">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C89AD2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9771FD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98BA1D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87BA6E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16C550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43AEB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E38E1C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1D4744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99819D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B12769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7CB3C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90C692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235AA6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B3DBC0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6DBF92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DA9B9A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18C480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9DBEC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C45B15F">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1B70092">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FB8A7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07193E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7CDD0FD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05217C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E69735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3EEEDE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BF6DA8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5268F3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738EA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A96FE5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E98FA7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8A92751">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33EB4F9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0520F7B">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9E5D2E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EAAA19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98C765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C895AB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3B6828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42CC12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941BE5E">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39B3657">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7DD34BE8">
      <w:pPr>
        <w:spacing w:line="360" w:lineRule="auto"/>
        <w:rPr>
          <w:rFonts w:hint="eastAsia" w:ascii="仿宋" w:hAnsi="仿宋" w:eastAsia="仿宋" w:cs="仿宋"/>
          <w:color w:val="auto"/>
          <w:sz w:val="24"/>
          <w:highlight w:val="none"/>
          <w:u w:val="single"/>
        </w:rPr>
      </w:pPr>
    </w:p>
    <w:p w14:paraId="2F3082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2F330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2215B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F04CEBA">
      <w:pPr>
        <w:spacing w:line="360" w:lineRule="auto"/>
        <w:ind w:firstLine="494"/>
        <w:rPr>
          <w:rFonts w:hint="eastAsia" w:ascii="仿宋" w:hAnsi="仿宋" w:eastAsia="仿宋" w:cs="仿宋"/>
          <w:color w:val="auto"/>
          <w:sz w:val="24"/>
          <w:highlight w:val="none"/>
        </w:rPr>
      </w:pPr>
    </w:p>
    <w:p w14:paraId="22B9D80B">
      <w:pPr>
        <w:spacing w:line="360" w:lineRule="auto"/>
        <w:ind w:firstLine="494"/>
        <w:rPr>
          <w:rFonts w:hint="eastAsia" w:ascii="仿宋" w:hAnsi="仿宋" w:eastAsia="仿宋" w:cs="仿宋"/>
          <w:color w:val="auto"/>
          <w:sz w:val="24"/>
          <w:highlight w:val="none"/>
        </w:rPr>
      </w:pPr>
    </w:p>
    <w:p w14:paraId="00B99222">
      <w:pPr>
        <w:spacing w:line="360" w:lineRule="auto"/>
        <w:rPr>
          <w:rFonts w:hint="eastAsia" w:ascii="仿宋" w:hAnsi="仿宋" w:eastAsia="仿宋" w:cs="仿宋"/>
          <w:color w:val="auto"/>
          <w:sz w:val="24"/>
          <w:highlight w:val="none"/>
        </w:rPr>
      </w:pPr>
    </w:p>
    <w:p w14:paraId="381BD014">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3DCC3E2">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B75E9E0">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11FFC2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CED8926">
      <w:pPr>
        <w:autoSpaceDE w:val="0"/>
        <w:autoSpaceDN w:val="0"/>
        <w:jc w:val="center"/>
        <w:rPr>
          <w:rFonts w:hint="eastAsia" w:ascii="仿宋" w:hAnsi="仿宋" w:eastAsia="仿宋" w:cs="仿宋"/>
          <w:b/>
          <w:color w:val="auto"/>
          <w:spacing w:val="6"/>
          <w:sz w:val="32"/>
          <w:szCs w:val="32"/>
          <w:highlight w:val="none"/>
        </w:rPr>
      </w:pPr>
    </w:p>
    <w:p w14:paraId="6472A608">
      <w:pPr>
        <w:autoSpaceDE w:val="0"/>
        <w:autoSpaceDN w:val="0"/>
        <w:jc w:val="center"/>
        <w:rPr>
          <w:rFonts w:hint="eastAsia" w:ascii="仿宋" w:hAnsi="仿宋" w:eastAsia="仿宋" w:cs="仿宋"/>
          <w:b/>
          <w:color w:val="auto"/>
          <w:spacing w:val="6"/>
          <w:sz w:val="32"/>
          <w:szCs w:val="32"/>
          <w:highlight w:val="none"/>
        </w:rPr>
      </w:pPr>
    </w:p>
    <w:p w14:paraId="25B2E7AE">
      <w:pPr>
        <w:autoSpaceDE w:val="0"/>
        <w:autoSpaceDN w:val="0"/>
        <w:jc w:val="center"/>
        <w:rPr>
          <w:rFonts w:hint="eastAsia" w:ascii="仿宋" w:hAnsi="仿宋" w:eastAsia="仿宋" w:cs="仿宋"/>
          <w:b/>
          <w:color w:val="auto"/>
          <w:spacing w:val="6"/>
          <w:sz w:val="32"/>
          <w:szCs w:val="32"/>
          <w:highlight w:val="none"/>
        </w:rPr>
      </w:pPr>
    </w:p>
    <w:p w14:paraId="40C5223D">
      <w:pPr>
        <w:autoSpaceDE w:val="0"/>
        <w:autoSpaceDN w:val="0"/>
        <w:jc w:val="center"/>
        <w:rPr>
          <w:rFonts w:hint="eastAsia" w:ascii="仿宋" w:hAnsi="仿宋" w:eastAsia="仿宋" w:cs="仿宋"/>
          <w:b/>
          <w:color w:val="auto"/>
          <w:spacing w:val="6"/>
          <w:sz w:val="32"/>
          <w:szCs w:val="32"/>
          <w:highlight w:val="none"/>
        </w:rPr>
      </w:pPr>
    </w:p>
    <w:p w14:paraId="7A5D8D31">
      <w:pPr>
        <w:autoSpaceDE w:val="0"/>
        <w:autoSpaceDN w:val="0"/>
        <w:jc w:val="center"/>
        <w:rPr>
          <w:rFonts w:hint="eastAsia" w:ascii="仿宋" w:hAnsi="仿宋" w:eastAsia="仿宋" w:cs="仿宋"/>
          <w:b/>
          <w:color w:val="auto"/>
          <w:spacing w:val="6"/>
          <w:sz w:val="32"/>
          <w:szCs w:val="32"/>
          <w:highlight w:val="none"/>
        </w:rPr>
      </w:pPr>
    </w:p>
    <w:p w14:paraId="6B552E30">
      <w:pPr>
        <w:autoSpaceDE w:val="0"/>
        <w:autoSpaceDN w:val="0"/>
        <w:jc w:val="center"/>
        <w:rPr>
          <w:rFonts w:hint="eastAsia" w:ascii="仿宋" w:hAnsi="仿宋" w:eastAsia="仿宋" w:cs="仿宋"/>
          <w:b/>
          <w:color w:val="auto"/>
          <w:spacing w:val="6"/>
          <w:sz w:val="32"/>
          <w:szCs w:val="32"/>
          <w:highlight w:val="none"/>
        </w:rPr>
      </w:pPr>
    </w:p>
    <w:p w14:paraId="217BDE63">
      <w:pPr>
        <w:autoSpaceDE w:val="0"/>
        <w:autoSpaceDN w:val="0"/>
        <w:jc w:val="center"/>
        <w:rPr>
          <w:rFonts w:hint="eastAsia" w:ascii="仿宋" w:hAnsi="仿宋" w:eastAsia="仿宋" w:cs="仿宋"/>
          <w:b/>
          <w:color w:val="auto"/>
          <w:spacing w:val="6"/>
          <w:sz w:val="32"/>
          <w:szCs w:val="32"/>
          <w:highlight w:val="none"/>
        </w:rPr>
      </w:pPr>
    </w:p>
    <w:p w14:paraId="691E7AAF">
      <w:pPr>
        <w:autoSpaceDE w:val="0"/>
        <w:autoSpaceDN w:val="0"/>
        <w:jc w:val="center"/>
        <w:rPr>
          <w:rFonts w:hint="eastAsia" w:ascii="仿宋" w:hAnsi="仿宋" w:eastAsia="仿宋" w:cs="仿宋"/>
          <w:b/>
          <w:color w:val="auto"/>
          <w:spacing w:val="6"/>
          <w:sz w:val="32"/>
          <w:szCs w:val="32"/>
          <w:highlight w:val="none"/>
        </w:rPr>
      </w:pPr>
    </w:p>
    <w:p w14:paraId="1BB9575C">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A3E4710">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1F79DC3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39979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A4E877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BE3ED2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01A2C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0BD0B930">
      <w:pPr>
        <w:snapToGrid w:val="0"/>
        <w:spacing w:line="360" w:lineRule="auto"/>
        <w:ind w:firstLine="576"/>
        <w:rPr>
          <w:rFonts w:hint="eastAsia" w:ascii="仿宋" w:hAnsi="仿宋" w:eastAsia="仿宋" w:cs="仿宋"/>
          <w:color w:val="auto"/>
          <w:kern w:val="0"/>
          <w:sz w:val="24"/>
          <w:highlight w:val="none"/>
          <w:lang w:val="zh-CN"/>
        </w:rPr>
      </w:pPr>
      <w:bookmarkStart w:id="516"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D12AA3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BE0358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16"/>
    <w:p w14:paraId="6C2EF5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5B1B5AC8">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E82C34D">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7606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7B4098C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EA9F76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5D0B98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D4E425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E182A9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8FE597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0BDA7D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7036ABC">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6C36EBF">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11C5441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C9902E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68694F8">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69952D9F">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DEBDAB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8B4F60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36D9B1BF">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6E03A15C">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3F19504D">
      <w:pPr>
        <w:pStyle w:val="4"/>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270B64B3">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0A4B54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4A17AB72">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1749A19">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517"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517"/>
    </w:p>
    <w:p w14:paraId="45EA708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31FF920C">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5594351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997A1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BFE65B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5BADC7B8">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275FCE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6B5DF51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0B9053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0875ED9">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1D68C800">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39F5D5E6">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64BE7EA">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D00818C">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037697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59EA73B">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62AEA30">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57C40F2D">
      <w:pPr>
        <w:spacing w:line="360" w:lineRule="auto"/>
        <w:jc w:val="center"/>
        <w:rPr>
          <w:rFonts w:hint="eastAsia" w:ascii="仿宋" w:hAnsi="仿宋" w:eastAsia="仿宋" w:cs="仿宋"/>
          <w:color w:val="auto"/>
          <w:sz w:val="24"/>
          <w:highlight w:val="none"/>
          <w:u w:val="single"/>
        </w:rPr>
      </w:pPr>
    </w:p>
    <w:p w14:paraId="5BA201FD">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2ADFAFD1">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DA3BFB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（杭州市萧山区综合行政执法局2025年政府法律顾问服务）</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（租赁和商务服务业）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3D8C615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1CDBCC4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576349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85AA51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EE64DF2">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4A6083B">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4AAC233D">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0EBE855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08524B67">
      <w:pPr>
        <w:numPr>
          <w:ilvl w:val="0"/>
          <w:numId w:val="0"/>
        </w:numPr>
        <w:spacing w:line="360" w:lineRule="auto"/>
        <w:ind w:right="420" w:righ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3E5D8A21">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1BF139">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1DA3B4E">
      <w:pPr>
        <w:pStyle w:val="4"/>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1AB08D4D">
      <w:pPr>
        <w:spacing w:line="360" w:lineRule="auto"/>
        <w:rPr>
          <w:rFonts w:hint="default" w:ascii="仿宋" w:hAnsi="仿宋" w:eastAsia="仿宋" w:cs="仿宋"/>
          <w:bCs/>
          <w:color w:val="auto"/>
          <w:sz w:val="24"/>
          <w:highlight w:val="none"/>
          <w:lang w:val="en-US" w:eastAsia="zh-CN"/>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bookmarkEnd w:id="522"/>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640E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23F7B">
    <w:pPr>
      <w:pStyle w:val="41"/>
      <w:framePr w:wrap="around" w:vAnchor="text" w:hAnchor="margin" w:xAlign="right" w:y="1"/>
      <w:rPr>
        <w:rStyle w:val="72"/>
      </w:rPr>
    </w:pPr>
    <w:r>
      <w:fldChar w:fldCharType="begin"/>
    </w:r>
    <w:r>
      <w:rPr>
        <w:rStyle w:val="72"/>
      </w:rPr>
      <w:instrText xml:space="preserve">PAGE  </w:instrText>
    </w:r>
    <w:r>
      <w:fldChar w:fldCharType="end"/>
    </w:r>
  </w:p>
  <w:p w14:paraId="039CFE0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B70D">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18" w:name="_Toc36110187"/>
    <w:bookmarkStart w:id="519" w:name="_Toc131845147"/>
    <w:bookmarkStart w:id="520" w:name="_Toc91899912"/>
    <w:bookmarkStart w:id="521" w:name="_Toc164085800"/>
    <w:r>
      <w:rPr>
        <w:rFonts w:hint="eastAsia" w:ascii="仿宋_GB2312" w:eastAsia="仿宋_GB2312"/>
        <w:kern w:val="0"/>
        <w:szCs w:val="21"/>
      </w:rPr>
      <w:t xml:space="preserve"> 页</w:t>
    </w:r>
    <w:bookmarkEnd w:id="518"/>
    <w:bookmarkEnd w:id="519"/>
    <w:bookmarkEnd w:id="520"/>
    <w:bookmarkEnd w:id="52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14138">
    <w:pPr>
      <w:pStyle w:val="42"/>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A6401">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679FC"/>
    <w:multiLevelType w:val="singleLevel"/>
    <w:tmpl w:val="98E679FC"/>
    <w:lvl w:ilvl="0" w:tentative="0">
      <w:start w:val="1"/>
      <w:numFmt w:val="decimal"/>
      <w:lvlText w:val="(%1)"/>
      <w:lvlJc w:val="left"/>
      <w:pPr>
        <w:ind w:left="425" w:hanging="425"/>
      </w:pPr>
      <w:rPr>
        <w:rFonts w:hint="default"/>
      </w:rPr>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57FF7EC6"/>
    <w:multiLevelType w:val="singleLevel"/>
    <w:tmpl w:val="57FF7EC6"/>
    <w:lvl w:ilvl="0" w:tentative="0">
      <w:start w:val="15"/>
      <w:numFmt w:val="decimal"/>
      <w:suff w:val="space"/>
      <w:lvlText w:val="%1."/>
      <w:lvlJc w:val="left"/>
    </w:lvl>
  </w:abstractNum>
  <w:num w:numId="1">
    <w:abstractNumId w:val="5"/>
  </w:num>
  <w:num w:numId="2">
    <w:abstractNumId w:val="3"/>
  </w:num>
  <w:num w:numId="3">
    <w:abstractNumId w:val="8"/>
  </w:num>
  <w:num w:numId="4">
    <w:abstractNumId w:val="7"/>
  </w:num>
  <w:num w:numId="5">
    <w:abstractNumId w:val="9"/>
  </w:num>
  <w:num w:numId="6">
    <w:abstractNumId w:val="6"/>
  </w:num>
  <w:num w:numId="7">
    <w:abstractNumId w:val="1"/>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127AAA"/>
    <w:rsid w:val="06493CA7"/>
    <w:rsid w:val="065A6178"/>
    <w:rsid w:val="066F1CF3"/>
    <w:rsid w:val="067B2ABA"/>
    <w:rsid w:val="06930BB8"/>
    <w:rsid w:val="06CA3923"/>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26A0F"/>
    <w:rsid w:val="107D4B15"/>
    <w:rsid w:val="108A3C80"/>
    <w:rsid w:val="10C26171"/>
    <w:rsid w:val="10F33360"/>
    <w:rsid w:val="10FC16EA"/>
    <w:rsid w:val="110F1D40"/>
    <w:rsid w:val="11266F33"/>
    <w:rsid w:val="114F7C08"/>
    <w:rsid w:val="118963A1"/>
    <w:rsid w:val="11C6522A"/>
    <w:rsid w:val="11C95F9C"/>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C4C3F"/>
    <w:rsid w:val="146D271E"/>
    <w:rsid w:val="14982588"/>
    <w:rsid w:val="149A5AD9"/>
    <w:rsid w:val="14A7619D"/>
    <w:rsid w:val="150536C3"/>
    <w:rsid w:val="150C1963"/>
    <w:rsid w:val="151447A0"/>
    <w:rsid w:val="154A6454"/>
    <w:rsid w:val="15762120"/>
    <w:rsid w:val="15A60663"/>
    <w:rsid w:val="15C10692"/>
    <w:rsid w:val="1632430B"/>
    <w:rsid w:val="16A8729C"/>
    <w:rsid w:val="16B33777"/>
    <w:rsid w:val="16BC70A7"/>
    <w:rsid w:val="16C6339E"/>
    <w:rsid w:val="172F2D79"/>
    <w:rsid w:val="17557BEF"/>
    <w:rsid w:val="17D349C1"/>
    <w:rsid w:val="1830729E"/>
    <w:rsid w:val="1870062C"/>
    <w:rsid w:val="187A1826"/>
    <w:rsid w:val="18817102"/>
    <w:rsid w:val="18830A15"/>
    <w:rsid w:val="18852B28"/>
    <w:rsid w:val="188B5321"/>
    <w:rsid w:val="189E35C3"/>
    <w:rsid w:val="196B16E7"/>
    <w:rsid w:val="19932372"/>
    <w:rsid w:val="19A20DD5"/>
    <w:rsid w:val="19AE03F1"/>
    <w:rsid w:val="19F53BF8"/>
    <w:rsid w:val="1A071A03"/>
    <w:rsid w:val="1A1F16AE"/>
    <w:rsid w:val="1A3B5C77"/>
    <w:rsid w:val="1A984BAD"/>
    <w:rsid w:val="1AB8220E"/>
    <w:rsid w:val="1ABA13A4"/>
    <w:rsid w:val="1ADD3B77"/>
    <w:rsid w:val="1AE4166C"/>
    <w:rsid w:val="1AF06CFB"/>
    <w:rsid w:val="1AF11B8D"/>
    <w:rsid w:val="1B11359C"/>
    <w:rsid w:val="1B2A271F"/>
    <w:rsid w:val="1B530544"/>
    <w:rsid w:val="1B713184"/>
    <w:rsid w:val="1B7F6BBA"/>
    <w:rsid w:val="1BA209CF"/>
    <w:rsid w:val="1BB4777D"/>
    <w:rsid w:val="1BD01CD5"/>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5D6D5E"/>
    <w:rsid w:val="1E626F70"/>
    <w:rsid w:val="1E714A66"/>
    <w:rsid w:val="1E802593"/>
    <w:rsid w:val="1E8B6156"/>
    <w:rsid w:val="1EA703CC"/>
    <w:rsid w:val="1EB7330C"/>
    <w:rsid w:val="1F0A0FF3"/>
    <w:rsid w:val="1F5771FF"/>
    <w:rsid w:val="1F7F461A"/>
    <w:rsid w:val="1FD52DD5"/>
    <w:rsid w:val="1FE868A9"/>
    <w:rsid w:val="20034907"/>
    <w:rsid w:val="20173E4B"/>
    <w:rsid w:val="204E48BC"/>
    <w:rsid w:val="208921B3"/>
    <w:rsid w:val="208D6E74"/>
    <w:rsid w:val="20973DEB"/>
    <w:rsid w:val="20A26F53"/>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373F6"/>
    <w:rsid w:val="26871DC8"/>
    <w:rsid w:val="26A53EF9"/>
    <w:rsid w:val="26A94201"/>
    <w:rsid w:val="26AC274F"/>
    <w:rsid w:val="27044A29"/>
    <w:rsid w:val="271D34C8"/>
    <w:rsid w:val="276142BF"/>
    <w:rsid w:val="27783712"/>
    <w:rsid w:val="27907362"/>
    <w:rsid w:val="28333E1D"/>
    <w:rsid w:val="28454BD6"/>
    <w:rsid w:val="28455253"/>
    <w:rsid w:val="28551971"/>
    <w:rsid w:val="285B1C53"/>
    <w:rsid w:val="285F68BA"/>
    <w:rsid w:val="289F7086"/>
    <w:rsid w:val="28C32028"/>
    <w:rsid w:val="28CC490F"/>
    <w:rsid w:val="28CF19F8"/>
    <w:rsid w:val="28DE40AA"/>
    <w:rsid w:val="29345E77"/>
    <w:rsid w:val="294C65AD"/>
    <w:rsid w:val="29806583"/>
    <w:rsid w:val="298B3C4C"/>
    <w:rsid w:val="29F26D24"/>
    <w:rsid w:val="2A15033F"/>
    <w:rsid w:val="2A1662C1"/>
    <w:rsid w:val="2A1C7367"/>
    <w:rsid w:val="2A2815FA"/>
    <w:rsid w:val="2A564E28"/>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801615"/>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057D11"/>
    <w:rsid w:val="30733ACD"/>
    <w:rsid w:val="308C3862"/>
    <w:rsid w:val="309379D8"/>
    <w:rsid w:val="30A270F7"/>
    <w:rsid w:val="30DF1478"/>
    <w:rsid w:val="30EC586F"/>
    <w:rsid w:val="314550B7"/>
    <w:rsid w:val="319C6071"/>
    <w:rsid w:val="31AC537E"/>
    <w:rsid w:val="31E3679B"/>
    <w:rsid w:val="31E732FD"/>
    <w:rsid w:val="32517576"/>
    <w:rsid w:val="325416B2"/>
    <w:rsid w:val="32BE5C2C"/>
    <w:rsid w:val="32D103B5"/>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2C1F61"/>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247C5"/>
    <w:rsid w:val="3A3651E5"/>
    <w:rsid w:val="3A744481"/>
    <w:rsid w:val="3A8A6440"/>
    <w:rsid w:val="3A8C7BEF"/>
    <w:rsid w:val="3A906246"/>
    <w:rsid w:val="3B2349B7"/>
    <w:rsid w:val="3B616CFF"/>
    <w:rsid w:val="3B6259F6"/>
    <w:rsid w:val="3B976654"/>
    <w:rsid w:val="3BC01EFC"/>
    <w:rsid w:val="3BCA786A"/>
    <w:rsid w:val="3BD03AF6"/>
    <w:rsid w:val="3BD31E2F"/>
    <w:rsid w:val="3BF15831"/>
    <w:rsid w:val="3C105946"/>
    <w:rsid w:val="3C471448"/>
    <w:rsid w:val="3C5F759A"/>
    <w:rsid w:val="3C6C525A"/>
    <w:rsid w:val="3CCE23CB"/>
    <w:rsid w:val="3CD17D17"/>
    <w:rsid w:val="3CDB0395"/>
    <w:rsid w:val="3D107AC3"/>
    <w:rsid w:val="3D2832C7"/>
    <w:rsid w:val="3D3C7F39"/>
    <w:rsid w:val="3D440F09"/>
    <w:rsid w:val="3D4504A0"/>
    <w:rsid w:val="3D5440BC"/>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1185E"/>
    <w:rsid w:val="3F95482B"/>
    <w:rsid w:val="40103A26"/>
    <w:rsid w:val="4019356B"/>
    <w:rsid w:val="40592157"/>
    <w:rsid w:val="406E1CAE"/>
    <w:rsid w:val="40A0133A"/>
    <w:rsid w:val="40BF7A99"/>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AF1CF4"/>
    <w:rsid w:val="45C63B94"/>
    <w:rsid w:val="460E7DA5"/>
    <w:rsid w:val="46422483"/>
    <w:rsid w:val="4659254A"/>
    <w:rsid w:val="465B0637"/>
    <w:rsid w:val="465E3F0D"/>
    <w:rsid w:val="466A16E6"/>
    <w:rsid w:val="46893F2B"/>
    <w:rsid w:val="46A24512"/>
    <w:rsid w:val="46C4686E"/>
    <w:rsid w:val="47137481"/>
    <w:rsid w:val="473A3A90"/>
    <w:rsid w:val="476C6F27"/>
    <w:rsid w:val="477B778F"/>
    <w:rsid w:val="478203EC"/>
    <w:rsid w:val="47B025FA"/>
    <w:rsid w:val="4809698F"/>
    <w:rsid w:val="4811697D"/>
    <w:rsid w:val="4850203D"/>
    <w:rsid w:val="487A3E25"/>
    <w:rsid w:val="488B5503"/>
    <w:rsid w:val="48937E21"/>
    <w:rsid w:val="489A0361"/>
    <w:rsid w:val="48B94FF3"/>
    <w:rsid w:val="48DF18F4"/>
    <w:rsid w:val="48E37AAB"/>
    <w:rsid w:val="48FD4B4C"/>
    <w:rsid w:val="490A68E0"/>
    <w:rsid w:val="491055FE"/>
    <w:rsid w:val="495F5B3E"/>
    <w:rsid w:val="49675177"/>
    <w:rsid w:val="496F77D7"/>
    <w:rsid w:val="497654FD"/>
    <w:rsid w:val="49B64211"/>
    <w:rsid w:val="49D6085C"/>
    <w:rsid w:val="49E56AF9"/>
    <w:rsid w:val="49F6167F"/>
    <w:rsid w:val="4A064FA0"/>
    <w:rsid w:val="4A16615C"/>
    <w:rsid w:val="4A3E412A"/>
    <w:rsid w:val="4A4424D7"/>
    <w:rsid w:val="4AB82D0F"/>
    <w:rsid w:val="4AEB7664"/>
    <w:rsid w:val="4AF15557"/>
    <w:rsid w:val="4AFD7C19"/>
    <w:rsid w:val="4B0567D1"/>
    <w:rsid w:val="4B236AAE"/>
    <w:rsid w:val="4B363761"/>
    <w:rsid w:val="4B707271"/>
    <w:rsid w:val="4B9739F7"/>
    <w:rsid w:val="4BC837E4"/>
    <w:rsid w:val="4BEE2503"/>
    <w:rsid w:val="4C245A30"/>
    <w:rsid w:val="4CB6685F"/>
    <w:rsid w:val="4CC367FE"/>
    <w:rsid w:val="4D077F3C"/>
    <w:rsid w:val="4D123355"/>
    <w:rsid w:val="4D2A3B31"/>
    <w:rsid w:val="4D312C52"/>
    <w:rsid w:val="4D905305"/>
    <w:rsid w:val="4D964A72"/>
    <w:rsid w:val="4D9C1254"/>
    <w:rsid w:val="4E0A1C63"/>
    <w:rsid w:val="4E793892"/>
    <w:rsid w:val="4E800872"/>
    <w:rsid w:val="4E8F5FF6"/>
    <w:rsid w:val="4EC569ED"/>
    <w:rsid w:val="4EC61EB1"/>
    <w:rsid w:val="4ED50EA1"/>
    <w:rsid w:val="4EEC050C"/>
    <w:rsid w:val="4F104EC3"/>
    <w:rsid w:val="4F47354A"/>
    <w:rsid w:val="4F911C54"/>
    <w:rsid w:val="4FE625E0"/>
    <w:rsid w:val="5021480F"/>
    <w:rsid w:val="50962ECB"/>
    <w:rsid w:val="50A32F39"/>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87DC7"/>
    <w:rsid w:val="53504CFE"/>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27C85"/>
    <w:rsid w:val="5A5D3B6E"/>
    <w:rsid w:val="5A637A76"/>
    <w:rsid w:val="5A6D33BA"/>
    <w:rsid w:val="5A792B1F"/>
    <w:rsid w:val="5A874767"/>
    <w:rsid w:val="5AA85BE2"/>
    <w:rsid w:val="5AAD6F28"/>
    <w:rsid w:val="5AD63A24"/>
    <w:rsid w:val="5B2E1A1D"/>
    <w:rsid w:val="5B843A1C"/>
    <w:rsid w:val="5B873E3F"/>
    <w:rsid w:val="5BEA1C50"/>
    <w:rsid w:val="5C02690E"/>
    <w:rsid w:val="5C196DA7"/>
    <w:rsid w:val="5C2A048C"/>
    <w:rsid w:val="5C80234E"/>
    <w:rsid w:val="5C8A680C"/>
    <w:rsid w:val="5D0C4701"/>
    <w:rsid w:val="5D0F0395"/>
    <w:rsid w:val="5D221076"/>
    <w:rsid w:val="5D3422AC"/>
    <w:rsid w:val="5D397964"/>
    <w:rsid w:val="5D5A391C"/>
    <w:rsid w:val="5D5F10C0"/>
    <w:rsid w:val="5D891B7B"/>
    <w:rsid w:val="5DAD38EE"/>
    <w:rsid w:val="5E006862"/>
    <w:rsid w:val="5E0207B9"/>
    <w:rsid w:val="5E1834A1"/>
    <w:rsid w:val="5E254B02"/>
    <w:rsid w:val="5E261785"/>
    <w:rsid w:val="5E286A9B"/>
    <w:rsid w:val="5E462016"/>
    <w:rsid w:val="5E4A7017"/>
    <w:rsid w:val="5E552BBA"/>
    <w:rsid w:val="5E611C10"/>
    <w:rsid w:val="5E7A0F3F"/>
    <w:rsid w:val="5EFC7377"/>
    <w:rsid w:val="5F06174D"/>
    <w:rsid w:val="5F096FCF"/>
    <w:rsid w:val="5F3A3602"/>
    <w:rsid w:val="5F45733B"/>
    <w:rsid w:val="5F6277C6"/>
    <w:rsid w:val="5F6D0B1D"/>
    <w:rsid w:val="5F840918"/>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727998"/>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129BA"/>
    <w:rsid w:val="6438795E"/>
    <w:rsid w:val="643A3D28"/>
    <w:rsid w:val="643E143A"/>
    <w:rsid w:val="64491666"/>
    <w:rsid w:val="646B576A"/>
    <w:rsid w:val="648B6EEF"/>
    <w:rsid w:val="64C158BF"/>
    <w:rsid w:val="64CE2EAA"/>
    <w:rsid w:val="65187144"/>
    <w:rsid w:val="653C3090"/>
    <w:rsid w:val="65854376"/>
    <w:rsid w:val="6587169D"/>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47390E"/>
    <w:rsid w:val="68551F4F"/>
    <w:rsid w:val="687C10C9"/>
    <w:rsid w:val="68840C16"/>
    <w:rsid w:val="68872541"/>
    <w:rsid w:val="68876EFB"/>
    <w:rsid w:val="68884654"/>
    <w:rsid w:val="689F444F"/>
    <w:rsid w:val="68A20D47"/>
    <w:rsid w:val="68B96DBB"/>
    <w:rsid w:val="68CA2805"/>
    <w:rsid w:val="68CE1167"/>
    <w:rsid w:val="68E937A3"/>
    <w:rsid w:val="691664E5"/>
    <w:rsid w:val="693E15D3"/>
    <w:rsid w:val="69627681"/>
    <w:rsid w:val="6977531D"/>
    <w:rsid w:val="69CC2BFF"/>
    <w:rsid w:val="69FD55B8"/>
    <w:rsid w:val="6A033F71"/>
    <w:rsid w:val="6A0B1C62"/>
    <w:rsid w:val="6A2406C8"/>
    <w:rsid w:val="6ADE0BD1"/>
    <w:rsid w:val="6AE96859"/>
    <w:rsid w:val="6B147746"/>
    <w:rsid w:val="6B24787C"/>
    <w:rsid w:val="6B573233"/>
    <w:rsid w:val="6B5B6274"/>
    <w:rsid w:val="6B935D53"/>
    <w:rsid w:val="6BDBAC02"/>
    <w:rsid w:val="6BDC4CAC"/>
    <w:rsid w:val="6BFB7BD7"/>
    <w:rsid w:val="6C196F71"/>
    <w:rsid w:val="6C226FCB"/>
    <w:rsid w:val="6C31226F"/>
    <w:rsid w:val="6C552F0B"/>
    <w:rsid w:val="6C7F73FB"/>
    <w:rsid w:val="6C8C67B7"/>
    <w:rsid w:val="6C9D744C"/>
    <w:rsid w:val="6CAA1965"/>
    <w:rsid w:val="6D167928"/>
    <w:rsid w:val="6D26299B"/>
    <w:rsid w:val="6D4772EC"/>
    <w:rsid w:val="6D9078AF"/>
    <w:rsid w:val="6DA24291"/>
    <w:rsid w:val="6DAA3FEF"/>
    <w:rsid w:val="6DC0172B"/>
    <w:rsid w:val="6DCB690C"/>
    <w:rsid w:val="6DD41A5B"/>
    <w:rsid w:val="6DF43C2E"/>
    <w:rsid w:val="6DF51CA3"/>
    <w:rsid w:val="6E8335BD"/>
    <w:rsid w:val="6E8E12EF"/>
    <w:rsid w:val="6E972936"/>
    <w:rsid w:val="6ED446C5"/>
    <w:rsid w:val="6EE669BA"/>
    <w:rsid w:val="6F2A7D94"/>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4AB0490"/>
    <w:rsid w:val="750564EF"/>
    <w:rsid w:val="75067759"/>
    <w:rsid w:val="750E22E5"/>
    <w:rsid w:val="752E6DCD"/>
    <w:rsid w:val="7551380D"/>
    <w:rsid w:val="75600BE5"/>
    <w:rsid w:val="7564475C"/>
    <w:rsid w:val="7583797F"/>
    <w:rsid w:val="75D20F1D"/>
    <w:rsid w:val="75DA2C18"/>
    <w:rsid w:val="75F54412"/>
    <w:rsid w:val="76004247"/>
    <w:rsid w:val="760E23D4"/>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B71E23"/>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A2692E"/>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link w:val="118"/>
    <w:qFormat/>
    <w:uiPriority w:val="0"/>
    <w:pPr>
      <w:adjustRightInd/>
      <w:spacing w:after="120" w:line="240" w:lineRule="auto"/>
      <w:ind w:left="420" w:leftChars="200" w:firstLine="210"/>
    </w:pPr>
    <w:rPr>
      <w:sz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18"/>
    <w:qFormat/>
    <w:uiPriority w:val="0"/>
    <w:pPr>
      <w:ind w:firstLine="420"/>
    </w:pPr>
    <w:rPr>
      <w:rFonts w:hAnsi="Calibri" w:cs="Times New Roman"/>
      <w:snapToGrid/>
      <w:szCs w:val="20"/>
    </w:rPr>
  </w:style>
  <w:style w:type="paragraph" w:styleId="26">
    <w:name w:val="Body Text Indent"/>
    <w:basedOn w:val="1"/>
    <w:next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2"/>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7"/>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8"/>
    <w:qFormat/>
    <w:uiPriority w:val="0"/>
    <w:rPr>
      <w:rFonts w:ascii="黑体" w:hAnsi="Courier New" w:eastAsia="黑体"/>
    </w:rPr>
  </w:style>
  <w:style w:type="character" w:customStyle="1" w:styleId="299">
    <w:name w:val="正文文本 2 字符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5"/>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qFormat/>
    <w:uiPriority w:val="99"/>
    <w:rPr>
      <w:kern w:val="2"/>
      <w:sz w:val="21"/>
      <w:szCs w:val="24"/>
    </w:rPr>
  </w:style>
  <w:style w:type="character" w:customStyle="1" w:styleId="342">
    <w:name w:val="签名 字符"/>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character" w:customStyle="1" w:styleId="966">
    <w:name w:val="NormalCharacter"/>
    <w:link w:val="967"/>
    <w:qFormat/>
    <w:uiPriority w:val="0"/>
    <w:rPr>
      <w:kern w:val="2"/>
      <w:sz w:val="24"/>
      <w:szCs w:val="24"/>
      <w:lang w:val="en-US" w:eastAsia="zh-CN" w:bidi="ar-SA"/>
    </w:rPr>
  </w:style>
  <w:style w:type="paragraph" w:customStyle="1" w:styleId="967">
    <w:name w:val="UserStyle_6"/>
    <w:basedOn w:val="1"/>
    <w:link w:val="966"/>
    <w:qFormat/>
    <w:uiPriority w:val="0"/>
    <w:pPr>
      <w:tabs>
        <w:tab w:val="left" w:pos="432"/>
      </w:tabs>
      <w:spacing w:before="50" w:after="50"/>
      <w:ind w:left="432" w:hanging="432"/>
      <w:jc w:val="both"/>
      <w:textAlignment w:val="baseline"/>
    </w:pPr>
    <w:rPr>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13697</Words>
  <Characters>14813</Characters>
  <Lines>295</Lines>
  <Paragraphs>83</Paragraphs>
  <TotalTime>21</TotalTime>
  <ScaleCrop>false</ScaleCrop>
  <LinksUpToDate>false</LinksUpToDate>
  <CharactersWithSpaces>15127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瞿家小二</cp:lastModifiedBy>
  <cp:lastPrinted>2022-01-03T19:06:00Z</cp:lastPrinted>
  <dcterms:modified xsi:type="dcterms:W3CDTF">2025-06-20T07:31:50Z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y fmtid="{D5CDD505-2E9C-101B-9397-08002B2CF9AE}" pid="5" name="KSOTemplateDocerSaveRecord">
    <vt:lpwstr>eyJoZGlkIjoiMGEyOWRjNTQ0NTk4NjVlNDEzNTBhNmEyMzdhNWIzMTUiLCJ1c2VySWQiOiI3MzE4MTAyODgifQ==</vt:lpwstr>
  </property>
</Properties>
</file>