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sz w:val="24"/>
        </w:rPr>
      </w:pPr>
    </w:p>
    <w:p>
      <w:pPr>
        <w:spacing w:beforeLines="50" w:line="360" w:lineRule="auto"/>
        <w:jc w:val="center"/>
        <w:rPr>
          <w:rFonts w:hint="default"/>
          <w:b/>
          <w:sz w:val="52"/>
          <w:szCs w:val="52"/>
        </w:rPr>
      </w:pPr>
    </w:p>
    <w:p>
      <w:pPr>
        <w:spacing w:beforeLines="50" w:line="360" w:lineRule="auto"/>
        <w:jc w:val="center"/>
        <w:rPr>
          <w:rFonts w:hint="eastAsia" w:eastAsia="宋体"/>
          <w:b/>
          <w:sz w:val="36"/>
          <w:szCs w:val="36"/>
          <w:lang w:eastAsia="zh-CN"/>
        </w:rPr>
      </w:pPr>
      <w:r>
        <w:rPr>
          <w:rFonts w:hint="eastAsia"/>
          <w:b/>
          <w:sz w:val="52"/>
          <w:szCs w:val="52"/>
          <w:lang w:eastAsia="zh-CN"/>
        </w:rPr>
        <w:t>数字化制造与检测技术中心数字化制造单元项目</w:t>
      </w:r>
    </w:p>
    <w:p>
      <w:pPr>
        <w:pStyle w:val="2"/>
        <w:rPr>
          <w:rFonts w:hint="default"/>
          <w:lang w:val="en-US"/>
        </w:rPr>
      </w:pPr>
    </w:p>
    <w:p>
      <w:pPr>
        <w:pStyle w:val="2"/>
        <w:rPr>
          <w:rFonts w:hint="default"/>
        </w:rPr>
      </w:pPr>
    </w:p>
    <w:p>
      <w:pPr>
        <w:spacing w:beforeLines="50" w:line="360" w:lineRule="auto"/>
        <w:jc w:val="center"/>
        <w:rPr>
          <w:rFonts w:hint="default"/>
          <w:b/>
          <w:szCs w:val="21"/>
        </w:rPr>
      </w:pPr>
    </w:p>
    <w:p>
      <w:pPr>
        <w:spacing w:beforeLines="50" w:line="360" w:lineRule="auto"/>
        <w:jc w:val="center"/>
        <w:rPr>
          <w:rFonts w:hint="default"/>
          <w:b/>
          <w:sz w:val="72"/>
          <w:szCs w:val="72"/>
        </w:rPr>
      </w:pPr>
      <w:r>
        <w:rPr>
          <w:rFonts w:hint="default"/>
          <w:b/>
          <w:sz w:val="84"/>
          <w:szCs w:val="84"/>
        </w:rPr>
        <w:t>公开招标文件</w:t>
      </w:r>
    </w:p>
    <w:p>
      <w:pPr>
        <w:snapToGrid w:val="0"/>
        <w:spacing w:beforeLines="50" w:line="360" w:lineRule="auto"/>
        <w:jc w:val="center"/>
        <w:rPr>
          <w:rFonts w:hint="default"/>
          <w:sz w:val="32"/>
          <w:szCs w:val="32"/>
        </w:rPr>
      </w:pPr>
      <w:r>
        <w:rPr>
          <w:rFonts w:hint="default"/>
          <w:b/>
          <w:bCs/>
          <w:sz w:val="32"/>
          <w:szCs w:val="32"/>
        </w:rPr>
        <w:t>项目编号：</w:t>
      </w:r>
      <w:r>
        <w:rPr>
          <w:b/>
          <w:bCs/>
          <w:sz w:val="32"/>
          <w:szCs w:val="32"/>
        </w:rPr>
        <w:t>HSZB-2023-626</w:t>
      </w:r>
    </w:p>
    <w:p>
      <w:pPr>
        <w:pStyle w:val="10"/>
        <w:snapToGrid w:val="0"/>
        <w:spacing w:before="156" w:after="156" w:line="360" w:lineRule="auto"/>
        <w:rPr>
          <w:rFonts w:hint="default" w:ascii="Times New Roman" w:hAnsi="Times New Roman"/>
          <w:b/>
          <w:bCs/>
          <w:sz w:val="30"/>
          <w:szCs w:val="30"/>
        </w:rPr>
      </w:pPr>
    </w:p>
    <w:p>
      <w:pPr>
        <w:pStyle w:val="10"/>
        <w:snapToGrid w:val="0"/>
        <w:spacing w:before="156" w:after="156" w:line="360" w:lineRule="auto"/>
        <w:rPr>
          <w:rFonts w:hint="default" w:ascii="Times New Roman" w:hAnsi="Times New Roman"/>
          <w:b/>
          <w:bCs/>
          <w:sz w:val="30"/>
          <w:szCs w:val="30"/>
        </w:rPr>
      </w:pPr>
    </w:p>
    <w:p>
      <w:pPr>
        <w:pStyle w:val="10"/>
        <w:snapToGrid w:val="0"/>
        <w:spacing w:before="156" w:after="156" w:line="360" w:lineRule="auto"/>
        <w:rPr>
          <w:rFonts w:hint="default" w:ascii="Times New Roman" w:hAnsi="Times New Roman"/>
          <w:b/>
          <w:bCs/>
          <w:sz w:val="30"/>
          <w:szCs w:val="30"/>
        </w:rPr>
      </w:pPr>
    </w:p>
    <w:p>
      <w:pPr>
        <w:pStyle w:val="10"/>
        <w:snapToGrid w:val="0"/>
        <w:spacing w:beforeLines="100" w:after="156" w:line="240" w:lineRule="auto"/>
        <w:rPr>
          <w:rFonts w:hint="default" w:ascii="Times New Roman" w:hAnsi="Times New Roman"/>
          <w:b/>
          <w:bCs/>
          <w:sz w:val="32"/>
          <w:szCs w:val="32"/>
        </w:rPr>
      </w:pPr>
    </w:p>
    <w:p>
      <w:pPr>
        <w:rPr>
          <w:rFonts w:hint="default"/>
        </w:rPr>
      </w:pPr>
    </w:p>
    <w:p>
      <w:pPr>
        <w:pStyle w:val="10"/>
        <w:snapToGrid w:val="0"/>
        <w:spacing w:beforeLines="100" w:after="156" w:line="240" w:lineRule="auto"/>
        <w:rPr>
          <w:rFonts w:hint="default" w:ascii="Times New Roman" w:hAnsi="Times New Roman"/>
          <w:b/>
          <w:bCs/>
          <w:sz w:val="32"/>
          <w:szCs w:val="32"/>
        </w:rPr>
      </w:pPr>
    </w:p>
    <w:p>
      <w:pPr>
        <w:pStyle w:val="10"/>
        <w:snapToGrid w:val="0"/>
        <w:spacing w:before="156" w:after="156" w:line="360" w:lineRule="auto"/>
        <w:ind w:left="3280" w:leftChars="704" w:hanging="1802" w:hangingChars="561"/>
        <w:rPr>
          <w:rFonts w:hint="default" w:hAnsi="宋体" w:cs="宋体"/>
          <w:b/>
          <w:sz w:val="32"/>
          <w:szCs w:val="32"/>
        </w:rPr>
      </w:pPr>
      <w:r>
        <w:rPr>
          <w:rFonts w:hAnsi="宋体" w:cs="宋体"/>
          <w:b/>
          <w:sz w:val="32"/>
          <w:szCs w:val="32"/>
        </w:rPr>
        <w:t>采购单位：浙江机电职业技术学院</w:t>
      </w:r>
    </w:p>
    <w:p>
      <w:pPr>
        <w:pStyle w:val="10"/>
        <w:snapToGrid w:val="0"/>
        <w:spacing w:before="156" w:after="156" w:line="360" w:lineRule="auto"/>
        <w:ind w:firstLine="1536" w:firstLineChars="478"/>
        <w:rPr>
          <w:rFonts w:hint="default" w:hAnsi="宋体" w:cs="宋体"/>
          <w:b/>
          <w:sz w:val="32"/>
          <w:szCs w:val="32"/>
        </w:rPr>
      </w:pPr>
      <w:r>
        <w:rPr>
          <w:rFonts w:hAnsi="宋体" w:cs="宋体"/>
          <w:b/>
          <w:sz w:val="32"/>
          <w:szCs w:val="32"/>
        </w:rPr>
        <w:t>代理机构：浙江豪圣建设项目管理有限公司</w:t>
      </w:r>
    </w:p>
    <w:p>
      <w:pPr>
        <w:snapToGrid w:val="0"/>
        <w:spacing w:beforeLines="50" w:after="50" w:line="360" w:lineRule="auto"/>
        <w:jc w:val="center"/>
        <w:rPr>
          <w:rFonts w:hint="default" w:ascii="宋体" w:hAnsi="宋体" w:cs="宋体"/>
          <w:b/>
          <w:bCs/>
          <w:w w:val="95"/>
          <w:sz w:val="30"/>
          <w:szCs w:val="30"/>
        </w:rPr>
        <w:sectPr>
          <w:footerReference r:id="rId4" w:type="default"/>
          <w:footerReference r:id="rId5" w:type="even"/>
          <w:pgSz w:w="11906" w:h="16838"/>
          <w:pgMar w:top="1304" w:right="1304" w:bottom="1304" w:left="1304" w:header="794" w:footer="794" w:gutter="0"/>
          <w:cols w:space="720" w:num="1"/>
          <w:docGrid w:type="lines" w:linePitch="312" w:charSpace="0"/>
        </w:sectPr>
      </w:pPr>
      <w:r>
        <w:rPr>
          <w:rFonts w:ascii="宋体" w:hAnsi="宋体" w:cs="宋体"/>
          <w:b/>
          <w:bCs/>
          <w:w w:val="95"/>
          <w:sz w:val="32"/>
          <w:szCs w:val="32"/>
        </w:rPr>
        <w:t>2023年9月</w:t>
      </w:r>
    </w:p>
    <w:p>
      <w:pPr>
        <w:pStyle w:val="10"/>
        <w:spacing w:before="120" w:after="120" w:line="360" w:lineRule="auto"/>
        <w:jc w:val="center"/>
        <w:rPr>
          <w:rFonts w:hint="default" w:ascii="Times New Roman" w:hAnsi="Times New Roman"/>
          <w:sz w:val="36"/>
          <w:szCs w:val="36"/>
        </w:rPr>
      </w:pPr>
    </w:p>
    <w:p>
      <w:pPr>
        <w:pStyle w:val="10"/>
        <w:spacing w:before="120" w:after="120" w:line="360" w:lineRule="auto"/>
        <w:jc w:val="center"/>
        <w:rPr>
          <w:rFonts w:hint="default" w:ascii="Times New Roman" w:hAnsi="Times New Roman"/>
          <w:b/>
          <w:sz w:val="36"/>
          <w:szCs w:val="36"/>
        </w:rPr>
      </w:pPr>
      <w:r>
        <w:rPr>
          <w:rFonts w:hint="default" w:ascii="Times New Roman" w:hAnsi="Times New Roman"/>
          <w:b/>
          <w:sz w:val="36"/>
          <w:szCs w:val="36"/>
        </w:rPr>
        <w:t>目  录</w:t>
      </w:r>
    </w:p>
    <w:p>
      <w:pPr>
        <w:pStyle w:val="29"/>
        <w:tabs>
          <w:tab w:val="right" w:leader="dot" w:pos="9355"/>
        </w:tabs>
        <w:rPr>
          <w:rFonts w:hint="default"/>
        </w:rPr>
      </w:pPr>
      <w:r>
        <w:rPr>
          <w:rFonts w:hint="default"/>
          <w:sz w:val="28"/>
          <w:szCs w:val="28"/>
        </w:rPr>
        <w:fldChar w:fldCharType="begin"/>
      </w:r>
      <w:r>
        <w:rPr>
          <w:rFonts w:hint="default"/>
          <w:sz w:val="28"/>
          <w:szCs w:val="28"/>
        </w:rPr>
        <w:instrText xml:space="preserve">TOC \o "1-1" \h \u </w:instrText>
      </w:r>
      <w:r>
        <w:rPr>
          <w:rFonts w:hint="default"/>
          <w:sz w:val="28"/>
          <w:szCs w:val="28"/>
        </w:rPr>
        <w:fldChar w:fldCharType="separate"/>
      </w:r>
    </w:p>
    <w:p>
      <w:pPr>
        <w:pStyle w:val="29"/>
        <w:tabs>
          <w:tab w:val="right" w:leader="dot" w:pos="9355"/>
        </w:tabs>
        <w:spacing w:line="360" w:lineRule="auto"/>
        <w:rPr>
          <w:rFonts w:hint="default" w:ascii="宋体" w:hAnsi="宋体" w:cs="宋体"/>
          <w:sz w:val="28"/>
          <w:szCs w:val="28"/>
        </w:rPr>
      </w:pPr>
      <w:r>
        <w:fldChar w:fldCharType="begin"/>
      </w:r>
      <w:r>
        <w:instrText xml:space="preserve"> HYPERLINK \l "_Toc31642" </w:instrText>
      </w:r>
      <w:r>
        <w:fldChar w:fldCharType="separate"/>
      </w:r>
      <w:r>
        <w:rPr>
          <w:rFonts w:ascii="宋体" w:hAnsi="宋体" w:cs="宋体"/>
          <w:spacing w:val="-4"/>
          <w:sz w:val="28"/>
          <w:szCs w:val="28"/>
        </w:rPr>
        <w:t>第一章  招标公告</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_Toc31642 \h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r>
        <w:rPr>
          <w:rFonts w:ascii="宋体" w:hAnsi="宋体" w:cs="宋体"/>
          <w:sz w:val="28"/>
          <w:szCs w:val="28"/>
        </w:rPr>
        <w:fldChar w:fldCharType="end"/>
      </w:r>
    </w:p>
    <w:p>
      <w:pPr>
        <w:pStyle w:val="29"/>
        <w:tabs>
          <w:tab w:val="right" w:leader="dot" w:pos="9355"/>
        </w:tabs>
        <w:spacing w:line="360" w:lineRule="auto"/>
        <w:rPr>
          <w:rFonts w:hint="default" w:ascii="宋体" w:hAnsi="宋体" w:cs="宋体"/>
          <w:sz w:val="28"/>
          <w:szCs w:val="28"/>
        </w:rPr>
      </w:pPr>
      <w:r>
        <w:fldChar w:fldCharType="begin"/>
      </w:r>
      <w:r>
        <w:instrText xml:space="preserve"> HYPERLINK \l "_Toc18629" </w:instrText>
      </w:r>
      <w:r>
        <w:fldChar w:fldCharType="separate"/>
      </w:r>
      <w:r>
        <w:rPr>
          <w:rFonts w:ascii="宋体" w:hAnsi="宋体" w:cs="宋体"/>
          <w:sz w:val="28"/>
          <w:szCs w:val="28"/>
        </w:rPr>
        <w:t>第二章  投标人须知</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_Toc18629 \h </w:instrText>
      </w:r>
      <w:r>
        <w:rPr>
          <w:rFonts w:ascii="宋体" w:hAnsi="宋体" w:cs="宋体"/>
          <w:sz w:val="28"/>
          <w:szCs w:val="28"/>
        </w:rPr>
        <w:fldChar w:fldCharType="separate"/>
      </w:r>
      <w:r>
        <w:rPr>
          <w:rFonts w:ascii="宋体" w:hAnsi="宋体" w:cs="宋体"/>
          <w:sz w:val="28"/>
          <w:szCs w:val="28"/>
        </w:rPr>
        <w:t>7</w:t>
      </w:r>
      <w:r>
        <w:rPr>
          <w:rFonts w:ascii="宋体" w:hAnsi="宋体" w:cs="宋体"/>
          <w:sz w:val="28"/>
          <w:szCs w:val="28"/>
        </w:rPr>
        <w:fldChar w:fldCharType="end"/>
      </w:r>
      <w:r>
        <w:rPr>
          <w:rFonts w:ascii="宋体" w:hAnsi="宋体" w:cs="宋体"/>
          <w:sz w:val="28"/>
          <w:szCs w:val="28"/>
        </w:rPr>
        <w:fldChar w:fldCharType="end"/>
      </w:r>
    </w:p>
    <w:p>
      <w:pPr>
        <w:pStyle w:val="29"/>
        <w:tabs>
          <w:tab w:val="right" w:leader="dot" w:pos="9355"/>
        </w:tabs>
        <w:spacing w:line="360" w:lineRule="auto"/>
        <w:rPr>
          <w:rFonts w:hint="default" w:ascii="宋体" w:hAnsi="宋体" w:cs="宋体"/>
          <w:sz w:val="28"/>
          <w:szCs w:val="28"/>
        </w:rPr>
      </w:pPr>
      <w:r>
        <w:fldChar w:fldCharType="begin"/>
      </w:r>
      <w:r>
        <w:instrText xml:space="preserve"> HYPERLINK \l "_Toc19314" </w:instrText>
      </w:r>
      <w:r>
        <w:fldChar w:fldCharType="separate"/>
      </w:r>
      <w:r>
        <w:rPr>
          <w:rFonts w:ascii="宋体" w:hAnsi="宋体" w:cs="宋体"/>
          <w:spacing w:val="-4"/>
          <w:sz w:val="28"/>
          <w:szCs w:val="28"/>
        </w:rPr>
        <w:t>第三章  评标办法</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_Toc19314 \h </w:instrText>
      </w:r>
      <w:r>
        <w:rPr>
          <w:rFonts w:ascii="宋体" w:hAnsi="宋体" w:cs="宋体"/>
          <w:sz w:val="28"/>
          <w:szCs w:val="28"/>
        </w:rPr>
        <w:fldChar w:fldCharType="separate"/>
      </w:r>
      <w:r>
        <w:rPr>
          <w:rFonts w:ascii="宋体" w:hAnsi="宋体" w:cs="宋体"/>
          <w:sz w:val="28"/>
          <w:szCs w:val="28"/>
        </w:rPr>
        <w:t>28</w:t>
      </w:r>
      <w:r>
        <w:rPr>
          <w:rFonts w:ascii="宋体" w:hAnsi="宋体" w:cs="宋体"/>
          <w:sz w:val="28"/>
          <w:szCs w:val="28"/>
        </w:rPr>
        <w:fldChar w:fldCharType="end"/>
      </w:r>
      <w:r>
        <w:rPr>
          <w:rFonts w:ascii="宋体" w:hAnsi="宋体" w:cs="宋体"/>
          <w:sz w:val="28"/>
          <w:szCs w:val="28"/>
        </w:rPr>
        <w:fldChar w:fldCharType="end"/>
      </w:r>
    </w:p>
    <w:p>
      <w:pPr>
        <w:pStyle w:val="29"/>
        <w:tabs>
          <w:tab w:val="right" w:leader="dot" w:pos="9355"/>
        </w:tabs>
        <w:spacing w:line="360" w:lineRule="auto"/>
        <w:rPr>
          <w:rFonts w:hint="default" w:ascii="宋体" w:hAnsi="宋体" w:cs="宋体"/>
          <w:sz w:val="28"/>
          <w:szCs w:val="28"/>
        </w:rPr>
      </w:pPr>
      <w:r>
        <w:fldChar w:fldCharType="begin"/>
      </w:r>
      <w:r>
        <w:instrText xml:space="preserve"> HYPERLINK \l "_Toc5663" </w:instrText>
      </w:r>
      <w:r>
        <w:fldChar w:fldCharType="separate"/>
      </w:r>
      <w:r>
        <w:rPr>
          <w:rFonts w:ascii="宋体" w:hAnsi="宋体" w:cs="宋体"/>
          <w:sz w:val="28"/>
          <w:szCs w:val="28"/>
        </w:rPr>
        <w:t>第四章  采购内容及需求</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_Toc5663 \h </w:instrText>
      </w:r>
      <w:r>
        <w:rPr>
          <w:rFonts w:ascii="宋体" w:hAnsi="宋体" w:cs="宋体"/>
          <w:sz w:val="28"/>
          <w:szCs w:val="28"/>
        </w:rPr>
        <w:fldChar w:fldCharType="separate"/>
      </w:r>
      <w:r>
        <w:rPr>
          <w:rFonts w:ascii="宋体" w:hAnsi="宋体" w:cs="宋体"/>
          <w:sz w:val="28"/>
          <w:szCs w:val="28"/>
        </w:rPr>
        <w:t>32</w:t>
      </w:r>
      <w:r>
        <w:rPr>
          <w:rFonts w:ascii="宋体" w:hAnsi="宋体" w:cs="宋体"/>
          <w:sz w:val="28"/>
          <w:szCs w:val="28"/>
        </w:rPr>
        <w:fldChar w:fldCharType="end"/>
      </w:r>
      <w:r>
        <w:rPr>
          <w:rFonts w:ascii="宋体" w:hAnsi="宋体" w:cs="宋体"/>
          <w:sz w:val="28"/>
          <w:szCs w:val="28"/>
        </w:rPr>
        <w:fldChar w:fldCharType="end"/>
      </w:r>
    </w:p>
    <w:p>
      <w:pPr>
        <w:pStyle w:val="29"/>
        <w:tabs>
          <w:tab w:val="right" w:leader="dot" w:pos="9355"/>
        </w:tabs>
        <w:spacing w:line="360" w:lineRule="auto"/>
        <w:rPr>
          <w:rFonts w:hint="default" w:ascii="宋体" w:hAnsi="宋体" w:cs="宋体"/>
          <w:sz w:val="28"/>
          <w:szCs w:val="28"/>
        </w:rPr>
      </w:pPr>
      <w:r>
        <w:fldChar w:fldCharType="begin"/>
      </w:r>
      <w:r>
        <w:instrText xml:space="preserve"> HYPERLINK \l "_Toc15889" </w:instrText>
      </w:r>
      <w:r>
        <w:fldChar w:fldCharType="separate"/>
      </w:r>
      <w:r>
        <w:rPr>
          <w:rFonts w:ascii="宋体" w:hAnsi="宋体" w:cs="宋体"/>
          <w:sz w:val="28"/>
          <w:szCs w:val="28"/>
        </w:rPr>
        <w:t>第五章  合同主要条款</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_Toc15889 \h </w:instrText>
      </w:r>
      <w:r>
        <w:rPr>
          <w:rFonts w:ascii="宋体" w:hAnsi="宋体" w:cs="宋体"/>
          <w:sz w:val="28"/>
          <w:szCs w:val="28"/>
        </w:rPr>
        <w:fldChar w:fldCharType="separate"/>
      </w:r>
      <w:r>
        <w:rPr>
          <w:rFonts w:ascii="宋体" w:hAnsi="宋体" w:cs="宋体"/>
          <w:sz w:val="28"/>
          <w:szCs w:val="28"/>
        </w:rPr>
        <w:t>47</w:t>
      </w:r>
      <w:r>
        <w:rPr>
          <w:rFonts w:ascii="宋体" w:hAnsi="宋体" w:cs="宋体"/>
          <w:sz w:val="28"/>
          <w:szCs w:val="28"/>
        </w:rPr>
        <w:fldChar w:fldCharType="end"/>
      </w:r>
      <w:r>
        <w:rPr>
          <w:rFonts w:ascii="宋体" w:hAnsi="宋体" w:cs="宋体"/>
          <w:sz w:val="28"/>
          <w:szCs w:val="28"/>
        </w:rPr>
        <w:fldChar w:fldCharType="end"/>
      </w:r>
    </w:p>
    <w:p>
      <w:pPr>
        <w:pStyle w:val="29"/>
        <w:tabs>
          <w:tab w:val="right" w:leader="dot" w:pos="9355"/>
        </w:tabs>
        <w:spacing w:line="360" w:lineRule="auto"/>
        <w:rPr>
          <w:rFonts w:hint="default" w:ascii="宋体" w:hAnsi="宋体" w:cs="宋体"/>
          <w:sz w:val="28"/>
          <w:szCs w:val="28"/>
        </w:rPr>
      </w:pPr>
      <w:r>
        <w:fldChar w:fldCharType="begin"/>
      </w:r>
      <w:r>
        <w:instrText xml:space="preserve"> HYPERLINK \l "_Toc2160" </w:instrText>
      </w:r>
      <w:r>
        <w:fldChar w:fldCharType="separate"/>
      </w:r>
      <w:r>
        <w:rPr>
          <w:rFonts w:ascii="宋体" w:hAnsi="宋体" w:cs="宋体"/>
          <w:sz w:val="28"/>
          <w:szCs w:val="28"/>
        </w:rPr>
        <w:t>第六章  投标文件格式</w:t>
      </w:r>
      <w:r>
        <w:rPr>
          <w:rFonts w:ascii="宋体" w:hAnsi="宋体" w:cs="宋体"/>
          <w:sz w:val="28"/>
          <w:szCs w:val="28"/>
        </w:rPr>
        <w:tab/>
      </w:r>
      <w:r>
        <w:rPr>
          <w:rFonts w:ascii="宋体" w:hAnsi="宋体" w:cs="宋体"/>
          <w:sz w:val="28"/>
          <w:szCs w:val="28"/>
        </w:rPr>
        <w:t>5</w:t>
      </w:r>
      <w:r>
        <w:rPr>
          <w:rFonts w:ascii="宋体" w:hAnsi="宋体" w:cs="宋体"/>
          <w:sz w:val="28"/>
          <w:szCs w:val="28"/>
        </w:rPr>
        <w:fldChar w:fldCharType="end"/>
      </w:r>
      <w:r>
        <w:rPr>
          <w:rFonts w:ascii="宋体" w:hAnsi="宋体" w:cs="宋体"/>
          <w:sz w:val="28"/>
          <w:szCs w:val="28"/>
        </w:rPr>
        <w:t>6</w:t>
      </w:r>
    </w:p>
    <w:p>
      <w:pPr>
        <w:pStyle w:val="29"/>
        <w:tabs>
          <w:tab w:val="right" w:leader="dot" w:pos="9355"/>
        </w:tabs>
        <w:rPr>
          <w:rFonts w:hint="default"/>
        </w:rPr>
      </w:pPr>
    </w:p>
    <w:p>
      <w:pPr>
        <w:pStyle w:val="10"/>
        <w:spacing w:before="120" w:after="120" w:line="360" w:lineRule="auto"/>
        <w:jc w:val="center"/>
        <w:rPr>
          <w:rFonts w:hint="default" w:ascii="Times New Roman" w:hAnsi="Times New Roman"/>
          <w:sz w:val="28"/>
          <w:szCs w:val="28"/>
        </w:rPr>
      </w:pPr>
      <w:r>
        <w:rPr>
          <w:rFonts w:hint="default" w:ascii="Times New Roman" w:hAnsi="Times New Roman"/>
          <w:szCs w:val="28"/>
        </w:rPr>
        <w:fldChar w:fldCharType="end"/>
      </w:r>
    </w:p>
    <w:p>
      <w:pPr>
        <w:pStyle w:val="10"/>
        <w:snapToGrid w:val="0"/>
        <w:spacing w:before="120" w:after="120" w:line="360" w:lineRule="auto"/>
        <w:jc w:val="center"/>
        <w:rPr>
          <w:rFonts w:hint="default" w:ascii="Times New Roman" w:hAnsi="Times New Roman"/>
        </w:rPr>
        <w:sectPr>
          <w:headerReference r:id="rId6" w:type="default"/>
          <w:footerReference r:id="rId7" w:type="default"/>
          <w:pgSz w:w="11906" w:h="16838"/>
          <w:pgMar w:top="1134" w:right="1247" w:bottom="1247" w:left="1304" w:header="794" w:footer="794" w:gutter="0"/>
          <w:pgNumType w:start="1"/>
          <w:cols w:space="720" w:num="1"/>
          <w:docGrid w:linePitch="312" w:charSpace="0"/>
        </w:sectPr>
      </w:pPr>
    </w:p>
    <w:p>
      <w:pPr>
        <w:snapToGrid w:val="0"/>
        <w:spacing w:line="360" w:lineRule="auto"/>
        <w:ind w:left="238"/>
        <w:jc w:val="center"/>
        <w:rPr>
          <w:rFonts w:hint="default"/>
          <w:sz w:val="24"/>
        </w:rPr>
      </w:pPr>
    </w:p>
    <w:p>
      <w:pPr>
        <w:pStyle w:val="10"/>
        <w:spacing w:before="120" w:after="120" w:line="360" w:lineRule="auto"/>
        <w:jc w:val="center"/>
        <w:outlineLvl w:val="0"/>
        <w:rPr>
          <w:rFonts w:hint="default" w:ascii="Times New Roman" w:hAnsi="Times New Roman" w:eastAsia="黑体"/>
          <w:b/>
          <w:sz w:val="36"/>
          <w:szCs w:val="36"/>
        </w:rPr>
      </w:pPr>
      <w:bookmarkStart w:id="0" w:name="_Toc11256"/>
      <w:bookmarkStart w:id="1" w:name="_Toc32703"/>
      <w:bookmarkStart w:id="2" w:name="_Toc21716"/>
      <w:bookmarkStart w:id="3" w:name="_Toc9198"/>
      <w:r>
        <w:rPr>
          <w:rFonts w:hint="default" w:ascii="Times New Roman" w:hAnsi="Times New Roman" w:eastAsia="黑体"/>
          <w:b/>
          <w:sz w:val="36"/>
          <w:szCs w:val="36"/>
        </w:rPr>
        <w:t>电子交易须知</w:t>
      </w:r>
      <w:bookmarkEnd w:id="0"/>
      <w:bookmarkEnd w:id="1"/>
      <w:bookmarkEnd w:id="2"/>
      <w:bookmarkEnd w:id="3"/>
    </w:p>
    <w:p>
      <w:pPr>
        <w:pStyle w:val="10"/>
        <w:spacing w:before="120" w:after="120" w:line="360" w:lineRule="auto"/>
        <w:jc w:val="center"/>
        <w:rPr>
          <w:rFonts w:hint="default" w:ascii="Times New Roman" w:hAnsi="Times New Roman" w:eastAsia="黑体"/>
          <w:b/>
        </w:rPr>
      </w:pPr>
    </w:p>
    <w:p>
      <w:pPr>
        <w:pStyle w:val="10"/>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pPr>
        <w:pStyle w:val="10"/>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pStyle w:val="10"/>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3、供应商应当在递交响应文件截止时间前，将“电子交易客户端”生成的“电子加密响应文件”上传电子交易平台。</w:t>
      </w:r>
    </w:p>
    <w:p>
      <w:pPr>
        <w:pStyle w:val="10"/>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pStyle w:val="10"/>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pPr>
        <w:pStyle w:val="10"/>
        <w:snapToGrid w:val="0"/>
        <w:spacing w:before="120" w:after="120" w:line="360" w:lineRule="auto"/>
        <w:jc w:val="left"/>
        <w:outlineLvl w:val="0"/>
        <w:rPr>
          <w:rFonts w:hint="default" w:ascii="Times New Roman" w:hAnsi="Times New Roman"/>
          <w:b/>
          <w:sz w:val="36"/>
          <w:szCs w:val="36"/>
        </w:rPr>
      </w:pPr>
      <w:bookmarkStart w:id="4" w:name="_Toc9586"/>
      <w:bookmarkStart w:id="5" w:name="_Toc17724"/>
      <w:bookmarkStart w:id="6" w:name="_Toc30331"/>
      <w:bookmarkStart w:id="7" w:name="_Toc8609"/>
      <w:bookmarkStart w:id="8" w:name="_Toc20790"/>
      <w:bookmarkStart w:id="9" w:name="_Toc20707"/>
      <w:r>
        <w:rPr>
          <w:rFonts w:hint="default" w:ascii="Times New Roman" w:hAnsi="Times New Roman" w:eastAsia="黑体"/>
          <w:b/>
        </w:rPr>
        <w:t>6、供应商在参加电子交易过程中，可登录电子交易平台“帮助文档”版面获取《电子交易管理操作指南》，或致电平台400-881-7190获取相关服务支持。</w:t>
      </w:r>
      <w:bookmarkEnd w:id="4"/>
      <w:bookmarkEnd w:id="5"/>
      <w:bookmarkEnd w:id="6"/>
      <w:bookmarkEnd w:id="7"/>
      <w:bookmarkEnd w:id="8"/>
      <w:bookmarkEnd w:id="9"/>
    </w:p>
    <w:p>
      <w:pPr>
        <w:pStyle w:val="10"/>
        <w:snapToGrid w:val="0"/>
        <w:spacing w:before="120" w:after="120" w:line="360" w:lineRule="auto"/>
        <w:jc w:val="center"/>
        <w:outlineLvl w:val="0"/>
        <w:rPr>
          <w:rFonts w:hint="default" w:ascii="Times New Roman" w:hAnsi="Times New Roman"/>
          <w:b/>
          <w:sz w:val="36"/>
          <w:szCs w:val="36"/>
        </w:rPr>
      </w:pPr>
    </w:p>
    <w:p>
      <w:pPr>
        <w:pStyle w:val="10"/>
        <w:snapToGrid w:val="0"/>
        <w:spacing w:before="120" w:after="120" w:line="360" w:lineRule="auto"/>
        <w:jc w:val="center"/>
        <w:outlineLvl w:val="0"/>
        <w:rPr>
          <w:rFonts w:hint="default" w:ascii="Times New Roman" w:hAnsi="Times New Roman"/>
          <w:b/>
          <w:sz w:val="36"/>
          <w:szCs w:val="36"/>
        </w:rPr>
      </w:pPr>
      <w:r>
        <w:rPr>
          <w:rFonts w:hint="default" w:ascii="Times New Roman" w:hAnsi="Times New Roman"/>
          <w:b/>
          <w:sz w:val="36"/>
          <w:szCs w:val="36"/>
        </w:rPr>
        <w:br w:type="page"/>
      </w:r>
    </w:p>
    <w:p>
      <w:pPr>
        <w:pStyle w:val="10"/>
        <w:snapToGrid w:val="0"/>
        <w:spacing w:before="120" w:after="120" w:line="360" w:lineRule="auto"/>
        <w:jc w:val="center"/>
        <w:outlineLvl w:val="0"/>
        <w:rPr>
          <w:rStyle w:val="141"/>
          <w:rFonts w:hint="default" w:ascii="Times New Roman" w:hAnsi="Times New Roman"/>
          <w:spacing w:val="-4"/>
          <w:sz w:val="32"/>
          <w:szCs w:val="32"/>
        </w:rPr>
      </w:pPr>
      <w:bookmarkStart w:id="10" w:name="_Toc31642"/>
      <w:r>
        <w:rPr>
          <w:rStyle w:val="141"/>
          <w:rFonts w:hint="default" w:ascii="Times New Roman" w:hAnsi="Times New Roman"/>
          <w:spacing w:val="-4"/>
          <w:sz w:val="32"/>
          <w:szCs w:val="32"/>
        </w:rPr>
        <w:t>第一章  招标公告</w:t>
      </w:r>
      <w:bookmarkEnd w:id="10"/>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sz w:val="24"/>
        </w:rPr>
      </w:pPr>
      <w:r>
        <w:rPr>
          <w:rFonts w:hint="default"/>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sz w:val="24"/>
        </w:rPr>
      </w:pPr>
      <w:r>
        <w:rPr>
          <w:rFonts w:hint="eastAsia"/>
          <w:sz w:val="24"/>
          <w:u w:val="single"/>
          <w:lang w:eastAsia="zh-CN"/>
        </w:rPr>
        <w:t>数字化制造与检测技术中心数字化制造单元项目</w:t>
      </w:r>
      <w:r>
        <w:rPr>
          <w:rFonts w:hint="default"/>
          <w:sz w:val="24"/>
        </w:rPr>
        <w:t>的潜在投标人在</w:t>
      </w:r>
      <w:r>
        <w:rPr>
          <w:rFonts w:hint="default"/>
          <w:sz w:val="24"/>
          <w:u w:val="single"/>
        </w:rPr>
        <w:t>https://www.zcygov.cn</w:t>
      </w:r>
      <w:r>
        <w:rPr>
          <w:rFonts w:hint="default"/>
          <w:sz w:val="24"/>
        </w:rPr>
        <w:t>获取（下载）招标文件，并于</w:t>
      </w:r>
      <w:r>
        <w:rPr>
          <w:sz w:val="24"/>
        </w:rPr>
        <w:t>2023年9月28日09:00</w:t>
      </w:r>
      <w:r>
        <w:rPr>
          <w:rFonts w:hint="default"/>
          <w:bCs/>
          <w:sz w:val="24"/>
        </w:rPr>
        <w:t>（北京时间）前提交（上传）投标文件</w:t>
      </w:r>
      <w:r>
        <w:rPr>
          <w:rFonts w:hint="default"/>
          <w:sz w:val="24"/>
        </w:rPr>
        <w:t>。</w:t>
      </w:r>
    </w:p>
    <w:p>
      <w:pPr>
        <w:pStyle w:val="19"/>
        <w:spacing w:line="360" w:lineRule="auto"/>
        <w:ind w:firstLine="0"/>
        <w:rPr>
          <w:rFonts w:hint="default" w:ascii="Times New Roman" w:hAnsi="Times New Roman"/>
          <w:spacing w:val="0"/>
          <w:sz w:val="24"/>
          <w:szCs w:val="22"/>
        </w:rPr>
      </w:pPr>
      <w:bookmarkStart w:id="11" w:name="_Toc35393621"/>
      <w:bookmarkStart w:id="12" w:name="_Toc35393790"/>
      <w:bookmarkStart w:id="13" w:name="_Toc28359079"/>
      <w:bookmarkStart w:id="14" w:name="_Toc28359002"/>
      <w:r>
        <w:rPr>
          <w:rFonts w:hint="default" w:ascii="Times New Roman" w:hAnsi="Times New Roman"/>
          <w:spacing w:val="0"/>
          <w:sz w:val="24"/>
          <w:szCs w:val="22"/>
        </w:rPr>
        <w:t>一、项目基本情况</w:t>
      </w:r>
      <w:bookmarkEnd w:id="11"/>
      <w:bookmarkEnd w:id="12"/>
      <w:bookmarkEnd w:id="13"/>
      <w:bookmarkEnd w:id="14"/>
    </w:p>
    <w:p>
      <w:pPr>
        <w:pStyle w:val="38"/>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项目编号：</w:t>
      </w:r>
      <w:r>
        <w:rPr>
          <w:rFonts w:ascii="Times New Roman" w:hAnsi="Times New Roman"/>
          <w:color w:val="auto"/>
          <w:kern w:val="2"/>
          <w:szCs w:val="22"/>
        </w:rPr>
        <w:t>HSZB-2023-626</w:t>
      </w:r>
    </w:p>
    <w:p>
      <w:pPr>
        <w:pStyle w:val="38"/>
        <w:spacing w:before="0" w:beforeAutospacing="0" w:after="0" w:afterAutospacing="0" w:line="360" w:lineRule="auto"/>
        <w:ind w:firstLine="480" w:firstLineChars="200"/>
        <w:rPr>
          <w:rFonts w:hint="eastAsia" w:ascii="Times New Roman" w:hAnsi="Times New Roman" w:eastAsia="宋体"/>
          <w:color w:val="auto"/>
          <w:kern w:val="2"/>
          <w:szCs w:val="22"/>
          <w:lang w:eastAsia="zh-CN"/>
        </w:rPr>
      </w:pPr>
      <w:r>
        <w:rPr>
          <w:rFonts w:hint="default" w:ascii="Times New Roman" w:hAnsi="Times New Roman"/>
          <w:color w:val="auto"/>
          <w:kern w:val="2"/>
          <w:szCs w:val="22"/>
        </w:rPr>
        <w:t>项目名称：</w:t>
      </w:r>
      <w:r>
        <w:rPr>
          <w:rFonts w:hint="eastAsia" w:ascii="Times New Roman" w:hAnsi="Times New Roman"/>
          <w:color w:val="auto"/>
          <w:kern w:val="2"/>
          <w:szCs w:val="22"/>
          <w:lang w:eastAsia="zh-CN"/>
        </w:rPr>
        <w:t>数字化制造与检测技术中心数字化制造单元项目</w:t>
      </w:r>
    </w:p>
    <w:p>
      <w:pPr>
        <w:pStyle w:val="38"/>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预算金额（元）：</w:t>
      </w:r>
      <w:r>
        <w:rPr>
          <w:rFonts w:ascii="Times New Roman" w:hAnsi="Times New Roman"/>
          <w:color w:val="auto"/>
          <w:kern w:val="2"/>
          <w:szCs w:val="22"/>
        </w:rPr>
        <w:t>3548000.00</w:t>
      </w:r>
    </w:p>
    <w:p>
      <w:pPr>
        <w:pStyle w:val="38"/>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最高限价（元）：</w:t>
      </w:r>
      <w:r>
        <w:rPr>
          <w:rFonts w:ascii="Times New Roman" w:hAnsi="Times New Roman"/>
          <w:color w:val="auto"/>
          <w:kern w:val="2"/>
          <w:szCs w:val="22"/>
        </w:rPr>
        <w:t>3548000.00</w:t>
      </w:r>
    </w:p>
    <w:p>
      <w:pPr>
        <w:pStyle w:val="38"/>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采购需求：</w:t>
      </w:r>
    </w:p>
    <w:p>
      <w:pPr>
        <w:pStyle w:val="38"/>
        <w:spacing w:before="0" w:beforeAutospacing="0" w:after="0" w:afterAutospacing="0" w:line="360" w:lineRule="auto"/>
        <w:ind w:firstLine="480" w:firstLineChars="200"/>
        <w:rPr>
          <w:rFonts w:hint="eastAsia" w:ascii="Times New Roman" w:hAnsi="Times New Roman" w:eastAsia="宋体"/>
          <w:color w:val="auto"/>
          <w:kern w:val="2"/>
          <w:szCs w:val="22"/>
          <w:lang w:eastAsia="zh-CN"/>
        </w:rPr>
      </w:pPr>
      <w:r>
        <w:rPr>
          <w:rFonts w:hint="default" w:ascii="Times New Roman" w:hAnsi="Times New Roman"/>
          <w:color w:val="auto"/>
          <w:kern w:val="2"/>
          <w:szCs w:val="22"/>
        </w:rPr>
        <w:t>标项名称：</w:t>
      </w:r>
      <w:r>
        <w:rPr>
          <w:rFonts w:hint="eastAsia" w:ascii="Times New Roman" w:hAnsi="Times New Roman"/>
          <w:color w:val="auto"/>
          <w:kern w:val="2"/>
          <w:szCs w:val="22"/>
          <w:lang w:eastAsia="zh-CN"/>
        </w:rPr>
        <w:t>数字化制造与检测技术中心数字化制造单元项目</w:t>
      </w:r>
    </w:p>
    <w:p>
      <w:pPr>
        <w:pStyle w:val="38"/>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数量：1批</w:t>
      </w:r>
    </w:p>
    <w:p>
      <w:pPr>
        <w:pStyle w:val="38"/>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预算金额（元）：</w:t>
      </w:r>
      <w:r>
        <w:rPr>
          <w:rFonts w:ascii="Times New Roman" w:hAnsi="Times New Roman"/>
          <w:color w:val="auto"/>
          <w:kern w:val="2"/>
          <w:szCs w:val="22"/>
        </w:rPr>
        <w:t>3548000.00</w:t>
      </w:r>
    </w:p>
    <w:p>
      <w:pPr>
        <w:pStyle w:val="38"/>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简要规格描述或项目基本概况介绍、用途：</w:t>
      </w:r>
      <w:r>
        <w:rPr>
          <w:rFonts w:ascii="Times New Roman" w:hAnsi="Times New Roman"/>
          <w:color w:val="auto"/>
          <w:kern w:val="2"/>
          <w:szCs w:val="22"/>
        </w:rPr>
        <w:t>数字化制造与检测技术中心_数字化制造单元项目</w:t>
      </w:r>
      <w:r>
        <w:rPr>
          <w:rFonts w:hint="default" w:ascii="Times New Roman" w:hAnsi="Times New Roman"/>
          <w:color w:val="auto"/>
          <w:kern w:val="2"/>
          <w:szCs w:val="22"/>
        </w:rPr>
        <w:t>，详见第四章采购内容及需求。</w:t>
      </w:r>
    </w:p>
    <w:p>
      <w:pPr>
        <w:pStyle w:val="38"/>
        <w:spacing w:before="0" w:beforeAutospacing="0" w:after="0" w:afterAutospacing="0" w:line="360" w:lineRule="auto"/>
        <w:ind w:firstLine="480" w:firstLineChars="200"/>
        <w:rPr>
          <w:rFonts w:hint="default" w:cs="宋体"/>
          <w:color w:val="auto"/>
          <w:szCs w:val="21"/>
        </w:rPr>
      </w:pPr>
      <w:r>
        <w:rPr>
          <w:rFonts w:hint="default" w:ascii="Times New Roman" w:hAnsi="Times New Roman"/>
          <w:color w:val="auto"/>
          <w:kern w:val="2"/>
          <w:szCs w:val="22"/>
        </w:rPr>
        <w:t>备注：</w:t>
      </w:r>
      <w:r>
        <w:rPr>
          <w:rFonts w:cs="宋体"/>
          <w:color w:val="auto"/>
          <w:szCs w:val="21"/>
        </w:rPr>
        <w:t>/</w:t>
      </w:r>
    </w:p>
    <w:p>
      <w:pPr>
        <w:pStyle w:val="38"/>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合同履约期限：</w:t>
      </w:r>
      <w:r>
        <w:rPr>
          <w:rFonts w:ascii="Times New Roman" w:hAnsi="Times New Roman"/>
          <w:color w:val="auto"/>
          <w:kern w:val="2"/>
          <w:szCs w:val="22"/>
        </w:rPr>
        <w:t>2023年11月30日前完成供货、安装、调试。</w:t>
      </w:r>
    </w:p>
    <w:p>
      <w:pPr>
        <w:pStyle w:val="38"/>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本项目（</w:t>
      </w:r>
      <w:r>
        <w:rPr>
          <w:rFonts w:ascii="Times New Roman" w:hAnsi="Times New Roman"/>
          <w:color w:val="auto"/>
          <w:kern w:val="2"/>
          <w:szCs w:val="22"/>
        </w:rPr>
        <w:t>是</w:t>
      </w:r>
      <w:r>
        <w:rPr>
          <w:rFonts w:hint="default" w:ascii="Times New Roman" w:hAnsi="Times New Roman"/>
          <w:color w:val="auto"/>
          <w:kern w:val="2"/>
          <w:szCs w:val="22"/>
        </w:rPr>
        <w:t>）接受联合体投标。</w:t>
      </w:r>
    </w:p>
    <w:p>
      <w:pPr>
        <w:pStyle w:val="19"/>
        <w:spacing w:line="360" w:lineRule="auto"/>
        <w:ind w:firstLine="0"/>
        <w:rPr>
          <w:rFonts w:hint="default" w:ascii="Times New Roman" w:hAnsi="Times New Roman"/>
          <w:sz w:val="24"/>
          <w:szCs w:val="24"/>
        </w:rPr>
      </w:pPr>
      <w:r>
        <w:rPr>
          <w:rFonts w:hint="default" w:ascii="Times New Roman" w:hAnsi="Times New Roman"/>
          <w:sz w:val="24"/>
          <w:szCs w:val="24"/>
        </w:rPr>
        <w:t>二、申请人的资格要求：</w:t>
      </w:r>
    </w:p>
    <w:p>
      <w:pPr>
        <w:spacing w:line="360" w:lineRule="auto"/>
        <w:ind w:firstLine="480" w:firstLineChars="200"/>
        <w:rPr>
          <w:rFonts w:hint="default"/>
          <w:sz w:val="24"/>
        </w:rPr>
      </w:pPr>
      <w:r>
        <w:rPr>
          <w:rFonts w:hint="default"/>
          <w:sz w:val="24"/>
        </w:rPr>
        <w:t>1.满足《中华人民共和国政府采购法》第二十二条规定；未被“信用中国”（www.creditchina.gov.cn)、中国政府采购网（www.ccgp.gov.cn）列入失信被执行人、</w:t>
      </w:r>
      <w:r>
        <w:rPr>
          <w:sz w:val="24"/>
        </w:rPr>
        <w:t>重大税收违法失信主体</w:t>
      </w:r>
      <w:r>
        <w:rPr>
          <w:rFonts w:hint="default"/>
          <w:sz w:val="24"/>
        </w:rPr>
        <w:t>、政府采购严重违法失信行为记录名单。</w:t>
      </w:r>
    </w:p>
    <w:p>
      <w:pPr>
        <w:spacing w:line="360" w:lineRule="auto"/>
        <w:ind w:firstLine="482" w:firstLineChars="200"/>
        <w:rPr>
          <w:rFonts w:hint="default"/>
          <w:b/>
          <w:bCs/>
          <w:sz w:val="24"/>
        </w:rPr>
      </w:pPr>
      <w:r>
        <w:rPr>
          <w:rFonts w:hint="default"/>
          <w:b/>
          <w:bCs/>
          <w:sz w:val="24"/>
        </w:rPr>
        <w:t>2.落实政府采购政策需满足的资格要求：</w:t>
      </w:r>
      <w:r>
        <w:rPr>
          <w:rFonts w:ascii="宋体" w:hAnsi="宋体" w:cs="宋体"/>
          <w:b/>
          <w:bCs/>
          <w:sz w:val="24"/>
        </w:rPr>
        <w:t>本项目专门面向中小企业采购,所有投标产品制造商应为中小微企业或监狱企业或残疾人福利性单位。</w:t>
      </w:r>
    </w:p>
    <w:p>
      <w:pPr>
        <w:spacing w:line="360" w:lineRule="auto"/>
        <w:ind w:firstLine="480" w:firstLineChars="200"/>
        <w:rPr>
          <w:rFonts w:hint="default"/>
          <w:i/>
          <w:iCs/>
          <w:sz w:val="24"/>
          <w:szCs w:val="24"/>
          <w:u w:val="single"/>
        </w:rPr>
      </w:pPr>
      <w:r>
        <w:rPr>
          <w:rFonts w:hint="default"/>
          <w:sz w:val="24"/>
        </w:rPr>
        <w:t>3.本项目的特定资格要求：</w:t>
      </w:r>
      <w:r>
        <w:rPr>
          <w:rFonts w:hint="default"/>
          <w:bCs/>
          <w:sz w:val="24"/>
          <w:szCs w:val="24"/>
        </w:rPr>
        <w:t>无</w:t>
      </w:r>
      <w:r>
        <w:rPr>
          <w:rFonts w:hint="default"/>
          <w:b/>
          <w:sz w:val="24"/>
          <w:szCs w:val="24"/>
        </w:rPr>
        <w:t>。</w:t>
      </w:r>
    </w:p>
    <w:p>
      <w:pPr>
        <w:pStyle w:val="7"/>
        <w:spacing w:before="0" w:after="0" w:line="360" w:lineRule="auto"/>
        <w:rPr>
          <w:rFonts w:hint="default" w:ascii="Times New Roman" w:hAnsi="Times New Roman" w:eastAsia="宋体"/>
          <w:b w:val="0"/>
          <w:sz w:val="24"/>
          <w:szCs w:val="24"/>
        </w:rPr>
      </w:pPr>
      <w:bookmarkStart w:id="15" w:name="_Toc35393792"/>
      <w:bookmarkStart w:id="16" w:name="_Toc35393623"/>
      <w:r>
        <w:rPr>
          <w:rFonts w:hint="default" w:ascii="Times New Roman" w:hAnsi="Times New Roman" w:eastAsia="宋体"/>
          <w:b w:val="0"/>
          <w:sz w:val="24"/>
          <w:szCs w:val="24"/>
        </w:rPr>
        <w:t>三、获取（下载）招标文件</w:t>
      </w:r>
      <w:bookmarkEnd w:id="15"/>
      <w:bookmarkEnd w:id="16"/>
    </w:p>
    <w:p>
      <w:pPr>
        <w:spacing w:line="360" w:lineRule="auto"/>
        <w:ind w:firstLine="540"/>
        <w:rPr>
          <w:rFonts w:hint="default"/>
          <w:sz w:val="24"/>
        </w:rPr>
      </w:pPr>
      <w:r>
        <w:rPr>
          <w:rFonts w:hint="default"/>
          <w:sz w:val="24"/>
        </w:rPr>
        <w:t>1.时间：/至202</w:t>
      </w:r>
      <w:r>
        <w:rPr>
          <w:sz w:val="24"/>
        </w:rPr>
        <w:t>3</w:t>
      </w:r>
      <w:r>
        <w:rPr>
          <w:rFonts w:hint="default"/>
          <w:sz w:val="24"/>
        </w:rPr>
        <w:t>年</w:t>
      </w:r>
      <w:r>
        <w:rPr>
          <w:sz w:val="24"/>
        </w:rPr>
        <w:t>9</w:t>
      </w:r>
      <w:r>
        <w:rPr>
          <w:rFonts w:hint="default"/>
          <w:sz w:val="24"/>
        </w:rPr>
        <w:t>月</w:t>
      </w:r>
      <w:r>
        <w:rPr>
          <w:sz w:val="24"/>
        </w:rPr>
        <w:t>28</w:t>
      </w:r>
      <w:r>
        <w:rPr>
          <w:rFonts w:hint="default"/>
          <w:sz w:val="24"/>
        </w:rPr>
        <w:t>日，每天上午00:00至12:00，下午12:00至23:59（北京时间，线上获取法定节假日均可，线下获取文件法定节假日除外）。</w:t>
      </w:r>
    </w:p>
    <w:p>
      <w:pPr>
        <w:spacing w:line="360" w:lineRule="auto"/>
        <w:ind w:firstLine="540"/>
        <w:rPr>
          <w:rFonts w:hint="default"/>
          <w:sz w:val="24"/>
        </w:rPr>
      </w:pPr>
      <w:r>
        <w:rPr>
          <w:rFonts w:hint="default"/>
          <w:sz w:val="24"/>
        </w:rPr>
        <w:t>2.地点（网址）：https://www.zcygov.cn</w:t>
      </w:r>
    </w:p>
    <w:p>
      <w:pPr>
        <w:spacing w:line="360" w:lineRule="auto"/>
        <w:ind w:firstLine="540"/>
        <w:rPr>
          <w:rFonts w:hint="default"/>
          <w:sz w:val="24"/>
        </w:rPr>
      </w:pPr>
      <w:r>
        <w:rPr>
          <w:rFonts w:hint="default"/>
          <w:sz w:val="24"/>
        </w:rPr>
        <w:t>3.方式：（1）线上获取（登录政府采购云平台 → 项目采购 → 获取采购文件 → 申请，审核通过后可下载招标文件）。本次招标不提供纸质版招标文件。（2）供应商获取招标文件前应通过浙江政府采购网“浙江政府采购供应商信息登记管理系统”进行信息登记，获得线上政府采购活动操作权限。（3）招标公告所附招标文件仅供阅览使用，供应商只有在“政府采购云平台”完成招标文件申请并下载了招标文件后才被视为合法获取了招标文件，否则其投标将被拒绝。</w:t>
      </w:r>
    </w:p>
    <w:p>
      <w:pPr>
        <w:spacing w:line="360" w:lineRule="auto"/>
        <w:ind w:firstLine="540"/>
        <w:rPr>
          <w:rFonts w:hint="default"/>
          <w:sz w:val="24"/>
        </w:rPr>
      </w:pPr>
      <w:r>
        <w:rPr>
          <w:rFonts w:hint="default"/>
          <w:sz w:val="24"/>
        </w:rPr>
        <w:t>4.售价（元）：0</w:t>
      </w:r>
    </w:p>
    <w:p>
      <w:pPr>
        <w:pStyle w:val="7"/>
        <w:spacing w:before="0" w:after="0" w:line="360" w:lineRule="auto"/>
        <w:rPr>
          <w:rFonts w:hint="default" w:ascii="Times New Roman" w:hAnsi="Times New Roman" w:eastAsia="宋体"/>
          <w:b w:val="0"/>
          <w:sz w:val="24"/>
          <w:szCs w:val="24"/>
        </w:rPr>
      </w:pPr>
      <w:bookmarkStart w:id="17" w:name="_Toc28359082"/>
      <w:bookmarkStart w:id="18" w:name="_Toc28359005"/>
      <w:bookmarkStart w:id="19" w:name="_Toc35393793"/>
      <w:bookmarkStart w:id="20" w:name="_Toc35393624"/>
      <w:r>
        <w:rPr>
          <w:rFonts w:hint="default" w:ascii="Times New Roman" w:hAnsi="Times New Roman" w:eastAsia="宋体"/>
          <w:b w:val="0"/>
          <w:sz w:val="24"/>
          <w:szCs w:val="24"/>
        </w:rPr>
        <w:t>四、提交投标文件</w:t>
      </w:r>
      <w:bookmarkEnd w:id="17"/>
      <w:bookmarkEnd w:id="18"/>
      <w:r>
        <w:rPr>
          <w:rFonts w:hint="default" w:ascii="Times New Roman" w:hAnsi="Times New Roman" w:eastAsia="宋体"/>
          <w:b w:val="0"/>
          <w:sz w:val="24"/>
          <w:szCs w:val="24"/>
        </w:rPr>
        <w:t>截止时间、开标时间和地点</w:t>
      </w:r>
      <w:bookmarkEnd w:id="19"/>
      <w:bookmarkEnd w:id="20"/>
    </w:p>
    <w:p>
      <w:pPr>
        <w:spacing w:line="360" w:lineRule="auto"/>
        <w:ind w:firstLine="480" w:firstLineChars="200"/>
        <w:rPr>
          <w:rFonts w:hint="default"/>
          <w:bCs/>
          <w:sz w:val="24"/>
        </w:rPr>
      </w:pPr>
      <w:r>
        <w:rPr>
          <w:rFonts w:hint="default"/>
          <w:bCs/>
          <w:sz w:val="24"/>
        </w:rPr>
        <w:t>1.提交投标文件截止时间：</w:t>
      </w:r>
      <w:r>
        <w:rPr>
          <w:sz w:val="24"/>
        </w:rPr>
        <w:t>2023年9月28日09:00</w:t>
      </w:r>
      <w:r>
        <w:rPr>
          <w:rFonts w:hint="default"/>
          <w:sz w:val="24"/>
        </w:rPr>
        <w:t>（北京时间）</w:t>
      </w:r>
    </w:p>
    <w:p>
      <w:pPr>
        <w:spacing w:line="360" w:lineRule="auto"/>
        <w:ind w:firstLine="480" w:firstLineChars="200"/>
        <w:rPr>
          <w:rFonts w:hint="default"/>
          <w:bCs/>
          <w:sz w:val="24"/>
        </w:rPr>
      </w:pPr>
      <w:r>
        <w:rPr>
          <w:rFonts w:hint="default"/>
          <w:bCs/>
          <w:sz w:val="24"/>
        </w:rPr>
        <w:t>2.投标地点（网址）：（1）“电子加密投标文件”：https://www.zcygov.cn在线投标；（2）“电子备份投标文件”：杭州市拱墅区大关路179号远洋国际中心A座17楼1706室。</w:t>
      </w:r>
    </w:p>
    <w:p>
      <w:pPr>
        <w:spacing w:line="360" w:lineRule="auto"/>
        <w:ind w:firstLine="480" w:firstLineChars="200"/>
        <w:rPr>
          <w:rFonts w:hint="default"/>
          <w:bCs/>
          <w:sz w:val="24"/>
        </w:rPr>
      </w:pPr>
      <w:r>
        <w:rPr>
          <w:rFonts w:hint="default"/>
          <w:bCs/>
          <w:sz w:val="24"/>
        </w:rPr>
        <w:t>3.开标时间：</w:t>
      </w:r>
      <w:r>
        <w:rPr>
          <w:sz w:val="24"/>
        </w:rPr>
        <w:t>2023年9月28日09:00</w:t>
      </w:r>
      <w:r>
        <w:rPr>
          <w:rFonts w:hint="default"/>
          <w:sz w:val="24"/>
        </w:rPr>
        <w:t>（北京时间）</w:t>
      </w:r>
    </w:p>
    <w:p>
      <w:pPr>
        <w:spacing w:line="360" w:lineRule="auto"/>
        <w:ind w:firstLine="480" w:firstLineChars="200"/>
        <w:rPr>
          <w:rFonts w:hint="default"/>
          <w:bCs/>
          <w:sz w:val="24"/>
        </w:rPr>
      </w:pPr>
      <w:r>
        <w:rPr>
          <w:rFonts w:hint="default"/>
          <w:bCs/>
          <w:sz w:val="24"/>
        </w:rPr>
        <w:t>4.开标地点（网址）：https://www.zcygov.cn</w:t>
      </w:r>
    </w:p>
    <w:p>
      <w:pPr>
        <w:pStyle w:val="7"/>
        <w:spacing w:before="0" w:after="0" w:line="360" w:lineRule="auto"/>
        <w:rPr>
          <w:rFonts w:hint="default" w:ascii="Times New Roman" w:hAnsi="Times New Roman" w:eastAsia="宋体"/>
          <w:b w:val="0"/>
          <w:sz w:val="24"/>
          <w:szCs w:val="24"/>
        </w:rPr>
      </w:pPr>
      <w:bookmarkStart w:id="21" w:name="_Toc35393794"/>
      <w:bookmarkStart w:id="22" w:name="_Toc28359007"/>
      <w:bookmarkStart w:id="23" w:name="_Toc28359084"/>
      <w:bookmarkStart w:id="24" w:name="_Toc35393625"/>
      <w:r>
        <w:rPr>
          <w:rFonts w:hint="default" w:ascii="Times New Roman" w:hAnsi="Times New Roman" w:eastAsia="宋体"/>
          <w:b w:val="0"/>
          <w:sz w:val="24"/>
          <w:szCs w:val="24"/>
        </w:rPr>
        <w:t>五、公告期限</w:t>
      </w:r>
      <w:bookmarkEnd w:id="21"/>
      <w:bookmarkEnd w:id="22"/>
      <w:bookmarkEnd w:id="23"/>
      <w:bookmarkEnd w:id="24"/>
    </w:p>
    <w:p>
      <w:pPr>
        <w:spacing w:line="360" w:lineRule="auto"/>
        <w:ind w:firstLine="480" w:firstLineChars="200"/>
        <w:rPr>
          <w:rFonts w:hint="default"/>
          <w:kern w:val="0"/>
          <w:sz w:val="24"/>
        </w:rPr>
      </w:pPr>
      <w:r>
        <w:rPr>
          <w:rFonts w:hint="default"/>
          <w:kern w:val="0"/>
          <w:sz w:val="24"/>
        </w:rPr>
        <w:t>自本公告发布之日起5个工作日。</w:t>
      </w:r>
    </w:p>
    <w:p>
      <w:pPr>
        <w:pStyle w:val="7"/>
        <w:spacing w:before="0" w:after="0" w:line="360" w:lineRule="auto"/>
        <w:rPr>
          <w:rFonts w:hint="default" w:ascii="Times New Roman" w:hAnsi="Times New Roman" w:eastAsia="宋体"/>
          <w:b w:val="0"/>
          <w:sz w:val="24"/>
          <w:szCs w:val="24"/>
        </w:rPr>
      </w:pPr>
      <w:bookmarkStart w:id="25" w:name="_Toc35393626"/>
      <w:bookmarkStart w:id="26" w:name="_Toc35393795"/>
      <w:r>
        <w:rPr>
          <w:rFonts w:hint="default" w:ascii="Times New Roman" w:hAnsi="Times New Roman" w:eastAsia="宋体"/>
          <w:b w:val="0"/>
          <w:sz w:val="24"/>
          <w:szCs w:val="24"/>
        </w:rPr>
        <w:t>六、其他补充事宜</w:t>
      </w:r>
      <w:bookmarkEnd w:id="25"/>
      <w:bookmarkEnd w:id="26"/>
    </w:p>
    <w:p>
      <w:pPr>
        <w:spacing w:line="360" w:lineRule="auto"/>
        <w:ind w:firstLine="480" w:firstLineChars="200"/>
        <w:rPr>
          <w:rFonts w:hint="default"/>
          <w:kern w:val="0"/>
          <w:sz w:val="24"/>
        </w:rPr>
      </w:pPr>
      <w:r>
        <w:rPr>
          <w:rFonts w:hint="default"/>
          <w:kern w:val="0"/>
          <w:sz w:val="24"/>
        </w:rPr>
        <w:t> </w:t>
      </w:r>
      <w:r>
        <w:rPr>
          <w:kern w:val="0"/>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kern w:val="0"/>
          <w:sz w:val="24"/>
        </w:rPr>
        <w:t>。</w:t>
      </w:r>
    </w:p>
    <w:p>
      <w:pPr>
        <w:spacing w:line="360" w:lineRule="auto"/>
        <w:ind w:firstLine="480" w:firstLineChars="200"/>
        <w:rPr>
          <w:rFonts w:hint="default"/>
          <w:kern w:val="0"/>
          <w:sz w:val="24"/>
        </w:rPr>
      </w:pPr>
      <w:r>
        <w:rPr>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default"/>
          <w:kern w:val="0"/>
          <w:sz w:val="24"/>
        </w:rPr>
      </w:pPr>
      <w:r>
        <w:rPr>
          <w:kern w:val="0"/>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kern w:val="0"/>
          <w:sz w:val="24"/>
        </w:rPr>
        <w:br w:type="textWrapping"/>
      </w:r>
      <w:r>
        <w:rPr>
          <w:kern w:val="0"/>
          <w:sz w:val="24"/>
        </w:rPr>
        <w:t>    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招标文件公告期限与招标公告的公告期限一致。</w:t>
      </w:r>
    </w:p>
    <w:p>
      <w:pPr>
        <w:pStyle w:val="19"/>
        <w:spacing w:line="360" w:lineRule="auto"/>
        <w:ind w:firstLine="0"/>
        <w:rPr>
          <w:rFonts w:hint="default" w:ascii="Times New Roman" w:hAnsi="Times New Roman"/>
          <w:sz w:val="24"/>
          <w:szCs w:val="24"/>
        </w:rPr>
      </w:pPr>
      <w:r>
        <w:rPr>
          <w:rFonts w:hint="default" w:ascii="Times New Roman" w:hAnsi="Times New Roman"/>
          <w:sz w:val="24"/>
          <w:szCs w:val="24"/>
        </w:rPr>
        <w:t>七、对本次招标提出询问、质疑、投诉，请按以下方式联系。</w:t>
      </w:r>
    </w:p>
    <w:p>
      <w:pPr>
        <w:spacing w:line="360" w:lineRule="auto"/>
        <w:ind w:firstLine="480" w:firstLineChars="200"/>
        <w:rPr>
          <w:rFonts w:hint="default"/>
          <w:kern w:val="0"/>
          <w:sz w:val="24"/>
        </w:rPr>
      </w:pPr>
      <w:r>
        <w:rPr>
          <w:kern w:val="0"/>
          <w:sz w:val="24"/>
        </w:rPr>
        <w:t>1.采购人信息</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名称：浙江机电职业技术学院</w:t>
      </w:r>
    </w:p>
    <w:p>
      <w:pPr>
        <w:pStyle w:val="19"/>
        <w:spacing w:line="360" w:lineRule="auto"/>
        <w:ind w:firstLine="464" w:firstLineChars="200"/>
        <w:rPr>
          <w:rFonts w:hint="default" w:hAnsi="宋体" w:cs="宋体"/>
          <w:kern w:val="0"/>
          <w:sz w:val="24"/>
          <w:szCs w:val="24"/>
        </w:rPr>
      </w:pPr>
      <w:r>
        <w:rPr>
          <w:rFonts w:hAnsi="宋体" w:cs="宋体"/>
          <w:kern w:val="0"/>
          <w:sz w:val="24"/>
          <w:szCs w:val="24"/>
        </w:rPr>
        <w:t>地址：杭州市滨江区滨文路528号</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传真：/</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 xml:space="preserve">项目联系人：王老师   </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 xml:space="preserve">项目联系方式：13857188793    </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采购联系人：劳老师</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联系方式：0571-87775080</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质疑联系人：刘老师</w:t>
      </w:r>
    </w:p>
    <w:p>
      <w:pPr>
        <w:spacing w:line="360" w:lineRule="auto"/>
        <w:ind w:firstLine="480" w:firstLineChars="200"/>
        <w:rPr>
          <w:rFonts w:hint="default"/>
          <w:kern w:val="0"/>
          <w:sz w:val="24"/>
        </w:rPr>
      </w:pPr>
      <w:r>
        <w:rPr>
          <w:rFonts w:ascii="宋体" w:hAnsi="宋体" w:cs="宋体"/>
          <w:kern w:val="0"/>
          <w:sz w:val="24"/>
          <w:szCs w:val="24"/>
        </w:rPr>
        <w:t>质疑联系方式：0571-87773085</w:t>
      </w:r>
    </w:p>
    <w:p>
      <w:pPr>
        <w:spacing w:line="360" w:lineRule="auto"/>
        <w:ind w:firstLine="480" w:firstLineChars="200"/>
        <w:rPr>
          <w:rFonts w:hint="default"/>
          <w:kern w:val="0"/>
          <w:sz w:val="24"/>
        </w:rPr>
      </w:pPr>
      <w:r>
        <w:rPr>
          <w:kern w:val="0"/>
          <w:sz w:val="24"/>
        </w:rPr>
        <w:t>2.采购代理机构信息</w:t>
      </w:r>
    </w:p>
    <w:p>
      <w:pPr>
        <w:spacing w:line="360" w:lineRule="auto"/>
        <w:ind w:firstLine="480" w:firstLineChars="200"/>
        <w:rPr>
          <w:rFonts w:hint="default"/>
          <w:kern w:val="0"/>
          <w:sz w:val="24"/>
        </w:rPr>
      </w:pPr>
      <w:r>
        <w:rPr>
          <w:kern w:val="0"/>
          <w:sz w:val="24"/>
        </w:rPr>
        <w:t>名  称：浙江豪圣建设项目管理有限公司</w:t>
      </w:r>
    </w:p>
    <w:p>
      <w:pPr>
        <w:spacing w:line="360" w:lineRule="auto"/>
        <w:ind w:firstLine="480" w:firstLineChars="200"/>
        <w:rPr>
          <w:rFonts w:hint="default"/>
          <w:kern w:val="0"/>
          <w:sz w:val="24"/>
        </w:rPr>
      </w:pPr>
      <w:r>
        <w:rPr>
          <w:kern w:val="0"/>
          <w:sz w:val="24"/>
        </w:rPr>
        <w:t>地  址：杭州市拱墅区大关路179号远洋国际中心A座17楼1706室</w:t>
      </w:r>
    </w:p>
    <w:p>
      <w:pPr>
        <w:spacing w:line="360" w:lineRule="auto"/>
        <w:ind w:firstLine="480" w:firstLineChars="200"/>
        <w:rPr>
          <w:rFonts w:hint="default"/>
          <w:kern w:val="0"/>
          <w:sz w:val="24"/>
        </w:rPr>
      </w:pPr>
      <w:r>
        <w:rPr>
          <w:kern w:val="0"/>
          <w:sz w:val="24"/>
        </w:rPr>
        <w:t>传  真：/</w:t>
      </w:r>
    </w:p>
    <w:p>
      <w:pPr>
        <w:spacing w:line="360" w:lineRule="auto"/>
        <w:ind w:firstLine="480" w:firstLineChars="200"/>
        <w:rPr>
          <w:rFonts w:hint="default"/>
          <w:kern w:val="0"/>
          <w:sz w:val="24"/>
        </w:rPr>
      </w:pPr>
      <w:r>
        <w:rPr>
          <w:kern w:val="0"/>
          <w:sz w:val="24"/>
        </w:rPr>
        <w:t>项目联系人（询问）：陶传林、曹剑斌、陈敏娇</w:t>
      </w:r>
    </w:p>
    <w:p>
      <w:pPr>
        <w:spacing w:line="360" w:lineRule="auto"/>
        <w:ind w:firstLine="480" w:firstLineChars="200"/>
        <w:rPr>
          <w:rFonts w:hint="default"/>
          <w:kern w:val="0"/>
          <w:sz w:val="24"/>
        </w:rPr>
      </w:pPr>
      <w:r>
        <w:rPr>
          <w:kern w:val="0"/>
          <w:sz w:val="24"/>
        </w:rPr>
        <w:t>项目联系方式（询问）：0571-87981527</w:t>
      </w:r>
    </w:p>
    <w:p>
      <w:pPr>
        <w:spacing w:line="360" w:lineRule="auto"/>
        <w:ind w:firstLine="480" w:firstLineChars="200"/>
        <w:rPr>
          <w:rFonts w:hint="default"/>
          <w:kern w:val="0"/>
          <w:sz w:val="24"/>
        </w:rPr>
      </w:pPr>
      <w:r>
        <w:rPr>
          <w:kern w:val="0"/>
          <w:sz w:val="24"/>
        </w:rPr>
        <w:t>质疑联系人：刘先成</w:t>
      </w:r>
    </w:p>
    <w:p>
      <w:pPr>
        <w:spacing w:line="360" w:lineRule="auto"/>
        <w:ind w:firstLine="480" w:firstLineChars="200"/>
        <w:rPr>
          <w:rFonts w:hint="default"/>
          <w:kern w:val="0"/>
          <w:sz w:val="24"/>
        </w:rPr>
      </w:pPr>
      <w:r>
        <w:rPr>
          <w:kern w:val="0"/>
          <w:sz w:val="24"/>
        </w:rPr>
        <w:t>质疑联系方式：0571-56386096</w:t>
      </w:r>
    </w:p>
    <w:p>
      <w:pPr>
        <w:spacing w:line="360" w:lineRule="auto"/>
        <w:ind w:firstLine="480" w:firstLineChars="200"/>
        <w:rPr>
          <w:rFonts w:ascii="Times New Roman" w:hAnsi="Times New Roman" w:eastAsia="宋体" w:cs="Times New Roman"/>
          <w:i w:val="0"/>
          <w:iCs w:val="0"/>
          <w:caps w:val="0"/>
          <w:color w:val="auto"/>
          <w:spacing w:val="0"/>
          <w:kern w:val="0"/>
          <w:sz w:val="24"/>
          <w:szCs w:val="20"/>
          <w:highlight w:val="none"/>
        </w:rPr>
      </w:pPr>
      <w:r>
        <w:rPr>
          <w:rFonts w:hint="eastAsia" w:ascii="Times New Roman" w:hAnsi="Times New Roman" w:eastAsia="宋体" w:cs="Times New Roman"/>
          <w:i w:val="0"/>
          <w:iCs w:val="0"/>
          <w:caps w:val="0"/>
          <w:color w:val="auto"/>
          <w:spacing w:val="0"/>
          <w:kern w:val="0"/>
          <w:sz w:val="24"/>
          <w:szCs w:val="20"/>
          <w:highlight w:val="none"/>
        </w:rPr>
        <w:t>3.同级政府采购监督管理部门</w:t>
      </w:r>
    </w:p>
    <w:p>
      <w:pPr>
        <w:spacing w:line="360" w:lineRule="auto"/>
        <w:ind w:firstLine="480" w:firstLineChars="200"/>
        <w:rPr>
          <w:rFonts w:hint="eastAsia" w:ascii="Times New Roman" w:hAnsi="Times New Roman" w:eastAsia="宋体" w:cs="Times New Roman"/>
          <w:i w:val="0"/>
          <w:iCs w:val="0"/>
          <w:caps w:val="0"/>
          <w:color w:val="auto"/>
          <w:spacing w:val="0"/>
          <w:kern w:val="0"/>
          <w:sz w:val="24"/>
          <w:szCs w:val="20"/>
          <w:highlight w:val="none"/>
        </w:rPr>
      </w:pPr>
      <w:r>
        <w:rPr>
          <w:rFonts w:hint="eastAsia" w:ascii="Times New Roman" w:hAnsi="Times New Roman" w:eastAsia="宋体" w:cs="Times New Roman"/>
          <w:i w:val="0"/>
          <w:iCs w:val="0"/>
          <w:caps w:val="0"/>
          <w:color w:val="auto"/>
          <w:spacing w:val="0"/>
          <w:kern w:val="0"/>
          <w:sz w:val="24"/>
          <w:szCs w:val="20"/>
          <w:highlight w:val="none"/>
        </w:rPr>
        <w:t>名    称：浙江省财政厅政府采购监管处、浙江省政府采购行政裁决服务中心（杭州）</w:t>
      </w:r>
    </w:p>
    <w:p>
      <w:pPr>
        <w:spacing w:line="360" w:lineRule="auto"/>
        <w:ind w:firstLine="480" w:firstLineChars="200"/>
        <w:rPr>
          <w:rFonts w:hint="eastAsia" w:ascii="Times New Roman" w:hAnsi="Times New Roman" w:eastAsia="宋体" w:cs="Times New Roman"/>
          <w:i w:val="0"/>
          <w:iCs w:val="0"/>
          <w:caps w:val="0"/>
          <w:color w:val="auto"/>
          <w:spacing w:val="0"/>
          <w:kern w:val="0"/>
          <w:sz w:val="24"/>
          <w:szCs w:val="20"/>
          <w:highlight w:val="none"/>
        </w:rPr>
      </w:pPr>
      <w:r>
        <w:rPr>
          <w:rFonts w:hint="eastAsia" w:ascii="Times New Roman" w:hAnsi="Times New Roman" w:eastAsia="宋体" w:cs="Times New Roman"/>
          <w:i w:val="0"/>
          <w:iCs w:val="0"/>
          <w:caps w:val="0"/>
          <w:color w:val="auto"/>
          <w:spacing w:val="0"/>
          <w:kern w:val="0"/>
          <w:sz w:val="24"/>
          <w:szCs w:val="20"/>
          <w:highlight w:val="none"/>
        </w:rPr>
        <w:t>   地    址：杭州市上城区四季青街道新业路市民之家G03办公室</w:t>
      </w:r>
    </w:p>
    <w:p>
      <w:pPr>
        <w:spacing w:line="360" w:lineRule="auto"/>
        <w:ind w:firstLine="480" w:firstLineChars="200"/>
        <w:rPr>
          <w:rFonts w:hint="eastAsia" w:ascii="Times New Roman" w:hAnsi="Times New Roman" w:eastAsia="宋体" w:cs="Times New Roman"/>
          <w:i w:val="0"/>
          <w:iCs w:val="0"/>
          <w:caps w:val="0"/>
          <w:color w:val="auto"/>
          <w:spacing w:val="0"/>
          <w:kern w:val="0"/>
          <w:sz w:val="24"/>
          <w:szCs w:val="20"/>
          <w:highlight w:val="none"/>
        </w:rPr>
      </w:pPr>
      <w:r>
        <w:rPr>
          <w:rFonts w:hint="eastAsia" w:ascii="Times New Roman" w:hAnsi="Times New Roman" w:eastAsia="宋体" w:cs="Times New Roman"/>
          <w:i w:val="0"/>
          <w:iCs w:val="0"/>
          <w:caps w:val="0"/>
          <w:color w:val="auto"/>
          <w:spacing w:val="0"/>
          <w:kern w:val="0"/>
          <w:sz w:val="24"/>
          <w:szCs w:val="20"/>
          <w:highlight w:val="none"/>
        </w:rPr>
        <w:t>   传    真：</w:t>
      </w:r>
    </w:p>
    <w:p>
      <w:pPr>
        <w:spacing w:line="360" w:lineRule="auto"/>
        <w:ind w:firstLine="480" w:firstLineChars="200"/>
        <w:rPr>
          <w:rFonts w:hint="eastAsia" w:ascii="Times New Roman" w:hAnsi="Times New Roman" w:eastAsia="宋体" w:cs="Times New Roman"/>
          <w:i w:val="0"/>
          <w:iCs w:val="0"/>
          <w:caps w:val="0"/>
          <w:color w:val="auto"/>
          <w:spacing w:val="0"/>
          <w:kern w:val="0"/>
          <w:sz w:val="24"/>
          <w:szCs w:val="20"/>
          <w:highlight w:val="none"/>
        </w:rPr>
      </w:pPr>
      <w:r>
        <w:rPr>
          <w:rFonts w:hint="eastAsia" w:ascii="Times New Roman" w:hAnsi="Times New Roman" w:eastAsia="宋体" w:cs="Times New Roman"/>
          <w:i w:val="0"/>
          <w:iCs w:val="0"/>
          <w:caps w:val="0"/>
          <w:color w:val="auto"/>
          <w:spacing w:val="0"/>
          <w:kern w:val="0"/>
          <w:sz w:val="24"/>
          <w:szCs w:val="20"/>
          <w:highlight w:val="none"/>
        </w:rPr>
        <w:t>   联 系 人：朱女士、王女士</w:t>
      </w:r>
    </w:p>
    <w:p>
      <w:pPr>
        <w:spacing w:line="360" w:lineRule="auto"/>
        <w:ind w:firstLine="480" w:firstLineChars="200"/>
        <w:rPr>
          <w:rFonts w:hint="eastAsia" w:ascii="Times New Roman" w:hAnsi="Times New Roman" w:eastAsia="宋体" w:cs="Times New Roman"/>
          <w:i w:val="0"/>
          <w:iCs w:val="0"/>
          <w:caps w:val="0"/>
          <w:color w:val="auto"/>
          <w:spacing w:val="0"/>
          <w:kern w:val="0"/>
          <w:sz w:val="24"/>
          <w:szCs w:val="20"/>
          <w:highlight w:val="none"/>
        </w:rPr>
      </w:pPr>
      <w:r>
        <w:rPr>
          <w:rFonts w:hint="eastAsia" w:ascii="Times New Roman" w:hAnsi="Times New Roman" w:eastAsia="宋体" w:cs="Times New Roman"/>
          <w:i w:val="0"/>
          <w:iCs w:val="0"/>
          <w:caps w:val="0"/>
          <w:color w:val="auto"/>
          <w:spacing w:val="0"/>
          <w:kern w:val="0"/>
          <w:sz w:val="24"/>
          <w:szCs w:val="20"/>
          <w:highlight w:val="none"/>
        </w:rPr>
        <w:t>   监督投诉电话：0571-85252453</w:t>
      </w:r>
    </w:p>
    <w:p>
      <w:pPr>
        <w:keepNext w:val="0"/>
        <w:keepLines w:val="0"/>
        <w:widowControl/>
        <w:suppressLineNumbers w:val="0"/>
        <w:spacing w:line="360" w:lineRule="auto"/>
        <w:ind w:firstLine="480" w:firstLineChars="200"/>
        <w:jc w:val="left"/>
        <w:rPr>
          <w:color w:val="auto"/>
          <w:kern w:val="0"/>
          <w:sz w:val="24"/>
          <w:highlight w:val="none"/>
        </w:rPr>
      </w:pPr>
      <w:r>
        <w:rPr>
          <w:rFonts w:hint="eastAsia" w:ascii="Times New Roman" w:hAnsi="Times New Roman" w:eastAsia="宋体" w:cs="Times New Roman"/>
          <w:i w:val="0"/>
          <w:iCs w:val="0"/>
          <w:caps w:val="0"/>
          <w:color w:val="auto"/>
          <w:spacing w:val="0"/>
          <w:kern w:val="0"/>
          <w:sz w:val="24"/>
          <w:szCs w:val="20"/>
          <w:highlight w:val="none"/>
          <w:lang w:val="en-US" w:eastAsia="zh-CN" w:bidi="ar"/>
        </w:rPr>
        <w:t>            </w:t>
      </w:r>
    </w:p>
    <w:p>
      <w:pPr>
        <w:spacing w:line="360" w:lineRule="auto"/>
        <w:ind w:firstLine="480" w:firstLineChars="200"/>
        <w:rPr>
          <w:rFonts w:hint="eastAsia" w:ascii="Times New Roman" w:hAnsi="Times New Roman" w:eastAsia="宋体" w:cs="Times New Roman"/>
          <w:i w:val="0"/>
          <w:iCs w:val="0"/>
          <w:caps w:val="0"/>
          <w:color w:val="auto"/>
          <w:spacing w:val="0"/>
          <w:kern w:val="0"/>
          <w:sz w:val="24"/>
          <w:szCs w:val="20"/>
          <w:highlight w:val="none"/>
        </w:rPr>
      </w:pPr>
      <w:r>
        <w:rPr>
          <w:rFonts w:hint="eastAsia" w:ascii="Times New Roman" w:hAnsi="Times New Roman" w:eastAsia="宋体" w:cs="Times New Roman"/>
          <w:i w:val="0"/>
          <w:iCs w:val="0"/>
          <w:caps w:val="0"/>
          <w:color w:val="auto"/>
          <w:spacing w:val="0"/>
          <w:kern w:val="0"/>
          <w:sz w:val="24"/>
          <w:szCs w:val="20"/>
          <w:highlight w:val="none"/>
        </w:rPr>
        <w:t>   政策咨询：何一平、冯华，0571-87058424、87055741</w:t>
      </w:r>
    </w:p>
    <w:p>
      <w:pPr>
        <w:spacing w:line="360" w:lineRule="auto"/>
        <w:ind w:firstLine="480" w:firstLineChars="200"/>
        <w:rPr>
          <w:rFonts w:hint="eastAsia" w:ascii="Times New Roman" w:hAnsi="Times New Roman" w:eastAsia="宋体" w:cs="Times New Roman"/>
          <w:i w:val="0"/>
          <w:iCs w:val="0"/>
          <w:caps w:val="0"/>
          <w:color w:val="auto"/>
          <w:spacing w:val="0"/>
          <w:kern w:val="0"/>
          <w:sz w:val="24"/>
          <w:szCs w:val="20"/>
          <w:highlight w:val="none"/>
        </w:rPr>
      </w:pPr>
      <w:r>
        <w:rPr>
          <w:rFonts w:hint="eastAsia" w:ascii="Times New Roman" w:hAnsi="Times New Roman" w:eastAsia="宋体" w:cs="Times New Roman"/>
          <w:i w:val="0"/>
          <w:iCs w:val="0"/>
          <w:caps w:val="0"/>
          <w:color w:val="auto"/>
          <w:spacing w:val="0"/>
          <w:kern w:val="0"/>
          <w:sz w:val="24"/>
          <w:szCs w:val="20"/>
          <w:highlight w:val="none"/>
        </w:rPr>
        <w:t>   预算金额未达100万元的采购项目，由采购人处理采购争议。</w:t>
      </w:r>
    </w:p>
    <w:p>
      <w:pPr>
        <w:pStyle w:val="19"/>
        <w:spacing w:line="360" w:lineRule="auto"/>
        <w:ind w:firstLine="464" w:firstLineChars="200"/>
        <w:rPr>
          <w:rFonts w:hint="default" w:ascii="Times New Roman" w:hAnsi="Times New Roman"/>
          <w:sz w:val="24"/>
        </w:rPr>
      </w:pPr>
    </w:p>
    <w:p>
      <w:pPr>
        <w:pStyle w:val="19"/>
        <w:spacing w:line="360" w:lineRule="auto"/>
        <w:ind w:firstLine="464" w:firstLineChars="200"/>
        <w:rPr>
          <w:rFonts w:hint="default" w:ascii="Times New Roman" w:hAnsi="Times New Roman"/>
          <w:sz w:val="24"/>
        </w:rPr>
      </w:pPr>
      <w:r>
        <w:rPr>
          <w:rFonts w:ascii="Times New Roman" w:hAnsi="Times New Roman"/>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default"/>
          <w:kern w:val="0"/>
          <w:sz w:val="24"/>
        </w:rPr>
      </w:pPr>
      <w:r>
        <w:rPr>
          <w:kern w:val="0"/>
          <w:sz w:val="24"/>
        </w:rPr>
        <w:t>CA问题联系电话（人工）：汇信CA 400-888-4636；天谷CA 400-087-8198。</w:t>
      </w:r>
    </w:p>
    <w:p>
      <w:pPr>
        <w:pStyle w:val="19"/>
        <w:spacing w:line="360" w:lineRule="auto"/>
        <w:ind w:firstLine="344" w:firstLineChars="200"/>
        <w:jc w:val="center"/>
        <w:rPr>
          <w:rFonts w:hint="default" w:ascii="Times New Roman" w:hAnsi="Times New Roman"/>
          <w:b/>
          <w:sz w:val="36"/>
          <w:szCs w:val="36"/>
        </w:rPr>
      </w:pPr>
      <w:r>
        <w:rPr>
          <w:rFonts w:hint="default" w:ascii="Times New Roman" w:hAnsi="Times New Roman"/>
        </w:rPr>
        <w:br w:type="page"/>
      </w:r>
      <w:bookmarkStart w:id="27" w:name="_Toc18629"/>
      <w:r>
        <w:rPr>
          <w:rStyle w:val="141"/>
          <w:rFonts w:hint="default"/>
          <w:sz w:val="32"/>
          <w:szCs w:val="32"/>
        </w:rPr>
        <w:t>第二章  投标人须知</w:t>
      </w:r>
      <w:bookmarkEnd w:id="27"/>
    </w:p>
    <w:p>
      <w:pPr>
        <w:snapToGrid w:val="0"/>
        <w:spacing w:beforeLines="50" w:afterLines="50" w:line="360" w:lineRule="auto"/>
        <w:jc w:val="center"/>
        <w:outlineLvl w:val="1"/>
        <w:rPr>
          <w:rFonts w:hint="default"/>
          <w:b/>
          <w:sz w:val="30"/>
          <w:szCs w:val="30"/>
        </w:rPr>
      </w:pPr>
      <w:r>
        <w:rPr>
          <w:rFonts w:hint="default"/>
          <w:b/>
          <w:sz w:val="30"/>
          <w:szCs w:val="30"/>
        </w:rPr>
        <w:t>前附表</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40"/>
        <w:gridCol w:w="7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名  称</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项目名称</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eastAsia" w:eastAsia="宋体"/>
                <w:sz w:val="24"/>
                <w:szCs w:val="24"/>
                <w:lang w:eastAsia="zh-CN"/>
              </w:rPr>
            </w:pPr>
            <w:r>
              <w:rPr>
                <w:rFonts w:hint="eastAsia"/>
                <w:sz w:val="24"/>
                <w:szCs w:val="24"/>
                <w:lang w:eastAsia="zh-CN"/>
              </w:rPr>
              <w:t>数字化制造与检测技术中心数字化制造单元项目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2</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采购内</w:t>
            </w:r>
          </w:p>
          <w:p>
            <w:pPr>
              <w:snapToGrid w:val="0"/>
              <w:jc w:val="center"/>
              <w:rPr>
                <w:rFonts w:hint="default"/>
                <w:sz w:val="24"/>
                <w:szCs w:val="24"/>
              </w:rPr>
            </w:pPr>
            <w:r>
              <w:rPr>
                <w:rFonts w:hint="default"/>
                <w:sz w:val="24"/>
                <w:szCs w:val="24"/>
              </w:rPr>
              <w:t>容及数量</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sz w:val="24"/>
                <w:szCs w:val="24"/>
              </w:rPr>
            </w:pPr>
            <w:r>
              <w:rPr>
                <w:rFonts w:hint="default"/>
                <w:sz w:val="24"/>
                <w:szCs w:val="24"/>
              </w:rPr>
              <w:t>详见招标文件第四章采购内容及需求部分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3</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预算金额</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sz w:val="24"/>
                <w:szCs w:val="24"/>
              </w:rPr>
            </w:pPr>
            <w:r>
              <w:rPr>
                <w:rFonts w:hint="default"/>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4</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公告媒体</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sz w:val="24"/>
                <w:szCs w:val="24"/>
              </w:rPr>
            </w:pPr>
            <w:r>
              <w:rPr>
                <w:rFonts w:hint="default"/>
                <w:sz w:val="24"/>
                <w:szCs w:val="24"/>
              </w:rPr>
              <w:t>浙江政府采购网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5</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电子交</w:t>
            </w:r>
          </w:p>
          <w:p>
            <w:pPr>
              <w:snapToGrid w:val="0"/>
              <w:jc w:val="center"/>
              <w:rPr>
                <w:rFonts w:hint="default"/>
                <w:sz w:val="24"/>
                <w:szCs w:val="24"/>
              </w:rPr>
            </w:pPr>
            <w:r>
              <w:rPr>
                <w:rFonts w:hint="default"/>
                <w:sz w:val="24"/>
                <w:szCs w:val="24"/>
              </w:rPr>
              <w:t>易平台</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sz w:val="24"/>
                <w:szCs w:val="24"/>
              </w:rPr>
            </w:pPr>
            <w:r>
              <w:rPr>
                <w:rFonts w:hint="default"/>
                <w:sz w:val="24"/>
                <w:szCs w:val="24"/>
              </w:rPr>
              <w:t>政府采购云平台（www.zcygov.cn）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6</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投标报价</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ind w:left="360" w:hanging="360" w:hangingChars="150"/>
              <w:rPr>
                <w:rFonts w:hint="default"/>
                <w:sz w:val="24"/>
                <w:szCs w:val="24"/>
              </w:rPr>
            </w:pPr>
            <w:r>
              <w:rPr>
                <w:rFonts w:hint="default"/>
                <w:sz w:val="24"/>
                <w:szCs w:val="24"/>
              </w:rPr>
              <w:t>1、本项目应以人民币报价；</w:t>
            </w:r>
          </w:p>
          <w:p>
            <w:pPr>
              <w:snapToGrid w:val="0"/>
              <w:ind w:left="360" w:hanging="360" w:hangingChars="150"/>
              <w:rPr>
                <w:rFonts w:hint="default"/>
                <w:sz w:val="24"/>
                <w:szCs w:val="24"/>
              </w:rPr>
            </w:pPr>
            <w:r>
              <w:rPr>
                <w:rFonts w:hint="default"/>
                <w:sz w:val="24"/>
                <w:szCs w:val="24"/>
              </w:rPr>
              <w:t>2、不论采购结果如何，供应商均应自行承担所有与投标有关的全部费用。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7</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投标保证金</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ind w:left="360" w:hanging="360" w:hangingChars="150"/>
              <w:rPr>
                <w:rFonts w:hint="default"/>
                <w:b/>
                <w:sz w:val="24"/>
                <w:szCs w:val="24"/>
              </w:rPr>
            </w:pPr>
            <w:r>
              <w:rPr>
                <w:rFonts w:hint="default"/>
                <w:sz w:val="24"/>
                <w:szCs w:val="24"/>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8</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踏勘现场</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b/>
                <w:bCs/>
                <w:sz w:val="24"/>
                <w:szCs w:val="24"/>
              </w:rPr>
            </w:pPr>
            <w:r>
              <w:rPr>
                <w:rFonts w:hint="default"/>
                <w:b/>
                <w:bCs/>
                <w:sz w:val="24"/>
                <w:szCs w:val="24"/>
              </w:rPr>
              <w:sym w:font="Wingdings 2" w:char="00A3"/>
            </w:r>
            <w:r>
              <w:rPr>
                <w:rFonts w:hint="default"/>
                <w:b/>
                <w:bCs/>
                <w:sz w:val="24"/>
                <w:szCs w:val="24"/>
              </w:rPr>
              <w:t xml:space="preserve"> 组织（详细内容）</w:t>
            </w:r>
          </w:p>
          <w:p>
            <w:pPr>
              <w:snapToGrid w:val="0"/>
              <w:rPr>
                <w:rFonts w:hint="default"/>
                <w:b/>
                <w:bCs/>
                <w:sz w:val="24"/>
                <w:szCs w:val="24"/>
              </w:rPr>
            </w:pPr>
            <w:r>
              <w:rPr>
                <w:rFonts w:hint="default"/>
                <w:b/>
                <w:bCs/>
                <w:sz w:val="24"/>
                <w:szCs w:val="24"/>
              </w:rPr>
              <w:sym w:font="Wingdings 2" w:char="0052"/>
            </w:r>
            <w:r>
              <w:rPr>
                <w:rFonts w:hint="default"/>
                <w:b/>
                <w:bCs/>
                <w:sz w:val="24"/>
                <w:szCs w:val="24"/>
              </w:rPr>
              <w:t>不组织</w:t>
            </w:r>
            <w:r>
              <w:rPr>
                <w:b/>
                <w:bCs/>
                <w:sz w:val="24"/>
                <w:szCs w:val="24"/>
              </w:rPr>
              <w:t>，</w:t>
            </w:r>
            <w:r>
              <w:rPr>
                <w:rFonts w:hint="default"/>
                <w:b/>
                <w:bCs/>
                <w:sz w:val="24"/>
                <w:szCs w:val="24"/>
              </w:rPr>
              <w:t>投标人自行现场踏勘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9</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default"/>
                <w:sz w:val="24"/>
                <w:szCs w:val="24"/>
              </w:rPr>
            </w:pPr>
            <w:r>
              <w:rPr>
                <w:rFonts w:ascii="宋体" w:hAnsi="宋体" w:cs="宋体"/>
                <w:sz w:val="24"/>
                <w:szCs w:val="24"/>
              </w:rPr>
              <w:t>样品</w:t>
            </w:r>
          </w:p>
        </w:tc>
        <w:tc>
          <w:tcPr>
            <w:tcW w:w="71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default" w:ascii="宋体" w:hAnsi="宋体" w:cs="宋体"/>
                <w:sz w:val="24"/>
                <w:szCs w:val="24"/>
              </w:rPr>
            </w:pPr>
            <w:r>
              <w:rPr>
                <w:rFonts w:ascii="宋体" w:hAnsi="宋体" w:cs="宋体"/>
                <w:sz w:val="24"/>
                <w:szCs w:val="24"/>
              </w:rPr>
              <w:t>□ 提供（详细内容）</w:t>
            </w:r>
          </w:p>
          <w:p>
            <w:pPr>
              <w:adjustRightInd w:val="0"/>
              <w:snapToGrid w:val="0"/>
              <w:spacing w:line="320" w:lineRule="exact"/>
              <w:rPr>
                <w:rFonts w:hint="default"/>
                <w:b/>
                <w:bCs/>
                <w:sz w:val="24"/>
                <w:szCs w:val="24"/>
              </w:rPr>
            </w:pPr>
            <w:r>
              <w:rPr>
                <w:rFonts w:ascii="宋体" w:hAnsi="宋体" w:cs="宋体"/>
                <w:sz w:val="24"/>
                <w:szCs w:val="24"/>
              </w:rPr>
              <w:t>☑ 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10</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default"/>
                <w:sz w:val="24"/>
                <w:szCs w:val="24"/>
              </w:rPr>
            </w:pPr>
            <w:r>
              <w:rPr>
                <w:rFonts w:ascii="宋体" w:hAnsi="宋体" w:cs="宋体"/>
                <w:sz w:val="24"/>
                <w:szCs w:val="24"/>
              </w:rPr>
              <w:t>演示</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宋体" w:hAnsi="宋体" w:cs="宋体"/>
                <w:b/>
                <w:bCs/>
                <w:sz w:val="24"/>
                <w:szCs w:val="24"/>
              </w:rPr>
            </w:pPr>
            <w:r>
              <w:rPr>
                <w:rFonts w:ascii="宋体" w:hAnsi="宋体" w:cs="宋体"/>
                <w:sz w:val="24"/>
                <w:szCs w:val="24"/>
              </w:rPr>
              <w:sym w:font="Wingdings" w:char="00FE"/>
            </w:r>
            <w:r>
              <w:rPr>
                <w:rFonts w:ascii="宋体" w:hAnsi="宋体" w:cs="宋体"/>
                <w:sz w:val="24"/>
                <w:szCs w:val="24"/>
              </w:rPr>
              <w:t>要求：</w:t>
            </w:r>
            <w:r>
              <w:rPr>
                <w:rFonts w:ascii="宋体" w:hAnsi="宋体" w:cs="宋体"/>
                <w:b/>
                <w:bCs/>
                <w:sz w:val="24"/>
                <w:szCs w:val="24"/>
              </w:rPr>
              <w:t>提供所投的采购要求演示视频，时长不超过15分钟，演示文件格式要求为：MP4或AVI，用U盘介质提交，U盘要符合NTFS或者FAT32的格式，不能打开识别的视频文件其风险由投标人自行承担。</w:t>
            </w:r>
          </w:p>
          <w:p>
            <w:pPr>
              <w:snapToGrid w:val="0"/>
              <w:spacing w:line="360" w:lineRule="auto"/>
              <w:rPr>
                <w:rFonts w:hint="default" w:ascii="宋体" w:hAnsi="宋体" w:cs="宋体"/>
                <w:sz w:val="24"/>
                <w:szCs w:val="24"/>
              </w:rPr>
            </w:pPr>
            <w:r>
              <w:rPr>
                <w:rFonts w:ascii="宋体" w:hAnsi="宋体" w:cs="宋体"/>
                <w:b/>
                <w:bCs/>
                <w:sz w:val="24"/>
                <w:szCs w:val="24"/>
              </w:rPr>
              <w:t>功能演示视频在投标截止时间前与“备份投标文件”一同密封递交，或单独密封递交。（功能演示视频可以用邮寄方式（时间以收到时间为准），邮寄地址：</w:t>
            </w:r>
            <w:r>
              <w:rPr>
                <w:rFonts w:hint="default" w:ascii="宋体" w:hAnsi="宋体" w:cs="宋体"/>
                <w:b/>
                <w:bCs/>
                <w:sz w:val="24"/>
                <w:szCs w:val="24"/>
              </w:rPr>
              <w:t>杭州市拱墅区大关路179号远洋国际中心A座17楼1706室</w:t>
            </w:r>
            <w:r>
              <w:rPr>
                <w:rFonts w:ascii="宋体" w:hAnsi="宋体" w:cs="宋体"/>
                <w:b/>
                <w:bCs/>
                <w:sz w:val="24"/>
                <w:szCs w:val="24"/>
              </w:rPr>
              <w:t>，</w:t>
            </w:r>
            <w:r>
              <w:rPr>
                <w:rFonts w:hint="default" w:ascii="宋体" w:hAnsi="宋体" w:cs="宋体"/>
                <w:b/>
                <w:bCs/>
                <w:sz w:val="24"/>
                <w:szCs w:val="24"/>
              </w:rPr>
              <w:t>收件人：</w:t>
            </w:r>
            <w:r>
              <w:rPr>
                <w:rFonts w:ascii="宋体" w:hAnsi="宋体" w:cs="宋体"/>
                <w:b/>
                <w:bCs/>
                <w:sz w:val="24"/>
                <w:szCs w:val="24"/>
              </w:rPr>
              <w:t>陶传林</w:t>
            </w:r>
            <w:r>
              <w:rPr>
                <w:rFonts w:hint="default" w:ascii="宋体" w:hAnsi="宋体" w:cs="宋体"/>
                <w:b/>
                <w:bCs/>
                <w:sz w:val="24"/>
                <w:szCs w:val="24"/>
              </w:rPr>
              <w:t>，18258122886</w:t>
            </w:r>
            <w:r>
              <w:rPr>
                <w:rFonts w:ascii="宋体" w:hAnsi="宋体" w:cs="宋体"/>
                <w:b/>
                <w:bCs/>
                <w:sz w:val="24"/>
                <w:szCs w:val="24"/>
              </w:rPr>
              <w:t>）</w:t>
            </w:r>
            <w:bookmarkStart w:id="144" w:name="_GoBack"/>
            <w:bookmarkEnd w:id="144"/>
          </w:p>
          <w:p>
            <w:pPr>
              <w:pStyle w:val="2"/>
              <w:autoSpaceDE/>
              <w:autoSpaceDN/>
              <w:snapToGrid w:val="0"/>
              <w:spacing w:line="240" w:lineRule="auto"/>
              <w:ind w:firstLine="0"/>
              <w:rPr>
                <w:rFonts w:hint="default"/>
                <w:sz w:val="24"/>
                <w:szCs w:val="24"/>
              </w:rPr>
            </w:pPr>
            <w:r>
              <w:rPr>
                <w:rFonts w:hAnsi="宋体" w:cs="宋体"/>
                <w:sz w:val="24"/>
                <w:szCs w:val="24"/>
              </w:rPr>
              <w:t>□</w:t>
            </w:r>
            <w:r>
              <w:rPr>
                <w:rFonts w:hAnsi="宋体" w:cs="宋体"/>
                <w:sz w:val="24"/>
                <w:szCs w:val="24"/>
                <w:lang w:val="en-US"/>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1</w:t>
            </w:r>
            <w:r>
              <w:rPr>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投标文</w:t>
            </w:r>
          </w:p>
          <w:p>
            <w:pPr>
              <w:snapToGrid w:val="0"/>
              <w:jc w:val="center"/>
              <w:rPr>
                <w:rFonts w:hint="default"/>
                <w:sz w:val="24"/>
                <w:szCs w:val="24"/>
              </w:rPr>
            </w:pPr>
            <w:r>
              <w:rPr>
                <w:rFonts w:hint="default"/>
                <w:sz w:val="24"/>
                <w:szCs w:val="24"/>
              </w:rPr>
              <w:t>件组成</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sz w:val="24"/>
                <w:szCs w:val="24"/>
              </w:rPr>
            </w:pPr>
            <w:r>
              <w:rPr>
                <w:rFonts w:hint="default"/>
                <w:sz w:val="24"/>
                <w:szCs w:val="24"/>
              </w:rPr>
              <w:t>投标文件由资格证明文件、商务技术文件、报价文件三部分组成。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1</w:t>
            </w:r>
            <w:r>
              <w:rPr>
                <w:sz w:val="24"/>
                <w:szCs w:val="24"/>
              </w:rPr>
              <w:t>2</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投标文件</w:t>
            </w:r>
          </w:p>
          <w:p>
            <w:pPr>
              <w:snapToGrid w:val="0"/>
              <w:jc w:val="center"/>
              <w:rPr>
                <w:rFonts w:hint="default"/>
                <w:sz w:val="24"/>
                <w:szCs w:val="24"/>
              </w:rPr>
            </w:pPr>
            <w:r>
              <w:rPr>
                <w:rFonts w:hint="default"/>
                <w:sz w:val="24"/>
                <w:szCs w:val="24"/>
              </w:rPr>
              <w:t>的编制</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361" w:hanging="361" w:hangingChars="150"/>
              <w:jc w:val="left"/>
              <w:rPr>
                <w:rFonts w:hint="default"/>
                <w:b/>
                <w:bCs/>
                <w:sz w:val="24"/>
                <w:szCs w:val="24"/>
              </w:rPr>
            </w:pPr>
            <w:r>
              <w:rPr>
                <w:rFonts w:hint="default"/>
                <w:b/>
                <w:bCs/>
                <w:sz w:val="24"/>
                <w:szCs w:val="24"/>
              </w:rPr>
              <w:t>1、“电子加密投标文件”：</w:t>
            </w:r>
          </w:p>
          <w:p>
            <w:pPr>
              <w:autoSpaceDE w:val="0"/>
              <w:autoSpaceDN w:val="0"/>
              <w:adjustRightInd w:val="0"/>
              <w:jc w:val="left"/>
              <w:rPr>
                <w:rFonts w:hint="default"/>
                <w:b/>
                <w:bCs/>
                <w:sz w:val="24"/>
                <w:szCs w:val="24"/>
              </w:rPr>
            </w:pPr>
            <w:r>
              <w:rPr>
                <w:rFonts w:hint="default"/>
                <w:b/>
                <w:bCs/>
                <w:sz w:val="24"/>
                <w:szCs w:val="24"/>
              </w:rPr>
              <w:t>（1）“电子加密投标文件”是指通过“政采云电子交易客户端”完成投标文件编制后生成并加密的数据电文形式的投标文件。</w:t>
            </w:r>
          </w:p>
          <w:p>
            <w:pPr>
              <w:rPr>
                <w:rFonts w:hint="default"/>
                <w:b/>
                <w:bCs/>
                <w:sz w:val="24"/>
                <w:szCs w:val="24"/>
              </w:rPr>
            </w:pPr>
            <w:r>
              <w:rPr>
                <w:rFonts w:hint="default"/>
                <w:b/>
                <w:bCs/>
                <w:sz w:val="24"/>
                <w:szCs w:val="24"/>
              </w:rPr>
              <w:t>（2）供应商应先安装“政采云电子交易客户端”，并按照本招标文件和“政府采购云平台”的要求，通过“政采云电子交易客户端”编制并加密投标文件。</w:t>
            </w:r>
          </w:p>
          <w:p>
            <w:pPr>
              <w:ind w:left="361" w:hanging="361" w:hangingChars="150"/>
              <w:rPr>
                <w:rFonts w:hint="default"/>
                <w:b/>
                <w:bCs/>
                <w:sz w:val="24"/>
                <w:szCs w:val="24"/>
              </w:rPr>
            </w:pPr>
            <w:r>
              <w:rPr>
                <w:rFonts w:hint="default"/>
                <w:b/>
                <w:bCs/>
                <w:sz w:val="24"/>
                <w:szCs w:val="24"/>
              </w:rPr>
              <w:t>2、“电子备份投标文件”：</w:t>
            </w:r>
          </w:p>
          <w:p>
            <w:pPr>
              <w:rPr>
                <w:rFonts w:hint="default"/>
                <w:b/>
                <w:bCs/>
                <w:sz w:val="24"/>
                <w:szCs w:val="24"/>
              </w:rPr>
            </w:pPr>
            <w:r>
              <w:rPr>
                <w:rFonts w:hint="default"/>
                <w:b/>
                <w:bCs/>
                <w:sz w:val="24"/>
                <w:szCs w:val="24"/>
              </w:rPr>
              <w:t>（1）“电子备份投标文件”是指与“电子加密投标文件”同时生成的数据电文形式的电子文件。</w:t>
            </w:r>
          </w:p>
          <w:p>
            <w:pPr>
              <w:ind w:left="361" w:hanging="361" w:hangingChars="150"/>
              <w:rPr>
                <w:rFonts w:hint="default"/>
                <w:b/>
                <w:bCs/>
                <w:sz w:val="24"/>
                <w:szCs w:val="24"/>
              </w:rPr>
            </w:pPr>
            <w:r>
              <w:rPr>
                <w:rFonts w:hint="default"/>
                <w:b/>
                <w:bCs/>
                <w:sz w:val="24"/>
                <w:szCs w:val="24"/>
              </w:rPr>
              <w:t>（2）供应商可自主选择是否编制“电子备份投标文件”。</w:t>
            </w:r>
          </w:p>
          <w:p>
            <w:pPr>
              <w:rPr>
                <w:rFonts w:hint="default"/>
                <w:sz w:val="24"/>
                <w:szCs w:val="24"/>
              </w:rPr>
            </w:pPr>
            <w:r>
              <w:rPr>
                <w:rFonts w:hint="default"/>
                <w:b/>
                <w:bCs/>
                <w:sz w:val="24"/>
                <w:szCs w:val="24"/>
              </w:rPr>
              <w:t>（3）其他方式编制的备份投标文件视为无效备份投标文件</w:t>
            </w:r>
            <w:r>
              <w:rPr>
                <w:rFonts w:hint="default"/>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1</w:t>
            </w:r>
            <w:r>
              <w:rPr>
                <w:sz w:val="24"/>
                <w:szCs w:val="24"/>
              </w:rPr>
              <w:t>3</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投标文件</w:t>
            </w:r>
          </w:p>
          <w:p>
            <w:pPr>
              <w:snapToGrid w:val="0"/>
              <w:jc w:val="center"/>
              <w:rPr>
                <w:rFonts w:hint="default"/>
                <w:sz w:val="24"/>
                <w:szCs w:val="24"/>
              </w:rPr>
            </w:pPr>
            <w:r>
              <w:rPr>
                <w:rFonts w:hint="default"/>
                <w:sz w:val="24"/>
                <w:szCs w:val="24"/>
              </w:rPr>
              <w:t>的签章</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hint="default"/>
                <w:sz w:val="24"/>
                <w:szCs w:val="24"/>
              </w:rPr>
            </w:pPr>
            <w:r>
              <w:rPr>
                <w:rFonts w:hint="default"/>
                <w:sz w:val="24"/>
                <w:szCs w:val="24"/>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1</w:t>
            </w:r>
            <w:r>
              <w:rPr>
                <w:sz w:val="24"/>
                <w:szCs w:val="24"/>
              </w:rPr>
              <w:t>4</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投标文件</w:t>
            </w:r>
          </w:p>
          <w:p>
            <w:pPr>
              <w:snapToGrid w:val="0"/>
              <w:jc w:val="center"/>
              <w:rPr>
                <w:rFonts w:hint="default"/>
                <w:sz w:val="24"/>
                <w:szCs w:val="24"/>
              </w:rPr>
            </w:pPr>
            <w:r>
              <w:rPr>
                <w:rFonts w:hint="default"/>
                <w:sz w:val="24"/>
                <w:szCs w:val="24"/>
              </w:rPr>
              <w:t>的包装、密封和递交</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sz w:val="24"/>
                <w:szCs w:val="24"/>
              </w:rPr>
            </w:pPr>
            <w:r>
              <w:rPr>
                <w:rFonts w:hint="default"/>
                <w:sz w:val="24"/>
                <w:szCs w:val="24"/>
              </w:rPr>
              <w:t>1、“电子加密投标文件”的递交：在线上传递交。</w:t>
            </w:r>
          </w:p>
          <w:p>
            <w:pPr>
              <w:rPr>
                <w:rFonts w:hint="default"/>
                <w:b/>
                <w:bCs/>
                <w:sz w:val="24"/>
                <w:szCs w:val="24"/>
              </w:rPr>
            </w:pPr>
            <w:r>
              <w:rPr>
                <w:rFonts w:hint="default"/>
                <w:b/>
                <w:bCs/>
                <w:sz w:val="24"/>
                <w:szCs w:val="24"/>
              </w:rPr>
              <w:t>（1）供应商应在投标截止时间前将“电子加密投标文件”成功上传递交至“政府采购云平台”，否则投标无效。</w:t>
            </w:r>
          </w:p>
          <w:p>
            <w:pPr>
              <w:rPr>
                <w:rFonts w:hint="default"/>
                <w:sz w:val="24"/>
                <w:szCs w:val="24"/>
              </w:rPr>
            </w:pPr>
            <w:r>
              <w:rPr>
                <w:rFonts w:hint="default"/>
                <w:sz w:val="24"/>
                <w:szCs w:val="24"/>
              </w:rPr>
              <w:t>（2）“电子加密投标文件”成功上传递交后，供应商可自行打印投标文件接收回执。</w:t>
            </w:r>
          </w:p>
          <w:p>
            <w:pPr>
              <w:rPr>
                <w:rFonts w:hint="default"/>
                <w:sz w:val="24"/>
                <w:szCs w:val="24"/>
              </w:rPr>
            </w:pPr>
            <w:r>
              <w:rPr>
                <w:rFonts w:hint="default"/>
                <w:sz w:val="24"/>
                <w:szCs w:val="24"/>
              </w:rPr>
              <w:t>2、“电子备份投标文件”的密封、包装和递交：</w:t>
            </w:r>
          </w:p>
          <w:p>
            <w:pPr>
              <w:rPr>
                <w:rFonts w:hint="default"/>
                <w:sz w:val="24"/>
                <w:szCs w:val="24"/>
              </w:rPr>
            </w:pPr>
            <w:r>
              <w:rPr>
                <w:rFonts w:hint="default"/>
                <w:sz w:val="24"/>
                <w:szCs w:val="24"/>
              </w:rPr>
              <w:t>（1）供应商可自主选择是否递交“电子备份投标文件”。</w:t>
            </w:r>
          </w:p>
          <w:p>
            <w:pPr>
              <w:rPr>
                <w:rFonts w:hint="default"/>
                <w:sz w:val="24"/>
                <w:szCs w:val="24"/>
              </w:rPr>
            </w:pPr>
            <w:r>
              <w:rPr>
                <w:rFonts w:hint="default"/>
                <w:sz w:val="24"/>
                <w:szCs w:val="24"/>
              </w:rPr>
              <w:t>（2）“电子备份投标文件”存入U盘（一份）。</w:t>
            </w:r>
          </w:p>
          <w:p>
            <w:pPr>
              <w:rPr>
                <w:rFonts w:hint="default"/>
                <w:sz w:val="24"/>
                <w:szCs w:val="24"/>
              </w:rPr>
            </w:pPr>
            <w:r>
              <w:rPr>
                <w:rFonts w:hint="default"/>
                <w:sz w:val="24"/>
                <w:szCs w:val="24"/>
              </w:rPr>
              <w:t>（3）“电子备份投标文件” 应在投标截止时间前以邮寄或送达方式递交：邮寄或送达地址：杭州市拱墅区大关路179号远洋国际中心A座17楼1706室，收件人：</w:t>
            </w:r>
            <w:r>
              <w:rPr>
                <w:sz w:val="24"/>
                <w:szCs w:val="24"/>
              </w:rPr>
              <w:t>陶传林</w:t>
            </w:r>
            <w:r>
              <w:rPr>
                <w:rFonts w:hint="default"/>
                <w:sz w:val="24"/>
                <w:szCs w:val="24"/>
              </w:rPr>
              <w:t>，</w:t>
            </w:r>
            <w:r>
              <w:rPr>
                <w:sz w:val="24"/>
                <w:szCs w:val="24"/>
              </w:rPr>
              <w:t>18258122886</w:t>
            </w:r>
            <w:r>
              <w:rPr>
                <w:rFonts w:hint="default"/>
                <w:sz w:val="24"/>
                <w:szCs w:val="24"/>
              </w:rPr>
              <w:t>。</w:t>
            </w:r>
          </w:p>
          <w:p>
            <w:pPr>
              <w:rPr>
                <w:rFonts w:hint="default"/>
                <w:sz w:val="24"/>
                <w:szCs w:val="24"/>
              </w:rPr>
            </w:pPr>
            <w:r>
              <w:rPr>
                <w:rFonts w:hint="default"/>
                <w:sz w:val="24"/>
                <w:szCs w:val="24"/>
              </w:rPr>
              <w:t>（4）“电子备份投标文件”应当密封包装，并在包装上标注投标项目编号、项目名称、投标单位名称等并加盖公章（详见第六章投标文件格式）。没有密封包装或者逾期送达至指定地点的“电子备份投标文件”将不予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1</w:t>
            </w:r>
            <w:r>
              <w:rPr>
                <w:sz w:val="24"/>
                <w:szCs w:val="24"/>
              </w:rPr>
              <w:t>5</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投标截止</w:t>
            </w:r>
          </w:p>
          <w:p>
            <w:pPr>
              <w:snapToGrid w:val="0"/>
              <w:jc w:val="center"/>
              <w:rPr>
                <w:rFonts w:hint="default"/>
                <w:sz w:val="24"/>
                <w:szCs w:val="24"/>
              </w:rPr>
            </w:pPr>
            <w:r>
              <w:rPr>
                <w:rFonts w:hint="default"/>
                <w:sz w:val="24"/>
                <w:szCs w:val="24"/>
              </w:rPr>
              <w:t>时间和地址</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sz w:val="24"/>
                <w:szCs w:val="24"/>
              </w:rPr>
            </w:pPr>
            <w:r>
              <w:rPr>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1</w:t>
            </w:r>
            <w:r>
              <w:rPr>
                <w:sz w:val="24"/>
                <w:szCs w:val="24"/>
              </w:rPr>
              <w:t>6</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开标时</w:t>
            </w:r>
          </w:p>
          <w:p>
            <w:pPr>
              <w:snapToGrid w:val="0"/>
              <w:jc w:val="center"/>
              <w:rPr>
                <w:rFonts w:hint="default"/>
                <w:sz w:val="24"/>
                <w:szCs w:val="24"/>
              </w:rPr>
            </w:pPr>
            <w:r>
              <w:rPr>
                <w:rFonts w:hint="default"/>
                <w:sz w:val="24"/>
                <w:szCs w:val="24"/>
              </w:rPr>
              <w:t>间和地址</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sz w:val="24"/>
                <w:szCs w:val="24"/>
              </w:rPr>
            </w:pPr>
            <w:r>
              <w:rPr>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1</w:t>
            </w:r>
            <w:r>
              <w:rPr>
                <w:sz w:val="24"/>
                <w:szCs w:val="24"/>
              </w:rPr>
              <w:t>7</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开标</w:t>
            </w:r>
          </w:p>
        </w:tc>
        <w:tc>
          <w:tcPr>
            <w:tcW w:w="7142" w:type="dxa"/>
            <w:tcBorders>
              <w:top w:val="single" w:color="auto" w:sz="4" w:space="0"/>
              <w:left w:val="single" w:color="auto" w:sz="4" w:space="0"/>
              <w:bottom w:val="single" w:color="auto" w:sz="4" w:space="0"/>
              <w:right w:val="single" w:color="auto" w:sz="4" w:space="0"/>
            </w:tcBorders>
            <w:vAlign w:val="center"/>
          </w:tcPr>
          <w:p>
            <w:pPr>
              <w:rPr>
                <w:rFonts w:hint="default"/>
                <w:sz w:val="24"/>
                <w:szCs w:val="24"/>
              </w:rPr>
            </w:pPr>
            <w:r>
              <w:rPr>
                <w:rFonts w:hint="default"/>
                <w:sz w:val="24"/>
                <w:szCs w:val="24"/>
              </w:rPr>
              <w:t>1、采购组织机构（即代理机构）按照招标文件规定的时间通过电子交易平台组织开标，所有投标供应商均应当准时在线参加。</w:t>
            </w:r>
          </w:p>
          <w:p>
            <w:pPr>
              <w:rPr>
                <w:rFonts w:hint="default"/>
                <w:sz w:val="24"/>
                <w:szCs w:val="24"/>
              </w:rPr>
            </w:pPr>
            <w:r>
              <w:rPr>
                <w:rFonts w:hint="default"/>
                <w:sz w:val="24"/>
                <w:szCs w:val="24"/>
              </w:rPr>
              <w:t>2、开标时间后，采购组织机构将向各投标供应商发出“电子加密投标文件”的解密通知，各投标供应商代表应当在接到解密通知后</w:t>
            </w:r>
            <w:r>
              <w:rPr>
                <w:rFonts w:hint="default"/>
                <w:i/>
                <w:sz w:val="24"/>
                <w:szCs w:val="24"/>
                <w:u w:val="single"/>
              </w:rPr>
              <w:t>30</w:t>
            </w:r>
            <w:r>
              <w:rPr>
                <w:rFonts w:hint="default"/>
                <w:sz w:val="24"/>
                <w:szCs w:val="24"/>
              </w:rPr>
              <w:t>分钟内自行完成“电子加密投标文件”的在线解密。</w:t>
            </w:r>
          </w:p>
          <w:p>
            <w:pPr>
              <w:rPr>
                <w:rFonts w:hint="default"/>
                <w:sz w:val="24"/>
                <w:szCs w:val="24"/>
              </w:rPr>
            </w:pPr>
            <w:r>
              <w:rPr>
                <w:rFonts w:hint="default"/>
                <w:sz w:val="24"/>
                <w:szCs w:val="24"/>
              </w:rPr>
              <w:t>3、通过“政府采购云平台”上传递交的“电子加密投标文件”已按时解密的，“电子备份投标文件”自动失效。</w:t>
            </w:r>
          </w:p>
          <w:p>
            <w:pPr>
              <w:rPr>
                <w:rFonts w:hint="default"/>
                <w:sz w:val="24"/>
                <w:szCs w:val="24"/>
              </w:rPr>
            </w:pPr>
            <w:r>
              <w:rPr>
                <w:rFonts w:hint="default"/>
                <w:sz w:val="24"/>
                <w:szCs w:val="24"/>
              </w:rPr>
              <w:t>4、通过“政府采购云平台”上传递交的“电子加密投标文件”无法按时解密的，如投标供应商按规定递交“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snapToGrid w:val="0"/>
              <w:rPr>
                <w:rFonts w:hint="default"/>
                <w:sz w:val="24"/>
                <w:szCs w:val="24"/>
              </w:rPr>
            </w:pPr>
            <w:r>
              <w:rPr>
                <w:rFonts w:hint="default"/>
                <w:sz w:val="24"/>
                <w:szCs w:val="24"/>
              </w:rPr>
              <w:t>5</w:t>
            </w:r>
            <w:r>
              <w:rPr>
                <w:rFonts w:hint="default"/>
                <w:b/>
                <w:bCs/>
                <w:sz w:val="24"/>
                <w:szCs w:val="24"/>
              </w:rPr>
              <w:t>、投标截止时间前，投标供应商仅递交了“电子备份投标文件”而未将“电子加密投标文件”上传至“政府采购云平台”的，投标无效。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1</w:t>
            </w:r>
            <w:r>
              <w:rPr>
                <w:sz w:val="24"/>
                <w:szCs w:val="24"/>
              </w:rPr>
              <w:t>8</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评标办法</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sz w:val="24"/>
                <w:szCs w:val="24"/>
              </w:rPr>
            </w:pPr>
            <w:r>
              <w:rPr>
                <w:rFonts w:hint="default"/>
                <w:sz w:val="24"/>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sz w:val="24"/>
                <w:szCs w:val="24"/>
              </w:rPr>
              <w:t>19</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投标文件</w:t>
            </w:r>
          </w:p>
          <w:p>
            <w:pPr>
              <w:snapToGrid w:val="0"/>
              <w:jc w:val="center"/>
              <w:rPr>
                <w:rFonts w:hint="default"/>
                <w:sz w:val="24"/>
                <w:szCs w:val="24"/>
              </w:rPr>
            </w:pPr>
            <w:r>
              <w:rPr>
                <w:rFonts w:hint="default"/>
                <w:sz w:val="24"/>
                <w:szCs w:val="24"/>
              </w:rPr>
              <w:t>有效期</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sz w:val="24"/>
                <w:szCs w:val="24"/>
              </w:rPr>
            </w:pPr>
            <w:r>
              <w:rPr>
                <w:rFonts w:hint="default"/>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2</w:t>
            </w:r>
            <w:r>
              <w:rPr>
                <w:sz w:val="24"/>
                <w:szCs w:val="24"/>
              </w:rPr>
              <w:t>0</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采购进</w:t>
            </w:r>
          </w:p>
          <w:p>
            <w:pPr>
              <w:snapToGrid w:val="0"/>
              <w:jc w:val="center"/>
              <w:rPr>
                <w:rFonts w:hint="default"/>
                <w:sz w:val="24"/>
                <w:szCs w:val="24"/>
              </w:rPr>
            </w:pPr>
            <w:r>
              <w:rPr>
                <w:rFonts w:hint="default"/>
                <w:sz w:val="24"/>
                <w:szCs w:val="24"/>
              </w:rPr>
              <w:t>口产品</w:t>
            </w:r>
          </w:p>
        </w:tc>
        <w:tc>
          <w:tcPr>
            <w:tcW w:w="714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beforeLines="0" w:afterLines="0" w:line="320" w:lineRule="exact"/>
              <w:jc w:val="left"/>
              <w:rPr>
                <w:rFonts w:hint="default" w:hAnsi="宋体" w:cs="宋体"/>
                <w:szCs w:val="24"/>
              </w:rPr>
            </w:pPr>
            <w:r>
              <w:rPr>
                <w:rFonts w:hAnsi="宋体" w:cs="宋体"/>
                <w:szCs w:val="24"/>
              </w:rPr>
              <w:sym w:font="Wingdings 2" w:char="0052"/>
            </w:r>
            <w:r>
              <w:rPr>
                <w:rFonts w:hAnsi="宋体" w:cs="宋体"/>
                <w:szCs w:val="24"/>
              </w:rPr>
              <w:t>本项目不允许采购进口产品</w:t>
            </w:r>
          </w:p>
          <w:p>
            <w:pPr>
              <w:pStyle w:val="10"/>
              <w:adjustRightInd w:val="0"/>
              <w:snapToGrid w:val="0"/>
              <w:spacing w:beforeLines="0" w:afterLines="0" w:line="240" w:lineRule="auto"/>
              <w:jc w:val="left"/>
              <w:rPr>
                <w:rFonts w:hint="default" w:ascii="Times New Roman" w:hAnsi="Times New Roman"/>
                <w:szCs w:val="24"/>
              </w:rPr>
            </w:pPr>
            <w:r>
              <w:rPr>
                <w:rFonts w:hAnsi="宋体" w:cs="宋体"/>
                <w:szCs w:val="24"/>
              </w:rPr>
              <w:sym w:font="Wingdings 2" w:char="00A3"/>
            </w:r>
            <w:r>
              <w:rPr>
                <w:rFonts w:hAnsi="宋体" w:cs="宋体"/>
                <w:szCs w:val="24"/>
              </w:rPr>
              <w:t>本项目允许采购进口产品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2</w:t>
            </w:r>
            <w:r>
              <w:rPr>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节能产品、环境标志产品</w:t>
            </w:r>
          </w:p>
        </w:tc>
        <w:tc>
          <w:tcPr>
            <w:tcW w:w="714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beforeLines="0" w:afterLines="0" w:line="240" w:lineRule="auto"/>
              <w:jc w:val="left"/>
              <w:rPr>
                <w:rFonts w:hint="default" w:ascii="Times New Roman" w:hAnsi="Times New Roman"/>
                <w:szCs w:val="24"/>
              </w:rPr>
            </w:pPr>
            <w:r>
              <w:rPr>
                <w:rFonts w:ascii="Times New Roman" w:hAnsi="Times New Roman"/>
                <w:szCs w:val="24"/>
              </w:rPr>
              <w:sym w:font="Wingdings 2" w:char="0052"/>
            </w:r>
            <w:r>
              <w:rPr>
                <w:rFonts w:ascii="Times New Roman" w:hAnsi="Times New Roman"/>
                <w:szCs w:val="24"/>
              </w:rPr>
              <w:t xml:space="preserve">适用 </w:t>
            </w:r>
            <w:r>
              <w:rPr>
                <w:rFonts w:hAnsi="宋体" w:cs="宋体"/>
                <w:szCs w:val="24"/>
              </w:rPr>
              <w:sym w:font="Wingdings 2" w:char="00A3"/>
            </w:r>
            <w:r>
              <w:rPr>
                <w:rFonts w:hAnsi="宋体" w:cs="宋体"/>
                <w:szCs w:val="24"/>
              </w:rPr>
              <w:t>不适用</w:t>
            </w:r>
          </w:p>
          <w:p>
            <w:pPr>
              <w:pStyle w:val="10"/>
              <w:adjustRightInd w:val="0"/>
              <w:snapToGrid w:val="0"/>
              <w:spacing w:beforeLines="0" w:afterLines="0" w:line="240" w:lineRule="auto"/>
              <w:jc w:val="left"/>
              <w:rPr>
                <w:rFonts w:hint="default" w:ascii="Times New Roman" w:hAnsi="Times New Roman"/>
                <w:szCs w:val="24"/>
              </w:rPr>
            </w:pPr>
            <w:r>
              <w:rPr>
                <w:rFonts w:hint="default" w:ascii="Times New Roman" w:hAnsi="Times New Roman"/>
                <w:szCs w:val="24"/>
              </w:rPr>
              <w:t>（1）严格执行《财政部 发展改革委 生态环境部 市场监管总局关于调整优化节能产品、环境标志产品政府采购执行机制的通知》（财库〔2019〕9号）。</w:t>
            </w:r>
          </w:p>
          <w:p>
            <w:pPr>
              <w:pStyle w:val="10"/>
              <w:adjustRightInd w:val="0"/>
              <w:snapToGrid w:val="0"/>
              <w:spacing w:beforeLines="0" w:afterLines="0" w:line="240" w:lineRule="auto"/>
              <w:jc w:val="left"/>
              <w:rPr>
                <w:rFonts w:hint="default" w:ascii="Times New Roman" w:hAnsi="Times New Roman"/>
                <w:szCs w:val="24"/>
              </w:rPr>
            </w:pPr>
            <w:r>
              <w:rPr>
                <w:rFonts w:hint="default" w:ascii="Times New Roman" w:hAnsi="Times New Roman"/>
                <w:szCs w:val="24"/>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pStyle w:val="10"/>
              <w:adjustRightInd w:val="0"/>
              <w:snapToGrid w:val="0"/>
              <w:spacing w:beforeLines="0" w:afterLines="0" w:line="240" w:lineRule="auto"/>
              <w:jc w:val="left"/>
              <w:rPr>
                <w:rFonts w:hint="default" w:ascii="Times New Roman" w:hAnsi="Times New Roman"/>
                <w:b/>
                <w:bCs/>
                <w:szCs w:val="24"/>
                <w:u w:val="single"/>
              </w:rPr>
            </w:pPr>
            <w:r>
              <w:rPr>
                <w:rFonts w:hint="default" w:ascii="Times New Roman" w:hAnsi="Times New Roman"/>
                <w:szCs w:val="24"/>
                <w:u w:val="single"/>
              </w:rPr>
              <w:t>▲</w:t>
            </w:r>
            <w:r>
              <w:rPr>
                <w:rFonts w:hint="default" w:ascii="Times New Roman" w:hAnsi="Times New Roman"/>
                <w:b/>
                <w:bCs/>
                <w:szCs w:val="24"/>
                <w:u w:val="single"/>
              </w:rPr>
              <w:t>（3）采购人拟采购的产品属于政府强制采购的节能产品品目清单范围的，供应商未按采购文件要求提供国家确定的认证机构出具的、处于有效期之内的节能产品认证证书，投标无效。</w:t>
            </w:r>
          </w:p>
          <w:p>
            <w:pPr>
              <w:pStyle w:val="10"/>
              <w:adjustRightInd w:val="0"/>
              <w:snapToGrid w:val="0"/>
              <w:spacing w:beforeLines="0" w:afterLines="0" w:line="240" w:lineRule="auto"/>
              <w:jc w:val="left"/>
              <w:rPr>
                <w:rFonts w:hint="default" w:ascii="Times New Roman" w:hAnsi="Times New Roman"/>
                <w:szCs w:val="24"/>
              </w:rPr>
            </w:pPr>
            <w:r>
              <w:rPr>
                <w:rFonts w:hint="default" w:ascii="Times New Roman" w:hAnsi="Times New Roman"/>
                <w:b/>
                <w:bCs/>
                <w:szCs w:val="24"/>
              </w:rPr>
              <w:t>属于政府优先采购产品类别的，须按照要求提供依据国家确定的认证机构出具的、处于有效期之内的节能产品或环境标志产品认证证书，否则不予认定。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sz w:val="24"/>
                <w:szCs w:val="24"/>
              </w:rPr>
              <w:t>22</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促进中小</w:t>
            </w:r>
          </w:p>
          <w:p>
            <w:pPr>
              <w:snapToGrid w:val="0"/>
              <w:jc w:val="center"/>
              <w:rPr>
                <w:rFonts w:hint="default"/>
                <w:sz w:val="24"/>
                <w:szCs w:val="24"/>
              </w:rPr>
            </w:pPr>
            <w:r>
              <w:rPr>
                <w:rFonts w:hint="default"/>
                <w:sz w:val="24"/>
                <w:szCs w:val="24"/>
              </w:rPr>
              <w:t>企业发展</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sz w:val="24"/>
                <w:szCs w:val="24"/>
              </w:rPr>
            </w:pPr>
            <w:r>
              <w:rPr>
                <w:rFonts w:hint="default"/>
                <w:sz w:val="24"/>
                <w:szCs w:val="24"/>
              </w:rPr>
              <w:t>1、</w:t>
            </w:r>
            <w:r>
              <w:rPr>
                <w:rFonts w:ascii="宋体" w:hAnsi="宋体" w:cs="宋体"/>
                <w:sz w:val="24"/>
                <w:szCs w:val="24"/>
              </w:rPr>
              <w:t>本次采购为专门面向中小企业预留采购份额的采购项目</w:t>
            </w:r>
            <w:r>
              <w:rPr>
                <w:rFonts w:hint="default"/>
                <w:sz w:val="24"/>
                <w:szCs w:val="24"/>
              </w:rPr>
              <w:t>。</w:t>
            </w:r>
          </w:p>
          <w:p>
            <w:pPr>
              <w:autoSpaceDE w:val="0"/>
              <w:autoSpaceDN w:val="0"/>
              <w:snapToGrid w:val="0"/>
              <w:textAlignment w:val="bottom"/>
              <w:rPr>
                <w:rFonts w:hint="default"/>
                <w:sz w:val="24"/>
                <w:szCs w:val="24"/>
              </w:rPr>
            </w:pPr>
            <w:r>
              <w:rPr>
                <w:rFonts w:hint="default"/>
                <w:sz w:val="24"/>
                <w:szCs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autoSpaceDE w:val="0"/>
              <w:autoSpaceDN w:val="0"/>
              <w:snapToGrid w:val="0"/>
              <w:textAlignment w:val="bottom"/>
              <w:rPr>
                <w:rFonts w:hint="default"/>
                <w:sz w:val="24"/>
                <w:szCs w:val="24"/>
                <w:u w:val="single"/>
              </w:rPr>
            </w:pPr>
            <w:r>
              <w:rPr>
                <w:rFonts w:hint="default"/>
                <w:sz w:val="24"/>
                <w:szCs w:val="24"/>
              </w:rPr>
              <w:t>3、本次采购标的为</w:t>
            </w:r>
            <w:r>
              <w:rPr>
                <w:rFonts w:hint="default"/>
                <w:b/>
                <w:bCs/>
                <w:sz w:val="24"/>
                <w:szCs w:val="24"/>
                <w:u w:val="single"/>
              </w:rPr>
              <w:t>具体详见“第四章采购内容及需求</w:t>
            </w:r>
            <w:r>
              <w:rPr>
                <w:b/>
                <w:bCs/>
                <w:sz w:val="24"/>
                <w:szCs w:val="24"/>
                <w:u w:val="single"/>
              </w:rPr>
              <w:t>”中“一</w:t>
            </w:r>
            <w:r>
              <w:rPr>
                <w:rFonts w:hint="default"/>
                <w:b/>
                <w:bCs/>
                <w:sz w:val="24"/>
                <w:szCs w:val="24"/>
                <w:u w:val="single"/>
              </w:rPr>
              <w:t>、技术参数要求”</w:t>
            </w:r>
            <w:r>
              <w:rPr>
                <w:rFonts w:hint="default"/>
                <w:sz w:val="24"/>
                <w:szCs w:val="24"/>
              </w:rPr>
              <w:t>，对应的中小企业划分标准所属行业是：</w:t>
            </w:r>
            <w:r>
              <w:rPr>
                <w:b/>
                <w:bCs/>
                <w:sz w:val="24"/>
                <w:szCs w:val="24"/>
                <w:u w:val="single"/>
              </w:rPr>
              <w:t>工业</w:t>
            </w:r>
            <w:r>
              <w:rPr>
                <w:rFonts w:hint="default"/>
                <w:sz w:val="24"/>
                <w:szCs w:val="24"/>
                <w:u w:val="single"/>
              </w:rPr>
              <w:t>。</w:t>
            </w:r>
          </w:p>
          <w:p>
            <w:pPr>
              <w:autoSpaceDE w:val="0"/>
              <w:autoSpaceDN w:val="0"/>
              <w:snapToGrid w:val="0"/>
              <w:textAlignment w:val="bottom"/>
              <w:rPr>
                <w:rFonts w:hint="default"/>
                <w:sz w:val="24"/>
                <w:szCs w:val="24"/>
              </w:rPr>
            </w:pPr>
            <w:r>
              <w:rPr>
                <w:rFonts w:hint="default"/>
                <w:sz w:val="24"/>
                <w:szCs w:val="24"/>
              </w:rPr>
              <w:t>4、以联合体形式参加政府采购活动，联合体各方均为小微企业的，联合体视同小微企业。</w:t>
            </w:r>
          </w:p>
          <w:p>
            <w:pPr>
              <w:autoSpaceDE w:val="0"/>
              <w:autoSpaceDN w:val="0"/>
              <w:snapToGrid w:val="0"/>
              <w:textAlignment w:val="bottom"/>
              <w:rPr>
                <w:rFonts w:hint="default"/>
                <w:sz w:val="24"/>
                <w:szCs w:val="24"/>
              </w:rPr>
            </w:pPr>
            <w:r>
              <w:rPr>
                <w:rFonts w:hint="default"/>
                <w:sz w:val="24"/>
                <w:szCs w:val="24"/>
              </w:rPr>
              <w:t>5、符合小微企业划分标准的个体工商户，视同小微企业。</w:t>
            </w:r>
          </w:p>
          <w:p>
            <w:pPr>
              <w:autoSpaceDE w:val="0"/>
              <w:autoSpaceDN w:val="0"/>
              <w:adjustRightInd w:val="0"/>
              <w:snapToGrid w:val="0"/>
              <w:spacing w:line="320" w:lineRule="exact"/>
              <w:textAlignment w:val="bottom"/>
              <w:rPr>
                <w:rFonts w:hint="default" w:ascii="宋体" w:hAnsi="宋体" w:cs="宋体"/>
                <w:sz w:val="24"/>
                <w:szCs w:val="24"/>
              </w:rPr>
            </w:pPr>
            <w:r>
              <w:rPr>
                <w:rFonts w:hint="default"/>
                <w:sz w:val="24"/>
                <w:szCs w:val="24"/>
              </w:rPr>
              <w:t>6、</w:t>
            </w:r>
            <w:r>
              <w:rPr>
                <w:rFonts w:ascii="宋体" w:hAnsi="宋体" w:cs="宋体"/>
                <w:sz w:val="24"/>
                <w:szCs w:val="24"/>
              </w:rPr>
              <w:t>本次采购的货物要求全部由中小企业提供。</w:t>
            </w:r>
          </w:p>
          <w:p>
            <w:pPr>
              <w:autoSpaceDE w:val="0"/>
              <w:autoSpaceDN w:val="0"/>
              <w:adjustRightInd w:val="0"/>
              <w:snapToGrid w:val="0"/>
              <w:spacing w:line="320" w:lineRule="exact"/>
              <w:textAlignment w:val="bottom"/>
              <w:rPr>
                <w:rFonts w:hint="default" w:ascii="宋体" w:hAnsi="宋体" w:cs="宋体"/>
                <w:sz w:val="24"/>
                <w:szCs w:val="24"/>
              </w:rPr>
            </w:pPr>
            <w:r>
              <w:rPr>
                <w:rFonts w:ascii="宋体" w:hAnsi="宋体" w:cs="宋体"/>
                <w:sz w:val="24"/>
                <w:szCs w:val="24"/>
              </w:rPr>
              <w:t>7、本项目接受投标单位为中型企业时，允许其与小微企业组成联合体投标。</w:t>
            </w:r>
          </w:p>
          <w:p>
            <w:pPr>
              <w:autoSpaceDE w:val="0"/>
              <w:autoSpaceDN w:val="0"/>
              <w:adjustRightInd w:val="0"/>
              <w:snapToGrid w:val="0"/>
              <w:spacing w:line="320" w:lineRule="exact"/>
              <w:textAlignment w:val="bottom"/>
              <w:rPr>
                <w:rFonts w:hint="default" w:ascii="宋体" w:hAnsi="宋体" w:cs="宋体"/>
                <w:sz w:val="24"/>
                <w:szCs w:val="24"/>
              </w:rPr>
            </w:pPr>
            <w:r>
              <w:rPr>
                <w:rFonts w:ascii="宋体" w:hAnsi="宋体" w:cs="宋体"/>
                <w:sz w:val="24"/>
                <w:szCs w:val="24"/>
              </w:rPr>
              <w:t>8、本项目允许中型企业向一家或者多家小微企业分包。</w:t>
            </w:r>
          </w:p>
          <w:p>
            <w:pPr>
              <w:autoSpaceDE w:val="0"/>
              <w:autoSpaceDN w:val="0"/>
              <w:adjustRightInd w:val="0"/>
              <w:snapToGrid w:val="0"/>
              <w:spacing w:line="320" w:lineRule="exact"/>
              <w:textAlignment w:val="bottom"/>
              <w:rPr>
                <w:rFonts w:hint="default" w:ascii="宋体" w:hAnsi="宋体" w:cs="宋体"/>
                <w:sz w:val="24"/>
                <w:szCs w:val="24"/>
              </w:rPr>
            </w:pPr>
            <w:r>
              <w:rPr>
                <w:rFonts w:ascii="宋体" w:hAnsi="宋体" w:cs="宋体"/>
                <w:sz w:val="24"/>
                <w:szCs w:val="24"/>
              </w:rPr>
              <w:t>9、残疾人福利性单位视同小微企业，享受小微企业同等的价格扣除。残疾人福利性单位参加政府采购活动时，应当提供《残疾人福利性单位声明函》。</w:t>
            </w:r>
          </w:p>
          <w:p>
            <w:pPr>
              <w:autoSpaceDE w:val="0"/>
              <w:autoSpaceDN w:val="0"/>
              <w:snapToGrid w:val="0"/>
              <w:textAlignment w:val="bottom"/>
              <w:rPr>
                <w:rFonts w:hint="default"/>
                <w:sz w:val="24"/>
                <w:szCs w:val="24"/>
              </w:rPr>
            </w:pPr>
            <w:r>
              <w:rPr>
                <w:rFonts w:ascii="宋体" w:hAnsi="宋体" w:cs="宋体"/>
                <w:sz w:val="24"/>
                <w:szCs w:val="24"/>
              </w:rPr>
              <w:t>10、监狱企业视同小微企业，享受小微企业同等的价格扣除。监狱企业参加政府采购活动时，应当出具省级以上监狱管理局、戒毒管理局（含新疆生产建设兵团）提供的属于监狱企业的证明文件。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sz w:val="24"/>
                <w:szCs w:val="24"/>
              </w:rPr>
              <w:t>23</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b/>
                <w:bCs/>
                <w:sz w:val="24"/>
                <w:szCs w:val="24"/>
              </w:rPr>
            </w:pPr>
            <w:r>
              <w:rPr>
                <w:b/>
                <w:bCs/>
                <w:sz w:val="24"/>
                <w:szCs w:val="24"/>
              </w:rPr>
              <w:t>联合体</w:t>
            </w:r>
          </w:p>
        </w:tc>
        <w:tc>
          <w:tcPr>
            <w:tcW w:w="7142"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b/>
                <w:bCs/>
                <w:sz w:val="24"/>
                <w:szCs w:val="24"/>
              </w:rPr>
            </w:pPr>
            <w:r>
              <w:rPr>
                <w:rFonts w:hint="default" w:ascii="Wingdings" w:hAnsi="Wingdings" w:cs="宋体"/>
                <w:b/>
                <w:bCs/>
                <w:kern w:val="0"/>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default"/>
                <w:sz w:val="24"/>
                <w:szCs w:val="24"/>
              </w:rPr>
            </w:pPr>
            <w:r>
              <w:rPr>
                <w:rFonts w:ascii="宋体" w:hAnsi="宋体" w:cs="宋体"/>
                <w:sz w:val="24"/>
                <w:szCs w:val="24"/>
              </w:rPr>
              <w:t>24</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default"/>
                <w:sz w:val="24"/>
                <w:szCs w:val="24"/>
              </w:rPr>
            </w:pPr>
            <w:r>
              <w:rPr>
                <w:rFonts w:ascii="宋体" w:hAnsi="宋体" w:cs="宋体"/>
                <w:sz w:val="24"/>
                <w:szCs w:val="24"/>
              </w:rPr>
              <w:t>转包</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textAlignment w:val="bottom"/>
              <w:rPr>
                <w:rFonts w:hint="default"/>
                <w:sz w:val="24"/>
                <w:szCs w:val="24"/>
              </w:rPr>
            </w:pPr>
            <w:r>
              <w:rPr>
                <w:rFonts w:ascii="宋体" w:hAnsi="宋体" w:cs="宋体"/>
                <w:sz w:val="24"/>
                <w:szCs w:val="24"/>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default"/>
                <w:sz w:val="24"/>
                <w:szCs w:val="24"/>
              </w:rPr>
            </w:pPr>
            <w:r>
              <w:rPr>
                <w:rFonts w:ascii="宋体" w:hAnsi="宋体" w:cs="宋体"/>
                <w:sz w:val="24"/>
                <w:szCs w:val="24"/>
              </w:rPr>
              <w:t>25</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default"/>
                <w:sz w:val="24"/>
                <w:szCs w:val="24"/>
              </w:rPr>
            </w:pPr>
            <w:r>
              <w:rPr>
                <w:rFonts w:ascii="宋体" w:hAnsi="宋体" w:cs="宋体"/>
                <w:sz w:val="24"/>
                <w:szCs w:val="24"/>
              </w:rPr>
              <w:t>分包</w:t>
            </w:r>
          </w:p>
        </w:tc>
        <w:tc>
          <w:tcPr>
            <w:tcW w:w="7142"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b/>
                <w:bCs/>
                <w:sz w:val="24"/>
                <w:szCs w:val="24"/>
              </w:rPr>
            </w:pPr>
            <w:r>
              <w:rPr>
                <w:rFonts w:hint="default" w:ascii="Wingdings" w:hAnsi="Wingdings" w:cs="宋体"/>
                <w:b/>
                <w:bCs/>
                <w:kern w:val="0"/>
                <w:sz w:val="24"/>
                <w:szCs w:val="24"/>
              </w:rPr>
              <w:t></w:t>
            </w:r>
            <w:r>
              <w:rPr>
                <w:rFonts w:ascii="宋体" w:hAnsi="宋体" w:cs="宋体"/>
                <w:b/>
                <w:bCs/>
                <w:sz w:val="24"/>
                <w:szCs w:val="24"/>
              </w:rPr>
              <w:t>同意将非主体、非关键性的</w:t>
            </w:r>
            <w:r>
              <w:rPr>
                <w:rFonts w:ascii="宋体" w:hAnsi="宋体" w:cs="宋体"/>
                <w:b/>
                <w:bCs/>
                <w:sz w:val="24"/>
                <w:szCs w:val="24"/>
                <w:u w:val="single"/>
              </w:rPr>
              <w:t>（货物运输）</w:t>
            </w:r>
            <w:r>
              <w:rPr>
                <w:rFonts w:ascii="宋体" w:hAnsi="宋体" w:cs="宋体"/>
                <w:b/>
                <w:bCs/>
                <w:sz w:val="24"/>
                <w:szCs w:val="24"/>
              </w:rPr>
              <w:t>工作分包。</w:t>
            </w:r>
          </w:p>
          <w:p>
            <w:pPr>
              <w:rPr>
                <w:rFonts w:hint="default"/>
                <w:sz w:val="24"/>
                <w:szCs w:val="24"/>
              </w:rPr>
            </w:pPr>
            <w:r>
              <w:rPr>
                <w:rFonts w:ascii="MS Gothic" w:hAnsi="MS Gothic" w:cs="宋体"/>
                <w:b/>
                <w:bCs/>
                <w:kern w:val="0"/>
                <w:sz w:val="24"/>
                <w:szCs w:val="24"/>
              </w:rPr>
              <w:t>☐</w:t>
            </w:r>
            <w:r>
              <w:rPr>
                <w:rFonts w:ascii="宋体" w:hAnsi="宋体" w:cs="宋体"/>
                <w:b/>
                <w:bCs/>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sz w:val="24"/>
                <w:szCs w:val="24"/>
              </w:rPr>
              <w:t>26</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履约保证金</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sz w:val="24"/>
                <w:szCs w:val="24"/>
              </w:rPr>
            </w:pPr>
            <w:r>
              <w:rPr>
                <w:rFonts w:hint="default"/>
                <w:sz w:val="24"/>
                <w:szCs w:val="24"/>
              </w:rPr>
              <w:sym w:font="Wingdings 2" w:char="00A3"/>
            </w:r>
            <w:r>
              <w:rPr>
                <w:rFonts w:hint="default"/>
                <w:sz w:val="24"/>
                <w:szCs w:val="24"/>
              </w:rPr>
              <w:t>不要求提供</w:t>
            </w:r>
          </w:p>
          <w:p>
            <w:pPr>
              <w:adjustRightInd w:val="0"/>
              <w:snapToGrid w:val="0"/>
              <w:spacing w:line="320" w:lineRule="exact"/>
              <w:rPr>
                <w:rFonts w:hint="default"/>
                <w:sz w:val="24"/>
                <w:szCs w:val="24"/>
              </w:rPr>
            </w:pPr>
            <w:r>
              <w:rPr>
                <w:rFonts w:hint="default"/>
                <w:sz w:val="24"/>
                <w:szCs w:val="24"/>
              </w:rPr>
              <w:sym w:font="Wingdings 2" w:char="0052"/>
            </w:r>
            <w:r>
              <w:rPr>
                <w:rFonts w:hint="default"/>
                <w:sz w:val="24"/>
                <w:szCs w:val="24"/>
              </w:rPr>
              <w:t>要求提供：</w:t>
            </w:r>
          </w:p>
          <w:p>
            <w:pPr>
              <w:rPr>
                <w:rFonts w:hint="default" w:ascii="宋体" w:hAnsi="宋体" w:cs="宋体"/>
                <w:sz w:val="24"/>
                <w:szCs w:val="24"/>
              </w:rPr>
            </w:pPr>
            <w:r>
              <w:rPr>
                <w:rFonts w:ascii="宋体" w:hAnsi="宋体" w:cs="宋体"/>
                <w:sz w:val="24"/>
                <w:szCs w:val="24"/>
              </w:rPr>
              <w:t>金额为合同金额的1%</w:t>
            </w:r>
          </w:p>
          <w:p>
            <w:pPr>
              <w:snapToGrid w:val="0"/>
              <w:rPr>
                <w:rFonts w:hint="default"/>
                <w:sz w:val="24"/>
                <w:szCs w:val="24"/>
              </w:rPr>
            </w:pPr>
            <w:r>
              <w:rPr>
                <w:rFonts w:ascii="宋体" w:hAnsi="宋体" w:cs="宋体"/>
                <w:sz w:val="24"/>
                <w:szCs w:val="24"/>
              </w:rPr>
              <w:t>合同总价的1%作为履约保证金，合同签订后五个工作日内由供应商向采购人缴纳，在采购人验收合格、确认供应商无违约行为后无息返还给供应商。接受金融机构、担保机构出具的以保函形式提交的履约保证金。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sz w:val="24"/>
                <w:szCs w:val="24"/>
              </w:rPr>
              <w:t>27</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代理服务费</w:t>
            </w:r>
          </w:p>
        </w:tc>
        <w:tc>
          <w:tcPr>
            <w:tcW w:w="71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宋体" w:hAnsi="宋体" w:cs="宋体"/>
                <w:sz w:val="24"/>
                <w:szCs w:val="24"/>
              </w:rPr>
            </w:pPr>
            <w:r>
              <w:rPr>
                <w:rFonts w:ascii="宋体" w:hAnsi="宋体" w:cs="宋体"/>
                <w:szCs w:val="21"/>
              </w:rPr>
              <w:t>（</w:t>
            </w:r>
            <w:r>
              <w:rPr>
                <w:rFonts w:ascii="宋体" w:hAnsi="宋体" w:cs="宋体"/>
                <w:sz w:val="24"/>
                <w:szCs w:val="24"/>
              </w:rPr>
              <w:t>1）中标单位在领取成交通知书前，应向采购代理机构交纳采购代理服务费。</w:t>
            </w:r>
          </w:p>
          <w:p>
            <w:pPr>
              <w:spacing w:line="360" w:lineRule="exact"/>
              <w:rPr>
                <w:rFonts w:hint="default" w:ascii="宋体" w:hAnsi="宋体" w:cs="宋体"/>
                <w:sz w:val="24"/>
                <w:szCs w:val="24"/>
              </w:rPr>
            </w:pPr>
            <w:r>
              <w:rPr>
                <w:rFonts w:ascii="宋体" w:hAnsi="宋体" w:cs="宋体"/>
                <w:sz w:val="24"/>
                <w:szCs w:val="24"/>
              </w:rPr>
              <w:t>（2）采购代理服务收费标准按标项参照《国家发展改革委办公厅关于招标代理服务收费有关问题的通知》（发改价格[2011]534 号）规定标准的折扣率为：70%，不足3000元，按3000元收取。</w:t>
            </w:r>
          </w:p>
          <w:p>
            <w:pPr>
              <w:spacing w:line="360" w:lineRule="exact"/>
              <w:rPr>
                <w:rFonts w:hint="default" w:ascii="宋体" w:hAnsi="宋体" w:cs="宋体"/>
                <w:sz w:val="24"/>
                <w:szCs w:val="24"/>
              </w:rPr>
            </w:pPr>
            <w:r>
              <w:rPr>
                <w:rFonts w:ascii="宋体" w:hAnsi="宋体" w:cs="宋体"/>
                <w:sz w:val="24"/>
                <w:szCs w:val="24"/>
              </w:rPr>
              <w:t>（3）造价咨询的服务费收费根据《浙江省物价局关于进一步完善工程造价咨询服务收费的通知》（浙价服〔2009〕84 号）规定的收费标准的折扣率为：70%，造价咨询服务费不足 2000 元的，按 2000 元计取。</w:t>
            </w:r>
          </w:p>
          <w:p>
            <w:pPr>
              <w:spacing w:line="360" w:lineRule="exact"/>
              <w:rPr>
                <w:rFonts w:hint="default" w:ascii="宋体" w:hAnsi="宋体" w:cs="宋体"/>
                <w:sz w:val="24"/>
                <w:szCs w:val="24"/>
              </w:rPr>
            </w:pPr>
            <w:r>
              <w:rPr>
                <w:rFonts w:ascii="宋体" w:hAnsi="宋体" w:cs="宋体"/>
                <w:sz w:val="24"/>
                <w:szCs w:val="24"/>
              </w:rPr>
              <w:t>（3）服务费以采用网银、电汇方式提交。</w:t>
            </w:r>
          </w:p>
          <w:p>
            <w:pPr>
              <w:spacing w:line="360" w:lineRule="exact"/>
              <w:rPr>
                <w:rFonts w:hint="default" w:ascii="宋体" w:hAnsi="宋体" w:cs="宋体"/>
                <w:sz w:val="24"/>
                <w:szCs w:val="24"/>
              </w:rPr>
            </w:pPr>
            <w:r>
              <w:rPr>
                <w:rFonts w:ascii="宋体" w:hAnsi="宋体" w:cs="宋体"/>
                <w:sz w:val="24"/>
                <w:szCs w:val="24"/>
              </w:rPr>
              <w:t>服务费汇款账号：</w:t>
            </w:r>
          </w:p>
          <w:p>
            <w:pPr>
              <w:spacing w:line="360" w:lineRule="exact"/>
              <w:rPr>
                <w:rFonts w:hint="default" w:ascii="宋体" w:hAnsi="宋体" w:cs="宋体"/>
                <w:sz w:val="24"/>
                <w:szCs w:val="24"/>
              </w:rPr>
            </w:pPr>
            <w:r>
              <w:rPr>
                <w:rFonts w:ascii="宋体" w:hAnsi="宋体" w:cs="宋体"/>
                <w:sz w:val="24"/>
                <w:szCs w:val="24"/>
              </w:rPr>
              <w:t>收款人（全称）：浙江豪圣建设项目管理有限公司</w:t>
            </w:r>
          </w:p>
          <w:p>
            <w:pPr>
              <w:spacing w:line="360" w:lineRule="exact"/>
              <w:rPr>
                <w:rFonts w:hint="default" w:ascii="宋体" w:hAnsi="宋体" w:cs="宋体"/>
                <w:sz w:val="24"/>
                <w:szCs w:val="24"/>
              </w:rPr>
            </w:pPr>
            <w:r>
              <w:rPr>
                <w:rFonts w:ascii="宋体" w:hAnsi="宋体" w:cs="宋体"/>
                <w:sz w:val="24"/>
                <w:szCs w:val="24"/>
              </w:rPr>
              <w:t>开户行：上海浦东发展银行股份有限公司杭州和睦支行</w:t>
            </w:r>
          </w:p>
          <w:p>
            <w:pPr>
              <w:adjustRightInd w:val="0"/>
              <w:snapToGrid w:val="0"/>
              <w:rPr>
                <w:rFonts w:hint="default"/>
                <w:sz w:val="24"/>
                <w:szCs w:val="24"/>
              </w:rPr>
            </w:pPr>
            <w:r>
              <w:rPr>
                <w:rFonts w:ascii="宋体" w:hAnsi="宋体" w:cs="宋体"/>
                <w:sz w:val="24"/>
                <w:szCs w:val="24"/>
              </w:rPr>
              <w:t>银行账号：95160154800000653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sz w:val="24"/>
                <w:szCs w:val="24"/>
              </w:rPr>
              <w:t>28</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rFonts w:hint="default"/>
                <w:sz w:val="24"/>
                <w:szCs w:val="24"/>
              </w:rPr>
              <w:t>解释权</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sz w:val="24"/>
                <w:szCs w:val="24"/>
              </w:rPr>
            </w:pPr>
            <w:r>
              <w:rPr>
                <w:rFonts w:hint="default"/>
                <w:sz w:val="24"/>
                <w:szCs w:val="24"/>
              </w:rPr>
              <w:t>本招标文件的解释权属于采购人和采购代理机构。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szCs w:val="24"/>
              </w:rPr>
            </w:pPr>
            <w:r>
              <w:rPr>
                <w:sz w:val="24"/>
                <w:szCs w:val="24"/>
              </w:rPr>
              <w:t>29</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default"/>
                <w:sz w:val="24"/>
                <w:szCs w:val="24"/>
              </w:rPr>
            </w:pPr>
            <w:r>
              <w:rPr>
                <w:rFonts w:ascii="宋体" w:hAnsi="宋体" w:cs="宋体"/>
                <w:sz w:val="24"/>
                <w:szCs w:val="24"/>
              </w:rPr>
              <w:t>其他</w:t>
            </w:r>
          </w:p>
        </w:tc>
        <w:tc>
          <w:tcPr>
            <w:tcW w:w="7142" w:type="dxa"/>
            <w:tcBorders>
              <w:top w:val="single" w:color="auto" w:sz="4" w:space="0"/>
              <w:left w:val="single" w:color="auto" w:sz="4" w:space="0"/>
              <w:bottom w:val="single" w:color="auto" w:sz="4" w:space="0"/>
              <w:right w:val="single" w:color="auto" w:sz="4" w:space="0"/>
            </w:tcBorders>
            <w:vAlign w:val="center"/>
          </w:tcPr>
          <w:p>
            <w:pPr>
              <w:spacing w:line="288" w:lineRule="auto"/>
              <w:rPr>
                <w:rFonts w:hint="default" w:ascii="宋体" w:hAnsi="宋体" w:cs="宋体"/>
                <w:sz w:val="24"/>
                <w:szCs w:val="24"/>
              </w:rPr>
            </w:pPr>
            <w:r>
              <w:rPr>
                <w:rFonts w:ascii="宋体" w:hAnsi="宋体" w:cs="宋体"/>
                <w:sz w:val="24"/>
                <w:szCs w:val="24"/>
              </w:rPr>
              <w:t>中标单位须提供一份纸质投标响应文件</w:t>
            </w:r>
          </w:p>
          <w:p>
            <w:pPr>
              <w:spacing w:line="288" w:lineRule="auto"/>
              <w:rPr>
                <w:rFonts w:hint="default"/>
                <w:sz w:val="24"/>
                <w:szCs w:val="24"/>
              </w:rPr>
            </w:pPr>
            <w:r>
              <w:rPr>
                <w:rFonts w:ascii="宋体" w:hAnsi="宋体" w:cs="宋体"/>
                <w:b/>
                <w:bCs/>
                <w:sz w:val="24"/>
                <w:szCs w:val="24"/>
              </w:rPr>
              <w:t>▲供应商授权代表必须为供应商本单位在职职工，并提供投标（响应）截止时间前3个月内任意一月社保缴纳证明（授权代表为法定代表人可不提供）。</w:t>
            </w:r>
          </w:p>
        </w:tc>
      </w:tr>
    </w:tbl>
    <w:p>
      <w:pPr>
        <w:pStyle w:val="10"/>
        <w:adjustRightInd w:val="0"/>
        <w:snapToGrid w:val="0"/>
        <w:spacing w:beforeLines="0" w:afterLines="0" w:line="360" w:lineRule="auto"/>
        <w:rPr>
          <w:rFonts w:hint="default" w:ascii="Times New Roman" w:hAnsi="Times New Roman"/>
          <w:b/>
          <w:sz w:val="28"/>
          <w:szCs w:val="28"/>
        </w:rPr>
      </w:pPr>
      <w:r>
        <w:rPr>
          <w:rFonts w:hint="default" w:ascii="Times New Roman" w:hAnsi="Times New Roman"/>
        </w:rPr>
        <w:br w:type="page"/>
      </w:r>
      <w:r>
        <w:rPr>
          <w:rFonts w:hint="default" w:ascii="Times New Roman" w:hAnsi="Times New Roman"/>
          <w:b/>
          <w:sz w:val="28"/>
          <w:szCs w:val="28"/>
        </w:rPr>
        <w:t>一、总则</w:t>
      </w:r>
    </w:p>
    <w:p>
      <w:pPr>
        <w:adjustRightInd w:val="0"/>
        <w:snapToGrid w:val="0"/>
        <w:spacing w:line="360" w:lineRule="auto"/>
        <w:ind w:firstLine="354" w:firstLineChars="147"/>
        <w:jc w:val="left"/>
        <w:outlineLvl w:val="1"/>
        <w:rPr>
          <w:rFonts w:hint="default"/>
          <w:b/>
          <w:sz w:val="24"/>
        </w:rPr>
      </w:pPr>
      <w:r>
        <w:rPr>
          <w:rFonts w:hint="default"/>
          <w:b/>
          <w:sz w:val="24"/>
        </w:rPr>
        <w:t>（一）适用范围</w:t>
      </w:r>
    </w:p>
    <w:p>
      <w:pPr>
        <w:adjustRightInd w:val="0"/>
        <w:snapToGrid w:val="0"/>
        <w:spacing w:line="360" w:lineRule="auto"/>
        <w:ind w:firstLine="480" w:firstLineChars="200"/>
        <w:jc w:val="left"/>
        <w:rPr>
          <w:rFonts w:hint="default"/>
          <w:sz w:val="24"/>
        </w:rPr>
      </w:pPr>
      <w:r>
        <w:rPr>
          <w:rFonts w:hint="default"/>
          <w:sz w:val="24"/>
        </w:rPr>
        <w:t>本招标文件适用于本次采购项目的招标、投标、评标、定标、验收、合同履约、付款等行为（法律、法规另有规定的，从其规定）。</w:t>
      </w:r>
    </w:p>
    <w:p>
      <w:pPr>
        <w:adjustRightInd w:val="0"/>
        <w:snapToGrid w:val="0"/>
        <w:spacing w:line="360" w:lineRule="auto"/>
        <w:ind w:firstLine="354" w:firstLineChars="147"/>
        <w:jc w:val="left"/>
        <w:outlineLvl w:val="1"/>
        <w:rPr>
          <w:rFonts w:hint="default"/>
          <w:b/>
          <w:sz w:val="24"/>
        </w:rPr>
      </w:pPr>
      <w:r>
        <w:rPr>
          <w:rFonts w:hint="default"/>
          <w:b/>
          <w:sz w:val="24"/>
        </w:rPr>
        <w:t>（二）定义</w:t>
      </w:r>
    </w:p>
    <w:p>
      <w:pPr>
        <w:adjustRightInd w:val="0"/>
        <w:snapToGrid w:val="0"/>
        <w:spacing w:line="360" w:lineRule="auto"/>
        <w:ind w:firstLine="480" w:firstLineChars="200"/>
        <w:jc w:val="left"/>
        <w:rPr>
          <w:rFonts w:hint="default"/>
          <w:sz w:val="24"/>
        </w:rPr>
      </w:pPr>
      <w:r>
        <w:rPr>
          <w:rFonts w:hint="default"/>
          <w:sz w:val="24"/>
        </w:rPr>
        <w:t>1.招标采购单位：系指组织本次招标的代理机构和采购人。</w:t>
      </w:r>
    </w:p>
    <w:p>
      <w:pPr>
        <w:adjustRightInd w:val="0"/>
        <w:snapToGrid w:val="0"/>
        <w:spacing w:line="360" w:lineRule="auto"/>
        <w:ind w:firstLine="480" w:firstLineChars="200"/>
        <w:jc w:val="left"/>
        <w:rPr>
          <w:rFonts w:hint="default"/>
          <w:sz w:val="24"/>
        </w:rPr>
      </w:pPr>
      <w:r>
        <w:rPr>
          <w:rFonts w:hint="default"/>
          <w:sz w:val="24"/>
        </w:rPr>
        <w:t>2.投标人：系指向招标方提交投标文件的单位或个人，也称作供应商。</w:t>
      </w:r>
    </w:p>
    <w:p>
      <w:pPr>
        <w:adjustRightInd w:val="0"/>
        <w:snapToGrid w:val="0"/>
        <w:spacing w:line="360" w:lineRule="auto"/>
        <w:ind w:firstLine="480" w:firstLineChars="200"/>
        <w:jc w:val="left"/>
        <w:rPr>
          <w:rFonts w:hint="default"/>
          <w:sz w:val="24"/>
        </w:rPr>
      </w:pPr>
      <w:r>
        <w:rPr>
          <w:rFonts w:hint="default"/>
          <w:sz w:val="24"/>
        </w:rPr>
        <w:t>3.投标人代表：是指参加本项目投标活动的供应商法定代表人或法定代表人授权代表。</w:t>
      </w:r>
    </w:p>
    <w:p>
      <w:pPr>
        <w:adjustRightInd w:val="0"/>
        <w:snapToGrid w:val="0"/>
        <w:spacing w:line="360" w:lineRule="auto"/>
        <w:ind w:firstLine="480" w:firstLineChars="200"/>
        <w:jc w:val="left"/>
        <w:rPr>
          <w:rFonts w:hint="default"/>
          <w:sz w:val="24"/>
        </w:rPr>
      </w:pPr>
      <w:r>
        <w:rPr>
          <w:rFonts w:hint="default"/>
          <w:sz w:val="24"/>
        </w:rPr>
        <w:t>4.联合体：是指两个以上供应商组成联合体，以一个供应商的身份参加投标。</w:t>
      </w:r>
    </w:p>
    <w:p>
      <w:pPr>
        <w:adjustRightInd w:val="0"/>
        <w:snapToGrid w:val="0"/>
        <w:spacing w:line="360" w:lineRule="auto"/>
        <w:ind w:firstLine="480" w:firstLineChars="200"/>
        <w:jc w:val="left"/>
        <w:rPr>
          <w:rFonts w:hint="default"/>
          <w:sz w:val="24"/>
        </w:rPr>
      </w:pPr>
      <w:r>
        <w:rPr>
          <w:rFonts w:hint="default"/>
          <w:sz w:val="24"/>
        </w:rPr>
        <w:t>5.甲方：是指合同签订的一方，一般与采购人、</w:t>
      </w:r>
      <w:r>
        <w:rPr>
          <w:sz w:val="24"/>
        </w:rPr>
        <w:t>采购单位</w:t>
      </w:r>
      <w:r>
        <w:rPr>
          <w:rFonts w:hint="default"/>
          <w:sz w:val="24"/>
        </w:rPr>
        <w:t>、用户相同。</w:t>
      </w:r>
    </w:p>
    <w:p>
      <w:pPr>
        <w:adjustRightInd w:val="0"/>
        <w:snapToGrid w:val="0"/>
        <w:spacing w:line="360" w:lineRule="auto"/>
        <w:ind w:firstLine="480" w:firstLineChars="200"/>
        <w:jc w:val="left"/>
        <w:rPr>
          <w:rFonts w:hint="default"/>
          <w:sz w:val="24"/>
        </w:rPr>
      </w:pPr>
      <w:r>
        <w:rPr>
          <w:rFonts w:hint="default"/>
          <w:sz w:val="24"/>
        </w:rPr>
        <w:t>6.乙方：是指合同签订的另一方，与中标人相同。</w:t>
      </w:r>
    </w:p>
    <w:p>
      <w:pPr>
        <w:adjustRightInd w:val="0"/>
        <w:snapToGrid w:val="0"/>
        <w:spacing w:line="360" w:lineRule="auto"/>
        <w:ind w:firstLine="480" w:firstLineChars="200"/>
        <w:jc w:val="left"/>
        <w:rPr>
          <w:rFonts w:hint="default"/>
          <w:sz w:val="24"/>
        </w:rPr>
      </w:pPr>
      <w:r>
        <w:rPr>
          <w:rFonts w:hint="default"/>
          <w:sz w:val="24"/>
        </w:rPr>
        <w:t>7.“产品”系指供方按招标文件规定，须向采购人提供的一切设备、保险、税金、备品备件、工具、手册及其它有关技术资料和材料。</w:t>
      </w:r>
    </w:p>
    <w:p>
      <w:pPr>
        <w:adjustRightInd w:val="0"/>
        <w:snapToGrid w:val="0"/>
        <w:spacing w:line="360" w:lineRule="auto"/>
        <w:ind w:firstLine="480" w:firstLineChars="200"/>
        <w:jc w:val="left"/>
        <w:rPr>
          <w:rFonts w:hint="default"/>
          <w:sz w:val="24"/>
        </w:rPr>
      </w:pPr>
      <w:r>
        <w:rPr>
          <w:rFonts w:hint="default"/>
          <w:sz w:val="24"/>
        </w:rPr>
        <w:t>8.“服务”系指招标文件规定投标人须承担的</w:t>
      </w:r>
      <w:r>
        <w:rPr>
          <w:sz w:val="24"/>
        </w:rPr>
        <w:t>本项目相关</w:t>
      </w:r>
      <w:r>
        <w:rPr>
          <w:rFonts w:hint="default"/>
          <w:sz w:val="24"/>
        </w:rPr>
        <w:t>服务以及其他类似的义务。</w:t>
      </w:r>
    </w:p>
    <w:p>
      <w:pPr>
        <w:adjustRightInd w:val="0"/>
        <w:snapToGrid w:val="0"/>
        <w:spacing w:line="360" w:lineRule="auto"/>
        <w:ind w:firstLine="480" w:firstLineChars="200"/>
        <w:jc w:val="left"/>
        <w:rPr>
          <w:rFonts w:hint="default"/>
          <w:sz w:val="24"/>
        </w:rPr>
      </w:pPr>
      <w:r>
        <w:rPr>
          <w:rFonts w:hint="default"/>
          <w:sz w:val="24"/>
        </w:rPr>
        <w:t>9.“项目”系指投标人按招标文件规定向采购人提供的产品和服务。</w:t>
      </w:r>
    </w:p>
    <w:p>
      <w:pPr>
        <w:adjustRightInd w:val="0"/>
        <w:snapToGrid w:val="0"/>
        <w:spacing w:line="360" w:lineRule="auto"/>
        <w:ind w:firstLine="480" w:firstLineChars="200"/>
        <w:jc w:val="left"/>
        <w:rPr>
          <w:rFonts w:hint="default"/>
          <w:sz w:val="24"/>
        </w:rPr>
      </w:pPr>
      <w:r>
        <w:rPr>
          <w:rFonts w:hint="default"/>
          <w:sz w:val="24"/>
        </w:rPr>
        <w:t>10.“书面形式”包括信函、传真、电报等。</w:t>
      </w:r>
    </w:p>
    <w:p>
      <w:pPr>
        <w:snapToGrid w:val="0"/>
        <w:spacing w:line="360" w:lineRule="auto"/>
        <w:ind w:firstLine="480" w:firstLineChars="200"/>
        <w:rPr>
          <w:rFonts w:hint="default" w:ascii="宋体" w:hAnsi="宋体" w:cs="宋体"/>
          <w:sz w:val="24"/>
        </w:rPr>
      </w:pPr>
      <w:r>
        <w:rPr>
          <w:rFonts w:ascii="宋体" w:hAnsi="宋体" w:cs="宋体"/>
          <w:sz w:val="24"/>
        </w:rPr>
        <w:t>11.“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pPr>
        <w:snapToGrid w:val="0"/>
        <w:spacing w:line="360" w:lineRule="auto"/>
        <w:ind w:firstLine="480" w:firstLineChars="200"/>
        <w:rPr>
          <w:rFonts w:hint="default" w:ascii="宋体" w:hAnsi="宋体" w:cs="宋体"/>
          <w:sz w:val="24"/>
        </w:rPr>
      </w:pPr>
      <w:r>
        <w:rPr>
          <w:rFonts w:ascii="宋体" w:hAnsi="宋体" w:cs="宋体"/>
          <w:sz w:val="24"/>
        </w:rPr>
        <w:t>12.“电子交易平台”系指本项目政府采购活动所依托的政府采购云平台（https://www.zcygov.cn/）。</w:t>
      </w:r>
    </w:p>
    <w:p>
      <w:pPr>
        <w:snapToGrid w:val="0"/>
        <w:spacing w:line="360" w:lineRule="auto"/>
        <w:ind w:firstLine="482" w:firstLineChars="200"/>
        <w:rPr>
          <w:rFonts w:hint="default" w:ascii="宋体" w:hAnsi="宋体" w:cs="宋体"/>
          <w:b/>
          <w:bCs/>
          <w:sz w:val="24"/>
          <w:szCs w:val="22"/>
        </w:rPr>
      </w:pPr>
      <w:r>
        <w:rPr>
          <w:rFonts w:ascii="宋体" w:hAnsi="宋体" w:cs="宋体"/>
          <w:b/>
          <w:bCs/>
          <w:sz w:val="24"/>
          <w:szCs w:val="22"/>
        </w:rPr>
        <w:t>13.“▲”系指实质性要求条款。“</w:t>
      </w:r>
      <w:r>
        <w:rPr>
          <w:rFonts w:ascii="宋体" w:hAnsi="宋体" w:cs="宋体"/>
          <w:sz w:val="24"/>
          <w:szCs w:val="24"/>
        </w:rPr>
        <w:sym w:font="Wingdings 2" w:char="0052"/>
      </w:r>
      <w:r>
        <w:rPr>
          <w:rFonts w:ascii="宋体" w:hAnsi="宋体" w:cs="宋体"/>
          <w:b/>
          <w:bCs/>
          <w:sz w:val="24"/>
          <w:szCs w:val="22"/>
        </w:rPr>
        <w:t>” 系指适用本项目的要求，“☐” 系指不适用本项目的要求。</w:t>
      </w:r>
    </w:p>
    <w:p>
      <w:pPr>
        <w:adjustRightInd w:val="0"/>
        <w:snapToGrid w:val="0"/>
        <w:spacing w:line="360" w:lineRule="auto"/>
        <w:ind w:firstLine="472" w:firstLineChars="196"/>
        <w:jc w:val="left"/>
        <w:outlineLvl w:val="1"/>
        <w:rPr>
          <w:rFonts w:hint="default"/>
          <w:b/>
          <w:sz w:val="24"/>
        </w:rPr>
      </w:pPr>
      <w:r>
        <w:rPr>
          <w:rFonts w:hint="default"/>
          <w:b/>
          <w:sz w:val="24"/>
        </w:rPr>
        <w:t>（三）招标方式</w:t>
      </w:r>
    </w:p>
    <w:p>
      <w:pPr>
        <w:adjustRightInd w:val="0"/>
        <w:snapToGrid w:val="0"/>
        <w:spacing w:line="360" w:lineRule="auto"/>
        <w:ind w:firstLine="480" w:firstLineChars="200"/>
        <w:jc w:val="left"/>
        <w:rPr>
          <w:rFonts w:hint="default"/>
          <w:sz w:val="24"/>
        </w:rPr>
      </w:pPr>
      <w:r>
        <w:rPr>
          <w:rFonts w:hint="default"/>
          <w:sz w:val="24"/>
        </w:rPr>
        <w:t>本次招标采用公开招标方式进行。</w:t>
      </w:r>
    </w:p>
    <w:p>
      <w:pPr>
        <w:adjustRightInd w:val="0"/>
        <w:snapToGrid w:val="0"/>
        <w:spacing w:line="360" w:lineRule="auto"/>
        <w:ind w:firstLine="472" w:firstLineChars="196"/>
        <w:jc w:val="left"/>
        <w:outlineLvl w:val="1"/>
        <w:rPr>
          <w:rFonts w:hint="default"/>
          <w:b/>
          <w:sz w:val="24"/>
        </w:rPr>
      </w:pPr>
      <w:r>
        <w:rPr>
          <w:rFonts w:hint="default"/>
          <w:b/>
          <w:sz w:val="24"/>
        </w:rPr>
        <w:t>（</w:t>
      </w:r>
      <w:r>
        <w:rPr>
          <w:b/>
          <w:sz w:val="24"/>
        </w:rPr>
        <w:t>四</w:t>
      </w:r>
      <w:r>
        <w:rPr>
          <w:rFonts w:hint="default"/>
          <w:b/>
          <w:sz w:val="24"/>
        </w:rPr>
        <w:t>）投标费用</w:t>
      </w:r>
    </w:p>
    <w:p>
      <w:pPr>
        <w:adjustRightInd w:val="0"/>
        <w:snapToGrid w:val="0"/>
        <w:spacing w:line="360" w:lineRule="auto"/>
        <w:ind w:firstLine="480" w:firstLineChars="200"/>
        <w:jc w:val="left"/>
        <w:rPr>
          <w:rFonts w:hint="default"/>
          <w:sz w:val="24"/>
        </w:rPr>
      </w:pPr>
      <w:r>
        <w:rPr>
          <w:rFonts w:hint="default"/>
          <w:sz w:val="24"/>
        </w:rPr>
        <w:t>不论投标结果如何，投标人均应自行承担所有与投标有关的全部费用。</w:t>
      </w:r>
    </w:p>
    <w:p>
      <w:pPr>
        <w:adjustRightInd w:val="0"/>
        <w:snapToGrid w:val="0"/>
        <w:spacing w:line="360" w:lineRule="auto"/>
        <w:ind w:firstLine="472" w:firstLineChars="196"/>
        <w:jc w:val="left"/>
        <w:rPr>
          <w:rFonts w:hint="default"/>
          <w:b/>
          <w:sz w:val="24"/>
        </w:rPr>
      </w:pPr>
      <w:r>
        <w:rPr>
          <w:rFonts w:hint="default"/>
          <w:b/>
          <w:sz w:val="24"/>
        </w:rPr>
        <w:t>（</w:t>
      </w:r>
      <w:r>
        <w:rPr>
          <w:b/>
          <w:sz w:val="24"/>
        </w:rPr>
        <w:t>五</w:t>
      </w:r>
      <w:r>
        <w:rPr>
          <w:rFonts w:hint="default"/>
          <w:b/>
          <w:sz w:val="24"/>
        </w:rPr>
        <w:t>）联合体投标</w:t>
      </w:r>
    </w:p>
    <w:p>
      <w:pPr>
        <w:adjustRightInd w:val="0"/>
        <w:snapToGrid w:val="0"/>
        <w:spacing w:line="360" w:lineRule="auto"/>
        <w:ind w:firstLine="480" w:firstLineChars="200"/>
        <w:jc w:val="left"/>
        <w:rPr>
          <w:rFonts w:hint="default"/>
          <w:b/>
          <w:bCs/>
          <w:sz w:val="24"/>
        </w:rPr>
      </w:pPr>
      <w:r>
        <w:rPr>
          <w:sz w:val="24"/>
        </w:rPr>
        <w:t>详见投标人须知前附表</w:t>
      </w:r>
    </w:p>
    <w:p>
      <w:pPr>
        <w:adjustRightInd w:val="0"/>
        <w:snapToGrid w:val="0"/>
        <w:spacing w:line="360" w:lineRule="auto"/>
        <w:ind w:firstLine="472" w:firstLineChars="196"/>
        <w:rPr>
          <w:rFonts w:hint="default"/>
          <w:b/>
          <w:kern w:val="0"/>
          <w:sz w:val="24"/>
        </w:rPr>
      </w:pPr>
      <w:r>
        <w:rPr>
          <w:rFonts w:hint="default"/>
          <w:b/>
          <w:sz w:val="24"/>
        </w:rPr>
        <w:t>（</w:t>
      </w:r>
      <w:r>
        <w:rPr>
          <w:b/>
          <w:sz w:val="24"/>
        </w:rPr>
        <w:t>六</w:t>
      </w:r>
      <w:r>
        <w:rPr>
          <w:rFonts w:hint="default"/>
          <w:b/>
          <w:sz w:val="24"/>
        </w:rPr>
        <w:t>）</w:t>
      </w:r>
      <w:r>
        <w:rPr>
          <w:rFonts w:hint="default"/>
          <w:b/>
          <w:kern w:val="0"/>
          <w:sz w:val="24"/>
        </w:rPr>
        <w:t>转包与分包</w:t>
      </w:r>
    </w:p>
    <w:p>
      <w:pPr>
        <w:adjustRightInd w:val="0"/>
        <w:snapToGrid w:val="0"/>
        <w:spacing w:line="360" w:lineRule="auto"/>
        <w:ind w:firstLine="470" w:firstLineChars="196"/>
        <w:jc w:val="left"/>
        <w:outlineLvl w:val="1"/>
        <w:rPr>
          <w:rFonts w:hint="default"/>
          <w:sz w:val="24"/>
        </w:rPr>
      </w:pPr>
      <w:r>
        <w:rPr>
          <w:sz w:val="24"/>
        </w:rPr>
        <w:t>详见投标人须知前附表</w:t>
      </w:r>
    </w:p>
    <w:p>
      <w:pPr>
        <w:adjustRightInd w:val="0"/>
        <w:snapToGrid w:val="0"/>
        <w:spacing w:line="360" w:lineRule="auto"/>
        <w:ind w:firstLine="472" w:firstLineChars="196"/>
        <w:outlineLvl w:val="1"/>
        <w:rPr>
          <w:rFonts w:hint="default" w:ascii="宋体" w:hAnsi="宋体" w:cs="宋体"/>
          <w:b/>
          <w:sz w:val="24"/>
        </w:rPr>
      </w:pPr>
      <w:r>
        <w:rPr>
          <w:rFonts w:ascii="宋体" w:hAnsi="宋体" w:cs="宋体"/>
          <w:b/>
          <w:sz w:val="24"/>
        </w:rPr>
        <w:t>（七）采购项目需要落实的政府采购政策</w:t>
      </w:r>
    </w:p>
    <w:p>
      <w:pPr>
        <w:adjustRightInd w:val="0"/>
        <w:snapToGrid w:val="0"/>
        <w:spacing w:line="360" w:lineRule="auto"/>
        <w:ind w:firstLine="480" w:firstLineChars="200"/>
        <w:rPr>
          <w:rFonts w:hint="default" w:ascii="宋体" w:hAnsi="宋体" w:cs="宋体"/>
          <w:sz w:val="24"/>
        </w:rPr>
      </w:pPr>
      <w:r>
        <w:rPr>
          <w:rFonts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kern w:val="0"/>
          <w:sz w:val="24"/>
        </w:rPr>
        <w:t>优先采购向我国企业转让技术、与我国企业签订消化吸收再创新方案的供应商的进口产品</w:t>
      </w:r>
      <w:r>
        <w:rPr>
          <w:rFonts w:ascii="宋体" w:hAnsi="宋体" w:cs="宋体"/>
          <w:sz w:val="24"/>
        </w:rPr>
        <w:t>。</w:t>
      </w:r>
    </w:p>
    <w:p>
      <w:pPr>
        <w:adjustRightInd w:val="0"/>
        <w:snapToGrid w:val="0"/>
        <w:spacing w:line="360" w:lineRule="auto"/>
        <w:ind w:firstLine="480" w:firstLineChars="200"/>
        <w:rPr>
          <w:rFonts w:hint="default" w:ascii="宋体" w:hAnsi="宋体" w:cs="宋体"/>
          <w:sz w:val="24"/>
        </w:rPr>
      </w:pPr>
      <w:r>
        <w:rPr>
          <w:rFonts w:ascii="宋体" w:hAnsi="宋体" w:cs="宋体"/>
          <w:sz w:val="24"/>
        </w:rPr>
        <w:t>2.支持绿色发展</w:t>
      </w:r>
    </w:p>
    <w:p>
      <w:pPr>
        <w:adjustRightInd w:val="0"/>
        <w:snapToGrid w:val="0"/>
        <w:spacing w:line="360" w:lineRule="auto"/>
        <w:ind w:firstLine="480" w:firstLineChars="200"/>
        <w:rPr>
          <w:rFonts w:hint="default" w:ascii="宋体" w:hAnsi="宋体" w:cs="宋体"/>
          <w:b/>
          <w:bCs/>
          <w:sz w:val="24"/>
        </w:rPr>
      </w:pPr>
      <w:r>
        <w:rPr>
          <w:rFonts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b/>
          <w:bCs/>
          <w:sz w:val="24"/>
          <w:u w:val="single"/>
        </w:rPr>
        <w:t>▲采购人拟采购的产品属于政府强制采购的节能产品品目清单范围的，投标人相应的投标产品未获得国家确定的认证机构出具的、处于有效期之内的节能产品认证证书的，投标无效。</w:t>
      </w:r>
    </w:p>
    <w:p>
      <w:pPr>
        <w:adjustRightInd w:val="0"/>
        <w:snapToGrid w:val="0"/>
        <w:spacing w:line="360" w:lineRule="auto"/>
        <w:ind w:firstLine="482" w:firstLineChars="200"/>
        <w:rPr>
          <w:rFonts w:hint="default" w:ascii="宋体" w:hAnsi="宋体" w:cs="宋体"/>
          <w:b/>
          <w:bCs/>
          <w:sz w:val="24"/>
        </w:rPr>
      </w:pPr>
      <w:r>
        <w:rPr>
          <w:rFonts w:ascii="宋体" w:hAnsi="宋体" w:cs="宋体"/>
          <w:b/>
          <w:bCs/>
          <w:sz w:val="24"/>
        </w:rPr>
        <w:t>《节能产品政府采购品目清单》详见《关于印发节能产品政府采购品目清单的通知(财库[2019]19号)》(如遇调整，按最新清单执行)。</w:t>
      </w:r>
    </w:p>
    <w:tbl>
      <w:tblPr>
        <w:tblStyle w:val="42"/>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pPr>
              <w:jc w:val="center"/>
              <w:rPr>
                <w:rFonts w:hint="default" w:ascii="宋体" w:hAnsi="宋体"/>
                <w:b/>
                <w:w w:val="90"/>
                <w:szCs w:val="21"/>
              </w:rPr>
            </w:pPr>
            <w:r>
              <w:rPr>
                <w:rFonts w:ascii="宋体" w:hAnsi="宋体"/>
                <w:b/>
                <w:w w:val="90"/>
                <w:szCs w:val="21"/>
              </w:rPr>
              <w:t>品目序号</w:t>
            </w:r>
          </w:p>
        </w:tc>
        <w:tc>
          <w:tcPr>
            <w:tcW w:w="5949" w:type="dxa"/>
            <w:gridSpan w:val="3"/>
            <w:shd w:val="clear" w:color="auto" w:fill="DAEEF3"/>
            <w:vAlign w:val="center"/>
          </w:tcPr>
          <w:p>
            <w:pPr>
              <w:jc w:val="center"/>
              <w:rPr>
                <w:rFonts w:hint="default" w:ascii="宋体" w:hAnsi="宋体"/>
                <w:b/>
                <w:w w:val="90"/>
                <w:szCs w:val="21"/>
              </w:rPr>
            </w:pPr>
            <w:r>
              <w:rPr>
                <w:rFonts w:ascii="宋体" w:hAnsi="宋体"/>
                <w:b/>
                <w:w w:val="90"/>
                <w:szCs w:val="21"/>
              </w:rPr>
              <w:t>名称（</w:t>
            </w:r>
            <w:r>
              <w:rPr>
                <w:rFonts w:ascii="宋体" w:hAnsi="宋体"/>
                <w:b/>
                <w:w w:val="90"/>
                <w:szCs w:val="22"/>
              </w:rPr>
              <w:t>以“</w:t>
            </w:r>
            <w:r>
              <w:rPr>
                <w:rFonts w:ascii="宋体" w:hAnsi="宋体" w:cs="宋体"/>
                <w:b/>
                <w:w w:val="90"/>
                <w:szCs w:val="22"/>
              </w:rPr>
              <w:t>★</w:t>
            </w:r>
            <w:r>
              <w:rPr>
                <w:rFonts w:ascii="宋体" w:hAnsi="宋体" w:cs="Calibri"/>
                <w:b/>
                <w:w w:val="90"/>
                <w:szCs w:val="22"/>
              </w:rPr>
              <w:t>”</w:t>
            </w:r>
            <w:r>
              <w:rPr>
                <w:rFonts w:ascii="宋体" w:hAnsi="宋体"/>
                <w:b/>
                <w:w w:val="90"/>
                <w:szCs w:val="22"/>
              </w:rPr>
              <w:t>标注的为政府强制采购产品）</w:t>
            </w:r>
          </w:p>
        </w:tc>
        <w:tc>
          <w:tcPr>
            <w:tcW w:w="3301" w:type="dxa"/>
            <w:shd w:val="clear" w:color="auto" w:fill="DAEEF3"/>
            <w:vAlign w:val="center"/>
          </w:tcPr>
          <w:p>
            <w:pPr>
              <w:jc w:val="center"/>
              <w:rPr>
                <w:rFonts w:hint="default" w:ascii="宋体" w:hAnsi="宋体"/>
                <w:b/>
                <w:w w:val="90"/>
                <w:szCs w:val="21"/>
              </w:rPr>
            </w:pPr>
            <w:r>
              <w:rPr>
                <w:rFonts w:ascii="宋体" w:hAnsi="宋体"/>
                <w:b/>
                <w:w w:val="90"/>
                <w:szCs w:val="21"/>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hint="default" w:ascii="宋体" w:hAnsi="宋体"/>
                <w:w w:val="90"/>
                <w:szCs w:val="21"/>
              </w:rPr>
            </w:pPr>
            <w:r>
              <w:rPr>
                <w:rFonts w:ascii="宋体" w:hAnsi="宋体"/>
                <w:w w:val="90"/>
                <w:szCs w:val="21"/>
              </w:rPr>
              <w:t>1</w:t>
            </w:r>
          </w:p>
        </w:tc>
        <w:tc>
          <w:tcPr>
            <w:tcW w:w="1933" w:type="dxa"/>
            <w:vMerge w:val="restart"/>
            <w:vAlign w:val="center"/>
          </w:tcPr>
          <w:p>
            <w:pPr>
              <w:jc w:val="left"/>
              <w:rPr>
                <w:rFonts w:hint="default" w:ascii="宋体" w:hAnsi="宋体"/>
                <w:w w:val="90"/>
                <w:szCs w:val="21"/>
              </w:rPr>
            </w:pPr>
            <w:r>
              <w:rPr>
                <w:rFonts w:ascii="宋体" w:hAnsi="宋体"/>
                <w:w w:val="90"/>
                <w:szCs w:val="21"/>
              </w:rPr>
              <w:t>A020101计算机设备</w:t>
            </w:r>
          </w:p>
        </w:tc>
        <w:tc>
          <w:tcPr>
            <w:tcW w:w="2334" w:type="dxa"/>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A02010104</w:t>
            </w:r>
            <w:r>
              <w:rPr>
                <w:rFonts w:ascii="宋体" w:hAnsi="宋体"/>
                <w:b/>
                <w:w w:val="90"/>
                <w:szCs w:val="21"/>
              </w:rPr>
              <w:t>台式计算机</w:t>
            </w: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A02010105</w:t>
            </w:r>
            <w:r>
              <w:rPr>
                <w:rFonts w:ascii="宋体" w:hAnsi="宋体"/>
                <w:b/>
                <w:w w:val="90"/>
                <w:szCs w:val="21"/>
              </w:rPr>
              <w:t>便携式计算</w:t>
            </w: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A02010107</w:t>
            </w:r>
            <w:r>
              <w:rPr>
                <w:rFonts w:ascii="宋体" w:hAnsi="宋体"/>
                <w:b/>
                <w:w w:val="90"/>
                <w:szCs w:val="21"/>
              </w:rPr>
              <w:t>平板式微型计算机</w:t>
            </w: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hint="default" w:ascii="宋体" w:hAnsi="宋体"/>
                <w:w w:val="90"/>
                <w:szCs w:val="21"/>
              </w:rPr>
            </w:pPr>
            <w:r>
              <w:rPr>
                <w:rFonts w:ascii="宋体" w:hAnsi="宋体"/>
                <w:w w:val="90"/>
                <w:szCs w:val="21"/>
              </w:rPr>
              <w:t>2</w:t>
            </w:r>
          </w:p>
        </w:tc>
        <w:tc>
          <w:tcPr>
            <w:tcW w:w="1933" w:type="dxa"/>
            <w:vMerge w:val="restart"/>
            <w:vAlign w:val="center"/>
          </w:tcPr>
          <w:p>
            <w:pPr>
              <w:jc w:val="left"/>
              <w:rPr>
                <w:rFonts w:hint="default" w:ascii="宋体" w:hAnsi="宋体"/>
                <w:w w:val="90"/>
                <w:szCs w:val="21"/>
              </w:rPr>
            </w:pPr>
            <w:r>
              <w:rPr>
                <w:rFonts w:ascii="宋体" w:hAnsi="宋体"/>
                <w:w w:val="90"/>
                <w:szCs w:val="21"/>
              </w:rPr>
              <w:t>A020106输入输出设备</w:t>
            </w:r>
          </w:p>
        </w:tc>
        <w:tc>
          <w:tcPr>
            <w:tcW w:w="2334" w:type="dxa"/>
            <w:vMerge w:val="restart"/>
            <w:vAlign w:val="center"/>
          </w:tcPr>
          <w:p>
            <w:pPr>
              <w:jc w:val="left"/>
              <w:rPr>
                <w:rFonts w:hint="default" w:ascii="宋体" w:hAnsi="宋体"/>
                <w:w w:val="90"/>
                <w:szCs w:val="21"/>
              </w:rPr>
            </w:pPr>
            <w:r>
              <w:rPr>
                <w:rFonts w:ascii="宋体" w:hAnsi="宋体"/>
                <w:w w:val="90"/>
                <w:szCs w:val="21"/>
              </w:rPr>
              <w:t>A02010601打印设备</w:t>
            </w:r>
          </w:p>
        </w:tc>
        <w:tc>
          <w:tcPr>
            <w:tcW w:w="1682" w:type="dxa"/>
            <w:vAlign w:val="center"/>
          </w:tcPr>
          <w:p>
            <w:pPr>
              <w:jc w:val="left"/>
              <w:rPr>
                <w:rFonts w:hint="default" w:ascii="宋体" w:hAnsi="宋体"/>
                <w:w w:val="90"/>
                <w:szCs w:val="21"/>
              </w:rPr>
            </w:pPr>
            <w:r>
              <w:rPr>
                <w:rFonts w:ascii="宋体" w:hAnsi="宋体" w:cs="宋体"/>
                <w:b/>
                <w:bCs/>
                <w:w w:val="90"/>
                <w:szCs w:val="21"/>
              </w:rPr>
              <w:t>A0201060101喷墨打印机</w:t>
            </w:r>
          </w:p>
        </w:tc>
        <w:tc>
          <w:tcPr>
            <w:tcW w:w="3301" w:type="dxa"/>
            <w:vAlign w:val="center"/>
          </w:tcPr>
          <w:p>
            <w:pPr>
              <w:jc w:val="left"/>
              <w:rPr>
                <w:rFonts w:hint="default" w:ascii="宋体" w:hAnsi="宋体"/>
                <w:w w:val="90"/>
                <w:szCs w:val="21"/>
              </w:rPr>
            </w:pPr>
            <w:r>
              <w:rPr>
                <w:rFonts w:ascii="宋体" w:hAnsi="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Merge w:val="continue"/>
            <w:vAlign w:val="center"/>
          </w:tcPr>
          <w:p>
            <w:pPr>
              <w:jc w:val="left"/>
              <w:rPr>
                <w:rFonts w:hint="default" w:ascii="宋体" w:hAnsi="宋体"/>
                <w:w w:val="90"/>
                <w:szCs w:val="21"/>
              </w:rPr>
            </w:pPr>
          </w:p>
        </w:tc>
        <w:tc>
          <w:tcPr>
            <w:tcW w:w="1682" w:type="dxa"/>
            <w:vAlign w:val="center"/>
          </w:tcPr>
          <w:p>
            <w:pPr>
              <w:jc w:val="left"/>
              <w:rPr>
                <w:rFonts w:hint="default" w:ascii="宋体" w:hAnsi="宋体"/>
                <w:b/>
                <w:w w:val="90"/>
                <w:szCs w:val="21"/>
              </w:rPr>
            </w:pPr>
            <w:r>
              <w:rPr>
                <w:rFonts w:ascii="宋体" w:hAnsi="宋体" w:cs="宋体"/>
                <w:w w:val="90"/>
                <w:szCs w:val="21"/>
              </w:rPr>
              <w:t>★</w:t>
            </w:r>
            <w:r>
              <w:rPr>
                <w:rFonts w:ascii="宋体" w:hAnsi="宋体"/>
                <w:b/>
                <w:w w:val="90"/>
                <w:szCs w:val="21"/>
              </w:rPr>
              <w:t>A0201060102激光打印机</w:t>
            </w:r>
          </w:p>
        </w:tc>
        <w:tc>
          <w:tcPr>
            <w:tcW w:w="3301" w:type="dxa"/>
            <w:vAlign w:val="center"/>
          </w:tcPr>
          <w:p>
            <w:pPr>
              <w:jc w:val="left"/>
              <w:rPr>
                <w:rFonts w:hint="default" w:ascii="宋体" w:hAnsi="宋体"/>
                <w:w w:val="90"/>
                <w:szCs w:val="21"/>
              </w:rPr>
            </w:pPr>
            <w:r>
              <w:rPr>
                <w:rFonts w:ascii="宋体" w:hAnsi="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Merge w:val="continue"/>
            <w:vAlign w:val="center"/>
          </w:tcPr>
          <w:p>
            <w:pPr>
              <w:jc w:val="left"/>
              <w:rPr>
                <w:rFonts w:hint="default" w:ascii="宋体" w:hAnsi="宋体"/>
                <w:w w:val="90"/>
                <w:szCs w:val="21"/>
              </w:rPr>
            </w:pPr>
          </w:p>
        </w:tc>
        <w:tc>
          <w:tcPr>
            <w:tcW w:w="1682" w:type="dxa"/>
            <w:vAlign w:val="center"/>
          </w:tcPr>
          <w:p>
            <w:pPr>
              <w:jc w:val="left"/>
              <w:rPr>
                <w:rFonts w:hint="default" w:ascii="宋体" w:hAnsi="宋体"/>
                <w:b/>
                <w:w w:val="90"/>
                <w:szCs w:val="21"/>
              </w:rPr>
            </w:pPr>
            <w:r>
              <w:rPr>
                <w:rFonts w:ascii="宋体" w:hAnsi="宋体" w:cs="宋体"/>
                <w:w w:val="90"/>
                <w:szCs w:val="21"/>
              </w:rPr>
              <w:t>★</w:t>
            </w:r>
            <w:r>
              <w:rPr>
                <w:rFonts w:ascii="宋体" w:hAnsi="宋体"/>
                <w:b/>
                <w:w w:val="90"/>
                <w:szCs w:val="21"/>
              </w:rPr>
              <w:t>A0201060104针式打印机</w:t>
            </w:r>
          </w:p>
        </w:tc>
        <w:tc>
          <w:tcPr>
            <w:tcW w:w="3301" w:type="dxa"/>
            <w:vAlign w:val="center"/>
          </w:tcPr>
          <w:p>
            <w:pPr>
              <w:jc w:val="left"/>
              <w:rPr>
                <w:rFonts w:hint="default" w:ascii="宋体" w:hAnsi="宋体"/>
                <w:w w:val="90"/>
                <w:szCs w:val="21"/>
              </w:rPr>
            </w:pPr>
            <w:r>
              <w:rPr>
                <w:rFonts w:ascii="宋体" w:hAnsi="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Align w:val="center"/>
          </w:tcPr>
          <w:p>
            <w:pPr>
              <w:jc w:val="left"/>
              <w:rPr>
                <w:rFonts w:hint="default" w:ascii="宋体" w:hAnsi="宋体"/>
                <w:w w:val="90"/>
                <w:szCs w:val="21"/>
              </w:rPr>
            </w:pPr>
            <w:r>
              <w:rPr>
                <w:rFonts w:ascii="宋体" w:hAnsi="宋体"/>
                <w:w w:val="90"/>
                <w:szCs w:val="21"/>
              </w:rPr>
              <w:t>A02010604显示设备</w:t>
            </w:r>
          </w:p>
        </w:tc>
        <w:tc>
          <w:tcPr>
            <w:tcW w:w="1682" w:type="dxa"/>
            <w:vAlign w:val="center"/>
          </w:tcPr>
          <w:p>
            <w:pPr>
              <w:jc w:val="left"/>
              <w:rPr>
                <w:rFonts w:hint="default" w:ascii="宋体" w:hAnsi="宋体"/>
                <w:b/>
                <w:w w:val="90"/>
                <w:szCs w:val="21"/>
              </w:rPr>
            </w:pPr>
            <w:r>
              <w:rPr>
                <w:rFonts w:ascii="宋体" w:hAnsi="宋体" w:cs="宋体"/>
                <w:w w:val="90"/>
                <w:szCs w:val="21"/>
              </w:rPr>
              <w:t>★</w:t>
            </w:r>
            <w:r>
              <w:rPr>
                <w:rFonts w:ascii="宋体" w:hAnsi="宋体"/>
                <w:b/>
                <w:w w:val="90"/>
                <w:szCs w:val="21"/>
              </w:rPr>
              <w:t>A0201060401液晶显示器</w:t>
            </w:r>
          </w:p>
        </w:tc>
        <w:tc>
          <w:tcPr>
            <w:tcW w:w="3301" w:type="dxa"/>
            <w:vAlign w:val="center"/>
          </w:tcPr>
          <w:p>
            <w:pPr>
              <w:jc w:val="left"/>
              <w:rPr>
                <w:rFonts w:hint="default" w:ascii="宋体" w:hAnsi="宋体"/>
                <w:w w:val="90"/>
                <w:szCs w:val="21"/>
              </w:rPr>
            </w:pPr>
            <w:r>
              <w:rPr>
                <w:rFonts w:ascii="宋体" w:hAnsi="宋体"/>
                <w:w w:val="90"/>
                <w:szCs w:val="21"/>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Align w:val="center"/>
          </w:tcPr>
          <w:p>
            <w:pPr>
              <w:jc w:val="left"/>
              <w:rPr>
                <w:rFonts w:hint="default" w:ascii="宋体" w:hAnsi="宋体"/>
                <w:w w:val="90"/>
                <w:szCs w:val="21"/>
              </w:rPr>
            </w:pPr>
            <w:r>
              <w:rPr>
                <w:rFonts w:ascii="宋体" w:hAnsi="宋体"/>
                <w:w w:val="90"/>
                <w:szCs w:val="21"/>
              </w:rPr>
              <w:t>A02010609图形图像输入设备</w:t>
            </w:r>
          </w:p>
        </w:tc>
        <w:tc>
          <w:tcPr>
            <w:tcW w:w="1682" w:type="dxa"/>
            <w:vAlign w:val="center"/>
          </w:tcPr>
          <w:p>
            <w:pPr>
              <w:jc w:val="left"/>
              <w:rPr>
                <w:rFonts w:hint="default" w:ascii="宋体" w:hAnsi="宋体"/>
                <w:w w:val="90"/>
                <w:szCs w:val="21"/>
              </w:rPr>
            </w:pPr>
            <w:r>
              <w:rPr>
                <w:rFonts w:ascii="宋体" w:hAnsi="宋体"/>
                <w:w w:val="90"/>
                <w:szCs w:val="21"/>
              </w:rPr>
              <w:t>A0201060901扫描仪</w:t>
            </w:r>
          </w:p>
        </w:tc>
        <w:tc>
          <w:tcPr>
            <w:tcW w:w="3301" w:type="dxa"/>
            <w:vAlign w:val="center"/>
          </w:tcPr>
          <w:p>
            <w:pPr>
              <w:jc w:val="left"/>
              <w:rPr>
                <w:rFonts w:hint="default" w:ascii="宋体" w:hAnsi="宋体"/>
                <w:w w:val="90"/>
                <w:szCs w:val="21"/>
              </w:rPr>
            </w:pPr>
            <w:r>
              <w:rPr>
                <w:rFonts w:ascii="宋体" w:hAnsi="宋体"/>
                <w:w w:val="90"/>
                <w:szCs w:val="21"/>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w w:val="90"/>
                <w:szCs w:val="21"/>
              </w:rPr>
            </w:pPr>
            <w:r>
              <w:rPr>
                <w:rFonts w:ascii="宋体" w:hAnsi="宋体"/>
                <w:w w:val="90"/>
                <w:szCs w:val="21"/>
              </w:rPr>
              <w:t>3</w:t>
            </w:r>
          </w:p>
        </w:tc>
        <w:tc>
          <w:tcPr>
            <w:tcW w:w="1933" w:type="dxa"/>
            <w:vAlign w:val="center"/>
          </w:tcPr>
          <w:p>
            <w:pPr>
              <w:jc w:val="left"/>
              <w:rPr>
                <w:rFonts w:hint="default" w:ascii="宋体" w:hAnsi="宋体"/>
                <w:w w:val="90"/>
                <w:szCs w:val="21"/>
              </w:rPr>
            </w:pPr>
            <w:r>
              <w:rPr>
                <w:rFonts w:ascii="宋体" w:hAnsi="宋体"/>
                <w:w w:val="90"/>
                <w:szCs w:val="21"/>
              </w:rPr>
              <w:t>A020202投影仪</w:t>
            </w:r>
          </w:p>
        </w:tc>
        <w:tc>
          <w:tcPr>
            <w:tcW w:w="2334" w:type="dxa"/>
            <w:vAlign w:val="center"/>
          </w:tcPr>
          <w:p>
            <w:pPr>
              <w:jc w:val="left"/>
              <w:rPr>
                <w:rFonts w:hint="default" w:ascii="宋体" w:hAnsi="宋体"/>
                <w:w w:val="90"/>
                <w:szCs w:val="21"/>
              </w:rPr>
            </w:pP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w w:val="90"/>
                <w:szCs w:val="21"/>
              </w:rPr>
            </w:pPr>
            <w:r>
              <w:rPr>
                <w:rFonts w:ascii="宋体" w:hAnsi="宋体"/>
                <w:w w:val="90"/>
                <w:szCs w:val="21"/>
              </w:rPr>
              <w:t>4</w:t>
            </w:r>
          </w:p>
        </w:tc>
        <w:tc>
          <w:tcPr>
            <w:tcW w:w="1933" w:type="dxa"/>
            <w:vAlign w:val="center"/>
          </w:tcPr>
          <w:p>
            <w:pPr>
              <w:jc w:val="left"/>
              <w:rPr>
                <w:rFonts w:hint="default" w:ascii="宋体" w:hAnsi="宋体"/>
                <w:w w:val="90"/>
                <w:szCs w:val="21"/>
              </w:rPr>
            </w:pPr>
            <w:r>
              <w:rPr>
                <w:rFonts w:ascii="宋体" w:hAnsi="宋体"/>
                <w:w w:val="90"/>
                <w:szCs w:val="21"/>
              </w:rPr>
              <w:t>A020204352多功能一体机</w:t>
            </w:r>
          </w:p>
        </w:tc>
        <w:tc>
          <w:tcPr>
            <w:tcW w:w="2334" w:type="dxa"/>
            <w:vAlign w:val="center"/>
          </w:tcPr>
          <w:p>
            <w:pPr>
              <w:jc w:val="left"/>
              <w:rPr>
                <w:rFonts w:hint="default" w:ascii="宋体" w:hAnsi="宋体"/>
                <w:w w:val="90"/>
                <w:szCs w:val="21"/>
              </w:rPr>
            </w:pP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w w:val="90"/>
                <w:szCs w:val="21"/>
              </w:rPr>
            </w:pPr>
            <w:r>
              <w:rPr>
                <w:rFonts w:ascii="宋体" w:hAnsi="宋体"/>
                <w:w w:val="90"/>
                <w:szCs w:val="21"/>
              </w:rPr>
              <w:t>5</w:t>
            </w:r>
          </w:p>
        </w:tc>
        <w:tc>
          <w:tcPr>
            <w:tcW w:w="1933" w:type="dxa"/>
            <w:vAlign w:val="center"/>
          </w:tcPr>
          <w:p>
            <w:pPr>
              <w:jc w:val="left"/>
              <w:rPr>
                <w:rFonts w:hint="default" w:ascii="宋体" w:hAnsi="宋体"/>
                <w:w w:val="90"/>
                <w:szCs w:val="21"/>
              </w:rPr>
            </w:pPr>
            <w:r>
              <w:rPr>
                <w:rFonts w:ascii="宋体" w:hAnsi="宋体"/>
                <w:w w:val="90"/>
                <w:szCs w:val="21"/>
              </w:rPr>
              <w:t>A020519泵</w:t>
            </w:r>
          </w:p>
        </w:tc>
        <w:tc>
          <w:tcPr>
            <w:tcW w:w="2334" w:type="dxa"/>
            <w:vAlign w:val="center"/>
          </w:tcPr>
          <w:p>
            <w:pPr>
              <w:jc w:val="left"/>
              <w:rPr>
                <w:rFonts w:hint="default" w:ascii="宋体" w:hAnsi="宋体"/>
                <w:w w:val="90"/>
                <w:szCs w:val="21"/>
              </w:rPr>
            </w:pPr>
            <w:r>
              <w:rPr>
                <w:rFonts w:ascii="宋体" w:hAnsi="宋体"/>
                <w:w w:val="90"/>
                <w:szCs w:val="21"/>
              </w:rPr>
              <w:t>A02051901离心泵</w:t>
            </w: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hint="default" w:ascii="宋体" w:hAnsi="宋体"/>
                <w:w w:val="90"/>
                <w:szCs w:val="21"/>
              </w:rPr>
            </w:pPr>
            <w:r>
              <w:rPr>
                <w:rFonts w:ascii="宋体" w:hAnsi="宋体"/>
                <w:w w:val="90"/>
                <w:szCs w:val="21"/>
              </w:rPr>
              <w:t>6</w:t>
            </w:r>
          </w:p>
        </w:tc>
        <w:tc>
          <w:tcPr>
            <w:tcW w:w="1933" w:type="dxa"/>
            <w:vMerge w:val="restart"/>
            <w:vAlign w:val="center"/>
          </w:tcPr>
          <w:p>
            <w:pPr>
              <w:jc w:val="left"/>
              <w:rPr>
                <w:rFonts w:hint="default" w:ascii="宋体" w:hAnsi="宋体"/>
                <w:w w:val="90"/>
                <w:szCs w:val="21"/>
              </w:rPr>
            </w:pPr>
            <w:r>
              <w:rPr>
                <w:rFonts w:ascii="宋体" w:hAnsi="宋体"/>
                <w:w w:val="90"/>
                <w:szCs w:val="21"/>
              </w:rPr>
              <w:t>A020523制冷空调设备</w:t>
            </w:r>
          </w:p>
        </w:tc>
        <w:tc>
          <w:tcPr>
            <w:tcW w:w="2334" w:type="dxa"/>
            <w:vMerge w:val="restart"/>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A02052301</w:t>
            </w:r>
            <w:r>
              <w:rPr>
                <w:rFonts w:ascii="宋体" w:hAnsi="宋体"/>
                <w:b/>
                <w:w w:val="90"/>
                <w:szCs w:val="21"/>
              </w:rPr>
              <w:t>制冷压缩机</w:t>
            </w:r>
          </w:p>
        </w:tc>
        <w:tc>
          <w:tcPr>
            <w:tcW w:w="1682" w:type="dxa"/>
            <w:vAlign w:val="center"/>
          </w:tcPr>
          <w:p>
            <w:pPr>
              <w:jc w:val="left"/>
              <w:rPr>
                <w:rFonts w:hint="default" w:ascii="宋体" w:hAnsi="宋体"/>
                <w:b/>
                <w:w w:val="90"/>
                <w:szCs w:val="21"/>
              </w:rPr>
            </w:pPr>
            <w:r>
              <w:rPr>
                <w:rFonts w:ascii="宋体" w:hAnsi="宋体"/>
                <w:b/>
                <w:w w:val="90"/>
                <w:szCs w:val="21"/>
              </w:rPr>
              <w:t>冷水机组</w:t>
            </w:r>
          </w:p>
        </w:tc>
        <w:tc>
          <w:tcPr>
            <w:tcW w:w="3301" w:type="dxa"/>
            <w:vAlign w:val="center"/>
          </w:tcPr>
          <w:p>
            <w:pPr>
              <w:jc w:val="left"/>
              <w:rPr>
                <w:rFonts w:hint="default" w:ascii="宋体" w:hAnsi="宋体"/>
                <w:w w:val="90"/>
                <w:szCs w:val="21"/>
              </w:rPr>
            </w:pPr>
            <w:r>
              <w:rPr>
                <w:rFonts w:ascii="宋体" w:hAnsi="宋体"/>
                <w:w w:val="90"/>
                <w:szCs w:val="21"/>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Merge w:val="continue"/>
            <w:vAlign w:val="center"/>
          </w:tcPr>
          <w:p>
            <w:pPr>
              <w:jc w:val="left"/>
              <w:rPr>
                <w:rFonts w:hint="default" w:ascii="宋体" w:hAnsi="宋体"/>
                <w:b/>
                <w:w w:val="90"/>
                <w:szCs w:val="21"/>
              </w:rPr>
            </w:pPr>
          </w:p>
        </w:tc>
        <w:tc>
          <w:tcPr>
            <w:tcW w:w="1682" w:type="dxa"/>
            <w:vAlign w:val="center"/>
          </w:tcPr>
          <w:p>
            <w:pPr>
              <w:jc w:val="left"/>
              <w:rPr>
                <w:rFonts w:hint="default" w:ascii="宋体" w:hAnsi="宋体"/>
                <w:b/>
                <w:w w:val="90"/>
                <w:szCs w:val="21"/>
              </w:rPr>
            </w:pPr>
            <w:r>
              <w:rPr>
                <w:rFonts w:ascii="宋体" w:hAnsi="宋体"/>
                <w:b/>
                <w:w w:val="90"/>
                <w:szCs w:val="21"/>
              </w:rPr>
              <w:t>水源热泵机组</w:t>
            </w:r>
          </w:p>
        </w:tc>
        <w:tc>
          <w:tcPr>
            <w:tcW w:w="3301" w:type="dxa"/>
            <w:vAlign w:val="center"/>
          </w:tcPr>
          <w:p>
            <w:pPr>
              <w:jc w:val="left"/>
              <w:rPr>
                <w:rFonts w:hint="default" w:ascii="宋体" w:hAnsi="宋体"/>
                <w:w w:val="90"/>
                <w:szCs w:val="21"/>
              </w:rPr>
            </w:pPr>
            <w:r>
              <w:rPr>
                <w:rFonts w:ascii="宋体" w:hAnsi="宋体"/>
                <w:w w:val="90"/>
                <w:szCs w:val="21"/>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Merge w:val="continue"/>
            <w:vAlign w:val="center"/>
          </w:tcPr>
          <w:p>
            <w:pPr>
              <w:jc w:val="left"/>
              <w:rPr>
                <w:rFonts w:hint="default" w:ascii="宋体" w:hAnsi="宋体"/>
                <w:b/>
                <w:w w:val="90"/>
                <w:szCs w:val="21"/>
              </w:rPr>
            </w:pPr>
          </w:p>
        </w:tc>
        <w:tc>
          <w:tcPr>
            <w:tcW w:w="1682" w:type="dxa"/>
            <w:vAlign w:val="center"/>
          </w:tcPr>
          <w:p>
            <w:pPr>
              <w:jc w:val="left"/>
              <w:rPr>
                <w:rFonts w:hint="default" w:ascii="宋体" w:hAnsi="宋体"/>
                <w:b/>
                <w:w w:val="90"/>
                <w:szCs w:val="21"/>
              </w:rPr>
            </w:pPr>
            <w:r>
              <w:rPr>
                <w:rFonts w:ascii="宋体" w:hAnsi="宋体"/>
                <w:b/>
                <w:w w:val="90"/>
                <w:szCs w:val="21"/>
              </w:rPr>
              <w:t>溴化锂吸收式冷水机组</w:t>
            </w:r>
          </w:p>
        </w:tc>
        <w:tc>
          <w:tcPr>
            <w:tcW w:w="3301" w:type="dxa"/>
            <w:vAlign w:val="center"/>
          </w:tcPr>
          <w:p>
            <w:pPr>
              <w:jc w:val="left"/>
              <w:rPr>
                <w:rFonts w:hint="default" w:ascii="宋体" w:hAnsi="宋体"/>
                <w:w w:val="90"/>
                <w:szCs w:val="21"/>
              </w:rPr>
            </w:pPr>
            <w:r>
              <w:rPr>
                <w:rFonts w:ascii="宋体" w:hAnsi="宋体"/>
                <w:w w:val="90"/>
                <w:szCs w:val="21"/>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Merge w:val="restart"/>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A02052305</w:t>
            </w:r>
            <w:r>
              <w:rPr>
                <w:rFonts w:ascii="宋体" w:hAnsi="宋体"/>
                <w:b/>
                <w:w w:val="90"/>
                <w:szCs w:val="21"/>
              </w:rPr>
              <w:t>空调机组</w:t>
            </w:r>
          </w:p>
        </w:tc>
        <w:tc>
          <w:tcPr>
            <w:tcW w:w="1682" w:type="dxa"/>
            <w:vAlign w:val="center"/>
          </w:tcPr>
          <w:p>
            <w:pPr>
              <w:jc w:val="left"/>
              <w:rPr>
                <w:rFonts w:hint="default" w:ascii="宋体" w:hAnsi="宋体"/>
                <w:b/>
                <w:w w:val="90"/>
                <w:szCs w:val="21"/>
              </w:rPr>
            </w:pPr>
            <w:r>
              <w:rPr>
                <w:rFonts w:ascii="宋体" w:hAnsi="宋体"/>
                <w:b/>
                <w:w w:val="90"/>
                <w:szCs w:val="21"/>
              </w:rPr>
              <w:t>多联式空调（热泵）机组(制冷量&gt;14000W)</w:t>
            </w:r>
          </w:p>
        </w:tc>
        <w:tc>
          <w:tcPr>
            <w:tcW w:w="3301" w:type="dxa"/>
            <w:vAlign w:val="center"/>
          </w:tcPr>
          <w:p>
            <w:pPr>
              <w:jc w:val="left"/>
              <w:rPr>
                <w:rFonts w:hint="default" w:ascii="宋体" w:hAnsi="宋体"/>
                <w:w w:val="90"/>
                <w:szCs w:val="21"/>
              </w:rPr>
            </w:pPr>
            <w:r>
              <w:rPr>
                <w:rFonts w:ascii="宋体" w:hAnsi="宋体"/>
                <w:w w:val="90"/>
                <w:szCs w:val="21"/>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Merge w:val="continue"/>
            <w:vAlign w:val="center"/>
          </w:tcPr>
          <w:p>
            <w:pPr>
              <w:jc w:val="left"/>
              <w:rPr>
                <w:rFonts w:hint="default" w:ascii="宋体" w:hAnsi="宋体"/>
                <w:b/>
                <w:w w:val="90"/>
                <w:szCs w:val="21"/>
              </w:rPr>
            </w:pPr>
          </w:p>
        </w:tc>
        <w:tc>
          <w:tcPr>
            <w:tcW w:w="1682" w:type="dxa"/>
            <w:vAlign w:val="center"/>
          </w:tcPr>
          <w:p>
            <w:pPr>
              <w:jc w:val="left"/>
              <w:rPr>
                <w:rFonts w:hint="default" w:ascii="宋体" w:hAnsi="宋体"/>
                <w:b/>
                <w:w w:val="90"/>
                <w:szCs w:val="21"/>
              </w:rPr>
            </w:pPr>
            <w:r>
              <w:rPr>
                <w:rFonts w:ascii="宋体" w:hAnsi="宋体"/>
                <w:b/>
                <w:w w:val="90"/>
                <w:szCs w:val="21"/>
              </w:rPr>
              <w:t>单元式空气调节机(制冷量&gt;14000W)</w:t>
            </w:r>
          </w:p>
        </w:tc>
        <w:tc>
          <w:tcPr>
            <w:tcW w:w="3301" w:type="dxa"/>
            <w:vAlign w:val="center"/>
          </w:tcPr>
          <w:p>
            <w:pPr>
              <w:jc w:val="left"/>
              <w:rPr>
                <w:rFonts w:hint="default" w:ascii="宋体" w:hAnsi="宋体"/>
                <w:w w:val="90"/>
                <w:szCs w:val="21"/>
              </w:rPr>
            </w:pPr>
            <w:r>
              <w:rPr>
                <w:rFonts w:ascii="宋体" w:hAnsi="宋体"/>
                <w:w w:val="90"/>
                <w:szCs w:val="21"/>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A02052309</w:t>
            </w:r>
            <w:r>
              <w:rPr>
                <w:rFonts w:ascii="宋体" w:hAnsi="宋体"/>
                <w:b/>
                <w:w w:val="90"/>
                <w:szCs w:val="21"/>
              </w:rPr>
              <w:t>专用制冷、空调设备</w:t>
            </w:r>
          </w:p>
        </w:tc>
        <w:tc>
          <w:tcPr>
            <w:tcW w:w="1682" w:type="dxa"/>
            <w:vAlign w:val="center"/>
          </w:tcPr>
          <w:p>
            <w:pPr>
              <w:jc w:val="left"/>
              <w:rPr>
                <w:rFonts w:hint="default" w:ascii="宋体" w:hAnsi="宋体"/>
                <w:b/>
                <w:w w:val="90"/>
                <w:szCs w:val="21"/>
              </w:rPr>
            </w:pPr>
            <w:r>
              <w:rPr>
                <w:rFonts w:ascii="宋体" w:hAnsi="宋体"/>
                <w:b/>
                <w:w w:val="90"/>
                <w:szCs w:val="21"/>
              </w:rPr>
              <w:t>机房空调</w:t>
            </w:r>
          </w:p>
        </w:tc>
        <w:tc>
          <w:tcPr>
            <w:tcW w:w="3301" w:type="dxa"/>
            <w:vAlign w:val="center"/>
          </w:tcPr>
          <w:p>
            <w:pPr>
              <w:jc w:val="left"/>
              <w:rPr>
                <w:rFonts w:hint="default" w:ascii="宋体" w:hAnsi="宋体"/>
                <w:w w:val="90"/>
                <w:szCs w:val="21"/>
              </w:rPr>
            </w:pPr>
            <w:r>
              <w:rPr>
                <w:rFonts w:ascii="宋体" w:hAnsi="宋体"/>
                <w:w w:val="90"/>
                <w:szCs w:val="21"/>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Align w:val="center"/>
          </w:tcPr>
          <w:p>
            <w:pPr>
              <w:jc w:val="left"/>
              <w:rPr>
                <w:rFonts w:hint="default" w:ascii="宋体" w:hAnsi="宋体"/>
                <w:w w:val="90"/>
                <w:szCs w:val="21"/>
              </w:rPr>
            </w:pPr>
            <w:r>
              <w:rPr>
                <w:rFonts w:ascii="宋体" w:hAnsi="宋体"/>
                <w:w w:val="90"/>
                <w:szCs w:val="21"/>
              </w:rPr>
              <w:t>A02052399其他制冷空调设备</w:t>
            </w:r>
          </w:p>
        </w:tc>
        <w:tc>
          <w:tcPr>
            <w:tcW w:w="1682" w:type="dxa"/>
            <w:vAlign w:val="center"/>
          </w:tcPr>
          <w:p>
            <w:pPr>
              <w:jc w:val="left"/>
              <w:rPr>
                <w:rFonts w:hint="default" w:ascii="宋体" w:hAnsi="宋体"/>
                <w:w w:val="90"/>
                <w:szCs w:val="21"/>
              </w:rPr>
            </w:pPr>
            <w:r>
              <w:rPr>
                <w:rFonts w:ascii="宋体" w:hAnsi="宋体"/>
                <w:w w:val="90"/>
                <w:szCs w:val="21"/>
              </w:rPr>
              <w:t>冷却塔</w:t>
            </w:r>
          </w:p>
        </w:tc>
        <w:tc>
          <w:tcPr>
            <w:tcW w:w="3301" w:type="dxa"/>
            <w:vAlign w:val="center"/>
          </w:tcPr>
          <w:p>
            <w:pPr>
              <w:jc w:val="left"/>
              <w:rPr>
                <w:rFonts w:hint="default" w:ascii="宋体" w:hAnsi="宋体"/>
                <w:w w:val="90"/>
                <w:szCs w:val="21"/>
              </w:rPr>
            </w:pPr>
            <w:r>
              <w:rPr>
                <w:rFonts w:ascii="宋体" w:hAnsi="宋体"/>
                <w:w w:val="90"/>
                <w:szCs w:val="21"/>
              </w:rPr>
              <w:t>《机械通风冷却塔 第 1 部分：中小型开式冷却塔》（GB/T 7190.1）</w:t>
            </w:r>
          </w:p>
          <w:p>
            <w:pPr>
              <w:jc w:val="left"/>
              <w:rPr>
                <w:rFonts w:hint="default" w:ascii="宋体" w:hAnsi="宋体"/>
                <w:w w:val="90"/>
                <w:szCs w:val="21"/>
              </w:rPr>
            </w:pPr>
            <w:r>
              <w:rPr>
                <w:rFonts w:ascii="宋体" w:hAnsi="宋体"/>
                <w:w w:val="90"/>
                <w:szCs w:val="21"/>
              </w:rPr>
              <w:t>《机械通风冷却塔 第 2 部分：大型开式冷却塔》（GB/T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w w:val="90"/>
                <w:szCs w:val="21"/>
              </w:rPr>
            </w:pPr>
            <w:r>
              <w:rPr>
                <w:rFonts w:ascii="宋体" w:hAnsi="宋体"/>
                <w:w w:val="90"/>
                <w:szCs w:val="21"/>
              </w:rPr>
              <w:t>7</w:t>
            </w:r>
          </w:p>
        </w:tc>
        <w:tc>
          <w:tcPr>
            <w:tcW w:w="1933" w:type="dxa"/>
            <w:vAlign w:val="center"/>
          </w:tcPr>
          <w:p>
            <w:pPr>
              <w:jc w:val="left"/>
              <w:rPr>
                <w:rFonts w:hint="default" w:ascii="宋体" w:hAnsi="宋体"/>
                <w:w w:val="90"/>
                <w:szCs w:val="21"/>
              </w:rPr>
            </w:pPr>
            <w:r>
              <w:rPr>
                <w:rFonts w:ascii="宋体" w:hAnsi="宋体"/>
                <w:w w:val="90"/>
                <w:szCs w:val="21"/>
              </w:rPr>
              <w:t>A020601电机</w:t>
            </w:r>
          </w:p>
        </w:tc>
        <w:tc>
          <w:tcPr>
            <w:tcW w:w="2334" w:type="dxa"/>
            <w:vAlign w:val="center"/>
          </w:tcPr>
          <w:p>
            <w:pPr>
              <w:jc w:val="left"/>
              <w:rPr>
                <w:rFonts w:hint="default" w:ascii="宋体" w:hAnsi="宋体"/>
                <w:w w:val="90"/>
                <w:szCs w:val="21"/>
              </w:rPr>
            </w:pP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w w:val="90"/>
                <w:szCs w:val="21"/>
              </w:rPr>
            </w:pPr>
            <w:r>
              <w:rPr>
                <w:rFonts w:ascii="宋体" w:hAnsi="宋体"/>
                <w:w w:val="90"/>
                <w:szCs w:val="21"/>
              </w:rPr>
              <w:t>8</w:t>
            </w:r>
          </w:p>
        </w:tc>
        <w:tc>
          <w:tcPr>
            <w:tcW w:w="1933" w:type="dxa"/>
            <w:vAlign w:val="center"/>
          </w:tcPr>
          <w:p>
            <w:pPr>
              <w:jc w:val="left"/>
              <w:rPr>
                <w:rFonts w:hint="default" w:ascii="宋体" w:hAnsi="宋体"/>
                <w:w w:val="90"/>
                <w:szCs w:val="21"/>
              </w:rPr>
            </w:pPr>
            <w:r>
              <w:rPr>
                <w:rFonts w:ascii="宋体" w:hAnsi="宋体"/>
                <w:w w:val="90"/>
                <w:szCs w:val="21"/>
              </w:rPr>
              <w:t>A020602变压器</w:t>
            </w:r>
          </w:p>
        </w:tc>
        <w:tc>
          <w:tcPr>
            <w:tcW w:w="2334" w:type="dxa"/>
            <w:vAlign w:val="center"/>
          </w:tcPr>
          <w:p>
            <w:pPr>
              <w:jc w:val="left"/>
              <w:rPr>
                <w:rFonts w:hint="default" w:ascii="宋体" w:hAnsi="宋体"/>
                <w:w w:val="90"/>
                <w:szCs w:val="21"/>
              </w:rPr>
            </w:pPr>
            <w:r>
              <w:rPr>
                <w:rFonts w:ascii="宋体" w:hAnsi="宋体"/>
                <w:w w:val="90"/>
                <w:szCs w:val="21"/>
              </w:rPr>
              <w:t>配电变压器</w:t>
            </w: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w w:val="90"/>
                <w:szCs w:val="21"/>
              </w:rPr>
            </w:pPr>
            <w:r>
              <w:rPr>
                <w:rFonts w:ascii="宋体" w:hAnsi="宋体"/>
                <w:w w:val="90"/>
                <w:szCs w:val="21"/>
              </w:rPr>
              <w:t>9</w:t>
            </w:r>
          </w:p>
        </w:tc>
        <w:tc>
          <w:tcPr>
            <w:tcW w:w="1933" w:type="dxa"/>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A020609</w:t>
            </w:r>
            <w:r>
              <w:rPr>
                <w:rFonts w:ascii="宋体" w:hAnsi="宋体"/>
                <w:b/>
                <w:w w:val="90"/>
                <w:szCs w:val="21"/>
              </w:rPr>
              <w:t>镇流器</w:t>
            </w:r>
          </w:p>
        </w:tc>
        <w:tc>
          <w:tcPr>
            <w:tcW w:w="2334" w:type="dxa"/>
            <w:vAlign w:val="center"/>
          </w:tcPr>
          <w:p>
            <w:pPr>
              <w:jc w:val="left"/>
              <w:rPr>
                <w:rFonts w:hint="default" w:ascii="宋体" w:hAnsi="宋体"/>
                <w:b/>
                <w:w w:val="90"/>
                <w:szCs w:val="21"/>
              </w:rPr>
            </w:pPr>
            <w:r>
              <w:rPr>
                <w:rFonts w:ascii="宋体" w:hAnsi="宋体"/>
                <w:b/>
                <w:w w:val="90"/>
                <w:szCs w:val="21"/>
              </w:rPr>
              <w:t>管型荧光灯镇流器</w:t>
            </w: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hint="default" w:ascii="宋体" w:hAnsi="宋体"/>
                <w:w w:val="90"/>
                <w:szCs w:val="21"/>
              </w:rPr>
            </w:pPr>
            <w:r>
              <w:rPr>
                <w:rFonts w:ascii="宋体" w:hAnsi="宋体"/>
                <w:w w:val="90"/>
                <w:szCs w:val="21"/>
              </w:rPr>
              <w:t>10</w:t>
            </w:r>
          </w:p>
        </w:tc>
        <w:tc>
          <w:tcPr>
            <w:tcW w:w="1933" w:type="dxa"/>
            <w:vMerge w:val="restart"/>
            <w:vAlign w:val="center"/>
          </w:tcPr>
          <w:p>
            <w:pPr>
              <w:jc w:val="left"/>
              <w:rPr>
                <w:rFonts w:hint="default" w:ascii="宋体" w:hAnsi="宋体"/>
                <w:w w:val="90"/>
                <w:szCs w:val="21"/>
              </w:rPr>
            </w:pPr>
            <w:r>
              <w:rPr>
                <w:rFonts w:ascii="宋体" w:hAnsi="宋体"/>
                <w:w w:val="90"/>
                <w:szCs w:val="21"/>
              </w:rPr>
              <w:t>A020618 生活用电器</w:t>
            </w:r>
          </w:p>
        </w:tc>
        <w:tc>
          <w:tcPr>
            <w:tcW w:w="2334" w:type="dxa"/>
            <w:vAlign w:val="center"/>
          </w:tcPr>
          <w:p>
            <w:pPr>
              <w:jc w:val="left"/>
              <w:rPr>
                <w:rFonts w:hint="default" w:ascii="宋体" w:hAnsi="宋体"/>
                <w:w w:val="90"/>
                <w:szCs w:val="21"/>
              </w:rPr>
            </w:pPr>
            <w:r>
              <w:rPr>
                <w:rFonts w:ascii="宋体" w:hAnsi="宋体"/>
                <w:w w:val="90"/>
                <w:szCs w:val="21"/>
              </w:rPr>
              <w:t>A0206180101电冰箱</w:t>
            </w: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《家用电冰箱耗电量限定值及能效等级》（GB</w:t>
            </w:r>
            <w:r>
              <w:rPr>
                <w:rFonts w:ascii="宋体" w:hAnsi="宋体"/>
                <w:w w:val="90"/>
                <w:szCs w:val="21"/>
              </w:rPr>
              <w:tab/>
            </w:r>
            <w:r>
              <w:rPr>
                <w:rFonts w:ascii="宋体" w:hAnsi="宋体"/>
                <w:w w:val="90"/>
                <w:szCs w:val="21"/>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Merge w:val="restart"/>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A0206180203</w:t>
            </w:r>
            <w:r>
              <w:rPr>
                <w:rFonts w:ascii="宋体" w:hAnsi="宋体"/>
                <w:b/>
                <w:w w:val="90"/>
                <w:szCs w:val="21"/>
              </w:rPr>
              <w:t>空调机</w:t>
            </w:r>
          </w:p>
        </w:tc>
        <w:tc>
          <w:tcPr>
            <w:tcW w:w="1682" w:type="dxa"/>
            <w:vAlign w:val="center"/>
          </w:tcPr>
          <w:p>
            <w:pPr>
              <w:jc w:val="left"/>
              <w:rPr>
                <w:rFonts w:hint="default" w:ascii="宋体" w:hAnsi="宋体"/>
                <w:b/>
                <w:w w:val="90"/>
                <w:szCs w:val="21"/>
              </w:rPr>
            </w:pPr>
            <w:r>
              <w:rPr>
                <w:rFonts w:ascii="宋体" w:hAnsi="宋体"/>
                <w:b/>
                <w:w w:val="90"/>
                <w:szCs w:val="21"/>
              </w:rPr>
              <w:t>房间空气调节器</w:t>
            </w:r>
          </w:p>
        </w:tc>
        <w:tc>
          <w:tcPr>
            <w:tcW w:w="3301" w:type="dxa"/>
            <w:vAlign w:val="center"/>
          </w:tcPr>
          <w:p>
            <w:pPr>
              <w:jc w:val="left"/>
              <w:rPr>
                <w:rFonts w:hint="default" w:ascii="宋体" w:hAnsi="宋体"/>
                <w:w w:val="90"/>
                <w:szCs w:val="21"/>
              </w:rPr>
            </w:pPr>
            <w:r>
              <w:rPr>
                <w:rFonts w:ascii="宋体" w:hAnsi="宋体"/>
                <w:w w:val="90"/>
                <w:szCs w:val="21"/>
              </w:rPr>
              <w:t>《转速可控型房间空气调节器能效限定值及能效等级》（GB 21455-2013），待2019年修订发布后，按《房间空气调节器能效限定值及能效等级》（GB21455-2019）实施。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Merge w:val="continue"/>
            <w:vAlign w:val="center"/>
          </w:tcPr>
          <w:p>
            <w:pPr>
              <w:jc w:val="left"/>
              <w:rPr>
                <w:rFonts w:hint="default" w:ascii="宋体" w:hAnsi="宋体"/>
                <w:b/>
                <w:w w:val="90"/>
                <w:szCs w:val="21"/>
              </w:rPr>
            </w:pPr>
          </w:p>
        </w:tc>
        <w:tc>
          <w:tcPr>
            <w:tcW w:w="1682" w:type="dxa"/>
            <w:vAlign w:val="center"/>
          </w:tcPr>
          <w:p>
            <w:pPr>
              <w:jc w:val="left"/>
              <w:rPr>
                <w:rFonts w:hint="default" w:ascii="宋体" w:hAnsi="宋体"/>
                <w:b/>
                <w:w w:val="90"/>
                <w:szCs w:val="21"/>
              </w:rPr>
            </w:pPr>
            <w:r>
              <w:rPr>
                <w:rFonts w:ascii="宋体" w:hAnsi="宋体"/>
                <w:b/>
                <w:w w:val="90"/>
                <w:szCs w:val="21"/>
              </w:rPr>
              <w:t>多联式空调（热泵）机组（制冷量≤ 14000W）</w:t>
            </w:r>
          </w:p>
        </w:tc>
        <w:tc>
          <w:tcPr>
            <w:tcW w:w="3301" w:type="dxa"/>
            <w:vAlign w:val="center"/>
          </w:tcPr>
          <w:p>
            <w:pPr>
              <w:jc w:val="left"/>
              <w:rPr>
                <w:rFonts w:hint="default" w:ascii="宋体" w:hAnsi="宋体"/>
                <w:w w:val="90"/>
                <w:szCs w:val="21"/>
              </w:rPr>
            </w:pPr>
            <w:r>
              <w:rPr>
                <w:rFonts w:ascii="宋体" w:hAnsi="宋体"/>
                <w:w w:val="90"/>
                <w:szCs w:val="21"/>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Merge w:val="continue"/>
            <w:vAlign w:val="center"/>
          </w:tcPr>
          <w:p>
            <w:pPr>
              <w:jc w:val="left"/>
              <w:rPr>
                <w:rFonts w:hint="default" w:ascii="宋体" w:hAnsi="宋体"/>
                <w:b/>
                <w:w w:val="90"/>
                <w:szCs w:val="21"/>
              </w:rPr>
            </w:pPr>
          </w:p>
        </w:tc>
        <w:tc>
          <w:tcPr>
            <w:tcW w:w="1682" w:type="dxa"/>
            <w:vAlign w:val="center"/>
          </w:tcPr>
          <w:p>
            <w:pPr>
              <w:jc w:val="left"/>
              <w:rPr>
                <w:rFonts w:hint="default" w:ascii="宋体" w:hAnsi="宋体"/>
                <w:b/>
                <w:w w:val="90"/>
                <w:szCs w:val="21"/>
              </w:rPr>
            </w:pPr>
            <w:r>
              <w:rPr>
                <w:rFonts w:ascii="宋体" w:hAnsi="宋体"/>
                <w:b/>
                <w:w w:val="90"/>
                <w:szCs w:val="21"/>
              </w:rPr>
              <w:t>单元式空气调节机(制冷量≤14000W)</w:t>
            </w:r>
          </w:p>
        </w:tc>
        <w:tc>
          <w:tcPr>
            <w:tcW w:w="3301" w:type="dxa"/>
            <w:vAlign w:val="center"/>
          </w:tcPr>
          <w:p>
            <w:pPr>
              <w:jc w:val="left"/>
              <w:rPr>
                <w:rFonts w:hint="default" w:ascii="宋体" w:hAnsi="宋体"/>
                <w:w w:val="90"/>
                <w:szCs w:val="21"/>
              </w:rPr>
            </w:pPr>
            <w:r>
              <w:rPr>
                <w:rFonts w:ascii="宋体" w:hAnsi="宋体"/>
                <w:w w:val="90"/>
                <w:szCs w:val="21"/>
              </w:rPr>
              <w:t>《单元式空气调节机能效限定值及能源效率等级》（GB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Align w:val="center"/>
          </w:tcPr>
          <w:p>
            <w:pPr>
              <w:jc w:val="left"/>
              <w:rPr>
                <w:rFonts w:hint="default" w:ascii="宋体" w:hAnsi="宋体"/>
                <w:w w:val="90"/>
                <w:szCs w:val="21"/>
              </w:rPr>
            </w:pPr>
            <w:r>
              <w:rPr>
                <w:rFonts w:ascii="宋体" w:hAnsi="宋体"/>
                <w:w w:val="90"/>
                <w:szCs w:val="21"/>
              </w:rPr>
              <w:t>A0206180301洗衣机</w:t>
            </w:r>
          </w:p>
        </w:tc>
        <w:tc>
          <w:tcPr>
            <w:tcW w:w="1682" w:type="dxa"/>
            <w:vAlign w:val="center"/>
          </w:tcPr>
          <w:p>
            <w:pPr>
              <w:jc w:val="left"/>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Merge w:val="restart"/>
            <w:vAlign w:val="center"/>
          </w:tcPr>
          <w:p>
            <w:pPr>
              <w:jc w:val="left"/>
              <w:rPr>
                <w:rFonts w:hint="default" w:ascii="宋体" w:hAnsi="宋体"/>
                <w:w w:val="90"/>
                <w:szCs w:val="21"/>
              </w:rPr>
            </w:pPr>
            <w:r>
              <w:rPr>
                <w:rFonts w:ascii="宋体" w:hAnsi="宋体"/>
                <w:w w:val="90"/>
                <w:szCs w:val="21"/>
              </w:rPr>
              <w:t>A02061808热水器</w:t>
            </w:r>
          </w:p>
        </w:tc>
        <w:tc>
          <w:tcPr>
            <w:tcW w:w="1682" w:type="dxa"/>
            <w:vAlign w:val="center"/>
          </w:tcPr>
          <w:p>
            <w:pPr>
              <w:jc w:val="left"/>
              <w:rPr>
                <w:rFonts w:hint="default" w:ascii="宋体" w:hAnsi="宋体"/>
                <w:w w:val="90"/>
                <w:szCs w:val="21"/>
              </w:rPr>
            </w:pPr>
            <w:r>
              <w:rPr>
                <w:rFonts w:ascii="宋体" w:hAnsi="宋体" w:cs="宋体"/>
                <w:w w:val="90"/>
                <w:szCs w:val="21"/>
              </w:rPr>
              <w:t>★</w:t>
            </w:r>
            <w:r>
              <w:rPr>
                <w:rFonts w:ascii="宋体" w:hAnsi="宋体"/>
                <w:b/>
                <w:w w:val="90"/>
                <w:szCs w:val="21"/>
              </w:rPr>
              <w:t>电热水器</w:t>
            </w:r>
          </w:p>
        </w:tc>
        <w:tc>
          <w:tcPr>
            <w:tcW w:w="3301" w:type="dxa"/>
            <w:vAlign w:val="center"/>
          </w:tcPr>
          <w:p>
            <w:pPr>
              <w:jc w:val="left"/>
              <w:rPr>
                <w:rFonts w:hint="default" w:ascii="宋体" w:hAnsi="宋体"/>
                <w:w w:val="90"/>
                <w:szCs w:val="21"/>
              </w:rPr>
            </w:pPr>
            <w:r>
              <w:rPr>
                <w:rFonts w:ascii="宋体" w:hAnsi="宋体"/>
                <w:w w:val="90"/>
                <w:szCs w:val="21"/>
              </w:rPr>
              <w:t>《储水式电热水器能效限定值及能效等级》（GB 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Merge w:val="continue"/>
            <w:vAlign w:val="center"/>
          </w:tcPr>
          <w:p>
            <w:pPr>
              <w:jc w:val="left"/>
              <w:rPr>
                <w:rFonts w:hint="default" w:ascii="宋体" w:hAnsi="宋体"/>
                <w:w w:val="90"/>
                <w:szCs w:val="21"/>
              </w:rPr>
            </w:pPr>
          </w:p>
        </w:tc>
        <w:tc>
          <w:tcPr>
            <w:tcW w:w="1682" w:type="dxa"/>
            <w:vAlign w:val="center"/>
          </w:tcPr>
          <w:p>
            <w:pPr>
              <w:jc w:val="left"/>
              <w:rPr>
                <w:rFonts w:hint="default" w:ascii="宋体" w:hAnsi="宋体"/>
                <w:w w:val="90"/>
                <w:szCs w:val="21"/>
              </w:rPr>
            </w:pPr>
            <w:r>
              <w:rPr>
                <w:rFonts w:ascii="宋体" w:hAnsi="宋体"/>
                <w:w w:val="90"/>
                <w:szCs w:val="21"/>
              </w:rPr>
              <w:t>燃气热水器</w:t>
            </w:r>
          </w:p>
        </w:tc>
        <w:tc>
          <w:tcPr>
            <w:tcW w:w="3301" w:type="dxa"/>
            <w:vAlign w:val="center"/>
          </w:tcPr>
          <w:p>
            <w:pPr>
              <w:jc w:val="left"/>
              <w:rPr>
                <w:rFonts w:hint="default" w:ascii="宋体" w:hAnsi="宋体"/>
                <w:w w:val="90"/>
                <w:szCs w:val="21"/>
              </w:rPr>
            </w:pPr>
            <w:r>
              <w:rPr>
                <w:rFonts w:ascii="宋体" w:hAnsi="宋体"/>
                <w:w w:val="90"/>
                <w:szCs w:val="21"/>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Merge w:val="continue"/>
            <w:vAlign w:val="center"/>
          </w:tcPr>
          <w:p>
            <w:pPr>
              <w:jc w:val="left"/>
              <w:rPr>
                <w:rFonts w:hint="default" w:ascii="宋体" w:hAnsi="宋体"/>
                <w:w w:val="90"/>
                <w:szCs w:val="21"/>
              </w:rPr>
            </w:pPr>
          </w:p>
        </w:tc>
        <w:tc>
          <w:tcPr>
            <w:tcW w:w="1682" w:type="dxa"/>
            <w:vAlign w:val="center"/>
          </w:tcPr>
          <w:p>
            <w:pPr>
              <w:jc w:val="left"/>
              <w:rPr>
                <w:rFonts w:hint="default" w:ascii="宋体" w:hAnsi="宋体"/>
                <w:w w:val="90"/>
                <w:szCs w:val="21"/>
              </w:rPr>
            </w:pPr>
            <w:r>
              <w:rPr>
                <w:rFonts w:ascii="宋体" w:hAnsi="宋体"/>
                <w:w w:val="90"/>
                <w:szCs w:val="21"/>
              </w:rPr>
              <w:t>热泵热水器</w:t>
            </w:r>
          </w:p>
        </w:tc>
        <w:tc>
          <w:tcPr>
            <w:tcW w:w="3301" w:type="dxa"/>
            <w:vAlign w:val="center"/>
          </w:tcPr>
          <w:p>
            <w:pPr>
              <w:jc w:val="left"/>
              <w:rPr>
                <w:rFonts w:hint="default" w:ascii="宋体" w:hAnsi="宋体"/>
                <w:w w:val="90"/>
                <w:szCs w:val="21"/>
              </w:rPr>
            </w:pPr>
            <w:r>
              <w:rPr>
                <w:rFonts w:ascii="宋体" w:hAnsi="宋体"/>
                <w:w w:val="90"/>
                <w:szCs w:val="21"/>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Merge w:val="continue"/>
            <w:vAlign w:val="center"/>
          </w:tcPr>
          <w:p>
            <w:pPr>
              <w:jc w:val="left"/>
              <w:rPr>
                <w:rFonts w:hint="default" w:ascii="宋体" w:hAnsi="宋体"/>
                <w:w w:val="90"/>
                <w:szCs w:val="21"/>
              </w:rPr>
            </w:pPr>
          </w:p>
        </w:tc>
        <w:tc>
          <w:tcPr>
            <w:tcW w:w="1682" w:type="dxa"/>
            <w:vAlign w:val="center"/>
          </w:tcPr>
          <w:p>
            <w:pPr>
              <w:jc w:val="left"/>
              <w:rPr>
                <w:rFonts w:hint="default" w:ascii="宋体" w:hAnsi="宋体"/>
                <w:w w:val="90"/>
                <w:szCs w:val="21"/>
              </w:rPr>
            </w:pPr>
            <w:r>
              <w:rPr>
                <w:rFonts w:ascii="宋体" w:hAnsi="宋体"/>
                <w:w w:val="90"/>
                <w:szCs w:val="21"/>
              </w:rPr>
              <w:t>太阳能热水系统</w:t>
            </w:r>
          </w:p>
        </w:tc>
        <w:tc>
          <w:tcPr>
            <w:tcW w:w="3301" w:type="dxa"/>
            <w:vAlign w:val="center"/>
          </w:tcPr>
          <w:p>
            <w:pPr>
              <w:jc w:val="left"/>
              <w:rPr>
                <w:rFonts w:hint="default" w:ascii="宋体" w:hAnsi="宋体"/>
                <w:w w:val="90"/>
                <w:szCs w:val="21"/>
              </w:rPr>
            </w:pPr>
            <w:r>
              <w:rPr>
                <w:rFonts w:ascii="宋体" w:hAnsi="宋体"/>
                <w:w w:val="90"/>
                <w:szCs w:val="21"/>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hint="default" w:ascii="宋体" w:hAnsi="宋体"/>
                <w:w w:val="90"/>
                <w:szCs w:val="21"/>
              </w:rPr>
            </w:pPr>
            <w:r>
              <w:rPr>
                <w:rFonts w:ascii="宋体" w:hAnsi="宋体"/>
                <w:w w:val="90"/>
                <w:szCs w:val="21"/>
              </w:rPr>
              <w:t>11</w:t>
            </w:r>
          </w:p>
        </w:tc>
        <w:tc>
          <w:tcPr>
            <w:tcW w:w="1933" w:type="dxa"/>
            <w:vMerge w:val="restart"/>
            <w:vAlign w:val="center"/>
          </w:tcPr>
          <w:p>
            <w:pPr>
              <w:jc w:val="left"/>
              <w:rPr>
                <w:rFonts w:hint="default" w:ascii="宋体" w:hAnsi="宋体"/>
                <w:w w:val="90"/>
                <w:szCs w:val="21"/>
              </w:rPr>
            </w:pPr>
            <w:r>
              <w:rPr>
                <w:rFonts w:ascii="宋体" w:hAnsi="宋体"/>
                <w:w w:val="90"/>
                <w:szCs w:val="21"/>
              </w:rPr>
              <w:t>A020619 照明设备</w:t>
            </w:r>
          </w:p>
        </w:tc>
        <w:tc>
          <w:tcPr>
            <w:tcW w:w="2334" w:type="dxa"/>
            <w:vAlign w:val="center"/>
          </w:tcPr>
          <w:p>
            <w:pPr>
              <w:jc w:val="left"/>
              <w:rPr>
                <w:rFonts w:hint="default" w:ascii="宋体" w:hAnsi="宋体"/>
                <w:b/>
                <w:w w:val="90"/>
                <w:szCs w:val="21"/>
              </w:rPr>
            </w:pPr>
            <w:r>
              <w:rPr>
                <w:rFonts w:ascii="宋体" w:hAnsi="宋体" w:cs="宋体"/>
                <w:w w:val="90"/>
                <w:szCs w:val="21"/>
              </w:rPr>
              <w:t>★</w:t>
            </w:r>
            <w:r>
              <w:rPr>
                <w:rFonts w:ascii="宋体" w:hAnsi="宋体"/>
                <w:b/>
                <w:w w:val="90"/>
                <w:szCs w:val="21"/>
              </w:rPr>
              <w:t>普通照明用双端荧光灯</w:t>
            </w: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Align w:val="center"/>
          </w:tcPr>
          <w:p>
            <w:pPr>
              <w:jc w:val="left"/>
              <w:rPr>
                <w:rFonts w:hint="default" w:ascii="宋体" w:hAnsi="宋体"/>
                <w:w w:val="90"/>
                <w:szCs w:val="21"/>
              </w:rPr>
            </w:pPr>
            <w:r>
              <w:rPr>
                <w:rFonts w:ascii="宋体" w:hAnsi="宋体"/>
                <w:w w:val="90"/>
                <w:szCs w:val="21"/>
              </w:rPr>
              <w:t>LED道路/隧道照明产品</w:t>
            </w: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《道路和隧道照明用LED灯具能效限定值及能效等级》（GB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Align w:val="center"/>
          </w:tcPr>
          <w:p>
            <w:pPr>
              <w:jc w:val="left"/>
              <w:rPr>
                <w:rFonts w:hint="default" w:ascii="宋体" w:hAnsi="宋体"/>
                <w:w w:val="90"/>
                <w:szCs w:val="21"/>
              </w:rPr>
            </w:pPr>
            <w:r>
              <w:rPr>
                <w:rFonts w:ascii="宋体" w:hAnsi="宋体"/>
                <w:w w:val="90"/>
                <w:szCs w:val="21"/>
              </w:rPr>
              <w:t>LED筒灯</w:t>
            </w: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w w:val="90"/>
                <w:szCs w:val="21"/>
              </w:rPr>
            </w:pPr>
          </w:p>
        </w:tc>
        <w:tc>
          <w:tcPr>
            <w:tcW w:w="2334" w:type="dxa"/>
            <w:vAlign w:val="center"/>
          </w:tcPr>
          <w:p>
            <w:pPr>
              <w:jc w:val="left"/>
              <w:rPr>
                <w:rFonts w:hint="default" w:ascii="宋体" w:hAnsi="宋体"/>
                <w:w w:val="90"/>
                <w:szCs w:val="21"/>
              </w:rPr>
            </w:pPr>
            <w:r>
              <w:rPr>
                <w:rFonts w:ascii="宋体" w:hAnsi="宋体"/>
                <w:w w:val="90"/>
                <w:szCs w:val="21"/>
              </w:rPr>
              <w:t>普通照明用非定向自镇流LED灯</w:t>
            </w: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w w:val="90"/>
                <w:szCs w:val="21"/>
              </w:rPr>
            </w:pPr>
            <w:r>
              <w:rPr>
                <w:rFonts w:ascii="宋体" w:hAnsi="宋体"/>
                <w:w w:val="90"/>
                <w:szCs w:val="21"/>
              </w:rPr>
              <w:t>12</w:t>
            </w:r>
          </w:p>
        </w:tc>
        <w:tc>
          <w:tcPr>
            <w:tcW w:w="1933" w:type="dxa"/>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A020910</w:t>
            </w:r>
            <w:r>
              <w:rPr>
                <w:rFonts w:ascii="宋体" w:hAnsi="宋体"/>
                <w:b/>
                <w:w w:val="90"/>
                <w:szCs w:val="21"/>
              </w:rPr>
              <w:t>电视设备</w:t>
            </w:r>
          </w:p>
        </w:tc>
        <w:tc>
          <w:tcPr>
            <w:tcW w:w="2334" w:type="dxa"/>
            <w:vAlign w:val="center"/>
          </w:tcPr>
          <w:p>
            <w:pPr>
              <w:jc w:val="left"/>
              <w:rPr>
                <w:rFonts w:hint="default" w:ascii="宋体" w:hAnsi="宋体"/>
                <w:b/>
                <w:w w:val="90"/>
                <w:szCs w:val="21"/>
              </w:rPr>
            </w:pPr>
            <w:r>
              <w:rPr>
                <w:rFonts w:ascii="宋体" w:hAnsi="宋体"/>
                <w:b/>
                <w:w w:val="90"/>
                <w:szCs w:val="21"/>
              </w:rPr>
              <w:t>A02091001普通电视设备（电视机）</w:t>
            </w: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w w:val="90"/>
                <w:szCs w:val="21"/>
              </w:rPr>
            </w:pPr>
            <w:r>
              <w:rPr>
                <w:rFonts w:ascii="宋体" w:hAnsi="宋体"/>
                <w:w w:val="90"/>
                <w:szCs w:val="21"/>
              </w:rPr>
              <w:t>13</w:t>
            </w:r>
          </w:p>
        </w:tc>
        <w:tc>
          <w:tcPr>
            <w:tcW w:w="1933" w:type="dxa"/>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A020911</w:t>
            </w:r>
            <w:r>
              <w:rPr>
                <w:rFonts w:ascii="宋体" w:hAnsi="宋体"/>
                <w:b/>
                <w:w w:val="90"/>
                <w:szCs w:val="21"/>
              </w:rPr>
              <w:t>视频设备</w:t>
            </w:r>
          </w:p>
        </w:tc>
        <w:tc>
          <w:tcPr>
            <w:tcW w:w="2334" w:type="dxa"/>
            <w:vAlign w:val="center"/>
          </w:tcPr>
          <w:p>
            <w:pPr>
              <w:jc w:val="left"/>
              <w:rPr>
                <w:rFonts w:hint="default" w:ascii="宋体" w:hAnsi="宋体"/>
                <w:b/>
                <w:w w:val="90"/>
                <w:szCs w:val="21"/>
              </w:rPr>
            </w:pPr>
            <w:r>
              <w:rPr>
                <w:rFonts w:ascii="宋体" w:hAnsi="宋体"/>
                <w:b/>
                <w:w w:val="90"/>
                <w:szCs w:val="21"/>
              </w:rPr>
              <w:t>A02091107视频监控设备</w:t>
            </w:r>
          </w:p>
        </w:tc>
        <w:tc>
          <w:tcPr>
            <w:tcW w:w="1682" w:type="dxa"/>
            <w:vAlign w:val="center"/>
          </w:tcPr>
          <w:p>
            <w:pPr>
              <w:jc w:val="center"/>
              <w:rPr>
                <w:rFonts w:hint="default" w:ascii="宋体" w:hAnsi="宋体"/>
                <w:b/>
                <w:w w:val="90"/>
                <w:szCs w:val="21"/>
              </w:rPr>
            </w:pPr>
            <w:r>
              <w:rPr>
                <w:rFonts w:ascii="宋体" w:hAnsi="宋体"/>
                <w:b/>
                <w:w w:val="90"/>
                <w:szCs w:val="21"/>
              </w:rPr>
              <w:t>监视器</w:t>
            </w:r>
          </w:p>
        </w:tc>
        <w:tc>
          <w:tcPr>
            <w:tcW w:w="3301" w:type="dxa"/>
            <w:vAlign w:val="center"/>
          </w:tcPr>
          <w:p>
            <w:pPr>
              <w:jc w:val="left"/>
              <w:rPr>
                <w:rFonts w:hint="default" w:ascii="宋体" w:hAnsi="宋体"/>
                <w:w w:val="90"/>
                <w:szCs w:val="21"/>
              </w:rPr>
            </w:pPr>
            <w:r>
              <w:rPr>
                <w:rFonts w:ascii="宋体" w:hAnsi="宋体"/>
                <w:w w:val="90"/>
                <w:szCs w:val="21"/>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w w:val="90"/>
                <w:szCs w:val="21"/>
              </w:rPr>
            </w:pPr>
            <w:r>
              <w:rPr>
                <w:rFonts w:ascii="宋体" w:hAnsi="宋体"/>
                <w:w w:val="90"/>
                <w:szCs w:val="21"/>
              </w:rPr>
              <w:t>14</w:t>
            </w:r>
          </w:p>
        </w:tc>
        <w:tc>
          <w:tcPr>
            <w:tcW w:w="1933" w:type="dxa"/>
            <w:vAlign w:val="center"/>
          </w:tcPr>
          <w:p>
            <w:pPr>
              <w:jc w:val="left"/>
              <w:rPr>
                <w:rFonts w:hint="default" w:ascii="宋体" w:hAnsi="宋体"/>
                <w:w w:val="90"/>
                <w:szCs w:val="21"/>
              </w:rPr>
            </w:pPr>
            <w:r>
              <w:rPr>
                <w:rFonts w:ascii="宋体" w:hAnsi="宋体"/>
                <w:w w:val="90"/>
                <w:szCs w:val="21"/>
              </w:rPr>
              <w:t>A031210饮食炊事机械</w:t>
            </w:r>
          </w:p>
        </w:tc>
        <w:tc>
          <w:tcPr>
            <w:tcW w:w="2334" w:type="dxa"/>
            <w:vAlign w:val="center"/>
          </w:tcPr>
          <w:p>
            <w:pPr>
              <w:jc w:val="left"/>
              <w:rPr>
                <w:rFonts w:hint="default" w:ascii="宋体" w:hAnsi="宋体"/>
                <w:w w:val="90"/>
                <w:szCs w:val="21"/>
              </w:rPr>
            </w:pPr>
            <w:r>
              <w:rPr>
                <w:rFonts w:ascii="宋体" w:hAnsi="宋体"/>
                <w:w w:val="90"/>
                <w:szCs w:val="21"/>
              </w:rPr>
              <w:t>商用燃气灶具</w:t>
            </w: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hint="default" w:ascii="宋体" w:hAnsi="宋体"/>
                <w:w w:val="90"/>
                <w:szCs w:val="21"/>
              </w:rPr>
            </w:pPr>
            <w:r>
              <w:rPr>
                <w:rFonts w:ascii="宋体" w:hAnsi="宋体"/>
                <w:w w:val="90"/>
                <w:szCs w:val="21"/>
              </w:rPr>
              <w:t>15</w:t>
            </w:r>
          </w:p>
        </w:tc>
        <w:tc>
          <w:tcPr>
            <w:tcW w:w="1933" w:type="dxa"/>
            <w:vMerge w:val="restart"/>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A060805</w:t>
            </w:r>
            <w:r>
              <w:rPr>
                <w:rFonts w:ascii="宋体" w:hAnsi="宋体"/>
                <w:b/>
                <w:w w:val="90"/>
                <w:szCs w:val="21"/>
              </w:rPr>
              <w:t>便器</w:t>
            </w:r>
          </w:p>
        </w:tc>
        <w:tc>
          <w:tcPr>
            <w:tcW w:w="2334" w:type="dxa"/>
            <w:vAlign w:val="center"/>
          </w:tcPr>
          <w:p>
            <w:pPr>
              <w:jc w:val="left"/>
              <w:rPr>
                <w:rFonts w:hint="default" w:ascii="宋体" w:hAnsi="宋体"/>
                <w:b/>
                <w:w w:val="90"/>
                <w:szCs w:val="21"/>
              </w:rPr>
            </w:pPr>
            <w:r>
              <w:rPr>
                <w:rFonts w:ascii="宋体" w:hAnsi="宋体"/>
                <w:b/>
                <w:w w:val="90"/>
                <w:szCs w:val="21"/>
              </w:rPr>
              <w:t>坐便器</w:t>
            </w: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《坐便器水效限定值及水效等级</w:t>
            </w:r>
          </w:p>
          <w:p>
            <w:pPr>
              <w:jc w:val="left"/>
              <w:rPr>
                <w:rFonts w:hint="default" w:ascii="宋体" w:hAnsi="宋体"/>
                <w:w w:val="90"/>
                <w:szCs w:val="21"/>
              </w:rPr>
            </w:pPr>
            <w:r>
              <w:rPr>
                <w:rFonts w:ascii="宋体" w:hAnsi="宋体"/>
                <w:w w:val="90"/>
                <w:szCs w:val="21"/>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b/>
                <w:w w:val="90"/>
                <w:szCs w:val="21"/>
              </w:rPr>
            </w:pPr>
          </w:p>
        </w:tc>
        <w:tc>
          <w:tcPr>
            <w:tcW w:w="2334" w:type="dxa"/>
            <w:vAlign w:val="center"/>
          </w:tcPr>
          <w:p>
            <w:pPr>
              <w:jc w:val="left"/>
              <w:rPr>
                <w:rFonts w:hint="default" w:ascii="宋体" w:hAnsi="宋体"/>
                <w:b/>
                <w:w w:val="90"/>
                <w:szCs w:val="21"/>
              </w:rPr>
            </w:pPr>
            <w:r>
              <w:rPr>
                <w:rFonts w:ascii="宋体" w:hAnsi="宋体"/>
                <w:b/>
                <w:w w:val="90"/>
                <w:szCs w:val="21"/>
              </w:rPr>
              <w:t>蹲便器</w:t>
            </w: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hint="default" w:ascii="宋体" w:hAnsi="宋体"/>
                <w:w w:val="90"/>
                <w:szCs w:val="21"/>
              </w:rPr>
            </w:pPr>
          </w:p>
        </w:tc>
        <w:tc>
          <w:tcPr>
            <w:tcW w:w="1933" w:type="dxa"/>
            <w:vMerge w:val="continue"/>
            <w:vAlign w:val="center"/>
          </w:tcPr>
          <w:p>
            <w:pPr>
              <w:jc w:val="left"/>
              <w:rPr>
                <w:rFonts w:hint="default" w:ascii="宋体" w:hAnsi="宋体"/>
                <w:b/>
                <w:w w:val="90"/>
                <w:szCs w:val="21"/>
              </w:rPr>
            </w:pPr>
          </w:p>
        </w:tc>
        <w:tc>
          <w:tcPr>
            <w:tcW w:w="2334" w:type="dxa"/>
            <w:vAlign w:val="center"/>
          </w:tcPr>
          <w:p>
            <w:pPr>
              <w:jc w:val="left"/>
              <w:rPr>
                <w:rFonts w:hint="default" w:ascii="宋体" w:hAnsi="宋体"/>
                <w:b/>
                <w:w w:val="90"/>
                <w:szCs w:val="21"/>
              </w:rPr>
            </w:pPr>
            <w:r>
              <w:rPr>
                <w:rFonts w:ascii="宋体" w:hAnsi="宋体"/>
                <w:b/>
                <w:w w:val="90"/>
                <w:szCs w:val="21"/>
              </w:rPr>
              <w:t>小便器</w:t>
            </w: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w w:val="90"/>
                <w:szCs w:val="21"/>
              </w:rPr>
            </w:pPr>
            <w:r>
              <w:rPr>
                <w:rFonts w:ascii="宋体" w:hAnsi="宋体"/>
                <w:w w:val="90"/>
                <w:szCs w:val="21"/>
              </w:rPr>
              <w:t>16</w:t>
            </w:r>
          </w:p>
        </w:tc>
        <w:tc>
          <w:tcPr>
            <w:tcW w:w="1933" w:type="dxa"/>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A060806</w:t>
            </w:r>
            <w:r>
              <w:rPr>
                <w:rFonts w:ascii="宋体" w:hAnsi="宋体"/>
                <w:b/>
                <w:w w:val="90"/>
                <w:szCs w:val="21"/>
              </w:rPr>
              <w:t>水嘴</w:t>
            </w:r>
          </w:p>
        </w:tc>
        <w:tc>
          <w:tcPr>
            <w:tcW w:w="2334" w:type="dxa"/>
            <w:vAlign w:val="center"/>
          </w:tcPr>
          <w:p>
            <w:pPr>
              <w:jc w:val="left"/>
              <w:rPr>
                <w:rFonts w:hint="default" w:ascii="宋体" w:hAnsi="宋体"/>
                <w:w w:val="90"/>
                <w:szCs w:val="21"/>
              </w:rPr>
            </w:pP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w w:val="90"/>
                <w:szCs w:val="21"/>
              </w:rPr>
            </w:pPr>
            <w:r>
              <w:rPr>
                <w:rFonts w:ascii="宋体" w:hAnsi="宋体"/>
                <w:w w:val="90"/>
                <w:szCs w:val="21"/>
              </w:rPr>
              <w:t>17</w:t>
            </w:r>
          </w:p>
        </w:tc>
        <w:tc>
          <w:tcPr>
            <w:tcW w:w="1933" w:type="dxa"/>
            <w:vAlign w:val="center"/>
          </w:tcPr>
          <w:p>
            <w:pPr>
              <w:jc w:val="left"/>
              <w:rPr>
                <w:rFonts w:hint="default" w:ascii="宋体" w:hAnsi="宋体"/>
                <w:w w:val="90"/>
                <w:szCs w:val="21"/>
              </w:rPr>
            </w:pPr>
            <w:r>
              <w:rPr>
                <w:rFonts w:ascii="宋体" w:hAnsi="宋体"/>
                <w:w w:val="90"/>
                <w:szCs w:val="21"/>
              </w:rPr>
              <w:t>A060807便器冲洗阀</w:t>
            </w:r>
          </w:p>
        </w:tc>
        <w:tc>
          <w:tcPr>
            <w:tcW w:w="2334" w:type="dxa"/>
            <w:vAlign w:val="center"/>
          </w:tcPr>
          <w:p>
            <w:pPr>
              <w:jc w:val="left"/>
              <w:rPr>
                <w:rFonts w:hint="default" w:ascii="宋体" w:hAnsi="宋体"/>
                <w:w w:val="90"/>
                <w:szCs w:val="21"/>
              </w:rPr>
            </w:pP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hint="default" w:ascii="宋体" w:hAnsi="宋体"/>
                <w:w w:val="90"/>
                <w:szCs w:val="21"/>
              </w:rPr>
            </w:pPr>
            <w:r>
              <w:rPr>
                <w:rFonts w:ascii="宋体" w:hAnsi="宋体"/>
                <w:w w:val="90"/>
                <w:szCs w:val="21"/>
              </w:rPr>
              <w:t>18</w:t>
            </w:r>
          </w:p>
        </w:tc>
        <w:tc>
          <w:tcPr>
            <w:tcW w:w="1933" w:type="dxa"/>
            <w:vAlign w:val="center"/>
          </w:tcPr>
          <w:p>
            <w:pPr>
              <w:jc w:val="left"/>
              <w:rPr>
                <w:rFonts w:hint="default" w:ascii="宋体" w:hAnsi="宋体"/>
                <w:w w:val="90"/>
                <w:szCs w:val="21"/>
              </w:rPr>
            </w:pPr>
            <w:r>
              <w:rPr>
                <w:rFonts w:ascii="宋体" w:hAnsi="宋体"/>
                <w:w w:val="90"/>
                <w:szCs w:val="21"/>
              </w:rPr>
              <w:t>A060810淋浴器</w:t>
            </w:r>
          </w:p>
        </w:tc>
        <w:tc>
          <w:tcPr>
            <w:tcW w:w="2334" w:type="dxa"/>
            <w:vAlign w:val="center"/>
          </w:tcPr>
          <w:p>
            <w:pPr>
              <w:jc w:val="left"/>
              <w:rPr>
                <w:rFonts w:hint="default" w:ascii="宋体" w:hAnsi="宋体"/>
                <w:w w:val="90"/>
                <w:szCs w:val="21"/>
              </w:rPr>
            </w:pPr>
          </w:p>
        </w:tc>
        <w:tc>
          <w:tcPr>
            <w:tcW w:w="1682" w:type="dxa"/>
            <w:vAlign w:val="center"/>
          </w:tcPr>
          <w:p>
            <w:pPr>
              <w:jc w:val="center"/>
              <w:rPr>
                <w:rFonts w:hint="default" w:ascii="宋体" w:hAnsi="宋体"/>
                <w:w w:val="90"/>
                <w:szCs w:val="21"/>
              </w:rPr>
            </w:pPr>
          </w:p>
        </w:tc>
        <w:tc>
          <w:tcPr>
            <w:tcW w:w="3301" w:type="dxa"/>
            <w:vAlign w:val="center"/>
          </w:tcPr>
          <w:p>
            <w:pPr>
              <w:jc w:val="left"/>
              <w:rPr>
                <w:rFonts w:hint="default" w:ascii="宋体" w:hAnsi="宋体"/>
                <w:w w:val="90"/>
                <w:szCs w:val="21"/>
              </w:rPr>
            </w:pPr>
            <w:r>
              <w:rPr>
                <w:rFonts w:ascii="宋体" w:hAnsi="宋体"/>
                <w:w w:val="90"/>
                <w:szCs w:val="21"/>
              </w:rPr>
              <w:t>《淋浴器用水效率限定值及用水效率等级》（GB 28378）</w:t>
            </w:r>
          </w:p>
        </w:tc>
      </w:tr>
    </w:tbl>
    <w:p>
      <w:pPr>
        <w:adjustRightInd w:val="0"/>
        <w:snapToGrid w:val="0"/>
        <w:spacing w:line="360" w:lineRule="auto"/>
        <w:ind w:firstLine="480" w:firstLineChars="200"/>
        <w:rPr>
          <w:rFonts w:hint="default" w:ascii="宋体" w:hAnsi="宋体" w:cs="宋体"/>
          <w:sz w:val="24"/>
        </w:rPr>
      </w:pPr>
    </w:p>
    <w:p>
      <w:pPr>
        <w:adjustRightInd w:val="0"/>
        <w:snapToGrid w:val="0"/>
        <w:spacing w:line="360" w:lineRule="auto"/>
        <w:ind w:firstLine="480" w:firstLineChars="200"/>
        <w:rPr>
          <w:rFonts w:hint="default" w:ascii="宋体" w:hAnsi="宋体" w:cs="宋体"/>
          <w:sz w:val="24"/>
        </w:rPr>
      </w:pPr>
      <w:r>
        <w:rPr>
          <w:rFonts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default" w:ascii="宋体" w:hAnsi="宋体" w:cs="宋体"/>
          <w:sz w:val="24"/>
        </w:rPr>
      </w:pPr>
      <w:r>
        <w:rPr>
          <w:rFonts w:ascii="宋体" w:hAnsi="宋体" w:cs="宋体"/>
          <w:sz w:val="24"/>
        </w:rPr>
        <w:t>2.3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hint="default" w:ascii="宋体" w:hAnsi="宋体" w:cs="宋体"/>
          <w:sz w:val="24"/>
        </w:rPr>
      </w:pPr>
      <w:r>
        <w:rPr>
          <w:rFonts w:ascii="宋体" w:hAnsi="宋体" w:cs="宋体"/>
          <w:sz w:val="24"/>
        </w:rPr>
        <w:t>3.支持中小企业发展</w:t>
      </w:r>
    </w:p>
    <w:p>
      <w:pPr>
        <w:spacing w:line="360" w:lineRule="auto"/>
        <w:ind w:firstLine="480" w:firstLineChars="200"/>
        <w:rPr>
          <w:rFonts w:hint="default" w:ascii="宋体" w:hAnsi="宋体" w:cs="宋体"/>
          <w:sz w:val="24"/>
        </w:rPr>
      </w:pPr>
      <w:r>
        <w:rPr>
          <w:rFonts w:ascii="宋体"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default" w:ascii="宋体" w:hAnsi="宋体" w:cs="宋体"/>
          <w:sz w:val="24"/>
        </w:rPr>
      </w:pPr>
      <w:r>
        <w:rPr>
          <w:rFonts w:ascii="宋体" w:hAnsi="宋体" w:cs="宋体"/>
          <w:sz w:val="24"/>
        </w:rPr>
        <w:t>符合中小企业划分标准的个体工商户，在政府采购活动中视同中小企业。</w:t>
      </w:r>
    </w:p>
    <w:p>
      <w:pPr>
        <w:widowControl/>
        <w:spacing w:line="360" w:lineRule="auto"/>
        <w:ind w:firstLine="480" w:firstLineChars="200"/>
        <w:rPr>
          <w:rFonts w:hint="default" w:ascii="宋体" w:hAnsi="宋体" w:cs="宋体"/>
          <w:kern w:val="0"/>
          <w:sz w:val="24"/>
        </w:rPr>
      </w:pPr>
      <w:r>
        <w:rPr>
          <w:rFonts w:ascii="宋体" w:hAnsi="宋体" w:cs="宋体"/>
          <w:bCs/>
          <w:sz w:val="24"/>
        </w:rPr>
        <w:t>3.2</w:t>
      </w:r>
      <w:r>
        <w:rPr>
          <w:rFonts w:ascii="宋体" w:hAnsi="宋体" w:cs="宋体"/>
          <w:kern w:val="0"/>
          <w:sz w:val="24"/>
        </w:rPr>
        <w:t>在政府采购活动中，投标人提供的货物、工程或者服务符合下列情形的，享受中小企业扶持政策：在货物采购项目中，货物由中小企业制造。</w:t>
      </w:r>
    </w:p>
    <w:p>
      <w:pPr>
        <w:widowControl/>
        <w:spacing w:line="360" w:lineRule="auto"/>
        <w:ind w:firstLine="480" w:firstLineChars="200"/>
        <w:rPr>
          <w:rFonts w:hint="default" w:ascii="宋体" w:hAnsi="宋体" w:cs="宋体"/>
          <w:kern w:val="0"/>
          <w:sz w:val="24"/>
        </w:rPr>
      </w:pPr>
      <w:r>
        <w:rPr>
          <w:rFonts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default" w:ascii="宋体" w:hAnsi="宋体" w:cs="宋体"/>
          <w:sz w:val="24"/>
        </w:rPr>
      </w:pPr>
      <w:r>
        <w:rPr>
          <w:rFonts w:ascii="宋体" w:hAnsi="宋体" w:cs="宋体"/>
          <w:sz w:val="24"/>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default" w:ascii="宋体" w:hAnsi="宋体" w:cs="宋体"/>
          <w:sz w:val="24"/>
        </w:rPr>
      </w:pPr>
      <w:r>
        <w:rPr>
          <w:rFonts w:ascii="宋体" w:hAnsi="宋体" w:cs="宋体"/>
          <w:sz w:val="24"/>
        </w:rPr>
        <w:t>3.4符合《关于促进残疾人就业政府采购政策的通知》（财库〔2017〕141号）规定的条件并提供《残疾人福利性单位声明函》的残疾人福利性单位视同小型、微型企业；</w:t>
      </w:r>
    </w:p>
    <w:p>
      <w:pPr>
        <w:spacing w:line="360" w:lineRule="auto"/>
        <w:ind w:firstLine="480" w:firstLineChars="200"/>
        <w:rPr>
          <w:rFonts w:hint="default" w:ascii="宋体" w:hAnsi="宋体" w:cs="宋体"/>
          <w:sz w:val="24"/>
        </w:rPr>
      </w:pPr>
      <w:r>
        <w:rPr>
          <w:rFonts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default" w:ascii="宋体" w:hAnsi="宋体" w:cs="宋体"/>
          <w:sz w:val="24"/>
        </w:rPr>
      </w:pPr>
      <w:r>
        <w:rPr>
          <w:rFonts w:ascii="宋体" w:hAnsi="宋体" w:cs="宋体"/>
          <w:sz w:val="24"/>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default" w:ascii="宋体" w:hAnsi="宋体" w:cs="宋体"/>
          <w:sz w:val="24"/>
        </w:rPr>
      </w:pPr>
      <w:r>
        <w:rPr>
          <w:rFonts w:ascii="宋体" w:hAnsi="宋体" w:cs="宋体"/>
          <w:sz w:val="24"/>
        </w:rPr>
        <w:t>3.7中小企业享受扶持政策获得政府采购合同的，小微企业不得将合同分包给大中型企业，中型企业不得将合同分包给大型企业。</w:t>
      </w:r>
    </w:p>
    <w:p>
      <w:pPr>
        <w:spacing w:line="360" w:lineRule="auto"/>
        <w:ind w:firstLine="480" w:firstLineChars="200"/>
        <w:rPr>
          <w:rFonts w:hint="default" w:ascii="宋体" w:hAnsi="宋体" w:cs="宋体"/>
          <w:sz w:val="24"/>
        </w:rPr>
      </w:pPr>
      <w:r>
        <w:rPr>
          <w:rFonts w:ascii="宋体" w:hAnsi="宋体" w:cs="宋体"/>
          <w:sz w:val="24"/>
        </w:rPr>
        <w:t>4.</w:t>
      </w:r>
      <w:r>
        <w:rPr>
          <w:rFonts w:ascii="宋体" w:hAnsi="宋体" w:cs="宋体"/>
          <w:bCs/>
          <w:sz w:val="24"/>
        </w:rPr>
        <w:t>支持创新发展</w:t>
      </w:r>
    </w:p>
    <w:p>
      <w:pPr>
        <w:spacing w:line="360" w:lineRule="auto"/>
        <w:ind w:firstLine="480" w:firstLineChars="200"/>
        <w:rPr>
          <w:rFonts w:hint="default" w:ascii="宋体" w:hAnsi="宋体" w:cs="宋体"/>
          <w:sz w:val="24"/>
        </w:rPr>
      </w:pPr>
      <w:r>
        <w:rPr>
          <w:rFonts w:ascii="宋体" w:hAnsi="宋体" w:cs="宋体"/>
          <w:sz w:val="24"/>
        </w:rPr>
        <w:t>4.1 采购人优先采购被认定为首台套产品和“制造精品”的自主创新产品。</w:t>
      </w:r>
    </w:p>
    <w:p>
      <w:pPr>
        <w:spacing w:line="360" w:lineRule="auto"/>
        <w:ind w:firstLine="480" w:firstLineChars="200"/>
        <w:rPr>
          <w:rFonts w:hint="default" w:ascii="宋体" w:hAnsi="宋体" w:cs="宋体"/>
          <w:sz w:val="24"/>
        </w:rPr>
      </w:pPr>
      <w:r>
        <w:rPr>
          <w:rFonts w:ascii="宋体" w:hAnsi="宋体" w:cs="宋体"/>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default" w:ascii="宋体" w:hAnsi="宋体" w:cs="宋体"/>
          <w:sz w:val="24"/>
        </w:rPr>
      </w:pPr>
      <w:r>
        <w:rPr>
          <w:rFonts w:ascii="宋体" w:hAnsi="宋体" w:cs="宋体"/>
          <w:sz w:val="24"/>
        </w:rPr>
        <w:t>5.平等对待内外资企业和符合条件的破产重整企业</w:t>
      </w:r>
    </w:p>
    <w:p>
      <w:pPr>
        <w:adjustRightInd w:val="0"/>
        <w:snapToGrid w:val="0"/>
        <w:spacing w:line="360" w:lineRule="auto"/>
        <w:ind w:firstLine="470" w:firstLineChars="196"/>
        <w:outlineLvl w:val="1"/>
        <w:rPr>
          <w:rFonts w:hint="default" w:ascii="宋体" w:hAnsi="宋体" w:cs="宋体"/>
          <w:b/>
          <w:sz w:val="24"/>
        </w:rPr>
      </w:pPr>
      <w:r>
        <w:rPr>
          <w:rFonts w:ascii="宋体" w:hAnsi="宋体" w:cs="宋体"/>
          <w:sz w:val="24"/>
        </w:rPr>
        <w:t>平等对待内外资企业和符合条件的破产重整企业，切实保障企业公平竞争，平等维护企业的合法利益。</w:t>
      </w:r>
    </w:p>
    <w:p>
      <w:pPr>
        <w:adjustRightInd w:val="0"/>
        <w:snapToGrid w:val="0"/>
        <w:spacing w:line="360" w:lineRule="auto"/>
        <w:ind w:firstLine="472" w:firstLineChars="196"/>
        <w:outlineLvl w:val="1"/>
        <w:rPr>
          <w:rFonts w:hint="default" w:ascii="宋体" w:hAnsi="宋体" w:cs="宋体"/>
          <w:b/>
          <w:sz w:val="24"/>
        </w:rPr>
      </w:pPr>
      <w:r>
        <w:rPr>
          <w:rFonts w:ascii="宋体" w:hAnsi="宋体" w:cs="宋体"/>
          <w:b/>
          <w:sz w:val="24"/>
        </w:rPr>
        <w:t>（八）特别说明：</w:t>
      </w:r>
    </w:p>
    <w:p>
      <w:pPr>
        <w:adjustRightInd w:val="0"/>
        <w:snapToGrid w:val="0"/>
        <w:spacing w:line="360" w:lineRule="auto"/>
        <w:ind w:firstLine="470" w:firstLineChars="196"/>
        <w:outlineLvl w:val="1"/>
        <w:rPr>
          <w:rFonts w:hint="default"/>
          <w:sz w:val="24"/>
        </w:rPr>
      </w:pPr>
      <w:r>
        <w:rPr>
          <w:rFonts w:hint="default"/>
          <w:sz w:val="24"/>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pPr>
        <w:adjustRightInd w:val="0"/>
        <w:snapToGrid w:val="0"/>
        <w:spacing w:line="360" w:lineRule="auto"/>
        <w:ind w:firstLine="470" w:firstLineChars="196"/>
        <w:jc w:val="left"/>
        <w:outlineLvl w:val="1"/>
        <w:rPr>
          <w:rFonts w:hint="default"/>
          <w:sz w:val="24"/>
        </w:rPr>
      </w:pPr>
      <w:r>
        <w:rPr>
          <w:rFonts w:hint="default"/>
          <w:sz w:val="24"/>
        </w:rPr>
        <w:t>2.采购文件中所涉及的产品品牌或型号均为建议性要求或为代替部分技术指标描述，供应商可以选择其他品牌型号的产品参加投标但投标产品须具有相当于或优于采购文件要求的指标、性能。</w:t>
      </w:r>
    </w:p>
    <w:p>
      <w:pPr>
        <w:widowControl/>
        <w:adjustRightInd w:val="0"/>
        <w:snapToGrid w:val="0"/>
        <w:spacing w:line="360" w:lineRule="auto"/>
        <w:ind w:firstLine="480" w:firstLineChars="200"/>
        <w:jc w:val="left"/>
        <w:rPr>
          <w:rFonts w:hint="default"/>
          <w:sz w:val="24"/>
        </w:rPr>
      </w:pPr>
      <w:r>
        <w:rPr>
          <w:rFonts w:hint="default"/>
          <w:sz w:val="24"/>
        </w:rPr>
        <w:t>3.投标人应仔细阅读招标文件的所有内容，按照招标文件的要求提交投标文件，并对所提供的全部资料的真实性承担法律责任。</w:t>
      </w:r>
    </w:p>
    <w:p>
      <w:pPr>
        <w:widowControl/>
        <w:adjustRightInd w:val="0"/>
        <w:snapToGrid w:val="0"/>
        <w:spacing w:line="360" w:lineRule="auto"/>
        <w:ind w:firstLine="480" w:firstLineChars="200"/>
        <w:jc w:val="left"/>
        <w:rPr>
          <w:rFonts w:hint="default"/>
          <w:sz w:val="24"/>
        </w:rPr>
      </w:pPr>
      <w:r>
        <w:rPr>
          <w:rFonts w:hint="default"/>
          <w:sz w:val="24"/>
        </w:rPr>
        <w:t>4.采购过程中出现以下情形，导致电子交易平台无法正常运行，或者无法保证电子交易的公平、公正和安全时，采购人（或代理机构）可中止电子交易活动：</w:t>
      </w:r>
    </w:p>
    <w:p>
      <w:pPr>
        <w:widowControl/>
        <w:adjustRightInd w:val="0"/>
        <w:snapToGrid w:val="0"/>
        <w:spacing w:line="360" w:lineRule="auto"/>
        <w:ind w:firstLine="480" w:firstLineChars="200"/>
        <w:jc w:val="left"/>
        <w:rPr>
          <w:rFonts w:hint="default"/>
          <w:sz w:val="24"/>
        </w:rPr>
      </w:pPr>
      <w:r>
        <w:rPr>
          <w:rFonts w:hint="default"/>
          <w:sz w:val="24"/>
        </w:rPr>
        <w:t>（1）电子交易平台发生故障而无法登录访问的；</w:t>
      </w:r>
    </w:p>
    <w:p>
      <w:pPr>
        <w:widowControl/>
        <w:adjustRightInd w:val="0"/>
        <w:snapToGrid w:val="0"/>
        <w:spacing w:line="360" w:lineRule="auto"/>
        <w:ind w:firstLine="480" w:firstLineChars="200"/>
        <w:jc w:val="left"/>
        <w:rPr>
          <w:rFonts w:hint="default"/>
          <w:sz w:val="24"/>
        </w:rPr>
      </w:pPr>
      <w:r>
        <w:rPr>
          <w:rFonts w:hint="default"/>
          <w:sz w:val="24"/>
        </w:rPr>
        <w:t>（2）电子交易平台应用或数据库出现错误，不能进行正常操作的；</w:t>
      </w:r>
    </w:p>
    <w:p>
      <w:pPr>
        <w:widowControl/>
        <w:adjustRightInd w:val="0"/>
        <w:snapToGrid w:val="0"/>
        <w:spacing w:line="360" w:lineRule="auto"/>
        <w:ind w:firstLine="480" w:firstLineChars="200"/>
        <w:jc w:val="left"/>
        <w:rPr>
          <w:rFonts w:hint="default"/>
          <w:sz w:val="24"/>
        </w:rPr>
      </w:pPr>
      <w:r>
        <w:rPr>
          <w:rFonts w:hint="default"/>
          <w:sz w:val="24"/>
        </w:rPr>
        <w:t>（3）电子交易平台发现严重安全漏洞，有潜在泄密危险的；</w:t>
      </w:r>
    </w:p>
    <w:p>
      <w:pPr>
        <w:widowControl/>
        <w:adjustRightInd w:val="0"/>
        <w:snapToGrid w:val="0"/>
        <w:spacing w:line="360" w:lineRule="auto"/>
        <w:ind w:firstLine="480" w:firstLineChars="200"/>
        <w:jc w:val="left"/>
        <w:rPr>
          <w:rFonts w:hint="default"/>
          <w:sz w:val="24"/>
        </w:rPr>
      </w:pPr>
      <w:r>
        <w:rPr>
          <w:rFonts w:hint="default"/>
          <w:sz w:val="24"/>
        </w:rPr>
        <w:t>（4）病毒发作导致不能进行正常操作的；</w:t>
      </w:r>
    </w:p>
    <w:p>
      <w:pPr>
        <w:widowControl/>
        <w:adjustRightInd w:val="0"/>
        <w:snapToGrid w:val="0"/>
        <w:spacing w:line="360" w:lineRule="auto"/>
        <w:ind w:firstLine="480" w:firstLineChars="200"/>
        <w:jc w:val="left"/>
        <w:rPr>
          <w:rFonts w:hint="default"/>
          <w:sz w:val="24"/>
        </w:rPr>
      </w:pPr>
      <w:r>
        <w:rPr>
          <w:rFonts w:hint="default"/>
          <w:sz w:val="24"/>
        </w:rPr>
        <w:t>（5）其他无法保证电子交易的公平、公正和安全的情况。</w:t>
      </w:r>
    </w:p>
    <w:p>
      <w:pPr>
        <w:widowControl/>
        <w:adjustRightInd w:val="0"/>
        <w:snapToGrid w:val="0"/>
        <w:spacing w:line="360" w:lineRule="auto"/>
        <w:ind w:firstLine="480" w:firstLineChars="200"/>
        <w:jc w:val="left"/>
        <w:rPr>
          <w:rFonts w:hint="default"/>
          <w:sz w:val="24"/>
        </w:rPr>
      </w:pPr>
      <w:r>
        <w:rPr>
          <w:rFonts w:hint="default"/>
          <w:sz w:val="24"/>
        </w:rPr>
        <w:t>出现上述规定情形，不影响采购公平、公正性的，采购人（或代理机构）可以待上述情形消除后继续组织电子交易活动，也可以决定某些环节以纸质形式进行。</w:t>
      </w:r>
    </w:p>
    <w:p>
      <w:pPr>
        <w:widowControl/>
        <w:adjustRightInd w:val="0"/>
        <w:snapToGrid w:val="0"/>
        <w:spacing w:line="360" w:lineRule="auto"/>
        <w:ind w:firstLine="482" w:firstLineChars="200"/>
        <w:jc w:val="left"/>
        <w:rPr>
          <w:rFonts w:hint="default"/>
          <w:b/>
          <w:bCs/>
          <w:sz w:val="24"/>
        </w:rPr>
      </w:pPr>
      <w:r>
        <w:rPr>
          <w:rFonts w:hint="default"/>
          <w:b/>
          <w:bCs/>
          <w:sz w:val="24"/>
        </w:rPr>
        <w:t>▲</w:t>
      </w:r>
      <w:r>
        <w:rPr>
          <w:b/>
          <w:bCs/>
          <w:sz w:val="24"/>
        </w:rPr>
        <w:t>5.供应商</w:t>
      </w:r>
      <w:r>
        <w:rPr>
          <w:rFonts w:hint="default"/>
          <w:b/>
          <w:bCs/>
          <w:sz w:val="24"/>
        </w:rPr>
        <w:t>对所投标项内的采购内容必须全部进行投标。</w:t>
      </w:r>
    </w:p>
    <w:p>
      <w:pPr>
        <w:widowControl/>
        <w:numPr>
          <w:ilvl w:val="0"/>
          <w:numId w:val="3"/>
        </w:numPr>
        <w:adjustRightInd w:val="0"/>
        <w:snapToGrid w:val="0"/>
        <w:spacing w:line="360" w:lineRule="auto"/>
        <w:ind w:firstLine="480" w:firstLineChars="200"/>
        <w:jc w:val="left"/>
        <w:rPr>
          <w:rFonts w:hint="default"/>
          <w:sz w:val="24"/>
        </w:rPr>
      </w:pPr>
      <w:r>
        <w:rPr>
          <w:rFonts w:hint="default"/>
          <w:sz w:val="24"/>
        </w:rPr>
        <w:t>采购文件中如有描述歧义或前后不一致的地方，评标委员会有权按公平、合理的原则进行评判，但对同一条款的评判适用于每个</w:t>
      </w:r>
      <w:r>
        <w:rPr>
          <w:sz w:val="24"/>
        </w:rPr>
        <w:t>供应商</w:t>
      </w:r>
      <w:r>
        <w:rPr>
          <w:rFonts w:hint="default"/>
          <w:sz w:val="24"/>
        </w:rPr>
        <w:t>。</w:t>
      </w:r>
    </w:p>
    <w:p>
      <w:pPr>
        <w:widowControl/>
        <w:numPr>
          <w:ilvl w:val="0"/>
          <w:numId w:val="3"/>
        </w:numPr>
        <w:adjustRightInd w:val="0"/>
        <w:snapToGrid w:val="0"/>
        <w:spacing w:line="360" w:lineRule="auto"/>
        <w:ind w:firstLine="480" w:firstLineChars="200"/>
        <w:jc w:val="left"/>
        <w:rPr>
          <w:rFonts w:hint="default"/>
          <w:sz w:val="24"/>
        </w:rPr>
      </w:pPr>
      <w:r>
        <w:rPr>
          <w:sz w:val="24"/>
        </w:rPr>
        <w:t>供应商</w:t>
      </w:r>
      <w:r>
        <w:rPr>
          <w:rFonts w:hint="default"/>
          <w:sz w:val="24"/>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widowControl/>
        <w:numPr>
          <w:ilvl w:val="0"/>
          <w:numId w:val="3"/>
        </w:numPr>
        <w:adjustRightInd w:val="0"/>
        <w:snapToGrid w:val="0"/>
        <w:spacing w:line="360" w:lineRule="auto"/>
        <w:ind w:firstLine="480" w:firstLineChars="200"/>
        <w:jc w:val="left"/>
        <w:rPr>
          <w:rFonts w:hint="default"/>
          <w:sz w:val="24"/>
        </w:rPr>
      </w:pPr>
      <w:r>
        <w:rPr>
          <w:sz w:val="24"/>
        </w:rPr>
        <w:t>为证明供应商拥有的人员、业绩、荣誉、知识产权、项目案例等而在投标文件中提供的证明材料必须为供应商自身所有。不同法人、其他组织的资料与供应商无关。</w:t>
      </w:r>
    </w:p>
    <w:p>
      <w:pPr>
        <w:pStyle w:val="10"/>
        <w:adjustRightInd w:val="0"/>
        <w:snapToGrid w:val="0"/>
        <w:spacing w:beforeLines="0" w:afterLines="0" w:line="360" w:lineRule="auto"/>
        <w:ind w:firstLine="472" w:firstLineChars="196"/>
        <w:outlineLvl w:val="1"/>
        <w:rPr>
          <w:rFonts w:hint="default" w:ascii="Times New Roman" w:hAnsi="Times New Roman"/>
          <w:b/>
          <w:bCs/>
        </w:rPr>
      </w:pPr>
      <w:r>
        <w:rPr>
          <w:rFonts w:hint="default" w:ascii="Times New Roman" w:hAnsi="Times New Roman"/>
          <w:b/>
          <w:bCs/>
        </w:rPr>
        <w:t>（</w:t>
      </w:r>
      <w:r>
        <w:rPr>
          <w:rFonts w:hAnsi="宋体" w:cs="宋体"/>
          <w:b/>
          <w:bCs/>
        </w:rPr>
        <w:t>九</w:t>
      </w:r>
      <w:r>
        <w:rPr>
          <w:rFonts w:hint="default" w:ascii="Times New Roman" w:hAnsi="Times New Roman"/>
          <w:b/>
          <w:bCs/>
        </w:rPr>
        <w:t>）质疑和投诉</w:t>
      </w:r>
    </w:p>
    <w:p>
      <w:pPr>
        <w:widowControl/>
        <w:adjustRightInd w:val="0"/>
        <w:snapToGrid w:val="0"/>
        <w:spacing w:line="360" w:lineRule="auto"/>
        <w:ind w:firstLine="480" w:firstLineChars="200"/>
        <w:rPr>
          <w:rFonts w:hint="default"/>
          <w:sz w:val="24"/>
          <w:lang w:val="zh-CN"/>
        </w:rPr>
      </w:pPr>
      <w:r>
        <w:rPr>
          <w:sz w:val="24"/>
          <w:lang w:val="zh-CN"/>
        </w:rPr>
        <w:t>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adjustRightInd w:val="0"/>
        <w:snapToGrid w:val="0"/>
        <w:spacing w:line="360" w:lineRule="auto"/>
        <w:ind w:firstLine="480" w:firstLineChars="200"/>
        <w:rPr>
          <w:rFonts w:hint="default"/>
          <w:sz w:val="24"/>
          <w:lang w:val="zh-CN"/>
        </w:rPr>
      </w:pPr>
      <w:r>
        <w:rPr>
          <w:sz w:val="24"/>
          <w:lang w:val="zh-CN"/>
        </w:rPr>
        <w:t>2供应商询问</w:t>
      </w:r>
    </w:p>
    <w:p>
      <w:pPr>
        <w:widowControl/>
        <w:adjustRightInd w:val="0"/>
        <w:snapToGrid w:val="0"/>
        <w:spacing w:line="360" w:lineRule="auto"/>
        <w:ind w:firstLine="480" w:firstLineChars="200"/>
        <w:rPr>
          <w:rFonts w:hint="default"/>
          <w:sz w:val="24"/>
          <w:lang w:val="zh-CN"/>
        </w:rPr>
      </w:pPr>
      <w:r>
        <w:rPr>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idowControl/>
        <w:adjustRightInd w:val="0"/>
        <w:snapToGrid w:val="0"/>
        <w:spacing w:line="360" w:lineRule="auto"/>
        <w:ind w:firstLine="480" w:firstLineChars="200"/>
        <w:rPr>
          <w:rFonts w:hint="default"/>
          <w:sz w:val="24"/>
          <w:lang w:val="zh-CN"/>
        </w:rPr>
      </w:pPr>
      <w:r>
        <w:rPr>
          <w:sz w:val="24"/>
          <w:lang w:val="zh-CN"/>
        </w:rPr>
        <w:t>3供应商质疑</w:t>
      </w:r>
    </w:p>
    <w:p>
      <w:pPr>
        <w:widowControl/>
        <w:adjustRightInd w:val="0"/>
        <w:snapToGrid w:val="0"/>
        <w:spacing w:line="360" w:lineRule="auto"/>
        <w:ind w:firstLine="480" w:firstLineChars="200"/>
        <w:rPr>
          <w:rFonts w:hint="default"/>
          <w:sz w:val="24"/>
          <w:lang w:val="zh-CN"/>
        </w:rPr>
      </w:pPr>
      <w:r>
        <w:rPr>
          <w:sz w:val="24"/>
          <w:lang w:val="zh-CN"/>
        </w:rPr>
        <w:t>3.1提出质疑的供应商应当是参与所质疑项目采购活动的供应商。潜在供应商已依法获取其可质疑的招标文件的，可以对该文件提出质疑。</w:t>
      </w:r>
    </w:p>
    <w:p>
      <w:pPr>
        <w:widowControl/>
        <w:adjustRightInd w:val="0"/>
        <w:snapToGrid w:val="0"/>
        <w:spacing w:line="360" w:lineRule="auto"/>
        <w:ind w:firstLine="480" w:firstLineChars="200"/>
        <w:rPr>
          <w:rFonts w:hint="default"/>
          <w:sz w:val="24"/>
          <w:lang w:val="zh-CN"/>
        </w:rPr>
      </w:pPr>
      <w:r>
        <w:rPr>
          <w:sz w:val="24"/>
          <w:lang w:val="zh-CN"/>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widowControl/>
        <w:adjustRightInd w:val="0"/>
        <w:snapToGrid w:val="0"/>
        <w:spacing w:line="360" w:lineRule="auto"/>
        <w:ind w:firstLine="480" w:firstLineChars="200"/>
        <w:rPr>
          <w:rFonts w:hint="default"/>
          <w:sz w:val="24"/>
          <w:lang w:val="zh-CN"/>
        </w:rPr>
      </w:pPr>
      <w:r>
        <w:rPr>
          <w:sz w:val="24"/>
          <w:lang w:val="zh-CN"/>
        </w:rPr>
        <w:t>3.2.1对招标文件提出质疑的，质疑期限为供应商获得招标文件之日或者招标文件公告期限届满之日起计算。</w:t>
      </w:r>
    </w:p>
    <w:p>
      <w:pPr>
        <w:widowControl/>
        <w:adjustRightInd w:val="0"/>
        <w:snapToGrid w:val="0"/>
        <w:spacing w:line="360" w:lineRule="auto"/>
        <w:ind w:firstLine="480" w:firstLineChars="200"/>
        <w:rPr>
          <w:rFonts w:hint="default"/>
          <w:sz w:val="24"/>
          <w:lang w:val="zh-CN"/>
        </w:rPr>
      </w:pPr>
      <w:r>
        <w:rPr>
          <w:sz w:val="24"/>
          <w:lang w:val="zh-CN"/>
        </w:rPr>
        <w:t>3.2.2对采购过程提出质疑的，质疑期限为各采购程序环节结束之日起计算。</w:t>
      </w:r>
    </w:p>
    <w:p>
      <w:pPr>
        <w:widowControl/>
        <w:adjustRightInd w:val="0"/>
        <w:snapToGrid w:val="0"/>
        <w:spacing w:line="360" w:lineRule="auto"/>
        <w:ind w:firstLine="480" w:firstLineChars="200"/>
        <w:rPr>
          <w:rFonts w:hint="default"/>
          <w:sz w:val="24"/>
          <w:lang w:val="zh-CN"/>
        </w:rPr>
      </w:pPr>
      <w:r>
        <w:rPr>
          <w:sz w:val="24"/>
          <w:lang w:val="zh-CN"/>
        </w:rPr>
        <w:t>3.2.3对采购结果提出质疑的，质疑期限自采购结果公告期限届满之日起计算。</w:t>
      </w:r>
    </w:p>
    <w:p>
      <w:pPr>
        <w:widowControl/>
        <w:adjustRightInd w:val="0"/>
        <w:snapToGrid w:val="0"/>
        <w:spacing w:line="360" w:lineRule="auto"/>
        <w:ind w:firstLine="480" w:firstLineChars="200"/>
        <w:rPr>
          <w:rFonts w:hint="default"/>
          <w:sz w:val="24"/>
          <w:lang w:val="zh-CN"/>
        </w:rPr>
      </w:pPr>
      <w:r>
        <w:rPr>
          <w:sz w:val="24"/>
          <w:lang w:val="zh-CN"/>
        </w:rPr>
        <w:t>3.3供应商提出质疑应当提交质疑函和必要的证明材料。质疑函应当包括下列内容：</w:t>
      </w:r>
    </w:p>
    <w:p>
      <w:pPr>
        <w:widowControl/>
        <w:adjustRightInd w:val="0"/>
        <w:snapToGrid w:val="0"/>
        <w:spacing w:line="360" w:lineRule="auto"/>
        <w:ind w:firstLine="480" w:firstLineChars="200"/>
        <w:rPr>
          <w:rFonts w:hint="default"/>
          <w:sz w:val="24"/>
          <w:lang w:val="zh-CN"/>
        </w:rPr>
      </w:pPr>
      <w:r>
        <w:rPr>
          <w:sz w:val="24"/>
          <w:lang w:val="zh-CN"/>
        </w:rPr>
        <w:t>3.3.1供应商的姓名或者名称、地址、邮编、联系人及联系电话；</w:t>
      </w:r>
    </w:p>
    <w:p>
      <w:pPr>
        <w:widowControl/>
        <w:adjustRightInd w:val="0"/>
        <w:snapToGrid w:val="0"/>
        <w:spacing w:line="360" w:lineRule="auto"/>
        <w:ind w:firstLine="480" w:firstLineChars="200"/>
        <w:rPr>
          <w:rFonts w:hint="default"/>
          <w:sz w:val="24"/>
          <w:lang w:val="zh-CN"/>
        </w:rPr>
      </w:pPr>
      <w:r>
        <w:rPr>
          <w:sz w:val="24"/>
          <w:lang w:val="zh-CN"/>
        </w:rPr>
        <w:t>3.3.2质疑项目的名称、编号；</w:t>
      </w:r>
    </w:p>
    <w:p>
      <w:pPr>
        <w:widowControl/>
        <w:adjustRightInd w:val="0"/>
        <w:snapToGrid w:val="0"/>
        <w:spacing w:line="360" w:lineRule="auto"/>
        <w:ind w:firstLine="480" w:firstLineChars="200"/>
        <w:rPr>
          <w:rFonts w:hint="default"/>
          <w:sz w:val="24"/>
          <w:lang w:val="zh-CN"/>
        </w:rPr>
      </w:pPr>
      <w:r>
        <w:rPr>
          <w:sz w:val="24"/>
          <w:lang w:val="zh-CN"/>
        </w:rPr>
        <w:t>3.3.3具体、明确的质疑事项和与质疑事项相关的请求；</w:t>
      </w:r>
    </w:p>
    <w:p>
      <w:pPr>
        <w:widowControl/>
        <w:adjustRightInd w:val="0"/>
        <w:snapToGrid w:val="0"/>
        <w:spacing w:line="360" w:lineRule="auto"/>
        <w:ind w:firstLine="480" w:firstLineChars="200"/>
        <w:rPr>
          <w:rFonts w:hint="default"/>
          <w:sz w:val="24"/>
          <w:lang w:val="zh-CN"/>
        </w:rPr>
      </w:pPr>
      <w:r>
        <w:rPr>
          <w:sz w:val="24"/>
          <w:lang w:val="zh-CN"/>
        </w:rPr>
        <w:t>3.3.4事实依据；</w:t>
      </w:r>
    </w:p>
    <w:p>
      <w:pPr>
        <w:widowControl/>
        <w:adjustRightInd w:val="0"/>
        <w:snapToGrid w:val="0"/>
        <w:spacing w:line="360" w:lineRule="auto"/>
        <w:ind w:firstLine="480" w:firstLineChars="200"/>
        <w:rPr>
          <w:rFonts w:hint="default"/>
          <w:sz w:val="24"/>
          <w:lang w:val="zh-CN"/>
        </w:rPr>
      </w:pPr>
      <w:r>
        <w:rPr>
          <w:sz w:val="24"/>
          <w:lang w:val="zh-CN"/>
        </w:rPr>
        <w:t>3.3.5必要的法律依据；</w:t>
      </w:r>
    </w:p>
    <w:p>
      <w:pPr>
        <w:widowControl/>
        <w:adjustRightInd w:val="0"/>
        <w:snapToGrid w:val="0"/>
        <w:spacing w:line="360" w:lineRule="auto"/>
        <w:ind w:firstLine="480" w:firstLineChars="200"/>
        <w:rPr>
          <w:rFonts w:hint="default"/>
          <w:sz w:val="24"/>
          <w:lang w:val="zh-CN"/>
        </w:rPr>
      </w:pPr>
      <w:r>
        <w:rPr>
          <w:sz w:val="24"/>
          <w:lang w:val="zh-CN"/>
        </w:rPr>
        <w:t>3.3.6提出质疑的日期。</w:t>
      </w:r>
    </w:p>
    <w:p>
      <w:pPr>
        <w:widowControl/>
        <w:adjustRightInd w:val="0"/>
        <w:snapToGrid w:val="0"/>
        <w:spacing w:line="360" w:lineRule="auto"/>
        <w:ind w:firstLine="480" w:firstLineChars="200"/>
        <w:rPr>
          <w:rFonts w:hint="default"/>
          <w:sz w:val="24"/>
          <w:lang w:val="zh-CN"/>
        </w:rPr>
      </w:pPr>
      <w:r>
        <w:rPr>
          <w:sz w:val="24"/>
          <w:lang w:val="zh-CN"/>
        </w:rPr>
        <w:t>供应商提交的质疑函需一式三份。供应商为自然人的，应当由本人签字；供应商为法人或者其他组织的，应当由法定代表人、主要负责人，或者其授权代表签字或者盖章，并加盖公章。</w:t>
      </w:r>
    </w:p>
    <w:p>
      <w:pPr>
        <w:widowControl/>
        <w:adjustRightInd w:val="0"/>
        <w:snapToGrid w:val="0"/>
        <w:spacing w:line="360" w:lineRule="auto"/>
        <w:ind w:firstLine="480" w:firstLineChars="200"/>
        <w:rPr>
          <w:rFonts w:hint="default"/>
          <w:sz w:val="24"/>
          <w:lang w:val="zh-CN"/>
        </w:rPr>
      </w:pPr>
      <w:r>
        <w:rPr>
          <w:sz w:val="24"/>
          <w:lang w:val="zh-CN"/>
        </w:rPr>
        <w:t>3.4对同一采购程序环节的质疑，供应商须在法定质疑期内一次性提出。</w:t>
      </w:r>
    </w:p>
    <w:p>
      <w:pPr>
        <w:widowControl/>
        <w:adjustRightInd w:val="0"/>
        <w:snapToGrid w:val="0"/>
        <w:spacing w:line="360" w:lineRule="auto"/>
        <w:ind w:firstLine="480" w:firstLineChars="200"/>
        <w:rPr>
          <w:rFonts w:hint="default"/>
          <w:sz w:val="24"/>
          <w:lang w:val="zh-CN"/>
        </w:rPr>
      </w:pPr>
      <w:r>
        <w:rPr>
          <w:sz w:val="24"/>
          <w:lang w:val="zh-CN"/>
        </w:rPr>
        <w:t>3.5采购人或者采购代理机构应当在收到供应商的书面质疑后七个工作日内作出答复，并以书面形式通知质疑供应商和其他与质疑处理结果有利害关系的政府采购当事人，但答复的内容不得涉及商业秘密。</w:t>
      </w:r>
    </w:p>
    <w:p>
      <w:pPr>
        <w:widowControl/>
        <w:adjustRightInd w:val="0"/>
        <w:snapToGrid w:val="0"/>
        <w:spacing w:line="360" w:lineRule="auto"/>
        <w:ind w:firstLine="480" w:firstLineChars="200"/>
        <w:rPr>
          <w:rFonts w:hint="default"/>
          <w:sz w:val="24"/>
          <w:lang w:val="zh-CN"/>
        </w:rPr>
      </w:pPr>
      <w:r>
        <w:rPr>
          <w:sz w:val="24"/>
          <w:lang w:val="zh-CN"/>
        </w:rPr>
        <w:t>3.6询问或者质疑事项可能影响采购结果的，采购人应当暂停签订合同，已经签订合同的，应当中止履行合同。</w:t>
      </w:r>
    </w:p>
    <w:p>
      <w:pPr>
        <w:widowControl/>
        <w:adjustRightInd w:val="0"/>
        <w:snapToGrid w:val="0"/>
        <w:spacing w:line="360" w:lineRule="auto"/>
        <w:ind w:firstLine="480" w:firstLineChars="200"/>
        <w:rPr>
          <w:rFonts w:hint="default"/>
          <w:sz w:val="24"/>
          <w:lang w:val="zh-CN"/>
        </w:rPr>
      </w:pPr>
      <w:r>
        <w:rPr>
          <w:sz w:val="24"/>
          <w:lang w:val="zh-CN"/>
        </w:rPr>
        <w:t>4.4供应商投诉</w:t>
      </w:r>
    </w:p>
    <w:p>
      <w:pPr>
        <w:widowControl/>
        <w:adjustRightInd w:val="0"/>
        <w:snapToGrid w:val="0"/>
        <w:spacing w:line="360" w:lineRule="auto"/>
        <w:ind w:firstLine="480" w:firstLineChars="200"/>
        <w:rPr>
          <w:rFonts w:hint="default"/>
          <w:sz w:val="24"/>
          <w:lang w:val="zh-CN"/>
        </w:rPr>
      </w:pPr>
      <w:r>
        <w:rPr>
          <w:sz w:val="24"/>
          <w:lang w:val="zh-CN"/>
        </w:rPr>
        <w:t>4.4.1质疑供应商对采购人、采购代理机构的答复不满意或者采购人、采购代理机构未在规定的时间内作出答复的，可以在答复期满后十五个工作日内</w:t>
      </w:r>
      <w:r>
        <w:rPr>
          <w:sz w:val="24"/>
        </w:rPr>
        <w:t>向同级政府采购监督管理部门</w:t>
      </w:r>
      <w:r>
        <w:rPr>
          <w:sz w:val="24"/>
          <w:lang w:val="zh-CN"/>
        </w:rPr>
        <w:t>提出投诉。</w:t>
      </w:r>
    </w:p>
    <w:p>
      <w:pPr>
        <w:widowControl/>
        <w:adjustRightInd w:val="0"/>
        <w:snapToGrid w:val="0"/>
        <w:spacing w:line="360" w:lineRule="auto"/>
        <w:ind w:firstLine="480" w:firstLineChars="200"/>
        <w:rPr>
          <w:rFonts w:hint="default"/>
          <w:sz w:val="24"/>
          <w:lang w:val="zh-CN"/>
        </w:rPr>
      </w:pPr>
      <w:r>
        <w:rPr>
          <w:sz w:val="24"/>
          <w:lang w:val="zh-CN"/>
        </w:rPr>
        <w:t>4.4.2供应商投诉的事项不得超出已质疑事项的范围，基于质疑答复内容提出的投诉事项除外。</w:t>
      </w:r>
    </w:p>
    <w:p>
      <w:pPr>
        <w:widowControl/>
        <w:adjustRightInd w:val="0"/>
        <w:snapToGrid w:val="0"/>
        <w:spacing w:line="360" w:lineRule="auto"/>
        <w:ind w:firstLine="480" w:firstLineChars="200"/>
        <w:rPr>
          <w:rFonts w:hint="default"/>
          <w:sz w:val="24"/>
          <w:lang w:val="zh-CN"/>
        </w:rPr>
      </w:pPr>
      <w:r>
        <w:rPr>
          <w:sz w:val="24"/>
          <w:lang w:val="zh-CN"/>
        </w:rPr>
        <w:t>4.4.3供应商投诉应当有明确的请求和必要的证明材料。</w:t>
      </w:r>
    </w:p>
    <w:p>
      <w:pPr>
        <w:widowControl/>
        <w:adjustRightInd w:val="0"/>
        <w:snapToGrid w:val="0"/>
        <w:spacing w:line="360" w:lineRule="auto"/>
        <w:ind w:firstLine="480" w:firstLineChars="200"/>
        <w:rPr>
          <w:rFonts w:hint="default"/>
          <w:sz w:val="24"/>
          <w:lang w:val="zh-CN"/>
        </w:rPr>
      </w:pPr>
      <w:r>
        <w:rPr>
          <w:sz w:val="24"/>
          <w:lang w:val="zh-CN"/>
        </w:rPr>
        <w:t>4.4.4以联合体形式参加政府采购活动的，其投诉应当由组成联合体的所有供应商共同提出。</w:t>
      </w:r>
    </w:p>
    <w:p>
      <w:pPr>
        <w:pStyle w:val="10"/>
        <w:tabs>
          <w:tab w:val="left" w:pos="7317"/>
        </w:tabs>
        <w:adjustRightInd w:val="0"/>
        <w:snapToGrid w:val="0"/>
        <w:spacing w:beforeLines="0" w:afterLines="0" w:line="360" w:lineRule="auto"/>
        <w:outlineLvl w:val="0"/>
        <w:rPr>
          <w:rFonts w:hint="default" w:ascii="Times New Roman" w:hAnsi="Times New Roman"/>
          <w:b/>
          <w:sz w:val="28"/>
          <w:szCs w:val="28"/>
        </w:rPr>
      </w:pPr>
      <w:bookmarkStart w:id="28" w:name="_Toc30349"/>
      <w:bookmarkStart w:id="29" w:name="_Toc10520"/>
      <w:bookmarkStart w:id="30" w:name="_Toc31283"/>
      <w:bookmarkStart w:id="31" w:name="_Toc27257"/>
      <w:bookmarkStart w:id="32" w:name="_Toc16944"/>
      <w:r>
        <w:rPr>
          <w:rFonts w:hint="default" w:ascii="Times New Roman" w:hAnsi="Times New Roman"/>
          <w:b/>
          <w:sz w:val="28"/>
          <w:szCs w:val="28"/>
        </w:rPr>
        <w:t>二、招标文件</w:t>
      </w:r>
      <w:bookmarkEnd w:id="28"/>
      <w:bookmarkEnd w:id="29"/>
      <w:bookmarkEnd w:id="30"/>
      <w:bookmarkEnd w:id="31"/>
      <w:bookmarkEnd w:id="32"/>
    </w:p>
    <w:p>
      <w:pPr>
        <w:adjustRightInd w:val="0"/>
        <w:snapToGrid w:val="0"/>
        <w:spacing w:line="360" w:lineRule="auto"/>
        <w:ind w:firstLine="472" w:firstLineChars="196"/>
        <w:jc w:val="left"/>
        <w:rPr>
          <w:rFonts w:hint="default"/>
          <w:b/>
          <w:sz w:val="24"/>
        </w:rPr>
      </w:pPr>
      <w:r>
        <w:rPr>
          <w:rFonts w:hint="default"/>
          <w:b/>
          <w:sz w:val="24"/>
        </w:rPr>
        <w:t>（一）招标文件的构成。本招标文件由以下部份组成：</w:t>
      </w:r>
    </w:p>
    <w:p>
      <w:pPr>
        <w:adjustRightInd w:val="0"/>
        <w:snapToGrid w:val="0"/>
        <w:spacing w:line="360" w:lineRule="auto"/>
        <w:ind w:firstLine="480" w:firstLineChars="200"/>
        <w:jc w:val="left"/>
        <w:rPr>
          <w:rFonts w:hint="default"/>
          <w:sz w:val="24"/>
        </w:rPr>
      </w:pPr>
      <w:r>
        <w:rPr>
          <w:rFonts w:hint="default"/>
          <w:sz w:val="24"/>
        </w:rPr>
        <w:t>1.招标公告</w:t>
      </w:r>
    </w:p>
    <w:p>
      <w:pPr>
        <w:adjustRightInd w:val="0"/>
        <w:snapToGrid w:val="0"/>
        <w:spacing w:line="360" w:lineRule="auto"/>
        <w:ind w:firstLine="480" w:firstLineChars="200"/>
        <w:jc w:val="left"/>
        <w:rPr>
          <w:rFonts w:hint="default"/>
          <w:sz w:val="24"/>
        </w:rPr>
      </w:pPr>
      <w:r>
        <w:rPr>
          <w:rFonts w:hint="default"/>
          <w:sz w:val="24"/>
        </w:rPr>
        <w:t>2.投标人须知</w:t>
      </w:r>
    </w:p>
    <w:p>
      <w:pPr>
        <w:adjustRightInd w:val="0"/>
        <w:snapToGrid w:val="0"/>
        <w:spacing w:line="360" w:lineRule="auto"/>
        <w:ind w:firstLine="480" w:firstLineChars="200"/>
        <w:jc w:val="left"/>
        <w:rPr>
          <w:rFonts w:hint="default"/>
          <w:sz w:val="24"/>
        </w:rPr>
      </w:pPr>
      <w:r>
        <w:rPr>
          <w:rFonts w:hint="default"/>
          <w:sz w:val="24"/>
        </w:rPr>
        <w:t>3.评标办法</w:t>
      </w:r>
    </w:p>
    <w:p>
      <w:pPr>
        <w:adjustRightInd w:val="0"/>
        <w:snapToGrid w:val="0"/>
        <w:spacing w:line="360" w:lineRule="auto"/>
        <w:ind w:firstLine="480" w:firstLineChars="200"/>
        <w:rPr>
          <w:rFonts w:hint="default"/>
          <w:sz w:val="24"/>
        </w:rPr>
      </w:pPr>
      <w:r>
        <w:rPr>
          <w:rFonts w:hint="default"/>
          <w:sz w:val="24"/>
        </w:rPr>
        <w:t>4.采购内容及需求</w:t>
      </w:r>
    </w:p>
    <w:p>
      <w:pPr>
        <w:adjustRightInd w:val="0"/>
        <w:snapToGrid w:val="0"/>
        <w:spacing w:line="360" w:lineRule="auto"/>
        <w:ind w:firstLine="480" w:firstLineChars="200"/>
        <w:jc w:val="left"/>
        <w:rPr>
          <w:rFonts w:hint="default"/>
          <w:sz w:val="24"/>
        </w:rPr>
      </w:pPr>
      <w:r>
        <w:rPr>
          <w:rFonts w:hint="default"/>
          <w:sz w:val="24"/>
        </w:rPr>
        <w:t>5.合同主要条款</w:t>
      </w:r>
    </w:p>
    <w:p>
      <w:pPr>
        <w:adjustRightInd w:val="0"/>
        <w:snapToGrid w:val="0"/>
        <w:spacing w:line="360" w:lineRule="auto"/>
        <w:ind w:firstLine="480" w:firstLineChars="200"/>
        <w:jc w:val="left"/>
        <w:rPr>
          <w:rFonts w:hint="default"/>
          <w:sz w:val="24"/>
        </w:rPr>
      </w:pPr>
      <w:r>
        <w:rPr>
          <w:rFonts w:hint="default"/>
          <w:sz w:val="24"/>
        </w:rPr>
        <w:t>6.投标文件格式</w:t>
      </w:r>
    </w:p>
    <w:p>
      <w:pPr>
        <w:adjustRightInd w:val="0"/>
        <w:snapToGrid w:val="0"/>
        <w:spacing w:line="360" w:lineRule="auto"/>
        <w:ind w:firstLine="480" w:firstLineChars="200"/>
        <w:jc w:val="left"/>
        <w:rPr>
          <w:rFonts w:hint="default"/>
          <w:sz w:val="24"/>
        </w:rPr>
      </w:pPr>
      <w:r>
        <w:rPr>
          <w:rFonts w:hint="default"/>
          <w:sz w:val="24"/>
        </w:rPr>
        <w:t>7.本项目招标文件的澄清、修改内容（如有）</w:t>
      </w:r>
    </w:p>
    <w:p>
      <w:pPr>
        <w:adjustRightInd w:val="0"/>
        <w:snapToGrid w:val="0"/>
        <w:spacing w:line="360" w:lineRule="auto"/>
        <w:ind w:firstLine="472" w:firstLineChars="196"/>
        <w:jc w:val="left"/>
        <w:rPr>
          <w:rFonts w:hint="default"/>
          <w:b/>
          <w:sz w:val="24"/>
        </w:rPr>
      </w:pPr>
      <w:r>
        <w:rPr>
          <w:rFonts w:hint="default"/>
          <w:b/>
          <w:sz w:val="24"/>
        </w:rPr>
        <w:t>（二）投标人的风险</w:t>
      </w:r>
    </w:p>
    <w:p>
      <w:pPr>
        <w:adjustRightInd w:val="0"/>
        <w:snapToGrid w:val="0"/>
        <w:spacing w:line="360" w:lineRule="auto"/>
        <w:ind w:firstLine="480" w:firstLineChars="200"/>
        <w:jc w:val="left"/>
        <w:rPr>
          <w:rFonts w:hint="default"/>
          <w:b/>
          <w:bCs/>
          <w:sz w:val="24"/>
        </w:rPr>
      </w:pPr>
      <w:r>
        <w:rPr>
          <w:rFonts w:hint="default"/>
          <w:sz w:val="24"/>
        </w:rPr>
        <w:t>1.</w:t>
      </w:r>
      <w:r>
        <w:rPr>
          <w:rFonts w:hint="default"/>
          <w:b/>
          <w:bCs/>
          <w:sz w:val="24"/>
        </w:rPr>
        <w:t>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p>
    <w:p>
      <w:pPr>
        <w:adjustRightInd w:val="0"/>
        <w:snapToGrid w:val="0"/>
        <w:spacing w:line="360" w:lineRule="auto"/>
        <w:ind w:firstLine="482" w:firstLineChars="200"/>
        <w:jc w:val="left"/>
        <w:rPr>
          <w:rFonts w:hint="default"/>
          <w:b/>
          <w:bCs/>
          <w:sz w:val="24"/>
        </w:rPr>
      </w:pPr>
      <w:r>
        <w:rPr>
          <w:rFonts w:hint="default"/>
          <w:b/>
          <w:bCs/>
          <w:sz w:val="24"/>
        </w:rPr>
        <w:t>2.投标人没有按照招标文件要求提供全部资料，或者投标人没有对招标文件在各方面作出实质性响应是投标人的风险，并可能导致其投标无效。</w:t>
      </w:r>
    </w:p>
    <w:p>
      <w:pPr>
        <w:pStyle w:val="13"/>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 xml:space="preserve">（三）招标文件的澄清与修改 </w:t>
      </w:r>
    </w:p>
    <w:p>
      <w:pPr>
        <w:adjustRightInd w:val="0"/>
        <w:snapToGrid w:val="0"/>
        <w:spacing w:line="360" w:lineRule="auto"/>
        <w:ind w:firstLine="480" w:firstLineChars="200"/>
        <w:jc w:val="left"/>
        <w:rPr>
          <w:rFonts w:hint="default"/>
          <w:sz w:val="24"/>
        </w:rPr>
      </w:pPr>
      <w:r>
        <w:rPr>
          <w:rFonts w:hint="default"/>
          <w:sz w:val="24"/>
        </w:rPr>
        <w:t>1.已获取招标文件的潜在投标人，若有问题需要澄清，应于投标截止时间前，以书面形式向采购代理机构提出。</w:t>
      </w:r>
    </w:p>
    <w:p>
      <w:pPr>
        <w:adjustRightInd w:val="0"/>
        <w:snapToGrid w:val="0"/>
        <w:spacing w:line="360" w:lineRule="auto"/>
        <w:ind w:firstLine="480" w:firstLineChars="200"/>
        <w:jc w:val="left"/>
        <w:rPr>
          <w:rFonts w:hint="default"/>
          <w:sz w:val="24"/>
        </w:rPr>
      </w:pPr>
      <w:r>
        <w:rPr>
          <w:rFonts w:hint="default"/>
          <w:sz w:val="24"/>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0"/>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三、投标文件的编制</w:t>
      </w:r>
    </w:p>
    <w:p>
      <w:pPr>
        <w:adjustRightInd w:val="0"/>
        <w:snapToGrid w:val="0"/>
        <w:spacing w:line="360" w:lineRule="auto"/>
        <w:ind w:firstLine="472" w:firstLineChars="196"/>
        <w:jc w:val="left"/>
        <w:outlineLvl w:val="0"/>
        <w:rPr>
          <w:rFonts w:hint="default"/>
          <w:b/>
          <w:sz w:val="24"/>
        </w:rPr>
      </w:pPr>
      <w:bookmarkStart w:id="33" w:name="_Toc28131"/>
      <w:bookmarkStart w:id="34" w:name="_Toc16210"/>
      <w:bookmarkStart w:id="35" w:name="_Toc9965"/>
      <w:bookmarkStart w:id="36" w:name="_Toc5443"/>
      <w:bookmarkStart w:id="37" w:name="_Toc7323"/>
      <w:r>
        <w:rPr>
          <w:rFonts w:hint="default"/>
          <w:b/>
          <w:sz w:val="24"/>
        </w:rPr>
        <w:t>（一）投标文件的组成</w:t>
      </w:r>
      <w:bookmarkEnd w:id="33"/>
      <w:bookmarkEnd w:id="34"/>
      <w:bookmarkEnd w:id="35"/>
      <w:bookmarkEnd w:id="36"/>
      <w:bookmarkEnd w:id="37"/>
    </w:p>
    <w:p>
      <w:pPr>
        <w:adjustRightInd w:val="0"/>
        <w:snapToGrid w:val="0"/>
        <w:spacing w:line="360" w:lineRule="auto"/>
        <w:ind w:firstLine="480" w:firstLineChars="200"/>
        <w:jc w:val="left"/>
        <w:rPr>
          <w:rFonts w:hint="default"/>
          <w:sz w:val="24"/>
        </w:rPr>
      </w:pPr>
      <w:r>
        <w:rPr>
          <w:rFonts w:hint="default"/>
          <w:sz w:val="24"/>
        </w:rPr>
        <w:t>投标文件由资格证明文件、商务技术文件、报价文件三部份组成。</w:t>
      </w:r>
    </w:p>
    <w:p>
      <w:pPr>
        <w:adjustRightInd w:val="0"/>
        <w:snapToGrid w:val="0"/>
        <w:spacing w:line="360" w:lineRule="auto"/>
        <w:ind w:firstLine="472" w:firstLineChars="196"/>
        <w:jc w:val="left"/>
        <w:rPr>
          <w:rFonts w:hint="default"/>
          <w:b/>
          <w:sz w:val="24"/>
        </w:rPr>
      </w:pPr>
      <w:r>
        <w:rPr>
          <w:rFonts w:hint="default"/>
          <w:b/>
          <w:sz w:val="24"/>
        </w:rPr>
        <w:t>1.资格证明文件</w:t>
      </w:r>
    </w:p>
    <w:p>
      <w:pPr>
        <w:adjustRightInd w:val="0"/>
        <w:snapToGrid w:val="0"/>
        <w:spacing w:line="360" w:lineRule="auto"/>
        <w:ind w:left="105" w:leftChars="50" w:firstLine="480" w:firstLineChars="200"/>
        <w:rPr>
          <w:rFonts w:hint="default"/>
          <w:sz w:val="24"/>
          <w:szCs w:val="21"/>
        </w:rPr>
      </w:pPr>
      <w:r>
        <w:rPr>
          <w:rFonts w:hint="default"/>
          <w:sz w:val="24"/>
          <w:szCs w:val="21"/>
        </w:rPr>
        <w:t>基本资格条件审查材料：</w:t>
      </w:r>
    </w:p>
    <w:p>
      <w:pPr>
        <w:numPr>
          <w:ilvl w:val="0"/>
          <w:numId w:val="4"/>
        </w:numPr>
        <w:snapToGrid w:val="0"/>
        <w:spacing w:line="360" w:lineRule="auto"/>
        <w:ind w:left="105" w:leftChars="50" w:firstLine="480" w:firstLineChars="200"/>
        <w:rPr>
          <w:rFonts w:hint="default"/>
          <w:sz w:val="24"/>
          <w:szCs w:val="21"/>
        </w:rPr>
      </w:pPr>
      <w:r>
        <w:rPr>
          <w:sz w:val="24"/>
          <w:szCs w:val="21"/>
        </w:rPr>
        <w:t>符合参加政府采购活动应当具备的一般条件的承诺函；</w:t>
      </w:r>
    </w:p>
    <w:p>
      <w:pPr>
        <w:numPr>
          <w:ilvl w:val="0"/>
          <w:numId w:val="4"/>
        </w:numPr>
        <w:snapToGrid w:val="0"/>
        <w:spacing w:line="360" w:lineRule="auto"/>
        <w:ind w:left="105" w:leftChars="50" w:firstLine="480" w:firstLineChars="200"/>
        <w:rPr>
          <w:rFonts w:hint="default"/>
          <w:sz w:val="24"/>
          <w:szCs w:val="21"/>
        </w:rPr>
      </w:pPr>
      <w:r>
        <w:rPr>
          <w:rFonts w:hint="default"/>
          <w:sz w:val="24"/>
          <w:szCs w:val="21"/>
        </w:rPr>
        <w:t>中小企业声明函、残疾人福利性单位声明函、属于监狱企业的证明文件（由省级以上监狱管理局、戒毒管理局（含新疆生产建设兵团）出具的属于监狱企业的证明文件</w:t>
      </w:r>
      <w:r>
        <w:rPr>
          <w:sz w:val="24"/>
          <w:szCs w:val="21"/>
        </w:rPr>
        <w:t>；</w:t>
      </w:r>
    </w:p>
    <w:p>
      <w:pPr>
        <w:numPr>
          <w:ilvl w:val="0"/>
          <w:numId w:val="4"/>
        </w:numPr>
        <w:snapToGrid w:val="0"/>
        <w:spacing w:line="360" w:lineRule="auto"/>
        <w:ind w:left="105" w:leftChars="50" w:firstLine="480" w:firstLineChars="200"/>
        <w:rPr>
          <w:rFonts w:hint="default"/>
          <w:sz w:val="24"/>
          <w:szCs w:val="21"/>
        </w:rPr>
      </w:pPr>
      <w:r>
        <w:rPr>
          <w:rFonts w:hint="default"/>
          <w:sz w:val="24"/>
          <w:szCs w:val="21"/>
        </w:rPr>
        <w:t>联合体协议书（如有）</w:t>
      </w:r>
      <w:r>
        <w:rPr>
          <w:sz w:val="24"/>
          <w:szCs w:val="21"/>
        </w:rPr>
        <w:t>；</w:t>
      </w:r>
    </w:p>
    <w:p>
      <w:pPr>
        <w:numPr>
          <w:ilvl w:val="0"/>
          <w:numId w:val="4"/>
        </w:numPr>
        <w:snapToGrid w:val="0"/>
        <w:spacing w:line="360" w:lineRule="auto"/>
        <w:ind w:left="105" w:leftChars="50" w:firstLine="480" w:firstLineChars="200"/>
        <w:rPr>
          <w:rFonts w:hint="default"/>
          <w:sz w:val="24"/>
          <w:szCs w:val="21"/>
        </w:rPr>
      </w:pPr>
      <w:r>
        <w:rPr>
          <w:rFonts w:hint="default"/>
          <w:sz w:val="24"/>
          <w:szCs w:val="21"/>
        </w:rPr>
        <w:t>符合特定资格条件的相关证明材料</w:t>
      </w:r>
      <w:r>
        <w:rPr>
          <w:sz w:val="24"/>
          <w:szCs w:val="21"/>
        </w:rPr>
        <w:t>（按公告要求）。</w:t>
      </w:r>
    </w:p>
    <w:p>
      <w:pPr>
        <w:snapToGrid w:val="0"/>
        <w:spacing w:line="360" w:lineRule="auto"/>
        <w:ind w:firstLine="470" w:firstLineChars="196"/>
        <w:jc w:val="left"/>
        <w:rPr>
          <w:rFonts w:hint="default"/>
          <w:sz w:val="24"/>
          <w:szCs w:val="21"/>
        </w:rPr>
      </w:pPr>
      <w:r>
        <w:rPr>
          <w:rFonts w:hint="default"/>
          <w:sz w:val="24"/>
          <w:szCs w:val="21"/>
        </w:rPr>
        <w:t>上述资格条件审查材料有一项不提供的，视为资格审查不通过。</w:t>
      </w:r>
    </w:p>
    <w:p>
      <w:pPr>
        <w:adjustRightInd w:val="0"/>
        <w:snapToGrid w:val="0"/>
        <w:spacing w:line="360" w:lineRule="auto"/>
        <w:ind w:firstLine="472" w:firstLineChars="196"/>
        <w:jc w:val="left"/>
        <w:rPr>
          <w:rFonts w:hint="default"/>
          <w:b/>
          <w:sz w:val="24"/>
        </w:rPr>
      </w:pPr>
      <w:r>
        <w:rPr>
          <w:rFonts w:hint="default"/>
          <w:b/>
          <w:sz w:val="24"/>
        </w:rPr>
        <w:t>2.商务技术文件</w:t>
      </w:r>
    </w:p>
    <w:p>
      <w:pPr>
        <w:adjustRightInd w:val="0"/>
        <w:snapToGrid w:val="0"/>
        <w:spacing w:line="360" w:lineRule="auto"/>
        <w:ind w:firstLine="480" w:firstLineChars="200"/>
        <w:jc w:val="left"/>
        <w:rPr>
          <w:rFonts w:hint="default"/>
          <w:sz w:val="24"/>
        </w:rPr>
      </w:pPr>
      <w:r>
        <w:rPr>
          <w:rFonts w:hint="default"/>
          <w:sz w:val="24"/>
        </w:rPr>
        <w:t>（1）法定代表人授权委托书；</w:t>
      </w:r>
    </w:p>
    <w:p>
      <w:pPr>
        <w:adjustRightInd w:val="0"/>
        <w:snapToGrid w:val="0"/>
        <w:spacing w:line="360" w:lineRule="auto"/>
        <w:ind w:firstLine="480" w:firstLineChars="200"/>
        <w:jc w:val="left"/>
        <w:rPr>
          <w:rFonts w:hint="default"/>
          <w:sz w:val="24"/>
        </w:rPr>
      </w:pPr>
      <w:r>
        <w:rPr>
          <w:rFonts w:hint="default"/>
          <w:sz w:val="24"/>
        </w:rPr>
        <w:t>（2）法定代表人及授权委托人的身份证(复印件加盖公章)；</w:t>
      </w:r>
    </w:p>
    <w:p>
      <w:pPr>
        <w:adjustRightInd w:val="0"/>
        <w:snapToGrid w:val="0"/>
        <w:spacing w:line="360" w:lineRule="auto"/>
        <w:ind w:firstLine="480" w:firstLineChars="200"/>
        <w:jc w:val="left"/>
        <w:rPr>
          <w:rFonts w:hint="default"/>
          <w:sz w:val="24"/>
        </w:rPr>
      </w:pPr>
      <w:r>
        <w:rPr>
          <w:rFonts w:hint="default"/>
          <w:sz w:val="24"/>
        </w:rPr>
        <w:t>（3）</w:t>
      </w:r>
      <w:r>
        <w:rPr>
          <w:rFonts w:ascii="宋体" w:hAnsi="宋体" w:cs="宋体"/>
          <w:sz w:val="24"/>
        </w:rPr>
        <w:t>同类项目业绩表</w:t>
      </w:r>
      <w:r>
        <w:rPr>
          <w:rFonts w:hint="default"/>
          <w:b/>
          <w:bCs/>
          <w:sz w:val="24"/>
        </w:rPr>
        <w:t>（联合体参加的，联合体各方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r>
        <w:rPr>
          <w:rFonts w:hint="default"/>
          <w:sz w:val="24"/>
          <w:lang w:val="zh-CN"/>
        </w:rPr>
        <w:t>；</w:t>
      </w:r>
    </w:p>
    <w:p>
      <w:pPr>
        <w:adjustRightInd w:val="0"/>
        <w:snapToGrid w:val="0"/>
        <w:spacing w:line="360" w:lineRule="auto"/>
        <w:ind w:firstLine="480" w:firstLineChars="200"/>
        <w:jc w:val="left"/>
        <w:rPr>
          <w:rFonts w:hint="default"/>
          <w:sz w:val="24"/>
        </w:rPr>
      </w:pPr>
      <w:r>
        <w:rPr>
          <w:sz w:val="24"/>
          <w:szCs w:val="21"/>
        </w:rPr>
        <w:t>（4）分包协议（如有）；</w:t>
      </w:r>
    </w:p>
    <w:p>
      <w:pPr>
        <w:adjustRightInd w:val="0"/>
        <w:snapToGrid w:val="0"/>
        <w:spacing w:line="360" w:lineRule="auto"/>
        <w:ind w:firstLine="480" w:firstLineChars="200"/>
        <w:jc w:val="left"/>
        <w:rPr>
          <w:rFonts w:hint="default"/>
          <w:sz w:val="24"/>
        </w:rPr>
      </w:pPr>
      <w:r>
        <w:rPr>
          <w:rFonts w:hint="default"/>
          <w:sz w:val="24"/>
        </w:rPr>
        <w:t>（</w:t>
      </w:r>
      <w:r>
        <w:rPr>
          <w:sz w:val="24"/>
        </w:rPr>
        <w:t>5</w:t>
      </w:r>
      <w:r>
        <w:rPr>
          <w:rFonts w:hint="default"/>
          <w:sz w:val="24"/>
        </w:rPr>
        <w:t>）商务技术偏离表；</w:t>
      </w:r>
    </w:p>
    <w:p>
      <w:pPr>
        <w:adjustRightInd w:val="0"/>
        <w:snapToGrid w:val="0"/>
        <w:spacing w:line="360" w:lineRule="auto"/>
        <w:ind w:firstLine="480" w:firstLineChars="200"/>
        <w:jc w:val="left"/>
        <w:rPr>
          <w:rFonts w:hint="default"/>
          <w:sz w:val="24"/>
        </w:rPr>
      </w:pPr>
      <w:r>
        <w:rPr>
          <w:rFonts w:hint="default"/>
          <w:sz w:val="24"/>
        </w:rPr>
        <w:t>（</w:t>
      </w:r>
      <w:r>
        <w:rPr>
          <w:sz w:val="24"/>
        </w:rPr>
        <w:t>6</w:t>
      </w:r>
      <w:r>
        <w:rPr>
          <w:rFonts w:hint="default"/>
          <w:sz w:val="24"/>
        </w:rPr>
        <w:t>）</w:t>
      </w:r>
      <w:r>
        <w:rPr>
          <w:rFonts w:ascii="宋体" w:hAnsi="宋体" w:cs="宋体"/>
          <w:sz w:val="24"/>
        </w:rPr>
        <w:t>评标标准相应的商务技术资料；</w:t>
      </w:r>
    </w:p>
    <w:p>
      <w:pPr>
        <w:adjustRightInd w:val="0"/>
        <w:snapToGrid w:val="0"/>
        <w:spacing w:line="360" w:lineRule="auto"/>
        <w:ind w:firstLine="480" w:firstLineChars="200"/>
        <w:jc w:val="left"/>
        <w:rPr>
          <w:rFonts w:hint="default"/>
          <w:sz w:val="24"/>
        </w:rPr>
      </w:pPr>
      <w:r>
        <w:rPr>
          <w:sz w:val="24"/>
        </w:rPr>
        <w:t>（7）</w:t>
      </w:r>
      <w:r>
        <w:rPr>
          <w:rFonts w:hint="default"/>
          <w:sz w:val="24"/>
        </w:rPr>
        <w:t>其他必要提供的资料。</w:t>
      </w:r>
    </w:p>
    <w:p>
      <w:pPr>
        <w:adjustRightInd w:val="0"/>
        <w:snapToGrid w:val="0"/>
        <w:spacing w:line="360" w:lineRule="auto"/>
        <w:ind w:firstLine="472" w:firstLineChars="196"/>
        <w:jc w:val="left"/>
        <w:rPr>
          <w:rFonts w:hint="default"/>
          <w:b/>
          <w:sz w:val="24"/>
        </w:rPr>
      </w:pPr>
      <w:r>
        <w:rPr>
          <w:rFonts w:hint="default"/>
          <w:b/>
          <w:sz w:val="24"/>
        </w:rPr>
        <w:t>3.报价文件：</w:t>
      </w:r>
    </w:p>
    <w:p>
      <w:pPr>
        <w:adjustRightInd w:val="0"/>
        <w:snapToGrid w:val="0"/>
        <w:spacing w:line="360" w:lineRule="auto"/>
        <w:ind w:firstLine="480" w:firstLineChars="200"/>
        <w:jc w:val="left"/>
        <w:rPr>
          <w:rFonts w:hint="default"/>
          <w:sz w:val="24"/>
        </w:rPr>
      </w:pPr>
      <w:r>
        <w:rPr>
          <w:rFonts w:hint="default"/>
          <w:sz w:val="24"/>
        </w:rPr>
        <w:t xml:space="preserve">（1）投标函（格式见第六章）； </w:t>
      </w:r>
    </w:p>
    <w:p>
      <w:pPr>
        <w:adjustRightInd w:val="0"/>
        <w:snapToGrid w:val="0"/>
        <w:spacing w:line="360" w:lineRule="auto"/>
        <w:ind w:firstLine="480" w:firstLineChars="200"/>
        <w:jc w:val="left"/>
        <w:rPr>
          <w:rFonts w:hint="default"/>
          <w:sz w:val="24"/>
        </w:rPr>
      </w:pPr>
      <w:r>
        <w:rPr>
          <w:rFonts w:hint="default"/>
          <w:sz w:val="24"/>
        </w:rPr>
        <w:t>（2）开标一览表（格式按电子交易平台）；</w:t>
      </w:r>
    </w:p>
    <w:p>
      <w:pPr>
        <w:adjustRightInd w:val="0"/>
        <w:snapToGrid w:val="0"/>
        <w:spacing w:line="360" w:lineRule="auto"/>
        <w:ind w:firstLine="480" w:firstLineChars="200"/>
        <w:jc w:val="left"/>
        <w:rPr>
          <w:rFonts w:hint="default"/>
          <w:sz w:val="24"/>
        </w:rPr>
      </w:pPr>
      <w:r>
        <w:rPr>
          <w:rFonts w:hint="default"/>
          <w:sz w:val="24"/>
        </w:rPr>
        <w:t>（3）投标报价明细表（格式见第六章）；</w:t>
      </w:r>
    </w:p>
    <w:p>
      <w:pPr>
        <w:adjustRightInd w:val="0"/>
        <w:snapToGrid w:val="0"/>
        <w:spacing w:line="360" w:lineRule="auto"/>
        <w:ind w:firstLine="480" w:firstLineChars="200"/>
        <w:jc w:val="left"/>
        <w:rPr>
          <w:rFonts w:hint="default"/>
          <w:sz w:val="24"/>
        </w:rPr>
      </w:pPr>
      <w:r>
        <w:rPr>
          <w:rFonts w:hint="default"/>
          <w:sz w:val="24"/>
        </w:rPr>
        <w:t>（</w:t>
      </w:r>
      <w:r>
        <w:rPr>
          <w:sz w:val="24"/>
        </w:rPr>
        <w:t>4</w:t>
      </w:r>
      <w:r>
        <w:rPr>
          <w:rFonts w:hint="default"/>
          <w:sz w:val="24"/>
        </w:rPr>
        <w:t>）代理服务费支付承诺书</w:t>
      </w:r>
      <w:r>
        <w:rPr>
          <w:sz w:val="24"/>
        </w:rPr>
        <w:t>。</w:t>
      </w:r>
    </w:p>
    <w:p>
      <w:pPr>
        <w:adjustRightInd w:val="0"/>
        <w:snapToGrid w:val="0"/>
        <w:spacing w:line="360" w:lineRule="auto"/>
        <w:ind w:firstLine="480" w:firstLineChars="200"/>
        <w:jc w:val="left"/>
        <w:rPr>
          <w:rFonts w:hint="default" w:ascii="宋体" w:hAnsi="宋体" w:cs="宋体"/>
          <w:sz w:val="24"/>
          <w:szCs w:val="24"/>
        </w:rPr>
      </w:pPr>
      <w:r>
        <w:rPr>
          <w:rFonts w:hint="default"/>
          <w:sz w:val="24"/>
        </w:rPr>
        <w:t>注：</w:t>
      </w:r>
      <w:r>
        <w:rPr>
          <w:rFonts w:hint="default"/>
          <w:b/>
          <w:bCs/>
          <w:sz w:val="24"/>
        </w:rPr>
        <w:t>1</w:t>
      </w:r>
      <w:r>
        <w:rPr>
          <w:rFonts w:ascii="宋体" w:hAnsi="宋体" w:cs="宋体"/>
          <w:b/>
          <w:bCs/>
          <w:sz w:val="24"/>
          <w:szCs w:val="24"/>
        </w:rPr>
        <w:t>）</w:t>
      </w:r>
      <w:r>
        <w:rPr>
          <w:rFonts w:hint="default"/>
          <w:b/>
          <w:bCs/>
          <w:sz w:val="24"/>
        </w:rPr>
        <w:t>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w:t>
      </w:r>
      <w:r>
        <w:rPr>
          <w:rFonts w:hint="default" w:ascii="宋体" w:hAnsi="宋体" w:cs="宋体"/>
          <w:b/>
          <w:bCs/>
          <w:sz w:val="24"/>
          <w:szCs w:val="24"/>
        </w:rPr>
        <w:t>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投标文件规定的联合体协议要求的，投标无效。</w:t>
      </w:r>
      <w:r>
        <w:rPr>
          <w:rFonts w:hint="default" w:ascii="宋体" w:hAnsi="宋体" w:cs="宋体"/>
          <w:sz w:val="24"/>
          <w:szCs w:val="24"/>
        </w:rPr>
        <w:t>）</w:t>
      </w:r>
    </w:p>
    <w:p>
      <w:pPr>
        <w:snapToGrid w:val="0"/>
        <w:spacing w:line="360" w:lineRule="auto"/>
        <w:ind w:firstLine="480" w:firstLineChars="200"/>
        <w:jc w:val="left"/>
        <w:rPr>
          <w:rFonts w:hint="default" w:ascii="宋体" w:hAnsi="宋体" w:cs="宋体"/>
          <w:sz w:val="24"/>
          <w:szCs w:val="24"/>
        </w:rPr>
      </w:pPr>
      <w:bookmarkStart w:id="38" w:name="_Toc32602"/>
      <w:bookmarkStart w:id="39" w:name="_Toc27106"/>
      <w:bookmarkStart w:id="40" w:name="_Toc31780"/>
      <w:bookmarkStart w:id="41" w:name="_Toc1327"/>
      <w:r>
        <w:rPr>
          <w:rFonts w:ascii="宋体" w:hAnsi="宋体" w:cs="宋体"/>
          <w:sz w:val="24"/>
          <w:szCs w:val="24"/>
        </w:rPr>
        <w:t>2）</w:t>
      </w:r>
      <w:r>
        <w:rPr>
          <w:rFonts w:hint="default" w:ascii="宋体" w:hAnsi="宋体" w:cs="宋体"/>
          <w:sz w:val="24"/>
          <w:szCs w:val="24"/>
        </w:rPr>
        <w:t>联合体各方资信情况证明文件（营业执照、符合资格条件的声明函、业绩证明材料）由各方成员盖章签字，其他内容以联合体牵头单位为主签署投标文件。</w:t>
      </w:r>
    </w:p>
    <w:p>
      <w:pPr>
        <w:pStyle w:val="41"/>
        <w:spacing w:line="360" w:lineRule="auto"/>
        <w:ind w:left="0" w:leftChars="0" w:firstLine="480"/>
        <w:rPr>
          <w:rFonts w:hint="default" w:ascii="宋体" w:hAnsi="宋体" w:cs="宋体"/>
          <w:sz w:val="24"/>
        </w:rPr>
      </w:pPr>
      <w:r>
        <w:rPr>
          <w:rFonts w:ascii="宋体" w:hAnsi="宋体" w:cs="宋体"/>
          <w:sz w:val="24"/>
        </w:rPr>
        <w:t>3）附件中有参考格式的，参照格式，没有参考格式的，供应商根据招标文件要求自行编制。</w:t>
      </w:r>
    </w:p>
    <w:p>
      <w:pPr>
        <w:pStyle w:val="41"/>
        <w:adjustRightInd w:val="0"/>
        <w:snapToGrid w:val="0"/>
        <w:spacing w:after="0" w:line="360" w:lineRule="auto"/>
        <w:ind w:left="0" w:leftChars="0" w:firstLine="480"/>
        <w:rPr>
          <w:rFonts w:hint="default" w:ascii="宋体" w:hAnsi="宋体" w:cs="宋体"/>
          <w:sz w:val="24"/>
        </w:rPr>
      </w:pPr>
      <w:r>
        <w:rPr>
          <w:rFonts w:ascii="宋体" w:hAnsi="宋体" w:cs="宋体"/>
          <w:sz w:val="24"/>
        </w:rPr>
        <w:t>4）供应商应根据“政采云供应商项目采购-电子招投标操作指南”及本招标文件规定的格式和顺序编制电子响应文件并进行关联定位。以便评标委员会在评审过程中，点击评分项，可直接定位到该评分项内容。</w:t>
      </w:r>
    </w:p>
    <w:p>
      <w:pPr>
        <w:adjustRightInd w:val="0"/>
        <w:snapToGrid w:val="0"/>
        <w:spacing w:line="360" w:lineRule="auto"/>
        <w:ind w:firstLine="472" w:firstLineChars="196"/>
        <w:jc w:val="left"/>
        <w:outlineLvl w:val="0"/>
        <w:rPr>
          <w:rFonts w:hint="default"/>
          <w:b/>
          <w:sz w:val="24"/>
        </w:rPr>
      </w:pPr>
      <w:bookmarkStart w:id="42" w:name="_Toc15620"/>
      <w:r>
        <w:rPr>
          <w:rFonts w:hint="default"/>
          <w:b/>
          <w:sz w:val="24"/>
        </w:rPr>
        <w:t>（二）投标文件的语言及计量</w:t>
      </w:r>
      <w:bookmarkEnd w:id="38"/>
      <w:bookmarkEnd w:id="39"/>
      <w:bookmarkEnd w:id="40"/>
      <w:bookmarkEnd w:id="41"/>
      <w:bookmarkEnd w:id="42"/>
    </w:p>
    <w:p>
      <w:pPr>
        <w:adjustRightInd w:val="0"/>
        <w:snapToGrid w:val="0"/>
        <w:spacing w:line="360" w:lineRule="auto"/>
        <w:ind w:firstLine="480" w:firstLineChars="200"/>
        <w:jc w:val="left"/>
        <w:rPr>
          <w:rFonts w:hint="default"/>
          <w:sz w:val="24"/>
        </w:rPr>
      </w:pPr>
      <w:r>
        <w:rPr>
          <w:rFonts w:hint="default"/>
          <w:sz w:val="24"/>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360" w:lineRule="auto"/>
        <w:ind w:firstLine="480" w:firstLineChars="200"/>
        <w:jc w:val="left"/>
        <w:rPr>
          <w:rFonts w:hint="default"/>
          <w:sz w:val="24"/>
        </w:rPr>
      </w:pPr>
      <w:r>
        <w:rPr>
          <w:rFonts w:hint="default"/>
          <w:sz w:val="24"/>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360" w:lineRule="auto"/>
        <w:ind w:firstLine="472" w:firstLineChars="196"/>
        <w:jc w:val="left"/>
        <w:outlineLvl w:val="0"/>
        <w:rPr>
          <w:rFonts w:hint="default"/>
          <w:b/>
          <w:sz w:val="24"/>
        </w:rPr>
      </w:pPr>
      <w:bookmarkStart w:id="43" w:name="_Toc447"/>
      <w:bookmarkStart w:id="44" w:name="_Toc2734"/>
      <w:bookmarkStart w:id="45" w:name="_Toc26081"/>
      <w:bookmarkStart w:id="46" w:name="_Toc10791"/>
      <w:bookmarkStart w:id="47" w:name="_Toc27951"/>
      <w:r>
        <w:rPr>
          <w:rFonts w:hint="default"/>
          <w:b/>
          <w:sz w:val="24"/>
        </w:rPr>
        <w:t>（三）投标报价</w:t>
      </w:r>
      <w:bookmarkEnd w:id="43"/>
      <w:bookmarkEnd w:id="44"/>
      <w:bookmarkEnd w:id="45"/>
      <w:bookmarkEnd w:id="46"/>
      <w:bookmarkEnd w:id="47"/>
    </w:p>
    <w:p>
      <w:pPr>
        <w:snapToGrid w:val="0"/>
        <w:spacing w:line="360" w:lineRule="auto"/>
        <w:ind w:firstLine="480" w:firstLineChars="200"/>
        <w:rPr>
          <w:rFonts w:hint="default" w:ascii="宋体" w:hAnsi="宋体" w:cs="宋体"/>
          <w:sz w:val="24"/>
        </w:rPr>
      </w:pPr>
      <w:r>
        <w:rPr>
          <w:rFonts w:ascii="宋体" w:hAnsi="宋体" w:cs="宋体"/>
          <w:sz w:val="24"/>
        </w:rPr>
        <w:t>1.报价应按采购文件中相关附表格式填写。</w:t>
      </w:r>
    </w:p>
    <w:p>
      <w:pPr>
        <w:snapToGrid w:val="0"/>
        <w:spacing w:line="360" w:lineRule="auto"/>
        <w:ind w:firstLine="480" w:firstLineChars="200"/>
        <w:rPr>
          <w:rFonts w:hint="default" w:ascii="宋体" w:hAnsi="宋体" w:cs="宋体"/>
          <w:sz w:val="24"/>
        </w:rPr>
      </w:pPr>
      <w:r>
        <w:rPr>
          <w:rFonts w:ascii="宋体" w:hAnsi="宋体" w:cs="宋体"/>
          <w:sz w:val="24"/>
        </w:rPr>
        <w:t>2.投标人根据招标文件的要求，</w:t>
      </w:r>
      <w:r>
        <w:rPr>
          <w:rFonts w:ascii="宋体" w:hAnsi="宋体" w:cs="宋体"/>
          <w:kern w:val="0"/>
          <w:sz w:val="24"/>
          <w:lang w:val="zh-CN"/>
        </w:rPr>
        <w:t>有关本项目实施所需的所有费用（含税费）均计入报价</w:t>
      </w:r>
      <w:r>
        <w:rPr>
          <w:rFonts w:ascii="宋体" w:hAnsi="宋体" w:cs="宋体"/>
          <w:sz w:val="24"/>
        </w:rPr>
        <w:t>。</w:t>
      </w:r>
    </w:p>
    <w:p>
      <w:pPr>
        <w:adjustRightInd w:val="0"/>
        <w:snapToGrid w:val="0"/>
        <w:spacing w:line="360" w:lineRule="auto"/>
        <w:ind w:firstLine="482" w:firstLineChars="200"/>
        <w:jc w:val="left"/>
        <w:rPr>
          <w:rFonts w:hint="default"/>
          <w:b/>
          <w:bCs/>
          <w:sz w:val="24"/>
        </w:rPr>
      </w:pPr>
      <w:r>
        <w:rPr>
          <w:b/>
          <w:bCs/>
          <w:sz w:val="24"/>
        </w:rPr>
        <w:t>3</w:t>
      </w:r>
      <w:r>
        <w:rPr>
          <w:rFonts w:hint="default"/>
          <w:b/>
          <w:bCs/>
          <w:sz w:val="24"/>
        </w:rPr>
        <w:t>.投标文件只允许有一个报价，有选择或有条件的报价将不予接受，其投标无效。</w:t>
      </w:r>
    </w:p>
    <w:p>
      <w:pPr>
        <w:pStyle w:val="13"/>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（四）投标文件的有效期</w:t>
      </w:r>
    </w:p>
    <w:p>
      <w:pPr>
        <w:pStyle w:val="13"/>
        <w:widowControl w:val="0"/>
        <w:numPr>
          <w:ilvl w:val="0"/>
          <w:numId w:val="0"/>
        </w:numPr>
        <w:adjustRightInd w:val="0"/>
        <w:snapToGrid w:val="0"/>
        <w:spacing w:afterLines="0" w:line="360" w:lineRule="auto"/>
        <w:ind w:firstLine="482" w:firstLineChars="200"/>
        <w:rPr>
          <w:rFonts w:hint="default"/>
          <w:b/>
          <w:bCs/>
          <w:szCs w:val="24"/>
        </w:rPr>
      </w:pPr>
      <w:r>
        <w:rPr>
          <w:rFonts w:hint="default"/>
          <w:b/>
          <w:bCs/>
          <w:szCs w:val="24"/>
        </w:rPr>
        <w:t>1.自投标截止日起</w:t>
      </w:r>
      <w:r>
        <w:rPr>
          <w:rFonts w:hint="default"/>
          <w:b/>
          <w:bCs/>
          <w:szCs w:val="24"/>
          <w:u w:val="single"/>
        </w:rPr>
        <w:t xml:space="preserve"> 90 </w:t>
      </w:r>
      <w:r>
        <w:rPr>
          <w:rFonts w:hint="default"/>
          <w:b/>
          <w:bCs/>
          <w:szCs w:val="24"/>
        </w:rPr>
        <w:t>天投标文件应保持有效。有效期不足的投标文件将被视为无效。</w:t>
      </w:r>
    </w:p>
    <w:p>
      <w:pPr>
        <w:pStyle w:val="13"/>
        <w:widowControl w:val="0"/>
        <w:numPr>
          <w:ilvl w:val="0"/>
          <w:numId w:val="0"/>
        </w:numPr>
        <w:adjustRightInd w:val="0"/>
        <w:snapToGrid w:val="0"/>
        <w:spacing w:afterLines="0" w:line="360" w:lineRule="auto"/>
        <w:ind w:firstLine="480" w:firstLineChars="200"/>
        <w:rPr>
          <w:rFonts w:hint="default"/>
          <w:szCs w:val="24"/>
        </w:rPr>
      </w:pPr>
      <w:r>
        <w:rPr>
          <w:rFonts w:hint="default"/>
          <w:szCs w:val="24"/>
        </w:rPr>
        <w:t>2.在特殊情况下，采购人可与投标人协商延长投标书的有效期，这种要求和答复均以书面形式进行。</w:t>
      </w:r>
    </w:p>
    <w:p>
      <w:pPr>
        <w:adjustRightInd w:val="0"/>
        <w:snapToGrid w:val="0"/>
        <w:spacing w:line="360" w:lineRule="auto"/>
        <w:ind w:firstLine="480" w:firstLineChars="200"/>
        <w:jc w:val="left"/>
        <w:outlineLvl w:val="0"/>
        <w:rPr>
          <w:rFonts w:hint="default"/>
          <w:b/>
          <w:sz w:val="24"/>
        </w:rPr>
      </w:pPr>
      <w:bookmarkStart w:id="48" w:name="_Toc22937"/>
      <w:bookmarkStart w:id="49" w:name="_Toc7404"/>
      <w:bookmarkStart w:id="50" w:name="_Toc21096"/>
      <w:bookmarkStart w:id="51" w:name="_Toc28284"/>
      <w:bookmarkStart w:id="52" w:name="_Toc25306"/>
      <w:r>
        <w:rPr>
          <w:rFonts w:hint="default"/>
          <w:sz w:val="24"/>
        </w:rPr>
        <w:t>3.投标人可拒绝接受延期要求。同意延长有效期的，投标人不能修改其投标文件。</w:t>
      </w:r>
      <w:bookmarkEnd w:id="48"/>
      <w:bookmarkEnd w:id="49"/>
      <w:bookmarkEnd w:id="50"/>
      <w:bookmarkEnd w:id="51"/>
      <w:bookmarkEnd w:id="52"/>
    </w:p>
    <w:p>
      <w:pPr>
        <w:adjustRightInd w:val="0"/>
        <w:snapToGrid w:val="0"/>
        <w:spacing w:line="360" w:lineRule="auto"/>
        <w:ind w:firstLine="480" w:firstLineChars="200"/>
        <w:jc w:val="left"/>
        <w:outlineLvl w:val="0"/>
        <w:rPr>
          <w:rFonts w:hint="default"/>
          <w:b/>
          <w:sz w:val="24"/>
        </w:rPr>
      </w:pPr>
      <w:bookmarkStart w:id="53" w:name="_Toc14664"/>
      <w:bookmarkStart w:id="54" w:name="_Toc17993"/>
      <w:bookmarkStart w:id="55" w:name="_Toc25512"/>
      <w:bookmarkStart w:id="56" w:name="_Toc3605"/>
      <w:bookmarkStart w:id="57" w:name="_Toc28942"/>
      <w:r>
        <w:rPr>
          <w:rFonts w:hint="default"/>
          <w:sz w:val="24"/>
        </w:rPr>
        <w:t>4.中标人的投标文件自开标之日起至合同履行完毕止均应保持有效。</w:t>
      </w:r>
      <w:bookmarkEnd w:id="53"/>
      <w:bookmarkEnd w:id="54"/>
      <w:bookmarkEnd w:id="55"/>
      <w:bookmarkEnd w:id="56"/>
      <w:bookmarkEnd w:id="57"/>
    </w:p>
    <w:p>
      <w:pPr>
        <w:pStyle w:val="13"/>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（五）投标文件的编制</w:t>
      </w:r>
    </w:p>
    <w:p>
      <w:pPr>
        <w:autoSpaceDE w:val="0"/>
        <w:autoSpaceDN w:val="0"/>
        <w:adjustRightInd w:val="0"/>
        <w:snapToGrid w:val="0"/>
        <w:spacing w:line="360" w:lineRule="auto"/>
        <w:ind w:left="359" w:leftChars="171" w:firstLine="120" w:firstLineChars="50"/>
        <w:rPr>
          <w:rFonts w:hint="default" w:ascii="宋体" w:hAnsi="宋体" w:cs="宋体"/>
          <w:sz w:val="24"/>
        </w:rPr>
      </w:pPr>
      <w:r>
        <w:rPr>
          <w:rFonts w:ascii="宋体" w:hAnsi="宋体" w:cs="宋体"/>
          <w:sz w:val="24"/>
        </w:rPr>
        <w:t>1.“电子加密投标文件”：</w:t>
      </w:r>
    </w:p>
    <w:p>
      <w:pPr>
        <w:autoSpaceDE w:val="0"/>
        <w:autoSpaceDN w:val="0"/>
        <w:adjustRightInd w:val="0"/>
        <w:snapToGrid w:val="0"/>
        <w:spacing w:line="360" w:lineRule="auto"/>
        <w:ind w:firstLine="360" w:firstLineChars="150"/>
        <w:rPr>
          <w:rFonts w:hint="default" w:ascii="宋体" w:hAnsi="宋体" w:cs="宋体"/>
          <w:sz w:val="24"/>
        </w:rPr>
      </w:pPr>
      <w:r>
        <w:rPr>
          <w:rFonts w:ascii="宋体" w:hAnsi="宋体" w:cs="宋体"/>
          <w:sz w:val="24"/>
        </w:rPr>
        <w:t>（1）“电子加密投标文件”是指通过“政采云电子交易客户端”完成投标文件编制后生成并加密的数据电文形式的投标文件。</w:t>
      </w:r>
    </w:p>
    <w:p>
      <w:pPr>
        <w:spacing w:line="360" w:lineRule="auto"/>
        <w:ind w:firstLine="360" w:firstLineChars="150"/>
        <w:rPr>
          <w:rFonts w:hint="default" w:ascii="宋体" w:hAnsi="宋体" w:cs="宋体"/>
          <w:sz w:val="24"/>
        </w:rPr>
      </w:pPr>
      <w:r>
        <w:rPr>
          <w:rFonts w:ascii="宋体" w:hAnsi="宋体" w:cs="宋体"/>
          <w:sz w:val="24"/>
        </w:rPr>
        <w:t>（2）供应商应先安装“政采云电子交易客户端”，并按照本招标文件和“政府采购云平台”的要求，通过“政采云电子交易客户端”编制并加密投标文件。</w:t>
      </w:r>
    </w:p>
    <w:p>
      <w:pPr>
        <w:spacing w:line="360" w:lineRule="auto"/>
        <w:ind w:left="359" w:leftChars="171" w:firstLine="120" w:firstLineChars="50"/>
        <w:rPr>
          <w:rFonts w:hint="default" w:ascii="宋体" w:hAnsi="宋体" w:cs="宋体"/>
          <w:sz w:val="24"/>
        </w:rPr>
      </w:pPr>
      <w:r>
        <w:rPr>
          <w:rFonts w:ascii="宋体" w:hAnsi="宋体" w:cs="宋体"/>
          <w:sz w:val="24"/>
        </w:rPr>
        <w:t>2.“电子备份投标文件”：</w:t>
      </w:r>
    </w:p>
    <w:p>
      <w:pPr>
        <w:autoSpaceDE w:val="0"/>
        <w:autoSpaceDN w:val="0"/>
        <w:adjustRightInd w:val="0"/>
        <w:snapToGrid w:val="0"/>
        <w:spacing w:line="360" w:lineRule="auto"/>
        <w:ind w:firstLine="360" w:firstLineChars="150"/>
        <w:rPr>
          <w:rFonts w:hint="default" w:ascii="宋体" w:hAnsi="宋体" w:cs="宋体"/>
          <w:sz w:val="24"/>
        </w:rPr>
      </w:pPr>
      <w:r>
        <w:rPr>
          <w:rFonts w:ascii="宋体" w:hAnsi="宋体" w:cs="宋体"/>
          <w:sz w:val="24"/>
        </w:rPr>
        <w:t>（1）投标人在电子交易平台传输递交投标文件后，还可以在投标截止时间前直接提交或者以邮政快递方式递交备份投标文件1份，</w:t>
      </w:r>
      <w:r>
        <w:rPr>
          <w:rFonts w:ascii="宋体" w:hAnsi="宋体" w:cs="宋体"/>
          <w:b/>
          <w:bCs/>
          <w:sz w:val="24"/>
        </w:rPr>
        <w:t>但采购人、采购代理机构不强制或变相强制投标人提交备份投标文</w:t>
      </w:r>
      <w:r>
        <w:rPr>
          <w:rFonts w:ascii="宋体" w:hAnsi="宋体" w:cs="宋体"/>
          <w:sz w:val="24"/>
        </w:rPr>
        <w:t>件。</w:t>
      </w:r>
    </w:p>
    <w:p>
      <w:pPr>
        <w:autoSpaceDE w:val="0"/>
        <w:autoSpaceDN w:val="0"/>
        <w:adjustRightInd w:val="0"/>
        <w:snapToGrid w:val="0"/>
        <w:spacing w:line="360" w:lineRule="auto"/>
        <w:ind w:firstLine="360" w:firstLineChars="150"/>
        <w:rPr>
          <w:rFonts w:hint="default" w:ascii="宋体" w:hAnsi="宋体" w:cs="宋体"/>
          <w:b/>
          <w:bCs/>
          <w:sz w:val="24"/>
        </w:rPr>
      </w:pPr>
      <w:r>
        <w:rPr>
          <w:rFonts w:ascii="宋体" w:hAnsi="宋体" w:cs="宋体"/>
          <w:sz w:val="24"/>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ascii="宋体" w:hAnsi="宋体" w:cs="宋体"/>
          <w:b/>
          <w:bCs/>
          <w:sz w:val="24"/>
        </w:rPr>
        <w:t>不符合上述制作、存储、密封规定的备份投标文件将被视为无效或者被拒绝接收。</w:t>
      </w:r>
    </w:p>
    <w:p>
      <w:pPr>
        <w:autoSpaceDE w:val="0"/>
        <w:autoSpaceDN w:val="0"/>
        <w:adjustRightInd w:val="0"/>
        <w:snapToGrid w:val="0"/>
        <w:spacing w:line="360" w:lineRule="auto"/>
        <w:ind w:firstLine="360" w:firstLineChars="150"/>
        <w:rPr>
          <w:rFonts w:hint="default" w:ascii="宋体" w:hAnsi="宋体" w:cs="宋体"/>
          <w:sz w:val="24"/>
        </w:rPr>
      </w:pPr>
      <w:r>
        <w:rPr>
          <w:rFonts w:ascii="宋体" w:hAnsi="宋体" w:cs="宋体"/>
          <w:sz w:val="24"/>
        </w:rPr>
        <w:t>（3）直接提交备份投标文件的，投标人应于投标截止时间前在招标公告中载明的开标地点将备份投标文件提交给采购代理机构，采购代理机构将拒绝接受逾期送达的备份投标文件。</w:t>
      </w:r>
    </w:p>
    <w:p>
      <w:pPr>
        <w:autoSpaceDE w:val="0"/>
        <w:autoSpaceDN w:val="0"/>
        <w:adjustRightInd w:val="0"/>
        <w:snapToGrid w:val="0"/>
        <w:spacing w:line="360" w:lineRule="auto"/>
        <w:ind w:firstLine="360" w:firstLineChars="150"/>
        <w:rPr>
          <w:rFonts w:hint="default" w:ascii="宋体" w:hAnsi="宋体" w:cs="宋体"/>
          <w:sz w:val="24"/>
        </w:rPr>
      </w:pPr>
      <w:r>
        <w:rPr>
          <w:rFonts w:ascii="宋体" w:hAnsi="宋体" w:cs="宋体"/>
          <w:sz w:val="24"/>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autoSpaceDE w:val="0"/>
        <w:autoSpaceDN w:val="0"/>
        <w:adjustRightInd w:val="0"/>
        <w:snapToGrid w:val="0"/>
        <w:spacing w:line="360" w:lineRule="auto"/>
        <w:ind w:firstLine="361" w:firstLineChars="150"/>
        <w:rPr>
          <w:rFonts w:hint="default" w:ascii="宋体" w:hAnsi="宋体" w:cs="宋体"/>
          <w:b/>
          <w:bCs/>
          <w:sz w:val="24"/>
        </w:rPr>
      </w:pPr>
      <w:r>
        <w:rPr>
          <w:rFonts w:ascii="宋体" w:hAnsi="宋体" w:cs="宋体"/>
          <w:b/>
          <w:bCs/>
          <w:sz w:val="24"/>
        </w:rPr>
        <w:t>（5）投标人仅提交备份投标文件，未在电子交易平台传输递交投标文件的，投标无效。</w:t>
      </w:r>
    </w:p>
    <w:p>
      <w:pPr>
        <w:pStyle w:val="13"/>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（六）投标文件的签章</w:t>
      </w:r>
    </w:p>
    <w:p>
      <w:pPr>
        <w:adjustRightInd w:val="0"/>
        <w:snapToGrid w:val="0"/>
        <w:spacing w:line="360" w:lineRule="auto"/>
        <w:ind w:firstLine="472" w:firstLineChars="197"/>
        <w:jc w:val="left"/>
        <w:rPr>
          <w:rFonts w:hint="default"/>
          <w:sz w:val="24"/>
        </w:rPr>
      </w:pPr>
      <w:r>
        <w:rPr>
          <w:rFonts w:hint="default"/>
          <w:sz w:val="24"/>
        </w:rPr>
        <w:t>采用电子签章。</w:t>
      </w:r>
    </w:p>
    <w:p>
      <w:pPr>
        <w:pStyle w:val="13"/>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（七）投标文件的包装、密封和递交</w:t>
      </w:r>
    </w:p>
    <w:p>
      <w:pPr>
        <w:autoSpaceDE w:val="0"/>
        <w:autoSpaceDN w:val="0"/>
        <w:adjustRightInd w:val="0"/>
        <w:snapToGrid w:val="0"/>
        <w:spacing w:line="360" w:lineRule="auto"/>
        <w:ind w:firstLine="480" w:firstLineChars="200"/>
        <w:textAlignment w:val="bottom"/>
        <w:rPr>
          <w:rFonts w:hint="default"/>
          <w:sz w:val="24"/>
        </w:rPr>
      </w:pPr>
      <w:r>
        <w:rPr>
          <w:rFonts w:hint="default"/>
          <w:sz w:val="24"/>
        </w:rPr>
        <w:t>1.“电子加密投标文件”的递交：在线上传递交。</w:t>
      </w:r>
    </w:p>
    <w:p>
      <w:pPr>
        <w:adjustRightInd w:val="0"/>
        <w:snapToGrid w:val="0"/>
        <w:spacing w:line="360" w:lineRule="auto"/>
        <w:ind w:firstLine="361" w:firstLineChars="150"/>
        <w:rPr>
          <w:rFonts w:hint="default"/>
          <w:b/>
          <w:bCs/>
          <w:sz w:val="24"/>
        </w:rPr>
      </w:pPr>
      <w:r>
        <w:rPr>
          <w:rFonts w:hint="default"/>
          <w:b/>
          <w:bCs/>
          <w:sz w:val="24"/>
        </w:rPr>
        <w:t>（1）供应商应在投标截止时间前将“电子加密投标文件”成功上传递交至“政府采购云平台”，否则投标无效。</w:t>
      </w:r>
    </w:p>
    <w:p>
      <w:pPr>
        <w:adjustRightInd w:val="0"/>
        <w:snapToGrid w:val="0"/>
        <w:spacing w:line="360" w:lineRule="auto"/>
        <w:ind w:left="959" w:leftChars="171" w:hanging="600" w:hangingChars="250"/>
        <w:rPr>
          <w:rFonts w:hint="default"/>
          <w:sz w:val="24"/>
        </w:rPr>
      </w:pPr>
      <w:r>
        <w:rPr>
          <w:rFonts w:hint="default"/>
          <w:sz w:val="24"/>
        </w:rPr>
        <w:t>（2）“电子加密投标文件”成功上传递交后，供应商可自行打印投标文件接收回执。</w:t>
      </w:r>
    </w:p>
    <w:p>
      <w:pPr>
        <w:adjustRightInd w:val="0"/>
        <w:snapToGrid w:val="0"/>
        <w:spacing w:line="360" w:lineRule="auto"/>
        <w:ind w:firstLine="480" w:firstLineChars="200"/>
        <w:rPr>
          <w:rFonts w:hint="default"/>
          <w:sz w:val="24"/>
        </w:rPr>
      </w:pPr>
      <w:r>
        <w:rPr>
          <w:rFonts w:hint="default"/>
          <w:sz w:val="24"/>
        </w:rPr>
        <w:t>2.“电子备份投标文件”的密封、包装和递交：</w:t>
      </w:r>
    </w:p>
    <w:p>
      <w:pPr>
        <w:adjustRightInd w:val="0"/>
        <w:snapToGrid w:val="0"/>
        <w:spacing w:line="360" w:lineRule="auto"/>
        <w:ind w:firstLine="360" w:firstLineChars="150"/>
        <w:rPr>
          <w:rFonts w:hint="default"/>
          <w:sz w:val="24"/>
        </w:rPr>
      </w:pPr>
      <w:r>
        <w:rPr>
          <w:rFonts w:hint="default"/>
          <w:sz w:val="24"/>
        </w:rPr>
        <w:t>（1）供应商可自主选择是否递交“电子备份投标文件”。</w:t>
      </w:r>
    </w:p>
    <w:p>
      <w:pPr>
        <w:adjustRightInd w:val="0"/>
        <w:snapToGrid w:val="0"/>
        <w:spacing w:line="360" w:lineRule="auto"/>
        <w:ind w:firstLine="360" w:firstLineChars="150"/>
        <w:rPr>
          <w:rFonts w:hint="default"/>
          <w:sz w:val="24"/>
        </w:rPr>
      </w:pPr>
      <w:r>
        <w:rPr>
          <w:rFonts w:hint="default"/>
          <w:sz w:val="24"/>
        </w:rPr>
        <w:t>（2）“电子备份投标文件”存入U盘（一份）。</w:t>
      </w:r>
    </w:p>
    <w:p>
      <w:pPr>
        <w:autoSpaceDE w:val="0"/>
        <w:autoSpaceDN w:val="0"/>
        <w:adjustRightInd w:val="0"/>
        <w:snapToGrid w:val="0"/>
        <w:spacing w:line="360" w:lineRule="auto"/>
        <w:ind w:firstLine="360" w:firstLineChars="150"/>
        <w:textAlignment w:val="bottom"/>
        <w:rPr>
          <w:rFonts w:hint="default"/>
          <w:sz w:val="24"/>
        </w:rPr>
      </w:pPr>
      <w:r>
        <w:rPr>
          <w:rFonts w:hint="default"/>
          <w:sz w:val="24"/>
        </w:rPr>
        <w:t>（3）“电子备份投标文件” 应当在投标截止时间前以邮寄或送达方式递交。</w:t>
      </w:r>
    </w:p>
    <w:p>
      <w:pPr>
        <w:adjustRightInd w:val="0"/>
        <w:snapToGrid w:val="0"/>
        <w:spacing w:line="360" w:lineRule="auto"/>
        <w:ind w:firstLine="352" w:firstLineChars="147"/>
        <w:jc w:val="left"/>
        <w:rPr>
          <w:rFonts w:hint="default"/>
          <w:b/>
          <w:sz w:val="24"/>
        </w:rPr>
      </w:pPr>
      <w:r>
        <w:rPr>
          <w:rFonts w:hint="default"/>
          <w:sz w:val="24"/>
        </w:rPr>
        <w:t>（4）“电子备投标应文件”应当密封包装，并在包装上标注投标项目编号、项目名称、投标单位名称等并加盖公章（详见第六章投标文件格式）。</w:t>
      </w:r>
    </w:p>
    <w:p>
      <w:pPr>
        <w:adjustRightInd w:val="0"/>
        <w:snapToGrid w:val="0"/>
        <w:spacing w:line="360" w:lineRule="auto"/>
        <w:ind w:firstLine="354" w:firstLineChars="147"/>
        <w:jc w:val="left"/>
        <w:rPr>
          <w:rFonts w:hint="default"/>
          <w:b/>
          <w:sz w:val="24"/>
        </w:rPr>
      </w:pPr>
      <w:r>
        <w:rPr>
          <w:rFonts w:hint="default"/>
          <w:b/>
          <w:sz w:val="24"/>
        </w:rPr>
        <w:t>（八）投标文件的修改和撤回</w:t>
      </w:r>
    </w:p>
    <w:p>
      <w:pPr>
        <w:adjustRightInd w:val="0"/>
        <w:snapToGrid w:val="0"/>
        <w:spacing w:line="360" w:lineRule="auto"/>
        <w:ind w:firstLine="480" w:firstLineChars="200"/>
        <w:rPr>
          <w:rFonts w:hint="default" w:ascii="宋体" w:hAnsi="宋体" w:cs="宋体"/>
          <w:sz w:val="24"/>
        </w:rPr>
      </w:pPr>
      <w:r>
        <w:rPr>
          <w:rFonts w:ascii="宋体" w:hAnsi="宋体" w:cs="宋体"/>
          <w:sz w:val="24"/>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adjustRightInd w:val="0"/>
        <w:snapToGrid w:val="0"/>
        <w:spacing w:line="360" w:lineRule="auto"/>
        <w:ind w:firstLine="480" w:firstLineChars="200"/>
        <w:rPr>
          <w:rFonts w:hint="default" w:ascii="宋体" w:hAnsi="宋体" w:cs="宋体"/>
          <w:sz w:val="24"/>
        </w:rPr>
      </w:pPr>
      <w:r>
        <w:rPr>
          <w:rFonts w:ascii="宋体" w:hAnsi="宋体" w:cs="宋体"/>
          <w:sz w:val="24"/>
        </w:rPr>
        <w:t>2.电子交易平台收到投标文件，将妥善保存并即时向供应商发出确认回执通知。在投标截止时间前，除供应商补充、修改或者撤回投标文件外，任何单位和个人不得解密或提取投标文件。</w:t>
      </w:r>
    </w:p>
    <w:p>
      <w:pPr>
        <w:adjustRightInd w:val="0"/>
        <w:snapToGrid w:val="0"/>
        <w:spacing w:line="360" w:lineRule="auto"/>
        <w:ind w:firstLine="480" w:firstLineChars="200"/>
        <w:rPr>
          <w:rFonts w:hint="default" w:ascii="宋体" w:hAnsi="宋体" w:cs="宋体"/>
          <w:sz w:val="24"/>
        </w:rPr>
      </w:pPr>
      <w:r>
        <w:rPr>
          <w:rFonts w:ascii="宋体" w:hAnsi="宋体" w:cs="宋体"/>
          <w:sz w:val="24"/>
        </w:rPr>
        <w:t>3.采购人、采购代理机构可以视情况延长投标文件提交的截止时间。在上述情况下，采购代理机构与投标人以前在投标截止期方面的全部权利、责任和义务，将适用于延长至新的投标截止期。</w:t>
      </w:r>
    </w:p>
    <w:p>
      <w:pPr>
        <w:pStyle w:val="19"/>
        <w:adjustRightInd w:val="0"/>
        <w:snapToGrid w:val="0"/>
        <w:spacing w:line="360" w:lineRule="auto"/>
        <w:ind w:firstLine="0"/>
        <w:outlineLvl w:val="1"/>
        <w:rPr>
          <w:rFonts w:hint="default" w:ascii="Times New Roman" w:hAnsi="Times New Roman"/>
          <w:b/>
          <w:snapToGrid w:val="0"/>
          <w:sz w:val="28"/>
          <w:szCs w:val="28"/>
        </w:rPr>
      </w:pPr>
      <w:r>
        <w:rPr>
          <w:rFonts w:hint="default" w:ascii="Times New Roman" w:hAnsi="Times New Roman"/>
          <w:b/>
          <w:sz w:val="28"/>
          <w:szCs w:val="28"/>
        </w:rPr>
        <w:t>四、开标</w:t>
      </w:r>
    </w:p>
    <w:p>
      <w:pPr>
        <w:pStyle w:val="8"/>
        <w:adjustRightInd w:val="0"/>
        <w:snapToGrid w:val="0"/>
        <w:spacing w:before="0" w:after="0" w:line="360" w:lineRule="auto"/>
        <w:ind w:left="716" w:leftChars="171" w:hanging="357" w:hangingChars="148"/>
        <w:rPr>
          <w:rFonts w:hint="default"/>
          <w:sz w:val="24"/>
          <w:szCs w:val="24"/>
        </w:rPr>
      </w:pPr>
      <w:r>
        <w:rPr>
          <w:rFonts w:hint="default"/>
          <w:sz w:val="24"/>
          <w:szCs w:val="24"/>
        </w:rPr>
        <w:t>（一）开标形式</w:t>
      </w:r>
    </w:p>
    <w:p>
      <w:pPr>
        <w:adjustRightInd w:val="0"/>
        <w:snapToGrid w:val="0"/>
        <w:spacing w:line="360" w:lineRule="auto"/>
        <w:ind w:firstLine="424" w:firstLineChars="177"/>
        <w:rPr>
          <w:rFonts w:hint="default"/>
          <w:sz w:val="24"/>
        </w:rPr>
      </w:pPr>
      <w:r>
        <w:rPr>
          <w:rFonts w:hint="default"/>
          <w:sz w:val="24"/>
        </w:rPr>
        <w:t>1.采购组织机构（即代理机构）将按照招标文件规定的时间通过“政府采购云平台”组织在线开标，所有投标供应商均应当准时在线参加。</w:t>
      </w:r>
    </w:p>
    <w:p>
      <w:pPr>
        <w:pStyle w:val="8"/>
        <w:adjustRightInd w:val="0"/>
        <w:snapToGrid w:val="0"/>
        <w:spacing w:before="0" w:after="0" w:line="360" w:lineRule="auto"/>
        <w:ind w:left="716" w:leftChars="171" w:hanging="357" w:hangingChars="148"/>
        <w:rPr>
          <w:rFonts w:hint="default"/>
          <w:sz w:val="24"/>
          <w:szCs w:val="24"/>
        </w:rPr>
      </w:pPr>
      <w:r>
        <w:rPr>
          <w:rFonts w:hint="default"/>
          <w:sz w:val="24"/>
          <w:szCs w:val="24"/>
        </w:rPr>
        <w:t>（二）开标准备</w:t>
      </w:r>
    </w:p>
    <w:p>
      <w:pPr>
        <w:adjustRightInd w:val="0"/>
        <w:snapToGrid w:val="0"/>
        <w:spacing w:line="360" w:lineRule="auto"/>
        <w:ind w:firstLine="422" w:firstLineChars="176"/>
        <w:rPr>
          <w:rFonts w:hint="default"/>
          <w:kern w:val="0"/>
          <w:sz w:val="24"/>
        </w:rPr>
      </w:pPr>
      <w:r>
        <w:rPr>
          <w:rFonts w:hint="default"/>
          <w:kern w:val="0"/>
          <w:sz w:val="24"/>
        </w:rPr>
        <w:t>1.开标的准备工作由</w:t>
      </w:r>
      <w:r>
        <w:rPr>
          <w:rFonts w:hint="default"/>
          <w:sz w:val="24"/>
        </w:rPr>
        <w:t>采购组织机构</w:t>
      </w:r>
      <w:r>
        <w:rPr>
          <w:rFonts w:hint="default"/>
          <w:kern w:val="0"/>
          <w:sz w:val="24"/>
        </w:rPr>
        <w:t>负责落实。</w:t>
      </w:r>
    </w:p>
    <w:p>
      <w:pPr>
        <w:adjustRightInd w:val="0"/>
        <w:snapToGrid w:val="0"/>
        <w:spacing w:line="360" w:lineRule="auto"/>
        <w:ind w:firstLine="422" w:firstLineChars="176"/>
        <w:rPr>
          <w:rFonts w:hint="default"/>
          <w:kern w:val="0"/>
          <w:sz w:val="24"/>
        </w:rPr>
      </w:pPr>
      <w:r>
        <w:rPr>
          <w:rFonts w:hint="default"/>
          <w:kern w:val="0"/>
          <w:sz w:val="24"/>
        </w:rPr>
        <w:t>2.</w:t>
      </w:r>
      <w:r>
        <w:rPr>
          <w:rFonts w:hint="default"/>
          <w:sz w:val="24"/>
        </w:rPr>
        <w:t>采购组织机构将按照招标文件规定的时间通过“政府采购云平台”组织开标，所有投标供应商均应当准时在线参加。</w:t>
      </w:r>
      <w:r>
        <w:rPr>
          <w:rFonts w:hint="default"/>
          <w:kern w:val="0"/>
          <w:sz w:val="24"/>
        </w:rPr>
        <w:t>投标供应商自行承担因不参加在线开标而产生的不利后果。</w:t>
      </w:r>
    </w:p>
    <w:p>
      <w:pPr>
        <w:pStyle w:val="8"/>
        <w:adjustRightInd w:val="0"/>
        <w:snapToGrid w:val="0"/>
        <w:spacing w:before="0" w:after="0" w:line="360" w:lineRule="auto"/>
        <w:ind w:left="716" w:leftChars="171" w:hanging="357" w:hangingChars="148"/>
        <w:rPr>
          <w:rFonts w:hint="default"/>
          <w:sz w:val="24"/>
          <w:szCs w:val="24"/>
        </w:rPr>
      </w:pPr>
      <w:r>
        <w:rPr>
          <w:rFonts w:hint="default"/>
          <w:sz w:val="24"/>
          <w:szCs w:val="24"/>
        </w:rPr>
        <w:t>（三）开标流程</w:t>
      </w:r>
    </w:p>
    <w:p>
      <w:pPr>
        <w:adjustRightInd w:val="0"/>
        <w:snapToGrid w:val="0"/>
        <w:spacing w:line="360" w:lineRule="auto"/>
        <w:ind w:firstLine="426" w:firstLineChars="177"/>
        <w:rPr>
          <w:rFonts w:hint="default" w:ascii="宋体" w:hAnsi="宋体" w:cs="宋体"/>
          <w:b/>
          <w:kern w:val="0"/>
          <w:sz w:val="24"/>
        </w:rPr>
      </w:pPr>
      <w:r>
        <w:rPr>
          <w:rFonts w:ascii="宋体" w:hAnsi="宋体" w:cs="宋体"/>
          <w:b/>
          <w:kern w:val="0"/>
          <w:sz w:val="24"/>
        </w:rPr>
        <w:t>1.开标</w:t>
      </w:r>
    </w:p>
    <w:p>
      <w:pPr>
        <w:adjustRightInd w:val="0"/>
        <w:snapToGrid w:val="0"/>
        <w:spacing w:line="360" w:lineRule="auto"/>
        <w:ind w:firstLine="424" w:firstLineChars="177"/>
        <w:rPr>
          <w:rFonts w:hint="default" w:ascii="宋体" w:hAnsi="宋体" w:cs="宋体"/>
          <w:kern w:val="0"/>
          <w:sz w:val="24"/>
        </w:rPr>
      </w:pPr>
      <w:r>
        <w:rPr>
          <w:rFonts w:ascii="宋体" w:hAnsi="宋体" w:cs="宋体"/>
          <w:sz w:val="24"/>
        </w:rPr>
        <w:t>开标时，电子交易平台按开标时间自动提取所有投标文件。采购代理机构依托电子交易平台发起开始解密指令，投标人按照平台提示和招标文件的规定在半小时内完成在线解密。</w:t>
      </w:r>
      <w:r>
        <w:rPr>
          <w:rFonts w:ascii="宋体" w:hAnsi="宋体" w:cs="宋体"/>
          <w:b/>
          <w:sz w:val="24"/>
        </w:rPr>
        <w:t>投标文件未按时解密，投标人提供了备份投标文件的，以备份投标文件作为依据，否则视为投标文件撤回。投标文件已按时解密的，备份投标文件自动失效。</w:t>
      </w:r>
    </w:p>
    <w:p>
      <w:pPr>
        <w:pStyle w:val="19"/>
        <w:adjustRightInd w:val="0"/>
        <w:snapToGrid w:val="0"/>
        <w:spacing w:line="360" w:lineRule="auto"/>
        <w:rPr>
          <w:rFonts w:hint="default"/>
        </w:rPr>
      </w:pPr>
      <w:r>
        <w:rPr>
          <w:rFonts w:ascii="Times New Roman" w:hAnsi="Times New Roman"/>
          <w:b/>
          <w:bCs/>
          <w:spacing w:val="0"/>
          <w:kern w:val="0"/>
          <w:sz w:val="24"/>
        </w:rPr>
        <w:t>特别说明：如遇“政府采购云平台”电子化开标程序调整的，按调整后程序执行。</w:t>
      </w:r>
    </w:p>
    <w:p>
      <w:pPr>
        <w:adjustRightInd w:val="0"/>
        <w:snapToGrid w:val="0"/>
        <w:spacing w:line="360" w:lineRule="auto"/>
        <w:ind w:firstLine="426" w:firstLineChars="177"/>
        <w:rPr>
          <w:rFonts w:hint="default" w:ascii="宋体" w:hAnsi="宋体" w:cs="宋体"/>
          <w:b/>
          <w:kern w:val="0"/>
          <w:sz w:val="24"/>
        </w:rPr>
      </w:pPr>
      <w:r>
        <w:rPr>
          <w:rFonts w:ascii="宋体" w:hAnsi="宋体" w:cs="宋体"/>
          <w:b/>
          <w:kern w:val="0"/>
          <w:sz w:val="24"/>
        </w:rPr>
        <w:t>2.资格审查</w:t>
      </w:r>
    </w:p>
    <w:p>
      <w:pPr>
        <w:adjustRightInd w:val="0"/>
        <w:snapToGrid w:val="0"/>
        <w:spacing w:line="360" w:lineRule="auto"/>
        <w:ind w:firstLine="424" w:firstLineChars="177"/>
        <w:rPr>
          <w:rFonts w:hint="default" w:ascii="宋体" w:hAnsi="宋体" w:cs="宋体"/>
          <w:sz w:val="24"/>
        </w:rPr>
      </w:pPr>
      <w:r>
        <w:rPr>
          <w:rFonts w:ascii="宋体" w:hAnsi="宋体" w:cs="宋体"/>
          <w:sz w:val="24"/>
        </w:rPr>
        <w:t>（1）采购人或采购代理机构依据法律法规和招标文件的规定，对投标人的资格进行审查。</w:t>
      </w:r>
    </w:p>
    <w:p>
      <w:pPr>
        <w:adjustRightInd w:val="0"/>
        <w:snapToGrid w:val="0"/>
        <w:spacing w:line="360" w:lineRule="auto"/>
        <w:ind w:firstLine="424" w:firstLineChars="177"/>
        <w:rPr>
          <w:rFonts w:hint="default" w:ascii="宋体" w:hAnsi="宋体" w:cs="宋体"/>
          <w:sz w:val="24"/>
        </w:rPr>
      </w:pPr>
      <w:r>
        <w:rPr>
          <w:rFonts w:ascii="宋体" w:hAnsi="宋体" w:cs="宋体"/>
          <w:sz w:val="24"/>
        </w:rPr>
        <w:t>（2）投标人未按照招标文件要求提供与资格条件相应的有效资格证明材料的，视为投标人不具备招标文件中规定的资格要求，其投标无效。</w:t>
      </w:r>
    </w:p>
    <w:p>
      <w:pPr>
        <w:adjustRightInd w:val="0"/>
        <w:snapToGrid w:val="0"/>
        <w:spacing w:line="360" w:lineRule="auto"/>
        <w:ind w:firstLine="424" w:firstLineChars="177"/>
        <w:rPr>
          <w:rFonts w:hint="default" w:ascii="宋体" w:hAnsi="宋体" w:cs="宋体"/>
          <w:sz w:val="24"/>
        </w:rPr>
      </w:pPr>
      <w:r>
        <w:rPr>
          <w:rFonts w:ascii="宋体" w:hAnsi="宋体" w:cs="宋体"/>
          <w:sz w:val="24"/>
        </w:rPr>
        <w:t>（3）对未通过资格审查的投标人，采购人或采购代理机构告知其未通过的原因。</w:t>
      </w:r>
    </w:p>
    <w:p>
      <w:pPr>
        <w:adjustRightInd w:val="0"/>
        <w:snapToGrid w:val="0"/>
        <w:spacing w:line="360" w:lineRule="auto"/>
        <w:ind w:firstLine="424" w:firstLineChars="177"/>
        <w:rPr>
          <w:rFonts w:hint="default" w:ascii="宋体" w:hAnsi="宋体" w:cs="宋体"/>
          <w:sz w:val="24"/>
        </w:rPr>
      </w:pPr>
      <w:r>
        <w:rPr>
          <w:rFonts w:ascii="宋体" w:hAnsi="宋体" w:cs="宋体"/>
          <w:sz w:val="24"/>
        </w:rPr>
        <w:t>（4）合格投标人不足3家的，不再评标。</w:t>
      </w:r>
    </w:p>
    <w:p>
      <w:pPr>
        <w:adjustRightInd w:val="0"/>
        <w:snapToGrid w:val="0"/>
        <w:spacing w:line="360" w:lineRule="auto"/>
        <w:ind w:firstLine="426" w:firstLineChars="177"/>
        <w:rPr>
          <w:rFonts w:hint="default" w:ascii="宋体" w:hAnsi="宋体" w:cs="宋体"/>
          <w:b/>
          <w:kern w:val="0"/>
          <w:sz w:val="24"/>
        </w:rPr>
      </w:pPr>
      <w:r>
        <w:rPr>
          <w:rFonts w:ascii="宋体" w:hAnsi="宋体" w:cs="宋体"/>
          <w:b/>
          <w:kern w:val="0"/>
          <w:sz w:val="24"/>
        </w:rPr>
        <w:t>3.信用信息查询</w:t>
      </w:r>
    </w:p>
    <w:p>
      <w:pPr>
        <w:adjustRightInd w:val="0"/>
        <w:snapToGrid w:val="0"/>
        <w:spacing w:line="360" w:lineRule="auto"/>
        <w:ind w:firstLine="424" w:firstLineChars="177"/>
        <w:rPr>
          <w:rFonts w:hint="default" w:ascii="宋体" w:hAnsi="宋体" w:cs="宋体"/>
          <w:sz w:val="24"/>
        </w:rPr>
      </w:pPr>
      <w:r>
        <w:rPr>
          <w:rFonts w:ascii="宋体" w:hAnsi="宋体" w:cs="宋体"/>
          <w:sz w:val="24"/>
        </w:rPr>
        <w:t>（1）信用信息查询渠道及截止时间：采购代理机构将在资格审查时通过“信用中国”网站(www.creditchina.gov.cn)、中国政府采购网(www.ccgp.gov.cn)渠道查询投标人接受资格时的信用记录。</w:t>
      </w:r>
    </w:p>
    <w:p>
      <w:pPr>
        <w:adjustRightInd w:val="0"/>
        <w:snapToGrid w:val="0"/>
        <w:spacing w:line="360" w:lineRule="auto"/>
        <w:ind w:firstLine="424" w:firstLineChars="177"/>
        <w:rPr>
          <w:rFonts w:hint="default" w:ascii="宋体" w:hAnsi="宋体" w:cs="宋体"/>
          <w:sz w:val="24"/>
        </w:rPr>
      </w:pPr>
      <w:r>
        <w:rPr>
          <w:rFonts w:ascii="宋体" w:hAnsi="宋体" w:cs="宋体"/>
          <w:sz w:val="24"/>
        </w:rPr>
        <w:t>（2）信用信息查询记录和证据留存的具体方式：现场查询的投标人的信用记录、查询结果经确认后将与采购文件一起存档。</w:t>
      </w:r>
    </w:p>
    <w:p>
      <w:pPr>
        <w:adjustRightInd w:val="0"/>
        <w:snapToGrid w:val="0"/>
        <w:spacing w:line="360" w:lineRule="auto"/>
        <w:ind w:firstLine="424" w:firstLineChars="177"/>
        <w:rPr>
          <w:rFonts w:hint="default" w:ascii="宋体" w:hAnsi="宋体" w:cs="宋体"/>
          <w:sz w:val="24"/>
        </w:rPr>
      </w:pPr>
      <w:r>
        <w:rPr>
          <w:rFonts w:ascii="宋体" w:hAnsi="宋体" w:cs="宋体"/>
          <w:sz w:val="24"/>
        </w:rPr>
        <w:t>（3）信用信息的使用规则：经查询列入失信被执行人名单、重大税收违法失信主体、政府采购严重违法失信行为记录名单的投标人将被拒绝参与政府采购活动。</w:t>
      </w:r>
    </w:p>
    <w:p>
      <w:pPr>
        <w:adjustRightInd w:val="0"/>
        <w:snapToGrid w:val="0"/>
        <w:spacing w:line="360" w:lineRule="auto"/>
        <w:ind w:firstLine="424" w:firstLineChars="177"/>
        <w:rPr>
          <w:rFonts w:hint="default" w:ascii="宋体" w:hAnsi="宋体" w:cs="宋体"/>
          <w:sz w:val="24"/>
        </w:rPr>
      </w:pPr>
      <w:r>
        <w:rPr>
          <w:rFonts w:ascii="宋体" w:hAnsi="宋体" w:cs="宋体"/>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9"/>
        <w:adjustRightInd w:val="0"/>
        <w:snapToGrid w:val="0"/>
        <w:spacing w:line="360" w:lineRule="auto"/>
        <w:rPr>
          <w:rFonts w:hint="default" w:ascii="Times New Roman" w:hAnsi="Times New Roman"/>
          <w:b/>
          <w:bCs/>
          <w:spacing w:val="0"/>
          <w:kern w:val="0"/>
          <w:sz w:val="24"/>
        </w:rPr>
      </w:pPr>
      <w:r>
        <w:rPr>
          <w:rFonts w:ascii="Times New Roman" w:hAnsi="Times New Roman"/>
          <w:b/>
          <w:bCs/>
          <w:spacing w:val="0"/>
          <w:kern w:val="0"/>
          <w:sz w:val="24"/>
        </w:rPr>
        <w:t>特别说明：如遇“政府采购云平台”电子化开标程序调整的，按调整后程序执行。</w:t>
      </w:r>
    </w:p>
    <w:p>
      <w:pPr>
        <w:pStyle w:val="10"/>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五、评标</w:t>
      </w:r>
    </w:p>
    <w:p>
      <w:pPr>
        <w:pStyle w:val="10"/>
        <w:adjustRightInd w:val="0"/>
        <w:snapToGrid w:val="0"/>
        <w:spacing w:beforeLines="0" w:afterLines="0" w:line="360" w:lineRule="auto"/>
        <w:ind w:left="720" w:leftChars="228" w:hanging="241" w:hangingChars="100"/>
        <w:rPr>
          <w:rFonts w:hint="default" w:ascii="Times New Roman" w:hAnsi="Times New Roman"/>
          <w:b/>
        </w:rPr>
      </w:pPr>
      <w:r>
        <w:rPr>
          <w:rFonts w:hint="default" w:ascii="Times New Roman" w:hAnsi="Times New Roman"/>
          <w:b/>
        </w:rPr>
        <w:t>（一）组建评标委员会（评审小组）</w:t>
      </w:r>
    </w:p>
    <w:p>
      <w:pPr>
        <w:pStyle w:val="10"/>
        <w:adjustRightInd w:val="0"/>
        <w:snapToGrid w:val="0"/>
        <w:spacing w:beforeLines="0" w:afterLines="0" w:line="360" w:lineRule="auto"/>
        <w:ind w:firstLine="480" w:firstLineChars="200"/>
        <w:rPr>
          <w:rFonts w:hint="default" w:ascii="Times New Roman" w:hAnsi="Times New Roman"/>
        </w:rPr>
      </w:pPr>
      <w:r>
        <w:rPr>
          <w:rFonts w:hint="default" w:ascii="Times New Roman" w:hAnsi="Times New Roman"/>
          <w:kern w:val="0"/>
        </w:rPr>
        <w:t>评标委员会由采购人代表和有关技术、经济等方面的专家组成，成员人数应当为五人以上单数。其中，技术、经济等方面的专家不得少于成员总数的三分之二。</w:t>
      </w:r>
    </w:p>
    <w:p>
      <w:pPr>
        <w:pStyle w:val="10"/>
        <w:adjustRightInd w:val="0"/>
        <w:snapToGrid w:val="0"/>
        <w:spacing w:beforeLines="0" w:afterLines="0" w:line="360" w:lineRule="auto"/>
        <w:ind w:left="720" w:leftChars="228" w:hanging="241" w:hangingChars="100"/>
        <w:rPr>
          <w:rFonts w:hint="default" w:ascii="Times New Roman" w:hAnsi="Times New Roman"/>
          <w:b/>
        </w:rPr>
      </w:pPr>
      <w:r>
        <w:rPr>
          <w:rFonts w:hint="default" w:ascii="Times New Roman" w:hAnsi="Times New Roman"/>
          <w:b/>
        </w:rPr>
        <w:t>（二）评标程序</w:t>
      </w:r>
    </w:p>
    <w:p>
      <w:pPr>
        <w:adjustRightInd w:val="0"/>
        <w:snapToGrid w:val="0"/>
        <w:spacing w:line="360" w:lineRule="auto"/>
        <w:ind w:firstLine="480" w:firstLineChars="200"/>
        <w:rPr>
          <w:rFonts w:hint="default"/>
          <w:sz w:val="24"/>
        </w:rPr>
      </w:pPr>
      <w:r>
        <w:rPr>
          <w:rFonts w:hint="default"/>
          <w:sz w:val="24"/>
        </w:rPr>
        <w:t>1.在评审专家中推选评审小组组长。</w:t>
      </w:r>
    </w:p>
    <w:p>
      <w:pPr>
        <w:adjustRightInd w:val="0"/>
        <w:snapToGrid w:val="0"/>
        <w:spacing w:line="360" w:lineRule="auto"/>
        <w:ind w:firstLine="480" w:firstLineChars="200"/>
        <w:rPr>
          <w:rFonts w:hint="default"/>
          <w:sz w:val="24"/>
        </w:rPr>
      </w:pPr>
      <w:r>
        <w:rPr>
          <w:rFonts w:hint="default"/>
          <w:sz w:val="24"/>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pPr>
        <w:adjustRightInd w:val="0"/>
        <w:snapToGrid w:val="0"/>
        <w:spacing w:line="360" w:lineRule="auto"/>
        <w:ind w:firstLine="480" w:firstLineChars="200"/>
        <w:rPr>
          <w:rFonts w:hint="default"/>
          <w:sz w:val="24"/>
        </w:rPr>
      </w:pPr>
      <w:r>
        <w:rPr>
          <w:rFonts w:hint="default"/>
          <w:sz w:val="24"/>
        </w:rPr>
        <w:t>3.采购人或者采购代理机构对各投标人的资格进行审查，投标人资格条件不符合招标文件要求的投标无效，不再进入符合性审查。</w:t>
      </w:r>
    </w:p>
    <w:p>
      <w:pPr>
        <w:adjustRightInd w:val="0"/>
        <w:snapToGrid w:val="0"/>
        <w:spacing w:line="360" w:lineRule="auto"/>
        <w:ind w:firstLine="480" w:firstLineChars="200"/>
        <w:rPr>
          <w:rFonts w:hint="default"/>
          <w:sz w:val="24"/>
        </w:rPr>
      </w:pPr>
      <w:r>
        <w:rPr>
          <w:rFonts w:hint="default"/>
          <w:sz w:val="24"/>
        </w:rPr>
        <w:t>4.评审小组对各投标文件的符合性进行审查，确定是否对招标文件作出了实质性响应。实质上没有响应招标文件要求的投标将被视为无效投标，不再进入下一阶段的评审。</w:t>
      </w:r>
    </w:p>
    <w:p>
      <w:pPr>
        <w:adjustRightInd w:val="0"/>
        <w:snapToGrid w:val="0"/>
        <w:spacing w:line="360" w:lineRule="auto"/>
        <w:ind w:firstLine="480" w:firstLineChars="200"/>
        <w:rPr>
          <w:rFonts w:hint="default"/>
          <w:sz w:val="24"/>
        </w:rPr>
      </w:pPr>
      <w:r>
        <w:rPr>
          <w:rFonts w:hint="default"/>
          <w:sz w:val="24"/>
        </w:rPr>
        <w:t>5.评审人员按招标文件规定的评审方法和评审标准，依法独立对供应商投标文件进行评估、比较，并给予评价或打分，不受任何单位和个人的干预。</w:t>
      </w:r>
    </w:p>
    <w:p>
      <w:pPr>
        <w:adjustRightInd w:val="0"/>
        <w:snapToGrid w:val="0"/>
        <w:spacing w:line="360" w:lineRule="auto"/>
        <w:ind w:firstLine="480" w:firstLineChars="200"/>
        <w:rPr>
          <w:rFonts w:hint="default"/>
          <w:sz w:val="24"/>
        </w:rPr>
      </w:pPr>
      <w:r>
        <w:rPr>
          <w:rFonts w:hint="default"/>
          <w:sz w:val="24"/>
        </w:rPr>
        <w:t>6.各投标人的得分为所有评委的有效评分的算术平均数，由指定专人进行计算复核。</w:t>
      </w:r>
    </w:p>
    <w:p>
      <w:pPr>
        <w:adjustRightInd w:val="0"/>
        <w:snapToGrid w:val="0"/>
        <w:spacing w:line="360" w:lineRule="auto"/>
        <w:ind w:firstLine="480" w:firstLineChars="200"/>
        <w:rPr>
          <w:rFonts w:hint="default"/>
          <w:sz w:val="24"/>
        </w:rPr>
      </w:pPr>
      <w:r>
        <w:rPr>
          <w:rFonts w:hint="default"/>
          <w:sz w:val="24"/>
        </w:rPr>
        <w:t>7.评标委员会完成评标后，评委对各部分得分汇总，计算出本项目最终得分。评标委员会按评标原则推荐中标候选人，同时起草评标报告。</w:t>
      </w:r>
    </w:p>
    <w:p>
      <w:pPr>
        <w:adjustRightInd w:val="0"/>
        <w:snapToGrid w:val="0"/>
        <w:spacing w:line="360" w:lineRule="auto"/>
        <w:ind w:firstLine="480" w:firstLineChars="200"/>
        <w:rPr>
          <w:rFonts w:hint="default"/>
          <w:sz w:val="24"/>
        </w:rPr>
      </w:pPr>
      <w:r>
        <w:rPr>
          <w:rFonts w:hint="default"/>
          <w:sz w:val="24"/>
        </w:rPr>
        <w:t>8.实质上响应招标文件要求的投标人不足三家的，除财政部门另有规定外，应当作废标处理。</w:t>
      </w:r>
    </w:p>
    <w:p>
      <w:pPr>
        <w:adjustRightInd w:val="0"/>
        <w:snapToGrid w:val="0"/>
        <w:spacing w:line="360" w:lineRule="auto"/>
        <w:ind w:firstLine="482" w:firstLineChars="200"/>
        <w:rPr>
          <w:rFonts w:hint="default"/>
          <w:b/>
          <w:sz w:val="24"/>
        </w:rPr>
      </w:pPr>
      <w:r>
        <w:rPr>
          <w:rFonts w:hint="default"/>
          <w:b/>
          <w:sz w:val="24"/>
        </w:rPr>
        <w:t>（三）澄清问题的形式</w:t>
      </w:r>
    </w:p>
    <w:p>
      <w:pPr>
        <w:autoSpaceDE w:val="0"/>
        <w:autoSpaceDN w:val="0"/>
        <w:adjustRightInd w:val="0"/>
        <w:snapToGrid w:val="0"/>
        <w:spacing w:line="360" w:lineRule="auto"/>
        <w:ind w:firstLine="480" w:firstLineChars="200"/>
        <w:jc w:val="left"/>
        <w:rPr>
          <w:rFonts w:hint="default"/>
          <w:sz w:val="24"/>
        </w:rPr>
      </w:pPr>
      <w:r>
        <w:rPr>
          <w:rFonts w:hint="default"/>
          <w:sz w:val="24"/>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p>
    <w:p>
      <w:pPr>
        <w:adjustRightInd w:val="0"/>
        <w:snapToGrid w:val="0"/>
        <w:spacing w:line="360" w:lineRule="auto"/>
        <w:ind w:firstLine="480" w:firstLineChars="200"/>
        <w:rPr>
          <w:rFonts w:hint="default"/>
          <w:sz w:val="24"/>
        </w:rPr>
      </w:pPr>
      <w:r>
        <w:rPr>
          <w:rFonts w:hint="default"/>
          <w:sz w:val="24"/>
        </w:rPr>
        <w:t>评标委员会发出澄清内容后，供应商应当在</w:t>
      </w:r>
      <w:r>
        <w:rPr>
          <w:rFonts w:hint="default"/>
          <w:iCs/>
          <w:sz w:val="24"/>
          <w:u w:val="single"/>
        </w:rPr>
        <w:t>30</w:t>
      </w:r>
      <w:r>
        <w:rPr>
          <w:rFonts w:hint="default"/>
          <w:sz w:val="24"/>
        </w:rPr>
        <w:t>分钟内提交澄清说明或补正，否则视为供应商放弃答复，并</w:t>
      </w:r>
      <w:r>
        <w:rPr>
          <w:rFonts w:hint="default"/>
          <w:kern w:val="0"/>
          <w:sz w:val="24"/>
        </w:rPr>
        <w:t>自行承担因此而产生的不利后果。</w:t>
      </w:r>
      <w:r>
        <w:rPr>
          <w:rFonts w:hint="default"/>
          <w:sz w:val="24"/>
        </w:rPr>
        <w:t>澄清、说明或者补正不得超出投标文件的范围或者改变投标文件的实质性内容。</w:t>
      </w:r>
    </w:p>
    <w:p>
      <w:pPr>
        <w:autoSpaceDE w:val="0"/>
        <w:autoSpaceDN w:val="0"/>
        <w:adjustRightInd w:val="0"/>
        <w:snapToGrid w:val="0"/>
        <w:spacing w:line="360" w:lineRule="auto"/>
        <w:ind w:firstLine="482" w:firstLineChars="200"/>
        <w:jc w:val="left"/>
        <w:rPr>
          <w:rFonts w:hint="default"/>
          <w:b/>
          <w:bCs/>
          <w:sz w:val="24"/>
        </w:rPr>
      </w:pPr>
      <w:r>
        <w:rPr>
          <w:rFonts w:hint="default"/>
          <w:b/>
          <w:bCs/>
          <w:sz w:val="24"/>
        </w:rPr>
        <w:t>合理报价澄清说明</w:t>
      </w:r>
      <w:r>
        <w:rPr>
          <w:b/>
          <w:bCs/>
          <w:sz w:val="24"/>
        </w:rPr>
        <w:t>：</w:t>
      </w:r>
      <w:r>
        <w:rPr>
          <w:rFonts w:hint="default"/>
          <w:b/>
          <w:bCs/>
          <w:sz w:val="24"/>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pPr>
        <w:pStyle w:val="10"/>
        <w:adjustRightInd w:val="0"/>
        <w:snapToGrid w:val="0"/>
        <w:spacing w:beforeLines="0" w:afterLines="0" w:line="360" w:lineRule="auto"/>
        <w:ind w:left="720" w:leftChars="228" w:hanging="241" w:hangingChars="100"/>
        <w:rPr>
          <w:rFonts w:hint="default" w:ascii="Times New Roman" w:hAnsi="Times New Roman"/>
          <w:b/>
        </w:rPr>
      </w:pPr>
      <w:r>
        <w:rPr>
          <w:rFonts w:hint="default" w:ascii="Times New Roman" w:hAnsi="Times New Roman"/>
          <w:b/>
        </w:rPr>
        <w:t>（四）错误修正</w:t>
      </w:r>
    </w:p>
    <w:p>
      <w:pPr>
        <w:adjustRightInd w:val="0"/>
        <w:snapToGrid w:val="0"/>
        <w:spacing w:line="360" w:lineRule="auto"/>
        <w:ind w:firstLine="480" w:firstLineChars="200"/>
        <w:rPr>
          <w:rFonts w:hint="default"/>
          <w:sz w:val="24"/>
        </w:rPr>
      </w:pPr>
      <w:r>
        <w:rPr>
          <w:rFonts w:hint="default"/>
          <w:sz w:val="24"/>
        </w:rPr>
        <w:t>投标文件如果出现计算或表达上的错误，修正错误的原则如下：</w:t>
      </w:r>
    </w:p>
    <w:p>
      <w:pPr>
        <w:adjustRightInd w:val="0"/>
        <w:snapToGrid w:val="0"/>
        <w:spacing w:line="360" w:lineRule="auto"/>
        <w:ind w:firstLine="482" w:firstLineChars="200"/>
        <w:rPr>
          <w:rFonts w:hint="default"/>
          <w:b/>
          <w:bCs/>
          <w:sz w:val="24"/>
        </w:rPr>
      </w:pPr>
      <w:r>
        <w:rPr>
          <w:rFonts w:hint="default"/>
          <w:b/>
          <w:bCs/>
          <w:sz w:val="24"/>
        </w:rPr>
        <w:t>1.电子交易平台生成的开标记录表内容与投标文件中相应内容不一致的，以报价文件中开标一览表（报价表）为准（出现万元或元单位错误时，则以投标人澄清确认后的合理报价为准）；</w:t>
      </w:r>
    </w:p>
    <w:p>
      <w:pPr>
        <w:adjustRightInd w:val="0"/>
        <w:snapToGrid w:val="0"/>
        <w:spacing w:line="360" w:lineRule="auto"/>
        <w:ind w:firstLine="482" w:firstLineChars="200"/>
        <w:rPr>
          <w:rFonts w:hint="default"/>
          <w:b/>
          <w:bCs/>
          <w:sz w:val="24"/>
        </w:rPr>
      </w:pPr>
      <w:r>
        <w:rPr>
          <w:rFonts w:hint="default"/>
          <w:b/>
          <w:bCs/>
          <w:sz w:val="24"/>
        </w:rPr>
        <w:t>2.大写金额和小写金额不一致的，以大写金额为准；</w:t>
      </w:r>
    </w:p>
    <w:p>
      <w:pPr>
        <w:adjustRightInd w:val="0"/>
        <w:snapToGrid w:val="0"/>
        <w:spacing w:line="360" w:lineRule="auto"/>
        <w:ind w:firstLine="482" w:firstLineChars="200"/>
        <w:rPr>
          <w:rFonts w:hint="default"/>
          <w:b/>
          <w:bCs/>
          <w:sz w:val="24"/>
        </w:rPr>
      </w:pPr>
      <w:r>
        <w:rPr>
          <w:rFonts w:hint="default"/>
          <w:b/>
          <w:bCs/>
          <w:sz w:val="24"/>
        </w:rPr>
        <w:t>3.单价金额小数点或者百分比有明显错位的，以开标一览表的总价为准，并修改单价；</w:t>
      </w:r>
    </w:p>
    <w:p>
      <w:pPr>
        <w:adjustRightInd w:val="0"/>
        <w:snapToGrid w:val="0"/>
        <w:spacing w:line="360" w:lineRule="auto"/>
        <w:ind w:firstLine="482" w:firstLineChars="200"/>
        <w:rPr>
          <w:rFonts w:hint="default"/>
          <w:sz w:val="24"/>
        </w:rPr>
      </w:pPr>
      <w:r>
        <w:rPr>
          <w:rFonts w:hint="default"/>
          <w:b/>
          <w:bCs/>
          <w:sz w:val="24"/>
        </w:rPr>
        <w:t>4.总价金额与按单价汇总金额不一致的，以单价金额计算结果为准。</w:t>
      </w:r>
    </w:p>
    <w:p>
      <w:pPr>
        <w:pStyle w:val="10"/>
        <w:adjustRightInd w:val="0"/>
        <w:snapToGrid w:val="0"/>
        <w:spacing w:beforeLines="0" w:afterLines="0" w:line="360" w:lineRule="auto"/>
        <w:ind w:firstLine="482" w:firstLineChars="200"/>
        <w:rPr>
          <w:rFonts w:hint="default" w:ascii="Times New Roman" w:hAnsi="Times New Roman"/>
          <w:b/>
        </w:rPr>
      </w:pPr>
      <w:r>
        <w:rPr>
          <w:rFonts w:hint="default" w:ascii="Times New Roman" w:hAnsi="Times New Roman"/>
          <w:b/>
        </w:rPr>
        <w:t>同时出现两种以上不一致的，按照前款规定的顺序修正。评标委员会应当通过电子交易平台要求投标人对修正后的报价予以确认并对投标人产生约束力。投标人在</w:t>
      </w:r>
      <w:r>
        <w:rPr>
          <w:rFonts w:hint="default" w:ascii="Times New Roman" w:hAnsi="Times New Roman"/>
          <w:b/>
          <w:i/>
          <w:u w:val="single"/>
        </w:rPr>
        <w:t>30</w:t>
      </w:r>
      <w:r>
        <w:rPr>
          <w:rFonts w:hint="default" w:ascii="Times New Roman" w:hAnsi="Times New Roman"/>
          <w:b/>
        </w:rPr>
        <w:t>分钟内不予确认的，其投标无效。</w:t>
      </w:r>
    </w:p>
    <w:p>
      <w:pPr>
        <w:pStyle w:val="10"/>
        <w:tabs>
          <w:tab w:val="left" w:pos="630"/>
        </w:tabs>
        <w:adjustRightInd w:val="0"/>
        <w:snapToGrid w:val="0"/>
        <w:spacing w:beforeLines="0" w:afterLines="0" w:line="360" w:lineRule="auto"/>
        <w:ind w:firstLine="472" w:firstLineChars="196"/>
        <w:rPr>
          <w:rFonts w:hint="default" w:ascii="Times New Roman" w:hAnsi="Times New Roman"/>
          <w:b/>
        </w:rPr>
      </w:pPr>
      <w:r>
        <w:rPr>
          <w:rFonts w:hint="default" w:ascii="Times New Roman" w:hAnsi="Times New Roman"/>
          <w:b/>
        </w:rPr>
        <w:t>（五）评标原则和评标办法</w:t>
      </w:r>
    </w:p>
    <w:p>
      <w:pPr>
        <w:pStyle w:val="10"/>
        <w:snapToGrid w:val="0"/>
        <w:spacing w:beforeLines="0" w:afterLines="0" w:line="360" w:lineRule="auto"/>
        <w:ind w:firstLine="480" w:firstLineChars="200"/>
        <w:rPr>
          <w:rFonts w:hint="default" w:hAnsi="宋体" w:cs="宋体"/>
        </w:rPr>
      </w:pPr>
      <w:r>
        <w:rPr>
          <w:rFonts w:hAnsi="宋体" w:cs="宋体"/>
        </w:rPr>
        <w:t>1.评审小组必须公平、公正、客观，不带任何倾向性和启发性；不得向外界透露任何与评标有关的内容；任何单位和个人不得干扰、影响评标的正常进行；评审小组及有关工作人员不得私下与投标人接触。</w:t>
      </w:r>
    </w:p>
    <w:p>
      <w:pPr>
        <w:pStyle w:val="10"/>
        <w:snapToGrid w:val="0"/>
        <w:spacing w:beforeLines="0" w:afterLines="0" w:line="360" w:lineRule="auto"/>
        <w:ind w:firstLine="482" w:firstLineChars="200"/>
        <w:rPr>
          <w:rFonts w:hint="default" w:hAnsi="宋体" w:cs="宋体"/>
          <w:b/>
          <w:bCs/>
        </w:rPr>
      </w:pPr>
      <w:r>
        <w:rPr>
          <w:rFonts w:hAnsi="宋体" w:cs="宋体"/>
          <w:b/>
          <w:bCs/>
        </w:rPr>
        <w:t>2.提供相同品牌产品且通过资格审查、符合性审查的不同投标人参加同一标项投标的，按一家投标人计算，评审后得分最高的同品牌投标人获得中标人推荐资格；评审得分相同时，取报价最低者；评审得分和报价均相同时，由评审小组集体决定。</w:t>
      </w:r>
    </w:p>
    <w:p>
      <w:pPr>
        <w:pStyle w:val="10"/>
        <w:snapToGrid w:val="0"/>
        <w:spacing w:beforeLines="0" w:afterLines="0" w:line="360" w:lineRule="auto"/>
        <w:ind w:firstLine="482" w:firstLineChars="200"/>
        <w:rPr>
          <w:rFonts w:hint="default" w:hAnsi="宋体" w:cs="宋体"/>
          <w:b/>
          <w:bCs/>
        </w:rPr>
      </w:pPr>
      <w:r>
        <w:rPr>
          <w:rFonts w:hAnsi="宋体" w:cs="宋体"/>
          <w:b/>
          <w:bCs/>
        </w:rPr>
        <w:t>非单一产品采购项目中，多家供应商提供的核心产品品牌相同的，按前款规定处理。核心产品（如有）描述详见《第四章：招标内容及需求》。</w:t>
      </w:r>
    </w:p>
    <w:p>
      <w:pPr>
        <w:pStyle w:val="10"/>
        <w:snapToGrid w:val="0"/>
        <w:spacing w:beforeLines="0" w:afterLines="0" w:line="360" w:lineRule="auto"/>
        <w:ind w:firstLine="480" w:firstLineChars="200"/>
        <w:rPr>
          <w:rFonts w:hint="default" w:hAnsi="宋体" w:cs="宋体"/>
        </w:rPr>
      </w:pPr>
      <w:r>
        <w:rPr>
          <w:rFonts w:hAnsi="宋体" w:cs="宋体"/>
        </w:rPr>
        <w:t>3.本项目评标办法是综合评分法，具体评标内容及评分标准等详见《第三章：评标办法》。</w:t>
      </w:r>
    </w:p>
    <w:p>
      <w:pPr>
        <w:pStyle w:val="10"/>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六、定标</w:t>
      </w:r>
    </w:p>
    <w:p>
      <w:pPr>
        <w:pStyle w:val="10"/>
        <w:adjustRightInd w:val="0"/>
        <w:snapToGrid w:val="0"/>
        <w:spacing w:beforeLines="0" w:afterLines="0" w:line="360" w:lineRule="auto"/>
        <w:ind w:firstLine="472" w:firstLineChars="196"/>
        <w:rPr>
          <w:rFonts w:hint="default" w:ascii="Times New Roman" w:hAnsi="Times New Roman"/>
          <w:b/>
          <w:bCs/>
        </w:rPr>
      </w:pPr>
      <w:r>
        <w:rPr>
          <w:rFonts w:hint="default" w:ascii="Times New Roman" w:hAnsi="Times New Roman"/>
          <w:b/>
          <w:bCs/>
        </w:rPr>
        <w:t>（一）确定中标人</w:t>
      </w:r>
    </w:p>
    <w:p>
      <w:pPr>
        <w:adjustRightInd w:val="0"/>
        <w:snapToGrid w:val="0"/>
        <w:spacing w:line="360" w:lineRule="auto"/>
        <w:ind w:firstLine="480" w:firstLineChars="200"/>
        <w:rPr>
          <w:rFonts w:hint="default"/>
          <w:sz w:val="24"/>
        </w:rPr>
      </w:pPr>
      <w:r>
        <w:rPr>
          <w:rFonts w:hint="default"/>
          <w:sz w:val="24"/>
        </w:rPr>
        <w:t>1.采购人依法确定1名中标人。确定中标人后2个工作日内，代理机构以书面（纸质）形式发出《中标通知书》，并同时在相关网站上发布中标公告。</w:t>
      </w:r>
    </w:p>
    <w:p>
      <w:pPr>
        <w:pStyle w:val="10"/>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七、合同授予</w:t>
      </w:r>
    </w:p>
    <w:p>
      <w:pPr>
        <w:adjustRightInd w:val="0"/>
        <w:snapToGrid w:val="0"/>
        <w:spacing w:line="360" w:lineRule="auto"/>
        <w:ind w:firstLine="472" w:firstLineChars="196"/>
        <w:rPr>
          <w:rFonts w:hint="default" w:ascii="宋体" w:hAnsi="宋体" w:cs="宋体"/>
          <w:b/>
          <w:bCs/>
          <w:sz w:val="24"/>
        </w:rPr>
      </w:pPr>
      <w:r>
        <w:rPr>
          <w:rFonts w:ascii="宋体" w:hAnsi="宋体" w:cs="宋体"/>
          <w:b/>
          <w:bCs/>
          <w:sz w:val="24"/>
        </w:rPr>
        <w:t>（一）签订合同</w:t>
      </w:r>
    </w:p>
    <w:p>
      <w:pPr>
        <w:widowControl/>
        <w:shd w:val="clear" w:color="auto" w:fill="FFFFFF"/>
        <w:adjustRightInd w:val="0"/>
        <w:snapToGrid w:val="0"/>
        <w:spacing w:line="360" w:lineRule="auto"/>
        <w:ind w:firstLine="480"/>
        <w:jc w:val="left"/>
        <w:rPr>
          <w:rFonts w:hint="default" w:ascii="宋体" w:hAnsi="宋体" w:cs="宋体"/>
          <w:kern w:val="0"/>
          <w:sz w:val="24"/>
        </w:rPr>
      </w:pPr>
      <w:r>
        <w:rPr>
          <w:rFonts w:ascii="宋体" w:hAnsi="宋体" w:cs="宋体"/>
          <w:sz w:val="24"/>
        </w:rPr>
        <w:t>（1）</w:t>
      </w:r>
      <w:r>
        <w:rPr>
          <w:rFonts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pPr>
        <w:pStyle w:val="118"/>
        <w:adjustRightInd w:val="0"/>
        <w:snapToGrid w:val="0"/>
        <w:spacing w:before="0"/>
        <w:ind w:firstLine="480"/>
        <w:rPr>
          <w:rFonts w:hint="default" w:ascii="宋体" w:hAnsi="宋体" w:cs="宋体"/>
          <w:kern w:val="0"/>
        </w:rPr>
      </w:pPr>
      <w:r>
        <w:rPr>
          <w:rFonts w:ascii="宋体" w:hAnsi="宋体" w:cs="宋体"/>
          <w:kern w:val="0"/>
          <w:lang w:val="zh-CN"/>
        </w:rPr>
        <w:t>（</w:t>
      </w:r>
      <w:r>
        <w:rPr>
          <w:rFonts w:ascii="宋体" w:hAnsi="宋体" w:cs="宋体"/>
          <w:kern w:val="0"/>
        </w:rPr>
        <w:t>2</w:t>
      </w:r>
      <w:r>
        <w:rPr>
          <w:rFonts w:ascii="宋体" w:hAnsi="宋体" w:cs="宋体"/>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18"/>
        <w:adjustRightInd w:val="0"/>
        <w:snapToGrid w:val="0"/>
        <w:spacing w:before="0"/>
        <w:ind w:firstLine="480"/>
        <w:rPr>
          <w:rFonts w:hint="default" w:ascii="宋体" w:hAnsi="宋体" w:cs="宋体"/>
        </w:rPr>
      </w:pPr>
      <w:r>
        <w:rPr>
          <w:rFonts w:ascii="宋体" w:hAnsi="宋体" w:cs="宋体"/>
        </w:rPr>
        <w:t>（3）如签订合同并生效后，供应商无故拒绝或延期，除按照合同条款处理外，列入不良行为记录一次，并给予通报。</w:t>
      </w:r>
    </w:p>
    <w:p>
      <w:pPr>
        <w:pStyle w:val="118"/>
        <w:adjustRightInd w:val="0"/>
        <w:snapToGrid w:val="0"/>
        <w:spacing w:before="0"/>
        <w:ind w:firstLine="480"/>
        <w:rPr>
          <w:rFonts w:hint="default" w:ascii="宋体" w:hAnsi="宋体" w:cs="宋体"/>
        </w:rPr>
      </w:pPr>
      <w:r>
        <w:rPr>
          <w:rFonts w:ascii="宋体" w:hAnsi="宋体" w:cs="宋体"/>
        </w:rPr>
        <w:t>（4）中标供应商拒绝与采购人签订合同的，采购人可以按照评审报告推荐的中标或者成交候选人名单排序，确定下一候选人为中标供应商，也可以重新开展政府采购活动。</w:t>
      </w:r>
    </w:p>
    <w:p>
      <w:pPr>
        <w:pStyle w:val="118"/>
        <w:adjustRightInd w:val="0"/>
        <w:snapToGrid w:val="0"/>
        <w:spacing w:before="0"/>
        <w:ind w:firstLine="480"/>
        <w:rPr>
          <w:rFonts w:hint="default" w:ascii="宋体" w:hAnsi="宋体" w:cs="宋体"/>
        </w:rPr>
      </w:pPr>
      <w:r>
        <w:rPr>
          <w:rFonts w:ascii="宋体" w:hAnsi="宋体" w:cs="宋体"/>
        </w:rPr>
        <w:t>（5）采购合同由采购人与中标供应商根据招标文件、投标文件等内容通过政府采购电子交易平台在线签订，自动备案。</w:t>
      </w:r>
    </w:p>
    <w:p>
      <w:pPr>
        <w:pStyle w:val="10"/>
        <w:snapToGrid w:val="0"/>
        <w:spacing w:beforeLines="0" w:afterLines="0" w:line="360" w:lineRule="auto"/>
        <w:ind w:firstLine="472" w:firstLineChars="196"/>
        <w:rPr>
          <w:rFonts w:hint="default" w:hAnsi="宋体" w:cs="宋体"/>
          <w:b/>
        </w:rPr>
      </w:pPr>
      <w:r>
        <w:rPr>
          <w:rFonts w:hAnsi="宋体" w:cs="宋体"/>
          <w:b/>
        </w:rPr>
        <w:t>（二）履约保证金</w:t>
      </w:r>
    </w:p>
    <w:p>
      <w:pPr>
        <w:widowControl/>
        <w:shd w:val="clear" w:color="auto" w:fill="FFFFFF"/>
        <w:adjustRightInd w:val="0"/>
        <w:snapToGrid w:val="0"/>
        <w:spacing w:line="360" w:lineRule="auto"/>
        <w:ind w:firstLine="480"/>
        <w:jc w:val="left"/>
        <w:rPr>
          <w:rFonts w:hint="default" w:ascii="宋体" w:hAnsi="宋体" w:cs="宋体"/>
          <w:sz w:val="24"/>
        </w:rPr>
      </w:pPr>
      <w:r>
        <w:rPr>
          <w:rFonts w:ascii="宋体" w:hAnsi="宋体" w:cs="宋体"/>
          <w:sz w:val="24"/>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10"/>
        <w:snapToGrid w:val="0"/>
        <w:spacing w:before="120" w:after="120" w:line="360" w:lineRule="auto"/>
        <w:ind w:firstLine="480" w:firstLineChars="200"/>
        <w:rPr>
          <w:rFonts w:hint="default" w:hAnsi="宋体" w:cs="宋体"/>
        </w:rPr>
      </w:pPr>
      <w:r>
        <w:rPr>
          <w:rFonts w:hAnsi="宋体" w:cs="宋体"/>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10"/>
        <w:adjustRightInd w:val="0"/>
        <w:snapToGrid w:val="0"/>
        <w:spacing w:beforeLines="0" w:afterLines="0" w:line="360" w:lineRule="auto"/>
        <w:outlineLvl w:val="1"/>
        <w:rPr>
          <w:rFonts w:hint="default" w:hAnsi="宋体" w:cs="宋体"/>
          <w:b/>
          <w:sz w:val="28"/>
          <w:szCs w:val="28"/>
        </w:rPr>
      </w:pPr>
      <w:r>
        <w:rPr>
          <w:rFonts w:hAnsi="宋体" w:cs="宋体"/>
          <w:b/>
          <w:sz w:val="28"/>
          <w:szCs w:val="28"/>
        </w:rPr>
        <w:t>八、电子交易活动的中止</w:t>
      </w:r>
    </w:p>
    <w:p>
      <w:pPr>
        <w:pStyle w:val="10"/>
        <w:snapToGrid w:val="0"/>
        <w:spacing w:beforeLines="0" w:afterLines="0" w:line="360" w:lineRule="auto"/>
        <w:ind w:firstLine="472" w:firstLineChars="196"/>
        <w:rPr>
          <w:rFonts w:hint="default" w:hAnsi="宋体" w:cs="宋体"/>
          <w:b/>
        </w:rPr>
      </w:pPr>
      <w:r>
        <w:rPr>
          <w:rFonts w:hAnsi="宋体" w:cs="宋体"/>
          <w:b/>
        </w:rPr>
        <w:t>（一）电子交易活动的中止。</w:t>
      </w:r>
    </w:p>
    <w:p>
      <w:pPr>
        <w:pStyle w:val="118"/>
        <w:snapToGrid w:val="0"/>
        <w:spacing w:before="0"/>
        <w:ind w:firstLine="480"/>
        <w:rPr>
          <w:rFonts w:hint="default" w:ascii="宋体" w:hAnsi="宋体" w:cs="宋体"/>
        </w:rPr>
      </w:pPr>
      <w:r>
        <w:rPr>
          <w:rFonts w:ascii="宋体" w:hAnsi="宋体" w:cs="宋体"/>
        </w:rPr>
        <w:t>采购过程中出现以下情形，导致电子交易平台无法正常运行，或者无法保证电子交易的公平、公正和安全时，采购代理机构可中止电子交易活动：</w:t>
      </w:r>
    </w:p>
    <w:p>
      <w:pPr>
        <w:pStyle w:val="118"/>
        <w:snapToGrid w:val="0"/>
        <w:spacing w:before="0"/>
        <w:ind w:firstLine="480"/>
        <w:rPr>
          <w:rFonts w:hint="default" w:ascii="宋体" w:hAnsi="宋体" w:cs="宋体"/>
        </w:rPr>
      </w:pPr>
      <w:r>
        <w:rPr>
          <w:rFonts w:ascii="宋体" w:hAnsi="宋体" w:cs="宋体"/>
        </w:rPr>
        <w:t xml:space="preserve">（1）电子交易平台发生故障而无法登录访问的； </w:t>
      </w:r>
    </w:p>
    <w:p>
      <w:pPr>
        <w:pStyle w:val="118"/>
        <w:snapToGrid w:val="0"/>
        <w:spacing w:before="0"/>
        <w:ind w:firstLine="480"/>
        <w:rPr>
          <w:rFonts w:hint="default" w:ascii="宋体" w:hAnsi="宋体" w:cs="宋体"/>
        </w:rPr>
      </w:pPr>
      <w:r>
        <w:rPr>
          <w:rFonts w:ascii="宋体" w:hAnsi="宋体" w:cs="宋体"/>
        </w:rPr>
        <w:t>（2）电子交易平台应用或数据库出现错误，不能进行正常操作的；</w:t>
      </w:r>
    </w:p>
    <w:p>
      <w:pPr>
        <w:pStyle w:val="118"/>
        <w:snapToGrid w:val="0"/>
        <w:spacing w:before="0"/>
        <w:ind w:firstLine="480"/>
        <w:rPr>
          <w:rFonts w:hint="default" w:ascii="宋体" w:hAnsi="宋体" w:cs="宋体"/>
        </w:rPr>
      </w:pPr>
      <w:r>
        <w:rPr>
          <w:rFonts w:ascii="宋体" w:hAnsi="宋体" w:cs="宋体"/>
        </w:rPr>
        <w:t>（3）电子交易平台发现严重安全漏洞，有潜在泄密危险的；</w:t>
      </w:r>
    </w:p>
    <w:p>
      <w:pPr>
        <w:pStyle w:val="118"/>
        <w:snapToGrid w:val="0"/>
        <w:spacing w:before="0"/>
        <w:ind w:firstLine="480"/>
        <w:rPr>
          <w:rFonts w:hint="default" w:ascii="宋体" w:hAnsi="宋体" w:cs="宋体"/>
        </w:rPr>
      </w:pPr>
      <w:r>
        <w:rPr>
          <w:rFonts w:ascii="宋体" w:hAnsi="宋体" w:cs="宋体"/>
        </w:rPr>
        <w:t xml:space="preserve">（4）病毒发作导致不能进行正常操作的； </w:t>
      </w:r>
    </w:p>
    <w:p>
      <w:pPr>
        <w:pStyle w:val="118"/>
        <w:snapToGrid w:val="0"/>
        <w:spacing w:before="0"/>
        <w:ind w:firstLine="480"/>
        <w:rPr>
          <w:rFonts w:hint="default" w:ascii="宋体" w:hAnsi="宋体" w:cs="宋体"/>
        </w:rPr>
      </w:pPr>
      <w:r>
        <w:rPr>
          <w:rFonts w:ascii="宋体" w:hAnsi="宋体" w:cs="宋体"/>
        </w:rPr>
        <w:t>（5）其他无法保证电子交易的公平、公正和安全的情况。</w:t>
      </w:r>
    </w:p>
    <w:p>
      <w:pPr>
        <w:pStyle w:val="118"/>
        <w:snapToGrid w:val="0"/>
        <w:spacing w:before="0"/>
        <w:ind w:firstLine="480"/>
        <w:rPr>
          <w:rFonts w:hint="default" w:ascii="宋体" w:hAnsi="宋体" w:cs="宋体"/>
        </w:rPr>
      </w:pPr>
      <w:r>
        <w:rPr>
          <w:rFonts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rPr>
          <w:rFonts w:hint="default"/>
        </w:rPr>
      </w:pPr>
    </w:p>
    <w:p>
      <w:pPr>
        <w:snapToGrid w:val="0"/>
        <w:spacing w:line="360" w:lineRule="auto"/>
        <w:ind w:left="238"/>
        <w:jc w:val="center"/>
        <w:rPr>
          <w:rFonts w:hint="default"/>
          <w:b/>
          <w:sz w:val="36"/>
          <w:szCs w:val="36"/>
        </w:rPr>
      </w:pPr>
      <w:r>
        <w:rPr>
          <w:rFonts w:hint="default"/>
        </w:rPr>
        <w:br w:type="page"/>
      </w:r>
      <w:bookmarkStart w:id="58" w:name="_Toc19314"/>
      <w:r>
        <w:rPr>
          <w:rStyle w:val="141"/>
          <w:rFonts w:hint="default"/>
          <w:spacing w:val="-4"/>
          <w:sz w:val="32"/>
          <w:szCs w:val="32"/>
        </w:rPr>
        <w:t>第三章  评标办法</w:t>
      </w:r>
      <w:bookmarkEnd w:id="58"/>
    </w:p>
    <w:p>
      <w:pPr>
        <w:adjustRightInd w:val="0"/>
        <w:snapToGrid w:val="0"/>
        <w:spacing w:line="360" w:lineRule="auto"/>
        <w:ind w:firstLine="480" w:firstLineChars="200"/>
        <w:rPr>
          <w:rFonts w:hint="default"/>
          <w:sz w:val="24"/>
        </w:rPr>
      </w:pPr>
      <w:r>
        <w:rPr>
          <w:rFonts w:hint="default"/>
          <w:sz w:val="24"/>
        </w:rPr>
        <w:t>为公正、公平、科学地选择中标人，根据《中华人民共和国政府采购法》等有关法律法规的规定，并结合本项目的实际，制定本办法。</w:t>
      </w:r>
    </w:p>
    <w:p>
      <w:pPr>
        <w:adjustRightInd w:val="0"/>
        <w:snapToGrid w:val="0"/>
        <w:spacing w:line="360" w:lineRule="auto"/>
        <w:ind w:firstLine="472" w:firstLineChars="196"/>
        <w:rPr>
          <w:rFonts w:hint="default"/>
          <w:b/>
          <w:sz w:val="24"/>
          <w:szCs w:val="24"/>
        </w:rPr>
      </w:pPr>
      <w:r>
        <w:rPr>
          <w:rFonts w:hint="default"/>
          <w:b/>
          <w:sz w:val="24"/>
          <w:szCs w:val="24"/>
        </w:rPr>
        <w:t>一、总则</w:t>
      </w:r>
    </w:p>
    <w:p>
      <w:pPr>
        <w:adjustRightInd w:val="0"/>
        <w:snapToGrid w:val="0"/>
        <w:spacing w:line="360" w:lineRule="auto"/>
        <w:ind w:firstLine="480" w:firstLineChars="200"/>
        <w:rPr>
          <w:rFonts w:hint="default"/>
          <w:bCs/>
          <w:sz w:val="24"/>
        </w:rPr>
      </w:pPr>
      <w:r>
        <w:rPr>
          <w:rFonts w:hint="default"/>
          <w:sz w:val="24"/>
        </w:rPr>
        <w:t>本次评标采用综合评分法，总分为100分，其中价格分</w:t>
      </w:r>
      <w:r>
        <w:rPr>
          <w:sz w:val="24"/>
          <w:u w:val="single"/>
        </w:rPr>
        <w:t>30</w:t>
      </w:r>
      <w:r>
        <w:rPr>
          <w:rFonts w:hint="default"/>
          <w:sz w:val="24"/>
        </w:rPr>
        <w:t>分，资信商务技术分</w:t>
      </w:r>
      <w:r>
        <w:rPr>
          <w:sz w:val="24"/>
          <w:u w:val="single"/>
        </w:rPr>
        <w:t>70</w:t>
      </w:r>
      <w:r>
        <w:rPr>
          <w:rFonts w:hint="default"/>
          <w:sz w:val="24"/>
        </w:rPr>
        <w:t>分。合格投标人的评标得分为各项目汇总得分，中标候选资格按评标得分由高到低顺序排列，得分相同的，按投标报价由低到高顺序排列；得分且投标报价相同的，按技术得分由高到低顺序排列。</w:t>
      </w:r>
      <w:r>
        <w:rPr>
          <w:rFonts w:hint="default"/>
          <w:bCs/>
          <w:sz w:val="24"/>
        </w:rPr>
        <w:t>评分过程中采用四舍五入法，并保留小数2位。除财政部门另有规定外，评标委员会推荐</w:t>
      </w:r>
      <w:r>
        <w:rPr>
          <w:rFonts w:hint="default"/>
          <w:sz w:val="24"/>
        </w:rPr>
        <w:t>得分</w:t>
      </w:r>
      <w:r>
        <w:rPr>
          <w:rFonts w:hint="default"/>
          <w:bCs/>
          <w:sz w:val="24"/>
        </w:rPr>
        <w:t>排列前</w:t>
      </w:r>
      <w:r>
        <w:rPr>
          <w:rFonts w:hint="default"/>
          <w:bCs/>
          <w:sz w:val="24"/>
          <w:u w:val="single"/>
        </w:rPr>
        <w:t xml:space="preserve"> 3 </w:t>
      </w:r>
      <w:r>
        <w:rPr>
          <w:rFonts w:hint="default"/>
          <w:bCs/>
          <w:sz w:val="24"/>
        </w:rPr>
        <w:t>名的投标人为中标候选人。</w:t>
      </w:r>
    </w:p>
    <w:p>
      <w:pPr>
        <w:adjustRightInd w:val="0"/>
        <w:snapToGrid w:val="0"/>
        <w:spacing w:line="360" w:lineRule="auto"/>
        <w:ind w:firstLine="480" w:firstLineChars="200"/>
        <w:rPr>
          <w:rFonts w:hint="default"/>
          <w:sz w:val="24"/>
        </w:rPr>
      </w:pPr>
      <w:r>
        <w:rPr>
          <w:rFonts w:hint="default"/>
          <w:sz w:val="24"/>
        </w:rPr>
        <w:t>资信商务技术分=评标委员会所有成员评分合计数/评标委员会组成人员数</w:t>
      </w:r>
    </w:p>
    <w:p>
      <w:pPr>
        <w:adjustRightInd w:val="0"/>
        <w:snapToGrid w:val="0"/>
        <w:spacing w:line="360" w:lineRule="auto"/>
        <w:ind w:firstLine="480" w:firstLineChars="200"/>
        <w:rPr>
          <w:rFonts w:hint="default"/>
          <w:bCs/>
          <w:sz w:val="24"/>
        </w:rPr>
      </w:pPr>
      <w:r>
        <w:rPr>
          <w:rFonts w:hint="default"/>
          <w:sz w:val="24"/>
        </w:rPr>
        <w:t>投标人评标</w:t>
      </w:r>
      <w:r>
        <w:rPr>
          <w:rFonts w:hint="default"/>
          <w:bCs/>
          <w:sz w:val="24"/>
        </w:rPr>
        <w:t>综合得分=价格分+资信商务技术分</w:t>
      </w:r>
    </w:p>
    <w:p>
      <w:pPr>
        <w:adjustRightInd w:val="0"/>
        <w:snapToGrid w:val="0"/>
        <w:spacing w:line="360" w:lineRule="auto"/>
        <w:ind w:firstLine="472" w:firstLineChars="196"/>
        <w:rPr>
          <w:rFonts w:hint="default"/>
          <w:b/>
          <w:sz w:val="24"/>
          <w:szCs w:val="24"/>
        </w:rPr>
      </w:pPr>
      <w:r>
        <w:rPr>
          <w:rFonts w:hint="default"/>
          <w:b/>
          <w:sz w:val="24"/>
          <w:szCs w:val="24"/>
        </w:rPr>
        <w:t>二、资格审查</w:t>
      </w:r>
    </w:p>
    <w:p>
      <w:pPr>
        <w:adjustRightInd w:val="0"/>
        <w:snapToGrid w:val="0"/>
        <w:spacing w:line="360" w:lineRule="auto"/>
        <w:ind w:firstLine="470" w:firstLineChars="196"/>
        <w:outlineLvl w:val="2"/>
        <w:rPr>
          <w:rFonts w:hint="default"/>
          <w:bCs/>
          <w:sz w:val="24"/>
          <w:szCs w:val="28"/>
        </w:rPr>
      </w:pPr>
      <w:r>
        <w:rPr>
          <w:rFonts w:hint="default"/>
          <w:bCs/>
          <w:sz w:val="24"/>
        </w:rPr>
        <w:t>采购人或者采购代理机构对各投标人的资格进行审查，投标人资格条件不符合招标文件要求的投标无效，不再进入符合性审查。</w:t>
      </w:r>
    </w:p>
    <w:p>
      <w:pPr>
        <w:adjustRightInd w:val="0"/>
        <w:snapToGrid w:val="0"/>
        <w:spacing w:line="360" w:lineRule="auto"/>
        <w:ind w:firstLine="472" w:firstLineChars="196"/>
        <w:outlineLvl w:val="2"/>
        <w:rPr>
          <w:rFonts w:hint="default"/>
          <w:b/>
          <w:sz w:val="24"/>
          <w:szCs w:val="24"/>
        </w:rPr>
      </w:pPr>
      <w:r>
        <w:rPr>
          <w:rFonts w:hint="default"/>
          <w:b/>
          <w:sz w:val="24"/>
          <w:szCs w:val="24"/>
        </w:rPr>
        <w:t>三、符合性审查</w:t>
      </w:r>
    </w:p>
    <w:p>
      <w:pPr>
        <w:adjustRightInd w:val="0"/>
        <w:snapToGrid w:val="0"/>
        <w:spacing w:line="360" w:lineRule="auto"/>
        <w:ind w:firstLine="480" w:firstLineChars="200"/>
        <w:rPr>
          <w:rFonts w:hint="default"/>
          <w:bCs/>
          <w:sz w:val="24"/>
        </w:rPr>
      </w:pPr>
      <w:r>
        <w:rPr>
          <w:rFonts w:hint="default"/>
          <w:bCs/>
          <w:sz w:val="24"/>
        </w:rPr>
        <w:t>评审小组对资格审查合格的投标文件进行符合性审查，确定是否对招标文件作出了实质性响应。符合性审查不合格的投标无效，不再进行商务和技术评估、综合比较与评价。</w:t>
      </w:r>
    </w:p>
    <w:p>
      <w:pPr>
        <w:adjustRightInd w:val="0"/>
        <w:snapToGrid w:val="0"/>
        <w:spacing w:line="360" w:lineRule="auto"/>
        <w:ind w:firstLine="472" w:firstLineChars="196"/>
        <w:rPr>
          <w:rFonts w:hint="default"/>
          <w:b/>
          <w:bCs/>
          <w:sz w:val="24"/>
        </w:rPr>
      </w:pPr>
      <w:r>
        <w:rPr>
          <w:rFonts w:hint="default"/>
          <w:b/>
          <w:bCs/>
          <w:sz w:val="24"/>
        </w:rPr>
        <w:t>1.在商务、技术评审时，如发现下列情形之一的，投标将被视为无效：</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1）供应商提交两份或两份以上内容不同的投标方案，未声明哪一份有效的；</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2）投标文件非供应商法定代表人签署的，未提供或提供无效的法定代表人授权书；</w:t>
      </w:r>
    </w:p>
    <w:p>
      <w:pPr>
        <w:adjustRightInd w:val="0"/>
        <w:snapToGrid w:val="0"/>
        <w:spacing w:line="360" w:lineRule="auto"/>
        <w:ind w:firstLine="480" w:firstLineChars="200"/>
        <w:rPr>
          <w:rFonts w:hint="default" w:ascii="宋体" w:hAnsi="宋体" w:cs="宋体"/>
          <w:sz w:val="24"/>
          <w:szCs w:val="24"/>
        </w:rPr>
      </w:pPr>
      <w:r>
        <w:rPr>
          <w:rFonts w:ascii="宋体" w:hAnsi="宋体" w:cs="宋体"/>
          <w:snapToGrid w:val="0"/>
          <w:kern w:val="0"/>
          <w:sz w:val="24"/>
          <w:szCs w:val="24"/>
        </w:rPr>
        <w:t>3）投标文件中法定代表人和授权代表身份证复印件不齐全的；</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4）投标文件内容未按采购文件规定盖章的；</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5）投标文件内容不全或内容字迹模糊辨认不清的等而导致评标活动无法正常进行；</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6）供应商未按采购文件变更通知更改投标文件的；</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7）未实质性响应采购文件中带“▲”条款要求的投标文件；</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8）</w:t>
      </w:r>
      <w:r>
        <w:rPr>
          <w:rFonts w:ascii="宋体" w:hAnsi="宋体" w:cs="宋体"/>
          <w:snapToGrid w:val="0"/>
          <w:kern w:val="0"/>
          <w:sz w:val="24"/>
          <w:szCs w:val="24"/>
        </w:rPr>
        <w:t>商务条款中投标有效期、交货期、质保期不能满足采购文件要求的；</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9）投标文件附有采购人不能接受的条款；</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10）投标文件中提供了与采购无关的赠品、回扣或者其他商品、服务；</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11）供应商串通投标，妨碍其他供应商的竞争行为，损害采购人或者其他供应商的合法权益；</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12）违反国家及政府部门相关法律、法规、文件规定或经评标委员会认定的其他属于重大偏离。</w:t>
      </w:r>
    </w:p>
    <w:p>
      <w:pPr>
        <w:pStyle w:val="19"/>
        <w:adjustRightInd w:val="0"/>
        <w:snapToGrid w:val="0"/>
        <w:spacing w:line="360" w:lineRule="auto"/>
        <w:ind w:firstLine="457" w:firstLineChars="196"/>
        <w:rPr>
          <w:rFonts w:hint="default" w:hAnsi="宋体" w:cs="宋体"/>
          <w:b/>
          <w:bCs/>
          <w:sz w:val="24"/>
          <w:szCs w:val="24"/>
        </w:rPr>
      </w:pPr>
      <w:r>
        <w:rPr>
          <w:rFonts w:hAnsi="宋体" w:cs="宋体"/>
          <w:b/>
          <w:bCs/>
          <w:sz w:val="24"/>
          <w:szCs w:val="24"/>
        </w:rPr>
        <w:t>2.在报价评审时，如发现下列情形之一的，投标将被视为无效：</w:t>
      </w:r>
    </w:p>
    <w:p>
      <w:pPr>
        <w:adjustRightInd w:val="0"/>
        <w:snapToGrid w:val="0"/>
        <w:spacing w:line="360" w:lineRule="auto"/>
        <w:ind w:firstLine="480" w:firstLineChars="200"/>
        <w:rPr>
          <w:rFonts w:hint="default" w:ascii="宋体" w:hAnsi="宋体" w:cs="宋体"/>
          <w:sz w:val="24"/>
          <w:szCs w:val="24"/>
        </w:rPr>
      </w:pPr>
      <w:r>
        <w:rPr>
          <w:rFonts w:hint="default" w:ascii="宋体" w:hAnsi="宋体" w:cs="宋体"/>
          <w:sz w:val="24"/>
          <w:szCs w:val="24"/>
        </w:rPr>
        <w:t>1）报价文件未按招标文件要求盖章的；</w:t>
      </w:r>
    </w:p>
    <w:p>
      <w:pPr>
        <w:adjustRightInd w:val="0"/>
        <w:snapToGrid w:val="0"/>
        <w:spacing w:line="360" w:lineRule="auto"/>
        <w:ind w:firstLine="480" w:firstLineChars="200"/>
        <w:rPr>
          <w:rFonts w:hint="default" w:ascii="宋体" w:hAnsi="宋体" w:cs="宋体"/>
          <w:sz w:val="24"/>
          <w:szCs w:val="24"/>
        </w:rPr>
      </w:pPr>
      <w:r>
        <w:rPr>
          <w:rFonts w:hint="default" w:ascii="宋体" w:hAnsi="宋体" w:cs="宋体"/>
          <w:sz w:val="24"/>
          <w:szCs w:val="24"/>
        </w:rPr>
        <w:t>2）报价超出最高限价，或者超出采购预算金额；</w:t>
      </w:r>
    </w:p>
    <w:p>
      <w:pPr>
        <w:adjustRightInd w:val="0"/>
        <w:snapToGrid w:val="0"/>
        <w:spacing w:line="360" w:lineRule="auto"/>
        <w:ind w:firstLine="480" w:firstLineChars="200"/>
        <w:rPr>
          <w:rFonts w:hint="default" w:ascii="宋体" w:hAnsi="宋体" w:cs="宋体"/>
          <w:sz w:val="24"/>
          <w:szCs w:val="24"/>
        </w:rPr>
      </w:pPr>
      <w:r>
        <w:rPr>
          <w:rFonts w:hint="default" w:ascii="宋体" w:hAnsi="宋体" w:cs="宋体"/>
          <w:sz w:val="24"/>
          <w:szCs w:val="24"/>
        </w:rPr>
        <w:t>3）投标报价具有选择性的；</w:t>
      </w:r>
    </w:p>
    <w:p>
      <w:pPr>
        <w:adjustRightInd w:val="0"/>
        <w:snapToGrid w:val="0"/>
        <w:spacing w:line="360" w:lineRule="auto"/>
        <w:ind w:firstLine="480" w:firstLineChars="200"/>
        <w:rPr>
          <w:rFonts w:hint="default" w:ascii="宋体" w:hAnsi="宋体" w:cs="宋体"/>
          <w:sz w:val="24"/>
          <w:szCs w:val="24"/>
        </w:rPr>
      </w:pPr>
      <w:r>
        <w:rPr>
          <w:rFonts w:hint="default" w:ascii="宋体" w:hAnsi="宋体" w:cs="宋体"/>
          <w:sz w:val="24"/>
          <w:szCs w:val="24"/>
        </w:rPr>
        <w:t>4）不接受按招标文件规定的修正错误原则修正后的报价的；</w:t>
      </w:r>
    </w:p>
    <w:p>
      <w:pPr>
        <w:adjustRightInd w:val="0"/>
        <w:snapToGrid w:val="0"/>
        <w:spacing w:line="360" w:lineRule="auto"/>
        <w:ind w:firstLine="480" w:firstLineChars="200"/>
        <w:rPr>
          <w:rFonts w:hint="default" w:ascii="宋体" w:hAnsi="宋体" w:cs="宋体"/>
          <w:sz w:val="24"/>
          <w:szCs w:val="24"/>
        </w:rPr>
      </w:pPr>
      <w:r>
        <w:rPr>
          <w:rFonts w:hint="default" w:ascii="宋体" w:hAnsi="宋体" w:cs="宋体"/>
          <w:sz w:val="24"/>
          <w:szCs w:val="24"/>
        </w:rPr>
        <w:t>5）投标人的报价明显低于其他通过符合性审查投标人的报价，有可能影响产品或服务质量或者不能诚信履约，未能按评标委员会要求其在评标现场合理的时间内提供书面说明及相关证明材料以证明其报价合理性的；</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6）投标文件附有采购人不能接受的条款；</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7）投标文件中提供了与采购无关的赠品、回扣或者其他商品、服务；</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8)违反国家及政府部门相关法律、法规、文件规定或经评标委员会认定的其他属于重大偏离</w:t>
      </w:r>
      <w:r>
        <w:rPr>
          <w:rFonts w:hint="default" w:ascii="宋体" w:hAnsi="宋体" w:cs="宋体"/>
          <w:sz w:val="24"/>
          <w:szCs w:val="24"/>
        </w:rPr>
        <w:t>。</w:t>
      </w:r>
    </w:p>
    <w:p>
      <w:pPr>
        <w:spacing w:line="360" w:lineRule="auto"/>
        <w:ind w:firstLine="482" w:firstLineChars="200"/>
        <w:rPr>
          <w:rFonts w:hint="default"/>
          <w:b/>
          <w:sz w:val="24"/>
          <w:szCs w:val="24"/>
        </w:rPr>
      </w:pPr>
    </w:p>
    <w:p>
      <w:pPr>
        <w:spacing w:line="360" w:lineRule="auto"/>
        <w:ind w:firstLine="482" w:firstLineChars="200"/>
        <w:rPr>
          <w:rFonts w:hint="default"/>
          <w:b/>
          <w:sz w:val="24"/>
          <w:szCs w:val="24"/>
        </w:rPr>
      </w:pPr>
      <w:r>
        <w:rPr>
          <w:rFonts w:hint="default"/>
          <w:b/>
          <w:sz w:val="24"/>
          <w:szCs w:val="24"/>
        </w:rPr>
        <w:t>四、评审内容及标准</w:t>
      </w:r>
    </w:p>
    <w:p>
      <w:pPr>
        <w:pStyle w:val="19"/>
        <w:spacing w:line="360" w:lineRule="auto"/>
        <w:ind w:firstLine="300" w:firstLineChars="129"/>
        <w:rPr>
          <w:rFonts w:hint="default" w:ascii="Times New Roman" w:hAnsi="Times New Roman"/>
          <w:b/>
          <w:sz w:val="24"/>
          <w:szCs w:val="24"/>
        </w:rPr>
      </w:pPr>
      <w:r>
        <w:rPr>
          <w:rFonts w:hint="default" w:ascii="Times New Roman" w:hAnsi="Times New Roman"/>
          <w:b/>
          <w:sz w:val="24"/>
          <w:szCs w:val="24"/>
        </w:rPr>
        <w:t>（一）资信商务技术分（</w:t>
      </w:r>
      <w:r>
        <w:rPr>
          <w:rFonts w:ascii="Times New Roman" w:hAnsi="Times New Roman"/>
          <w:b/>
          <w:sz w:val="24"/>
          <w:szCs w:val="24"/>
        </w:rPr>
        <w:t>70</w:t>
      </w:r>
      <w:r>
        <w:rPr>
          <w:rFonts w:hint="default" w:ascii="Times New Roman" w:hAnsi="Times New Roman"/>
          <w:b/>
          <w:sz w:val="24"/>
          <w:szCs w:val="24"/>
        </w:rPr>
        <w:t>分）</w:t>
      </w:r>
    </w:p>
    <w:tbl>
      <w:tblPr>
        <w:tblStyle w:val="42"/>
        <w:tblW w:w="9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8128"/>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s="宋体"/>
                <w:b/>
                <w:bCs/>
                <w:kern w:val="0"/>
                <w:sz w:val="24"/>
                <w:szCs w:val="24"/>
              </w:rPr>
            </w:pPr>
            <w:r>
              <w:rPr>
                <w:rFonts w:ascii="宋体" w:hAnsi="宋体" w:cs="宋体"/>
                <w:b/>
                <w:bCs/>
                <w:kern w:val="0"/>
                <w:sz w:val="24"/>
                <w:szCs w:val="24"/>
              </w:rPr>
              <w:t>序号</w:t>
            </w:r>
          </w:p>
        </w:tc>
        <w:tc>
          <w:tcPr>
            <w:tcW w:w="81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s="宋体"/>
                <w:b/>
                <w:bCs/>
                <w:kern w:val="0"/>
                <w:sz w:val="24"/>
                <w:szCs w:val="24"/>
              </w:rPr>
            </w:pPr>
            <w:r>
              <w:rPr>
                <w:rFonts w:ascii="宋体" w:hAnsi="宋体" w:cs="宋体"/>
                <w:b/>
                <w:bCs/>
                <w:kern w:val="0"/>
                <w:sz w:val="24"/>
                <w:szCs w:val="24"/>
              </w:rPr>
              <w:t>评分依据</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s="宋体"/>
                <w:b/>
                <w:bCs/>
                <w:kern w:val="0"/>
                <w:sz w:val="24"/>
                <w:szCs w:val="24"/>
              </w:rPr>
            </w:pPr>
            <w:r>
              <w:rPr>
                <w:rFonts w:ascii="宋体" w:hAnsi="宋体" w:cs="宋体"/>
                <w:b/>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34" w:type="dxa"/>
            <w:tcBorders>
              <w:left w:val="single" w:color="auto" w:sz="4" w:space="0"/>
              <w:right w:val="single" w:color="auto" w:sz="4" w:space="0"/>
            </w:tcBorders>
            <w:vAlign w:val="center"/>
          </w:tcPr>
          <w:p>
            <w:pPr>
              <w:adjustRightInd w:val="0"/>
              <w:snapToGrid w:val="0"/>
              <w:jc w:val="center"/>
              <w:rPr>
                <w:rFonts w:hint="default" w:ascii="宋体" w:hAnsi="宋体" w:cs="宋体"/>
                <w:bCs/>
                <w:kern w:val="0"/>
                <w:sz w:val="24"/>
                <w:szCs w:val="24"/>
              </w:rPr>
            </w:pPr>
            <w:r>
              <w:rPr>
                <w:rFonts w:ascii="宋体" w:hAnsi="宋体" w:cs="宋体"/>
                <w:bCs/>
                <w:kern w:val="0"/>
                <w:sz w:val="24"/>
                <w:szCs w:val="24"/>
              </w:rPr>
              <w:t>1</w:t>
            </w:r>
          </w:p>
        </w:tc>
        <w:tc>
          <w:tcPr>
            <w:tcW w:w="8128"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beforeLines="0" w:afterLines="0" w:line="240" w:lineRule="auto"/>
              <w:rPr>
                <w:rFonts w:hint="default" w:hAnsi="宋体" w:cs="宋体"/>
              </w:rPr>
            </w:pPr>
            <w:r>
              <w:rPr>
                <w:rFonts w:hAnsi="宋体" w:cs="宋体"/>
              </w:rPr>
              <w:t>2020年1月1日至投标截止时间（以合同签订时间为准），具有核心产品类似项目业绩情况，每提供一个得1分，最高得3分。</w:t>
            </w:r>
          </w:p>
          <w:p>
            <w:pPr>
              <w:adjustRightInd w:val="0"/>
              <w:snapToGrid w:val="0"/>
              <w:rPr>
                <w:rFonts w:hint="default" w:ascii="宋体" w:hAnsi="宋体" w:cs="宋体"/>
                <w:sz w:val="24"/>
                <w:szCs w:val="24"/>
              </w:rPr>
            </w:pPr>
            <w:r>
              <w:rPr>
                <w:rFonts w:ascii="宋体" w:hAnsi="宋体" w:cs="宋体"/>
                <w:sz w:val="24"/>
                <w:szCs w:val="24"/>
              </w:rPr>
              <w:t>（证明材料：合同复印件加盖公章，未提供不得分）</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s="宋体"/>
                <w:bCs/>
                <w:kern w:val="0"/>
                <w:sz w:val="24"/>
                <w:szCs w:val="24"/>
              </w:rPr>
            </w:pPr>
            <w:r>
              <w:rPr>
                <w:rFonts w:ascii="宋体" w:hAnsi="宋体" w:cs="宋体"/>
                <w:bCs/>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34" w:type="dxa"/>
            <w:tcBorders>
              <w:left w:val="single" w:color="auto" w:sz="4" w:space="0"/>
              <w:right w:val="single" w:color="auto" w:sz="4" w:space="0"/>
            </w:tcBorders>
            <w:vAlign w:val="center"/>
          </w:tcPr>
          <w:p>
            <w:pPr>
              <w:pStyle w:val="19"/>
              <w:spacing w:line="240" w:lineRule="auto"/>
              <w:ind w:right="-97" w:rightChars="-46" w:firstLine="0"/>
              <w:jc w:val="center"/>
              <w:rPr>
                <w:rFonts w:hint="default" w:hAnsi="宋体" w:cs="宋体"/>
                <w:bCs/>
                <w:kern w:val="0"/>
                <w:sz w:val="24"/>
                <w:szCs w:val="24"/>
              </w:rPr>
            </w:pPr>
            <w:r>
              <w:rPr>
                <w:rFonts w:hAnsi="宋体" w:cs="宋体"/>
                <w:bCs/>
                <w:kern w:val="0"/>
                <w:sz w:val="24"/>
                <w:szCs w:val="24"/>
              </w:rPr>
              <w:t>2</w:t>
            </w:r>
          </w:p>
        </w:tc>
        <w:tc>
          <w:tcPr>
            <w:tcW w:w="8128"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beforeLines="0" w:afterLines="0" w:line="240" w:lineRule="auto"/>
              <w:rPr>
                <w:rFonts w:hint="default" w:hAnsi="宋体" w:cs="宋体"/>
              </w:rPr>
            </w:pPr>
            <w:r>
              <w:rPr>
                <w:rFonts w:hAnsi="宋体" w:cs="宋体"/>
              </w:rPr>
              <w:t>投标人具有有效的质量管理体系认证证书的得2分，最高得2分。</w:t>
            </w:r>
          </w:p>
          <w:p>
            <w:pPr>
              <w:pStyle w:val="10"/>
              <w:adjustRightInd w:val="0"/>
              <w:snapToGrid w:val="0"/>
              <w:spacing w:beforeLines="0" w:afterLines="0" w:line="240" w:lineRule="auto"/>
              <w:rPr>
                <w:rFonts w:hint="default" w:hAnsi="宋体" w:cs="宋体"/>
              </w:rPr>
            </w:pPr>
            <w:r>
              <w:rPr>
                <w:rFonts w:hAnsi="宋体" w:cs="宋体"/>
              </w:rPr>
              <w:t>证明材料：提供相关证书扫描件加盖公章。</w:t>
            </w:r>
          </w:p>
        </w:tc>
        <w:tc>
          <w:tcPr>
            <w:tcW w:w="82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beforeLines="0" w:afterLines="0" w:line="240" w:lineRule="auto"/>
              <w:jc w:val="center"/>
              <w:rPr>
                <w:rFonts w:hint="default" w:hAnsi="宋体" w:cs="宋体"/>
              </w:rPr>
            </w:pPr>
            <w:r>
              <w:rPr>
                <w:rFonts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34" w:type="dxa"/>
            <w:tcBorders>
              <w:left w:val="single" w:color="auto" w:sz="4" w:space="0"/>
              <w:right w:val="single" w:color="auto" w:sz="4" w:space="0"/>
            </w:tcBorders>
            <w:vAlign w:val="center"/>
          </w:tcPr>
          <w:p>
            <w:pPr>
              <w:jc w:val="center"/>
              <w:rPr>
                <w:rFonts w:hint="default" w:ascii="宋体" w:hAnsi="宋体" w:cs="宋体"/>
                <w:bCs/>
                <w:kern w:val="0"/>
                <w:sz w:val="24"/>
                <w:szCs w:val="24"/>
              </w:rPr>
            </w:pPr>
            <w:r>
              <w:rPr>
                <w:rFonts w:ascii="宋体" w:hAnsi="宋体" w:cs="宋体"/>
                <w:bCs/>
                <w:kern w:val="0"/>
                <w:sz w:val="24"/>
                <w:szCs w:val="24"/>
              </w:rPr>
              <w:t>3</w:t>
            </w:r>
          </w:p>
        </w:tc>
        <w:tc>
          <w:tcPr>
            <w:tcW w:w="8128"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beforeLines="0" w:afterLines="0" w:line="240" w:lineRule="auto"/>
              <w:rPr>
                <w:rFonts w:hint="default" w:hAnsi="宋体" w:cs="宋体"/>
              </w:rPr>
            </w:pPr>
            <w:r>
              <w:rPr>
                <w:rFonts w:hAnsi="宋体" w:cs="宋体"/>
              </w:rPr>
              <w:t>对所投产品是否取得有效的政府采购节能产品情况进行评价（已列入强制要求的除外）。本项目所投产品取得节能产品认证证书的得1分。</w:t>
            </w:r>
          </w:p>
          <w:p>
            <w:pPr>
              <w:pStyle w:val="10"/>
              <w:adjustRightInd w:val="0"/>
              <w:snapToGrid w:val="0"/>
              <w:spacing w:beforeLines="0" w:afterLines="0" w:line="240" w:lineRule="auto"/>
              <w:rPr>
                <w:rFonts w:hint="default" w:hAnsi="宋体" w:cs="宋体"/>
              </w:rPr>
            </w:pPr>
            <w:r>
              <w:rPr>
                <w:rFonts w:hAnsi="宋体" w:cs="宋体"/>
              </w:rPr>
              <w:t>证明材料：认证证书扫描件加盖公章（认证机构须在政府采购节能产品认证机构名录中）</w:t>
            </w:r>
          </w:p>
        </w:tc>
        <w:tc>
          <w:tcPr>
            <w:tcW w:w="82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beforeLines="0" w:afterLines="0" w:line="240" w:lineRule="auto"/>
              <w:jc w:val="center"/>
              <w:rPr>
                <w:rFonts w:hint="default" w:hAnsi="宋体" w:cs="宋体"/>
              </w:rPr>
            </w:pPr>
            <w:r>
              <w:rPr>
                <w:rFonts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34" w:type="dxa"/>
            <w:tcBorders>
              <w:left w:val="single" w:color="auto" w:sz="4" w:space="0"/>
              <w:right w:val="single" w:color="auto" w:sz="4" w:space="0"/>
            </w:tcBorders>
            <w:vAlign w:val="center"/>
          </w:tcPr>
          <w:p>
            <w:pPr>
              <w:adjustRightInd w:val="0"/>
              <w:snapToGrid w:val="0"/>
              <w:jc w:val="center"/>
              <w:rPr>
                <w:rFonts w:hint="default" w:ascii="宋体" w:hAnsi="宋体" w:cs="宋体"/>
                <w:bCs/>
                <w:kern w:val="0"/>
                <w:sz w:val="24"/>
                <w:szCs w:val="24"/>
              </w:rPr>
            </w:pPr>
            <w:r>
              <w:rPr>
                <w:rFonts w:ascii="宋体" w:hAnsi="宋体" w:cs="宋体"/>
                <w:bCs/>
                <w:kern w:val="0"/>
                <w:sz w:val="24"/>
                <w:szCs w:val="24"/>
              </w:rPr>
              <w:t>4</w:t>
            </w:r>
          </w:p>
        </w:tc>
        <w:tc>
          <w:tcPr>
            <w:tcW w:w="8128"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sz w:val="24"/>
                <w:szCs w:val="24"/>
              </w:rPr>
            </w:pPr>
            <w:r>
              <w:rPr>
                <w:rFonts w:ascii="宋体" w:hAnsi="宋体" w:cs="宋体"/>
                <w:sz w:val="24"/>
                <w:szCs w:val="24"/>
              </w:rPr>
              <w:t>供应商对拟签订合同文本中质保、售后、验收、违约责任等条款的响应，提供完全响应证明的得2分，不提供或不完全响应的不得分；</w:t>
            </w:r>
          </w:p>
        </w:tc>
        <w:tc>
          <w:tcPr>
            <w:tcW w:w="82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default" w:ascii="宋体" w:hAnsi="宋体" w:cs="宋体"/>
                <w:sz w:val="24"/>
                <w:szCs w:val="24"/>
              </w:rPr>
            </w:pPr>
            <w:r>
              <w:rPr>
                <w:rFonts w:ascii="宋体" w:hAnsi="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734" w:type="dxa"/>
            <w:tcBorders>
              <w:left w:val="single" w:color="auto" w:sz="4" w:space="0"/>
              <w:right w:val="single" w:color="auto" w:sz="4" w:space="0"/>
            </w:tcBorders>
            <w:vAlign w:val="center"/>
          </w:tcPr>
          <w:p>
            <w:pPr>
              <w:adjustRightInd w:val="0"/>
              <w:snapToGrid w:val="0"/>
              <w:jc w:val="center"/>
              <w:rPr>
                <w:rFonts w:hint="default" w:ascii="宋体" w:hAnsi="宋体" w:cs="宋体"/>
                <w:bCs/>
                <w:kern w:val="0"/>
                <w:sz w:val="24"/>
                <w:szCs w:val="24"/>
              </w:rPr>
            </w:pPr>
            <w:r>
              <w:rPr>
                <w:rFonts w:ascii="宋体" w:hAnsi="宋体" w:cs="宋体"/>
                <w:bCs/>
                <w:kern w:val="0"/>
                <w:sz w:val="24"/>
                <w:szCs w:val="24"/>
              </w:rPr>
              <w:t>5</w:t>
            </w:r>
          </w:p>
        </w:tc>
        <w:tc>
          <w:tcPr>
            <w:tcW w:w="8128" w:type="dxa"/>
            <w:tcBorders>
              <w:top w:val="single" w:color="auto" w:sz="4" w:space="0"/>
              <w:left w:val="single" w:color="auto" w:sz="4" w:space="0"/>
              <w:bottom w:val="single" w:color="auto" w:sz="4" w:space="0"/>
              <w:right w:val="single" w:color="auto" w:sz="4" w:space="0"/>
            </w:tcBorders>
            <w:vAlign w:val="center"/>
          </w:tcPr>
          <w:p>
            <w:pPr>
              <w:pStyle w:val="156"/>
              <w:widowControl w:val="0"/>
              <w:adjustRightInd w:val="0"/>
              <w:snapToGrid w:val="0"/>
              <w:spacing w:before="0" w:beforeAutospacing="0" w:after="0" w:afterAutospacing="0"/>
              <w:jc w:val="both"/>
              <w:rPr>
                <w:rFonts w:hint="default"/>
                <w:kern w:val="2"/>
                <w:szCs w:val="24"/>
              </w:rPr>
            </w:pPr>
            <w:r>
              <w:rPr>
                <w:kern w:val="2"/>
                <w:szCs w:val="24"/>
              </w:rPr>
              <w:t>针对招标文件第四部分采购内容及需求中“</w:t>
            </w:r>
            <w:r>
              <w:rPr>
                <w:szCs w:val="24"/>
              </w:rPr>
              <w:t>采购内</w:t>
            </w:r>
            <w:r>
              <w:rPr>
                <w:kern w:val="2"/>
                <w:szCs w:val="24"/>
              </w:rPr>
              <w:t>容”及“商务要求”，满足全部要求的得18分，低于招标文件要求（负偏离）的，标“★”条款每项扣3分、其余条款每项扣2分，负偏离6项及以上的响应文件无效。</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 w:val="24"/>
                <w:szCs w:val="24"/>
              </w:rPr>
            </w:pPr>
            <w:r>
              <w:rPr>
                <w:rFonts w:ascii="宋体" w:hAnsi="宋体" w:cs="宋体"/>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4" w:type="dxa"/>
            <w:tcBorders>
              <w:left w:val="single" w:color="auto" w:sz="4" w:space="0"/>
              <w:right w:val="single" w:color="auto" w:sz="4" w:space="0"/>
            </w:tcBorders>
            <w:vAlign w:val="center"/>
          </w:tcPr>
          <w:p>
            <w:pPr>
              <w:adjustRightInd w:val="0"/>
              <w:snapToGrid w:val="0"/>
              <w:jc w:val="center"/>
              <w:rPr>
                <w:rFonts w:hint="default" w:ascii="宋体" w:hAnsi="宋体" w:cs="宋体"/>
                <w:bCs/>
                <w:kern w:val="0"/>
                <w:sz w:val="24"/>
                <w:szCs w:val="24"/>
              </w:rPr>
            </w:pPr>
            <w:r>
              <w:rPr>
                <w:rFonts w:ascii="宋体" w:hAnsi="宋体" w:cs="宋体"/>
                <w:bCs/>
                <w:kern w:val="0"/>
                <w:sz w:val="24"/>
                <w:szCs w:val="24"/>
              </w:rPr>
              <w:t>6</w:t>
            </w:r>
          </w:p>
        </w:tc>
        <w:tc>
          <w:tcPr>
            <w:tcW w:w="812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sz w:val="24"/>
                <w:szCs w:val="24"/>
              </w:rPr>
            </w:pPr>
            <w:r>
              <w:rPr>
                <w:rFonts w:ascii="宋体" w:hAnsi="宋体" w:cs="宋体"/>
                <w:sz w:val="24"/>
                <w:szCs w:val="24"/>
              </w:rPr>
              <w:t>投标人所提供产品的主要性能、特点、操作说明和质量水平的描述：</w:t>
            </w:r>
          </w:p>
          <w:p>
            <w:pPr>
              <w:widowControl/>
              <w:jc w:val="left"/>
              <w:rPr>
                <w:rFonts w:hint="default" w:ascii="宋体" w:hAnsi="宋体" w:cs="宋体"/>
                <w:sz w:val="24"/>
                <w:szCs w:val="24"/>
              </w:rPr>
            </w:pPr>
            <w:r>
              <w:rPr>
                <w:rFonts w:ascii="宋体" w:hAnsi="宋体" w:cs="宋体"/>
                <w:sz w:val="24"/>
                <w:szCs w:val="24"/>
              </w:rPr>
              <w:t>1.技术支持资料或证明文件完整、有效，能清晰反映产品的性能特点和质量状况的，得3分；</w:t>
            </w:r>
          </w:p>
          <w:p>
            <w:pPr>
              <w:widowControl/>
              <w:jc w:val="left"/>
              <w:rPr>
                <w:rFonts w:hint="default" w:ascii="宋体" w:hAnsi="宋体" w:cs="宋体"/>
                <w:sz w:val="24"/>
                <w:szCs w:val="24"/>
              </w:rPr>
            </w:pPr>
            <w:r>
              <w:rPr>
                <w:rFonts w:ascii="宋体" w:hAnsi="宋体" w:cs="宋体"/>
                <w:sz w:val="24"/>
                <w:szCs w:val="24"/>
              </w:rPr>
              <w:t>2.所投产品的性能特点、质量水平等描述基本完整的，得2分；</w:t>
            </w:r>
          </w:p>
          <w:p>
            <w:pPr>
              <w:widowControl/>
              <w:jc w:val="left"/>
              <w:rPr>
                <w:rFonts w:hint="default" w:ascii="宋体" w:hAnsi="宋体" w:cs="宋体"/>
                <w:sz w:val="24"/>
                <w:szCs w:val="24"/>
              </w:rPr>
            </w:pPr>
            <w:r>
              <w:rPr>
                <w:rFonts w:ascii="宋体" w:hAnsi="宋体" w:cs="宋体"/>
                <w:sz w:val="24"/>
                <w:szCs w:val="24"/>
              </w:rPr>
              <w:t>3.技术支持资料或证明文件不完整，得1分；</w:t>
            </w:r>
          </w:p>
          <w:p>
            <w:pPr>
              <w:pStyle w:val="156"/>
              <w:widowControl w:val="0"/>
              <w:adjustRightInd w:val="0"/>
              <w:snapToGrid w:val="0"/>
              <w:spacing w:before="0" w:beforeAutospacing="0" w:after="0" w:afterAutospacing="0"/>
              <w:jc w:val="both"/>
              <w:rPr>
                <w:rFonts w:hint="default"/>
                <w:kern w:val="2"/>
                <w:szCs w:val="24"/>
              </w:rPr>
            </w:pPr>
            <w:r>
              <w:rPr>
                <w:szCs w:val="24"/>
              </w:rPr>
              <w:t>4.未提供此项内容不得分。</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 w:val="24"/>
                <w:szCs w:val="24"/>
              </w:rPr>
            </w:pPr>
            <w:r>
              <w:rPr>
                <w:rFonts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34" w:type="dxa"/>
            <w:vAlign w:val="center"/>
          </w:tcPr>
          <w:p>
            <w:pPr>
              <w:adjustRightInd w:val="0"/>
              <w:snapToGrid w:val="0"/>
              <w:jc w:val="center"/>
              <w:rPr>
                <w:rFonts w:hint="default" w:ascii="宋体" w:hAnsi="宋体" w:cs="宋体"/>
                <w:bCs/>
                <w:kern w:val="0"/>
                <w:sz w:val="24"/>
                <w:szCs w:val="24"/>
              </w:rPr>
            </w:pPr>
            <w:r>
              <w:rPr>
                <w:rFonts w:hint="default" w:ascii="宋体" w:hAnsi="宋体" w:cs="宋体"/>
                <w:bCs/>
                <w:kern w:val="0"/>
                <w:sz w:val="24"/>
                <w:szCs w:val="24"/>
              </w:rPr>
              <w:t>7</w:t>
            </w:r>
          </w:p>
        </w:tc>
        <w:tc>
          <w:tcPr>
            <w:tcW w:w="8128" w:type="dxa"/>
            <w:vAlign w:val="center"/>
          </w:tcPr>
          <w:p>
            <w:pPr>
              <w:pStyle w:val="156"/>
              <w:widowControl w:val="0"/>
              <w:adjustRightInd w:val="0"/>
              <w:snapToGrid w:val="0"/>
              <w:spacing w:before="0" w:beforeAutospacing="0" w:after="0" w:afterAutospacing="0"/>
              <w:jc w:val="both"/>
              <w:rPr>
                <w:rFonts w:hint="default"/>
                <w:szCs w:val="24"/>
              </w:rPr>
            </w:pPr>
            <w:r>
              <w:rPr>
                <w:kern w:val="2"/>
                <w:szCs w:val="24"/>
              </w:rPr>
              <w:t>根据投标人提供的项目实施方案进行评价，项目实施方案全面、可行，进度计划合理，项目管理措施科学针对性强，实施计划、项目管理措施等方案各项内容均完整、明确具体，得3分；方案内容相对完整，有一定的可行性，得2分；方案内容基本完整，可行性欠缺，得1分；未提供或不合理的，不得分。</w:t>
            </w:r>
          </w:p>
        </w:tc>
        <w:tc>
          <w:tcPr>
            <w:tcW w:w="825" w:type="dxa"/>
            <w:vAlign w:val="center"/>
          </w:tcPr>
          <w:p>
            <w:pPr>
              <w:jc w:val="center"/>
              <w:rPr>
                <w:rFonts w:hint="default" w:ascii="宋体" w:hAnsi="宋体" w:cs="宋体"/>
                <w:sz w:val="24"/>
                <w:szCs w:val="24"/>
              </w:rPr>
            </w:pPr>
            <w:r>
              <w:rPr>
                <w:rFonts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34" w:type="dxa"/>
            <w:vAlign w:val="center"/>
          </w:tcPr>
          <w:p>
            <w:pPr>
              <w:adjustRightInd w:val="0"/>
              <w:snapToGrid w:val="0"/>
              <w:jc w:val="center"/>
              <w:rPr>
                <w:rFonts w:hint="default" w:ascii="宋体" w:hAnsi="宋体" w:cs="宋体"/>
                <w:bCs/>
                <w:kern w:val="0"/>
                <w:sz w:val="24"/>
                <w:szCs w:val="24"/>
              </w:rPr>
            </w:pPr>
            <w:r>
              <w:rPr>
                <w:rFonts w:hint="default" w:ascii="宋体" w:hAnsi="宋体" w:cs="宋体"/>
                <w:bCs/>
                <w:kern w:val="0"/>
                <w:sz w:val="24"/>
                <w:szCs w:val="24"/>
              </w:rPr>
              <w:t>8</w:t>
            </w:r>
          </w:p>
        </w:tc>
        <w:tc>
          <w:tcPr>
            <w:tcW w:w="8128" w:type="dxa"/>
            <w:vAlign w:val="center"/>
          </w:tcPr>
          <w:p>
            <w:pPr>
              <w:jc w:val="left"/>
              <w:rPr>
                <w:rFonts w:hint="default"/>
                <w:sz w:val="24"/>
                <w:szCs w:val="24"/>
              </w:rPr>
            </w:pPr>
            <w:r>
              <w:rPr>
                <w:b/>
                <w:bCs/>
                <w:sz w:val="24"/>
                <w:szCs w:val="24"/>
              </w:rPr>
              <w:t>演示内容</w:t>
            </w:r>
          </w:p>
          <w:p>
            <w:pPr>
              <w:pStyle w:val="2"/>
              <w:numPr>
                <w:ilvl w:val="0"/>
                <w:numId w:val="5"/>
              </w:numPr>
              <w:ind w:firstLine="0"/>
              <w:rPr>
                <w:rFonts w:hint="default" w:hAnsi="宋体" w:cs="宋体"/>
                <w:sz w:val="24"/>
                <w:szCs w:val="24"/>
                <w:lang w:val="en-US"/>
              </w:rPr>
            </w:pPr>
            <w:r>
              <w:rPr>
                <w:rFonts w:hAnsi="宋体" w:cs="宋体"/>
                <w:sz w:val="24"/>
                <w:szCs w:val="24"/>
                <w:lang w:val="en-US"/>
              </w:rPr>
              <w:t>针对MES生产信息化管理系统软件，平台主要分为MAIN、WMS、MES、QMS、手机端五大功能模块。投标文件中提供以上5个模块功能菜单视频演示（每个模块功能各1分）；</w:t>
            </w:r>
          </w:p>
          <w:p>
            <w:pPr>
              <w:pStyle w:val="2"/>
              <w:numPr>
                <w:ilvl w:val="0"/>
                <w:numId w:val="5"/>
              </w:numPr>
              <w:ind w:firstLine="0"/>
              <w:rPr>
                <w:rFonts w:hint="default" w:hAnsi="宋体" w:cs="宋体"/>
                <w:sz w:val="24"/>
                <w:szCs w:val="24"/>
                <w:lang w:val="en-US"/>
              </w:rPr>
            </w:pPr>
            <w:r>
              <w:rPr>
                <w:rFonts w:hAnsi="宋体" w:cs="宋体"/>
                <w:sz w:val="24"/>
                <w:szCs w:val="24"/>
                <w:lang w:val="en-US"/>
              </w:rPr>
              <w:t>针对三维工业自动化设计软件，投标时对软件的同步建模技术功能提供视频演示（3分）；</w:t>
            </w:r>
          </w:p>
          <w:p>
            <w:pPr>
              <w:pStyle w:val="2"/>
              <w:numPr>
                <w:ilvl w:val="0"/>
                <w:numId w:val="5"/>
              </w:numPr>
              <w:ind w:firstLine="0"/>
              <w:rPr>
                <w:rFonts w:hint="default" w:hAnsi="宋体" w:cs="宋体"/>
                <w:sz w:val="24"/>
                <w:szCs w:val="24"/>
                <w:lang w:val="en-US"/>
              </w:rPr>
            </w:pPr>
            <w:r>
              <w:rPr>
                <w:rFonts w:hAnsi="宋体" w:cs="宋体"/>
                <w:sz w:val="24"/>
                <w:szCs w:val="24"/>
                <w:lang w:val="en-US"/>
              </w:rPr>
              <w:t>针对数字孪生系统软件，投标时对智能仓储单元的孪生功能进行出入库仿真视频演示：提供仓储系统进行孪生演示（1分），出库仿真演示（1.5分），入库仿真演示（1.5分）。</w:t>
            </w:r>
          </w:p>
          <w:p>
            <w:pPr>
              <w:pStyle w:val="156"/>
              <w:widowControl w:val="0"/>
              <w:adjustRightInd w:val="0"/>
              <w:snapToGrid w:val="0"/>
              <w:spacing w:before="0" w:beforeAutospacing="0" w:after="0" w:afterAutospacing="0"/>
              <w:jc w:val="both"/>
              <w:rPr>
                <w:rFonts w:hint="default"/>
                <w:kern w:val="2"/>
                <w:szCs w:val="24"/>
              </w:rPr>
            </w:pPr>
            <w:r>
              <w:rPr>
                <w:rFonts w:cs="Times New Roman"/>
                <w:b/>
                <w:bCs/>
                <w:szCs w:val="21"/>
              </w:rPr>
              <w:t>▲</w:t>
            </w:r>
            <w:r>
              <w:rPr>
                <w:b/>
                <w:bCs/>
              </w:rPr>
              <w:t>演示环境必须是真实的软件使用</w:t>
            </w:r>
            <w:r>
              <w:rPr>
                <w:rFonts w:hint="default"/>
                <w:b/>
                <w:bCs/>
              </w:rPr>
              <w:t>/运行环境，不允许PPT、静态页面等不成熟环境演示，否则视为投标无效</w:t>
            </w:r>
            <w:r>
              <w:rPr>
                <w:b/>
                <w:bCs/>
              </w:rPr>
              <w:t>；</w:t>
            </w:r>
            <w:r>
              <w:rPr>
                <w:rFonts w:hint="default"/>
                <w:b/>
                <w:bCs/>
              </w:rPr>
              <w:t>未提供演示的投标无效</w:t>
            </w:r>
            <w:r>
              <w:t>。</w:t>
            </w:r>
          </w:p>
        </w:tc>
        <w:tc>
          <w:tcPr>
            <w:tcW w:w="825" w:type="dxa"/>
            <w:vAlign w:val="center"/>
          </w:tcPr>
          <w:p>
            <w:pPr>
              <w:jc w:val="center"/>
              <w:rPr>
                <w:rFonts w:hint="default" w:ascii="宋体" w:hAnsi="宋体" w:cs="宋体"/>
                <w:sz w:val="24"/>
                <w:szCs w:val="24"/>
              </w:rPr>
            </w:pPr>
            <w:r>
              <w:rPr>
                <w:rFonts w:ascii="宋体" w:hAnsi="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34" w:type="dxa"/>
            <w:vAlign w:val="center"/>
          </w:tcPr>
          <w:p>
            <w:pPr>
              <w:adjustRightInd w:val="0"/>
              <w:snapToGrid w:val="0"/>
              <w:jc w:val="center"/>
              <w:rPr>
                <w:rFonts w:hint="default" w:ascii="宋体" w:hAnsi="宋体" w:cs="宋体"/>
                <w:bCs/>
                <w:kern w:val="0"/>
                <w:sz w:val="24"/>
                <w:szCs w:val="24"/>
              </w:rPr>
            </w:pPr>
            <w:r>
              <w:rPr>
                <w:rFonts w:hint="default" w:ascii="宋体" w:hAnsi="宋体" w:cs="宋体"/>
                <w:bCs/>
                <w:kern w:val="0"/>
                <w:sz w:val="24"/>
                <w:szCs w:val="24"/>
              </w:rPr>
              <w:t>9</w:t>
            </w:r>
          </w:p>
        </w:tc>
        <w:tc>
          <w:tcPr>
            <w:tcW w:w="8128" w:type="dxa"/>
            <w:vAlign w:val="center"/>
          </w:tcPr>
          <w:p>
            <w:pPr>
              <w:rPr>
                <w:rFonts w:hint="default" w:ascii="宋体" w:hAnsi="宋体" w:cs="宋体"/>
                <w:sz w:val="24"/>
                <w:szCs w:val="24"/>
              </w:rPr>
            </w:pPr>
            <w:r>
              <w:rPr>
                <w:rFonts w:ascii="宋体" w:hAnsi="宋体" w:cs="宋体"/>
                <w:sz w:val="24"/>
                <w:szCs w:val="24"/>
              </w:rPr>
              <w:t>拟投入本次项目的项目负责人工作履历、技术能力、类似项目经验等：（提供履历表和相关资料、证书）</w:t>
            </w:r>
          </w:p>
          <w:p>
            <w:pPr>
              <w:rPr>
                <w:rFonts w:hint="default" w:ascii="宋体" w:hAnsi="宋体" w:cs="宋体"/>
                <w:sz w:val="24"/>
                <w:szCs w:val="24"/>
              </w:rPr>
            </w:pPr>
            <w:r>
              <w:rPr>
                <w:rFonts w:ascii="宋体" w:hAnsi="宋体" w:cs="宋体"/>
                <w:sz w:val="24"/>
                <w:szCs w:val="24"/>
              </w:rPr>
              <w:t>1、项目负责人学历情况，1分；</w:t>
            </w:r>
          </w:p>
          <w:p>
            <w:pPr>
              <w:rPr>
                <w:rFonts w:hint="default" w:ascii="宋体" w:hAnsi="宋体" w:cs="宋体"/>
                <w:sz w:val="24"/>
                <w:szCs w:val="24"/>
              </w:rPr>
            </w:pPr>
            <w:r>
              <w:rPr>
                <w:rFonts w:ascii="宋体" w:hAnsi="宋体" w:cs="宋体"/>
                <w:sz w:val="24"/>
                <w:szCs w:val="24"/>
              </w:rPr>
              <w:t>2、项目负责人技术能力、经验情况；1分。</w:t>
            </w:r>
          </w:p>
          <w:p>
            <w:pPr>
              <w:rPr>
                <w:rFonts w:hint="default" w:ascii="宋体" w:hAnsi="宋体" w:cs="宋体"/>
                <w:sz w:val="24"/>
                <w:szCs w:val="24"/>
              </w:rPr>
            </w:pPr>
            <w:r>
              <w:rPr>
                <w:rFonts w:ascii="宋体" w:hAnsi="宋体" w:cs="宋体"/>
                <w:sz w:val="24"/>
                <w:szCs w:val="24"/>
              </w:rPr>
              <w:t>最近1个月投标单位社保证明，不提供不得分</w:t>
            </w:r>
          </w:p>
        </w:tc>
        <w:tc>
          <w:tcPr>
            <w:tcW w:w="825" w:type="dxa"/>
            <w:vAlign w:val="center"/>
          </w:tcPr>
          <w:p>
            <w:pPr>
              <w:jc w:val="center"/>
              <w:rPr>
                <w:rFonts w:hint="default" w:ascii="宋体" w:hAnsi="宋体" w:cs="宋体"/>
                <w:sz w:val="24"/>
                <w:szCs w:val="24"/>
              </w:rPr>
            </w:pPr>
            <w:r>
              <w:rPr>
                <w:rFonts w:ascii="宋体" w:hAnsi="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34" w:type="dxa"/>
            <w:vAlign w:val="center"/>
          </w:tcPr>
          <w:p>
            <w:pPr>
              <w:adjustRightInd w:val="0"/>
              <w:snapToGrid w:val="0"/>
              <w:jc w:val="center"/>
              <w:rPr>
                <w:rFonts w:hint="default" w:ascii="宋体" w:hAnsi="宋体" w:cs="宋体"/>
                <w:bCs/>
                <w:kern w:val="0"/>
                <w:sz w:val="24"/>
                <w:szCs w:val="24"/>
              </w:rPr>
            </w:pPr>
            <w:r>
              <w:rPr>
                <w:rFonts w:hint="default" w:ascii="宋体" w:hAnsi="宋体" w:cs="宋体"/>
                <w:bCs/>
                <w:kern w:val="0"/>
                <w:sz w:val="24"/>
                <w:szCs w:val="24"/>
              </w:rPr>
              <w:t>10</w:t>
            </w:r>
          </w:p>
        </w:tc>
        <w:tc>
          <w:tcPr>
            <w:tcW w:w="8128" w:type="dxa"/>
            <w:vAlign w:val="center"/>
          </w:tcPr>
          <w:p>
            <w:pPr>
              <w:rPr>
                <w:rFonts w:hint="default" w:ascii="宋体" w:hAnsi="宋体" w:cs="宋体"/>
                <w:sz w:val="24"/>
                <w:szCs w:val="24"/>
              </w:rPr>
            </w:pPr>
            <w:r>
              <w:rPr>
                <w:rFonts w:ascii="宋体" w:hAnsi="宋体" w:cs="宋体"/>
                <w:sz w:val="24"/>
                <w:szCs w:val="24"/>
              </w:rPr>
              <w:t>拟投入本项目的项目团队（除项目负责人）整体能力情况（各人员工作履历、学历、技术能力等情况介绍）及人员配置合理性等：（提供履历表和相关资料、证书）</w:t>
            </w:r>
          </w:p>
          <w:p>
            <w:pPr>
              <w:rPr>
                <w:rFonts w:hint="default" w:ascii="宋体" w:hAnsi="宋体" w:cs="宋体"/>
                <w:sz w:val="24"/>
                <w:szCs w:val="24"/>
              </w:rPr>
            </w:pPr>
            <w:r>
              <w:rPr>
                <w:rFonts w:ascii="宋体" w:hAnsi="宋体" w:cs="宋体"/>
                <w:sz w:val="24"/>
                <w:szCs w:val="24"/>
              </w:rPr>
              <w:t>1、团队配置合理性，1分；</w:t>
            </w:r>
          </w:p>
          <w:p>
            <w:pPr>
              <w:rPr>
                <w:rFonts w:hint="default" w:ascii="宋体" w:hAnsi="宋体" w:cs="宋体"/>
                <w:sz w:val="24"/>
                <w:szCs w:val="24"/>
              </w:rPr>
            </w:pPr>
            <w:r>
              <w:rPr>
                <w:rFonts w:ascii="宋体" w:hAnsi="宋体" w:cs="宋体"/>
                <w:sz w:val="24"/>
                <w:szCs w:val="24"/>
              </w:rPr>
              <w:t>2、团队总体学历水平，1分；</w:t>
            </w:r>
          </w:p>
          <w:p>
            <w:pPr>
              <w:rPr>
                <w:rFonts w:hint="default" w:ascii="宋体" w:hAnsi="宋体" w:cs="宋体"/>
                <w:sz w:val="24"/>
                <w:szCs w:val="24"/>
              </w:rPr>
            </w:pPr>
            <w:r>
              <w:rPr>
                <w:rFonts w:ascii="宋体" w:hAnsi="宋体" w:cs="宋体"/>
                <w:sz w:val="24"/>
                <w:szCs w:val="24"/>
              </w:rPr>
              <w:t>3、团队专业技术能力、经验等情况，1分。</w:t>
            </w:r>
          </w:p>
          <w:p>
            <w:pPr>
              <w:rPr>
                <w:rFonts w:hint="default" w:ascii="宋体" w:hAnsi="宋体" w:cs="宋体"/>
                <w:sz w:val="24"/>
                <w:szCs w:val="24"/>
              </w:rPr>
            </w:pPr>
            <w:r>
              <w:rPr>
                <w:rFonts w:ascii="宋体" w:hAnsi="宋体" w:cs="宋体"/>
                <w:sz w:val="24"/>
                <w:szCs w:val="24"/>
              </w:rPr>
              <w:t>最近1个月投标单位社保证明，不提供不得分</w:t>
            </w:r>
          </w:p>
        </w:tc>
        <w:tc>
          <w:tcPr>
            <w:tcW w:w="825" w:type="dxa"/>
            <w:vAlign w:val="center"/>
          </w:tcPr>
          <w:p>
            <w:pPr>
              <w:jc w:val="center"/>
              <w:rPr>
                <w:rFonts w:hint="default" w:ascii="宋体" w:hAnsi="宋体" w:cs="宋体"/>
                <w:sz w:val="24"/>
                <w:szCs w:val="24"/>
              </w:rPr>
            </w:pPr>
            <w:r>
              <w:rPr>
                <w:rFonts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34" w:type="dxa"/>
            <w:vAlign w:val="center"/>
          </w:tcPr>
          <w:p>
            <w:pPr>
              <w:adjustRightInd w:val="0"/>
              <w:snapToGrid w:val="0"/>
              <w:jc w:val="center"/>
              <w:rPr>
                <w:rFonts w:hint="default" w:ascii="宋体" w:hAnsi="宋体" w:cs="宋体"/>
                <w:bCs/>
                <w:kern w:val="0"/>
                <w:sz w:val="24"/>
                <w:szCs w:val="24"/>
              </w:rPr>
            </w:pPr>
            <w:r>
              <w:rPr>
                <w:rFonts w:hint="default" w:ascii="宋体" w:hAnsi="宋体" w:cs="宋体"/>
                <w:bCs/>
                <w:kern w:val="0"/>
                <w:sz w:val="24"/>
                <w:szCs w:val="24"/>
              </w:rPr>
              <w:t>11</w:t>
            </w:r>
          </w:p>
        </w:tc>
        <w:tc>
          <w:tcPr>
            <w:tcW w:w="8128" w:type="dxa"/>
            <w:vAlign w:val="center"/>
          </w:tcPr>
          <w:p>
            <w:pPr>
              <w:rPr>
                <w:rFonts w:hint="default" w:ascii="宋体" w:hAnsi="宋体" w:cs="宋体"/>
                <w:sz w:val="24"/>
                <w:szCs w:val="24"/>
              </w:rPr>
            </w:pPr>
            <w:r>
              <w:rPr>
                <w:rFonts w:ascii="宋体" w:hAnsi="宋体" w:cs="宋体"/>
                <w:sz w:val="24"/>
                <w:szCs w:val="24"/>
              </w:rPr>
              <w:t>投标人须承诺项目建设全过程中无版权、知识产权问题，（需提供承诺函，承诺函格式自拟，未提供承诺函不得分）</w:t>
            </w:r>
          </w:p>
        </w:tc>
        <w:tc>
          <w:tcPr>
            <w:tcW w:w="825" w:type="dxa"/>
            <w:vAlign w:val="center"/>
          </w:tcPr>
          <w:p>
            <w:pPr>
              <w:jc w:val="center"/>
              <w:rPr>
                <w:rFonts w:hint="default" w:ascii="宋体" w:hAnsi="宋体" w:cs="宋体"/>
                <w:sz w:val="24"/>
                <w:szCs w:val="24"/>
              </w:rPr>
            </w:pPr>
            <w:r>
              <w:rPr>
                <w:rFonts w:ascii="宋体" w:hAnsi="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734" w:type="dxa"/>
            <w:vAlign w:val="center"/>
          </w:tcPr>
          <w:p>
            <w:pPr>
              <w:adjustRightInd w:val="0"/>
              <w:snapToGrid w:val="0"/>
              <w:jc w:val="center"/>
              <w:rPr>
                <w:rFonts w:hint="default" w:ascii="宋体" w:hAnsi="宋体" w:cs="宋体"/>
                <w:bCs/>
                <w:kern w:val="0"/>
                <w:sz w:val="24"/>
                <w:szCs w:val="24"/>
              </w:rPr>
            </w:pPr>
            <w:r>
              <w:rPr>
                <w:rFonts w:hint="default" w:ascii="宋体" w:hAnsi="宋体" w:cs="宋体"/>
                <w:bCs/>
                <w:kern w:val="0"/>
                <w:sz w:val="24"/>
                <w:szCs w:val="24"/>
              </w:rPr>
              <w:t>12</w:t>
            </w:r>
          </w:p>
        </w:tc>
        <w:tc>
          <w:tcPr>
            <w:tcW w:w="8128" w:type="dxa"/>
            <w:vAlign w:val="center"/>
          </w:tcPr>
          <w:p>
            <w:pPr>
              <w:pStyle w:val="156"/>
              <w:widowControl w:val="0"/>
              <w:adjustRightInd w:val="0"/>
              <w:snapToGrid w:val="0"/>
              <w:spacing w:before="0" w:beforeAutospacing="0" w:after="0" w:afterAutospacing="0"/>
              <w:jc w:val="both"/>
              <w:rPr>
                <w:rFonts w:hint="default"/>
                <w:kern w:val="2"/>
                <w:szCs w:val="24"/>
              </w:rPr>
            </w:pPr>
            <w:r>
              <w:rPr>
                <w:kern w:val="2"/>
                <w:szCs w:val="24"/>
              </w:rPr>
              <w:t>根据供应商提供的针对本项目的验收管理方案的合理性和适应性进行打分，验收管理方案内容完整且与项目匹配度高的得3分；方案内容基本完整且与项目有一定匹配度得2分；方案内容基本完整但与项目匹配度欠缺的得1分；方案内容缺失严重或与项目不匹配的不得分。</w:t>
            </w:r>
          </w:p>
        </w:tc>
        <w:tc>
          <w:tcPr>
            <w:tcW w:w="825" w:type="dxa"/>
            <w:vAlign w:val="center"/>
          </w:tcPr>
          <w:p>
            <w:pPr>
              <w:jc w:val="center"/>
              <w:rPr>
                <w:rFonts w:hint="default" w:ascii="宋体" w:hAnsi="宋体" w:cs="宋体"/>
                <w:sz w:val="24"/>
                <w:szCs w:val="24"/>
              </w:rPr>
            </w:pPr>
            <w:r>
              <w:rPr>
                <w:rFonts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34" w:type="dxa"/>
            <w:vAlign w:val="center"/>
          </w:tcPr>
          <w:p>
            <w:pPr>
              <w:adjustRightInd w:val="0"/>
              <w:snapToGrid w:val="0"/>
              <w:jc w:val="center"/>
              <w:rPr>
                <w:rFonts w:hint="default" w:ascii="宋体" w:hAnsi="宋体" w:cs="宋体"/>
                <w:bCs/>
                <w:kern w:val="0"/>
                <w:sz w:val="24"/>
                <w:szCs w:val="24"/>
              </w:rPr>
            </w:pPr>
            <w:r>
              <w:rPr>
                <w:rFonts w:hint="default" w:ascii="宋体" w:hAnsi="宋体" w:cs="宋体"/>
                <w:bCs/>
                <w:kern w:val="0"/>
                <w:sz w:val="24"/>
                <w:szCs w:val="24"/>
              </w:rPr>
              <w:t>13</w:t>
            </w:r>
          </w:p>
        </w:tc>
        <w:tc>
          <w:tcPr>
            <w:tcW w:w="8128" w:type="dxa"/>
            <w:vAlign w:val="center"/>
          </w:tcPr>
          <w:p>
            <w:pPr>
              <w:rPr>
                <w:rFonts w:hint="default" w:ascii="宋体" w:hAnsi="宋体" w:cs="宋体"/>
                <w:sz w:val="24"/>
                <w:szCs w:val="24"/>
              </w:rPr>
            </w:pPr>
            <w:r>
              <w:rPr>
                <w:rFonts w:ascii="宋体" w:hAnsi="宋体" w:cs="宋体"/>
                <w:sz w:val="24"/>
                <w:szCs w:val="24"/>
              </w:rPr>
              <w:t>项目实施进度计划</w:t>
            </w:r>
            <w:r>
              <w:rPr>
                <w:rFonts w:hint="default" w:ascii="宋体" w:hAnsi="宋体" w:cs="宋体"/>
                <w:sz w:val="24"/>
                <w:szCs w:val="24"/>
              </w:rPr>
              <w:t>（包括供货、安装调试等进度内容）</w:t>
            </w:r>
            <w:r>
              <w:rPr>
                <w:rFonts w:ascii="宋体" w:hAnsi="宋体" w:cs="宋体"/>
                <w:sz w:val="24"/>
                <w:szCs w:val="24"/>
              </w:rPr>
              <w:t>。进度计划编制合理且总体进度符合要求与项目匹配度高的得3分；计划内容基本完整且与项目有一定匹配度的得2分；；计划内容存在欠缺或与项目匹配度欠缺的得1分；计划内容缺失严重或与项目不匹配的不得分。</w:t>
            </w:r>
          </w:p>
        </w:tc>
        <w:tc>
          <w:tcPr>
            <w:tcW w:w="825" w:type="dxa"/>
            <w:vAlign w:val="center"/>
          </w:tcPr>
          <w:p>
            <w:pPr>
              <w:jc w:val="center"/>
              <w:rPr>
                <w:rFonts w:hint="default" w:ascii="宋体" w:hAnsi="宋体" w:cs="宋体"/>
                <w:sz w:val="24"/>
                <w:szCs w:val="24"/>
              </w:rPr>
            </w:pPr>
            <w:r>
              <w:rPr>
                <w:rFonts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34" w:type="dxa"/>
            <w:vAlign w:val="center"/>
          </w:tcPr>
          <w:p>
            <w:pPr>
              <w:adjustRightInd w:val="0"/>
              <w:snapToGrid w:val="0"/>
              <w:jc w:val="center"/>
              <w:rPr>
                <w:rFonts w:hint="default" w:ascii="宋体" w:hAnsi="宋体" w:cs="宋体"/>
                <w:bCs/>
                <w:kern w:val="0"/>
                <w:sz w:val="24"/>
                <w:szCs w:val="24"/>
              </w:rPr>
            </w:pPr>
            <w:r>
              <w:rPr>
                <w:rFonts w:hint="default" w:ascii="宋体" w:hAnsi="宋体" w:cs="宋体"/>
                <w:bCs/>
                <w:kern w:val="0"/>
                <w:sz w:val="24"/>
                <w:szCs w:val="24"/>
              </w:rPr>
              <w:t>14</w:t>
            </w:r>
          </w:p>
        </w:tc>
        <w:tc>
          <w:tcPr>
            <w:tcW w:w="8128" w:type="dxa"/>
            <w:vAlign w:val="center"/>
          </w:tcPr>
          <w:p>
            <w:pPr>
              <w:rPr>
                <w:rFonts w:hint="default" w:ascii="宋体" w:hAnsi="宋体" w:cs="宋体"/>
                <w:sz w:val="24"/>
                <w:szCs w:val="24"/>
              </w:rPr>
            </w:pPr>
            <w:r>
              <w:rPr>
                <w:rFonts w:ascii="宋体" w:hAnsi="宋体" w:cs="宋体"/>
                <w:sz w:val="24"/>
                <w:szCs w:val="24"/>
              </w:rPr>
              <w:t>培训服务方案。培训内容、时间、授课师资等内容完整且与项目匹配度进行评分；培训服务方案内容完整且与项目匹配度高的得3分；方案内容基本完整且与项目有一定匹配度的得2分；方案内容存在欠缺或与项目匹配度欠缺的得1分；方案内容缺失严重或与项目不匹配的不得分。</w:t>
            </w:r>
          </w:p>
        </w:tc>
        <w:tc>
          <w:tcPr>
            <w:tcW w:w="825" w:type="dxa"/>
            <w:vAlign w:val="center"/>
          </w:tcPr>
          <w:p>
            <w:pPr>
              <w:jc w:val="center"/>
              <w:rPr>
                <w:rFonts w:hint="default" w:ascii="宋体" w:hAnsi="宋体" w:cs="宋体"/>
                <w:sz w:val="24"/>
                <w:szCs w:val="24"/>
              </w:rPr>
            </w:pPr>
            <w:r>
              <w:rPr>
                <w:rFonts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2" w:hRule="atLeast"/>
        </w:trPr>
        <w:tc>
          <w:tcPr>
            <w:tcW w:w="734" w:type="dxa"/>
            <w:vAlign w:val="center"/>
          </w:tcPr>
          <w:p>
            <w:pPr>
              <w:adjustRightInd w:val="0"/>
              <w:snapToGrid w:val="0"/>
              <w:jc w:val="center"/>
              <w:rPr>
                <w:rFonts w:hint="default" w:ascii="宋体" w:hAnsi="宋体" w:cs="宋体"/>
                <w:bCs/>
                <w:kern w:val="0"/>
                <w:sz w:val="24"/>
                <w:szCs w:val="24"/>
              </w:rPr>
            </w:pPr>
            <w:r>
              <w:rPr>
                <w:rFonts w:hint="default" w:ascii="宋体" w:hAnsi="宋体" w:cs="宋体"/>
                <w:bCs/>
                <w:kern w:val="0"/>
                <w:sz w:val="24"/>
                <w:szCs w:val="24"/>
              </w:rPr>
              <w:t>15</w:t>
            </w:r>
          </w:p>
        </w:tc>
        <w:tc>
          <w:tcPr>
            <w:tcW w:w="8128" w:type="dxa"/>
            <w:vAlign w:val="center"/>
          </w:tcPr>
          <w:p>
            <w:pPr>
              <w:rPr>
                <w:rFonts w:hint="default" w:ascii="宋体" w:hAnsi="宋体" w:cs="宋体"/>
                <w:sz w:val="24"/>
                <w:szCs w:val="24"/>
              </w:rPr>
            </w:pPr>
            <w:r>
              <w:rPr>
                <w:rFonts w:ascii="宋体" w:hAnsi="宋体" w:cs="宋体"/>
                <w:sz w:val="24"/>
                <w:szCs w:val="24"/>
              </w:rPr>
              <w:t>因各种原因造成的故障等重大事件时，即时给出响应，1小时内到现场处理并解决的2分，1-2小时内到现场处理并解决的1.5分，3-4小时内到现场处理并解决的1分，4小时以上不得分（需提供承诺函，承诺函格式自拟未提供不得分）</w:t>
            </w:r>
          </w:p>
        </w:tc>
        <w:tc>
          <w:tcPr>
            <w:tcW w:w="825" w:type="dxa"/>
            <w:vAlign w:val="center"/>
          </w:tcPr>
          <w:p>
            <w:pPr>
              <w:jc w:val="center"/>
              <w:rPr>
                <w:rFonts w:hint="default" w:ascii="宋体" w:hAnsi="宋体" w:cs="宋体"/>
                <w:sz w:val="24"/>
                <w:szCs w:val="24"/>
              </w:rPr>
            </w:pPr>
            <w:r>
              <w:rPr>
                <w:rFonts w:ascii="宋体" w:hAnsi="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4" w:type="dxa"/>
            <w:vAlign w:val="center"/>
          </w:tcPr>
          <w:p>
            <w:pPr>
              <w:adjustRightInd w:val="0"/>
              <w:snapToGrid w:val="0"/>
              <w:jc w:val="center"/>
              <w:rPr>
                <w:rFonts w:hint="default" w:ascii="宋体" w:hAnsi="宋体" w:cs="宋体"/>
                <w:bCs/>
                <w:kern w:val="0"/>
                <w:sz w:val="24"/>
                <w:szCs w:val="24"/>
              </w:rPr>
            </w:pPr>
            <w:r>
              <w:rPr>
                <w:rFonts w:hint="default" w:ascii="宋体" w:hAnsi="宋体" w:cs="宋体"/>
                <w:bCs/>
                <w:kern w:val="0"/>
                <w:sz w:val="24"/>
                <w:szCs w:val="24"/>
              </w:rPr>
              <w:t>16</w:t>
            </w:r>
          </w:p>
        </w:tc>
        <w:tc>
          <w:tcPr>
            <w:tcW w:w="8128" w:type="dxa"/>
            <w:vAlign w:val="center"/>
          </w:tcPr>
          <w:p>
            <w:pPr>
              <w:rPr>
                <w:rFonts w:hint="default" w:ascii="宋体" w:hAnsi="宋体" w:cs="宋体"/>
                <w:sz w:val="24"/>
                <w:szCs w:val="24"/>
              </w:rPr>
            </w:pPr>
            <w:r>
              <w:rPr>
                <w:rFonts w:ascii="宋体" w:hAnsi="宋体" w:cs="宋体"/>
                <w:sz w:val="24"/>
                <w:szCs w:val="24"/>
              </w:rPr>
              <w:t>投标人提供的售后服务方案（包括但不限于日常运维服务方案、产品升级服务方案）、售后服务响应情况的可行性、完整性以及服务落实的保障措施、售后服务的实现方式的科学性、先进性，</w:t>
            </w:r>
          </w:p>
          <w:p>
            <w:pPr>
              <w:rPr>
                <w:rFonts w:hint="default" w:ascii="宋体" w:hAnsi="宋体" w:cs="宋体"/>
                <w:sz w:val="24"/>
                <w:szCs w:val="24"/>
              </w:rPr>
            </w:pPr>
            <w:r>
              <w:rPr>
                <w:rFonts w:ascii="宋体" w:hAnsi="宋体" w:cs="宋体"/>
                <w:sz w:val="24"/>
                <w:szCs w:val="24"/>
              </w:rPr>
              <w:t>要点内容完整、完全满足采购需求，对采购人有利的得 3分；部分满足采购需求、有一定可行性的得2分；部分满足采购需求、可行性欠缺的得1分；只提供了简单的售后服务方案，与项目关联性不大的得0.5分，未提供不得分。</w:t>
            </w:r>
          </w:p>
        </w:tc>
        <w:tc>
          <w:tcPr>
            <w:tcW w:w="825" w:type="dxa"/>
            <w:vAlign w:val="center"/>
          </w:tcPr>
          <w:p>
            <w:pPr>
              <w:ind w:firstLine="240" w:firstLineChars="100"/>
              <w:rPr>
                <w:rFonts w:hint="default" w:ascii="宋体" w:hAnsi="宋体" w:cs="宋体"/>
                <w:sz w:val="24"/>
                <w:szCs w:val="24"/>
              </w:rPr>
            </w:pPr>
            <w:r>
              <w:rPr>
                <w:rFonts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4" w:type="dxa"/>
            <w:vAlign w:val="center"/>
          </w:tcPr>
          <w:p>
            <w:pPr>
              <w:adjustRightInd w:val="0"/>
              <w:snapToGrid w:val="0"/>
              <w:jc w:val="center"/>
              <w:rPr>
                <w:rFonts w:hint="default" w:ascii="宋体" w:hAnsi="宋体" w:cs="宋体"/>
                <w:bCs/>
                <w:kern w:val="0"/>
                <w:sz w:val="24"/>
                <w:szCs w:val="24"/>
              </w:rPr>
            </w:pPr>
            <w:r>
              <w:rPr>
                <w:rFonts w:hint="default" w:ascii="宋体" w:hAnsi="宋体" w:cs="宋体"/>
                <w:bCs/>
                <w:kern w:val="0"/>
                <w:sz w:val="24"/>
                <w:szCs w:val="24"/>
              </w:rPr>
              <w:t>17</w:t>
            </w:r>
          </w:p>
        </w:tc>
        <w:tc>
          <w:tcPr>
            <w:tcW w:w="8128" w:type="dxa"/>
            <w:vAlign w:val="center"/>
          </w:tcPr>
          <w:p>
            <w:pPr>
              <w:rPr>
                <w:rFonts w:hint="default" w:ascii="宋体" w:hAnsi="宋体" w:cs="宋体"/>
                <w:sz w:val="24"/>
                <w:szCs w:val="24"/>
              </w:rPr>
            </w:pPr>
            <w:r>
              <w:rPr>
                <w:rFonts w:ascii="宋体" w:hAnsi="宋体" w:cs="宋体"/>
                <w:sz w:val="24"/>
                <w:szCs w:val="24"/>
              </w:rPr>
              <w:t>配件、附件、备品备件的准备和保障措施、购买折扣和优惠承诺。</w:t>
            </w:r>
          </w:p>
          <w:p>
            <w:pPr>
              <w:rPr>
                <w:rFonts w:hint="default" w:ascii="宋体" w:hAnsi="宋体" w:cs="宋体"/>
                <w:sz w:val="24"/>
                <w:szCs w:val="24"/>
              </w:rPr>
            </w:pPr>
            <w:r>
              <w:rPr>
                <w:rFonts w:ascii="宋体" w:hAnsi="宋体" w:cs="宋体"/>
                <w:sz w:val="24"/>
                <w:szCs w:val="24"/>
              </w:rPr>
              <w:t>准备和保障措施充足、折扣和优惠承诺大的得2分；准备和保障措施一般、折扣和优惠承诺一般的得1分；准备和保障措施不充足、无折扣和优惠承诺的得0分。</w:t>
            </w:r>
          </w:p>
        </w:tc>
        <w:tc>
          <w:tcPr>
            <w:tcW w:w="825" w:type="dxa"/>
            <w:vAlign w:val="center"/>
          </w:tcPr>
          <w:p>
            <w:pPr>
              <w:ind w:firstLine="240" w:firstLineChars="100"/>
              <w:rPr>
                <w:rFonts w:hint="default" w:ascii="宋体" w:hAnsi="宋体" w:cs="宋体"/>
                <w:sz w:val="24"/>
                <w:szCs w:val="24"/>
              </w:rPr>
            </w:pPr>
            <w:r>
              <w:rPr>
                <w:rFonts w:ascii="宋体" w:hAnsi="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34" w:type="dxa"/>
            <w:vAlign w:val="center"/>
          </w:tcPr>
          <w:p>
            <w:pPr>
              <w:adjustRightInd w:val="0"/>
              <w:snapToGrid w:val="0"/>
              <w:jc w:val="center"/>
              <w:rPr>
                <w:rFonts w:hint="default" w:ascii="宋体" w:hAnsi="宋体" w:cs="宋体"/>
                <w:bCs/>
                <w:kern w:val="0"/>
                <w:sz w:val="24"/>
                <w:szCs w:val="24"/>
              </w:rPr>
            </w:pPr>
            <w:r>
              <w:rPr>
                <w:rFonts w:hint="default" w:ascii="宋体" w:hAnsi="宋体" w:cs="宋体"/>
                <w:bCs/>
                <w:kern w:val="0"/>
                <w:sz w:val="24"/>
                <w:szCs w:val="24"/>
              </w:rPr>
              <w:t>18</w:t>
            </w:r>
          </w:p>
        </w:tc>
        <w:tc>
          <w:tcPr>
            <w:tcW w:w="8128" w:type="dxa"/>
            <w:vAlign w:val="center"/>
          </w:tcPr>
          <w:p>
            <w:pPr>
              <w:rPr>
                <w:rFonts w:hint="default" w:ascii="宋体" w:hAnsi="宋体" w:cs="宋体"/>
                <w:sz w:val="24"/>
                <w:szCs w:val="24"/>
              </w:rPr>
            </w:pPr>
            <w:r>
              <w:rPr>
                <w:rFonts w:ascii="宋体" w:hAnsi="宋体" w:cs="宋体"/>
                <w:sz w:val="24"/>
                <w:szCs w:val="24"/>
              </w:rPr>
              <w:t>质保期在满足采购文件最低需求的基础上每延长一年（所有设备均延长）加1分，最多加3分，延长时间不足一年的不加分。</w:t>
            </w:r>
          </w:p>
        </w:tc>
        <w:tc>
          <w:tcPr>
            <w:tcW w:w="825" w:type="dxa"/>
            <w:vAlign w:val="center"/>
          </w:tcPr>
          <w:p>
            <w:pPr>
              <w:ind w:firstLine="240" w:firstLineChars="100"/>
              <w:rPr>
                <w:rFonts w:hint="default" w:ascii="宋体" w:hAnsi="宋体" w:cs="宋体"/>
                <w:sz w:val="24"/>
                <w:szCs w:val="24"/>
              </w:rPr>
            </w:pPr>
            <w:r>
              <w:rPr>
                <w:rFonts w:ascii="宋体" w:hAnsi="宋体" w:cs="宋体"/>
                <w:sz w:val="24"/>
                <w:szCs w:val="24"/>
              </w:rPr>
              <w:t>3</w:t>
            </w:r>
          </w:p>
        </w:tc>
      </w:tr>
    </w:tbl>
    <w:p>
      <w:pPr>
        <w:rPr>
          <w:rFonts w:hint="default"/>
          <w:sz w:val="24"/>
          <w:szCs w:val="24"/>
        </w:rPr>
      </w:pPr>
    </w:p>
    <w:p>
      <w:pPr>
        <w:pStyle w:val="19"/>
        <w:adjustRightInd w:val="0"/>
        <w:snapToGrid w:val="0"/>
        <w:spacing w:line="360" w:lineRule="auto"/>
        <w:ind w:firstLine="466" w:firstLineChars="200"/>
        <w:rPr>
          <w:rFonts w:hint="default" w:ascii="Times New Roman" w:hAnsi="Times New Roman"/>
          <w:b/>
          <w:bCs/>
          <w:sz w:val="24"/>
        </w:rPr>
      </w:pPr>
      <w:r>
        <w:rPr>
          <w:rFonts w:hint="default" w:ascii="Times New Roman" w:hAnsi="Times New Roman"/>
          <w:b/>
          <w:sz w:val="24"/>
        </w:rPr>
        <w:t>（二）</w:t>
      </w:r>
      <w:r>
        <w:rPr>
          <w:rFonts w:hint="default" w:ascii="Times New Roman" w:hAnsi="Times New Roman"/>
          <w:b/>
          <w:bCs/>
          <w:sz w:val="24"/>
        </w:rPr>
        <w:t>价格分（</w:t>
      </w:r>
      <w:r>
        <w:rPr>
          <w:rFonts w:hint="default" w:ascii="Times New Roman" w:hAnsi="Times New Roman"/>
          <w:b/>
          <w:bCs/>
          <w:sz w:val="24"/>
          <w:u w:val="single"/>
        </w:rPr>
        <w:t>3</w:t>
      </w:r>
      <w:r>
        <w:rPr>
          <w:rFonts w:ascii="Times New Roman" w:hAnsi="Times New Roman"/>
          <w:b/>
          <w:bCs/>
          <w:sz w:val="24"/>
          <w:u w:val="single"/>
        </w:rPr>
        <w:t>0</w:t>
      </w:r>
      <w:r>
        <w:rPr>
          <w:rFonts w:hint="default" w:ascii="Times New Roman" w:hAnsi="Times New Roman"/>
          <w:b/>
          <w:bCs/>
          <w:sz w:val="24"/>
        </w:rPr>
        <w:t>分）</w:t>
      </w:r>
    </w:p>
    <w:p>
      <w:pPr>
        <w:pStyle w:val="19"/>
        <w:adjustRightInd w:val="0"/>
        <w:snapToGrid w:val="0"/>
        <w:spacing w:line="360" w:lineRule="auto"/>
        <w:ind w:firstLine="464" w:firstLineChars="200"/>
        <w:rPr>
          <w:rFonts w:hint="default" w:ascii="Times New Roman" w:hAnsi="Times New Roman"/>
          <w:bCs/>
          <w:sz w:val="24"/>
          <w:szCs w:val="24"/>
        </w:rPr>
      </w:pPr>
      <w:r>
        <w:rPr>
          <w:rFonts w:hint="default" w:ascii="Times New Roman" w:hAnsi="Times New Roman"/>
          <w:bCs/>
          <w:sz w:val="24"/>
        </w:rPr>
        <w:t>价格分</w:t>
      </w:r>
      <w:r>
        <w:rPr>
          <w:rFonts w:hint="default" w:ascii="Times New Roman" w:hAnsi="Times New Roman"/>
          <w:bCs/>
          <w:sz w:val="24"/>
          <w:szCs w:val="24"/>
        </w:rPr>
        <w:t>采用低价优先法计算，即满足招标文件要求且投标价格最低的投标报价为评标基准价，其价格分为满分。其他投标人的价格分按照下列公式计算：</w:t>
      </w:r>
    </w:p>
    <w:p>
      <w:pPr>
        <w:adjustRightInd w:val="0"/>
        <w:snapToGrid w:val="0"/>
        <w:spacing w:line="360" w:lineRule="auto"/>
        <w:ind w:firstLine="470" w:firstLineChars="196"/>
        <w:rPr>
          <w:rFonts w:hint="default"/>
        </w:rPr>
      </w:pPr>
      <w:r>
        <w:rPr>
          <w:rFonts w:hint="default"/>
          <w:sz w:val="24"/>
        </w:rPr>
        <w:t>价格分=（评标基准价/投标报价）×</w:t>
      </w:r>
      <w:r>
        <w:rPr>
          <w:sz w:val="24"/>
          <w:u w:val="single"/>
        </w:rPr>
        <w:t>30</w:t>
      </w:r>
      <w:r>
        <w:rPr>
          <w:rFonts w:hint="default"/>
          <w:sz w:val="24"/>
        </w:rPr>
        <w:t>%×100</w:t>
      </w:r>
    </w:p>
    <w:p>
      <w:pPr>
        <w:autoSpaceDE w:val="0"/>
        <w:autoSpaceDN w:val="0"/>
        <w:adjustRightInd w:val="0"/>
        <w:snapToGrid w:val="0"/>
        <w:spacing w:line="360" w:lineRule="auto"/>
        <w:ind w:firstLine="482"/>
        <w:rPr>
          <w:rFonts w:hint="default" w:ascii="宋体" w:hAnsi="宋体" w:cs="宋体"/>
          <w:b/>
          <w:spacing w:val="-4"/>
        </w:rPr>
      </w:pPr>
      <w:r>
        <w:rPr>
          <w:rFonts w:ascii="宋体" w:cs="仿宋_GB2312"/>
          <w:b/>
          <w:bCs/>
          <w:sz w:val="24"/>
          <w:lang w:val="zh-CN"/>
        </w:rPr>
        <w:t>落实政府采购政策说明：本项目面向中小企业采购，不进行价格扣除或价格分加分。</w:t>
      </w:r>
    </w:p>
    <w:p>
      <w:pPr>
        <w:spacing w:line="360" w:lineRule="auto"/>
        <w:ind w:firstLine="482" w:firstLineChars="200"/>
        <w:rPr>
          <w:rFonts w:hint="default"/>
          <w:b/>
          <w:sz w:val="24"/>
          <w:szCs w:val="24"/>
        </w:rPr>
      </w:pPr>
      <w:r>
        <w:rPr>
          <w:b/>
          <w:sz w:val="24"/>
          <w:szCs w:val="24"/>
        </w:rPr>
        <w:t>五</w:t>
      </w:r>
      <w:r>
        <w:rPr>
          <w:rFonts w:hint="default"/>
          <w:b/>
          <w:sz w:val="24"/>
          <w:szCs w:val="24"/>
        </w:rPr>
        <w:t>、询标</w:t>
      </w:r>
    </w:p>
    <w:p>
      <w:pPr>
        <w:pStyle w:val="19"/>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对投标文件中存在含义不清楚的内容，必要时评标委员会要求</w:t>
      </w:r>
      <w:r>
        <w:rPr>
          <w:rFonts w:ascii="Times New Roman" w:hAnsi="Times New Roman"/>
          <w:bCs/>
          <w:sz w:val="24"/>
        </w:rPr>
        <w:t>供应商</w:t>
      </w:r>
      <w:r>
        <w:rPr>
          <w:rFonts w:hint="default" w:ascii="Times New Roman" w:hAnsi="Times New Roman"/>
          <w:bCs/>
          <w:sz w:val="24"/>
        </w:rPr>
        <w:t>作必要的澄清、说明或补正。询标记录需</w:t>
      </w:r>
      <w:r>
        <w:rPr>
          <w:rFonts w:ascii="Times New Roman" w:hAnsi="Times New Roman"/>
          <w:bCs/>
          <w:sz w:val="24"/>
        </w:rPr>
        <w:t>供应商</w:t>
      </w:r>
      <w:r>
        <w:rPr>
          <w:rFonts w:hint="default" w:ascii="Times New Roman" w:hAnsi="Times New Roman"/>
          <w:bCs/>
          <w:sz w:val="24"/>
        </w:rPr>
        <w:t>授权代表签字确认</w:t>
      </w:r>
      <w:r>
        <w:rPr>
          <w:rFonts w:ascii="Times New Roman" w:hAnsi="Times New Roman"/>
          <w:bCs/>
          <w:sz w:val="24"/>
        </w:rPr>
        <w:t>或供应商盖章确认</w:t>
      </w:r>
      <w:r>
        <w:rPr>
          <w:rFonts w:hint="default" w:ascii="Times New Roman" w:hAnsi="Times New Roman"/>
          <w:bCs/>
          <w:sz w:val="24"/>
        </w:rPr>
        <w:t>，它将作为投标文件的一部分。</w:t>
      </w:r>
    </w:p>
    <w:p>
      <w:pPr>
        <w:spacing w:line="360" w:lineRule="auto"/>
        <w:ind w:firstLine="482" w:firstLineChars="200"/>
        <w:rPr>
          <w:rFonts w:hint="default"/>
          <w:b/>
          <w:sz w:val="24"/>
          <w:szCs w:val="24"/>
        </w:rPr>
      </w:pPr>
      <w:r>
        <w:rPr>
          <w:b/>
          <w:sz w:val="24"/>
          <w:szCs w:val="24"/>
        </w:rPr>
        <w:t>六、修改评标结果</w:t>
      </w:r>
    </w:p>
    <w:p>
      <w:pPr>
        <w:pStyle w:val="19"/>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评标结果汇总完成后，除下列情形外，任何人不得修改评标结果：</w:t>
      </w:r>
    </w:p>
    <w:p>
      <w:pPr>
        <w:pStyle w:val="19"/>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（一）分值汇总计算错误的</w:t>
      </w:r>
    </w:p>
    <w:p>
      <w:pPr>
        <w:pStyle w:val="19"/>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（二）分项评分超出评分标准范围的；</w:t>
      </w:r>
    </w:p>
    <w:p>
      <w:pPr>
        <w:pStyle w:val="19"/>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（三）评标委员会成员对客观评审因素评分不一致的；</w:t>
      </w:r>
    </w:p>
    <w:p>
      <w:pPr>
        <w:pStyle w:val="19"/>
        <w:adjustRightInd w:val="0"/>
        <w:snapToGrid w:val="0"/>
        <w:spacing w:line="360" w:lineRule="auto"/>
        <w:ind w:firstLine="464" w:firstLineChars="200"/>
        <w:rPr>
          <w:rFonts w:hint="default" w:ascii="Times New Roman" w:hAnsi="Times New Roman"/>
          <w:bCs/>
          <w:sz w:val="24"/>
        </w:rPr>
        <w:sectPr>
          <w:headerReference r:id="rId8" w:type="default"/>
          <w:footerReference r:id="rId9" w:type="default"/>
          <w:pgSz w:w="11906" w:h="16838"/>
          <w:pgMar w:top="1134" w:right="1247" w:bottom="1247" w:left="1304" w:header="794" w:footer="794" w:gutter="0"/>
          <w:cols w:space="720" w:num="1"/>
          <w:docGrid w:linePitch="312" w:charSpace="0"/>
        </w:sectPr>
      </w:pPr>
      <w:r>
        <w:rPr>
          <w:rFonts w:hint="default" w:ascii="Times New Roman" w:hAnsi="Times New Roman"/>
          <w:bCs/>
          <w:sz w:val="24"/>
        </w:rPr>
        <w:t>（四）经评标委员会认定评分畸高、畸低的。</w:t>
      </w:r>
    </w:p>
    <w:p>
      <w:pPr>
        <w:pStyle w:val="10"/>
        <w:snapToGrid w:val="0"/>
        <w:spacing w:before="120" w:after="120" w:line="360" w:lineRule="auto"/>
        <w:jc w:val="center"/>
        <w:outlineLvl w:val="0"/>
        <w:rPr>
          <w:rFonts w:hint="default" w:ascii="Times New Roman" w:hAnsi="Times New Roman"/>
          <w:b/>
          <w:sz w:val="36"/>
          <w:szCs w:val="36"/>
        </w:rPr>
      </w:pPr>
      <w:bookmarkStart w:id="59" w:name="_Toc5663"/>
      <w:r>
        <w:rPr>
          <w:rFonts w:hint="default" w:ascii="Times New Roman" w:hAnsi="Times New Roman"/>
          <w:b/>
          <w:sz w:val="36"/>
          <w:szCs w:val="36"/>
        </w:rPr>
        <w:t>第四章  采购内容及需求</w:t>
      </w:r>
      <w:bookmarkEnd w:id="59"/>
    </w:p>
    <w:p>
      <w:pPr>
        <w:pStyle w:val="10"/>
        <w:snapToGrid w:val="0"/>
        <w:spacing w:before="120" w:after="120" w:line="360" w:lineRule="auto"/>
        <w:ind w:firstLine="482" w:firstLineChars="200"/>
        <w:outlineLvl w:val="0"/>
        <w:rPr>
          <w:rFonts w:hint="default" w:ascii="Times New Roman" w:hAnsi="Times New Roman"/>
          <w:b/>
          <w:bCs/>
          <w:szCs w:val="24"/>
        </w:rPr>
      </w:pPr>
      <w:bookmarkStart w:id="60" w:name="_Toc11776"/>
      <w:r>
        <w:rPr>
          <w:rFonts w:ascii="Times New Roman" w:hAnsi="Times New Roman"/>
          <w:b/>
          <w:szCs w:val="24"/>
        </w:rPr>
        <w:t>一、技术参数要求</w:t>
      </w:r>
      <w:bookmarkEnd w:id="60"/>
    </w:p>
    <w:tbl>
      <w:tblPr>
        <w:tblStyle w:val="42"/>
        <w:tblW w:w="49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791"/>
        <w:gridCol w:w="4299"/>
        <w:gridCol w:w="540"/>
        <w:gridCol w:w="710"/>
        <w:gridCol w:w="101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327" w:type="pct"/>
            <w:vAlign w:val="center"/>
          </w:tcPr>
          <w:p>
            <w:pPr>
              <w:jc w:val="center"/>
              <w:rPr>
                <w:rFonts w:hint="default"/>
                <w:b/>
                <w:szCs w:val="21"/>
              </w:rPr>
            </w:pPr>
            <w:r>
              <w:rPr>
                <w:b/>
                <w:szCs w:val="21"/>
              </w:rPr>
              <w:t>序号</w:t>
            </w:r>
          </w:p>
        </w:tc>
        <w:tc>
          <w:tcPr>
            <w:tcW w:w="418" w:type="pct"/>
            <w:vAlign w:val="center"/>
          </w:tcPr>
          <w:p>
            <w:pPr>
              <w:jc w:val="center"/>
              <w:rPr>
                <w:rFonts w:hint="default"/>
                <w:b/>
                <w:szCs w:val="21"/>
              </w:rPr>
            </w:pPr>
            <w:r>
              <w:rPr>
                <w:b/>
                <w:szCs w:val="21"/>
              </w:rPr>
              <w:t>货物名称</w:t>
            </w:r>
          </w:p>
        </w:tc>
        <w:tc>
          <w:tcPr>
            <w:tcW w:w="2275" w:type="pct"/>
            <w:vAlign w:val="center"/>
          </w:tcPr>
          <w:p>
            <w:pPr>
              <w:jc w:val="center"/>
              <w:rPr>
                <w:rFonts w:hint="default"/>
                <w:b/>
                <w:szCs w:val="21"/>
              </w:rPr>
            </w:pPr>
            <w:r>
              <w:rPr>
                <w:b/>
                <w:szCs w:val="21"/>
              </w:rPr>
              <w:t>规格型号、技术参数</w:t>
            </w:r>
          </w:p>
          <w:p>
            <w:pPr>
              <w:jc w:val="center"/>
              <w:rPr>
                <w:rFonts w:hint="default"/>
                <w:b/>
                <w:szCs w:val="21"/>
              </w:rPr>
            </w:pPr>
            <w:r>
              <w:rPr>
                <w:b/>
                <w:szCs w:val="21"/>
              </w:rPr>
              <w:t>（需具体详细）</w:t>
            </w:r>
          </w:p>
        </w:tc>
        <w:tc>
          <w:tcPr>
            <w:tcW w:w="286" w:type="pct"/>
            <w:vAlign w:val="center"/>
          </w:tcPr>
          <w:p>
            <w:pPr>
              <w:jc w:val="center"/>
              <w:rPr>
                <w:rFonts w:hint="default"/>
                <w:b/>
                <w:szCs w:val="21"/>
              </w:rPr>
            </w:pPr>
            <w:r>
              <w:rPr>
                <w:b/>
                <w:szCs w:val="21"/>
              </w:rPr>
              <w:t>数量</w:t>
            </w:r>
          </w:p>
        </w:tc>
        <w:tc>
          <w:tcPr>
            <w:tcW w:w="376" w:type="pct"/>
            <w:vAlign w:val="center"/>
          </w:tcPr>
          <w:p>
            <w:pPr>
              <w:jc w:val="center"/>
              <w:rPr>
                <w:rFonts w:hint="default"/>
                <w:b/>
                <w:szCs w:val="21"/>
              </w:rPr>
            </w:pPr>
            <w:r>
              <w:rPr>
                <w:b/>
                <w:szCs w:val="21"/>
              </w:rPr>
              <w:t>单位</w:t>
            </w:r>
          </w:p>
        </w:tc>
        <w:tc>
          <w:tcPr>
            <w:tcW w:w="539" w:type="pct"/>
            <w:vAlign w:val="center"/>
          </w:tcPr>
          <w:p>
            <w:pPr>
              <w:jc w:val="center"/>
              <w:rPr>
                <w:rFonts w:hint="default"/>
                <w:b/>
                <w:szCs w:val="21"/>
              </w:rPr>
            </w:pPr>
            <w:r>
              <w:rPr>
                <w:b/>
                <w:szCs w:val="21"/>
              </w:rPr>
              <w:t>所属行业</w:t>
            </w:r>
          </w:p>
        </w:tc>
        <w:tc>
          <w:tcPr>
            <w:tcW w:w="776" w:type="pct"/>
            <w:vAlign w:val="center"/>
          </w:tcPr>
          <w:p>
            <w:pPr>
              <w:jc w:val="center"/>
              <w:rPr>
                <w:rFonts w:hint="default"/>
                <w:b/>
                <w:szCs w:val="21"/>
              </w:rPr>
            </w:pPr>
            <w:r>
              <w:rPr>
                <w:b/>
                <w:szCs w:val="21"/>
              </w:rPr>
              <w:t>备注</w:t>
            </w:r>
          </w:p>
          <w:p>
            <w:pPr>
              <w:jc w:val="center"/>
              <w:rPr>
                <w:rFonts w:hint="default"/>
                <w:szCs w:val="21"/>
              </w:rPr>
            </w:pPr>
            <w:r>
              <w:rPr>
                <w:b/>
                <w:szCs w:val="21"/>
              </w:rPr>
              <w:t>（存放位置:实训室名称、楼栋房间号）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327" w:type="pct"/>
            <w:vAlign w:val="center"/>
          </w:tcPr>
          <w:p>
            <w:pPr>
              <w:jc w:val="center"/>
              <w:rPr>
                <w:rFonts w:hint="default"/>
                <w:b/>
                <w:szCs w:val="21"/>
              </w:rPr>
            </w:pPr>
            <w:r>
              <w:rPr>
                <w:sz w:val="24"/>
                <w:szCs w:val="24"/>
              </w:rPr>
              <w:t>一</w:t>
            </w:r>
          </w:p>
        </w:tc>
        <w:tc>
          <w:tcPr>
            <w:tcW w:w="4672" w:type="pct"/>
            <w:gridSpan w:val="6"/>
            <w:vAlign w:val="center"/>
          </w:tcPr>
          <w:p>
            <w:pPr>
              <w:jc w:val="center"/>
              <w:rPr>
                <w:rFonts w:hint="default"/>
                <w:b/>
                <w:szCs w:val="21"/>
              </w:rPr>
            </w:pPr>
            <w:r>
              <w:rPr>
                <w:kern w:val="0"/>
                <w:sz w:val="24"/>
                <w:szCs w:val="24"/>
              </w:rPr>
              <w:t>数字化制造单元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300" w:lineRule="auto"/>
              <w:jc w:val="center"/>
              <w:rPr>
                <w:rFonts w:hint="default"/>
                <w:sz w:val="24"/>
                <w:szCs w:val="24"/>
              </w:rPr>
            </w:pPr>
            <w:r>
              <w:rPr>
                <w:sz w:val="24"/>
                <w:szCs w:val="24"/>
              </w:rPr>
              <w:t>1</w:t>
            </w:r>
          </w:p>
        </w:tc>
        <w:tc>
          <w:tcPr>
            <w:tcW w:w="418" w:type="pct"/>
            <w:vAlign w:val="center"/>
          </w:tcPr>
          <w:p>
            <w:pPr>
              <w:widowControl/>
              <w:rPr>
                <w:rFonts w:hint="default"/>
                <w:szCs w:val="21"/>
              </w:rPr>
            </w:pPr>
            <w:r>
              <w:rPr>
                <w:szCs w:val="21"/>
              </w:rPr>
              <w:t>1.1智能仓储单元</w:t>
            </w:r>
          </w:p>
        </w:tc>
        <w:tc>
          <w:tcPr>
            <w:tcW w:w="2275" w:type="pct"/>
            <w:vAlign w:val="center"/>
          </w:tcPr>
          <w:p>
            <w:pPr>
              <w:rPr>
                <w:rFonts w:hint="default"/>
              </w:rPr>
            </w:pPr>
          </w:p>
          <w:p>
            <w:pPr>
              <w:widowControl/>
              <w:jc w:val="left"/>
              <w:rPr>
                <w:rFonts w:hint="default"/>
                <w:szCs w:val="21"/>
              </w:rPr>
            </w:pPr>
            <w:r>
              <w:rPr>
                <w:szCs w:val="21"/>
              </w:rPr>
              <w:t>技术参数：</w:t>
            </w:r>
          </w:p>
          <w:p>
            <w:pPr>
              <w:widowControl/>
              <w:ind w:firstLine="210" w:firstLineChars="100"/>
              <w:jc w:val="left"/>
              <w:rPr>
                <w:rFonts w:hint="default"/>
                <w:szCs w:val="21"/>
              </w:rPr>
            </w:pPr>
            <w:r>
              <w:rPr>
                <w:szCs w:val="21"/>
              </w:rPr>
              <w:t>智能仓储单元包含立体库的储货架、巷道式堆垛机、出入库输送线、传感器、控制器、人机交互界面等，仓储货架分为成品区、原料区等部分。</w:t>
            </w:r>
          </w:p>
          <w:p>
            <w:pPr>
              <w:widowControl/>
              <w:jc w:val="left"/>
              <w:rPr>
                <w:rFonts w:hint="default"/>
                <w:szCs w:val="21"/>
              </w:rPr>
            </w:pPr>
            <w:r>
              <w:rPr>
                <w:szCs w:val="21"/>
              </w:rPr>
              <w:t>1、仓储货架：由框架、横梁、连接件等基本部件组成，采用工业优质铝合金材料。双排组合货架≥60个货位。约长×宽×高: 1850mm×1060mm×1910mm。</w:t>
            </w:r>
          </w:p>
          <w:p>
            <w:pPr>
              <w:widowControl/>
              <w:jc w:val="left"/>
              <w:rPr>
                <w:rFonts w:hint="default"/>
                <w:szCs w:val="21"/>
              </w:rPr>
            </w:pPr>
            <w:r>
              <w:rPr>
                <w:szCs w:val="21"/>
              </w:rPr>
              <w:t>2、巷道式堆垛机：由横移伺服电机、升降伺服电机和货叉电机及定位系统等组成,采用高精度系列伺服系统，配置行星减速机构及工业模组，三维运动，运动时平稳、具备高速度、低噪音特性。定位精度不超过：±2mm，可做进库、出库、盘库等复合动作，载荷重量：≥5kg，操作方式：手动操作/联机操作。</w:t>
            </w:r>
          </w:p>
          <w:p>
            <w:pPr>
              <w:widowControl/>
              <w:jc w:val="left"/>
              <w:rPr>
                <w:rFonts w:hint="default"/>
                <w:szCs w:val="21"/>
              </w:rPr>
            </w:pPr>
            <w:r>
              <w:rPr>
                <w:szCs w:val="21"/>
              </w:rPr>
              <w:t>3、PLC控制器DC/DC/DC：数字量输入≥14DI,输出≥10DO,带有以太网接口。脉冲输出频率≥100KHz;</w:t>
            </w:r>
          </w:p>
          <w:p>
            <w:pPr>
              <w:widowControl/>
              <w:jc w:val="left"/>
              <w:rPr>
                <w:rFonts w:hint="default"/>
                <w:szCs w:val="21"/>
              </w:rPr>
            </w:pPr>
            <w:r>
              <w:rPr>
                <w:szCs w:val="21"/>
              </w:rPr>
              <w:t>4、PLC扩展模块：数字量输入≥8DI,输出≥8DO。</w:t>
            </w:r>
          </w:p>
          <w:p>
            <w:pPr>
              <w:widowControl/>
              <w:jc w:val="left"/>
              <w:rPr>
                <w:rFonts w:hint="default"/>
                <w:szCs w:val="21"/>
              </w:rPr>
            </w:pPr>
            <w:r>
              <w:rPr>
                <w:szCs w:val="21"/>
              </w:rPr>
              <w:t>5、人机交互界面：≥7寸触摸屏,工业以太网接口，显示颜色≥262K，内存≥128M。</w:t>
            </w:r>
          </w:p>
          <w:p>
            <w:pPr>
              <w:widowControl/>
              <w:jc w:val="left"/>
              <w:rPr>
                <w:rFonts w:hint="default"/>
                <w:szCs w:val="21"/>
              </w:rPr>
            </w:pPr>
            <w:r>
              <w:rPr>
                <w:szCs w:val="21"/>
              </w:rPr>
              <w:t>6、RFID读写器 工作频率:13.56MHZ；读取距离：0-120mm；写入距离：0-100mm；工业通讯协议：Modbus TCP，配POE适配器。</w:t>
            </w:r>
          </w:p>
          <w:p>
            <w:pPr>
              <w:widowControl/>
              <w:jc w:val="left"/>
              <w:rPr>
                <w:rFonts w:hint="default"/>
                <w:szCs w:val="21"/>
              </w:rPr>
            </w:pPr>
            <w:r>
              <w:rPr>
                <w:szCs w:val="21"/>
              </w:rPr>
              <w:t>7、工业交换机 工业级，≥8口。</w:t>
            </w:r>
          </w:p>
        </w:tc>
        <w:tc>
          <w:tcPr>
            <w:tcW w:w="286" w:type="pct"/>
            <w:vAlign w:val="center"/>
          </w:tcPr>
          <w:p>
            <w:pPr>
              <w:spacing w:line="300" w:lineRule="auto"/>
              <w:jc w:val="center"/>
              <w:rPr>
                <w:rFonts w:hint="default"/>
                <w:szCs w:val="21"/>
              </w:rPr>
            </w:pPr>
            <w:r>
              <w:rPr>
                <w:szCs w:val="21"/>
              </w:rPr>
              <w:t>2</w:t>
            </w:r>
          </w:p>
        </w:tc>
        <w:tc>
          <w:tcPr>
            <w:tcW w:w="376" w:type="pct"/>
            <w:vAlign w:val="center"/>
          </w:tcPr>
          <w:p>
            <w:pPr>
              <w:spacing w:line="300" w:lineRule="auto"/>
              <w:jc w:val="center"/>
              <w:rPr>
                <w:rFonts w:hint="default"/>
                <w:szCs w:val="21"/>
              </w:rPr>
            </w:pPr>
            <w:r>
              <w:rPr>
                <w:szCs w:val="21"/>
              </w:rPr>
              <w:t>套</w:t>
            </w:r>
          </w:p>
        </w:tc>
        <w:tc>
          <w:tcPr>
            <w:tcW w:w="539" w:type="pct"/>
            <w:vAlign w:val="center"/>
          </w:tcPr>
          <w:p>
            <w:pPr>
              <w:spacing w:line="300" w:lineRule="auto"/>
              <w:jc w:val="center"/>
              <w:rPr>
                <w:rFonts w:hint="default"/>
                <w:szCs w:val="21"/>
              </w:rPr>
            </w:pPr>
            <w:r>
              <w:rPr>
                <w:szCs w:val="21"/>
              </w:rPr>
              <w:t>工业</w:t>
            </w:r>
          </w:p>
        </w:tc>
        <w:tc>
          <w:tcPr>
            <w:tcW w:w="776" w:type="pct"/>
            <w:vAlign w:val="center"/>
          </w:tcPr>
          <w:p>
            <w:pPr>
              <w:spacing w:line="300" w:lineRule="auto"/>
              <w:jc w:val="center"/>
              <w:rPr>
                <w:rFonts w:hint="default"/>
                <w:szCs w:val="21"/>
              </w:rPr>
            </w:pPr>
            <w:r>
              <w:rPr>
                <w:szCs w:val="21"/>
              </w:rPr>
              <w:t>海宁校区16号楼一楼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300" w:lineRule="auto"/>
              <w:jc w:val="center"/>
              <w:rPr>
                <w:rFonts w:hint="default"/>
                <w:sz w:val="24"/>
                <w:szCs w:val="24"/>
              </w:rPr>
            </w:pPr>
            <w:r>
              <w:rPr>
                <w:sz w:val="24"/>
                <w:szCs w:val="24"/>
              </w:rPr>
              <w:t>2</w:t>
            </w:r>
          </w:p>
        </w:tc>
        <w:tc>
          <w:tcPr>
            <w:tcW w:w="418" w:type="pct"/>
            <w:vAlign w:val="center"/>
          </w:tcPr>
          <w:p>
            <w:pPr>
              <w:pStyle w:val="96"/>
              <w:rPr>
                <w:rFonts w:hint="default" w:ascii="Times New Roman" w:hAnsi="Times New Roman" w:cs="Times New Roman"/>
                <w:szCs w:val="21"/>
                <w:lang w:val="en-US" w:bidi="ar-SA"/>
              </w:rPr>
            </w:pPr>
            <w:r>
              <w:rPr>
                <w:rFonts w:ascii="Times New Roman" w:hAnsi="Times New Roman"/>
                <w:b/>
                <w:bCs/>
                <w:szCs w:val="21"/>
              </w:rPr>
              <w:t>※</w:t>
            </w:r>
            <w:r>
              <w:rPr>
                <w:rFonts w:ascii="Times New Roman" w:hAnsi="Times New Roman" w:cs="Times New Roman"/>
                <w:szCs w:val="21"/>
                <w:lang w:val="en-US" w:bidi="ar-SA"/>
              </w:rPr>
              <w:t>1.2 智能物流系统(含AMR、充电桩、输送线及软件)</w:t>
            </w:r>
          </w:p>
        </w:tc>
        <w:tc>
          <w:tcPr>
            <w:tcW w:w="2275" w:type="pct"/>
            <w:vAlign w:val="center"/>
          </w:tcPr>
          <w:p>
            <w:pPr>
              <w:rPr>
                <w:rFonts w:hint="default"/>
              </w:rPr>
            </w:pP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 xml:space="preserve">技术参数： </w:t>
            </w:r>
          </w:p>
          <w:p>
            <w:pPr>
              <w:pStyle w:val="96"/>
              <w:ind w:firstLine="210" w:firstLineChars="100"/>
              <w:rPr>
                <w:rFonts w:hint="default" w:ascii="Times New Roman" w:hAnsi="Times New Roman" w:cs="Times New Roman"/>
                <w:szCs w:val="21"/>
                <w:lang w:val="en-US" w:bidi="ar-SA"/>
              </w:rPr>
            </w:pPr>
            <w:r>
              <w:rPr>
                <w:rFonts w:ascii="Times New Roman" w:hAnsi="Times New Roman" w:cs="Times New Roman"/>
                <w:szCs w:val="21"/>
                <w:lang w:val="en-US" w:bidi="ar-SA"/>
              </w:rPr>
              <w:t>智能物流系统由AMR自主移动机器人、智能充电桩、RCS机器人调度系统等组成，实现不同工作单元之间物料的自动流转。</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1、AMR小车</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驱动方式：双轮差速；</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导航方式：混合导航：双激光SLAM+二维码；</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行走方式：前后双向、原地旋转、左右转弯；</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行走速度：0~1.2m/s；</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导航精度：±20mm；</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对接精度：±10mm(激光对接）/±5mm（二维码视觉对接）；</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停止角度精度 ±1°；</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2、智能充电桩</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AMR支持定时、阈值和闲时3种自动充电逻辑，保证长久高效的全天候运行。</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3、RCS调度系统</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负责实现AMR车辆管理、任务指派、路径规划、交通管制、数据统计、故障处理、电量管理、车辆状态获取、监控展示等功能。RCS由调度引擎程序集、基础调度程序集以及PostgresSQL数据库组成。</w:t>
            </w:r>
          </w:p>
        </w:tc>
        <w:tc>
          <w:tcPr>
            <w:tcW w:w="286" w:type="pct"/>
            <w:vAlign w:val="center"/>
          </w:tcPr>
          <w:p>
            <w:pPr>
              <w:spacing w:line="300" w:lineRule="auto"/>
              <w:jc w:val="center"/>
              <w:rPr>
                <w:rFonts w:hint="default"/>
                <w:szCs w:val="21"/>
              </w:rPr>
            </w:pPr>
            <w:r>
              <w:rPr>
                <w:szCs w:val="21"/>
              </w:rPr>
              <w:t>2</w:t>
            </w:r>
          </w:p>
        </w:tc>
        <w:tc>
          <w:tcPr>
            <w:tcW w:w="376" w:type="pct"/>
            <w:vAlign w:val="center"/>
          </w:tcPr>
          <w:p>
            <w:pPr>
              <w:spacing w:line="300" w:lineRule="auto"/>
              <w:jc w:val="center"/>
              <w:rPr>
                <w:rFonts w:hint="default"/>
                <w:szCs w:val="21"/>
              </w:rPr>
            </w:pPr>
            <w:r>
              <w:rPr>
                <w:szCs w:val="21"/>
              </w:rPr>
              <w:t>套</w:t>
            </w:r>
          </w:p>
        </w:tc>
        <w:tc>
          <w:tcPr>
            <w:tcW w:w="539" w:type="pct"/>
            <w:vAlign w:val="center"/>
          </w:tcPr>
          <w:p>
            <w:pPr>
              <w:spacing w:line="300" w:lineRule="auto"/>
              <w:jc w:val="center"/>
              <w:rPr>
                <w:rFonts w:hint="default"/>
                <w:szCs w:val="21"/>
              </w:rPr>
            </w:pPr>
            <w:r>
              <w:rPr>
                <w:szCs w:val="21"/>
              </w:rPr>
              <w:t>工业</w:t>
            </w:r>
          </w:p>
        </w:tc>
        <w:tc>
          <w:tcPr>
            <w:tcW w:w="776" w:type="pct"/>
            <w:vAlign w:val="center"/>
          </w:tcPr>
          <w:p>
            <w:pPr>
              <w:spacing w:line="300" w:lineRule="auto"/>
              <w:jc w:val="center"/>
              <w:rPr>
                <w:rFonts w:hint="default"/>
                <w:szCs w:val="21"/>
              </w:rPr>
            </w:pPr>
            <w:r>
              <w:rPr>
                <w:szCs w:val="21"/>
              </w:rPr>
              <w:t>海宁校区16号楼一楼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300" w:lineRule="auto"/>
              <w:jc w:val="center"/>
              <w:rPr>
                <w:rFonts w:hint="default"/>
                <w:sz w:val="24"/>
                <w:szCs w:val="24"/>
              </w:rPr>
            </w:pPr>
            <w:r>
              <w:rPr>
                <w:sz w:val="24"/>
                <w:szCs w:val="24"/>
              </w:rPr>
              <w:t>3</w:t>
            </w:r>
          </w:p>
        </w:tc>
        <w:tc>
          <w:tcPr>
            <w:tcW w:w="418" w:type="pct"/>
            <w:vAlign w:val="center"/>
          </w:tcPr>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1.3数控加工中心工作站</w:t>
            </w:r>
          </w:p>
        </w:tc>
        <w:tc>
          <w:tcPr>
            <w:tcW w:w="2275" w:type="pct"/>
            <w:vAlign w:val="center"/>
          </w:tcPr>
          <w:p>
            <w:pPr>
              <w:rPr>
                <w:rFonts w:hint="default"/>
              </w:rPr>
            </w:pP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技术参数：</w:t>
            </w:r>
          </w:p>
          <w:p>
            <w:pPr>
              <w:pStyle w:val="96"/>
              <w:ind w:firstLine="210" w:firstLineChars="100"/>
              <w:rPr>
                <w:rFonts w:hint="default" w:ascii="Times New Roman" w:hAnsi="Times New Roman" w:cs="Times New Roman"/>
                <w:szCs w:val="21"/>
                <w:lang w:val="en-US" w:bidi="ar-SA"/>
              </w:rPr>
            </w:pPr>
            <w:r>
              <w:rPr>
                <w:rFonts w:ascii="Times New Roman" w:hAnsi="Times New Roman" w:cs="Times New Roman"/>
                <w:szCs w:val="21"/>
                <w:lang w:val="en-US" w:bidi="ar-SA"/>
              </w:rPr>
              <w:t>本设备由数控控制单元、数控加工中心、衍架机械手、电气控制单元等组成的数控加工自动化无人工作站，能自动完成对工件的抓取、搬运、上料、加工、下料的工作流程。</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1、设备尺寸： 约1350mm×1250mm× 1980 mm (长×宽×高)。</w:t>
            </w:r>
            <w:r>
              <w:rPr>
                <w:rFonts w:ascii="Times New Roman" w:hAnsi="Times New Roman"/>
                <w:szCs w:val="21"/>
              </w:rPr>
              <w:t xml:space="preserve"> </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2、数控控制单元主要由808D Advanced M数控系统、进给伺服驱动、主轴伺服驱动、PMC单元、刀库控制电路、接口单元、电源电路等组成。</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3、数控加工中心采用小型XYZ轴立式加工中心结构，由底座、立柱、主轴箱、进给传动系统、A轴转台、刀库装置、辅助装置、气动夹具等组成，并设计有全封闭防护罩、自动门等，可对金属、PVC、有机玻璃等材料进行多轴铣削加工。参考技术规格：工作台面积≥500mm×200mm，X轴行程≥280 mm，Y轴行程≥200mm， Z轴行程≥300mm，主电机功率≥1.5kW，主轴最高转速≥6000rpm，带斗笠式刀库。</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4、衍架机械手主要由结构框架、X轴运动组件、Z轴运动组件和气动手爪等组成。X轴运动组件和Z轴运动组件采用直线模组构成直角坐标机械手，由交流伺服电机驱动，并安装有多个位置检测传感器；气动手爪部分采用伸缩气缸、回转气缸和气动手指组合。</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5、电气控制单元由PLC控制器(输入输出不小于24点，带以太网接口，工作存储器≥100KB,位存储器≥8192个字节)、伺服驱动器和电气控制模块组成，控制衍架机械手对数控加工中心进行工件自动上下料。</w:t>
            </w:r>
          </w:p>
        </w:tc>
        <w:tc>
          <w:tcPr>
            <w:tcW w:w="286" w:type="pct"/>
            <w:vAlign w:val="center"/>
          </w:tcPr>
          <w:p>
            <w:pPr>
              <w:spacing w:line="300" w:lineRule="auto"/>
              <w:jc w:val="center"/>
              <w:rPr>
                <w:rFonts w:hint="default"/>
                <w:szCs w:val="21"/>
              </w:rPr>
            </w:pPr>
            <w:r>
              <w:rPr>
                <w:szCs w:val="21"/>
              </w:rPr>
              <w:t>2</w:t>
            </w:r>
          </w:p>
        </w:tc>
        <w:tc>
          <w:tcPr>
            <w:tcW w:w="376" w:type="pct"/>
            <w:vAlign w:val="center"/>
          </w:tcPr>
          <w:p>
            <w:pPr>
              <w:spacing w:line="300" w:lineRule="auto"/>
              <w:jc w:val="center"/>
              <w:rPr>
                <w:rFonts w:hint="default"/>
                <w:szCs w:val="21"/>
              </w:rPr>
            </w:pPr>
            <w:r>
              <w:rPr>
                <w:szCs w:val="21"/>
              </w:rPr>
              <w:t>套</w:t>
            </w:r>
          </w:p>
        </w:tc>
        <w:tc>
          <w:tcPr>
            <w:tcW w:w="539" w:type="pct"/>
            <w:vAlign w:val="center"/>
          </w:tcPr>
          <w:p>
            <w:pPr>
              <w:spacing w:line="300" w:lineRule="auto"/>
              <w:jc w:val="center"/>
              <w:rPr>
                <w:rFonts w:hint="default"/>
                <w:szCs w:val="21"/>
              </w:rPr>
            </w:pPr>
            <w:r>
              <w:rPr>
                <w:szCs w:val="21"/>
              </w:rPr>
              <w:t>工业</w:t>
            </w:r>
          </w:p>
        </w:tc>
        <w:tc>
          <w:tcPr>
            <w:tcW w:w="776" w:type="pct"/>
            <w:vAlign w:val="center"/>
          </w:tcPr>
          <w:p>
            <w:pPr>
              <w:spacing w:line="300" w:lineRule="auto"/>
              <w:jc w:val="center"/>
              <w:rPr>
                <w:rFonts w:hint="default"/>
                <w:szCs w:val="21"/>
              </w:rPr>
            </w:pPr>
            <w:r>
              <w:rPr>
                <w:szCs w:val="21"/>
              </w:rPr>
              <w:t>海宁校区16号楼一楼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300" w:lineRule="auto"/>
              <w:jc w:val="center"/>
              <w:rPr>
                <w:rFonts w:hint="default"/>
                <w:sz w:val="24"/>
                <w:szCs w:val="24"/>
              </w:rPr>
            </w:pPr>
            <w:r>
              <w:rPr>
                <w:sz w:val="24"/>
                <w:szCs w:val="24"/>
              </w:rPr>
              <w:t>4</w:t>
            </w:r>
          </w:p>
        </w:tc>
        <w:tc>
          <w:tcPr>
            <w:tcW w:w="418" w:type="pct"/>
            <w:vAlign w:val="center"/>
          </w:tcPr>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1.4数控车床工作站</w:t>
            </w:r>
          </w:p>
        </w:tc>
        <w:tc>
          <w:tcPr>
            <w:tcW w:w="2275" w:type="pct"/>
            <w:vAlign w:val="center"/>
          </w:tcPr>
          <w:p>
            <w:pPr>
              <w:rPr>
                <w:rFonts w:hint="default"/>
              </w:rPr>
            </w:pP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技术参数：</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 xml:space="preserve">  本设备由数控控制单元、数控车床、衍架机械手、电气控制单元等组成的数控加工自动化无人工作站，能自动完成对工件的抓取、搬运、上料、加工、下料的工作流程，能满足对数控机床和机械手相关知识和技能学习的需要。</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1、设备尺寸: 约1350mm×800mm×1350 mm(长×宽×高)。</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2、数控控制单元主要由808D Advanced T数控系统、进给伺服驱动、主轴伺服驱动、PMC单元、刀架控制电路、接口单元、电源电路等组成。</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3、柔性数控车床光机采用小型平床身结构数控车床，由床身、主轴箱、进给传动系统、换刀装置和辅助装置组成，并设计有全封闭防护罩、自动门等，主轴上安装有气动三爪卡盘，可对金属、PVC、有机玻璃等材料进行车削加工。参考技术规格：床身最大回转直径≥220mm，刀架上最大回转直径≥80mm，X/Z轴行程≥100mm/200 mm，主电机功率≥1kW，主轴转速范围50～2000rpm，四工位电动刀架。</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4、衍架机械手主要由结构框架、X轴运动组件、Z轴运动组件和工装夹具等组成。X轴运动组件和Z轴运动组件采用直线模组构成直角坐标机械手，由交流伺服电机驱动，并安装有多个位置检测传感器；工装夹具采用气动手爪。</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5、电气控制单元由PLC控制器、伺服驱动器和电气控制模块组成，控制衍架机械手对数控车床进行工件自动上下料。</w:t>
            </w:r>
          </w:p>
        </w:tc>
        <w:tc>
          <w:tcPr>
            <w:tcW w:w="286" w:type="pct"/>
            <w:vAlign w:val="center"/>
          </w:tcPr>
          <w:p>
            <w:pPr>
              <w:spacing w:line="300" w:lineRule="auto"/>
              <w:jc w:val="center"/>
              <w:rPr>
                <w:rFonts w:hint="default"/>
                <w:szCs w:val="21"/>
              </w:rPr>
            </w:pPr>
            <w:r>
              <w:rPr>
                <w:szCs w:val="21"/>
              </w:rPr>
              <w:t>2</w:t>
            </w:r>
          </w:p>
        </w:tc>
        <w:tc>
          <w:tcPr>
            <w:tcW w:w="376" w:type="pct"/>
            <w:vAlign w:val="center"/>
          </w:tcPr>
          <w:p>
            <w:pPr>
              <w:spacing w:line="300" w:lineRule="auto"/>
              <w:jc w:val="center"/>
              <w:rPr>
                <w:rFonts w:hint="default"/>
                <w:szCs w:val="21"/>
              </w:rPr>
            </w:pPr>
            <w:r>
              <w:rPr>
                <w:szCs w:val="21"/>
              </w:rPr>
              <w:t>套</w:t>
            </w:r>
          </w:p>
        </w:tc>
        <w:tc>
          <w:tcPr>
            <w:tcW w:w="539" w:type="pct"/>
            <w:vAlign w:val="center"/>
          </w:tcPr>
          <w:p>
            <w:pPr>
              <w:spacing w:line="300" w:lineRule="auto"/>
              <w:jc w:val="center"/>
              <w:rPr>
                <w:rFonts w:hint="default"/>
                <w:szCs w:val="21"/>
              </w:rPr>
            </w:pPr>
            <w:r>
              <w:rPr>
                <w:szCs w:val="21"/>
              </w:rPr>
              <w:t>工业</w:t>
            </w:r>
          </w:p>
        </w:tc>
        <w:tc>
          <w:tcPr>
            <w:tcW w:w="776" w:type="pct"/>
            <w:vAlign w:val="center"/>
          </w:tcPr>
          <w:p>
            <w:pPr>
              <w:spacing w:line="300" w:lineRule="auto"/>
              <w:jc w:val="center"/>
              <w:rPr>
                <w:rFonts w:hint="default"/>
                <w:szCs w:val="21"/>
              </w:rPr>
            </w:pPr>
            <w:r>
              <w:rPr>
                <w:szCs w:val="21"/>
              </w:rPr>
              <w:t>海宁校区16号楼一楼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300" w:lineRule="auto"/>
              <w:jc w:val="center"/>
              <w:rPr>
                <w:rFonts w:hint="default"/>
                <w:sz w:val="24"/>
                <w:szCs w:val="24"/>
              </w:rPr>
            </w:pPr>
            <w:r>
              <w:rPr>
                <w:sz w:val="24"/>
                <w:szCs w:val="24"/>
              </w:rPr>
              <w:t>5</w:t>
            </w:r>
          </w:p>
        </w:tc>
        <w:tc>
          <w:tcPr>
            <w:tcW w:w="418" w:type="pct"/>
            <w:vAlign w:val="center"/>
          </w:tcPr>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1.5打磨抛光单元（含工业机器人）</w:t>
            </w:r>
          </w:p>
        </w:tc>
        <w:tc>
          <w:tcPr>
            <w:tcW w:w="2275" w:type="pct"/>
            <w:vAlign w:val="center"/>
          </w:tcPr>
          <w:p>
            <w:pPr>
              <w:rPr>
                <w:rFonts w:hint="default"/>
              </w:rPr>
            </w:pP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技术参数：</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 xml:space="preserve"> 打磨抛光单元包含六自由度工业机器人、多功能打磨机、超声波清洗机、烘干模块、输送线模块、快换单元、控制器、人机交互界面等，主要完成锤头的打磨、抛光、清洗、烘干等流程，通过AMR转接物料。</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1、打磨抛光单元平台：约1200mm×1040 mm×850mm（长×宽×高）。</w:t>
            </w:r>
            <w:r>
              <w:rPr>
                <w:rFonts w:ascii="Times New Roman" w:hAnsi="Times New Roman"/>
                <w:szCs w:val="21"/>
              </w:rPr>
              <w:t xml:space="preserve"> </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2、六自由度工业机器人。并配有配套的示教器和IRC5紧凑型控制器对机器人进行编程、控制和操作：(1) 工作范围：≥580 mm，(2) 有效负荷：≥3 kg，(3) 自由度：≥6个，(4)配有可以移动底座，加大机器人工作范围，(5) 集成信号源：手腕设≥10路信号。</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3、多品牌工业机器人离线编程仿真软件，在虚拟制造领域独创基于互联网的机器人生产线大数据库，可快速创建、发布各种自动化生产线与无人工厂的三维模型布局，支持机器人协同工作和基于三维模型数据的路径规划离线编程。正版软件，可提供持续的开发服务。具体功能如下：</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 具有完备的组件模型库，支持市面上大部分的品牌机器人(国外40种)，如ABB、Kuka、Fanuc、埃夫特等，并提供大量生产线组件。</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(2) 支持多视图切换功能，可将场景切换到不同的视角进行操作，也可以在当前场景下选择多个视角显示。</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(3) 支持超大场景的生产线仿真(支持≥50台机器人，以及多产线同时仿真，界面流畅不卡顿)，在大场景搭建、拖动和仿真过程中，界面流畅。</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(4) 提供各种工业机器人应用仿真案例，包括搬运、激光切割、焊接、喷涂、抛光、打磨、去毛刺、激光融覆与实际应用等案例。</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(5) 支持机器人虚拟示教器与真实示教器的连接，提供与真实机器人控制器直连的接口。</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(6) 支持动力学仿真。通过设置各对象的质量、质心位置、惯性等参数进行动力学计算。提供Bullet引擎、ODE引擎、Vortex引擎、Newton引擎可供选择。</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(7) 支持功能传感器仿真，包括视觉传感器、距离传感器和力传感器等。</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(8) 支持多种格式的CAD模型导入，包括obj,stp,step,stl,iges等。</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(9) 对于在软件中搭建好的模型，支持以多种CAD模型格式导出，包括obj，dxf，stl，step，iges等。</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(10) 支持自定义模型，并更新至系统模型库中。</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(11) 支持贴图功能，使模型外形更加真实。</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(12) 支持多种品牌工业机器人示教编程操作，控制各轴运动，根据路径轨迹仿真运行。</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(13) 支持示教仿真中，对工业机器人、机床的可达性、轴超限等指标进行检查。</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(14) 支持机器人运动点位信息的后置输出；能够直接生成代码，导入控制柜，控制实体机器人(包括但不限于ABB、Kuka，Efort、Fanuc等品牌的机器人)。</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(15) 提供机器人运动学接口，各种机器人与动态组件的运动学和行为逻辑可以通过系统内置模板或者lua语言撰写的脚本进行控制。支持≥2个旋转轴的3-5轴机床、3-6个旋转轴的串联、并联、双臂、AGV小车、直角坐标等机器人以及生产线上对应的工装夹具、AGV、人员、传送带等辅助设施。</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(16) 支持二次定制开发，提供超过300种不同的应用编程接口函数。</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(17) 支持三维复杂轨迹离线编程，可对生产线上的单站进行三维复杂轨迹编程并进行验证。</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(18) 支持视频录制功能。能实时对整个仿真过程进行录制。并保存为avi格式或者MP4格式，视频分辨率≥1824×851。</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(19) 支持远程客户端应用编程接口控制，可通过C/C++、Python、MATLAB®、Java等语言进行远程控制。并对应有丰富的远程接口函数，可对场景进行自定义控制。</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(20) 支持与Simulink的交互。可从外部对场景中的机器人进行末端点的位置控制。</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(21) 支持半实物仿真：真实示教器能够控制离线编程软件中的虚拟机器人运动，并保持示教器中的点位数据和离线编程软件中的点位完全一致。离线编程软件中虚拟机器人运动仿真时，真实示教器能够实时显示离线编程软件中虚拟机器人的位置。</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(22) 具有详细的软件使用说明书。</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4、多功能打磨机：包含主电机，功率≥400W，转速≥2850 RPM，棉布轮抛光机构和砂带打磨机构主持。带有防护挡板和松紧调节装置。</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5、超声波清洗机：不锈钢材质，超声波功率≥50W，≥40KHz中段波频，清洗更细腻，清除表面油渍、污渍。</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6、烘干模块：配置烘干机及防护罩等。</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7、视觉检测：完成工件方向检测。</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8、输送线模块 ：输送线模块包含直流减速电机、光电传感器、主动轴、从动轴及底板等组成。实现物料全自动的供料、输送等功能。配合AGV进出托盘使用。</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9、快换单元：快换工装模块主要由快换装置、夹具支架、装配夹具、多种夹具等组成，提供多种气动夹具、打磨、抛光、托盘搬运快换工装。可根据任务要求工业机器人自动更换夹具，完成不同工作任务。</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10、控制器：PLC控制器，输入输出不小于24点，带以太网接口，工作存储器≥100KB,位存储器≥8192个字节。</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11、人机交互界面：昆仑通态触摸屏≥10寸触摸屏。</w:t>
            </w:r>
          </w:p>
        </w:tc>
        <w:tc>
          <w:tcPr>
            <w:tcW w:w="286" w:type="pct"/>
            <w:vAlign w:val="center"/>
          </w:tcPr>
          <w:p>
            <w:pPr>
              <w:spacing w:line="300" w:lineRule="auto"/>
              <w:jc w:val="center"/>
              <w:rPr>
                <w:rFonts w:hint="default"/>
                <w:szCs w:val="21"/>
              </w:rPr>
            </w:pPr>
            <w:r>
              <w:rPr>
                <w:szCs w:val="21"/>
              </w:rPr>
              <w:t>2</w:t>
            </w:r>
          </w:p>
        </w:tc>
        <w:tc>
          <w:tcPr>
            <w:tcW w:w="376" w:type="pct"/>
            <w:vAlign w:val="center"/>
          </w:tcPr>
          <w:p>
            <w:pPr>
              <w:spacing w:line="300" w:lineRule="auto"/>
              <w:jc w:val="center"/>
              <w:rPr>
                <w:rFonts w:hint="default"/>
                <w:szCs w:val="21"/>
              </w:rPr>
            </w:pPr>
            <w:r>
              <w:rPr>
                <w:szCs w:val="21"/>
              </w:rPr>
              <w:t>套</w:t>
            </w:r>
          </w:p>
        </w:tc>
        <w:tc>
          <w:tcPr>
            <w:tcW w:w="539" w:type="pct"/>
            <w:vAlign w:val="center"/>
          </w:tcPr>
          <w:p>
            <w:pPr>
              <w:spacing w:line="300" w:lineRule="auto"/>
              <w:jc w:val="center"/>
              <w:rPr>
                <w:rFonts w:hint="default"/>
                <w:szCs w:val="21"/>
              </w:rPr>
            </w:pPr>
            <w:r>
              <w:rPr>
                <w:szCs w:val="21"/>
              </w:rPr>
              <w:t>工业</w:t>
            </w:r>
          </w:p>
        </w:tc>
        <w:tc>
          <w:tcPr>
            <w:tcW w:w="776" w:type="pct"/>
            <w:vAlign w:val="center"/>
          </w:tcPr>
          <w:p>
            <w:pPr>
              <w:spacing w:line="300" w:lineRule="auto"/>
              <w:jc w:val="center"/>
              <w:rPr>
                <w:rFonts w:hint="default"/>
                <w:szCs w:val="21"/>
              </w:rPr>
            </w:pPr>
            <w:r>
              <w:rPr>
                <w:szCs w:val="21"/>
              </w:rPr>
              <w:t>海宁校区16号楼一楼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300" w:lineRule="auto"/>
              <w:jc w:val="center"/>
              <w:rPr>
                <w:rFonts w:hint="default"/>
                <w:sz w:val="24"/>
                <w:szCs w:val="24"/>
              </w:rPr>
            </w:pPr>
            <w:r>
              <w:rPr>
                <w:sz w:val="24"/>
                <w:szCs w:val="24"/>
              </w:rPr>
              <w:t>6</w:t>
            </w:r>
          </w:p>
        </w:tc>
        <w:tc>
          <w:tcPr>
            <w:tcW w:w="418" w:type="pct"/>
            <w:vAlign w:val="center"/>
          </w:tcPr>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1.6装配单元</w:t>
            </w:r>
          </w:p>
        </w:tc>
        <w:tc>
          <w:tcPr>
            <w:tcW w:w="2275" w:type="pct"/>
            <w:vAlign w:val="center"/>
          </w:tcPr>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技术参数：</w:t>
            </w:r>
          </w:p>
          <w:p>
            <w:pPr>
              <w:pStyle w:val="96"/>
              <w:ind w:firstLine="210" w:firstLineChars="100"/>
              <w:rPr>
                <w:rFonts w:hint="default" w:ascii="Times New Roman" w:hAnsi="Times New Roman" w:cs="Times New Roman"/>
                <w:szCs w:val="21"/>
                <w:lang w:val="en-US" w:bidi="ar-SA"/>
              </w:rPr>
            </w:pPr>
            <w:r>
              <w:rPr>
                <w:rFonts w:ascii="Times New Roman" w:hAnsi="Times New Roman" w:cs="Times New Roman"/>
                <w:szCs w:val="21"/>
                <w:lang w:val="en-US" w:bidi="ar-SA"/>
              </w:rPr>
              <w:t>装配单元包含三维龙门机器人、装配校正模块、气动冲压机、输送线模块、快换单元、控制器、人机交互界面等，主要完成锤头装配、压紧等流程，通过AGV小车转接物料。</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1、装配单元平台：约1200mm×1040 mm×850mm（长×宽×高）。</w:t>
            </w:r>
            <w:r>
              <w:rPr>
                <w:rFonts w:ascii="Times New Roman" w:hAnsi="Times New Roman"/>
                <w:szCs w:val="21"/>
              </w:rPr>
              <w:t xml:space="preserve"> </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2、三维龙门机器人：由三轴直线模组构成，采用MR-JE系列伺服系统，三维运动，运动时平稳、具备高速度、低噪音特性。定位精确。</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3、装配校正模块：由旋转机构，移动机构、转向机构等组成。配有检测传感器、步进电机等电气元件。</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4、视觉检测模块：完成工件方向检测。</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5、气动冲压机：推力≥120KG,气缸规程50mm× 50mm-50mm，闭合高度≥200 mm，工作台约125mm×125mm</w:t>
            </w:r>
            <w:r>
              <w:rPr>
                <w:rFonts w:ascii="Times New Roman" w:hAnsi="Times New Roman"/>
                <w:szCs w:val="21"/>
              </w:rPr>
              <w:t xml:space="preserve"> </w:t>
            </w:r>
            <w:r>
              <w:rPr>
                <w:rFonts w:ascii="Times New Roman" w:hAnsi="Times New Roman" w:cs="Times New Roman"/>
                <w:szCs w:val="21"/>
                <w:lang w:val="en-US" w:bidi="ar-SA"/>
              </w:rPr>
              <w:t>。</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6、皮带输送模块：配置三相交流减速电动机、变频器(功率≥0.37KW,与PLC采用统一匹配，数字量输入≥4路，数字量输出≥2路，模拟量输入≥2路，模拟量输出≥1路)、平带光电传感器、主动轴、从动轴及底板等组成。</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7、输送线模块：输送线模块包含直流减速电机、光电传感器、主动轴、从动轴及底板等组成。实现物料全自动的供料、输送等功能。配合AGV进出托盘使用。</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8、快换单元：快换工装模块主要由快换装置、夹具支架、装配夹具、多种夹具等组成，提供多种气动夹具、锤头、锤柄搬运快换工装。可根据任务要求工业机器人自动更换夹具，完成不同工作任务。</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9、控制器：PLC控制器，输入输出不小于24点，带以太网接口，工作存储器≥100KB,位存储器≥8192个字节。</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10、人机交互界面：昆仑通态触摸屏≥10寸触摸屏。</w:t>
            </w:r>
          </w:p>
        </w:tc>
        <w:tc>
          <w:tcPr>
            <w:tcW w:w="286" w:type="pct"/>
            <w:vAlign w:val="center"/>
          </w:tcPr>
          <w:p>
            <w:pPr>
              <w:spacing w:line="300" w:lineRule="auto"/>
              <w:jc w:val="center"/>
              <w:rPr>
                <w:rFonts w:hint="default"/>
                <w:szCs w:val="21"/>
              </w:rPr>
            </w:pPr>
            <w:r>
              <w:rPr>
                <w:szCs w:val="21"/>
              </w:rPr>
              <w:t>2</w:t>
            </w:r>
          </w:p>
        </w:tc>
        <w:tc>
          <w:tcPr>
            <w:tcW w:w="376" w:type="pct"/>
            <w:vAlign w:val="center"/>
          </w:tcPr>
          <w:p>
            <w:pPr>
              <w:spacing w:line="300" w:lineRule="auto"/>
              <w:jc w:val="center"/>
              <w:rPr>
                <w:rFonts w:hint="default"/>
                <w:szCs w:val="21"/>
              </w:rPr>
            </w:pPr>
            <w:r>
              <w:rPr>
                <w:szCs w:val="21"/>
              </w:rPr>
              <w:t>套</w:t>
            </w:r>
          </w:p>
        </w:tc>
        <w:tc>
          <w:tcPr>
            <w:tcW w:w="539" w:type="pct"/>
            <w:vAlign w:val="center"/>
          </w:tcPr>
          <w:p>
            <w:pPr>
              <w:spacing w:line="300" w:lineRule="auto"/>
              <w:jc w:val="center"/>
              <w:rPr>
                <w:rFonts w:hint="default"/>
                <w:szCs w:val="21"/>
              </w:rPr>
            </w:pPr>
            <w:r>
              <w:rPr>
                <w:szCs w:val="21"/>
              </w:rPr>
              <w:t>工业</w:t>
            </w:r>
          </w:p>
        </w:tc>
        <w:tc>
          <w:tcPr>
            <w:tcW w:w="776" w:type="pct"/>
            <w:vAlign w:val="center"/>
          </w:tcPr>
          <w:p>
            <w:pPr>
              <w:spacing w:line="300" w:lineRule="auto"/>
              <w:jc w:val="center"/>
              <w:rPr>
                <w:rFonts w:hint="default"/>
                <w:szCs w:val="21"/>
              </w:rPr>
            </w:pPr>
            <w:r>
              <w:rPr>
                <w:szCs w:val="21"/>
              </w:rPr>
              <w:t>海宁校区16号楼一楼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300" w:lineRule="auto"/>
              <w:jc w:val="center"/>
              <w:rPr>
                <w:rFonts w:hint="default"/>
                <w:sz w:val="24"/>
                <w:szCs w:val="24"/>
              </w:rPr>
            </w:pPr>
            <w:r>
              <w:rPr>
                <w:sz w:val="24"/>
                <w:szCs w:val="24"/>
              </w:rPr>
              <w:t>7</w:t>
            </w:r>
          </w:p>
        </w:tc>
        <w:tc>
          <w:tcPr>
            <w:tcW w:w="418" w:type="pct"/>
            <w:vAlign w:val="center"/>
          </w:tcPr>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1.7包装单元(含激光打标机)</w:t>
            </w:r>
          </w:p>
        </w:tc>
        <w:tc>
          <w:tcPr>
            <w:tcW w:w="2275" w:type="pct"/>
            <w:vAlign w:val="center"/>
          </w:tcPr>
          <w:p>
            <w:pPr>
              <w:rPr>
                <w:rFonts w:hint="default"/>
              </w:rPr>
            </w:pP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技术参数：</w:t>
            </w:r>
          </w:p>
          <w:p>
            <w:pPr>
              <w:pStyle w:val="96"/>
              <w:ind w:firstLine="210" w:firstLineChars="100"/>
              <w:rPr>
                <w:rFonts w:hint="default" w:ascii="Times New Roman" w:hAnsi="Times New Roman" w:cs="Times New Roman"/>
                <w:szCs w:val="21"/>
                <w:lang w:val="en-US" w:bidi="ar-SA"/>
              </w:rPr>
            </w:pPr>
            <w:r>
              <w:rPr>
                <w:rFonts w:ascii="Times New Roman" w:hAnsi="Times New Roman" w:cs="Times New Roman"/>
                <w:szCs w:val="21"/>
                <w:lang w:val="en-US" w:bidi="ar-SA"/>
              </w:rPr>
              <w:t>包装单元包含三维龙门机器人、激光打标机、包装盒盖模块、输送线模块、快换单元、控制器、人机交互界面等，主要完成锤头装盒、激光打标、包装等流程，通过AGV小车将包装好的成品运输到成品库。</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1、包装单元平台：约1200mm×1040 mm×850mm(长×宽×高)。</w:t>
            </w:r>
            <w:r>
              <w:rPr>
                <w:rFonts w:ascii="Times New Roman" w:hAnsi="Times New Roman"/>
                <w:szCs w:val="21"/>
              </w:rPr>
              <w:t xml:space="preserve"> </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2、三维龙门机器人：由三轴直线模组构成，采用MR-JE系列伺服系统，三维运动，运动时平稳、具备高速度、低噪音特性。定位精确。</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3、激光打标机：由激光器、扫描振镜、聚焦场镜、标刻系统（工业级高度集成化一体式主板）、控制软件等组成。重复定位精度≤0.01mm，完成产品的标识、图案及二维码喷码。</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4、包装盒盖模块：物料提升机构采用步进电机控制，可同时储放多个物料，能根据使用情况实现自动提升。</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5、皮带输送模块：配置三相交流减速电动机、变频器(功率≥0.37KW,与PLC采用统一匹配，数字量输入≥4路，数字量输出≥2路，模拟量输入≥2路，模拟量输出≥1路)、平带光电传感器、主动轴、从动轴及底板等组成。</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6、输送线模块 ：包含直流减速电机、光电传感器、主动轴、从动轴及底板等组成。实现物料全自动的供料、输送等功能。配合AGV进出托盘使用。</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7、快换单元：主要由快换装置、夹具支架、装配夹具、多种夹具等组成，提供多种气动夹具、包装盒盖、锤子搬运快换工装。可根据任务要求工业机器人自动更换夹具，完成不同工作任务。</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8、控制器：PLC控制器，输入输出不小于24点，带以太网接口，工作存储器≥100KB,位存储器≥8192个字节。</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9、人机交互界面：昆仑通态触摸屏≥10寸触摸屏。</w:t>
            </w:r>
          </w:p>
        </w:tc>
        <w:tc>
          <w:tcPr>
            <w:tcW w:w="286" w:type="pct"/>
            <w:vAlign w:val="center"/>
          </w:tcPr>
          <w:p>
            <w:pPr>
              <w:spacing w:line="300" w:lineRule="auto"/>
              <w:jc w:val="center"/>
              <w:rPr>
                <w:rFonts w:hint="default"/>
                <w:szCs w:val="21"/>
              </w:rPr>
            </w:pPr>
            <w:r>
              <w:rPr>
                <w:szCs w:val="21"/>
              </w:rPr>
              <w:t>2</w:t>
            </w:r>
          </w:p>
        </w:tc>
        <w:tc>
          <w:tcPr>
            <w:tcW w:w="376" w:type="pct"/>
            <w:vAlign w:val="center"/>
          </w:tcPr>
          <w:p>
            <w:pPr>
              <w:spacing w:line="300" w:lineRule="auto"/>
              <w:jc w:val="center"/>
              <w:rPr>
                <w:rFonts w:hint="default"/>
                <w:szCs w:val="21"/>
              </w:rPr>
            </w:pPr>
            <w:r>
              <w:rPr>
                <w:szCs w:val="21"/>
              </w:rPr>
              <w:t>套</w:t>
            </w:r>
          </w:p>
        </w:tc>
        <w:tc>
          <w:tcPr>
            <w:tcW w:w="539" w:type="pct"/>
            <w:vAlign w:val="center"/>
          </w:tcPr>
          <w:p>
            <w:pPr>
              <w:spacing w:line="300" w:lineRule="auto"/>
              <w:jc w:val="center"/>
              <w:rPr>
                <w:rFonts w:hint="default"/>
                <w:szCs w:val="21"/>
              </w:rPr>
            </w:pPr>
            <w:r>
              <w:rPr>
                <w:szCs w:val="21"/>
              </w:rPr>
              <w:t>工业</w:t>
            </w:r>
          </w:p>
        </w:tc>
        <w:tc>
          <w:tcPr>
            <w:tcW w:w="776" w:type="pct"/>
            <w:vAlign w:val="center"/>
          </w:tcPr>
          <w:p>
            <w:pPr>
              <w:spacing w:line="300" w:lineRule="auto"/>
              <w:jc w:val="center"/>
              <w:rPr>
                <w:rFonts w:hint="default"/>
                <w:szCs w:val="21"/>
              </w:rPr>
            </w:pPr>
            <w:r>
              <w:rPr>
                <w:szCs w:val="21"/>
              </w:rPr>
              <w:t>海宁校区16号楼一楼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300" w:lineRule="auto"/>
              <w:jc w:val="center"/>
              <w:rPr>
                <w:rFonts w:hint="default"/>
                <w:sz w:val="24"/>
                <w:szCs w:val="24"/>
              </w:rPr>
            </w:pPr>
            <w:r>
              <w:rPr>
                <w:sz w:val="24"/>
                <w:szCs w:val="24"/>
              </w:rPr>
              <w:t>8</w:t>
            </w:r>
          </w:p>
        </w:tc>
        <w:tc>
          <w:tcPr>
            <w:tcW w:w="418" w:type="pct"/>
            <w:vAlign w:val="center"/>
          </w:tcPr>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1.8AGV接料储料单元(配套加工中心及数控车床使用)</w:t>
            </w:r>
          </w:p>
        </w:tc>
        <w:tc>
          <w:tcPr>
            <w:tcW w:w="2275" w:type="pct"/>
            <w:vAlign w:val="center"/>
          </w:tcPr>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技术参数：</w:t>
            </w:r>
          </w:p>
          <w:p>
            <w:pPr>
              <w:pStyle w:val="96"/>
              <w:ind w:firstLine="210" w:firstLineChars="100"/>
              <w:rPr>
                <w:rFonts w:hint="default" w:ascii="Times New Roman" w:hAnsi="Times New Roman" w:cs="Times New Roman"/>
                <w:szCs w:val="21"/>
                <w:lang w:val="en-US" w:bidi="ar-SA"/>
              </w:rPr>
            </w:pPr>
            <w:r>
              <w:rPr>
                <w:rFonts w:ascii="Times New Roman" w:hAnsi="Times New Roman" w:cs="Times New Roman"/>
                <w:szCs w:val="21"/>
                <w:lang w:val="en-US" w:bidi="ar-SA"/>
              </w:rPr>
              <w:t>AGV接料储料单元包含三维龙门机器人、托盘堆垛解垛模块、输送线模块、控制器等，主要完成原料搬运、托盘码垛等流程。</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1、单元平台：约800mm×720mm× 850mm (长×宽×高)。</w:t>
            </w:r>
            <w:r>
              <w:rPr>
                <w:rFonts w:ascii="Times New Roman" w:hAnsi="Times New Roman"/>
                <w:szCs w:val="21"/>
              </w:rPr>
              <w:t xml:space="preserve"> </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2、三维龙门机器人：由三轴直线模组构成，采用步进电机控制三维运动，具备高速度、低噪音特性。</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3、托盘堆垛解垛模块：由步进电机及驱动器、直流减速电机、直线位移传感器、电感传感器、光电传感器、限位开关、滚珠丝杠、直线导轨/滑块、连杆机构、输送辊床、机械零部件等组成。本站的功能是将托盘在堆垛解垛单元进行堆垛及解垛分解，具备托盘的存储和依次送出功能。</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4、直线移动机构：带动输送线模块整体移动，采用步进单机控制。</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5、托盘转向机构：由旋转气缸、输送线模块组成，完成托盘的转向控制。</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6、输送线模块：包含直流减速电机、光电传感器、主动轴、从动轴及底板等组成。实现物料全自动的供料、输送等功能。配合AGV进出托盘使用。</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7、控制器：PLC控制器，输入输出不小于24点，带以太网接口，工作存储器≥100KB,位存储器≥8192个字节。</w:t>
            </w:r>
          </w:p>
        </w:tc>
        <w:tc>
          <w:tcPr>
            <w:tcW w:w="286" w:type="pct"/>
            <w:vAlign w:val="center"/>
          </w:tcPr>
          <w:p>
            <w:pPr>
              <w:spacing w:line="300" w:lineRule="auto"/>
              <w:jc w:val="center"/>
              <w:rPr>
                <w:rFonts w:hint="default"/>
                <w:szCs w:val="21"/>
              </w:rPr>
            </w:pPr>
            <w:r>
              <w:rPr>
                <w:szCs w:val="21"/>
              </w:rPr>
              <w:t>2</w:t>
            </w:r>
          </w:p>
        </w:tc>
        <w:tc>
          <w:tcPr>
            <w:tcW w:w="376" w:type="pct"/>
            <w:vAlign w:val="center"/>
          </w:tcPr>
          <w:p>
            <w:pPr>
              <w:spacing w:line="300" w:lineRule="auto"/>
              <w:jc w:val="center"/>
              <w:rPr>
                <w:rFonts w:hint="default"/>
                <w:szCs w:val="21"/>
              </w:rPr>
            </w:pPr>
            <w:r>
              <w:rPr>
                <w:szCs w:val="21"/>
              </w:rPr>
              <w:t>套</w:t>
            </w:r>
          </w:p>
        </w:tc>
        <w:tc>
          <w:tcPr>
            <w:tcW w:w="539" w:type="pct"/>
            <w:vAlign w:val="center"/>
          </w:tcPr>
          <w:p>
            <w:pPr>
              <w:spacing w:line="300" w:lineRule="auto"/>
              <w:jc w:val="center"/>
              <w:rPr>
                <w:rFonts w:hint="default"/>
                <w:szCs w:val="21"/>
              </w:rPr>
            </w:pPr>
            <w:r>
              <w:rPr>
                <w:szCs w:val="21"/>
              </w:rPr>
              <w:t>工业</w:t>
            </w:r>
          </w:p>
        </w:tc>
        <w:tc>
          <w:tcPr>
            <w:tcW w:w="776" w:type="pct"/>
            <w:vAlign w:val="center"/>
          </w:tcPr>
          <w:p>
            <w:pPr>
              <w:spacing w:line="300" w:lineRule="auto"/>
              <w:jc w:val="center"/>
              <w:rPr>
                <w:rFonts w:hint="default"/>
                <w:szCs w:val="21"/>
              </w:rPr>
            </w:pPr>
            <w:r>
              <w:rPr>
                <w:szCs w:val="21"/>
              </w:rPr>
              <w:t>海宁校区16号楼一楼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300" w:lineRule="auto"/>
              <w:jc w:val="center"/>
              <w:rPr>
                <w:rFonts w:hint="default"/>
                <w:sz w:val="24"/>
                <w:szCs w:val="24"/>
              </w:rPr>
            </w:pPr>
            <w:r>
              <w:rPr>
                <w:sz w:val="24"/>
                <w:szCs w:val="24"/>
              </w:rPr>
              <w:t>9</w:t>
            </w:r>
          </w:p>
        </w:tc>
        <w:tc>
          <w:tcPr>
            <w:tcW w:w="418" w:type="pct"/>
            <w:vAlign w:val="center"/>
          </w:tcPr>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1.9总控系统</w:t>
            </w:r>
          </w:p>
        </w:tc>
        <w:tc>
          <w:tcPr>
            <w:tcW w:w="2275" w:type="pct"/>
            <w:vAlign w:val="center"/>
          </w:tcPr>
          <w:p>
            <w:pPr>
              <w:rPr>
                <w:rFonts w:hint="default"/>
              </w:rPr>
            </w:pP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技术参数：</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 xml:space="preserve">  控制台主要由电网电压指示、电源控制部分、急停按钮、电源指示灯等组成，主要完成各分站的电源控制和工作状态并协调各站运行，完成工业控制网络的集成。</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1、工作台面：约1700mm×850mm× 1250mm，电脑桌联体。</w:t>
            </w:r>
            <w:r>
              <w:rPr>
                <w:rFonts w:ascii="Times New Roman" w:hAnsi="Times New Roman"/>
                <w:szCs w:val="21"/>
              </w:rPr>
              <w:t xml:space="preserve"> </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2、供电电源：AC220 50Hz。</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3、POE电源：符合IEEE 802.3af标准，最大传输功率达15.4W，最大供电距离达100m；自动检测识别受电设备，自动匹配输出功率；内置电源，即插即用，无需管理。。</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3、总电源开关 ：20A。</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4、分组电源开关： 10A。</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5、交流指针电压表：带镜面AC250V</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6、工业级双频无线接入点：TL-AP300DG工业级。</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7、工业交换机：≥8个10/100/1000Base-T RJ45端口；≥2个独立千兆SFP端口；支持TP-LINK商用云平台远程管理，支持手机APP管理；支持智能开局，自动配置组网，拓扑图形化展示；支持RIP动态路由、静态路由、ARP代理；支持DHCP服务器、DHCP中继、DHCP Snooping；支持四元绑定、ARP/IP/DoS防护、802.1X认证；支持VLAN、QoS、ACL、生成树、组播、IPv6；支持Web网管、CLI命令行、SNMP。。</w:t>
            </w:r>
          </w:p>
        </w:tc>
        <w:tc>
          <w:tcPr>
            <w:tcW w:w="286" w:type="pct"/>
            <w:vAlign w:val="center"/>
          </w:tcPr>
          <w:p>
            <w:pPr>
              <w:spacing w:line="300" w:lineRule="auto"/>
              <w:jc w:val="center"/>
              <w:rPr>
                <w:rFonts w:hint="default"/>
                <w:szCs w:val="21"/>
              </w:rPr>
            </w:pPr>
            <w:r>
              <w:rPr>
                <w:szCs w:val="21"/>
              </w:rPr>
              <w:t>2</w:t>
            </w:r>
          </w:p>
        </w:tc>
        <w:tc>
          <w:tcPr>
            <w:tcW w:w="376" w:type="pct"/>
            <w:vAlign w:val="center"/>
          </w:tcPr>
          <w:p>
            <w:pPr>
              <w:spacing w:line="300" w:lineRule="auto"/>
              <w:jc w:val="center"/>
              <w:rPr>
                <w:rFonts w:hint="default"/>
                <w:szCs w:val="21"/>
              </w:rPr>
            </w:pPr>
            <w:r>
              <w:rPr>
                <w:szCs w:val="21"/>
              </w:rPr>
              <w:t>套</w:t>
            </w:r>
          </w:p>
        </w:tc>
        <w:tc>
          <w:tcPr>
            <w:tcW w:w="539" w:type="pct"/>
            <w:vAlign w:val="center"/>
          </w:tcPr>
          <w:p>
            <w:pPr>
              <w:spacing w:line="300" w:lineRule="auto"/>
              <w:jc w:val="center"/>
              <w:rPr>
                <w:rFonts w:hint="default"/>
                <w:szCs w:val="21"/>
              </w:rPr>
            </w:pPr>
            <w:r>
              <w:rPr>
                <w:szCs w:val="21"/>
              </w:rPr>
              <w:t>工业</w:t>
            </w:r>
          </w:p>
        </w:tc>
        <w:tc>
          <w:tcPr>
            <w:tcW w:w="776" w:type="pct"/>
            <w:vAlign w:val="center"/>
          </w:tcPr>
          <w:p>
            <w:pPr>
              <w:spacing w:line="300" w:lineRule="auto"/>
              <w:jc w:val="center"/>
              <w:rPr>
                <w:rFonts w:hint="default"/>
                <w:szCs w:val="21"/>
              </w:rPr>
            </w:pPr>
            <w:r>
              <w:rPr>
                <w:szCs w:val="21"/>
              </w:rPr>
              <w:t>海宁校区16号楼一楼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300" w:lineRule="auto"/>
              <w:jc w:val="center"/>
              <w:rPr>
                <w:rFonts w:hint="default"/>
                <w:sz w:val="24"/>
                <w:szCs w:val="24"/>
              </w:rPr>
            </w:pPr>
            <w:r>
              <w:rPr>
                <w:sz w:val="24"/>
                <w:szCs w:val="24"/>
              </w:rPr>
              <w:t>10</w:t>
            </w:r>
          </w:p>
        </w:tc>
        <w:tc>
          <w:tcPr>
            <w:tcW w:w="418" w:type="pct"/>
            <w:vAlign w:val="center"/>
          </w:tcPr>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1.10 MES生产信息化管理系统软件</w:t>
            </w:r>
          </w:p>
        </w:tc>
        <w:tc>
          <w:tcPr>
            <w:tcW w:w="2275" w:type="pct"/>
            <w:vAlign w:val="center"/>
          </w:tcPr>
          <w:p>
            <w:pPr>
              <w:rPr>
                <w:rFonts w:hint="default"/>
              </w:rPr>
            </w:pP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技术参数：</w:t>
            </w:r>
          </w:p>
          <w:p>
            <w:pPr>
              <w:pStyle w:val="96"/>
              <w:ind w:firstLine="105" w:firstLineChars="50"/>
              <w:rPr>
                <w:rFonts w:hint="default" w:ascii="Times New Roman" w:hAnsi="Times New Roman" w:cs="Times New Roman"/>
                <w:szCs w:val="21"/>
                <w:lang w:val="en-US" w:bidi="ar-SA"/>
              </w:rPr>
            </w:pPr>
            <w:r>
              <w:rPr>
                <w:rFonts w:ascii="Times New Roman" w:hAnsi="Times New Roman" w:cs="Times New Roman"/>
                <w:szCs w:val="21"/>
                <w:lang w:val="en-US" w:bidi="ar-SA"/>
              </w:rPr>
              <w:t>MES(manufacturing execution system）生产信息化管理系统，是为了加强ERP/MRP计划的执行功能，处于制造企业计划层(ERP)与控制层(PCS)之间的执行层，是企业资源计划系统和设备控制系统之间的桥梁和纽带，是制造企业实现敏捷化和全局优化的关键系统。</w:t>
            </w:r>
          </w:p>
          <w:p>
            <w:pPr>
              <w:pStyle w:val="96"/>
              <w:ind w:firstLine="210" w:firstLineChars="100"/>
              <w:rPr>
                <w:rFonts w:hint="default" w:ascii="Times New Roman" w:hAnsi="Times New Roman" w:cs="Times New Roman"/>
                <w:szCs w:val="21"/>
                <w:lang w:val="en-US" w:bidi="ar-SA"/>
              </w:rPr>
            </w:pPr>
            <w:r>
              <w:rPr>
                <w:rFonts w:ascii="Times New Roman" w:hAnsi="Times New Roman" w:cs="Times New Roman"/>
                <w:szCs w:val="21"/>
                <w:lang w:val="en-US" w:bidi="ar-SA"/>
              </w:rPr>
              <w:t>生产信息化管理系统可以完成车间生产的全部加工过程，包含从工艺管理、E-SOP管理、订单管理、计划派工、工单管理、质量管理、设备/工装管理、设备管理、产品追溯管理、生产看板&amp;生产报表、基础数据、仓库管理、成品半成品入库、库存管理、能源管理等功能，最终实现数字化工厂的构建。</w:t>
            </w:r>
          </w:p>
          <w:p>
            <w:pPr>
              <w:pStyle w:val="96"/>
              <w:ind w:firstLine="210" w:firstLineChars="100"/>
              <w:rPr>
                <w:rFonts w:hint="default" w:ascii="Times New Roman" w:hAnsi="Times New Roman" w:cs="Times New Roman"/>
                <w:szCs w:val="21"/>
                <w:lang w:val="en-US" w:bidi="ar-SA"/>
              </w:rPr>
            </w:pPr>
            <w:r>
              <w:rPr>
                <w:rFonts w:ascii="Times New Roman" w:hAnsi="Times New Roman" w:cs="Times New Roman"/>
                <w:szCs w:val="21"/>
                <w:lang w:val="en-US" w:bidi="ar-SA"/>
              </w:rPr>
              <w:t>平台技术架构：</w:t>
            </w:r>
          </w:p>
          <w:p>
            <w:pPr>
              <w:pStyle w:val="96"/>
              <w:ind w:firstLine="210" w:firstLineChars="100"/>
              <w:rPr>
                <w:rFonts w:hint="default" w:ascii="Times New Roman" w:hAnsi="Times New Roman" w:cs="Times New Roman"/>
                <w:szCs w:val="21"/>
                <w:lang w:val="en-US" w:bidi="ar-SA"/>
              </w:rPr>
            </w:pPr>
            <w:r>
              <w:rPr>
                <w:rFonts w:ascii="Times New Roman" w:hAnsi="Times New Roman" w:cs="Times New Roman"/>
                <w:szCs w:val="21"/>
                <w:lang w:val="en-US" w:bidi="ar-SA"/>
              </w:rPr>
              <w:t>平台采用J2EE技术体系，基于Spring Cloud Alibaba微服务框架进行封装，包含多种开箱即用功能、通用技术组件与服务、微服务治理等，具备RBAC功能、网关统一鉴权、Xss防跨站攻击、自动代码生成、多种存储系统、分布式事务、分布式定时任务等多个模块，平台设计灵活可扩展、可移植、可应对高并发需求。同时兼顾本地化、私有云、公有云部署，支持SaaS模式应用。核心技术采用Spring Boot，Spring Cloud Alibaba，Mybatis-plus等相关核心组件，采用Nacos注册和配置中心，集成流量卫兵Sentinel，前端基于vue-element -admin框架定制开发。</w:t>
            </w:r>
          </w:p>
          <w:p>
            <w:pPr>
              <w:pStyle w:val="96"/>
              <w:ind w:firstLine="210" w:firstLineChars="100"/>
              <w:rPr>
                <w:rFonts w:hint="default" w:ascii="Times New Roman" w:hAnsi="Times New Roman" w:cs="Times New Roman"/>
                <w:szCs w:val="21"/>
                <w:lang w:val="en-US" w:bidi="ar-SA"/>
              </w:rPr>
            </w:pPr>
            <w:r>
              <w:rPr>
                <w:rFonts w:ascii="Times New Roman" w:hAnsi="Times New Roman" w:cs="Times New Roman"/>
                <w:szCs w:val="21"/>
                <w:lang w:val="en-US" w:bidi="ar-SA"/>
              </w:rPr>
              <w:t>平台特性：</w:t>
            </w:r>
          </w:p>
          <w:p>
            <w:pPr>
              <w:pStyle w:val="96"/>
              <w:ind w:firstLine="210" w:firstLineChars="100"/>
              <w:rPr>
                <w:rFonts w:hint="default" w:ascii="Times New Roman" w:hAnsi="Times New Roman" w:cs="Times New Roman"/>
                <w:szCs w:val="21"/>
                <w:lang w:val="en-US" w:bidi="ar-SA"/>
              </w:rPr>
            </w:pPr>
            <w:r>
              <w:rPr>
                <w:rFonts w:ascii="Times New Roman" w:hAnsi="Times New Roman" w:cs="Times New Roman"/>
                <w:szCs w:val="21"/>
                <w:lang w:val="en-US" w:bidi="ar-SA"/>
              </w:rPr>
              <w:t>平台采用前后端分离的模式：前端基于vue-element-admin框架定制开发，后端采用Spring Cloud Alibaba全家桶。服务注册&amp;发现与调用：基于Nacos来实现的服务注册与发现，使用Feign/Dubbo RPC来实现服务互调。统一授权认证：基于Spring Security、Spring OAuth2、JWT 实现的统一认证服务中心，登录基于Spring Security的标准登录流程；客户端授权支持Oauth2.0 的四种授权模式：授权码模式、简化模式、密码模式、客户端模式，授权流程跟标准的Oauth2流程一致。Web端采用简化模式登录系统，移动端可使用密码模式(password)登录系统,，且支持基于Spring Social的三方账号登录方式，如微信，并提供拓展模式，支持更多三方渠道。业务熔断：采用Sentinel实现业务流量控制、熔断降级、系统负载等多个维度保护服务的稳定性。应用监控：利用Spring Boot Admin来监控各个服务的运行状态。链路调用监控：基于SkyWalking作为项目的全链路性能监控，从整体维度到局部维度展示各项指标，将跨应用的所有调用链性能信息集中展现，可方便度量整体和局部性能，并且方便找到故障产生的源头，生产上可极大缩短故障排除时间。灵活的权限控制：基于RBAC权限管理，用于维护企业的组织架构信息以及员工信息，主要包含组织信息、员工定义、组织架构、企业通讯录、通信录同步等功能；用户可在此功能模块下维护公司的组织架构信息（组织/部门/角色/岗位）和用户信息，也可以通过第三方应用（钉钉/企业微信）将组织架构信息一键导入到系统中，也可以使用组织架构和员工信息的导入功能将数据导入到系统中。支持多租户：简单配置即可转变多租户模式，实现数据隔离。支持多种数据库：支持MySQL、SQL Server、Oracle、PostgreSQL。统一接口管理：基于Swagger拓展的API文档服务，主要提供在平台开发阶段的API文档管理和API调试等功能。</w:t>
            </w:r>
          </w:p>
          <w:p>
            <w:pPr>
              <w:rPr>
                <w:rFonts w:hint="default"/>
                <w:b/>
                <w:sz w:val="20"/>
                <w:szCs w:val="18"/>
              </w:rPr>
            </w:pPr>
            <w:r>
              <w:rPr>
                <w:szCs w:val="21"/>
              </w:rPr>
              <w:t>平台功能模块：平台主要分为MAIN、WMS、MES、QMS、手机端五大功能模块，二次开发，与设备完全匹配。</w:t>
            </w:r>
            <w:r>
              <w:rPr>
                <w:b/>
                <w:bCs/>
                <w:szCs w:val="21"/>
              </w:rPr>
              <w:t>（</w:t>
            </w:r>
            <w:r>
              <w:rPr>
                <w:b/>
                <w:szCs w:val="21"/>
              </w:rPr>
              <w:t>投标时提供以上五个模块功能菜单视频演示，</w:t>
            </w:r>
            <w:r>
              <w:rPr>
                <w:b/>
                <w:sz w:val="20"/>
              </w:rPr>
              <w:t>具体详见</w:t>
            </w:r>
            <w:r>
              <w:rPr>
                <w:rFonts w:hint="default"/>
                <w:b/>
                <w:sz w:val="22"/>
                <w:szCs w:val="22"/>
              </w:rPr>
              <w:t>评审内容及标准</w:t>
            </w:r>
            <w:r>
              <w:rPr>
                <w:b/>
                <w:sz w:val="20"/>
              </w:rPr>
              <w:t>。）</w:t>
            </w:r>
          </w:p>
          <w:p>
            <w:pPr>
              <w:pStyle w:val="96"/>
              <w:rPr>
                <w:rFonts w:hint="default" w:ascii="Times New Roman" w:hAnsi="Times New Roman" w:cs="Times New Roman"/>
                <w:b/>
                <w:szCs w:val="21"/>
                <w:lang w:val="en-US" w:bidi="ar-SA"/>
              </w:rPr>
            </w:pPr>
          </w:p>
        </w:tc>
        <w:tc>
          <w:tcPr>
            <w:tcW w:w="286" w:type="pct"/>
            <w:vAlign w:val="center"/>
          </w:tcPr>
          <w:p>
            <w:pPr>
              <w:spacing w:line="300" w:lineRule="auto"/>
              <w:jc w:val="center"/>
              <w:rPr>
                <w:rFonts w:hint="default"/>
                <w:szCs w:val="21"/>
              </w:rPr>
            </w:pPr>
            <w:r>
              <w:rPr>
                <w:szCs w:val="21"/>
              </w:rPr>
              <w:t>1</w:t>
            </w:r>
          </w:p>
        </w:tc>
        <w:tc>
          <w:tcPr>
            <w:tcW w:w="376" w:type="pct"/>
            <w:vAlign w:val="center"/>
          </w:tcPr>
          <w:p>
            <w:pPr>
              <w:spacing w:line="300" w:lineRule="auto"/>
              <w:jc w:val="center"/>
              <w:rPr>
                <w:rFonts w:hint="default"/>
                <w:szCs w:val="21"/>
              </w:rPr>
            </w:pPr>
            <w:r>
              <w:rPr>
                <w:szCs w:val="21"/>
              </w:rPr>
              <w:t>套</w:t>
            </w:r>
          </w:p>
        </w:tc>
        <w:tc>
          <w:tcPr>
            <w:tcW w:w="539" w:type="pct"/>
            <w:vAlign w:val="center"/>
          </w:tcPr>
          <w:p>
            <w:pPr>
              <w:spacing w:line="300" w:lineRule="auto"/>
              <w:jc w:val="center"/>
              <w:rPr>
                <w:rFonts w:hint="default"/>
                <w:szCs w:val="21"/>
              </w:rPr>
            </w:pPr>
            <w:r>
              <w:rPr>
                <w:szCs w:val="21"/>
              </w:rPr>
              <w:t>工业</w:t>
            </w:r>
          </w:p>
        </w:tc>
        <w:tc>
          <w:tcPr>
            <w:tcW w:w="776" w:type="pct"/>
            <w:vAlign w:val="center"/>
          </w:tcPr>
          <w:p>
            <w:pPr>
              <w:spacing w:line="300" w:lineRule="auto"/>
              <w:jc w:val="center"/>
              <w:rPr>
                <w:rFonts w:hint="default"/>
                <w:szCs w:val="21"/>
              </w:rPr>
            </w:pPr>
            <w:r>
              <w:rPr>
                <w:szCs w:val="21"/>
              </w:rPr>
              <w:t>海宁校区16号楼一楼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300" w:lineRule="auto"/>
              <w:jc w:val="center"/>
              <w:rPr>
                <w:rFonts w:hint="default"/>
                <w:sz w:val="24"/>
                <w:szCs w:val="24"/>
              </w:rPr>
            </w:pPr>
            <w:r>
              <w:rPr>
                <w:sz w:val="24"/>
                <w:szCs w:val="24"/>
              </w:rPr>
              <w:t>11</w:t>
            </w:r>
          </w:p>
        </w:tc>
        <w:tc>
          <w:tcPr>
            <w:tcW w:w="418" w:type="pct"/>
            <w:vAlign w:val="center"/>
          </w:tcPr>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1.11三维工业自动化设计软件</w:t>
            </w:r>
          </w:p>
        </w:tc>
        <w:tc>
          <w:tcPr>
            <w:tcW w:w="2275" w:type="pct"/>
            <w:vAlign w:val="center"/>
          </w:tcPr>
          <w:p>
            <w:pPr>
              <w:rPr>
                <w:rFonts w:hint="default"/>
              </w:rPr>
            </w:pP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技术参数：</w:t>
            </w:r>
          </w:p>
          <w:p>
            <w:pPr>
              <w:pStyle w:val="96"/>
              <w:ind w:firstLine="210" w:firstLineChars="100"/>
              <w:rPr>
                <w:rFonts w:hint="default" w:ascii="Times New Roman" w:hAnsi="Times New Roman" w:cs="Times New Roman"/>
                <w:szCs w:val="21"/>
                <w:lang w:val="en-US" w:bidi="ar-SA"/>
              </w:rPr>
            </w:pPr>
            <w:r>
              <w:rPr>
                <w:rFonts w:ascii="Times New Roman" w:hAnsi="Times New Roman" w:cs="Times New Roman"/>
                <w:szCs w:val="21"/>
                <w:lang w:val="en-US" w:bidi="ar-SA"/>
              </w:rPr>
              <w:t>三维工业自动化设计软件是工业级正版三维一体化设计软件，面向工业和教育等多个领域，基于强大的智能参数建模技术，让复杂设计过程简单化，快速重用历史数据及设计变更。</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 xml:space="preserve">  从概念设计到产品制造，提供真正的3D模型设计、先进的钣金设计、完整的2D+3D一体化设计等全面效率工具。在单个软件上集成PLC 3D仿真功能和电机仿真功能三维工业自动化设计软件要求具有以下技术与功能：</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强大的兼容性和扩展性：支持UG、Solidedge、Pro/E、Solidworks、inverntor主流3D原生和通用文件的导入，支持与Solidedge商业版软件文件格式的互通，并可对数据进行直接编辑进行设计变更。可导出各环节所需的3D及2D数据，支持与主流的PLM/PDM系统集成，3D数据应用于产品全生命周期。</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2、智能参数建模技术：可更快、更轻松地创建和编辑3D模型。融合直接建模的速度和简便性、及参数化设计的灵活性和可控性。可处理多CAD数据，无缝衔接整个生态链。</w:t>
            </w:r>
          </w:p>
          <w:p>
            <w:pPr>
              <w:pStyle w:val="96"/>
              <w:rPr>
                <w:rFonts w:hint="default" w:ascii="Times New Roman" w:hAnsi="Times New Roman" w:cs="Times New Roman"/>
                <w:b/>
                <w:szCs w:val="21"/>
                <w:lang w:val="en-US" w:bidi="ar-SA"/>
              </w:rPr>
            </w:pPr>
            <w:r>
              <w:rPr>
                <w:rFonts w:ascii="Times New Roman" w:hAnsi="Times New Roman" w:cs="Times New Roman"/>
                <w:szCs w:val="21"/>
                <w:lang w:val="en-US" w:bidi="ar-SA"/>
              </w:rPr>
              <w:t>3、同步建模技术：无需创建草图，系统可自动捕捉草图平面。操作过程，可在全三维环境下完成，也可切换到二维平面视图；能够基于无历史树的特征，根据几何规则编辑修改模型，即使用变量化方式进行产品设计。</w:t>
            </w:r>
            <w:r>
              <w:rPr>
                <w:b/>
                <w:bCs/>
              </w:rPr>
              <w:t>（</w:t>
            </w:r>
            <w:r>
              <w:rPr>
                <w:rFonts w:ascii="Times New Roman" w:hAnsi="Times New Roman" w:cs="Times New Roman"/>
                <w:b/>
                <w:szCs w:val="21"/>
                <w:lang w:val="en-US" w:bidi="ar-SA"/>
              </w:rPr>
              <w:t>投标时提供该软件同步建模技术模块的功能视频演示</w:t>
            </w:r>
            <w:r>
              <w:rPr>
                <w:rFonts w:cs="Times New Roman"/>
                <w:b/>
                <w:szCs w:val="21"/>
                <w:lang w:val="en-US"/>
              </w:rPr>
              <w:t>，</w:t>
            </w:r>
            <w:r>
              <w:rPr>
                <w:rFonts w:cs="Times New Roman"/>
                <w:b/>
                <w:sz w:val="20"/>
                <w:lang w:val="en-US"/>
              </w:rPr>
              <w:t>具体详见</w:t>
            </w:r>
            <w:r>
              <w:rPr>
                <w:rFonts w:hint="default"/>
                <w:b/>
                <w:sz w:val="22"/>
                <w:szCs w:val="22"/>
              </w:rPr>
              <w:t>评审内容及标准</w:t>
            </w:r>
            <w:r>
              <w:rPr>
                <w:rFonts w:ascii="Times New Roman" w:hAnsi="Times New Roman" w:cs="Times New Roman"/>
                <w:b/>
                <w:szCs w:val="21"/>
                <w:lang w:val="en-US" w:bidi="ar-SA"/>
              </w:rPr>
              <w:t>。）</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4、直观的用户界面和主流的操作习惯：基于Windows操作环境开发，高效的人机交互界面设计，与主流3D软件一致的操作习惯；融合国内用户的设计需求，更贴合用户，快速上手，保障工作的延续性。</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5、集成PLC 3D仿真功能：软件构建3D虚拟环境，实现自动封盖、自动装箱、温度压力控制、码垛堆积、加工中心刀库、电镀生产线、多种液体混合、自动混合生产线、水塔水位控制、机械手控制、机器人自动扫雷等二十五个实训项目，全面展现各种复杂的工艺流程。支持利用采集卡采集PLC的输入输出信号，实现PLC与计算机的通讯，控制软件中的3D模型的动作，使得虚拟仿真技术实时展现PLC 的运行状态。</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6、集成电机仿真功能：实验电机类型包括直流电机、异步电机、同步电机和变压器。运用等效电路的方式，给出电机的工作特性曲线和机械特性曲线；对每一种电机，均给出了电气和机械参数，可通过选择对应的电机与运行方式获得电机的转速、转矩、电流等信息。暂停/停止后会自动显示游标，挪动游标可以在右侧获取当前点的数值，有助于后续的计算与分析。</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7、功能特点</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 设计协同：全面支持JT格式，能直接装配JT格式的零件和装配，并且能做到属性传递及关联。</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(2) 纯二维制图：具有与三维设计一致的界面，操作快捷，具有所有的二维制图能力及参数化制图能力，彻底解决客户的二维版权问题。</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(3) 三维设计：提供多种三维建模手段，能完成各种复杂形状的产品设计。提供装配、钣金、焊接、线缆设计、钢架设计、运动仿真、工程图等完整的二、三维一体化设计方法，符合机械产品设计原理。操作过程流畅，菜单结构简单。</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(4) 所见即所得的设计：具有丰富的同步建模功能，可以实现所见即所得的三维设计。同步建模适用于三维实体建模、装配和钣金，也可用于修改导入的异种CAD数据。</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(5) 二维工程图纸：完全符合中国制图标准，自动生成各种工程视图，包括局部剖视、三维尺寸、标注等；自动生成的BOM数据，与三维模型完全相关，可以直接切换到三维模型。目标搜寻将工程计算纳入CAD领域，实现2D-3D的一体化设计模式。</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(6) 变量化：在参数化的基础上提供变量化设计技术，通过VB、VC#或Excel，就可直接控制Soliddesign内部变量，二次开发简单、方便。支持VB、VC、Visual .Net开发手段。</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(7) 内置标准件库；内置有标准件库，具有智能、快速、可扩充的特点，集中了各国的国家标准，如GB、ISO等。内置标准零件库融标准产品设计、标准管理为一体，在装配环境中自动完成装配，大大提高了标准零件的设计速度，简化了设计师的操作步骤。同时，也支持第三方标准件库的使用。</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(8) 内嵌有限元分析：内嵌世界顶级NX Nastran解算器的Simulation，能对零件和钣金进行应力、热及模态、温度场分析，实现定性和定量分析。</w:t>
            </w:r>
          </w:p>
          <w:p>
            <w:pPr>
              <w:pStyle w:val="96"/>
              <w:rPr>
                <w:rFonts w:hint="default" w:ascii="Times New Roman" w:hAnsi="Times New Roman" w:cs="Times New Roman"/>
                <w:szCs w:val="21"/>
                <w:lang w:val="en-US" w:bidi="ar-SA"/>
              </w:rPr>
            </w:pPr>
          </w:p>
        </w:tc>
        <w:tc>
          <w:tcPr>
            <w:tcW w:w="286" w:type="pct"/>
            <w:vAlign w:val="center"/>
          </w:tcPr>
          <w:p>
            <w:pPr>
              <w:spacing w:line="300" w:lineRule="auto"/>
              <w:jc w:val="center"/>
              <w:rPr>
                <w:rFonts w:hint="default"/>
                <w:szCs w:val="21"/>
              </w:rPr>
            </w:pPr>
            <w:r>
              <w:rPr>
                <w:szCs w:val="21"/>
              </w:rPr>
              <w:t>1</w:t>
            </w:r>
          </w:p>
        </w:tc>
        <w:tc>
          <w:tcPr>
            <w:tcW w:w="376" w:type="pct"/>
            <w:vAlign w:val="center"/>
          </w:tcPr>
          <w:p>
            <w:pPr>
              <w:spacing w:line="300" w:lineRule="auto"/>
              <w:jc w:val="center"/>
              <w:rPr>
                <w:rFonts w:hint="default"/>
                <w:szCs w:val="21"/>
              </w:rPr>
            </w:pPr>
            <w:r>
              <w:rPr>
                <w:szCs w:val="21"/>
              </w:rPr>
              <w:t>套</w:t>
            </w:r>
          </w:p>
        </w:tc>
        <w:tc>
          <w:tcPr>
            <w:tcW w:w="539" w:type="pct"/>
            <w:vAlign w:val="center"/>
          </w:tcPr>
          <w:p>
            <w:pPr>
              <w:spacing w:line="300" w:lineRule="auto"/>
              <w:jc w:val="center"/>
              <w:rPr>
                <w:rFonts w:hint="default"/>
                <w:szCs w:val="21"/>
              </w:rPr>
            </w:pPr>
            <w:r>
              <w:rPr>
                <w:szCs w:val="21"/>
              </w:rPr>
              <w:t>工业</w:t>
            </w:r>
          </w:p>
        </w:tc>
        <w:tc>
          <w:tcPr>
            <w:tcW w:w="776" w:type="pct"/>
            <w:vAlign w:val="center"/>
          </w:tcPr>
          <w:p>
            <w:pPr>
              <w:spacing w:line="300" w:lineRule="auto"/>
              <w:jc w:val="center"/>
              <w:rPr>
                <w:rFonts w:hint="default"/>
                <w:szCs w:val="21"/>
              </w:rPr>
            </w:pPr>
            <w:r>
              <w:rPr>
                <w:szCs w:val="21"/>
              </w:rPr>
              <w:t>海宁校区16号楼一楼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300" w:lineRule="auto"/>
              <w:jc w:val="center"/>
              <w:rPr>
                <w:rFonts w:hint="default"/>
                <w:sz w:val="24"/>
                <w:szCs w:val="24"/>
              </w:rPr>
            </w:pPr>
            <w:r>
              <w:rPr>
                <w:sz w:val="24"/>
                <w:szCs w:val="24"/>
              </w:rPr>
              <w:t>12</w:t>
            </w:r>
          </w:p>
        </w:tc>
        <w:tc>
          <w:tcPr>
            <w:tcW w:w="418" w:type="pct"/>
            <w:vAlign w:val="center"/>
          </w:tcPr>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1.12 SCADA数据采集与监视控制系统软件</w:t>
            </w:r>
          </w:p>
        </w:tc>
        <w:tc>
          <w:tcPr>
            <w:tcW w:w="2275" w:type="pct"/>
            <w:vAlign w:val="center"/>
          </w:tcPr>
          <w:p>
            <w:pPr>
              <w:rPr>
                <w:rFonts w:hint="default"/>
              </w:rPr>
            </w:pP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技术参数：</w:t>
            </w:r>
          </w:p>
          <w:p>
            <w:pPr>
              <w:pStyle w:val="96"/>
              <w:ind w:firstLine="210" w:firstLineChars="100"/>
              <w:rPr>
                <w:rFonts w:hint="default" w:ascii="Times New Roman" w:hAnsi="Times New Roman" w:cs="Times New Roman"/>
                <w:szCs w:val="21"/>
                <w:lang w:val="en-US" w:bidi="ar-SA"/>
              </w:rPr>
            </w:pPr>
            <w:r>
              <w:rPr>
                <w:rFonts w:ascii="Times New Roman" w:hAnsi="Times New Roman" w:cs="Times New Roman"/>
                <w:szCs w:val="21"/>
                <w:lang w:val="en-US" w:bidi="ar-SA"/>
              </w:rPr>
              <w:t>SCADA数据采集与监视控制软件平台是集数据采集处理、大数据BI可视化功能于一体的工业级正版软件平台。</w:t>
            </w:r>
          </w:p>
          <w:p>
            <w:pPr>
              <w:pStyle w:val="96"/>
              <w:rPr>
                <w:rFonts w:hint="default" w:ascii="Times New Roman" w:hAnsi="Times New Roman" w:cs="Times New Roman"/>
                <w:szCs w:val="21"/>
                <w:lang w:val="en-US"/>
              </w:rPr>
            </w:pPr>
            <w:r>
              <w:rPr>
                <w:rFonts w:ascii="Times New Roman" w:hAnsi="Times New Roman" w:cs="Times New Roman"/>
                <w:szCs w:val="21"/>
                <w:lang w:val="en-US"/>
              </w:rPr>
              <w:t>1、网关配置工具具有工程管理和在线设备两大功能，其中工程管理具有新建工程、打开工程、关闭工程、保存、下载工程、导出到SD卡、显示点数量、Excel导入导出、设备模版等功能；在线设备具有添加设备、搜索设备、清除设备、密码设定等功能。</w:t>
            </w:r>
          </w:p>
          <w:p>
            <w:pPr>
              <w:pStyle w:val="96"/>
              <w:rPr>
                <w:rFonts w:hint="default" w:ascii="Times New Roman" w:hAnsi="Times New Roman" w:cs="Times New Roman"/>
                <w:szCs w:val="21"/>
                <w:lang w:val="en-US"/>
              </w:rPr>
            </w:pPr>
            <w:r>
              <w:rPr>
                <w:rFonts w:ascii="Times New Roman" w:hAnsi="Times New Roman" w:cs="Times New Roman"/>
                <w:szCs w:val="21"/>
                <w:lang w:val="en-US"/>
              </w:rPr>
              <w:t>(1) 数据采集配置：支持串口采集设备点配置、以太网采集设备点配置、Zigbee无线采集设备点配置、系统点配置、计算点、用户点配置、ODBC数据采集、JDBC数据采集、复制设备、设备模板、添加预设Tag点；</w:t>
            </w:r>
          </w:p>
          <w:p>
            <w:pPr>
              <w:pStyle w:val="96"/>
              <w:rPr>
                <w:rFonts w:hint="default" w:ascii="Times New Roman" w:hAnsi="Times New Roman" w:cs="Times New Roman"/>
                <w:szCs w:val="21"/>
                <w:lang w:val="en-US"/>
              </w:rPr>
            </w:pPr>
            <w:r>
              <w:rPr>
                <w:rFonts w:ascii="Times New Roman" w:hAnsi="Times New Roman" w:cs="Times New Roman"/>
                <w:szCs w:val="21"/>
                <w:lang w:val="en-US"/>
              </w:rPr>
              <w:t>(2) 数据存储：可设置周期存储、数据备份参数；</w:t>
            </w:r>
          </w:p>
          <w:p>
            <w:pPr>
              <w:pStyle w:val="96"/>
              <w:rPr>
                <w:rFonts w:hint="default" w:ascii="Times New Roman" w:hAnsi="Times New Roman" w:cs="Times New Roman"/>
                <w:szCs w:val="21"/>
                <w:lang w:val="en-US"/>
              </w:rPr>
            </w:pPr>
            <w:r>
              <w:rPr>
                <w:rFonts w:ascii="Times New Roman" w:hAnsi="Times New Roman" w:cs="Times New Roman"/>
                <w:szCs w:val="21"/>
                <w:lang w:val="en-US"/>
              </w:rPr>
              <w:t>(3) 协议服务配置：支持Modbus、DNP3、WASCADA、IEC-104、BACnet、OPC UA、数据传输；</w:t>
            </w:r>
          </w:p>
          <w:p>
            <w:pPr>
              <w:pStyle w:val="96"/>
              <w:rPr>
                <w:rFonts w:hint="default" w:ascii="Times New Roman" w:hAnsi="Times New Roman" w:cs="Times New Roman"/>
                <w:szCs w:val="21"/>
                <w:lang w:val="en-US"/>
              </w:rPr>
            </w:pPr>
            <w:r>
              <w:rPr>
                <w:rFonts w:ascii="Times New Roman" w:hAnsi="Times New Roman" w:cs="Times New Roman"/>
                <w:szCs w:val="21"/>
                <w:lang w:val="en-US"/>
              </w:rPr>
              <w:t>(4) 事件管理：支持设置事件的触发条件，当满足条件时触发事件，当状态从满足条件转变为不满足条件时执行事件解除；</w:t>
            </w:r>
          </w:p>
          <w:p>
            <w:pPr>
              <w:pStyle w:val="96"/>
              <w:rPr>
                <w:rFonts w:hint="default" w:ascii="Times New Roman" w:hAnsi="Times New Roman" w:cs="Times New Roman"/>
                <w:szCs w:val="21"/>
                <w:lang w:val="en-US"/>
              </w:rPr>
            </w:pPr>
            <w:r>
              <w:rPr>
                <w:rFonts w:ascii="Times New Roman" w:hAnsi="Times New Roman" w:cs="Times New Roman"/>
                <w:szCs w:val="21"/>
                <w:lang w:val="en-US"/>
              </w:rPr>
              <w:t>(5) KW设置：可将标准硬件和特殊嵌入式平台转化为极为快速、强大且具有多任务处理能力的 IEC 61131 控制器；</w:t>
            </w:r>
          </w:p>
          <w:p>
            <w:pPr>
              <w:pStyle w:val="96"/>
              <w:rPr>
                <w:rFonts w:hint="default" w:ascii="Times New Roman" w:hAnsi="Times New Roman" w:cs="Times New Roman"/>
                <w:szCs w:val="21"/>
                <w:lang w:val="en-US"/>
              </w:rPr>
            </w:pPr>
            <w:r>
              <w:rPr>
                <w:rFonts w:ascii="Times New Roman" w:hAnsi="Times New Roman" w:cs="Times New Roman"/>
                <w:szCs w:val="21"/>
                <w:lang w:val="en-US"/>
              </w:rPr>
              <w:t>(6) 连接设置：支持主动连接和串口桥接；</w:t>
            </w:r>
          </w:p>
          <w:p>
            <w:pPr>
              <w:pStyle w:val="96"/>
              <w:rPr>
                <w:rFonts w:hint="default" w:ascii="Times New Roman" w:hAnsi="Times New Roman" w:cs="Times New Roman"/>
                <w:szCs w:val="21"/>
                <w:lang w:val="en-US"/>
              </w:rPr>
            </w:pPr>
            <w:r>
              <w:rPr>
                <w:rFonts w:ascii="Times New Roman" w:hAnsi="Times New Roman" w:cs="Times New Roman"/>
                <w:szCs w:val="21"/>
                <w:lang w:val="en-US"/>
              </w:rPr>
              <w:t>(7) 云服务：支持AWS、Azure、LwM2M、Proud Smart、Simple MQTT、Custom MQTT、T-System、WebAccess、WISE- PaaS/DataHub、DeviceOn/BI、阿里云、百度天工；</w:t>
            </w:r>
          </w:p>
          <w:p>
            <w:pPr>
              <w:pStyle w:val="96"/>
              <w:rPr>
                <w:rFonts w:hint="default" w:ascii="Times New Roman" w:hAnsi="Times New Roman" w:cs="Times New Roman"/>
                <w:szCs w:val="21"/>
                <w:lang w:val="en-US"/>
              </w:rPr>
            </w:pPr>
            <w:r>
              <w:rPr>
                <w:rFonts w:ascii="Times New Roman" w:hAnsi="Times New Roman" w:cs="Times New Roman"/>
                <w:szCs w:val="21"/>
                <w:lang w:val="en-US"/>
              </w:rPr>
              <w:t>(8) 系统设置：支持网络和Internet、时间同步设置、GPS设置、SMTP设置、系统服务设置、防火墙设置、VCOM等参数设置；</w:t>
            </w:r>
          </w:p>
          <w:p>
            <w:pPr>
              <w:pStyle w:val="96"/>
              <w:rPr>
                <w:rFonts w:hint="default" w:ascii="Times New Roman" w:hAnsi="Times New Roman" w:cs="Times New Roman"/>
                <w:szCs w:val="21"/>
                <w:lang w:val="en-US"/>
              </w:rPr>
            </w:pPr>
            <w:r>
              <w:rPr>
                <w:rFonts w:ascii="Times New Roman" w:hAnsi="Times New Roman" w:cs="Times New Roman"/>
                <w:szCs w:val="21"/>
                <w:lang w:val="en-US"/>
              </w:rPr>
              <w:t>(9) 在线设备设定：支持添加设备、搜索设备、删除设备、密码设定、IP设定、SSH Console；</w:t>
            </w:r>
          </w:p>
          <w:p>
            <w:pPr>
              <w:pStyle w:val="96"/>
              <w:rPr>
                <w:rFonts w:hint="default" w:ascii="Times New Roman" w:hAnsi="Times New Roman" w:cs="Times New Roman"/>
                <w:szCs w:val="21"/>
                <w:lang w:val="en-US"/>
              </w:rPr>
            </w:pPr>
            <w:r>
              <w:rPr>
                <w:rFonts w:ascii="Times New Roman" w:hAnsi="Times New Roman" w:cs="Times New Roman"/>
                <w:szCs w:val="21"/>
                <w:lang w:val="en-US"/>
              </w:rPr>
              <w:t>(10) 在线监控：支持点、I/O状态、系统信息、设备配置、Image更新、通讯监控；</w:t>
            </w:r>
          </w:p>
          <w:p>
            <w:pPr>
              <w:pStyle w:val="96"/>
              <w:rPr>
                <w:rFonts w:hint="default" w:ascii="Times New Roman" w:hAnsi="Times New Roman" w:cs="Times New Roman"/>
                <w:szCs w:val="21"/>
                <w:lang w:val="en-US"/>
              </w:rPr>
            </w:pPr>
            <w:r>
              <w:rPr>
                <w:rFonts w:ascii="Times New Roman" w:hAnsi="Times New Roman" w:cs="Times New Roman"/>
                <w:szCs w:val="21"/>
                <w:lang w:val="en-US"/>
              </w:rPr>
              <w:t>2、数据采集软件平台具有定义设备模型、注册设备、设备接入、创建数据通道、数据分析等功能，可通过数据搜集、数据聚合、数据监控与警报通知对数据进行处理，平台提供多种主流语言插件协议接入，也支持通过API 来处理写入到本平台上的数据。</w:t>
            </w:r>
          </w:p>
          <w:p>
            <w:pPr>
              <w:pStyle w:val="96"/>
              <w:rPr>
                <w:rFonts w:hint="default" w:ascii="Times New Roman" w:hAnsi="Times New Roman" w:cs="Times New Roman"/>
                <w:szCs w:val="21"/>
                <w:lang w:val="en-US"/>
              </w:rPr>
            </w:pPr>
            <w:r>
              <w:rPr>
                <w:rFonts w:ascii="Times New Roman" w:hAnsi="Times New Roman" w:cs="Times New Roman"/>
                <w:szCs w:val="21"/>
                <w:lang w:val="en-US"/>
              </w:rPr>
              <w:t>(1) 设备管理：具有专案、节点、设备、测点的建立、查看、编辑和删除等功能；</w:t>
            </w:r>
          </w:p>
          <w:p>
            <w:pPr>
              <w:pStyle w:val="96"/>
              <w:rPr>
                <w:rFonts w:hint="default" w:ascii="Times New Roman" w:hAnsi="Times New Roman" w:cs="Times New Roman"/>
                <w:szCs w:val="21"/>
                <w:lang w:val="en-US"/>
              </w:rPr>
            </w:pPr>
            <w:r>
              <w:rPr>
                <w:rFonts w:ascii="Times New Roman" w:hAnsi="Times New Roman" w:cs="Times New Roman"/>
                <w:szCs w:val="21"/>
                <w:lang w:val="en-US"/>
              </w:rPr>
              <w:t>(2) 数据采集：支持多种通用工业协议接入，如Modbus、OPC-UA、OPC-DA、SNMP、S7、MQTT、ODBC等；</w:t>
            </w:r>
          </w:p>
          <w:p>
            <w:pPr>
              <w:pStyle w:val="96"/>
              <w:rPr>
                <w:rFonts w:hint="default" w:ascii="Times New Roman" w:hAnsi="Times New Roman" w:cs="Times New Roman"/>
                <w:szCs w:val="21"/>
                <w:lang w:val="en-US"/>
              </w:rPr>
            </w:pPr>
            <w:r>
              <w:rPr>
                <w:rFonts w:ascii="Times New Roman" w:hAnsi="Times New Roman" w:cs="Times New Roman"/>
                <w:szCs w:val="21"/>
                <w:lang w:val="en-US"/>
              </w:rPr>
              <w:t>(3) 插件化协议接入：提供gRPC接口，支持开发协议插件通过gRPC接入平台，统一管理设备，插件支持多语言开发如：C#、GO、Java、C++等；</w:t>
            </w:r>
          </w:p>
          <w:p>
            <w:pPr>
              <w:pStyle w:val="96"/>
              <w:rPr>
                <w:rFonts w:hint="default" w:ascii="Times New Roman" w:hAnsi="Times New Roman" w:cs="Times New Roman"/>
                <w:szCs w:val="21"/>
                <w:lang w:val="en-US"/>
              </w:rPr>
            </w:pPr>
            <w:r>
              <w:rPr>
                <w:rFonts w:ascii="Times New Roman" w:hAnsi="Times New Roman" w:cs="Times New Roman"/>
                <w:szCs w:val="21"/>
                <w:lang w:val="en-US"/>
              </w:rPr>
              <w:t>(4) 数据算子：支持数据过滤、数据聚合、数据嵌套、数据扁平、数据计算、数据去重等多种算子，实现数据清洗过滤，支持自定义脚本算子，通过Node.js定制脚本处理数据；</w:t>
            </w:r>
          </w:p>
          <w:p>
            <w:pPr>
              <w:pStyle w:val="96"/>
              <w:rPr>
                <w:rFonts w:hint="default" w:ascii="Times New Roman" w:hAnsi="Times New Roman" w:cs="Times New Roman"/>
                <w:szCs w:val="21"/>
                <w:lang w:val="en-US"/>
              </w:rPr>
            </w:pPr>
            <w:r>
              <w:rPr>
                <w:rFonts w:ascii="Times New Roman" w:hAnsi="Times New Roman" w:cs="Times New Roman"/>
                <w:szCs w:val="21"/>
                <w:lang w:val="en-US"/>
              </w:rPr>
              <w:t>(5) 数据转发：支持转发数据存储至MongoDB和InfluxDB，支持转发数据通过MQTT，kafka等消息中间件发送至其他平台；</w:t>
            </w:r>
          </w:p>
          <w:p>
            <w:pPr>
              <w:pStyle w:val="96"/>
              <w:rPr>
                <w:rFonts w:hint="default" w:ascii="Times New Roman" w:hAnsi="Times New Roman" w:cs="Times New Roman"/>
                <w:szCs w:val="21"/>
                <w:lang w:val="en-US"/>
              </w:rPr>
            </w:pPr>
            <w:r>
              <w:rPr>
                <w:rFonts w:ascii="Times New Roman" w:hAnsi="Times New Roman" w:cs="Times New Roman"/>
                <w:szCs w:val="21"/>
                <w:lang w:val="en-US"/>
              </w:rPr>
              <w:t>(6) API：支持restful API，提供设备管理、属性采集、属性反写、告警功能、账户权限、规则转发等功能的API接口；</w:t>
            </w:r>
          </w:p>
          <w:p>
            <w:pPr>
              <w:pStyle w:val="96"/>
              <w:rPr>
                <w:rFonts w:hint="default" w:ascii="Times New Roman" w:hAnsi="Times New Roman" w:cs="Times New Roman"/>
                <w:szCs w:val="21"/>
                <w:lang w:val="en-US"/>
              </w:rPr>
            </w:pPr>
            <w:r>
              <w:rPr>
                <w:rFonts w:ascii="Times New Roman" w:hAnsi="Times New Roman" w:cs="Times New Roman"/>
                <w:szCs w:val="21"/>
                <w:lang w:val="en-US"/>
              </w:rPr>
              <w:t>(7) 警报管理：具有警报的建立、编辑、开启、查看、删除、历史记录查询等功能；</w:t>
            </w:r>
          </w:p>
          <w:p>
            <w:pPr>
              <w:pStyle w:val="96"/>
              <w:rPr>
                <w:rFonts w:hint="default" w:ascii="Times New Roman" w:hAnsi="Times New Roman" w:cs="Times New Roman"/>
                <w:szCs w:val="21"/>
                <w:lang w:val="en-US"/>
              </w:rPr>
            </w:pPr>
            <w:r>
              <w:rPr>
                <w:rFonts w:ascii="Times New Roman" w:hAnsi="Times New Roman" w:cs="Times New Roman"/>
                <w:szCs w:val="21"/>
                <w:lang w:val="en-US"/>
              </w:rPr>
              <w:t>(8) 账户管理：具有账户的创建、编辑、用户管理、角色管理、权限设置、删除等功能；</w:t>
            </w:r>
          </w:p>
          <w:p>
            <w:pPr>
              <w:pStyle w:val="96"/>
              <w:rPr>
                <w:rFonts w:hint="default" w:ascii="Times New Roman" w:hAnsi="Times New Roman" w:cs="Times New Roman"/>
                <w:szCs w:val="21"/>
                <w:lang w:val="en-US"/>
              </w:rPr>
            </w:pPr>
            <w:r>
              <w:rPr>
                <w:rFonts w:ascii="Times New Roman" w:hAnsi="Times New Roman" w:cs="Times New Roman"/>
                <w:szCs w:val="21"/>
                <w:lang w:val="en-US"/>
              </w:rPr>
              <w:t>(9) 系统设定：具有系统参数设定、编辑产品链接、协议创建、连接信息等功能；</w:t>
            </w:r>
          </w:p>
          <w:p>
            <w:pPr>
              <w:pStyle w:val="96"/>
              <w:rPr>
                <w:rFonts w:hint="default" w:ascii="Times New Roman" w:hAnsi="Times New Roman" w:cs="Times New Roman"/>
                <w:szCs w:val="21"/>
                <w:lang w:val="en-US"/>
              </w:rPr>
            </w:pPr>
            <w:r>
              <w:rPr>
                <w:rFonts w:ascii="Times New Roman" w:hAnsi="Times New Roman" w:cs="Times New Roman"/>
                <w:szCs w:val="21"/>
                <w:lang w:val="en-US"/>
              </w:rPr>
              <w:t>(10) 计算测定：支持通过公式计算多个测点值并保存到新的测点中，以便进行统计分析和展示，支持多种函数计算；</w:t>
            </w:r>
          </w:p>
          <w:p>
            <w:pPr>
              <w:pStyle w:val="96"/>
              <w:rPr>
                <w:rFonts w:hint="default" w:ascii="Times New Roman" w:hAnsi="Times New Roman" w:cs="Times New Roman"/>
                <w:szCs w:val="21"/>
                <w:lang w:val="en-US"/>
              </w:rPr>
            </w:pPr>
            <w:r>
              <w:rPr>
                <w:rFonts w:ascii="Times New Roman" w:hAnsi="Times New Roman" w:cs="Times New Roman"/>
                <w:szCs w:val="21"/>
                <w:lang w:val="en-US"/>
              </w:rPr>
              <w:t>(11) 数据采集点数：不少于600个；</w:t>
            </w:r>
          </w:p>
          <w:p>
            <w:pPr>
              <w:pStyle w:val="96"/>
              <w:rPr>
                <w:rFonts w:hint="default" w:ascii="Times New Roman" w:hAnsi="Times New Roman" w:cs="Times New Roman"/>
                <w:szCs w:val="21"/>
                <w:lang w:val="en-US"/>
              </w:rPr>
            </w:pPr>
            <w:r>
              <w:rPr>
                <w:rFonts w:ascii="Times New Roman" w:hAnsi="Times New Roman" w:cs="Times New Roman"/>
                <w:szCs w:val="21"/>
                <w:lang w:val="en-US"/>
              </w:rPr>
              <w:t>(12) 部署方式：私有化部署，可永久使用；</w:t>
            </w:r>
          </w:p>
          <w:p>
            <w:pPr>
              <w:pStyle w:val="96"/>
              <w:rPr>
                <w:rFonts w:hint="default" w:ascii="Times New Roman" w:hAnsi="Times New Roman" w:cs="Times New Roman"/>
                <w:szCs w:val="21"/>
                <w:lang w:val="en-US"/>
              </w:rPr>
            </w:pPr>
            <w:r>
              <w:rPr>
                <w:rFonts w:ascii="Times New Roman" w:hAnsi="Times New Roman" w:cs="Times New Roman"/>
                <w:szCs w:val="21"/>
                <w:lang w:val="en-US"/>
              </w:rPr>
              <w:t>3、可视化设计软件平台采用开放式的插件化架构，是一个低代码数据分析和可视化的工具，可连接常用的数据库，可快速制作各种数据展示看板，可添加多种数据源并支持开发第三方的数据服务接口。</w:t>
            </w:r>
          </w:p>
          <w:p>
            <w:pPr>
              <w:pStyle w:val="96"/>
              <w:rPr>
                <w:rFonts w:hint="default" w:ascii="Times New Roman" w:hAnsi="Times New Roman" w:cs="Times New Roman"/>
                <w:szCs w:val="21"/>
                <w:lang w:val="en-US"/>
              </w:rPr>
            </w:pPr>
            <w:r>
              <w:rPr>
                <w:rFonts w:ascii="Times New Roman" w:hAnsi="Times New Roman" w:cs="Times New Roman"/>
                <w:szCs w:val="21"/>
                <w:lang w:val="en-US"/>
              </w:rPr>
              <w:t>(1) 数据源：支持TestDB和IoTEdge；</w:t>
            </w:r>
          </w:p>
          <w:p>
            <w:pPr>
              <w:pStyle w:val="96"/>
              <w:rPr>
                <w:rFonts w:hint="default" w:ascii="Times New Roman" w:hAnsi="Times New Roman" w:cs="Times New Roman"/>
                <w:szCs w:val="21"/>
                <w:lang w:val="en-US"/>
              </w:rPr>
            </w:pPr>
            <w:r>
              <w:rPr>
                <w:rFonts w:ascii="Times New Roman" w:hAnsi="Times New Roman" w:cs="Times New Roman"/>
                <w:szCs w:val="21"/>
                <w:lang w:val="en-US"/>
              </w:rPr>
              <w:t>(2) 具有资料统计和计算功能；</w:t>
            </w:r>
          </w:p>
          <w:p>
            <w:pPr>
              <w:pStyle w:val="96"/>
              <w:rPr>
                <w:rFonts w:hint="default" w:ascii="Times New Roman" w:hAnsi="Times New Roman" w:cs="Times New Roman"/>
                <w:szCs w:val="21"/>
                <w:lang w:val="en-US"/>
              </w:rPr>
            </w:pPr>
            <w:r>
              <w:rPr>
                <w:rFonts w:ascii="Times New Roman" w:hAnsi="Times New Roman" w:cs="Times New Roman"/>
                <w:szCs w:val="21"/>
                <w:lang w:val="en-US"/>
              </w:rPr>
              <w:t>(3) 支持丰富且多元的面板设计，具有Graph、Singlestat、Bar Chart、Table、Text等多种显示组件，种类不少于60种，并支持定制化开发；</w:t>
            </w:r>
          </w:p>
          <w:p>
            <w:pPr>
              <w:pStyle w:val="96"/>
              <w:rPr>
                <w:rFonts w:hint="default" w:ascii="Times New Roman" w:hAnsi="Times New Roman" w:cs="Times New Roman"/>
                <w:szCs w:val="21"/>
                <w:lang w:val="en-US"/>
              </w:rPr>
            </w:pPr>
            <w:r>
              <w:rPr>
                <w:rFonts w:ascii="Times New Roman" w:hAnsi="Times New Roman" w:cs="Times New Roman"/>
                <w:szCs w:val="21"/>
                <w:lang w:val="en-US"/>
              </w:rPr>
              <w:t>(4) 报警功能：可灵活设置报警条件，支持Email、webhook、LINE、Slack、WeChat等多渠道通知方式；</w:t>
            </w:r>
          </w:p>
          <w:p>
            <w:pPr>
              <w:pStyle w:val="96"/>
              <w:rPr>
                <w:rFonts w:hint="default" w:ascii="Times New Roman" w:hAnsi="Times New Roman" w:cs="Times New Roman"/>
                <w:szCs w:val="21"/>
                <w:lang w:val="en-US"/>
              </w:rPr>
            </w:pPr>
            <w:r>
              <w:rPr>
                <w:rFonts w:ascii="Times New Roman" w:hAnsi="Times New Roman" w:cs="Times New Roman"/>
                <w:szCs w:val="21"/>
                <w:lang w:val="en-US"/>
              </w:rPr>
              <w:t>(5) 主题：支持浅色和深色两种，支持背景，边框等样式设置；</w:t>
            </w:r>
          </w:p>
          <w:p>
            <w:pPr>
              <w:pStyle w:val="96"/>
              <w:rPr>
                <w:rFonts w:hint="default" w:ascii="Times New Roman" w:hAnsi="Times New Roman" w:cs="Times New Roman"/>
                <w:szCs w:val="21"/>
                <w:lang w:val="en-US"/>
              </w:rPr>
            </w:pPr>
            <w:r>
              <w:rPr>
                <w:rFonts w:ascii="Times New Roman" w:hAnsi="Times New Roman" w:cs="Times New Roman"/>
                <w:szCs w:val="21"/>
                <w:lang w:val="en-US"/>
              </w:rPr>
              <w:t>(6) 动态显示功能：显示面板可随变量的切换动态加载不同测点数据，支持根据变量多选时动态生成多个显示面板；</w:t>
            </w:r>
          </w:p>
          <w:p>
            <w:pPr>
              <w:pStyle w:val="96"/>
              <w:rPr>
                <w:rFonts w:hint="default" w:ascii="Times New Roman" w:hAnsi="Times New Roman" w:cs="Times New Roman"/>
                <w:szCs w:val="21"/>
                <w:lang w:val="en-US"/>
              </w:rPr>
            </w:pPr>
            <w:r>
              <w:rPr>
                <w:rFonts w:ascii="Times New Roman" w:hAnsi="Times New Roman" w:cs="Times New Roman"/>
                <w:szCs w:val="21"/>
                <w:lang w:val="en-US"/>
              </w:rPr>
              <w:t>(7) 提供SRP-Frame应用构建框架，支持2K、4K、8K等大分辨率的自适应；</w:t>
            </w:r>
          </w:p>
          <w:p>
            <w:pPr>
              <w:pStyle w:val="96"/>
              <w:rPr>
                <w:rFonts w:hint="default" w:ascii="Times New Roman" w:hAnsi="Times New Roman" w:cs="Times New Roman"/>
                <w:szCs w:val="21"/>
                <w:lang w:val="en-US"/>
              </w:rPr>
            </w:pPr>
            <w:r>
              <w:rPr>
                <w:rFonts w:ascii="Times New Roman" w:hAnsi="Times New Roman" w:cs="Times New Roman"/>
                <w:szCs w:val="21"/>
                <w:lang w:val="en-US"/>
              </w:rPr>
              <w:t>(8) 权限管理功能：支持添加用户、团队，具有4个维度的权限设置；</w:t>
            </w:r>
          </w:p>
          <w:p>
            <w:pPr>
              <w:pStyle w:val="96"/>
              <w:rPr>
                <w:rFonts w:hint="default" w:ascii="Times New Roman" w:hAnsi="Times New Roman" w:cs="Times New Roman"/>
                <w:szCs w:val="21"/>
                <w:lang w:val="en-US"/>
              </w:rPr>
            </w:pPr>
            <w:r>
              <w:rPr>
                <w:rFonts w:ascii="Times New Roman" w:hAnsi="Times New Roman" w:cs="Times New Roman"/>
                <w:szCs w:val="21"/>
                <w:lang w:val="en-US"/>
              </w:rPr>
              <w:t>(9) 部署方式：私有化部署，可永久使用。</w:t>
            </w:r>
          </w:p>
          <w:p>
            <w:pPr>
              <w:pStyle w:val="96"/>
              <w:rPr>
                <w:rFonts w:hint="default" w:ascii="Times New Roman" w:hAnsi="Times New Roman" w:cs="Times New Roman"/>
                <w:szCs w:val="21"/>
                <w:lang w:val="en-US"/>
              </w:rPr>
            </w:pPr>
            <w:r>
              <w:rPr>
                <w:rFonts w:ascii="Times New Roman" w:hAnsi="Times New Roman" w:cs="Times New Roman"/>
                <w:szCs w:val="21"/>
                <w:lang w:val="en-US"/>
              </w:rPr>
              <w:t>4、电子看板：超高清4K屏幕，尺寸不小于65寸。</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5、完成系统的二次开发，与设备完全匹配。</w:t>
            </w:r>
          </w:p>
          <w:p>
            <w:pPr>
              <w:pStyle w:val="96"/>
              <w:rPr>
                <w:rFonts w:hint="default" w:ascii="Times New Roman" w:hAnsi="Times New Roman" w:cs="Times New Roman"/>
                <w:szCs w:val="21"/>
                <w:lang w:val="en-US" w:bidi="ar-SA"/>
              </w:rPr>
            </w:pPr>
          </w:p>
        </w:tc>
        <w:tc>
          <w:tcPr>
            <w:tcW w:w="286" w:type="pct"/>
            <w:vAlign w:val="center"/>
          </w:tcPr>
          <w:p>
            <w:pPr>
              <w:spacing w:line="300" w:lineRule="auto"/>
              <w:jc w:val="center"/>
              <w:rPr>
                <w:rFonts w:hint="default"/>
                <w:szCs w:val="21"/>
              </w:rPr>
            </w:pPr>
            <w:r>
              <w:rPr>
                <w:szCs w:val="21"/>
              </w:rPr>
              <w:t>1</w:t>
            </w:r>
          </w:p>
        </w:tc>
        <w:tc>
          <w:tcPr>
            <w:tcW w:w="376" w:type="pct"/>
            <w:vAlign w:val="center"/>
          </w:tcPr>
          <w:p>
            <w:pPr>
              <w:spacing w:line="300" w:lineRule="auto"/>
              <w:jc w:val="center"/>
              <w:rPr>
                <w:rFonts w:hint="default"/>
                <w:szCs w:val="21"/>
              </w:rPr>
            </w:pPr>
            <w:r>
              <w:rPr>
                <w:szCs w:val="21"/>
              </w:rPr>
              <w:t>套</w:t>
            </w:r>
          </w:p>
        </w:tc>
        <w:tc>
          <w:tcPr>
            <w:tcW w:w="539" w:type="pct"/>
            <w:vAlign w:val="center"/>
          </w:tcPr>
          <w:p>
            <w:pPr>
              <w:spacing w:line="300" w:lineRule="auto"/>
              <w:jc w:val="center"/>
              <w:rPr>
                <w:rFonts w:hint="default"/>
                <w:szCs w:val="21"/>
              </w:rPr>
            </w:pPr>
            <w:r>
              <w:rPr>
                <w:szCs w:val="21"/>
              </w:rPr>
              <w:t>工业</w:t>
            </w:r>
          </w:p>
        </w:tc>
        <w:tc>
          <w:tcPr>
            <w:tcW w:w="776" w:type="pct"/>
            <w:vAlign w:val="center"/>
          </w:tcPr>
          <w:p>
            <w:pPr>
              <w:spacing w:line="300" w:lineRule="auto"/>
              <w:jc w:val="center"/>
              <w:rPr>
                <w:rFonts w:hint="default"/>
                <w:szCs w:val="21"/>
              </w:rPr>
            </w:pPr>
            <w:r>
              <w:rPr>
                <w:szCs w:val="21"/>
              </w:rPr>
              <w:t>海宁校区16号楼一楼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300" w:lineRule="auto"/>
              <w:jc w:val="center"/>
              <w:rPr>
                <w:rFonts w:hint="default"/>
                <w:sz w:val="24"/>
                <w:szCs w:val="24"/>
              </w:rPr>
            </w:pPr>
            <w:r>
              <w:rPr>
                <w:sz w:val="24"/>
                <w:szCs w:val="24"/>
              </w:rPr>
              <w:t>13</w:t>
            </w:r>
          </w:p>
        </w:tc>
        <w:tc>
          <w:tcPr>
            <w:tcW w:w="418" w:type="pct"/>
            <w:vAlign w:val="center"/>
          </w:tcPr>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1.13数字孪生系统软件</w:t>
            </w:r>
          </w:p>
        </w:tc>
        <w:tc>
          <w:tcPr>
            <w:tcW w:w="2275" w:type="pct"/>
            <w:vAlign w:val="center"/>
          </w:tcPr>
          <w:p>
            <w:pPr>
              <w:pStyle w:val="96"/>
              <w:ind w:firstLine="210" w:firstLineChars="100"/>
              <w:rPr>
                <w:rFonts w:hint="default"/>
              </w:rPr>
            </w:pPr>
          </w:p>
          <w:p>
            <w:pPr>
              <w:pStyle w:val="96"/>
              <w:ind w:firstLine="210" w:firstLineChars="100"/>
              <w:rPr>
                <w:rFonts w:hint="default" w:ascii="Times New Roman" w:hAnsi="Times New Roman" w:cs="Times New Roman"/>
                <w:szCs w:val="21"/>
                <w:lang w:val="en-US" w:bidi="ar-SA"/>
              </w:rPr>
            </w:pPr>
            <w:r>
              <w:rPr>
                <w:rFonts w:ascii="Times New Roman" w:hAnsi="Times New Roman" w:cs="Times New Roman"/>
                <w:szCs w:val="21"/>
                <w:lang w:val="en-US" w:bidi="ar-SA"/>
              </w:rPr>
              <w:t>技术参数：</w:t>
            </w:r>
          </w:p>
          <w:p>
            <w:pPr>
              <w:pStyle w:val="96"/>
              <w:ind w:firstLine="210" w:firstLineChars="100"/>
              <w:rPr>
                <w:rFonts w:hint="default" w:ascii="Times New Roman" w:hAnsi="Times New Roman" w:cs="Times New Roman"/>
                <w:szCs w:val="21"/>
                <w:lang w:val="en-US" w:bidi="ar-SA"/>
              </w:rPr>
            </w:pPr>
            <w:r>
              <w:rPr>
                <w:rFonts w:ascii="Times New Roman" w:hAnsi="Times New Roman" w:cs="Times New Roman"/>
                <w:szCs w:val="21"/>
                <w:lang w:val="en-US" w:bidi="ar-SA"/>
              </w:rPr>
              <w:t>数字孪生系统软件具有一体化工业仿真平台，能在同一3D环境下进行装配仿真、人机仿真、自动化仿真、物流仿真、设备联机等功能实现。</w:t>
            </w:r>
          </w:p>
          <w:p>
            <w:pPr>
              <w:pStyle w:val="96"/>
              <w:ind w:firstLine="210" w:firstLineChars="100"/>
              <w:rPr>
                <w:rFonts w:hint="default" w:ascii="Times New Roman" w:hAnsi="Times New Roman" w:cs="Times New Roman"/>
                <w:szCs w:val="21"/>
                <w:lang w:val="en-US" w:bidi="ar-SA"/>
              </w:rPr>
            </w:pPr>
            <w:r>
              <w:rPr>
                <w:rFonts w:ascii="Times New Roman" w:hAnsi="Times New Roman" w:cs="Times New Roman"/>
                <w:szCs w:val="21"/>
                <w:lang w:val="en-US" w:bidi="ar-SA"/>
              </w:rPr>
              <w:t>具备内嵌组件库；支持外部模型导入/导出；支持非标设备组件开发；支持通过OPCUA协议和西门子S7协议与现场设备进行数据交互及虚拟调试；支持主流机器人等品牌轨迹规划离线编程、碰撞检测、可达性分析、代码导出；支持主流机器人品牌的轨迹规划离线编程、碰撞检测、可达性分析、代码导出；可进行装配顺序规划；支持装配线的产能、瓶颈、缓存区利用率、生产和运输设备利用率、人力资源利用率、工时平衡、物料配送策略分析；可进行人机工程学可达性、可视性、间隙检查等评估；支持与Unity3D的实时直播，模型组件、设备动作、设备联机信号的全面集成；支持Modbus通讯协议，拥有惯性、碰撞、重力、摩擦等物理行为仿真；支持柔性线束电缆仿真；支持VR 设备实时交互、基于VR虚拟现实的工业仿真展示；复杂的物流逻辑、设备逻辑可使用Python等高级语言编写；具备二次开发能力及多种仿真优化工具。</w:t>
            </w:r>
            <w:r>
              <w:rPr>
                <w:rFonts w:ascii="Times New Roman" w:hAnsi="Times New Roman" w:cs="Times New Roman"/>
                <w:b/>
                <w:bCs/>
                <w:szCs w:val="21"/>
                <w:lang w:val="en-US" w:bidi="ar-SA"/>
              </w:rPr>
              <w:t>（</w:t>
            </w:r>
            <w:r>
              <w:rPr>
                <w:rFonts w:ascii="Times New Roman" w:hAnsi="Times New Roman" w:cs="Times New Roman"/>
                <w:b/>
                <w:szCs w:val="21"/>
                <w:lang w:val="en-US" w:bidi="ar-SA"/>
              </w:rPr>
              <w:t>投标时对智能仓储单元的孪生功能进行出入库</w:t>
            </w:r>
            <w:r>
              <w:rPr>
                <w:b/>
              </w:rPr>
              <w:t>仿真视频</w:t>
            </w:r>
            <w:r>
              <w:rPr>
                <w:rFonts w:ascii="Times New Roman" w:hAnsi="Times New Roman" w:cs="Times New Roman"/>
                <w:b/>
                <w:szCs w:val="21"/>
                <w:lang w:val="en-US" w:bidi="ar-SA"/>
              </w:rPr>
              <w:t>演示</w:t>
            </w:r>
            <w:r>
              <w:rPr>
                <w:rFonts w:cs="Times New Roman"/>
                <w:b/>
                <w:szCs w:val="21"/>
                <w:lang w:val="en-US"/>
              </w:rPr>
              <w:t>，</w:t>
            </w:r>
            <w:r>
              <w:rPr>
                <w:rFonts w:cs="Times New Roman"/>
                <w:b/>
                <w:sz w:val="20"/>
                <w:lang w:val="en-US"/>
              </w:rPr>
              <w:t>具体详见</w:t>
            </w:r>
            <w:r>
              <w:rPr>
                <w:rFonts w:hint="default"/>
                <w:b/>
                <w:sz w:val="22"/>
                <w:szCs w:val="22"/>
              </w:rPr>
              <w:t>评审内容及标准</w:t>
            </w:r>
            <w:r>
              <w:rPr>
                <w:rFonts w:ascii="Times New Roman" w:hAnsi="Times New Roman" w:cs="Times New Roman"/>
                <w:b/>
                <w:szCs w:val="21"/>
                <w:lang w:val="en-US" w:bidi="ar-SA"/>
              </w:rPr>
              <w:t>。）</w:t>
            </w:r>
          </w:p>
        </w:tc>
        <w:tc>
          <w:tcPr>
            <w:tcW w:w="286" w:type="pct"/>
            <w:vAlign w:val="center"/>
          </w:tcPr>
          <w:p>
            <w:pPr>
              <w:spacing w:line="300" w:lineRule="auto"/>
              <w:jc w:val="center"/>
              <w:rPr>
                <w:rFonts w:hint="default"/>
                <w:szCs w:val="21"/>
              </w:rPr>
            </w:pPr>
            <w:r>
              <w:rPr>
                <w:szCs w:val="21"/>
              </w:rPr>
              <w:t>1</w:t>
            </w:r>
          </w:p>
        </w:tc>
        <w:tc>
          <w:tcPr>
            <w:tcW w:w="376" w:type="pct"/>
            <w:vAlign w:val="center"/>
          </w:tcPr>
          <w:p>
            <w:pPr>
              <w:spacing w:line="300" w:lineRule="auto"/>
              <w:jc w:val="center"/>
              <w:rPr>
                <w:rFonts w:hint="default"/>
                <w:szCs w:val="21"/>
              </w:rPr>
            </w:pPr>
            <w:r>
              <w:rPr>
                <w:szCs w:val="21"/>
              </w:rPr>
              <w:t>套</w:t>
            </w:r>
          </w:p>
        </w:tc>
        <w:tc>
          <w:tcPr>
            <w:tcW w:w="539" w:type="pct"/>
            <w:vAlign w:val="center"/>
          </w:tcPr>
          <w:p>
            <w:pPr>
              <w:spacing w:line="300" w:lineRule="auto"/>
              <w:jc w:val="center"/>
              <w:rPr>
                <w:rFonts w:hint="default"/>
                <w:szCs w:val="21"/>
              </w:rPr>
            </w:pPr>
            <w:r>
              <w:rPr>
                <w:szCs w:val="21"/>
              </w:rPr>
              <w:t>工业</w:t>
            </w:r>
          </w:p>
        </w:tc>
        <w:tc>
          <w:tcPr>
            <w:tcW w:w="776" w:type="pct"/>
            <w:vAlign w:val="center"/>
          </w:tcPr>
          <w:p>
            <w:pPr>
              <w:spacing w:line="300" w:lineRule="auto"/>
              <w:jc w:val="center"/>
              <w:rPr>
                <w:rFonts w:hint="default"/>
                <w:szCs w:val="21"/>
              </w:rPr>
            </w:pPr>
            <w:r>
              <w:rPr>
                <w:szCs w:val="21"/>
              </w:rPr>
              <w:t>海宁校区16号楼一楼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300" w:lineRule="auto"/>
              <w:jc w:val="center"/>
              <w:rPr>
                <w:rFonts w:hint="default"/>
                <w:sz w:val="24"/>
                <w:szCs w:val="24"/>
              </w:rPr>
            </w:pPr>
            <w:r>
              <w:rPr>
                <w:sz w:val="24"/>
                <w:szCs w:val="24"/>
              </w:rPr>
              <w:t>14</w:t>
            </w:r>
          </w:p>
        </w:tc>
        <w:tc>
          <w:tcPr>
            <w:tcW w:w="418" w:type="pct"/>
            <w:vAlign w:val="center"/>
          </w:tcPr>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1.14数据大屏(配落实式安装可移动平台)</w:t>
            </w:r>
          </w:p>
        </w:tc>
        <w:tc>
          <w:tcPr>
            <w:tcW w:w="2275" w:type="pct"/>
            <w:vAlign w:val="center"/>
          </w:tcPr>
          <w:p>
            <w:pPr>
              <w:rPr>
                <w:rFonts w:hint="default"/>
              </w:rPr>
            </w:pP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技术参数：</w:t>
            </w:r>
          </w:p>
          <w:p>
            <w:pPr>
              <w:pStyle w:val="96"/>
              <w:ind w:firstLine="210" w:firstLineChars="100"/>
              <w:rPr>
                <w:rFonts w:hint="default" w:ascii="Times New Roman" w:hAnsi="Times New Roman" w:cs="Times New Roman"/>
                <w:szCs w:val="21"/>
                <w:lang w:val="en-US" w:bidi="ar-SA"/>
              </w:rPr>
            </w:pPr>
            <w:r>
              <w:rPr>
                <w:rFonts w:ascii="Times New Roman" w:hAnsi="Times New Roman" w:cs="Times New Roman"/>
                <w:szCs w:val="21"/>
                <w:lang w:val="en-US" w:bidi="ar-SA"/>
              </w:rPr>
              <w:t>数据大屏用于整个数字化制造系统的监视。</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1、数据大屏：超高清4K屏幕，尺寸不小于65寸；</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2、落实式安装平台配有储物柜、配有键盘抽屉，可放置的键盘和鼠标，功能齐全，采用静音导轨，坚固可靠，推拉顺畅；</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3、整体尺寸：约1460mm×520mm× 1950mm(长×宽×高)；</w:t>
            </w:r>
            <w:r>
              <w:rPr>
                <w:rFonts w:ascii="Times New Roman" w:hAnsi="Times New Roman"/>
                <w:szCs w:val="21"/>
              </w:rPr>
              <w:t xml:space="preserve"> </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4、配四只2.5寸带刹车万向脚轮，移动方便。</w:t>
            </w:r>
          </w:p>
        </w:tc>
        <w:tc>
          <w:tcPr>
            <w:tcW w:w="286" w:type="pct"/>
            <w:vAlign w:val="center"/>
          </w:tcPr>
          <w:p>
            <w:pPr>
              <w:spacing w:line="300" w:lineRule="auto"/>
              <w:jc w:val="center"/>
              <w:rPr>
                <w:rFonts w:hint="default"/>
                <w:szCs w:val="21"/>
              </w:rPr>
            </w:pPr>
            <w:r>
              <w:rPr>
                <w:szCs w:val="21"/>
              </w:rPr>
              <w:t>2</w:t>
            </w:r>
          </w:p>
        </w:tc>
        <w:tc>
          <w:tcPr>
            <w:tcW w:w="376" w:type="pct"/>
            <w:vAlign w:val="center"/>
          </w:tcPr>
          <w:p>
            <w:pPr>
              <w:spacing w:line="300" w:lineRule="auto"/>
              <w:jc w:val="center"/>
              <w:rPr>
                <w:rFonts w:hint="default"/>
                <w:szCs w:val="21"/>
              </w:rPr>
            </w:pPr>
            <w:r>
              <w:rPr>
                <w:szCs w:val="21"/>
              </w:rPr>
              <w:t>套</w:t>
            </w:r>
          </w:p>
        </w:tc>
        <w:tc>
          <w:tcPr>
            <w:tcW w:w="539" w:type="pct"/>
            <w:vAlign w:val="center"/>
          </w:tcPr>
          <w:p>
            <w:pPr>
              <w:spacing w:line="300" w:lineRule="auto"/>
              <w:jc w:val="center"/>
              <w:rPr>
                <w:rFonts w:hint="default"/>
                <w:szCs w:val="21"/>
              </w:rPr>
            </w:pPr>
            <w:r>
              <w:rPr>
                <w:szCs w:val="21"/>
              </w:rPr>
              <w:t>工业</w:t>
            </w:r>
          </w:p>
        </w:tc>
        <w:tc>
          <w:tcPr>
            <w:tcW w:w="776" w:type="pct"/>
            <w:vAlign w:val="center"/>
          </w:tcPr>
          <w:p>
            <w:pPr>
              <w:spacing w:line="300" w:lineRule="auto"/>
              <w:jc w:val="center"/>
              <w:rPr>
                <w:rFonts w:hint="default"/>
                <w:szCs w:val="21"/>
              </w:rPr>
            </w:pPr>
            <w:r>
              <w:rPr>
                <w:szCs w:val="21"/>
              </w:rPr>
              <w:t>海宁校区16号楼一楼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300" w:lineRule="auto"/>
              <w:jc w:val="center"/>
              <w:rPr>
                <w:rFonts w:hint="default"/>
                <w:sz w:val="24"/>
                <w:szCs w:val="24"/>
              </w:rPr>
            </w:pPr>
            <w:r>
              <w:rPr>
                <w:sz w:val="24"/>
                <w:szCs w:val="24"/>
              </w:rPr>
              <w:t>15</w:t>
            </w:r>
          </w:p>
        </w:tc>
        <w:tc>
          <w:tcPr>
            <w:tcW w:w="418" w:type="pct"/>
            <w:vAlign w:val="center"/>
          </w:tcPr>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1.15工业计算机</w:t>
            </w:r>
          </w:p>
        </w:tc>
        <w:tc>
          <w:tcPr>
            <w:tcW w:w="2275" w:type="pct"/>
            <w:vAlign w:val="center"/>
          </w:tcPr>
          <w:p>
            <w:pPr>
              <w:rPr>
                <w:rFonts w:hint="default"/>
              </w:rPr>
            </w:pP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技术参数：</w:t>
            </w:r>
          </w:p>
          <w:p>
            <w:pPr>
              <w:pStyle w:val="96"/>
              <w:ind w:firstLine="210" w:firstLineChars="100"/>
              <w:rPr>
                <w:rFonts w:hint="default" w:ascii="Times New Roman" w:hAnsi="Times New Roman" w:cs="Times New Roman"/>
                <w:szCs w:val="21"/>
                <w:lang w:val="en-US" w:bidi="ar-SA"/>
              </w:rPr>
            </w:pPr>
            <w:r>
              <w:rPr>
                <w:rFonts w:ascii="Times New Roman" w:hAnsi="Times New Roman" w:cs="Times New Roman"/>
                <w:szCs w:val="21"/>
                <w:lang w:val="en-US" w:bidi="ar-SA"/>
              </w:rPr>
              <w:t>工控机用于整个数字化制造系统的控制与操作。</w:t>
            </w:r>
          </w:p>
          <w:p>
            <w:pPr>
              <w:pStyle w:val="96"/>
              <w:rPr>
                <w:rFonts w:hint="default" w:ascii="Times New Roman" w:hAnsi="Times New Roman" w:cs="Times New Roman"/>
                <w:szCs w:val="21"/>
                <w:lang w:val="en-US" w:bidi="ar-SA"/>
              </w:rPr>
            </w:pPr>
            <w:r>
              <w:rPr>
                <w:rFonts w:ascii="Times New Roman" w:hAnsi="Times New Roman" w:cs="Times New Roman"/>
                <w:szCs w:val="21"/>
                <w:lang w:val="en-US" w:bidi="ar-SA"/>
              </w:rPr>
              <w:t xml:space="preserve">  CPU≥ i7/≥16G内存≥/256G固态硬盘/≥4G独立显卡/23.8WLED</w:t>
            </w:r>
          </w:p>
        </w:tc>
        <w:tc>
          <w:tcPr>
            <w:tcW w:w="286" w:type="pct"/>
            <w:vAlign w:val="center"/>
          </w:tcPr>
          <w:p>
            <w:pPr>
              <w:spacing w:line="300" w:lineRule="auto"/>
              <w:jc w:val="center"/>
              <w:rPr>
                <w:rFonts w:hint="default"/>
                <w:szCs w:val="21"/>
              </w:rPr>
            </w:pPr>
            <w:r>
              <w:rPr>
                <w:szCs w:val="21"/>
              </w:rPr>
              <w:t>8</w:t>
            </w:r>
          </w:p>
        </w:tc>
        <w:tc>
          <w:tcPr>
            <w:tcW w:w="376" w:type="pct"/>
            <w:vAlign w:val="center"/>
          </w:tcPr>
          <w:p>
            <w:pPr>
              <w:spacing w:line="300" w:lineRule="auto"/>
              <w:jc w:val="center"/>
              <w:rPr>
                <w:rFonts w:hint="default"/>
                <w:szCs w:val="21"/>
              </w:rPr>
            </w:pPr>
            <w:r>
              <w:rPr>
                <w:szCs w:val="21"/>
              </w:rPr>
              <w:t>台</w:t>
            </w:r>
          </w:p>
        </w:tc>
        <w:tc>
          <w:tcPr>
            <w:tcW w:w="539" w:type="pct"/>
            <w:vAlign w:val="center"/>
          </w:tcPr>
          <w:p>
            <w:pPr>
              <w:spacing w:line="300" w:lineRule="auto"/>
              <w:jc w:val="center"/>
              <w:rPr>
                <w:rFonts w:hint="default"/>
                <w:szCs w:val="21"/>
              </w:rPr>
            </w:pPr>
            <w:r>
              <w:rPr>
                <w:szCs w:val="21"/>
              </w:rPr>
              <w:t>工业</w:t>
            </w:r>
          </w:p>
        </w:tc>
        <w:tc>
          <w:tcPr>
            <w:tcW w:w="776" w:type="pct"/>
            <w:vAlign w:val="center"/>
          </w:tcPr>
          <w:p>
            <w:pPr>
              <w:spacing w:line="300" w:lineRule="auto"/>
              <w:jc w:val="center"/>
              <w:rPr>
                <w:rFonts w:hint="default"/>
                <w:szCs w:val="21"/>
              </w:rPr>
            </w:pPr>
            <w:r>
              <w:rPr>
                <w:szCs w:val="21"/>
              </w:rPr>
              <w:t>海宁校区16号楼一楼</w:t>
            </w:r>
          </w:p>
        </w:tc>
      </w:tr>
    </w:tbl>
    <w:p>
      <w:pPr>
        <w:adjustRightInd w:val="0"/>
        <w:snapToGrid w:val="0"/>
        <w:spacing w:line="360" w:lineRule="auto"/>
        <w:ind w:firstLine="422" w:firstLineChars="200"/>
        <w:rPr>
          <w:rFonts w:hint="default"/>
          <w:b/>
          <w:bCs/>
          <w:szCs w:val="21"/>
        </w:rPr>
      </w:pPr>
      <w:r>
        <w:rPr>
          <w:rFonts w:hint="default"/>
          <w:b/>
          <w:bCs/>
          <w:szCs w:val="21"/>
        </w:rPr>
        <w:t>备注：</w:t>
      </w:r>
      <w:r>
        <w:rPr>
          <w:b/>
          <w:bCs/>
          <w:szCs w:val="21"/>
        </w:rPr>
        <w:t>1、</w:t>
      </w:r>
      <w:r>
        <w:rPr>
          <w:rFonts w:hint="default"/>
          <w:b/>
          <w:bCs/>
          <w:szCs w:val="21"/>
        </w:rPr>
        <w:t>标有“※”系</w:t>
      </w:r>
      <w:r>
        <w:rPr>
          <w:rFonts w:ascii="宋体" w:hAnsi="宋体" w:cs="宋体"/>
          <w:b/>
          <w:bCs/>
          <w:szCs w:val="21"/>
        </w:rPr>
        <w:t>产品（1.2 智能物流系统(含AMR、充电桩、输送线及软件)）</w:t>
      </w:r>
      <w:r>
        <w:rPr>
          <w:rFonts w:hint="default"/>
          <w:b/>
          <w:bCs/>
          <w:szCs w:val="21"/>
        </w:rPr>
        <w:t>采购项目中核心产品</w:t>
      </w:r>
      <w:r>
        <w:rPr>
          <w:rFonts w:ascii="宋体" w:hAnsi="宋体" w:cs="宋体"/>
          <w:b/>
          <w:bCs/>
          <w:szCs w:val="21"/>
        </w:rPr>
        <w:t>。如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pPr>
        <w:pStyle w:val="38"/>
        <w:numPr>
          <w:ilvl w:val="0"/>
          <w:numId w:val="6"/>
        </w:numPr>
        <w:spacing w:before="0" w:beforeAutospacing="0" w:after="0" w:afterAutospacing="0" w:line="360" w:lineRule="auto"/>
        <w:ind w:firstLine="632" w:firstLineChars="300"/>
        <w:rPr>
          <w:rFonts w:hint="default" w:ascii="Times New Roman" w:hAnsi="Times New Roman"/>
          <w:b/>
          <w:bCs/>
          <w:color w:val="auto"/>
          <w:sz w:val="21"/>
          <w:szCs w:val="21"/>
        </w:rPr>
      </w:pPr>
      <w:r>
        <w:rPr>
          <w:rFonts w:ascii="Times New Roman" w:hAnsi="Times New Roman"/>
          <w:b/>
          <w:bCs/>
          <w:color w:val="auto"/>
          <w:sz w:val="21"/>
          <w:szCs w:val="21"/>
        </w:rPr>
        <w:t>招标参数要求中如出现明确数值（包括并不限于产品尺寸、用电量、容积等），均为最低指标要求，投标产品指标参数应不低于该要求。</w:t>
      </w:r>
    </w:p>
    <w:p>
      <w:pPr>
        <w:spacing w:line="360" w:lineRule="auto"/>
        <w:ind w:firstLine="482" w:firstLineChars="200"/>
        <w:rPr>
          <w:rFonts w:hint="default" w:ascii="宋体" w:hAnsi="宋体" w:cs="宋体"/>
          <w:b/>
          <w:sz w:val="24"/>
          <w:szCs w:val="24"/>
        </w:rPr>
      </w:pPr>
      <w:r>
        <w:rPr>
          <w:rFonts w:ascii="宋体" w:hAnsi="宋体" w:cs="宋体"/>
          <w:b/>
          <w:sz w:val="24"/>
          <w:szCs w:val="24"/>
        </w:rPr>
        <w:t>二、商务要求：</w:t>
      </w:r>
    </w:p>
    <w:p>
      <w:pPr>
        <w:pStyle w:val="95"/>
        <w:spacing w:line="360" w:lineRule="auto"/>
        <w:ind w:left="420" w:leftChars="200" w:firstLine="241" w:firstLineChars="100"/>
        <w:jc w:val="both"/>
        <w:rPr>
          <w:rFonts w:hint="default" w:ascii="宋体" w:hAnsi="宋体" w:cs="宋体"/>
          <w:sz w:val="24"/>
          <w:szCs w:val="24"/>
          <w:lang w:eastAsia="zh-CN"/>
        </w:rPr>
      </w:pPr>
      <w:r>
        <w:rPr>
          <w:rFonts w:ascii="宋体" w:hAnsi="宋体" w:cs="宋体"/>
          <w:b/>
          <w:sz w:val="24"/>
          <w:szCs w:val="24"/>
          <w:lang w:eastAsia="zh-CN"/>
        </w:rPr>
        <w:t>1.售后服务保障要求：</w:t>
      </w:r>
    </w:p>
    <w:p>
      <w:pPr>
        <w:spacing w:line="360" w:lineRule="auto"/>
        <w:ind w:firstLine="480" w:firstLineChars="200"/>
        <w:rPr>
          <w:rFonts w:hint="default" w:ascii="宋体" w:hAnsi="宋体" w:cs="宋体"/>
          <w:sz w:val="24"/>
          <w:szCs w:val="24"/>
        </w:rPr>
      </w:pPr>
      <w:r>
        <w:rPr>
          <w:rFonts w:ascii="宋体" w:hAnsi="宋体" w:cs="宋体"/>
          <w:sz w:val="24"/>
          <w:szCs w:val="24"/>
        </w:rPr>
        <w:t>（1）货物（设备/软件）验收合格后提供 ≥3年质保，质保期内因不能排除的故障而影响工作的情况每发生一次，质保期相应延长60天，质保期内因设备本身缺陷造成各种故障应由卖方免费技术服务和维修，若技术需求中有质保要求，以技术需求为准。</w:t>
      </w:r>
    </w:p>
    <w:p>
      <w:pPr>
        <w:spacing w:line="360" w:lineRule="auto"/>
        <w:ind w:firstLine="480" w:firstLineChars="200"/>
        <w:rPr>
          <w:rFonts w:hint="default" w:ascii="宋体" w:hAnsi="宋体" w:cs="宋体"/>
          <w:sz w:val="24"/>
          <w:szCs w:val="24"/>
        </w:rPr>
      </w:pPr>
      <w:r>
        <w:rPr>
          <w:rFonts w:ascii="宋体" w:hAnsi="宋体" w:cs="宋体"/>
          <w:sz w:val="24"/>
          <w:szCs w:val="24"/>
        </w:rPr>
        <w:t>（2）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pPr>
        <w:spacing w:line="360" w:lineRule="auto"/>
        <w:ind w:firstLine="480" w:firstLineChars="200"/>
        <w:rPr>
          <w:rFonts w:hint="default" w:ascii="宋体" w:hAnsi="宋体" w:cs="宋体"/>
          <w:sz w:val="24"/>
          <w:szCs w:val="24"/>
        </w:rPr>
      </w:pPr>
      <w:r>
        <w:rPr>
          <w:rFonts w:ascii="宋体" w:hAnsi="宋体" w:cs="宋体"/>
          <w:sz w:val="24"/>
          <w:szCs w:val="24"/>
        </w:rPr>
        <w:t>（3）货物（设备/软件）发生故障接到用户维修要求后，投标人应承诺在24小时内响应并提出解决方案，48小时内到现场进行故障处理，维修过程中所需材料在接到通知后应及时提供，最多不超过12小时。若（设备）短期无法修复，应提供相应备件并负责安装调试。</w:t>
      </w:r>
    </w:p>
    <w:p>
      <w:pPr>
        <w:pStyle w:val="95"/>
        <w:spacing w:line="360" w:lineRule="auto"/>
        <w:ind w:left="420" w:leftChars="200" w:firstLine="0"/>
        <w:jc w:val="both"/>
        <w:rPr>
          <w:rFonts w:hint="default" w:ascii="宋体" w:hAnsi="宋体" w:cs="宋体"/>
          <w:bCs/>
          <w:sz w:val="24"/>
          <w:szCs w:val="24"/>
          <w:lang w:eastAsia="zh-CN"/>
        </w:rPr>
      </w:pPr>
      <w:r>
        <w:rPr>
          <w:rFonts w:ascii="宋体" w:hAnsi="宋体" w:cs="宋体"/>
          <w:b/>
          <w:sz w:val="24"/>
          <w:szCs w:val="24"/>
          <w:lang w:eastAsia="zh-CN"/>
        </w:rPr>
        <w:t>2.培训：</w:t>
      </w:r>
      <w:r>
        <w:rPr>
          <w:rFonts w:ascii="宋体" w:hAnsi="宋体" w:cs="宋体"/>
          <w:bCs/>
          <w:sz w:val="24"/>
          <w:szCs w:val="24"/>
          <w:lang w:eastAsia="zh-CN"/>
        </w:rPr>
        <w:t>提供设备操作培训及培训资料。</w:t>
      </w:r>
    </w:p>
    <w:p>
      <w:pPr>
        <w:pStyle w:val="95"/>
        <w:spacing w:line="360" w:lineRule="auto"/>
        <w:ind w:left="420" w:leftChars="200" w:firstLine="0"/>
        <w:jc w:val="both"/>
        <w:rPr>
          <w:rFonts w:hint="default" w:ascii="宋体" w:hAnsi="宋体" w:cs="宋体"/>
          <w:sz w:val="24"/>
          <w:szCs w:val="24"/>
          <w:lang w:eastAsia="zh-CN"/>
        </w:rPr>
      </w:pPr>
      <w:r>
        <w:rPr>
          <w:rFonts w:ascii="宋体" w:hAnsi="宋体" w:cs="宋体"/>
          <w:b/>
          <w:sz w:val="24"/>
          <w:szCs w:val="24"/>
          <w:lang w:eastAsia="zh-CN"/>
        </w:rPr>
        <w:t>3.备品备件及耗材等要求：</w:t>
      </w:r>
      <w:r>
        <w:rPr>
          <w:rFonts w:ascii="宋体" w:hAnsi="宋体" w:cs="宋体"/>
          <w:sz w:val="24"/>
          <w:szCs w:val="24"/>
          <w:lang w:eastAsia="zh-CN"/>
        </w:rPr>
        <w:t>安装及调试所需的耗材与备件均由投标人提供</w:t>
      </w:r>
    </w:p>
    <w:p>
      <w:pPr>
        <w:pStyle w:val="95"/>
        <w:spacing w:line="360" w:lineRule="auto"/>
        <w:ind w:left="420" w:leftChars="200" w:firstLine="0"/>
        <w:jc w:val="both"/>
        <w:rPr>
          <w:rFonts w:hint="default" w:ascii="宋体" w:hAnsi="宋体" w:cs="宋体"/>
          <w:b/>
          <w:sz w:val="24"/>
          <w:szCs w:val="24"/>
          <w:lang w:eastAsia="zh-CN"/>
        </w:rPr>
      </w:pPr>
      <w:r>
        <w:rPr>
          <w:rFonts w:ascii="宋体" w:hAnsi="宋体" w:cs="宋体"/>
          <w:b/>
          <w:sz w:val="24"/>
          <w:szCs w:val="24"/>
          <w:lang w:eastAsia="zh-CN"/>
        </w:rPr>
        <w:t>4.交货时间及地点：</w:t>
      </w:r>
    </w:p>
    <w:p>
      <w:pPr>
        <w:pStyle w:val="95"/>
        <w:spacing w:line="360" w:lineRule="auto"/>
        <w:ind w:left="0" w:firstLine="480" w:firstLineChars="200"/>
        <w:jc w:val="both"/>
        <w:rPr>
          <w:rFonts w:hint="default" w:ascii="宋体" w:hAnsi="宋体" w:cs="宋体"/>
          <w:sz w:val="24"/>
          <w:szCs w:val="24"/>
          <w:lang w:eastAsia="zh-CN"/>
        </w:rPr>
      </w:pPr>
      <w:r>
        <w:rPr>
          <w:rFonts w:ascii="宋体" w:hAnsi="宋体" w:cs="宋体"/>
          <w:sz w:val="24"/>
          <w:szCs w:val="24"/>
          <w:lang w:eastAsia="zh-CN"/>
        </w:rPr>
        <w:t>1)交货时间：2023年11月30日前完成供货、安装、调试。</w:t>
      </w:r>
    </w:p>
    <w:p>
      <w:pPr>
        <w:pStyle w:val="95"/>
        <w:spacing w:line="360" w:lineRule="auto"/>
        <w:ind w:left="0" w:firstLine="480" w:firstLineChars="200"/>
        <w:jc w:val="both"/>
        <w:rPr>
          <w:rFonts w:hint="default" w:ascii="宋体" w:hAnsi="宋体" w:cs="宋体"/>
          <w:sz w:val="24"/>
          <w:szCs w:val="24"/>
          <w:lang w:eastAsia="zh-CN"/>
        </w:rPr>
      </w:pPr>
      <w:r>
        <w:rPr>
          <w:rFonts w:ascii="宋体" w:hAnsi="宋体" w:cs="宋体"/>
          <w:sz w:val="24"/>
          <w:szCs w:val="24"/>
          <w:lang w:eastAsia="zh-CN"/>
        </w:rPr>
        <w:t>2)地点：浙江机电职业技术学院海宁校区内。</w:t>
      </w:r>
    </w:p>
    <w:p>
      <w:pPr>
        <w:pStyle w:val="95"/>
        <w:spacing w:line="360" w:lineRule="auto"/>
        <w:ind w:left="420" w:leftChars="200" w:firstLine="0"/>
        <w:jc w:val="both"/>
        <w:rPr>
          <w:rFonts w:hint="default" w:ascii="宋体" w:hAnsi="宋体" w:cs="宋体"/>
          <w:b/>
          <w:sz w:val="24"/>
          <w:szCs w:val="24"/>
          <w:lang w:eastAsia="zh-CN"/>
        </w:rPr>
      </w:pPr>
      <w:r>
        <w:rPr>
          <w:rFonts w:ascii="宋体" w:hAnsi="宋体" w:cs="宋体"/>
          <w:b/>
          <w:sz w:val="24"/>
          <w:szCs w:val="24"/>
          <w:lang w:eastAsia="zh-CN"/>
        </w:rPr>
        <w:t>5.履约保证金：</w:t>
      </w:r>
    </w:p>
    <w:p>
      <w:pPr>
        <w:spacing w:line="360" w:lineRule="auto"/>
        <w:ind w:firstLine="480" w:firstLineChars="200"/>
        <w:rPr>
          <w:rFonts w:hint="default" w:ascii="宋体" w:hAnsi="宋体" w:cs="宋体"/>
          <w:sz w:val="24"/>
          <w:szCs w:val="24"/>
        </w:rPr>
      </w:pPr>
      <w:r>
        <w:rPr>
          <w:rFonts w:ascii="宋体" w:hAnsi="宋体" w:cs="宋体"/>
          <w:sz w:val="24"/>
          <w:szCs w:val="24"/>
        </w:rPr>
        <w:t>合同总价的1%作为履约保证金，合同签订后五个工作日内由中标单位向采购人缴纳，在采购人验收合格、确认中标单位无违约行为后无息返还给中标单位。接受金融机构、担保机构出具的以保函形式提交的履约保证金。</w:t>
      </w:r>
    </w:p>
    <w:p>
      <w:pPr>
        <w:pStyle w:val="95"/>
        <w:spacing w:line="360" w:lineRule="auto"/>
        <w:ind w:left="0" w:firstLine="482" w:firstLineChars="200"/>
        <w:jc w:val="both"/>
        <w:rPr>
          <w:rFonts w:hint="default" w:ascii="宋体" w:hAnsi="宋体" w:cs="宋体"/>
          <w:sz w:val="24"/>
          <w:szCs w:val="24"/>
          <w:lang w:eastAsia="zh-CN"/>
        </w:rPr>
      </w:pPr>
      <w:r>
        <w:rPr>
          <w:rFonts w:ascii="宋体" w:hAnsi="宋体" w:cs="宋体"/>
          <w:b/>
          <w:sz w:val="24"/>
          <w:szCs w:val="24"/>
          <w:lang w:eastAsia="zh-CN"/>
        </w:rPr>
        <w:t>6.付款方式：</w:t>
      </w:r>
    </w:p>
    <w:p>
      <w:pPr>
        <w:pStyle w:val="95"/>
        <w:spacing w:line="360" w:lineRule="auto"/>
        <w:ind w:left="0" w:firstLine="480" w:firstLineChars="200"/>
        <w:jc w:val="both"/>
        <w:rPr>
          <w:rFonts w:hint="default" w:ascii="宋体" w:hAnsi="宋体" w:cs="宋体"/>
          <w:sz w:val="24"/>
          <w:szCs w:val="24"/>
          <w:lang w:eastAsia="zh-CN"/>
        </w:rPr>
      </w:pPr>
      <w:r>
        <w:rPr>
          <w:rFonts w:ascii="宋体" w:hAnsi="宋体" w:cs="宋体"/>
          <w:sz w:val="24"/>
          <w:szCs w:val="24"/>
          <w:lang w:eastAsia="zh-CN"/>
        </w:rPr>
        <w:t>1.本项目预付款40%（制造商为大型企业的项目无预付款），在收到中标单位提供的预付款保函且项目具备实施条件后7个工作日内支付；</w:t>
      </w:r>
    </w:p>
    <w:p>
      <w:pPr>
        <w:pStyle w:val="95"/>
        <w:spacing w:line="360" w:lineRule="auto"/>
        <w:ind w:left="0" w:firstLine="480" w:firstLineChars="200"/>
        <w:jc w:val="both"/>
        <w:rPr>
          <w:rFonts w:hint="default" w:ascii="宋体" w:hAnsi="宋体" w:cs="宋体"/>
          <w:sz w:val="24"/>
          <w:szCs w:val="24"/>
          <w:lang w:eastAsia="zh-CN"/>
        </w:rPr>
      </w:pPr>
      <w:r>
        <w:rPr>
          <w:rFonts w:ascii="宋体" w:hAnsi="宋体" w:cs="宋体"/>
          <w:sz w:val="24"/>
          <w:szCs w:val="24"/>
          <w:lang w:eastAsia="zh-CN"/>
        </w:rPr>
        <w:t>2.货物自中标单位送达采购人指定地点，安装调试完毕，经采购人验收合格并正常运行二十个工作日内，在收到中标单位开具的正规发票后，采购人在7个工作日内向中标单位支付合同总额55%（制造商为大型企业的项目95%）的货款；</w:t>
      </w:r>
    </w:p>
    <w:p>
      <w:pPr>
        <w:pStyle w:val="95"/>
        <w:spacing w:line="360" w:lineRule="auto"/>
        <w:ind w:left="0" w:firstLine="480" w:firstLineChars="200"/>
        <w:jc w:val="both"/>
        <w:rPr>
          <w:rFonts w:hint="default" w:ascii="宋体" w:hAnsi="宋体" w:cs="宋体"/>
          <w:sz w:val="24"/>
          <w:szCs w:val="24"/>
          <w:lang w:eastAsia="zh-CN"/>
        </w:rPr>
      </w:pPr>
      <w:r>
        <w:rPr>
          <w:rFonts w:ascii="宋体" w:hAnsi="宋体" w:cs="宋体"/>
          <w:sz w:val="24"/>
          <w:szCs w:val="24"/>
          <w:lang w:eastAsia="zh-CN"/>
        </w:rPr>
        <w:t>3.剩余合同总额5%的货款，在满足支付条件且收到发票后7个工作日内支付。支付条件：所有产品稳定运行（最长不超过3个月）。</w:t>
      </w:r>
    </w:p>
    <w:p>
      <w:pPr>
        <w:pStyle w:val="95"/>
        <w:spacing w:line="360" w:lineRule="auto"/>
        <w:ind w:left="0" w:firstLine="480" w:firstLineChars="200"/>
        <w:jc w:val="both"/>
        <w:rPr>
          <w:rFonts w:hint="default" w:ascii="宋体" w:hAnsi="宋体" w:cs="宋体"/>
          <w:sz w:val="24"/>
          <w:szCs w:val="24"/>
          <w:lang w:eastAsia="zh-CN"/>
        </w:rPr>
      </w:pPr>
      <w:r>
        <w:rPr>
          <w:rFonts w:ascii="宋体" w:hAnsi="宋体" w:cs="宋体"/>
          <w:sz w:val="24"/>
          <w:szCs w:val="24"/>
          <w:lang w:eastAsia="zh-CN"/>
        </w:rPr>
        <w:t>7、其他</w:t>
      </w:r>
    </w:p>
    <w:p>
      <w:pPr>
        <w:pStyle w:val="95"/>
        <w:spacing w:line="360" w:lineRule="auto"/>
        <w:ind w:left="0" w:firstLine="480" w:firstLineChars="200"/>
        <w:jc w:val="both"/>
        <w:rPr>
          <w:rFonts w:hint="default" w:ascii="宋体" w:hAnsi="宋体" w:cs="宋体"/>
          <w:sz w:val="24"/>
          <w:szCs w:val="24"/>
          <w:lang w:eastAsia="zh-CN"/>
        </w:rPr>
      </w:pPr>
      <w:r>
        <w:rPr>
          <w:rFonts w:ascii="宋体" w:hAnsi="宋体" w:cs="宋体"/>
          <w:sz w:val="24"/>
          <w:szCs w:val="24"/>
          <w:lang w:eastAsia="zh-CN"/>
        </w:rPr>
        <w:t>1）投标人有不可争议的义务确保采购人依据本次采购获得的知识产权不存在任何瑕疵，没有版权问题，并且可以不受限制地行使相关权利，包括各项延伸权利；</w:t>
      </w:r>
    </w:p>
    <w:p>
      <w:pPr>
        <w:pStyle w:val="95"/>
        <w:spacing w:line="360" w:lineRule="auto"/>
        <w:ind w:left="0" w:firstLine="480" w:firstLineChars="200"/>
        <w:jc w:val="both"/>
        <w:rPr>
          <w:rFonts w:hint="default" w:ascii="宋体" w:hAnsi="宋体" w:cs="宋体"/>
          <w:sz w:val="24"/>
          <w:szCs w:val="24"/>
          <w:lang w:eastAsia="zh-CN"/>
        </w:rPr>
      </w:pPr>
      <w:r>
        <w:rPr>
          <w:rFonts w:ascii="宋体" w:hAnsi="宋体" w:cs="宋体"/>
          <w:sz w:val="24"/>
          <w:szCs w:val="24"/>
          <w:lang w:eastAsia="zh-CN"/>
        </w:rPr>
        <w:t>2）请投标人将有关本项目所需的所有费用在报价中充分考虑，合理、理性、谨慎地报价，中标后采购人不再另行支付，中标单位亦不得以任何理由要求增加费用。</w:t>
      </w:r>
    </w:p>
    <w:p>
      <w:pPr>
        <w:snapToGrid w:val="0"/>
        <w:spacing w:line="360" w:lineRule="auto"/>
        <w:ind w:firstLine="480" w:firstLineChars="200"/>
        <w:rPr>
          <w:rFonts w:hint="default"/>
          <w:sz w:val="24"/>
        </w:rPr>
      </w:pPr>
    </w:p>
    <w:p>
      <w:pPr>
        <w:snapToGrid w:val="0"/>
        <w:spacing w:line="360" w:lineRule="auto"/>
        <w:ind w:firstLine="480" w:firstLineChars="200"/>
        <w:rPr>
          <w:rFonts w:hint="default"/>
          <w:sz w:val="24"/>
        </w:rPr>
        <w:sectPr>
          <w:pgSz w:w="11906" w:h="16838"/>
          <w:pgMar w:top="1134" w:right="1247" w:bottom="1247" w:left="1304" w:header="794" w:footer="794" w:gutter="0"/>
          <w:cols w:space="720" w:num="1"/>
          <w:docGrid w:linePitch="312" w:charSpace="0"/>
        </w:sectPr>
      </w:pPr>
    </w:p>
    <w:p>
      <w:pPr>
        <w:pStyle w:val="10"/>
        <w:tabs>
          <w:tab w:val="left" w:pos="1050"/>
        </w:tabs>
        <w:adjustRightInd w:val="0"/>
        <w:snapToGrid w:val="0"/>
        <w:spacing w:beforeLines="0" w:afterLines="0" w:line="360" w:lineRule="auto"/>
        <w:jc w:val="center"/>
        <w:outlineLvl w:val="0"/>
        <w:rPr>
          <w:rFonts w:hint="default" w:ascii="Times New Roman" w:hAnsi="Times New Roman"/>
          <w:b/>
          <w:sz w:val="36"/>
          <w:szCs w:val="36"/>
        </w:rPr>
      </w:pPr>
      <w:bookmarkStart w:id="61" w:name="_Toc15889"/>
      <w:bookmarkStart w:id="62" w:name="_Toc55237637"/>
      <w:r>
        <w:rPr>
          <w:rFonts w:ascii="Times New Roman" w:hAnsi="Times New Roman"/>
          <w:b/>
          <w:sz w:val="36"/>
          <w:szCs w:val="36"/>
        </w:rPr>
        <w:t>第五章</w:t>
      </w:r>
      <w:r>
        <w:rPr>
          <w:rFonts w:hint="default" w:ascii="Times New Roman" w:hAnsi="Times New Roman"/>
          <w:b/>
          <w:sz w:val="36"/>
          <w:szCs w:val="36"/>
        </w:rPr>
        <w:t xml:space="preserve"> 合同主要条款</w:t>
      </w:r>
      <w:bookmarkEnd w:id="61"/>
    </w:p>
    <w:p>
      <w:pPr>
        <w:spacing w:line="360" w:lineRule="auto"/>
        <w:ind w:firstLine="482" w:firstLineChars="200"/>
        <w:jc w:val="center"/>
        <w:outlineLvl w:val="1"/>
        <w:rPr>
          <w:rFonts w:hint="default" w:ascii="宋体" w:hAnsi="宋体" w:cs="宋体"/>
          <w:b/>
          <w:sz w:val="24"/>
          <w:szCs w:val="24"/>
        </w:rPr>
      </w:pPr>
      <w:bookmarkStart w:id="63" w:name="_Toc2160"/>
      <w:r>
        <w:rPr>
          <w:rFonts w:hint="eastAsia" w:ascii="宋体" w:hAnsi="宋体" w:cs="宋体"/>
          <w:b/>
          <w:sz w:val="24"/>
          <w:szCs w:val="24"/>
          <w:lang w:eastAsia="zh-CN"/>
        </w:rPr>
        <w:t>数字化制造与检测技术中心数字化制造单元项目</w:t>
      </w:r>
      <w:r>
        <w:rPr>
          <w:rFonts w:ascii="宋体" w:hAnsi="宋体" w:cs="宋体"/>
          <w:b/>
          <w:sz w:val="24"/>
          <w:szCs w:val="24"/>
        </w:rPr>
        <w:t>采购合同</w:t>
      </w:r>
    </w:p>
    <w:p>
      <w:pPr>
        <w:spacing w:line="360" w:lineRule="auto"/>
        <w:ind w:firstLine="456" w:firstLineChars="200"/>
        <w:rPr>
          <w:rFonts w:hint="default" w:ascii="宋体" w:hAnsi="宋体" w:cs="宋体"/>
          <w:spacing w:val="-6"/>
          <w:sz w:val="24"/>
          <w:szCs w:val="24"/>
        </w:rPr>
      </w:pPr>
      <w:r>
        <w:rPr>
          <w:rFonts w:ascii="宋体" w:hAnsi="宋体" w:cs="宋体"/>
          <w:spacing w:val="-6"/>
          <w:sz w:val="24"/>
          <w:szCs w:val="24"/>
        </w:rPr>
        <w:t>（本合同为合同样稿，最终稿由双方协商后确定，合同实质性内容不得更改；签订合同时删除此行）</w:t>
      </w:r>
    </w:p>
    <w:p>
      <w:pPr>
        <w:snapToGrid w:val="0"/>
        <w:spacing w:line="360" w:lineRule="auto"/>
        <w:ind w:firstLine="482" w:firstLineChars="200"/>
        <w:rPr>
          <w:rFonts w:hint="default" w:ascii="宋体" w:hAnsi="宋体" w:cs="宋体"/>
          <w:b/>
          <w:sz w:val="24"/>
          <w:szCs w:val="24"/>
        </w:rPr>
      </w:pPr>
      <w:r>
        <w:rPr>
          <w:rFonts w:ascii="宋体" w:hAnsi="宋体" w:cs="宋体"/>
          <w:b/>
          <w:sz w:val="24"/>
          <w:szCs w:val="24"/>
        </w:rPr>
        <w:t xml:space="preserve">项目编号：                                  合同编号：         </w:t>
      </w:r>
    </w:p>
    <w:p>
      <w:pPr>
        <w:snapToGrid w:val="0"/>
        <w:spacing w:line="360" w:lineRule="auto"/>
        <w:ind w:firstLine="482" w:firstLineChars="200"/>
        <w:rPr>
          <w:rFonts w:hint="default" w:ascii="宋体" w:hAnsi="宋体" w:cs="宋体"/>
          <w:b/>
          <w:sz w:val="24"/>
          <w:szCs w:val="24"/>
        </w:rPr>
      </w:pPr>
      <w:r>
        <w:rPr>
          <w:rFonts w:ascii="宋体" w:hAnsi="宋体" w:cs="宋体"/>
          <w:b/>
          <w:sz w:val="24"/>
          <w:szCs w:val="24"/>
        </w:rPr>
        <w:t>确认书编号（如有）：</w:t>
      </w:r>
      <w:r>
        <w:rPr>
          <w:rFonts w:ascii="宋体" w:hAnsi="宋体" w:cs="宋体"/>
          <w:sz w:val="24"/>
          <w:szCs w:val="24"/>
        </w:rPr>
        <w:t>浙财采确[2023]     号</w:t>
      </w:r>
    </w:p>
    <w:p>
      <w:pPr>
        <w:snapToGrid w:val="0"/>
        <w:spacing w:line="360" w:lineRule="auto"/>
        <w:ind w:firstLine="482" w:firstLineChars="200"/>
        <w:rPr>
          <w:rFonts w:hint="default" w:ascii="宋体" w:hAnsi="宋体" w:cs="宋体"/>
          <w:b/>
          <w:sz w:val="24"/>
          <w:szCs w:val="24"/>
        </w:rPr>
      </w:pPr>
      <w:r>
        <w:rPr>
          <w:rFonts w:ascii="宋体" w:hAnsi="宋体" w:cs="宋体"/>
          <w:b/>
          <w:sz w:val="24"/>
          <w:szCs w:val="24"/>
        </w:rPr>
        <w:t>甲方（采购人）：浙江机电职业技术学院</w:t>
      </w:r>
    </w:p>
    <w:p>
      <w:pPr>
        <w:snapToGrid w:val="0"/>
        <w:spacing w:line="360" w:lineRule="auto"/>
        <w:ind w:firstLine="482" w:firstLineChars="200"/>
        <w:rPr>
          <w:rFonts w:hint="default" w:ascii="宋体" w:hAnsi="宋体" w:cs="宋体"/>
          <w:b/>
          <w:bCs/>
          <w:spacing w:val="-6"/>
          <w:sz w:val="24"/>
          <w:szCs w:val="24"/>
        </w:rPr>
      </w:pPr>
      <w:r>
        <w:rPr>
          <w:rFonts w:ascii="宋体" w:hAnsi="宋体" w:cs="宋体"/>
          <w:b/>
          <w:sz w:val="24"/>
          <w:szCs w:val="24"/>
        </w:rPr>
        <w:t>乙方（供应商）：</w:t>
      </w:r>
    </w:p>
    <w:p>
      <w:pPr>
        <w:spacing w:line="360" w:lineRule="auto"/>
        <w:ind w:firstLine="480" w:firstLineChars="200"/>
        <w:outlineLvl w:val="0"/>
        <w:rPr>
          <w:rFonts w:hint="default" w:ascii="宋体" w:hAnsi="宋体" w:cs="宋体"/>
          <w:sz w:val="24"/>
          <w:szCs w:val="24"/>
        </w:rPr>
      </w:pPr>
      <w:r>
        <w:rPr>
          <w:rFonts w:ascii="宋体" w:hAnsi="宋体" w:cs="宋体"/>
          <w:sz w:val="24"/>
          <w:szCs w:val="24"/>
        </w:rPr>
        <w:t>为了保护甲乙双方合法权益，根据《中华人民共和国政府釆购法》《中华人民共和国民法典》等相关法律法规，浙江机电职业技术学院就【        】项目采用【        】方式进行采购，确定【        】为成交单位，甲、乙双方友好协商，达成以下条款：</w:t>
      </w:r>
    </w:p>
    <w:p>
      <w:pPr>
        <w:adjustRightInd w:val="0"/>
        <w:snapToGrid w:val="0"/>
        <w:spacing w:line="360" w:lineRule="auto"/>
        <w:ind w:firstLine="482" w:firstLineChars="200"/>
        <w:rPr>
          <w:rFonts w:hint="default" w:ascii="宋体" w:hAnsi="宋体" w:cs="宋体"/>
          <w:b/>
          <w:sz w:val="24"/>
          <w:szCs w:val="24"/>
        </w:rPr>
      </w:pPr>
      <w:r>
        <w:rPr>
          <w:rFonts w:ascii="宋体" w:hAnsi="宋体" w:cs="宋体"/>
          <w:b/>
          <w:sz w:val="24"/>
          <w:szCs w:val="24"/>
        </w:rPr>
        <w:t>第一条 采购标的、价格</w:t>
      </w:r>
    </w:p>
    <w:tbl>
      <w:tblPr>
        <w:tblStyle w:val="42"/>
        <w:tblW w:w="4955" w:type="pct"/>
        <w:tblInd w:w="0" w:type="dxa"/>
        <w:tblLayout w:type="autofit"/>
        <w:tblCellMar>
          <w:top w:w="0" w:type="dxa"/>
          <w:left w:w="0" w:type="dxa"/>
          <w:bottom w:w="0" w:type="dxa"/>
          <w:right w:w="0" w:type="dxa"/>
        </w:tblCellMar>
      </w:tblPr>
      <w:tblGrid>
        <w:gridCol w:w="840"/>
        <w:gridCol w:w="1179"/>
        <w:gridCol w:w="857"/>
        <w:gridCol w:w="2182"/>
        <w:gridCol w:w="1020"/>
        <w:gridCol w:w="1020"/>
        <w:gridCol w:w="1142"/>
        <w:gridCol w:w="1068"/>
      </w:tblGrid>
      <w:tr>
        <w:tblPrEx>
          <w:tblCellMar>
            <w:top w:w="0" w:type="dxa"/>
            <w:left w:w="0" w:type="dxa"/>
            <w:bottom w:w="0" w:type="dxa"/>
            <w:right w:w="0" w:type="dxa"/>
          </w:tblCellMar>
        </w:tblPrEx>
        <w:trPr>
          <w:trHeight w:val="340" w:hRule="atLeast"/>
        </w:trPr>
        <w:tc>
          <w:tcPr>
            <w:tcW w:w="369"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ind w:firstLine="240" w:firstLineChars="100"/>
              <w:rPr>
                <w:rFonts w:hint="default" w:ascii="宋体" w:hAnsi="宋体" w:cs="宋体"/>
                <w:sz w:val="24"/>
                <w:szCs w:val="24"/>
              </w:rPr>
            </w:pPr>
            <w:r>
              <w:rPr>
                <w:rFonts w:ascii="宋体" w:hAnsi="宋体" w:cs="宋体"/>
                <w:sz w:val="24"/>
                <w:szCs w:val="24"/>
              </w:rPr>
              <w:t>序号</w:t>
            </w:r>
          </w:p>
        </w:tc>
        <w:tc>
          <w:tcPr>
            <w:tcW w:w="645"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rPr>
                <w:rFonts w:hint="default" w:ascii="宋体" w:hAnsi="宋体" w:cs="宋体"/>
                <w:sz w:val="24"/>
                <w:szCs w:val="24"/>
              </w:rPr>
            </w:pPr>
            <w:r>
              <w:rPr>
                <w:rFonts w:ascii="宋体" w:hAnsi="宋体" w:cs="宋体"/>
                <w:sz w:val="24"/>
                <w:szCs w:val="24"/>
              </w:rPr>
              <w:t>货物名称</w:t>
            </w:r>
          </w:p>
        </w:tc>
        <w:tc>
          <w:tcPr>
            <w:tcW w:w="472" w:type="pct"/>
            <w:tcBorders>
              <w:top w:val="single" w:color="000000" w:sz="6" w:space="0"/>
              <w:left w:val="single" w:color="000000" w:sz="6" w:space="0"/>
              <w:bottom w:val="single" w:color="000000" w:sz="6" w:space="0"/>
              <w:right w:val="single" w:color="auto" w:sz="4" w:space="0"/>
            </w:tcBorders>
            <w:tcMar>
              <w:top w:w="30" w:type="dxa"/>
              <w:left w:w="30" w:type="dxa"/>
              <w:bottom w:w="30" w:type="dxa"/>
              <w:right w:w="30" w:type="dxa"/>
            </w:tcMar>
            <w:vAlign w:val="center"/>
          </w:tcPr>
          <w:p>
            <w:pPr>
              <w:ind w:firstLine="240" w:firstLineChars="100"/>
              <w:rPr>
                <w:rFonts w:hint="default" w:ascii="宋体" w:hAnsi="宋体" w:cs="宋体"/>
                <w:sz w:val="24"/>
                <w:szCs w:val="24"/>
              </w:rPr>
            </w:pPr>
            <w:r>
              <w:rPr>
                <w:rFonts w:ascii="宋体" w:hAnsi="宋体" w:cs="宋体"/>
                <w:sz w:val="24"/>
                <w:szCs w:val="24"/>
              </w:rPr>
              <w:t>品牌</w:t>
            </w:r>
          </w:p>
        </w:tc>
        <w:tc>
          <w:tcPr>
            <w:tcW w:w="1184" w:type="pct"/>
            <w:tcBorders>
              <w:top w:val="single" w:color="000000" w:sz="6" w:space="0"/>
              <w:left w:val="single" w:color="auto" w:sz="4" w:space="0"/>
              <w:bottom w:val="single" w:color="000000" w:sz="6" w:space="0"/>
              <w:right w:val="single" w:color="auto" w:sz="4" w:space="0"/>
            </w:tcBorders>
            <w:tcMar>
              <w:top w:w="30" w:type="dxa"/>
              <w:left w:w="30" w:type="dxa"/>
              <w:bottom w:w="30" w:type="dxa"/>
              <w:right w:w="30" w:type="dxa"/>
            </w:tcMar>
            <w:vAlign w:val="center"/>
          </w:tcPr>
          <w:p>
            <w:pPr>
              <w:ind w:firstLine="480" w:firstLineChars="200"/>
              <w:rPr>
                <w:rFonts w:hint="default" w:ascii="宋体" w:hAnsi="宋体" w:cs="宋体"/>
                <w:sz w:val="24"/>
                <w:szCs w:val="24"/>
              </w:rPr>
            </w:pPr>
            <w:r>
              <w:rPr>
                <w:rFonts w:ascii="宋体" w:hAnsi="宋体" w:cs="宋体"/>
                <w:sz w:val="24"/>
                <w:szCs w:val="24"/>
              </w:rPr>
              <w:t>规格型号</w:t>
            </w:r>
          </w:p>
        </w:tc>
        <w:tc>
          <w:tcPr>
            <w:tcW w:w="560" w:type="pct"/>
            <w:tcBorders>
              <w:top w:val="single" w:color="000000" w:sz="6" w:space="0"/>
              <w:left w:val="single" w:color="auto" w:sz="4" w:space="0"/>
              <w:bottom w:val="single" w:color="000000" w:sz="6" w:space="0"/>
              <w:right w:val="single" w:color="auto" w:sz="4" w:space="0"/>
            </w:tcBorders>
            <w:vAlign w:val="center"/>
          </w:tcPr>
          <w:p>
            <w:pPr>
              <w:ind w:firstLine="240" w:firstLineChars="100"/>
              <w:rPr>
                <w:rFonts w:hint="default" w:ascii="宋体" w:hAnsi="宋体" w:cs="宋体"/>
                <w:sz w:val="24"/>
                <w:szCs w:val="24"/>
              </w:rPr>
            </w:pPr>
            <w:r>
              <w:rPr>
                <w:rFonts w:ascii="宋体" w:hAnsi="宋体" w:cs="宋体"/>
                <w:sz w:val="24"/>
                <w:szCs w:val="24"/>
              </w:rPr>
              <w:t>数量</w:t>
            </w:r>
          </w:p>
        </w:tc>
        <w:tc>
          <w:tcPr>
            <w:tcW w:w="560" w:type="pct"/>
            <w:tcBorders>
              <w:top w:val="single" w:color="000000" w:sz="6" w:space="0"/>
              <w:left w:val="single" w:color="auto" w:sz="4" w:space="0"/>
              <w:bottom w:val="single" w:color="000000" w:sz="6" w:space="0"/>
              <w:right w:val="single" w:color="000000" w:sz="6" w:space="0"/>
            </w:tcBorders>
            <w:vAlign w:val="center"/>
          </w:tcPr>
          <w:p>
            <w:pPr>
              <w:ind w:firstLine="240" w:firstLineChars="100"/>
              <w:rPr>
                <w:rFonts w:hint="default" w:ascii="宋体" w:hAnsi="宋体" w:cs="宋体"/>
                <w:sz w:val="24"/>
                <w:szCs w:val="24"/>
              </w:rPr>
            </w:pPr>
            <w:r>
              <w:rPr>
                <w:rFonts w:ascii="宋体" w:hAnsi="宋体" w:cs="宋体"/>
                <w:sz w:val="24"/>
                <w:szCs w:val="24"/>
              </w:rPr>
              <w:t>单位</w:t>
            </w:r>
          </w:p>
        </w:tc>
        <w:tc>
          <w:tcPr>
            <w:tcW w:w="625"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rPr>
                <w:rFonts w:hint="default" w:ascii="宋体" w:hAnsi="宋体" w:cs="宋体"/>
                <w:sz w:val="24"/>
                <w:szCs w:val="24"/>
              </w:rPr>
            </w:pPr>
            <w:r>
              <w:rPr>
                <w:rFonts w:ascii="宋体" w:hAnsi="宋体" w:cs="宋体"/>
                <w:sz w:val="24"/>
                <w:szCs w:val="24"/>
              </w:rPr>
              <w:t>单价（元）</w:t>
            </w:r>
          </w:p>
        </w:tc>
        <w:tc>
          <w:tcPr>
            <w:tcW w:w="581" w:type="pct"/>
            <w:tcBorders>
              <w:top w:val="single" w:color="000000" w:sz="6" w:space="0"/>
              <w:left w:val="single" w:color="000000" w:sz="6" w:space="0"/>
              <w:bottom w:val="single" w:color="000000" w:sz="6" w:space="0"/>
              <w:right w:val="single" w:color="000000" w:sz="6" w:space="0"/>
            </w:tcBorders>
            <w:vAlign w:val="center"/>
          </w:tcPr>
          <w:p>
            <w:pPr>
              <w:rPr>
                <w:rFonts w:hint="default" w:ascii="宋体" w:hAnsi="宋体" w:cs="宋体"/>
                <w:sz w:val="24"/>
                <w:szCs w:val="24"/>
              </w:rPr>
            </w:pPr>
            <w:r>
              <w:rPr>
                <w:rFonts w:ascii="宋体" w:hAnsi="宋体" w:cs="宋体"/>
                <w:sz w:val="24"/>
                <w:szCs w:val="24"/>
              </w:rPr>
              <w:t>合价（元）</w:t>
            </w:r>
          </w:p>
        </w:tc>
      </w:tr>
      <w:tr>
        <w:tblPrEx>
          <w:tblCellMar>
            <w:top w:w="0" w:type="dxa"/>
            <w:left w:w="0" w:type="dxa"/>
            <w:bottom w:w="0" w:type="dxa"/>
            <w:right w:w="0" w:type="dxa"/>
          </w:tblCellMar>
        </w:tblPrEx>
        <w:trPr>
          <w:trHeight w:val="340" w:hRule="atLeast"/>
        </w:trPr>
        <w:tc>
          <w:tcPr>
            <w:tcW w:w="369"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ind w:firstLine="480" w:firstLineChars="200"/>
              <w:rPr>
                <w:rFonts w:hint="default" w:ascii="宋体" w:hAnsi="宋体" w:cs="宋体"/>
                <w:sz w:val="24"/>
                <w:szCs w:val="24"/>
              </w:rPr>
            </w:pPr>
            <w:r>
              <w:rPr>
                <w:rFonts w:ascii="宋体" w:hAnsi="宋体" w:cs="宋体"/>
                <w:sz w:val="24"/>
                <w:szCs w:val="24"/>
              </w:rPr>
              <w:t>1</w:t>
            </w:r>
          </w:p>
        </w:tc>
        <w:tc>
          <w:tcPr>
            <w:tcW w:w="645"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ind w:firstLine="480" w:firstLineChars="200"/>
              <w:rPr>
                <w:rFonts w:hint="default" w:ascii="宋体" w:hAnsi="宋体" w:cs="宋体"/>
                <w:sz w:val="24"/>
                <w:szCs w:val="24"/>
              </w:rPr>
            </w:pPr>
          </w:p>
        </w:tc>
        <w:tc>
          <w:tcPr>
            <w:tcW w:w="472" w:type="pct"/>
            <w:tcBorders>
              <w:top w:val="single" w:color="000000" w:sz="6" w:space="0"/>
              <w:left w:val="single" w:color="000000" w:sz="6" w:space="0"/>
              <w:bottom w:val="single" w:color="000000" w:sz="6" w:space="0"/>
              <w:right w:val="single" w:color="auto" w:sz="4" w:space="0"/>
            </w:tcBorders>
            <w:tcMar>
              <w:top w:w="30" w:type="dxa"/>
              <w:left w:w="30" w:type="dxa"/>
              <w:bottom w:w="30" w:type="dxa"/>
              <w:right w:w="30" w:type="dxa"/>
            </w:tcMar>
            <w:vAlign w:val="center"/>
          </w:tcPr>
          <w:p>
            <w:pPr>
              <w:ind w:firstLine="480" w:firstLineChars="200"/>
              <w:rPr>
                <w:rFonts w:hint="default" w:ascii="宋体" w:hAnsi="宋体" w:cs="宋体"/>
                <w:sz w:val="24"/>
                <w:szCs w:val="24"/>
              </w:rPr>
            </w:pPr>
          </w:p>
        </w:tc>
        <w:tc>
          <w:tcPr>
            <w:tcW w:w="1184" w:type="pct"/>
            <w:tcBorders>
              <w:top w:val="single" w:color="000000" w:sz="6" w:space="0"/>
              <w:left w:val="single" w:color="auto" w:sz="4" w:space="0"/>
              <w:bottom w:val="single" w:color="000000" w:sz="6" w:space="0"/>
              <w:right w:val="single" w:color="auto" w:sz="4" w:space="0"/>
            </w:tcBorders>
            <w:tcMar>
              <w:top w:w="30" w:type="dxa"/>
              <w:left w:w="30" w:type="dxa"/>
              <w:bottom w:w="30" w:type="dxa"/>
              <w:right w:w="30" w:type="dxa"/>
            </w:tcMar>
            <w:vAlign w:val="center"/>
          </w:tcPr>
          <w:p>
            <w:pPr>
              <w:ind w:firstLine="480" w:firstLineChars="200"/>
              <w:rPr>
                <w:rFonts w:hint="default" w:ascii="宋体" w:hAnsi="宋体" w:cs="宋体"/>
                <w:sz w:val="24"/>
                <w:szCs w:val="24"/>
              </w:rPr>
            </w:pPr>
          </w:p>
        </w:tc>
        <w:tc>
          <w:tcPr>
            <w:tcW w:w="560" w:type="pct"/>
            <w:tcBorders>
              <w:top w:val="single" w:color="000000" w:sz="6" w:space="0"/>
              <w:left w:val="single" w:color="auto" w:sz="4" w:space="0"/>
              <w:bottom w:val="single" w:color="000000" w:sz="6" w:space="0"/>
              <w:right w:val="single" w:color="auto" w:sz="4" w:space="0"/>
            </w:tcBorders>
            <w:vAlign w:val="center"/>
          </w:tcPr>
          <w:p>
            <w:pPr>
              <w:ind w:firstLine="480" w:firstLineChars="200"/>
              <w:rPr>
                <w:rFonts w:hint="default" w:ascii="宋体" w:hAnsi="宋体" w:cs="宋体"/>
                <w:sz w:val="24"/>
                <w:szCs w:val="24"/>
              </w:rPr>
            </w:pPr>
          </w:p>
        </w:tc>
        <w:tc>
          <w:tcPr>
            <w:tcW w:w="560" w:type="pct"/>
            <w:tcBorders>
              <w:top w:val="single" w:color="000000" w:sz="6" w:space="0"/>
              <w:left w:val="single" w:color="auto" w:sz="4" w:space="0"/>
              <w:bottom w:val="single" w:color="000000" w:sz="6" w:space="0"/>
              <w:right w:val="single" w:color="000000" w:sz="6" w:space="0"/>
            </w:tcBorders>
            <w:vAlign w:val="center"/>
          </w:tcPr>
          <w:p>
            <w:pPr>
              <w:ind w:firstLine="480" w:firstLineChars="200"/>
              <w:rPr>
                <w:rFonts w:hint="default" w:ascii="宋体" w:hAnsi="宋体" w:cs="宋体"/>
                <w:sz w:val="24"/>
                <w:szCs w:val="24"/>
              </w:rPr>
            </w:pPr>
          </w:p>
        </w:tc>
        <w:tc>
          <w:tcPr>
            <w:tcW w:w="625"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ind w:firstLine="480" w:firstLineChars="200"/>
              <w:rPr>
                <w:rFonts w:hint="default" w:ascii="宋体" w:hAnsi="宋体" w:cs="宋体"/>
                <w:sz w:val="24"/>
                <w:szCs w:val="24"/>
              </w:rPr>
            </w:pPr>
          </w:p>
        </w:tc>
        <w:tc>
          <w:tcPr>
            <w:tcW w:w="581" w:type="pct"/>
            <w:tcBorders>
              <w:top w:val="single" w:color="000000" w:sz="6" w:space="0"/>
              <w:left w:val="single" w:color="000000" w:sz="6" w:space="0"/>
              <w:bottom w:val="single" w:color="000000" w:sz="6" w:space="0"/>
              <w:right w:val="single" w:color="000000" w:sz="6" w:space="0"/>
            </w:tcBorders>
            <w:vAlign w:val="center"/>
          </w:tcPr>
          <w:p>
            <w:pPr>
              <w:ind w:firstLine="480" w:firstLineChars="200"/>
              <w:rPr>
                <w:rFonts w:hint="default" w:ascii="宋体" w:hAnsi="宋体" w:cs="宋体"/>
                <w:sz w:val="24"/>
                <w:szCs w:val="24"/>
              </w:rPr>
            </w:pPr>
          </w:p>
        </w:tc>
      </w:tr>
      <w:tr>
        <w:tblPrEx>
          <w:tblCellMar>
            <w:top w:w="0" w:type="dxa"/>
            <w:left w:w="0" w:type="dxa"/>
            <w:bottom w:w="0" w:type="dxa"/>
            <w:right w:w="0" w:type="dxa"/>
          </w:tblCellMar>
        </w:tblPrEx>
        <w:trPr>
          <w:trHeight w:val="340" w:hRule="atLeast"/>
        </w:trPr>
        <w:tc>
          <w:tcPr>
            <w:tcW w:w="369"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ind w:firstLine="480" w:firstLineChars="200"/>
              <w:rPr>
                <w:rFonts w:hint="default" w:ascii="宋体" w:hAnsi="宋体" w:cs="宋体"/>
                <w:sz w:val="24"/>
                <w:szCs w:val="24"/>
              </w:rPr>
            </w:pPr>
            <w:r>
              <w:rPr>
                <w:rFonts w:ascii="宋体" w:hAnsi="宋体" w:cs="宋体"/>
                <w:sz w:val="24"/>
                <w:szCs w:val="24"/>
              </w:rPr>
              <w:t>2</w:t>
            </w:r>
          </w:p>
        </w:tc>
        <w:tc>
          <w:tcPr>
            <w:tcW w:w="645"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ind w:firstLine="480" w:firstLineChars="200"/>
              <w:rPr>
                <w:rFonts w:hint="default" w:ascii="宋体" w:hAnsi="宋体" w:cs="宋体"/>
                <w:sz w:val="24"/>
                <w:szCs w:val="24"/>
              </w:rPr>
            </w:pPr>
          </w:p>
        </w:tc>
        <w:tc>
          <w:tcPr>
            <w:tcW w:w="472" w:type="pct"/>
            <w:tcBorders>
              <w:top w:val="single" w:color="000000" w:sz="6" w:space="0"/>
              <w:left w:val="single" w:color="000000" w:sz="6" w:space="0"/>
              <w:bottom w:val="single" w:color="000000" w:sz="6" w:space="0"/>
              <w:right w:val="single" w:color="auto" w:sz="4" w:space="0"/>
            </w:tcBorders>
            <w:tcMar>
              <w:top w:w="30" w:type="dxa"/>
              <w:left w:w="30" w:type="dxa"/>
              <w:bottom w:w="30" w:type="dxa"/>
              <w:right w:w="30" w:type="dxa"/>
            </w:tcMar>
            <w:vAlign w:val="center"/>
          </w:tcPr>
          <w:p>
            <w:pPr>
              <w:ind w:firstLine="480" w:firstLineChars="200"/>
              <w:rPr>
                <w:rFonts w:hint="default" w:ascii="宋体" w:hAnsi="宋体" w:cs="宋体"/>
                <w:sz w:val="24"/>
                <w:szCs w:val="24"/>
              </w:rPr>
            </w:pPr>
          </w:p>
        </w:tc>
        <w:tc>
          <w:tcPr>
            <w:tcW w:w="1184" w:type="pct"/>
            <w:tcBorders>
              <w:top w:val="single" w:color="000000" w:sz="6" w:space="0"/>
              <w:left w:val="single" w:color="auto" w:sz="4" w:space="0"/>
              <w:bottom w:val="single" w:color="000000" w:sz="6" w:space="0"/>
              <w:right w:val="single" w:color="auto" w:sz="4" w:space="0"/>
            </w:tcBorders>
            <w:tcMar>
              <w:top w:w="30" w:type="dxa"/>
              <w:left w:w="30" w:type="dxa"/>
              <w:bottom w:w="30" w:type="dxa"/>
              <w:right w:w="30" w:type="dxa"/>
            </w:tcMar>
            <w:vAlign w:val="center"/>
          </w:tcPr>
          <w:p>
            <w:pPr>
              <w:ind w:firstLine="480" w:firstLineChars="200"/>
              <w:rPr>
                <w:rFonts w:hint="default" w:ascii="宋体" w:hAnsi="宋体" w:cs="宋体"/>
                <w:sz w:val="24"/>
                <w:szCs w:val="24"/>
              </w:rPr>
            </w:pPr>
          </w:p>
        </w:tc>
        <w:tc>
          <w:tcPr>
            <w:tcW w:w="560" w:type="pct"/>
            <w:tcBorders>
              <w:top w:val="single" w:color="000000" w:sz="6" w:space="0"/>
              <w:left w:val="single" w:color="auto" w:sz="4" w:space="0"/>
              <w:bottom w:val="single" w:color="000000" w:sz="6" w:space="0"/>
              <w:right w:val="single" w:color="auto" w:sz="4" w:space="0"/>
            </w:tcBorders>
            <w:vAlign w:val="center"/>
          </w:tcPr>
          <w:p>
            <w:pPr>
              <w:ind w:firstLine="480" w:firstLineChars="200"/>
              <w:rPr>
                <w:rFonts w:hint="default" w:ascii="宋体" w:hAnsi="宋体" w:cs="宋体"/>
                <w:sz w:val="24"/>
                <w:szCs w:val="24"/>
              </w:rPr>
            </w:pPr>
          </w:p>
        </w:tc>
        <w:tc>
          <w:tcPr>
            <w:tcW w:w="560" w:type="pct"/>
            <w:tcBorders>
              <w:top w:val="single" w:color="000000" w:sz="6" w:space="0"/>
              <w:left w:val="single" w:color="auto" w:sz="4" w:space="0"/>
              <w:bottom w:val="single" w:color="000000" w:sz="6" w:space="0"/>
              <w:right w:val="single" w:color="000000" w:sz="6" w:space="0"/>
            </w:tcBorders>
            <w:vAlign w:val="center"/>
          </w:tcPr>
          <w:p>
            <w:pPr>
              <w:ind w:firstLine="480" w:firstLineChars="200"/>
              <w:rPr>
                <w:rFonts w:hint="default" w:ascii="宋体" w:hAnsi="宋体" w:cs="宋体"/>
                <w:sz w:val="24"/>
                <w:szCs w:val="24"/>
              </w:rPr>
            </w:pPr>
          </w:p>
        </w:tc>
        <w:tc>
          <w:tcPr>
            <w:tcW w:w="625"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ind w:firstLine="480" w:firstLineChars="200"/>
              <w:rPr>
                <w:rFonts w:hint="default" w:ascii="宋体" w:hAnsi="宋体" w:cs="宋体"/>
                <w:sz w:val="24"/>
                <w:szCs w:val="24"/>
              </w:rPr>
            </w:pPr>
          </w:p>
        </w:tc>
        <w:tc>
          <w:tcPr>
            <w:tcW w:w="581" w:type="pct"/>
            <w:tcBorders>
              <w:top w:val="single" w:color="000000" w:sz="6" w:space="0"/>
              <w:left w:val="single" w:color="000000" w:sz="6" w:space="0"/>
              <w:bottom w:val="single" w:color="000000" w:sz="6" w:space="0"/>
              <w:right w:val="single" w:color="000000" w:sz="6" w:space="0"/>
            </w:tcBorders>
            <w:vAlign w:val="center"/>
          </w:tcPr>
          <w:p>
            <w:pPr>
              <w:ind w:firstLine="480" w:firstLineChars="200"/>
              <w:rPr>
                <w:rFonts w:hint="default" w:ascii="宋体" w:hAnsi="宋体" w:cs="宋体"/>
                <w:sz w:val="24"/>
                <w:szCs w:val="24"/>
              </w:rPr>
            </w:pPr>
          </w:p>
        </w:tc>
      </w:tr>
      <w:tr>
        <w:tblPrEx>
          <w:tblCellMar>
            <w:top w:w="0" w:type="dxa"/>
            <w:left w:w="0" w:type="dxa"/>
            <w:bottom w:w="0" w:type="dxa"/>
            <w:right w:w="0" w:type="dxa"/>
          </w:tblCellMar>
        </w:tblPrEx>
        <w:trPr>
          <w:trHeight w:val="340" w:hRule="atLeast"/>
        </w:trPr>
        <w:tc>
          <w:tcPr>
            <w:tcW w:w="369"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ind w:firstLine="480" w:firstLineChars="200"/>
              <w:rPr>
                <w:rFonts w:hint="default" w:ascii="宋体" w:hAnsi="宋体" w:cs="宋体"/>
                <w:sz w:val="24"/>
                <w:szCs w:val="24"/>
              </w:rPr>
            </w:pPr>
            <w:r>
              <w:rPr>
                <w:rFonts w:ascii="宋体" w:hAnsi="宋体" w:cs="宋体"/>
                <w:sz w:val="24"/>
                <w:szCs w:val="24"/>
              </w:rPr>
              <w:t>3</w:t>
            </w:r>
          </w:p>
        </w:tc>
        <w:tc>
          <w:tcPr>
            <w:tcW w:w="645"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ind w:firstLine="480" w:firstLineChars="200"/>
              <w:rPr>
                <w:rFonts w:hint="default" w:ascii="宋体" w:hAnsi="宋体" w:cs="宋体"/>
                <w:sz w:val="24"/>
                <w:szCs w:val="24"/>
              </w:rPr>
            </w:pPr>
          </w:p>
        </w:tc>
        <w:tc>
          <w:tcPr>
            <w:tcW w:w="472" w:type="pct"/>
            <w:tcBorders>
              <w:top w:val="single" w:color="000000" w:sz="6" w:space="0"/>
              <w:left w:val="single" w:color="000000" w:sz="6" w:space="0"/>
              <w:bottom w:val="single" w:color="000000" w:sz="6" w:space="0"/>
              <w:right w:val="single" w:color="auto" w:sz="4" w:space="0"/>
            </w:tcBorders>
            <w:tcMar>
              <w:top w:w="30" w:type="dxa"/>
              <w:left w:w="30" w:type="dxa"/>
              <w:bottom w:w="30" w:type="dxa"/>
              <w:right w:w="30" w:type="dxa"/>
            </w:tcMar>
            <w:vAlign w:val="center"/>
          </w:tcPr>
          <w:p>
            <w:pPr>
              <w:ind w:firstLine="480" w:firstLineChars="200"/>
              <w:rPr>
                <w:rFonts w:hint="default" w:ascii="宋体" w:hAnsi="宋体" w:cs="宋体"/>
                <w:sz w:val="24"/>
                <w:szCs w:val="24"/>
              </w:rPr>
            </w:pPr>
          </w:p>
        </w:tc>
        <w:tc>
          <w:tcPr>
            <w:tcW w:w="1184" w:type="pct"/>
            <w:tcBorders>
              <w:top w:val="single" w:color="000000" w:sz="6" w:space="0"/>
              <w:left w:val="single" w:color="auto" w:sz="4" w:space="0"/>
              <w:bottom w:val="single" w:color="000000" w:sz="6" w:space="0"/>
              <w:right w:val="single" w:color="auto" w:sz="4" w:space="0"/>
            </w:tcBorders>
            <w:tcMar>
              <w:top w:w="30" w:type="dxa"/>
              <w:left w:w="30" w:type="dxa"/>
              <w:bottom w:w="30" w:type="dxa"/>
              <w:right w:w="30" w:type="dxa"/>
            </w:tcMar>
            <w:vAlign w:val="center"/>
          </w:tcPr>
          <w:p>
            <w:pPr>
              <w:ind w:firstLine="480" w:firstLineChars="200"/>
              <w:rPr>
                <w:rFonts w:hint="default" w:ascii="宋体" w:hAnsi="宋体" w:cs="宋体"/>
                <w:sz w:val="24"/>
                <w:szCs w:val="24"/>
              </w:rPr>
            </w:pPr>
          </w:p>
        </w:tc>
        <w:tc>
          <w:tcPr>
            <w:tcW w:w="560" w:type="pct"/>
            <w:tcBorders>
              <w:top w:val="single" w:color="000000" w:sz="6" w:space="0"/>
              <w:left w:val="single" w:color="auto" w:sz="4" w:space="0"/>
              <w:bottom w:val="single" w:color="000000" w:sz="6" w:space="0"/>
              <w:right w:val="single" w:color="auto" w:sz="4" w:space="0"/>
            </w:tcBorders>
            <w:vAlign w:val="center"/>
          </w:tcPr>
          <w:p>
            <w:pPr>
              <w:ind w:firstLine="480" w:firstLineChars="200"/>
              <w:rPr>
                <w:rFonts w:hint="default" w:ascii="宋体" w:hAnsi="宋体" w:cs="宋体"/>
                <w:sz w:val="24"/>
                <w:szCs w:val="24"/>
              </w:rPr>
            </w:pPr>
          </w:p>
        </w:tc>
        <w:tc>
          <w:tcPr>
            <w:tcW w:w="560" w:type="pct"/>
            <w:tcBorders>
              <w:top w:val="single" w:color="000000" w:sz="6" w:space="0"/>
              <w:left w:val="single" w:color="auto" w:sz="4" w:space="0"/>
              <w:bottom w:val="single" w:color="000000" w:sz="6" w:space="0"/>
              <w:right w:val="single" w:color="000000" w:sz="6" w:space="0"/>
            </w:tcBorders>
            <w:vAlign w:val="center"/>
          </w:tcPr>
          <w:p>
            <w:pPr>
              <w:ind w:firstLine="480" w:firstLineChars="200"/>
              <w:rPr>
                <w:rFonts w:hint="default" w:ascii="宋体" w:hAnsi="宋体" w:cs="宋体"/>
                <w:sz w:val="24"/>
                <w:szCs w:val="24"/>
              </w:rPr>
            </w:pPr>
          </w:p>
        </w:tc>
        <w:tc>
          <w:tcPr>
            <w:tcW w:w="625"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ind w:firstLine="480" w:firstLineChars="200"/>
              <w:rPr>
                <w:rFonts w:hint="default" w:ascii="宋体" w:hAnsi="宋体" w:cs="宋体"/>
                <w:sz w:val="24"/>
                <w:szCs w:val="24"/>
              </w:rPr>
            </w:pPr>
          </w:p>
        </w:tc>
        <w:tc>
          <w:tcPr>
            <w:tcW w:w="581" w:type="pct"/>
            <w:tcBorders>
              <w:top w:val="single" w:color="000000" w:sz="6" w:space="0"/>
              <w:left w:val="single" w:color="000000" w:sz="6" w:space="0"/>
              <w:bottom w:val="single" w:color="000000" w:sz="6" w:space="0"/>
              <w:right w:val="single" w:color="000000" w:sz="6" w:space="0"/>
            </w:tcBorders>
            <w:vAlign w:val="center"/>
          </w:tcPr>
          <w:p>
            <w:pPr>
              <w:ind w:firstLine="480" w:firstLineChars="200"/>
              <w:rPr>
                <w:rFonts w:hint="default" w:ascii="宋体" w:hAnsi="宋体" w:cs="宋体"/>
                <w:sz w:val="24"/>
                <w:szCs w:val="24"/>
              </w:rPr>
            </w:pPr>
          </w:p>
        </w:tc>
      </w:tr>
      <w:tr>
        <w:tblPrEx>
          <w:tblCellMar>
            <w:top w:w="0" w:type="dxa"/>
            <w:left w:w="0" w:type="dxa"/>
            <w:bottom w:w="0" w:type="dxa"/>
            <w:right w:w="0" w:type="dxa"/>
          </w:tblCellMar>
        </w:tblPrEx>
        <w:trPr>
          <w:trHeight w:val="340" w:hRule="atLeast"/>
        </w:trPr>
        <w:tc>
          <w:tcPr>
            <w:tcW w:w="369"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ind w:firstLine="480" w:firstLineChars="200"/>
              <w:rPr>
                <w:rFonts w:hint="default" w:ascii="宋体" w:hAnsi="宋体" w:cs="宋体"/>
                <w:sz w:val="24"/>
                <w:szCs w:val="24"/>
              </w:rPr>
            </w:pPr>
            <w:r>
              <w:rPr>
                <w:rFonts w:ascii="宋体" w:hAnsi="宋体" w:cs="宋体"/>
                <w:sz w:val="24"/>
                <w:szCs w:val="24"/>
              </w:rPr>
              <w:t>...</w:t>
            </w:r>
          </w:p>
        </w:tc>
        <w:tc>
          <w:tcPr>
            <w:tcW w:w="645"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ind w:firstLine="480" w:firstLineChars="200"/>
              <w:rPr>
                <w:rFonts w:hint="default" w:ascii="宋体" w:hAnsi="宋体" w:cs="宋体"/>
                <w:sz w:val="24"/>
                <w:szCs w:val="24"/>
              </w:rPr>
            </w:pPr>
          </w:p>
        </w:tc>
        <w:tc>
          <w:tcPr>
            <w:tcW w:w="472" w:type="pct"/>
            <w:tcBorders>
              <w:top w:val="single" w:color="000000" w:sz="6" w:space="0"/>
              <w:left w:val="single" w:color="000000" w:sz="6" w:space="0"/>
              <w:bottom w:val="single" w:color="000000" w:sz="6" w:space="0"/>
              <w:right w:val="single" w:color="auto" w:sz="4" w:space="0"/>
            </w:tcBorders>
            <w:tcMar>
              <w:top w:w="30" w:type="dxa"/>
              <w:left w:w="30" w:type="dxa"/>
              <w:bottom w:w="30" w:type="dxa"/>
              <w:right w:w="30" w:type="dxa"/>
            </w:tcMar>
            <w:vAlign w:val="center"/>
          </w:tcPr>
          <w:p>
            <w:pPr>
              <w:ind w:firstLine="480" w:firstLineChars="200"/>
              <w:rPr>
                <w:rFonts w:hint="default" w:ascii="宋体" w:hAnsi="宋体" w:cs="宋体"/>
                <w:sz w:val="24"/>
                <w:szCs w:val="24"/>
              </w:rPr>
            </w:pPr>
          </w:p>
        </w:tc>
        <w:tc>
          <w:tcPr>
            <w:tcW w:w="1184" w:type="pct"/>
            <w:tcBorders>
              <w:top w:val="single" w:color="000000" w:sz="6" w:space="0"/>
              <w:left w:val="single" w:color="auto" w:sz="4" w:space="0"/>
              <w:bottom w:val="single" w:color="000000" w:sz="6" w:space="0"/>
              <w:right w:val="single" w:color="auto" w:sz="4" w:space="0"/>
            </w:tcBorders>
            <w:tcMar>
              <w:top w:w="30" w:type="dxa"/>
              <w:left w:w="30" w:type="dxa"/>
              <w:bottom w:w="30" w:type="dxa"/>
              <w:right w:w="30" w:type="dxa"/>
            </w:tcMar>
            <w:vAlign w:val="center"/>
          </w:tcPr>
          <w:p>
            <w:pPr>
              <w:ind w:firstLine="480" w:firstLineChars="200"/>
              <w:rPr>
                <w:rFonts w:hint="default" w:ascii="宋体" w:hAnsi="宋体" w:cs="宋体"/>
                <w:sz w:val="24"/>
                <w:szCs w:val="24"/>
              </w:rPr>
            </w:pPr>
          </w:p>
        </w:tc>
        <w:tc>
          <w:tcPr>
            <w:tcW w:w="560" w:type="pct"/>
            <w:tcBorders>
              <w:top w:val="single" w:color="000000" w:sz="6" w:space="0"/>
              <w:left w:val="single" w:color="auto" w:sz="4" w:space="0"/>
              <w:bottom w:val="single" w:color="000000" w:sz="6" w:space="0"/>
              <w:right w:val="single" w:color="auto" w:sz="4" w:space="0"/>
            </w:tcBorders>
            <w:vAlign w:val="center"/>
          </w:tcPr>
          <w:p>
            <w:pPr>
              <w:ind w:firstLine="480" w:firstLineChars="200"/>
              <w:rPr>
                <w:rFonts w:hint="default" w:ascii="宋体" w:hAnsi="宋体" w:cs="宋体"/>
                <w:sz w:val="24"/>
                <w:szCs w:val="24"/>
              </w:rPr>
            </w:pPr>
          </w:p>
        </w:tc>
        <w:tc>
          <w:tcPr>
            <w:tcW w:w="560" w:type="pct"/>
            <w:tcBorders>
              <w:top w:val="single" w:color="000000" w:sz="6" w:space="0"/>
              <w:left w:val="single" w:color="auto" w:sz="4" w:space="0"/>
              <w:bottom w:val="single" w:color="000000" w:sz="6" w:space="0"/>
              <w:right w:val="single" w:color="000000" w:sz="6" w:space="0"/>
            </w:tcBorders>
            <w:vAlign w:val="center"/>
          </w:tcPr>
          <w:p>
            <w:pPr>
              <w:ind w:firstLine="480" w:firstLineChars="200"/>
              <w:rPr>
                <w:rFonts w:hint="default" w:ascii="宋体" w:hAnsi="宋体" w:cs="宋体"/>
                <w:sz w:val="24"/>
                <w:szCs w:val="24"/>
              </w:rPr>
            </w:pPr>
          </w:p>
        </w:tc>
        <w:tc>
          <w:tcPr>
            <w:tcW w:w="625"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ind w:firstLine="480" w:firstLineChars="200"/>
              <w:rPr>
                <w:rFonts w:hint="default" w:ascii="宋体" w:hAnsi="宋体" w:cs="宋体"/>
                <w:sz w:val="24"/>
                <w:szCs w:val="24"/>
              </w:rPr>
            </w:pPr>
          </w:p>
        </w:tc>
        <w:tc>
          <w:tcPr>
            <w:tcW w:w="581" w:type="pct"/>
            <w:tcBorders>
              <w:top w:val="single" w:color="000000" w:sz="6" w:space="0"/>
              <w:left w:val="single" w:color="000000" w:sz="6" w:space="0"/>
              <w:bottom w:val="single" w:color="000000" w:sz="6" w:space="0"/>
              <w:right w:val="single" w:color="000000" w:sz="6" w:space="0"/>
            </w:tcBorders>
            <w:vAlign w:val="center"/>
          </w:tcPr>
          <w:p>
            <w:pPr>
              <w:ind w:firstLine="480" w:firstLineChars="200"/>
              <w:rPr>
                <w:rFonts w:hint="default" w:ascii="宋体" w:hAnsi="宋体" w:cs="宋体"/>
                <w:sz w:val="24"/>
                <w:szCs w:val="24"/>
              </w:rPr>
            </w:pPr>
          </w:p>
        </w:tc>
      </w:tr>
      <w:tr>
        <w:tblPrEx>
          <w:tblCellMar>
            <w:top w:w="0" w:type="dxa"/>
            <w:left w:w="0" w:type="dxa"/>
            <w:bottom w:w="0" w:type="dxa"/>
            <w:right w:w="0" w:type="dxa"/>
          </w:tblCellMar>
        </w:tblPrEx>
        <w:trPr>
          <w:trHeight w:val="340" w:hRule="atLeast"/>
        </w:trPr>
        <w:tc>
          <w:tcPr>
            <w:tcW w:w="5000" w:type="pct"/>
            <w:gridSpan w:val="8"/>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ind w:firstLine="482" w:firstLineChars="200"/>
              <w:rPr>
                <w:rFonts w:hint="default" w:ascii="宋体" w:hAnsi="宋体" w:cs="宋体"/>
                <w:sz w:val="24"/>
                <w:szCs w:val="24"/>
              </w:rPr>
            </w:pPr>
            <w:r>
              <w:rPr>
                <w:rFonts w:ascii="宋体" w:hAnsi="宋体" w:cs="宋体"/>
                <w:b/>
                <w:bCs/>
                <w:sz w:val="24"/>
                <w:szCs w:val="24"/>
              </w:rPr>
              <w:t>合同总价</w:t>
            </w:r>
            <w:r>
              <w:rPr>
                <w:rFonts w:ascii="宋体" w:hAnsi="宋体" w:cs="宋体"/>
                <w:sz w:val="24"/>
                <w:szCs w:val="24"/>
              </w:rPr>
              <w:t>：（大写）【人民币        元整】   （小写）【￥     元】</w:t>
            </w:r>
          </w:p>
        </w:tc>
      </w:tr>
    </w:tbl>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注：以上合同总价包括完成所有产品供货及履行所有规定服务所产生的人工、材料、运输、安装、调试、税费等涉及此项目的全部费用。</w:t>
      </w:r>
    </w:p>
    <w:p>
      <w:pPr>
        <w:adjustRightInd w:val="0"/>
        <w:snapToGrid w:val="0"/>
        <w:spacing w:line="360" w:lineRule="auto"/>
        <w:ind w:firstLine="482" w:firstLineChars="200"/>
        <w:rPr>
          <w:rFonts w:hint="default" w:ascii="宋体" w:hAnsi="宋体" w:cs="宋体"/>
          <w:b/>
          <w:sz w:val="24"/>
          <w:szCs w:val="24"/>
        </w:rPr>
      </w:pPr>
      <w:r>
        <w:rPr>
          <w:rFonts w:ascii="宋体" w:hAnsi="宋体" w:cs="宋体"/>
          <w:b/>
          <w:sz w:val="24"/>
          <w:szCs w:val="24"/>
        </w:rPr>
        <w:t>第二条 项目完成时间及地点</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一、项目完成时间：【2023年XX月XX日前】；</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二、乙方负责将货物安全运至甲方指定交货地点：【浙江机电职业技术学院XX校区内】；</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三、甲方收货联系人：【            】、联系方式：【            】。</w:t>
      </w:r>
    </w:p>
    <w:p>
      <w:pPr>
        <w:adjustRightInd w:val="0"/>
        <w:snapToGrid w:val="0"/>
        <w:spacing w:line="360" w:lineRule="auto"/>
        <w:ind w:firstLine="482" w:firstLineChars="200"/>
        <w:rPr>
          <w:rFonts w:hint="default" w:ascii="宋体" w:hAnsi="宋体" w:cs="宋体"/>
          <w:b/>
          <w:sz w:val="24"/>
          <w:szCs w:val="24"/>
        </w:rPr>
      </w:pPr>
      <w:r>
        <w:rPr>
          <w:rFonts w:ascii="宋体" w:hAnsi="宋体" w:cs="宋体"/>
          <w:b/>
          <w:sz w:val="24"/>
          <w:szCs w:val="24"/>
        </w:rPr>
        <w:t>第三条 履约保证金</w:t>
      </w:r>
    </w:p>
    <w:p>
      <w:pPr>
        <w:spacing w:line="360" w:lineRule="auto"/>
        <w:ind w:firstLine="480" w:firstLineChars="200"/>
        <w:rPr>
          <w:rFonts w:hint="default" w:ascii="宋体" w:hAnsi="宋体" w:cs="宋体"/>
          <w:sz w:val="24"/>
          <w:szCs w:val="24"/>
        </w:rPr>
      </w:pPr>
      <w:r>
        <w:rPr>
          <w:rFonts w:ascii="宋体" w:hAnsi="宋体" w:cs="宋体"/>
          <w:sz w:val="24"/>
          <w:szCs w:val="24"/>
        </w:rPr>
        <w:t xml:space="preserve">合同总价的1%作为履约保证金，合同签订后五个工作日内由乙方向甲方缴纳，在甲方验收合格、确认乙方无违约行为后无息返还给乙方。接受金融机构、担保机构出具的以保函形式提交的履约保证金 </w:t>
      </w:r>
    </w:p>
    <w:p>
      <w:pPr>
        <w:adjustRightInd w:val="0"/>
        <w:snapToGrid w:val="0"/>
        <w:spacing w:line="360" w:lineRule="auto"/>
        <w:ind w:firstLine="482" w:firstLineChars="200"/>
        <w:rPr>
          <w:rFonts w:hint="default" w:ascii="宋体" w:hAnsi="宋体" w:cs="宋体"/>
          <w:b/>
          <w:sz w:val="24"/>
          <w:szCs w:val="24"/>
        </w:rPr>
      </w:pPr>
      <w:r>
        <w:rPr>
          <w:rFonts w:ascii="宋体" w:hAnsi="宋体" w:cs="宋体"/>
          <w:b/>
          <w:sz w:val="24"/>
          <w:szCs w:val="24"/>
        </w:rPr>
        <w:t>第四条 货物质量标准</w:t>
      </w:r>
    </w:p>
    <w:p>
      <w:pPr>
        <w:snapToGrid w:val="0"/>
        <w:spacing w:line="360" w:lineRule="auto"/>
        <w:ind w:firstLine="480" w:firstLineChars="200"/>
        <w:textAlignment w:val="baseline"/>
        <w:rPr>
          <w:rFonts w:hint="default" w:ascii="宋体" w:hAnsi="宋体" w:cs="宋体"/>
          <w:sz w:val="24"/>
          <w:szCs w:val="24"/>
        </w:rPr>
      </w:pPr>
      <w:r>
        <w:rPr>
          <w:rFonts w:ascii="宋体" w:hAnsi="宋体" w:cs="宋体"/>
          <w:sz w:val="24"/>
          <w:szCs w:val="24"/>
        </w:rPr>
        <w:t>一、如甲方在本合同或附件中已指明所购货物品牌型号的，则产品应为甲方所指定的货物，不允许乙方提供非本合同或附件中约定的货物或提供非原厂商生产的货物。</w:t>
      </w:r>
    </w:p>
    <w:p>
      <w:pPr>
        <w:snapToGrid w:val="0"/>
        <w:spacing w:line="360" w:lineRule="auto"/>
        <w:ind w:firstLine="480" w:firstLineChars="200"/>
        <w:textAlignment w:val="baseline"/>
        <w:rPr>
          <w:rFonts w:hint="default" w:ascii="宋体" w:hAnsi="宋体" w:cs="宋体"/>
          <w:sz w:val="24"/>
          <w:szCs w:val="24"/>
        </w:rPr>
      </w:pPr>
      <w:r>
        <w:rPr>
          <w:rFonts w:ascii="宋体" w:hAnsi="宋体" w:cs="宋体"/>
          <w:sz w:val="24"/>
          <w:szCs w:val="24"/>
        </w:rPr>
        <w:t>二、乙方提供的货物质量应符合同类同规格货物的国家质量标准及行业质量标准，上述质量标准区分等级的，则应符合最高级别的标准，且交付后甲方能正常使用该货物，如乙方提供的货物既达不到上述标准，又不具备该类货物通常所应具备的使用功能和质量标准，且不能正常运行和使用，甲方有权拒绝收货，并有权终止或解除合同，由此给甲方造成的一切损失由乙方负责。</w:t>
      </w:r>
    </w:p>
    <w:p>
      <w:pPr>
        <w:adjustRightInd w:val="0"/>
        <w:snapToGrid w:val="0"/>
        <w:spacing w:line="360" w:lineRule="auto"/>
        <w:ind w:firstLine="482" w:firstLineChars="200"/>
        <w:rPr>
          <w:rFonts w:hint="default" w:ascii="宋体" w:hAnsi="宋体" w:cs="宋体"/>
          <w:b/>
          <w:sz w:val="24"/>
          <w:szCs w:val="24"/>
        </w:rPr>
      </w:pPr>
      <w:r>
        <w:rPr>
          <w:rFonts w:ascii="宋体" w:hAnsi="宋体" w:cs="宋体"/>
          <w:b/>
          <w:sz w:val="24"/>
          <w:szCs w:val="24"/>
        </w:rPr>
        <w:t>第五条 货物交付及安装调试要求</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一、乙方应根据货物的不同特性和要求采取防潮、防雨、防锈、防震、防磁等保护措施，以确保货物安全无损地到达交货地点。货物必须洁净完好、无划痕、无凹陷、无褪色、无锈迹，包装外观完好、无破损。</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二、上述运输、包装、装卸及运输保险费用均由乙方负担，货物在按照本合同约定所有权转移给甲方前的全部风险由乙方承担。</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三、货物交货时应当同时附有技术规格、使用说明、质量检验合格证书、保修卡及【/】等相关文件或技术资料，文件或技术资料应当清晰、正确和完整。</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四、甲方要求变更交货地点、交货时间的，应提前【7】日通知乙方，乙方应当予以同意。</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五、乙方应当在货物运至约定交货地点前【7】日通知甲方，以便甲方做好接收准备。货物运至约定交货地点后【7】日内甲方对货物进行接收。接收时甲方有权对乙方所交货物的外包装完好程度、产品品牌、型号、数量、产地或生产厂商等是否符合本合同约定进行到货初验。乙方交付的货物存在损坏或短缺，或货物品牌、型号、配置等不符合约定的，甲方有权拒绝接收相应货物且乙方应按本合同约定承担违约责任。对于被拒绝接收的货物，可暂时存放甲方处，但货物毁损、灭失的风险由乙方承担。初验后应由甲方根据初验结果签署到货证明，到货证明仅作为提交验收的材料，最终验收结果以甲方组织的终验结论为准。</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六、需要乙方提供安装调试服务的，乙方应在本合同约定项目完成时间前完成全部货物现场安装调试并使之符合验收合格的标准。在安装调试过程中，甲方有权采取适当的方式对乙方货物质量标准、规格型号、具体配置、数量以及安装质量和进度等进行检查。甲方检查时发现乙方所供货物不符合合同约定或者乙方安装调试时造成货物损坏的，甲方有权要求乙方无条件换货或退货，乙方不同意换货或退货的，甲方有权单方解除合同，乙方应按本合同约定承担违约责任。</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七、若乙方并非原厂商、而本合同约定安装调试服务提供方为原厂商的，则乙方有义务联系、安排、督促、要求原厂商按照本条约定履行安装调试服务义务。原厂商未按照本合同约定履行安装调试服务义务的，视为乙方未履行义务，甲方有权按照本合同“违约责任”条款的约定要求乙方承担相应违约责任。</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八、甲方为安装调试提供工作场地、电源等条件，货物安装调试所需的耗材应由乙方提供，乙方在安装调试过程中应当遵守甲方工作场所的工作纪律及相关管理规定。</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九、在货物的安装及调试过程中，乙方或其聘请的雇员遭受人身损害，或乙方或其聘请的雇员令甲方或第三方遭受人身损害或财产损失，由此引起的一切法律责任由乙方全部承担。若甲方因此为乙方垫付任何款项，甲方有权要求乙方据实立即支付，且有权从应付乙方的价款中将上述款项自行扣除。</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十、其他要求：【/】。</w:t>
      </w:r>
    </w:p>
    <w:p>
      <w:pPr>
        <w:adjustRightInd w:val="0"/>
        <w:snapToGrid w:val="0"/>
        <w:spacing w:line="360" w:lineRule="auto"/>
        <w:ind w:firstLine="482" w:firstLineChars="200"/>
        <w:rPr>
          <w:rFonts w:hint="default" w:ascii="宋体" w:hAnsi="宋体" w:cs="宋体"/>
          <w:b/>
          <w:sz w:val="24"/>
          <w:szCs w:val="24"/>
        </w:rPr>
      </w:pPr>
      <w:r>
        <w:rPr>
          <w:rFonts w:ascii="宋体" w:hAnsi="宋体" w:cs="宋体"/>
          <w:b/>
          <w:sz w:val="24"/>
          <w:szCs w:val="24"/>
        </w:rPr>
        <w:t>第六条 验收</w:t>
      </w:r>
    </w:p>
    <w:p>
      <w:pPr>
        <w:spacing w:line="360" w:lineRule="auto"/>
        <w:ind w:firstLine="480" w:firstLineChars="200"/>
        <w:rPr>
          <w:rFonts w:hint="default" w:ascii="宋体" w:hAnsi="宋体" w:cs="宋体"/>
          <w:sz w:val="24"/>
          <w:szCs w:val="24"/>
        </w:rPr>
      </w:pPr>
      <w:r>
        <w:rPr>
          <w:rFonts w:ascii="宋体" w:hAnsi="宋体" w:cs="宋体"/>
          <w:sz w:val="24"/>
          <w:szCs w:val="24"/>
        </w:rPr>
        <w:t>一、验收流程：乙方凭甲方签署的到货证明向甲方申请验收，甲方根据乙方到货证明、申请审核通过后的验收材料组织终验，并出具验收结论。</w:t>
      </w:r>
    </w:p>
    <w:p>
      <w:pPr>
        <w:spacing w:line="360" w:lineRule="auto"/>
        <w:ind w:firstLine="480" w:firstLineChars="200"/>
        <w:rPr>
          <w:rFonts w:hint="default" w:ascii="宋体" w:hAnsi="宋体" w:cs="宋体"/>
          <w:sz w:val="24"/>
          <w:szCs w:val="24"/>
        </w:rPr>
      </w:pPr>
      <w:r>
        <w:rPr>
          <w:rFonts w:ascii="宋体" w:hAnsi="宋体" w:cs="宋体"/>
          <w:sz w:val="24"/>
          <w:szCs w:val="24"/>
        </w:rPr>
        <w:t>二、验收标准：按本合同采购标的、价格及货物质量标准的约定进行验收。</w:t>
      </w:r>
    </w:p>
    <w:p>
      <w:pPr>
        <w:spacing w:line="360" w:lineRule="auto"/>
        <w:ind w:firstLine="480" w:firstLineChars="200"/>
        <w:rPr>
          <w:rFonts w:hint="default" w:ascii="宋体" w:hAnsi="宋体" w:cs="宋体"/>
          <w:sz w:val="24"/>
          <w:szCs w:val="24"/>
        </w:rPr>
      </w:pPr>
      <w:r>
        <w:rPr>
          <w:rFonts w:ascii="宋体" w:hAnsi="宋体" w:cs="宋体"/>
          <w:sz w:val="24"/>
          <w:szCs w:val="24"/>
        </w:rPr>
        <w:t>三、验收时间：乙方完成本合同第五条约定的安装调试及其他服务工作后，应当在【7】日内做好验收的必要准备并向甲方发出可以进行验收的书面通知。甲方自收到可以进行验收的通知之日起【30】日内开始验收。双方书面另行约定其他验收时间的，按约定时间进行验收。</w:t>
      </w:r>
    </w:p>
    <w:p>
      <w:pPr>
        <w:spacing w:line="360" w:lineRule="auto"/>
        <w:ind w:firstLine="480" w:firstLineChars="200"/>
        <w:rPr>
          <w:rFonts w:hint="default" w:ascii="宋体" w:hAnsi="宋体" w:cs="宋体"/>
          <w:sz w:val="24"/>
          <w:szCs w:val="24"/>
        </w:rPr>
      </w:pPr>
      <w:r>
        <w:rPr>
          <w:rFonts w:ascii="宋体" w:hAnsi="宋体" w:cs="宋体"/>
          <w:sz w:val="24"/>
          <w:szCs w:val="24"/>
        </w:rPr>
        <w:t>四、验收范围包括但不限于：1、型号规格、数量、外观；2、出厂合格证、说明书等约定应交付的证书、资料；3、设备组件及所附技术资料；4、设备功能、性能等参数指标；5、【/】。</w:t>
      </w:r>
    </w:p>
    <w:p>
      <w:pPr>
        <w:spacing w:line="360" w:lineRule="auto"/>
        <w:ind w:firstLine="480" w:firstLineChars="200"/>
        <w:rPr>
          <w:rFonts w:hint="default" w:ascii="宋体" w:hAnsi="宋体" w:cs="宋体"/>
          <w:sz w:val="24"/>
          <w:szCs w:val="24"/>
        </w:rPr>
      </w:pPr>
      <w:r>
        <w:rPr>
          <w:rFonts w:ascii="宋体" w:hAnsi="宋体" w:cs="宋体"/>
          <w:sz w:val="24"/>
          <w:szCs w:val="24"/>
        </w:rPr>
        <w:t>五、验收合格的确认：验收合格后甲方签署验收合格证明，此时乙方完成合同交付义务。如验收不合格，乙方应当立即采取措施纠正不符之处，并与甲方协商约定新的验收时间进行验收（简称“重新提交验收”）。若因重新提交验收而超出本合同确定的项目完成时间的，视为乙方未完成合同义务，乙方应承担逾期交付违约责任。</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六、如甲方认为货物质量、品质等不符合本合同约定，甲方有权对乙方提供的货物进行检验。在此期间，甲方有权暂时停止按照合同约定向乙方支付相应部分/全部获取的货款。如果检测结果符合产品有关标准及甲方要求，检测费用由甲方自行承担。如果检测结果未能达到产品有关标准及甲方要求，应由乙方偿付甲方已垫付的检验费用，且乙方应重新更换符合合同规定质量要求的产品；乙方应接受甲方或其代表对产品的质量检验，服从甲方或其代表在产品制造期间的质量监督。</w:t>
      </w:r>
    </w:p>
    <w:p>
      <w:pPr>
        <w:adjustRightInd w:val="0"/>
        <w:snapToGrid w:val="0"/>
        <w:spacing w:line="360" w:lineRule="auto"/>
        <w:ind w:firstLine="482" w:firstLineChars="200"/>
        <w:rPr>
          <w:rFonts w:hint="default" w:ascii="宋体" w:hAnsi="宋体" w:cs="宋体"/>
          <w:sz w:val="24"/>
          <w:szCs w:val="24"/>
        </w:rPr>
      </w:pPr>
      <w:r>
        <w:rPr>
          <w:rFonts w:ascii="宋体" w:hAnsi="宋体" w:cs="宋体"/>
          <w:b/>
          <w:sz w:val="24"/>
          <w:szCs w:val="24"/>
        </w:rPr>
        <w:t>第七条 付款方式</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甲乙双方之间发生的本合同项下的一切价款、费用、金额均以人民币（币种）结算及支付。在乙方无任何违约行为的前提下，甲方应按照下列第【一】项约定向乙方支付款项：</w:t>
      </w:r>
    </w:p>
    <w:p>
      <w:pPr>
        <w:spacing w:line="360" w:lineRule="auto"/>
        <w:ind w:firstLine="480" w:firstLineChars="200"/>
        <w:rPr>
          <w:rFonts w:hint="default" w:ascii="宋体" w:hAnsi="宋体" w:cs="宋体"/>
          <w:sz w:val="24"/>
          <w:szCs w:val="24"/>
        </w:rPr>
      </w:pPr>
      <w:r>
        <w:rPr>
          <w:rFonts w:ascii="宋体" w:hAnsi="宋体" w:cs="宋体"/>
          <w:sz w:val="24"/>
          <w:szCs w:val="24"/>
        </w:rPr>
        <w:t xml:space="preserve">一、向乙方分三阶段支付合同款： </w:t>
      </w:r>
    </w:p>
    <w:p>
      <w:pPr>
        <w:spacing w:line="360" w:lineRule="auto"/>
        <w:ind w:firstLine="480" w:firstLineChars="200"/>
        <w:rPr>
          <w:rFonts w:hint="default" w:ascii="宋体" w:hAnsi="宋体" w:cs="宋体"/>
          <w:sz w:val="24"/>
          <w:szCs w:val="24"/>
        </w:rPr>
      </w:pPr>
      <w:r>
        <w:rPr>
          <w:rFonts w:ascii="宋体" w:hAnsi="宋体" w:cs="宋体"/>
          <w:sz w:val="24"/>
          <w:szCs w:val="24"/>
        </w:rPr>
        <w:t>1.本项目预付款40%（制造商为大型企业的项目无预付款），即￥XXXX元（大写：人民币XXXX元整），在收到乙方提供的预付款保函且项目具备实施条件后7个工作日内支付；</w:t>
      </w:r>
    </w:p>
    <w:p>
      <w:pPr>
        <w:spacing w:line="360" w:lineRule="auto"/>
        <w:ind w:firstLine="480" w:firstLineChars="200"/>
        <w:rPr>
          <w:rFonts w:hint="default" w:ascii="宋体" w:hAnsi="宋体" w:cs="宋体"/>
          <w:sz w:val="24"/>
          <w:szCs w:val="24"/>
        </w:rPr>
      </w:pPr>
      <w:r>
        <w:rPr>
          <w:rFonts w:ascii="宋体" w:hAnsi="宋体" w:cs="宋体"/>
          <w:sz w:val="24"/>
          <w:szCs w:val="24"/>
        </w:rPr>
        <w:t>2.货物自乙方送达甲方指定地点，安装调试完毕，经甲方验收合格并正常运行二十个工作日内，在收到乙方开具的正规发票后，甲方在7个工作日内向乙方支付合同总额55%（制造商为大型企业的项目95%）的货款，即￥XXXX元（大写：人民币XXXX元整）；</w:t>
      </w:r>
    </w:p>
    <w:p>
      <w:pPr>
        <w:pStyle w:val="3"/>
        <w:spacing w:after="0" w:line="360" w:lineRule="auto"/>
        <w:ind w:firstLine="480" w:firstLineChars="200"/>
        <w:rPr>
          <w:rFonts w:hint="default" w:ascii="宋体" w:hAnsi="宋体" w:cs="宋体"/>
          <w:sz w:val="24"/>
        </w:rPr>
      </w:pPr>
      <w:r>
        <w:rPr>
          <w:rFonts w:ascii="宋体" w:hAnsi="宋体" w:cs="宋体"/>
          <w:sz w:val="24"/>
        </w:rPr>
        <w:t>3.剩余合同总额5%的货款，即￥XXXX元（大写：人民币XXXX元整），在满足支付条件且收到发票后7个工作日内支付。支付条件：所有产品稳定运行（最长不超过3个月）。</w:t>
      </w:r>
    </w:p>
    <w:p>
      <w:pPr>
        <w:adjustRightInd w:val="0"/>
        <w:snapToGrid w:val="0"/>
        <w:spacing w:line="360" w:lineRule="auto"/>
        <w:ind w:firstLine="482" w:firstLineChars="200"/>
        <w:rPr>
          <w:rFonts w:hint="default" w:ascii="宋体" w:hAnsi="宋体" w:cs="宋体"/>
          <w:b/>
          <w:sz w:val="24"/>
          <w:szCs w:val="24"/>
        </w:rPr>
      </w:pPr>
      <w:r>
        <w:rPr>
          <w:rFonts w:ascii="宋体" w:hAnsi="宋体" w:cs="宋体"/>
          <w:b/>
          <w:sz w:val="24"/>
          <w:szCs w:val="24"/>
        </w:rPr>
        <w:t>第八条 质保期、售后服务承诺</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一、货物质保期为：【      】（合同另有特别约定的以特别约定为准），该期限自本合同项下的全部货物验收合格之日（对于还需要进行安装调试或集成服务的，应自所有相应服务完成并验收合格之日）起开始计算，质量保证期内如货物出现任何质量问题，甲方有权要求乙方予以无条件维修、更换或退货。若甲方选择维修的，乙方应免费提供配件并现场维修，维修或更换部分的货物和材料的质保期自修复或更换合格之日起重新计算。</w:t>
      </w:r>
    </w:p>
    <w:p>
      <w:pPr>
        <w:snapToGrid w:val="0"/>
        <w:spacing w:line="360" w:lineRule="auto"/>
        <w:ind w:firstLine="480" w:firstLineChars="200"/>
        <w:textAlignment w:val="baseline"/>
        <w:rPr>
          <w:rFonts w:hint="default" w:ascii="宋体" w:hAnsi="宋体" w:cs="宋体"/>
          <w:sz w:val="24"/>
          <w:szCs w:val="24"/>
        </w:rPr>
      </w:pPr>
      <w:r>
        <w:rPr>
          <w:rFonts w:ascii="宋体" w:hAnsi="宋体" w:cs="宋体"/>
          <w:sz w:val="24"/>
          <w:szCs w:val="24"/>
        </w:rPr>
        <w:t>二、其他：【/】。</w:t>
      </w:r>
    </w:p>
    <w:p>
      <w:pPr>
        <w:adjustRightInd w:val="0"/>
        <w:snapToGrid w:val="0"/>
        <w:spacing w:line="360" w:lineRule="auto"/>
        <w:ind w:firstLine="482" w:firstLineChars="200"/>
        <w:rPr>
          <w:rFonts w:hint="default" w:ascii="宋体" w:hAnsi="宋体" w:cs="宋体"/>
          <w:b/>
          <w:sz w:val="24"/>
          <w:szCs w:val="24"/>
        </w:rPr>
      </w:pPr>
      <w:r>
        <w:rPr>
          <w:rFonts w:ascii="宋体" w:hAnsi="宋体" w:cs="宋体"/>
          <w:b/>
          <w:sz w:val="24"/>
          <w:szCs w:val="24"/>
        </w:rPr>
        <w:t>第九条 知识产权</w:t>
      </w:r>
    </w:p>
    <w:p>
      <w:pPr>
        <w:snapToGrid w:val="0"/>
        <w:spacing w:line="360" w:lineRule="auto"/>
        <w:ind w:firstLine="480" w:firstLineChars="200"/>
        <w:textAlignment w:val="baseline"/>
        <w:rPr>
          <w:rFonts w:hint="default" w:ascii="宋体" w:hAnsi="宋体" w:cs="宋体"/>
          <w:sz w:val="24"/>
          <w:szCs w:val="24"/>
        </w:rPr>
      </w:pPr>
      <w:r>
        <w:rPr>
          <w:rFonts w:ascii="宋体" w:hAnsi="宋体" w:cs="宋体"/>
          <w:sz w:val="24"/>
          <w:szCs w:val="24"/>
        </w:rPr>
        <w:t>一、乙方应保证甲方在使用本合同项下的产品时免受第三方提出的侵犯其知识产权的索赔或诉讼，否则乙方构成根本性违约。</w:t>
      </w:r>
    </w:p>
    <w:p>
      <w:pPr>
        <w:snapToGrid w:val="0"/>
        <w:spacing w:line="360" w:lineRule="auto"/>
        <w:ind w:firstLine="480" w:firstLineChars="200"/>
        <w:textAlignment w:val="baseline"/>
        <w:rPr>
          <w:rFonts w:hint="default" w:ascii="宋体" w:hAnsi="宋体" w:cs="宋体"/>
          <w:sz w:val="24"/>
          <w:szCs w:val="24"/>
        </w:rPr>
      </w:pPr>
      <w:r>
        <w:rPr>
          <w:rFonts w:ascii="宋体" w:hAnsi="宋体" w:cs="宋体"/>
          <w:sz w:val="24"/>
          <w:szCs w:val="24"/>
        </w:rPr>
        <w:t>二、乙方保证产品不存在侵犯任何第三方专利权、著作权的情形，否则乙方构成根本性违约。</w:t>
      </w:r>
    </w:p>
    <w:p>
      <w:pPr>
        <w:adjustRightInd w:val="0"/>
        <w:snapToGrid w:val="0"/>
        <w:spacing w:line="360" w:lineRule="auto"/>
        <w:ind w:firstLine="482" w:firstLineChars="200"/>
        <w:rPr>
          <w:rFonts w:hint="default" w:ascii="宋体" w:hAnsi="宋体" w:cs="宋体"/>
          <w:b/>
          <w:sz w:val="24"/>
          <w:szCs w:val="24"/>
        </w:rPr>
      </w:pPr>
      <w:r>
        <w:rPr>
          <w:rFonts w:ascii="宋体" w:hAnsi="宋体" w:cs="宋体"/>
          <w:b/>
          <w:sz w:val="24"/>
          <w:szCs w:val="24"/>
        </w:rPr>
        <w:t>第十条 违约责任</w:t>
      </w:r>
    </w:p>
    <w:p>
      <w:pPr>
        <w:widowControl/>
        <w:snapToGrid w:val="0"/>
        <w:spacing w:line="360" w:lineRule="auto"/>
        <w:ind w:firstLine="480" w:firstLineChars="200"/>
        <w:textAlignment w:val="baseline"/>
        <w:rPr>
          <w:rFonts w:hint="default" w:ascii="宋体" w:hAnsi="宋体" w:cs="宋体"/>
          <w:sz w:val="24"/>
          <w:szCs w:val="24"/>
        </w:rPr>
      </w:pPr>
      <w:r>
        <w:rPr>
          <w:rFonts w:ascii="宋体" w:hAnsi="宋体" w:cs="宋体"/>
          <w:sz w:val="24"/>
          <w:szCs w:val="24"/>
        </w:rPr>
        <w:t>一、项目逾期：乙方如逾期履行合同义务，每迟延一日，应按照合同总价款万分之五的标准向甲方支付违约金，同时还应承担由此给甲方造成的一切损失和费用；乙方逾期履行合同义务【30】日以上（含本数），乙方构成根本性违约。</w:t>
      </w:r>
    </w:p>
    <w:p>
      <w:pPr>
        <w:widowControl/>
        <w:shd w:val="clear" w:color="auto" w:fill="FFFFFF"/>
        <w:snapToGrid w:val="0"/>
        <w:spacing w:line="360" w:lineRule="auto"/>
        <w:ind w:firstLine="480" w:firstLineChars="200"/>
        <w:textAlignment w:val="baseline"/>
        <w:rPr>
          <w:rFonts w:hint="default" w:ascii="宋体" w:hAnsi="宋体" w:cs="宋体"/>
          <w:sz w:val="24"/>
          <w:szCs w:val="24"/>
        </w:rPr>
      </w:pPr>
      <w:r>
        <w:rPr>
          <w:rFonts w:ascii="宋体" w:hAnsi="宋体" w:cs="宋体"/>
          <w:sz w:val="24"/>
          <w:szCs w:val="24"/>
        </w:rPr>
        <w:t>二、品质不符：如出现品质不符，视为根本性违约。</w:t>
      </w:r>
    </w:p>
    <w:p>
      <w:pPr>
        <w:widowControl/>
        <w:shd w:val="clear" w:color="auto" w:fill="FFFFFF"/>
        <w:snapToGrid w:val="0"/>
        <w:spacing w:line="360" w:lineRule="auto"/>
        <w:ind w:firstLine="480" w:firstLineChars="200"/>
        <w:textAlignment w:val="baseline"/>
        <w:rPr>
          <w:rFonts w:hint="default" w:ascii="宋体" w:hAnsi="宋体" w:cs="宋体"/>
          <w:sz w:val="24"/>
          <w:szCs w:val="24"/>
        </w:rPr>
      </w:pPr>
      <w:r>
        <w:rPr>
          <w:rFonts w:ascii="宋体" w:hAnsi="宋体" w:cs="宋体"/>
          <w:sz w:val="24"/>
          <w:szCs w:val="24"/>
        </w:rPr>
        <w:t>三、包装不符：如货物包装不符合合同约定，甲方有权拒收包装不符的货物，乙方应立即整改纠正。若乙方重新交付货物而导致原定的交付期限逾期的，每迟延一日，应按照合同总价款万分之五的标准向甲方支付违约金，并承担甲方由此产生的一切损失和增加的费用，包括但不限于甲方对第三方承担违约责任而遭受的损失。</w:t>
      </w:r>
    </w:p>
    <w:p>
      <w:pPr>
        <w:widowControl/>
        <w:shd w:val="clear" w:color="auto" w:fill="FFFFFF"/>
        <w:snapToGrid w:val="0"/>
        <w:spacing w:line="360" w:lineRule="auto"/>
        <w:ind w:firstLine="480" w:firstLineChars="200"/>
        <w:textAlignment w:val="baseline"/>
        <w:rPr>
          <w:rFonts w:hint="default" w:ascii="宋体" w:hAnsi="宋体" w:cs="宋体"/>
          <w:sz w:val="24"/>
          <w:szCs w:val="24"/>
        </w:rPr>
      </w:pPr>
      <w:r>
        <w:rPr>
          <w:rFonts w:ascii="宋体" w:hAnsi="宋体" w:cs="宋体"/>
          <w:sz w:val="24"/>
          <w:szCs w:val="24"/>
        </w:rPr>
        <w:t>四、验收未合格：如货物验收未合格，甲方有权要求退货、换货，乙方应与甲方约定新的验收时间进行验收，如乙方不配合进行退货、换货的，货物毁损、灭失等风险由乙方自行承担；若因乙方重新申请验收而超出本合同确定的项目完成时间的，每迟延一日，应按照合同总价款万分之五的标准向甲方支付违约金，同时还应承担由此给甲方造成的一切损失和费用。如果经过2次验收或逾期履行合同义务【30】日以上（含本数）（以先届至者为准），货物仍不能验收合格的，视为根本性违约。</w:t>
      </w:r>
    </w:p>
    <w:p>
      <w:pPr>
        <w:pStyle w:val="3"/>
        <w:spacing w:after="0" w:line="360" w:lineRule="auto"/>
        <w:ind w:firstLine="480" w:firstLineChars="200"/>
        <w:rPr>
          <w:rFonts w:hint="default" w:ascii="宋体" w:hAnsi="宋体" w:cs="宋体"/>
          <w:sz w:val="24"/>
        </w:rPr>
      </w:pPr>
      <w:r>
        <w:rPr>
          <w:rFonts w:ascii="宋体" w:hAnsi="宋体" w:cs="宋体"/>
          <w:sz w:val="24"/>
        </w:rPr>
        <w:t>五、乙方应当向甲方支付违约金或赔偿金的，应当在甲方发出索赔通知后【7】日之内支付给甲方。如甲方尚有未向乙方支付的款项的，乙方同意甲方也可从未支付款项中抵扣相应数额的款项。</w:t>
      </w:r>
    </w:p>
    <w:p>
      <w:pPr>
        <w:widowControl/>
        <w:shd w:val="clear" w:color="auto" w:fill="FFFFFF"/>
        <w:snapToGrid w:val="0"/>
        <w:spacing w:line="360" w:lineRule="auto"/>
        <w:ind w:firstLine="480" w:firstLineChars="200"/>
        <w:textAlignment w:val="baseline"/>
        <w:rPr>
          <w:rFonts w:hint="default" w:ascii="宋体" w:hAnsi="宋体" w:cs="宋体"/>
          <w:sz w:val="24"/>
          <w:szCs w:val="24"/>
        </w:rPr>
      </w:pPr>
      <w:r>
        <w:rPr>
          <w:rFonts w:ascii="宋体" w:hAnsi="宋体" w:cs="宋体"/>
          <w:sz w:val="24"/>
          <w:szCs w:val="24"/>
        </w:rPr>
        <w:t>六、根本性违约：如发生根本性违约，甲方有权拒收货物、拒付货款，有权单方面通知乙方解除本合同，有权要求乙方退还已支付的货款，同时，乙方应向甲方支付货物总值【30】%的违约金，并应承担因此造成的一切损失和费用。</w:t>
      </w:r>
    </w:p>
    <w:p>
      <w:pPr>
        <w:pStyle w:val="3"/>
        <w:spacing w:after="0" w:line="360" w:lineRule="auto"/>
        <w:ind w:firstLine="480" w:firstLineChars="200"/>
        <w:rPr>
          <w:rFonts w:hint="default" w:ascii="宋体" w:hAnsi="宋体" w:cs="宋体"/>
          <w:sz w:val="24"/>
        </w:rPr>
      </w:pPr>
      <w:r>
        <w:rPr>
          <w:rFonts w:ascii="宋体" w:hAnsi="宋体" w:cs="宋体"/>
          <w:sz w:val="24"/>
        </w:rPr>
        <w:t>七、任何一方有其他违反本合同情形的，应赔偿守约方全部损失，该损失包括但不限于对守约方所造成的直接损失、可得利益损失、守约方支付给第三方的赔偿费用/违约金/罚款、调查取证费用/公证费、诉讼费用、律师费以及因此而支付的其他合理费用。</w:t>
      </w:r>
    </w:p>
    <w:p>
      <w:pPr>
        <w:adjustRightInd w:val="0"/>
        <w:snapToGrid w:val="0"/>
        <w:spacing w:line="360" w:lineRule="auto"/>
        <w:ind w:firstLine="482" w:firstLineChars="200"/>
        <w:rPr>
          <w:rFonts w:hint="default" w:ascii="宋体" w:hAnsi="宋体" w:cs="宋体"/>
          <w:b/>
          <w:sz w:val="24"/>
          <w:szCs w:val="24"/>
        </w:rPr>
      </w:pPr>
      <w:r>
        <w:rPr>
          <w:rFonts w:ascii="宋体" w:hAnsi="宋体" w:cs="宋体"/>
          <w:b/>
          <w:sz w:val="24"/>
          <w:szCs w:val="24"/>
        </w:rPr>
        <w:t>第十一条 争议解决</w:t>
      </w:r>
    </w:p>
    <w:p>
      <w:pPr>
        <w:spacing w:line="360" w:lineRule="auto"/>
        <w:ind w:firstLine="480" w:firstLineChars="200"/>
        <w:rPr>
          <w:rFonts w:hint="default" w:ascii="宋体" w:hAnsi="宋体" w:cs="宋体"/>
          <w:sz w:val="24"/>
          <w:szCs w:val="24"/>
        </w:rPr>
      </w:pPr>
      <w:r>
        <w:rPr>
          <w:rFonts w:ascii="宋体" w:hAnsi="宋体" w:cs="宋体"/>
          <w:sz w:val="24"/>
          <w:szCs w:val="24"/>
        </w:rPr>
        <w:t>一、在本合同履行过程中，如发生争议，双方应友好协商解决，经协商仍不能达成一致的，双方同意将争议提交至甲方所在地人民法院。</w:t>
      </w:r>
    </w:p>
    <w:p>
      <w:pPr>
        <w:spacing w:line="360" w:lineRule="auto"/>
        <w:ind w:firstLine="480" w:firstLineChars="200"/>
        <w:rPr>
          <w:rFonts w:hint="default" w:ascii="宋体" w:hAnsi="宋体" w:cs="宋体"/>
          <w:sz w:val="24"/>
          <w:szCs w:val="24"/>
        </w:rPr>
      </w:pPr>
      <w:r>
        <w:rPr>
          <w:rFonts w:ascii="宋体" w:hAnsi="宋体" w:cs="宋体"/>
          <w:sz w:val="24"/>
          <w:szCs w:val="24"/>
        </w:rPr>
        <w:t>二、如果本合同的任何条款被司法机关或其它有权机关宣布为无效、非法或其它形式的不可执行，本合同其它条款仍然有效，双方均应遵照执行。</w:t>
      </w:r>
    </w:p>
    <w:p>
      <w:pPr>
        <w:adjustRightInd w:val="0"/>
        <w:snapToGrid w:val="0"/>
        <w:spacing w:line="360" w:lineRule="auto"/>
        <w:ind w:firstLine="482" w:firstLineChars="200"/>
        <w:rPr>
          <w:rFonts w:hint="default" w:ascii="宋体" w:hAnsi="宋体" w:cs="宋体"/>
          <w:b/>
          <w:sz w:val="24"/>
          <w:szCs w:val="24"/>
        </w:rPr>
      </w:pPr>
      <w:r>
        <w:rPr>
          <w:rFonts w:ascii="宋体" w:hAnsi="宋体" w:cs="宋体"/>
          <w:b/>
          <w:sz w:val="24"/>
          <w:szCs w:val="24"/>
        </w:rPr>
        <w:br w:type="page"/>
      </w:r>
      <w:r>
        <w:rPr>
          <w:rFonts w:ascii="宋体" w:hAnsi="宋体" w:cs="宋体"/>
          <w:b/>
          <w:sz w:val="24"/>
          <w:szCs w:val="24"/>
        </w:rPr>
        <w:t>第十二条 合同的生效、变更及合同份数</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一、本合同经甲方法定代表人或其委托代理人签字并盖章、乙方法定代表人或其委托代理人签字并盖章后生效。</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二、本合同附件及双方的招标文件、响应文件、谈判记录等系本合同的组成部分。</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三、本合同生效后，未经双方共同协商并达成书面协议，任何一方不得擅自变更本合同约定。</w:t>
      </w:r>
    </w:p>
    <w:p>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四、本合同正本一式伍份，甲方执叁份，乙方执贰份，均具有同等法律效力。</w:t>
      </w:r>
    </w:p>
    <w:p>
      <w:pPr>
        <w:pStyle w:val="3"/>
        <w:spacing w:after="0" w:line="360" w:lineRule="auto"/>
        <w:ind w:firstLine="480" w:firstLineChars="200"/>
        <w:rPr>
          <w:rFonts w:hint="default" w:ascii="宋体" w:hAnsi="宋体" w:cs="宋体"/>
          <w:sz w:val="24"/>
        </w:rPr>
      </w:pPr>
      <w:r>
        <w:rPr>
          <w:rFonts w:ascii="宋体" w:hAnsi="宋体" w:cs="宋体"/>
          <w:sz w:val="24"/>
        </w:rPr>
        <w:t>五、下述所载双方联系人和联系地址，也视为双方收件地址。双方相关来往函件或司法文书寄送到下述地址后，视为函件或文书已经送达。</w:t>
      </w:r>
    </w:p>
    <w:p>
      <w:pPr>
        <w:snapToGrid w:val="0"/>
        <w:spacing w:line="300" w:lineRule="auto"/>
        <w:ind w:firstLine="482" w:firstLineChars="200"/>
        <w:rPr>
          <w:rFonts w:hint="default" w:ascii="宋体" w:hAnsi="宋体" w:cs="宋体"/>
          <w:sz w:val="24"/>
          <w:szCs w:val="24"/>
        </w:rPr>
      </w:pPr>
      <w:r>
        <w:rPr>
          <w:rFonts w:ascii="宋体" w:hAnsi="宋体" w:cs="宋体"/>
          <w:b/>
          <w:sz w:val="24"/>
          <w:szCs w:val="24"/>
        </w:rPr>
        <w:t>第十三条  双方补充约定的其他事项：</w:t>
      </w:r>
      <w:r>
        <w:rPr>
          <w:rFonts w:ascii="宋体" w:hAnsi="宋体" w:cs="宋体"/>
          <w:sz w:val="24"/>
          <w:szCs w:val="24"/>
        </w:rPr>
        <w:t>【/】。</w:t>
      </w:r>
    </w:p>
    <w:tbl>
      <w:tblPr>
        <w:tblStyle w:val="42"/>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1"/>
        <w:gridCol w:w="4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4671" w:type="dxa"/>
            <w:vAlign w:val="center"/>
          </w:tcPr>
          <w:p>
            <w:pPr>
              <w:rPr>
                <w:rFonts w:hint="default" w:ascii="宋体" w:hAnsi="宋体" w:cs="宋体"/>
                <w:sz w:val="24"/>
                <w:szCs w:val="24"/>
              </w:rPr>
            </w:pPr>
            <w:r>
              <w:rPr>
                <w:rFonts w:ascii="宋体" w:hAnsi="宋体" w:cs="宋体"/>
                <w:sz w:val="24"/>
                <w:szCs w:val="24"/>
              </w:rPr>
              <w:t>甲方（公章）：浙江机电职业技术学院</w:t>
            </w:r>
          </w:p>
        </w:tc>
        <w:tc>
          <w:tcPr>
            <w:tcW w:w="4718" w:type="dxa"/>
            <w:vAlign w:val="center"/>
          </w:tcPr>
          <w:p>
            <w:pPr>
              <w:rPr>
                <w:rFonts w:hint="default" w:ascii="宋体" w:hAnsi="宋体" w:cs="宋体"/>
                <w:sz w:val="24"/>
                <w:szCs w:val="24"/>
              </w:rPr>
            </w:pPr>
            <w:r>
              <w:rPr>
                <w:rFonts w:ascii="宋体" w:hAnsi="宋体" w:cs="宋体"/>
                <w:sz w:val="24"/>
                <w:szCs w:val="24"/>
              </w:rPr>
              <w:t>乙方（公章）：（必填）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671" w:type="dxa"/>
            <w:vAlign w:val="center"/>
          </w:tcPr>
          <w:p>
            <w:pPr>
              <w:rPr>
                <w:rFonts w:hint="default" w:ascii="宋体" w:hAnsi="宋体" w:cs="宋体"/>
                <w:sz w:val="24"/>
                <w:szCs w:val="24"/>
              </w:rPr>
            </w:pPr>
            <w:r>
              <w:rPr>
                <w:rFonts w:ascii="宋体" w:hAnsi="宋体" w:cs="宋体"/>
                <w:sz w:val="24"/>
                <w:szCs w:val="24"/>
              </w:rPr>
              <w:t>法定代表人或其委托代理人：</w:t>
            </w:r>
          </w:p>
          <w:p>
            <w:pPr>
              <w:rPr>
                <w:rFonts w:hint="default" w:ascii="宋体" w:hAnsi="宋体" w:cs="宋体"/>
                <w:sz w:val="24"/>
                <w:szCs w:val="24"/>
              </w:rPr>
            </w:pPr>
            <w:r>
              <w:rPr>
                <w:rFonts w:ascii="宋体" w:hAnsi="宋体" w:cs="宋体"/>
                <w:sz w:val="24"/>
                <w:szCs w:val="24"/>
              </w:rPr>
              <w:t>(签字）</w:t>
            </w:r>
          </w:p>
        </w:tc>
        <w:tc>
          <w:tcPr>
            <w:tcW w:w="4718" w:type="dxa"/>
            <w:vAlign w:val="center"/>
          </w:tcPr>
          <w:p>
            <w:pPr>
              <w:jc w:val="left"/>
              <w:rPr>
                <w:rFonts w:hint="default" w:ascii="宋体" w:hAnsi="宋体" w:cs="宋体"/>
                <w:sz w:val="24"/>
                <w:szCs w:val="24"/>
              </w:rPr>
            </w:pPr>
            <w:r>
              <w:rPr>
                <w:rFonts w:ascii="宋体" w:hAnsi="宋体" w:cs="宋体"/>
                <w:sz w:val="24"/>
                <w:szCs w:val="24"/>
              </w:rPr>
              <w:t>法定代表人或其委托代理人：</w:t>
            </w:r>
          </w:p>
          <w:p>
            <w:pPr>
              <w:jc w:val="left"/>
              <w:rPr>
                <w:rFonts w:hint="default" w:ascii="宋体" w:hAnsi="宋体" w:cs="宋体"/>
                <w:sz w:val="24"/>
                <w:szCs w:val="24"/>
              </w:rPr>
            </w:pPr>
            <w:r>
              <w:rPr>
                <w:rFonts w:ascii="宋体" w:hAnsi="宋体" w:cs="宋体"/>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4671" w:type="dxa"/>
            <w:vAlign w:val="center"/>
          </w:tcPr>
          <w:p>
            <w:pPr>
              <w:rPr>
                <w:rFonts w:hint="default" w:ascii="宋体" w:hAnsi="宋体" w:cs="宋体"/>
                <w:sz w:val="24"/>
                <w:szCs w:val="24"/>
              </w:rPr>
            </w:pPr>
            <w:r>
              <w:rPr>
                <w:rFonts w:ascii="宋体" w:hAnsi="宋体" w:cs="宋体"/>
                <w:sz w:val="24"/>
                <w:szCs w:val="24"/>
              </w:rPr>
              <w:t>地址：浙江省杭州市滨江区滨文路528号</w:t>
            </w:r>
          </w:p>
        </w:tc>
        <w:tc>
          <w:tcPr>
            <w:tcW w:w="4718" w:type="dxa"/>
            <w:vAlign w:val="center"/>
          </w:tcPr>
          <w:p>
            <w:pPr>
              <w:jc w:val="left"/>
              <w:rPr>
                <w:rFonts w:hint="default" w:ascii="宋体" w:hAnsi="宋体" w:cs="宋体"/>
                <w:sz w:val="24"/>
                <w:szCs w:val="24"/>
              </w:rPr>
            </w:pPr>
            <w:r>
              <w:rPr>
                <w:rFonts w:ascii="宋体" w:hAnsi="宋体" w:cs="宋体"/>
                <w:sz w:val="24"/>
                <w:szCs w:val="24"/>
              </w:rPr>
              <w:t>地址：（必填）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4671" w:type="dxa"/>
            <w:vAlign w:val="center"/>
          </w:tcPr>
          <w:p>
            <w:pPr>
              <w:rPr>
                <w:rFonts w:hint="default" w:ascii="宋体" w:hAnsi="宋体" w:cs="宋体"/>
                <w:sz w:val="24"/>
                <w:szCs w:val="24"/>
              </w:rPr>
            </w:pPr>
            <w:r>
              <w:rPr>
                <w:rFonts w:ascii="宋体" w:hAnsi="宋体" w:cs="宋体"/>
                <w:sz w:val="24"/>
                <w:szCs w:val="24"/>
              </w:rPr>
              <w:t>邮编：310053</w:t>
            </w:r>
          </w:p>
        </w:tc>
        <w:tc>
          <w:tcPr>
            <w:tcW w:w="4718" w:type="dxa"/>
            <w:vAlign w:val="center"/>
          </w:tcPr>
          <w:p>
            <w:pPr>
              <w:jc w:val="left"/>
              <w:rPr>
                <w:rFonts w:hint="default" w:ascii="宋体" w:hAnsi="宋体" w:cs="宋体"/>
                <w:sz w:val="24"/>
                <w:szCs w:val="24"/>
              </w:rPr>
            </w:pPr>
            <w:r>
              <w:rPr>
                <w:rFonts w:ascii="宋体" w:hAnsi="宋体" w:cs="宋体"/>
                <w:sz w:val="24"/>
                <w:szCs w:val="24"/>
              </w:rPr>
              <w:t>邮编：（必填）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4671" w:type="dxa"/>
            <w:vAlign w:val="center"/>
          </w:tcPr>
          <w:p>
            <w:pPr>
              <w:rPr>
                <w:rFonts w:hint="default" w:ascii="宋体" w:hAnsi="宋体" w:cs="宋体"/>
                <w:sz w:val="24"/>
                <w:szCs w:val="24"/>
              </w:rPr>
            </w:pPr>
            <w:r>
              <w:rPr>
                <w:rFonts w:ascii="宋体" w:hAnsi="宋体" w:cs="宋体"/>
                <w:sz w:val="24"/>
                <w:szCs w:val="24"/>
              </w:rPr>
              <w:t>项目联系人：</w:t>
            </w:r>
          </w:p>
        </w:tc>
        <w:tc>
          <w:tcPr>
            <w:tcW w:w="4718" w:type="dxa"/>
            <w:vAlign w:val="center"/>
          </w:tcPr>
          <w:p>
            <w:pPr>
              <w:jc w:val="left"/>
              <w:rPr>
                <w:rFonts w:hint="default" w:ascii="宋体" w:hAnsi="宋体" w:cs="宋体"/>
                <w:sz w:val="24"/>
                <w:szCs w:val="24"/>
              </w:rPr>
            </w:pPr>
            <w:r>
              <w:rPr>
                <w:rFonts w:ascii="宋体" w:hAnsi="宋体" w:cs="宋体"/>
                <w:sz w:val="24"/>
                <w:szCs w:val="24"/>
              </w:rPr>
              <w:t>固定电话：（必填）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4671" w:type="dxa"/>
            <w:vAlign w:val="center"/>
          </w:tcPr>
          <w:p>
            <w:pPr>
              <w:rPr>
                <w:rFonts w:hint="default" w:ascii="宋体" w:hAnsi="宋体" w:cs="宋体"/>
                <w:sz w:val="24"/>
                <w:szCs w:val="24"/>
              </w:rPr>
            </w:pPr>
            <w:r>
              <w:rPr>
                <w:rFonts w:ascii="宋体" w:hAnsi="宋体" w:cs="宋体"/>
                <w:sz w:val="24"/>
                <w:szCs w:val="24"/>
              </w:rPr>
              <w:t>项目联系人电话：0571-</w:t>
            </w:r>
          </w:p>
        </w:tc>
        <w:tc>
          <w:tcPr>
            <w:tcW w:w="4718" w:type="dxa"/>
            <w:vAlign w:val="center"/>
          </w:tcPr>
          <w:p>
            <w:pPr>
              <w:jc w:val="left"/>
              <w:rPr>
                <w:rFonts w:hint="default" w:ascii="宋体" w:hAnsi="宋体" w:cs="宋体"/>
                <w:sz w:val="24"/>
                <w:szCs w:val="24"/>
              </w:rPr>
            </w:pPr>
            <w:r>
              <w:rPr>
                <w:rFonts w:ascii="宋体" w:hAnsi="宋体" w:cs="宋体"/>
                <w:sz w:val="24"/>
                <w:szCs w:val="24"/>
              </w:rPr>
              <w:t>联系人：（必填）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4671" w:type="dxa"/>
            <w:vAlign w:val="center"/>
          </w:tcPr>
          <w:p>
            <w:pPr>
              <w:rPr>
                <w:rFonts w:hint="default" w:ascii="宋体" w:hAnsi="宋体" w:cs="宋体"/>
                <w:sz w:val="24"/>
                <w:szCs w:val="24"/>
              </w:rPr>
            </w:pPr>
            <w:r>
              <w:rPr>
                <w:rFonts w:ascii="宋体" w:hAnsi="宋体" w:cs="宋体"/>
                <w:sz w:val="24"/>
                <w:szCs w:val="24"/>
              </w:rPr>
              <w:t>采购经办人电话：0571-87775080</w:t>
            </w:r>
          </w:p>
        </w:tc>
        <w:tc>
          <w:tcPr>
            <w:tcW w:w="4718" w:type="dxa"/>
            <w:vAlign w:val="center"/>
          </w:tcPr>
          <w:p>
            <w:pPr>
              <w:jc w:val="left"/>
              <w:rPr>
                <w:rFonts w:hint="default" w:ascii="宋体" w:hAnsi="宋体" w:cs="宋体"/>
                <w:sz w:val="24"/>
                <w:szCs w:val="24"/>
              </w:rPr>
            </w:pPr>
            <w:r>
              <w:rPr>
                <w:rFonts w:ascii="宋体" w:hAnsi="宋体" w:cs="宋体"/>
                <w:sz w:val="24"/>
                <w:szCs w:val="24"/>
              </w:rPr>
              <w:t>联系方式：（必填）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4671" w:type="dxa"/>
            <w:vAlign w:val="center"/>
          </w:tcPr>
          <w:p>
            <w:pPr>
              <w:rPr>
                <w:rFonts w:hint="default" w:ascii="宋体" w:hAnsi="宋体" w:cs="宋体"/>
                <w:sz w:val="24"/>
                <w:szCs w:val="24"/>
              </w:rPr>
            </w:pPr>
            <w:r>
              <w:rPr>
                <w:rFonts w:ascii="宋体" w:hAnsi="宋体" w:cs="宋体"/>
                <w:sz w:val="24"/>
                <w:szCs w:val="24"/>
              </w:rPr>
              <w:t>开户银行：中行杭州建北支行</w:t>
            </w:r>
          </w:p>
        </w:tc>
        <w:tc>
          <w:tcPr>
            <w:tcW w:w="4718" w:type="dxa"/>
            <w:vAlign w:val="center"/>
          </w:tcPr>
          <w:p>
            <w:pPr>
              <w:jc w:val="left"/>
              <w:rPr>
                <w:rFonts w:hint="default" w:ascii="宋体" w:hAnsi="宋体" w:cs="宋体"/>
                <w:sz w:val="24"/>
                <w:szCs w:val="24"/>
              </w:rPr>
            </w:pPr>
            <w:r>
              <w:rPr>
                <w:rFonts w:ascii="宋体" w:hAnsi="宋体" w:cs="宋体"/>
                <w:sz w:val="24"/>
                <w:szCs w:val="24"/>
              </w:rPr>
              <w:t>开户银行：（必填）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4671" w:type="dxa"/>
            <w:vAlign w:val="center"/>
          </w:tcPr>
          <w:p>
            <w:pPr>
              <w:rPr>
                <w:rFonts w:hint="default" w:ascii="宋体" w:hAnsi="宋体" w:cs="宋体"/>
                <w:sz w:val="24"/>
                <w:szCs w:val="24"/>
              </w:rPr>
            </w:pPr>
            <w:r>
              <w:rPr>
                <w:rFonts w:ascii="宋体" w:hAnsi="宋体" w:cs="宋体"/>
                <w:sz w:val="24"/>
                <w:szCs w:val="24"/>
              </w:rPr>
              <w:t>帐号：396168078680</w:t>
            </w:r>
          </w:p>
        </w:tc>
        <w:tc>
          <w:tcPr>
            <w:tcW w:w="4718" w:type="dxa"/>
            <w:vAlign w:val="center"/>
          </w:tcPr>
          <w:p>
            <w:pPr>
              <w:rPr>
                <w:rFonts w:hint="default" w:ascii="宋体" w:hAnsi="宋体" w:cs="宋体"/>
                <w:sz w:val="24"/>
                <w:szCs w:val="24"/>
              </w:rPr>
            </w:pPr>
            <w:r>
              <w:rPr>
                <w:rFonts w:ascii="宋体" w:hAnsi="宋体" w:cs="宋体"/>
                <w:sz w:val="24"/>
                <w:szCs w:val="24"/>
              </w:rPr>
              <w:t>帐号：（必填）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671" w:type="dxa"/>
            <w:vAlign w:val="center"/>
          </w:tcPr>
          <w:p>
            <w:pPr>
              <w:rPr>
                <w:rFonts w:hint="default" w:ascii="宋体" w:hAnsi="宋体" w:cs="宋体"/>
                <w:sz w:val="24"/>
                <w:szCs w:val="24"/>
              </w:rPr>
            </w:pPr>
            <w:r>
              <w:rPr>
                <w:rFonts w:ascii="宋体" w:hAnsi="宋体" w:cs="宋体"/>
                <w:sz w:val="24"/>
                <w:szCs w:val="24"/>
              </w:rPr>
              <w:t>税号：123300004700387327</w:t>
            </w:r>
          </w:p>
        </w:tc>
        <w:tc>
          <w:tcPr>
            <w:tcW w:w="4718" w:type="dxa"/>
            <w:vAlign w:val="center"/>
          </w:tcPr>
          <w:p>
            <w:pPr>
              <w:rPr>
                <w:rFonts w:hint="default" w:ascii="宋体" w:hAnsi="宋体" w:cs="宋体"/>
                <w:sz w:val="24"/>
                <w:szCs w:val="24"/>
              </w:rPr>
            </w:pPr>
            <w:r>
              <w:rPr>
                <w:rFonts w:ascii="宋体" w:hAnsi="宋体" w:cs="宋体"/>
                <w:sz w:val="24"/>
                <w:szCs w:val="24"/>
              </w:rPr>
              <w:t>税号：（必填）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389" w:type="dxa"/>
            <w:gridSpan w:val="2"/>
            <w:vAlign w:val="center"/>
          </w:tcPr>
          <w:p>
            <w:pPr>
              <w:rPr>
                <w:rFonts w:hint="default" w:ascii="宋体" w:hAnsi="宋体" w:cs="宋体"/>
                <w:sz w:val="24"/>
                <w:szCs w:val="24"/>
              </w:rPr>
            </w:pPr>
            <w:r>
              <w:rPr>
                <w:rFonts w:ascii="宋体" w:hAnsi="宋体" w:cs="宋体"/>
                <w:sz w:val="24"/>
                <w:szCs w:val="24"/>
              </w:rPr>
              <w:t>合同签订地点：浙江省杭州市滨江区滨文路528号  签订时间：2023年    月    日</w:t>
            </w:r>
          </w:p>
        </w:tc>
      </w:tr>
    </w:tbl>
    <w:p>
      <w:pPr>
        <w:spacing w:line="360" w:lineRule="auto"/>
        <w:rPr>
          <w:rFonts w:hint="default" w:ascii="宋体" w:hAnsi="宋体" w:cs="宋体"/>
          <w:sz w:val="24"/>
          <w:szCs w:val="24"/>
        </w:rPr>
      </w:pPr>
      <w:r>
        <w:rPr>
          <w:rFonts w:ascii="宋体" w:hAnsi="宋体" w:cs="宋体"/>
          <w:sz w:val="24"/>
          <w:szCs w:val="24"/>
        </w:rPr>
        <w:br w:type="page"/>
      </w:r>
      <w:r>
        <w:rPr>
          <w:rFonts w:ascii="宋体" w:hAnsi="宋体" w:cs="宋体"/>
          <w:sz w:val="24"/>
          <w:szCs w:val="24"/>
        </w:rPr>
        <w:t>附件（请严格按照招投标文件和谈判记录填写配置清单和服务承诺）（如有）：</w:t>
      </w:r>
    </w:p>
    <w:p>
      <w:pPr>
        <w:numPr>
          <w:ilvl w:val="0"/>
          <w:numId w:val="7"/>
        </w:numPr>
        <w:spacing w:line="360" w:lineRule="auto"/>
        <w:rPr>
          <w:rFonts w:hint="default" w:ascii="宋体" w:hAnsi="宋体" w:cs="宋体"/>
          <w:b/>
          <w:sz w:val="24"/>
          <w:szCs w:val="24"/>
        </w:rPr>
      </w:pPr>
      <w:r>
        <w:rPr>
          <w:rFonts w:ascii="宋体" w:hAnsi="宋体" w:cs="宋体"/>
          <w:b/>
          <w:sz w:val="24"/>
          <w:szCs w:val="24"/>
        </w:rPr>
        <w:t>配置清单</w:t>
      </w:r>
    </w:p>
    <w:p>
      <w:pPr>
        <w:pStyle w:val="3"/>
        <w:rPr>
          <w:rFonts w:hint="default" w:ascii="宋体" w:hAnsi="宋体" w:cs="宋体"/>
          <w:sz w:val="24"/>
        </w:rPr>
      </w:pPr>
    </w:p>
    <w:p>
      <w:pPr>
        <w:numPr>
          <w:ilvl w:val="0"/>
          <w:numId w:val="7"/>
        </w:numPr>
        <w:rPr>
          <w:rFonts w:hint="default" w:ascii="宋体" w:hAnsi="宋体" w:cs="宋体"/>
          <w:b/>
          <w:sz w:val="24"/>
          <w:szCs w:val="24"/>
        </w:rPr>
      </w:pPr>
      <w:r>
        <w:rPr>
          <w:rFonts w:ascii="宋体" w:hAnsi="宋体" w:cs="宋体"/>
          <w:b/>
          <w:sz w:val="24"/>
          <w:szCs w:val="24"/>
        </w:rPr>
        <w:t>服务承诺</w:t>
      </w:r>
    </w:p>
    <w:p>
      <w:pPr>
        <w:pStyle w:val="10"/>
        <w:spacing w:before="120" w:after="120"/>
        <w:rPr>
          <w:rFonts w:hint="default" w:hAnsi="宋体" w:cs="宋体"/>
        </w:rPr>
      </w:pPr>
    </w:p>
    <w:p>
      <w:pPr>
        <w:spacing w:line="360" w:lineRule="auto"/>
        <w:ind w:left="420" w:leftChars="200"/>
        <w:jc w:val="center"/>
        <w:rPr>
          <w:rFonts w:hint="default" w:ascii="宋体" w:hAnsi="宋体" w:cs="宋体"/>
          <w:b/>
          <w:bCs/>
          <w:sz w:val="24"/>
          <w:szCs w:val="24"/>
        </w:rPr>
      </w:pPr>
      <w:r>
        <w:rPr>
          <w:rFonts w:ascii="宋体" w:hAnsi="宋体" w:cs="宋体"/>
          <w:sz w:val="24"/>
          <w:szCs w:val="24"/>
        </w:rPr>
        <w:br w:type="page"/>
      </w:r>
      <w:r>
        <w:rPr>
          <w:rFonts w:ascii="宋体" w:hAnsi="宋体" w:cs="宋体"/>
          <w:b/>
          <w:bCs/>
          <w:sz w:val="24"/>
          <w:szCs w:val="24"/>
        </w:rPr>
        <w:t>三、</w:t>
      </w:r>
      <w:r>
        <w:rPr>
          <w:rFonts w:ascii="宋体" w:hAnsi="宋体" w:cs="宋体"/>
          <w:b/>
          <w:bCs/>
          <w:sz w:val="32"/>
          <w:szCs w:val="32"/>
        </w:rPr>
        <w:t>廉政协议</w:t>
      </w:r>
    </w:p>
    <w:p>
      <w:pPr>
        <w:spacing w:line="360" w:lineRule="auto"/>
        <w:ind w:firstLine="480" w:firstLineChars="200"/>
        <w:rPr>
          <w:rFonts w:hint="default" w:ascii="宋体" w:hAnsi="宋体" w:cs="宋体"/>
          <w:sz w:val="24"/>
          <w:szCs w:val="24"/>
        </w:rPr>
      </w:pPr>
      <w:r>
        <w:rPr>
          <w:rFonts w:ascii="宋体" w:hAnsi="宋体" w:cs="宋体"/>
          <w:sz w:val="24"/>
          <w:szCs w:val="24"/>
        </w:rPr>
        <w:t>甲方：浙江机电职业技术学院</w:t>
      </w:r>
    </w:p>
    <w:p>
      <w:pPr>
        <w:spacing w:line="360" w:lineRule="auto"/>
        <w:ind w:firstLine="480" w:firstLineChars="200"/>
        <w:rPr>
          <w:rFonts w:hint="default" w:ascii="宋体" w:hAnsi="宋体" w:cs="宋体"/>
          <w:sz w:val="24"/>
          <w:szCs w:val="24"/>
        </w:rPr>
      </w:pPr>
      <w:r>
        <w:rPr>
          <w:rFonts w:ascii="宋体" w:hAnsi="宋体" w:cs="宋体"/>
          <w:sz w:val="24"/>
          <w:szCs w:val="24"/>
        </w:rPr>
        <w:t>乙方：</w:t>
      </w:r>
    </w:p>
    <w:p>
      <w:pPr>
        <w:spacing w:line="360" w:lineRule="auto"/>
        <w:ind w:firstLine="480" w:firstLineChars="200"/>
        <w:jc w:val="left"/>
        <w:outlineLvl w:val="1"/>
        <w:rPr>
          <w:rFonts w:hint="default" w:ascii="宋体" w:hAnsi="宋体" w:cs="宋体"/>
          <w:sz w:val="24"/>
          <w:szCs w:val="24"/>
        </w:rPr>
      </w:pPr>
      <w:r>
        <w:rPr>
          <w:rFonts w:ascii="宋体" w:hAnsi="宋体" w:cs="宋体"/>
          <w:sz w:val="24"/>
          <w:szCs w:val="24"/>
        </w:rPr>
        <w:t>为规范《</w:t>
      </w:r>
      <w:r>
        <w:rPr>
          <w:rFonts w:hint="eastAsia" w:ascii="宋体" w:hAnsi="宋体" w:cs="宋体"/>
          <w:sz w:val="24"/>
          <w:szCs w:val="24"/>
          <w:lang w:eastAsia="zh-CN"/>
        </w:rPr>
        <w:t>数字化制造与检测技术中心数字化制造单元项目</w:t>
      </w:r>
      <w:r>
        <w:rPr>
          <w:rFonts w:ascii="宋体" w:hAnsi="宋体" w:cs="宋体"/>
          <w:sz w:val="24"/>
          <w:szCs w:val="24"/>
        </w:rPr>
        <w:t>采购合同》（合同名称）双方在项目建设过程中的行为，防止各种违法违纪行为的发生，维护双方的合法权益，根据《中华人民共和国招投标法》《中华人民共和国政府采购法》等有关法律法规和中纪委、中监委关于廉政建设方面的规定，经双方协商一致，签订本协议。</w:t>
      </w:r>
    </w:p>
    <w:p>
      <w:pPr>
        <w:spacing w:line="360" w:lineRule="auto"/>
        <w:ind w:firstLine="482" w:firstLineChars="200"/>
        <w:rPr>
          <w:rFonts w:hint="default" w:ascii="宋体" w:hAnsi="宋体" w:cs="宋体"/>
          <w:b/>
          <w:bCs/>
          <w:sz w:val="24"/>
          <w:szCs w:val="24"/>
        </w:rPr>
      </w:pPr>
      <w:r>
        <w:rPr>
          <w:rFonts w:ascii="宋体" w:hAnsi="宋体" w:cs="宋体"/>
          <w:b/>
          <w:bCs/>
          <w:sz w:val="24"/>
          <w:szCs w:val="24"/>
        </w:rPr>
        <w:t>一、甲乙双方的责任</w:t>
      </w:r>
    </w:p>
    <w:p>
      <w:pPr>
        <w:spacing w:line="360" w:lineRule="auto"/>
        <w:ind w:firstLine="480" w:firstLineChars="200"/>
        <w:rPr>
          <w:rFonts w:hint="default" w:ascii="宋体" w:hAnsi="宋体" w:cs="宋体"/>
          <w:sz w:val="24"/>
          <w:szCs w:val="24"/>
        </w:rPr>
      </w:pPr>
      <w:r>
        <w:rPr>
          <w:rFonts w:ascii="宋体" w:hAnsi="宋体" w:cs="宋体"/>
          <w:sz w:val="24"/>
          <w:szCs w:val="24"/>
        </w:rPr>
        <w:t>（一）加强日常党风廉政建设和廉洁从业教育，努力提高合同双方执行人员的遵纪守法、廉洁自律意识，严格遵守有关法律、法规、政策和廉政建设的各项规定，严格按合同、规定办事。</w:t>
      </w:r>
    </w:p>
    <w:p>
      <w:pPr>
        <w:spacing w:line="360" w:lineRule="auto"/>
        <w:ind w:firstLine="480" w:firstLineChars="200"/>
        <w:rPr>
          <w:rFonts w:hint="default" w:ascii="宋体" w:hAnsi="宋体" w:cs="宋体"/>
          <w:sz w:val="24"/>
          <w:szCs w:val="24"/>
        </w:rPr>
      </w:pPr>
      <w:r>
        <w:rPr>
          <w:rFonts w:ascii="宋体" w:hAnsi="宋体" w:cs="宋体"/>
          <w:sz w:val="24"/>
          <w:szCs w:val="24"/>
        </w:rPr>
        <w:t>（二）坚持公开、公平、公正、诚信、透明的原则，不得为获取自身不正当利益而损害国家、集体和对方利益。</w:t>
      </w:r>
    </w:p>
    <w:p>
      <w:pPr>
        <w:spacing w:line="360" w:lineRule="auto"/>
        <w:ind w:firstLine="480" w:firstLineChars="200"/>
        <w:rPr>
          <w:rFonts w:hint="default" w:ascii="宋体" w:hAnsi="宋体" w:cs="宋体"/>
          <w:sz w:val="24"/>
          <w:szCs w:val="24"/>
        </w:rPr>
      </w:pPr>
      <w:r>
        <w:rPr>
          <w:rFonts w:ascii="宋体" w:hAnsi="宋体" w:cs="宋体"/>
          <w:sz w:val="24"/>
          <w:szCs w:val="24"/>
        </w:rPr>
        <w:t>（三）发现对方及其工作人员有违规、违纪、违法倾向或行为的，应及时提醒对方，情节严重的，应及时报告双方纪检监察部门。</w:t>
      </w:r>
    </w:p>
    <w:p>
      <w:pPr>
        <w:spacing w:line="360" w:lineRule="auto"/>
        <w:ind w:firstLine="482" w:firstLineChars="200"/>
        <w:rPr>
          <w:rFonts w:hint="default" w:ascii="宋体" w:hAnsi="宋体" w:cs="宋体"/>
          <w:b/>
          <w:bCs/>
          <w:sz w:val="24"/>
          <w:szCs w:val="24"/>
        </w:rPr>
      </w:pPr>
      <w:r>
        <w:rPr>
          <w:rFonts w:ascii="宋体" w:hAnsi="宋体" w:cs="宋体"/>
          <w:b/>
          <w:bCs/>
          <w:sz w:val="24"/>
          <w:szCs w:val="24"/>
        </w:rPr>
        <w:t>二、甲方责任</w:t>
      </w:r>
    </w:p>
    <w:p>
      <w:pPr>
        <w:spacing w:line="360" w:lineRule="auto"/>
        <w:ind w:firstLine="480" w:firstLineChars="200"/>
        <w:rPr>
          <w:rFonts w:hint="default" w:ascii="宋体" w:hAnsi="宋体" w:cs="宋体"/>
          <w:sz w:val="24"/>
          <w:szCs w:val="24"/>
        </w:rPr>
      </w:pPr>
      <w:r>
        <w:rPr>
          <w:rFonts w:ascii="宋体" w:hAnsi="宋体" w:cs="宋体"/>
          <w:sz w:val="24"/>
          <w:szCs w:val="24"/>
        </w:rPr>
        <w:t>甲方应加强对本单位工作人员的教育管理，甲方人员：</w:t>
      </w:r>
    </w:p>
    <w:p>
      <w:pPr>
        <w:tabs>
          <w:tab w:val="left" w:pos="0"/>
          <w:tab w:val="left" w:pos="360"/>
          <w:tab w:val="left" w:pos="540"/>
          <w:tab w:val="left" w:pos="720"/>
          <w:tab w:val="left" w:pos="1080"/>
        </w:tabs>
        <w:spacing w:line="360" w:lineRule="auto"/>
        <w:ind w:firstLine="480" w:firstLineChars="200"/>
        <w:rPr>
          <w:rFonts w:hint="default" w:ascii="宋体" w:hAnsi="宋体" w:cs="宋体"/>
          <w:sz w:val="24"/>
          <w:szCs w:val="24"/>
        </w:rPr>
      </w:pPr>
      <w:r>
        <w:rPr>
          <w:rFonts w:ascii="宋体" w:hAnsi="宋体" w:cs="宋体"/>
          <w:sz w:val="24"/>
          <w:szCs w:val="24"/>
        </w:rPr>
        <w:t>1、不得利用职务之便谋取任何私利，不得索取或收受乙方钱物、各种请客送礼和消费活动以及其他不正当利益；</w:t>
      </w:r>
    </w:p>
    <w:p>
      <w:pPr>
        <w:tabs>
          <w:tab w:val="left" w:pos="0"/>
          <w:tab w:val="left" w:pos="360"/>
          <w:tab w:val="left" w:pos="540"/>
          <w:tab w:val="left" w:pos="720"/>
          <w:tab w:val="left" w:pos="1080"/>
        </w:tabs>
        <w:spacing w:line="360" w:lineRule="auto"/>
        <w:ind w:firstLine="480" w:firstLineChars="200"/>
        <w:rPr>
          <w:rFonts w:hint="default" w:ascii="宋体" w:hAnsi="宋体" w:cs="宋体"/>
          <w:sz w:val="24"/>
          <w:szCs w:val="24"/>
        </w:rPr>
      </w:pPr>
      <w:r>
        <w:rPr>
          <w:rFonts w:ascii="宋体" w:hAnsi="宋体" w:cs="宋体"/>
          <w:sz w:val="24"/>
          <w:szCs w:val="24"/>
        </w:rPr>
        <w:t>2、不得趁机要求乙方为自己的亲朋好友谋取任何不正当利益。</w:t>
      </w:r>
    </w:p>
    <w:p>
      <w:pPr>
        <w:spacing w:line="360" w:lineRule="auto"/>
        <w:ind w:firstLine="480" w:firstLineChars="200"/>
        <w:rPr>
          <w:rFonts w:hint="default" w:ascii="宋体" w:hAnsi="宋体" w:cs="宋体"/>
          <w:sz w:val="24"/>
          <w:szCs w:val="24"/>
        </w:rPr>
      </w:pPr>
      <w:r>
        <w:rPr>
          <w:rFonts w:ascii="宋体" w:hAnsi="宋体" w:cs="宋体"/>
          <w:sz w:val="24"/>
          <w:szCs w:val="24"/>
        </w:rPr>
        <w:t>三、</w:t>
      </w:r>
      <w:r>
        <w:rPr>
          <w:rFonts w:ascii="宋体" w:hAnsi="宋体" w:cs="宋体"/>
          <w:b/>
          <w:bCs/>
          <w:sz w:val="24"/>
          <w:szCs w:val="24"/>
        </w:rPr>
        <w:t>乙方责任</w:t>
      </w:r>
    </w:p>
    <w:p>
      <w:pPr>
        <w:tabs>
          <w:tab w:val="left" w:pos="0"/>
          <w:tab w:val="left" w:pos="360"/>
          <w:tab w:val="left" w:pos="540"/>
          <w:tab w:val="left" w:pos="720"/>
          <w:tab w:val="left" w:pos="1080"/>
        </w:tabs>
        <w:spacing w:line="360" w:lineRule="auto"/>
        <w:ind w:firstLine="480" w:firstLineChars="200"/>
        <w:rPr>
          <w:rFonts w:hint="default" w:ascii="宋体" w:hAnsi="宋体" w:cs="宋体"/>
          <w:sz w:val="24"/>
          <w:szCs w:val="24"/>
        </w:rPr>
      </w:pPr>
      <w:r>
        <w:rPr>
          <w:rFonts w:ascii="宋体" w:hAnsi="宋体" w:cs="宋体"/>
          <w:sz w:val="24"/>
          <w:szCs w:val="24"/>
        </w:rPr>
        <w:t>1、乙方应严格按照国家法律和双方签订的合同，开展项目设计、安装、调试、售后服务等工作，不得为谋求乙方利益而不择手段地向甲方工作人员行贿；</w:t>
      </w:r>
    </w:p>
    <w:p>
      <w:pPr>
        <w:tabs>
          <w:tab w:val="left" w:pos="0"/>
          <w:tab w:val="left" w:pos="360"/>
          <w:tab w:val="left" w:pos="540"/>
          <w:tab w:val="left" w:pos="720"/>
          <w:tab w:val="left" w:pos="1080"/>
        </w:tabs>
        <w:spacing w:line="360" w:lineRule="auto"/>
        <w:ind w:firstLine="480" w:firstLineChars="200"/>
        <w:rPr>
          <w:rFonts w:hint="default" w:ascii="宋体" w:hAnsi="宋体" w:cs="宋体"/>
          <w:sz w:val="24"/>
          <w:szCs w:val="24"/>
        </w:rPr>
      </w:pPr>
      <w:r>
        <w:rPr>
          <w:rFonts w:ascii="宋体" w:hAnsi="宋体" w:cs="宋体"/>
          <w:sz w:val="24"/>
          <w:szCs w:val="24"/>
        </w:rPr>
        <w:t>2、乙方应对本单位工作人员进行严格管理，对本协议“甲方责任”中严禁甲方人员的行为，不得主动为之；对甲方人员索要财物或者暗示的要求应予坚决拒绝，并将信息及时反馈甲方。</w:t>
      </w:r>
    </w:p>
    <w:p>
      <w:pPr>
        <w:spacing w:line="360" w:lineRule="auto"/>
        <w:ind w:firstLine="482" w:firstLineChars="200"/>
        <w:rPr>
          <w:rFonts w:hint="default" w:ascii="宋体" w:hAnsi="宋体" w:cs="宋体"/>
          <w:b/>
          <w:bCs/>
          <w:sz w:val="24"/>
          <w:szCs w:val="24"/>
        </w:rPr>
      </w:pPr>
      <w:r>
        <w:rPr>
          <w:rFonts w:ascii="宋体" w:hAnsi="宋体" w:cs="宋体"/>
          <w:b/>
          <w:bCs/>
          <w:sz w:val="24"/>
          <w:szCs w:val="24"/>
        </w:rPr>
        <w:t>四、违约责任</w:t>
      </w:r>
    </w:p>
    <w:p>
      <w:pPr>
        <w:spacing w:line="360" w:lineRule="auto"/>
        <w:ind w:firstLine="480" w:firstLineChars="200"/>
        <w:rPr>
          <w:rFonts w:hint="default" w:ascii="宋体" w:hAnsi="宋体" w:cs="宋体"/>
          <w:sz w:val="24"/>
          <w:szCs w:val="24"/>
        </w:rPr>
      </w:pPr>
      <w:r>
        <w:rPr>
          <w:rFonts w:ascii="宋体" w:hAnsi="宋体" w:cs="宋体"/>
          <w:sz w:val="24"/>
          <w:szCs w:val="24"/>
        </w:rPr>
        <w:t>（一）甲方及其工作人员如有违反本协议的，乙方应向甲方或甲方上级纪检监察部门举报。一经查实，甲方应根据违纪违规事实及情节轻重，给予当事人党纪、政纪处分；涉嫌违法的，移送司法部门追究其法律责任。</w:t>
      </w:r>
    </w:p>
    <w:p>
      <w:pPr>
        <w:spacing w:line="360" w:lineRule="auto"/>
        <w:ind w:firstLine="480" w:firstLineChars="200"/>
        <w:rPr>
          <w:rFonts w:hint="default" w:ascii="宋体" w:hAnsi="宋体" w:cs="宋体"/>
          <w:sz w:val="24"/>
          <w:szCs w:val="24"/>
        </w:rPr>
      </w:pPr>
      <w:r>
        <w:rPr>
          <w:rFonts w:ascii="宋体" w:hAnsi="宋体" w:cs="宋体"/>
          <w:sz w:val="24"/>
          <w:szCs w:val="24"/>
        </w:rPr>
        <w:t>（二）乙方及其工作人员如有违反本协议的，甲方有权根据情节和所造成的后果采取以下相应措施：</w:t>
      </w:r>
    </w:p>
    <w:p>
      <w:pPr>
        <w:spacing w:line="360" w:lineRule="auto"/>
        <w:ind w:firstLine="480" w:firstLineChars="200"/>
        <w:rPr>
          <w:rFonts w:hint="default" w:ascii="宋体" w:hAnsi="宋体" w:cs="宋体"/>
          <w:sz w:val="24"/>
          <w:szCs w:val="24"/>
        </w:rPr>
      </w:pPr>
      <w:r>
        <w:rPr>
          <w:rFonts w:ascii="宋体" w:hAnsi="宋体" w:cs="宋体"/>
          <w:sz w:val="24"/>
          <w:szCs w:val="24"/>
        </w:rPr>
        <w:t>1、面谈或书面通知乙方整改、暂停业务往来、终止履行合同，由此给甲方造成经济损失的，乙方应负全额赔偿责任；</w:t>
      </w:r>
    </w:p>
    <w:p>
      <w:pPr>
        <w:spacing w:line="360" w:lineRule="auto"/>
        <w:ind w:firstLine="480" w:firstLineChars="200"/>
        <w:rPr>
          <w:rFonts w:hint="default" w:ascii="宋体" w:hAnsi="宋体" w:cs="宋体"/>
          <w:sz w:val="24"/>
          <w:szCs w:val="24"/>
        </w:rPr>
      </w:pPr>
      <w:r>
        <w:rPr>
          <w:rFonts w:ascii="宋体" w:hAnsi="宋体" w:cs="宋体"/>
          <w:sz w:val="24"/>
          <w:szCs w:val="24"/>
        </w:rPr>
        <w:t>2、如有诬告行为的，被诬告方有权追究对方的相关法律责任。</w:t>
      </w:r>
    </w:p>
    <w:p>
      <w:pPr>
        <w:spacing w:line="360" w:lineRule="auto"/>
        <w:ind w:firstLine="480" w:firstLineChars="200"/>
        <w:rPr>
          <w:rFonts w:hint="default" w:ascii="宋体" w:hAnsi="宋体" w:cs="宋体"/>
          <w:sz w:val="24"/>
          <w:szCs w:val="24"/>
        </w:rPr>
      </w:pPr>
      <w:r>
        <w:rPr>
          <w:rFonts w:ascii="宋体" w:hAnsi="宋体" w:cs="宋体"/>
          <w:sz w:val="24"/>
          <w:szCs w:val="24"/>
        </w:rPr>
        <w:t>五、本协议作为主体合同《</w:t>
      </w:r>
      <w:r>
        <w:rPr>
          <w:rFonts w:hint="eastAsia" w:ascii="宋体" w:hAnsi="宋体" w:cs="宋体"/>
          <w:b/>
          <w:bCs/>
          <w:sz w:val="24"/>
          <w:szCs w:val="24"/>
          <w:lang w:eastAsia="zh-CN"/>
        </w:rPr>
        <w:t>数字化制造与检测技术中心数字化制造单元项目</w:t>
      </w:r>
      <w:r>
        <w:rPr>
          <w:rFonts w:ascii="宋体" w:hAnsi="宋体" w:cs="宋体"/>
          <w:b/>
          <w:bCs/>
          <w:sz w:val="24"/>
          <w:szCs w:val="24"/>
        </w:rPr>
        <w:t>采购合同</w:t>
      </w:r>
      <w:r>
        <w:rPr>
          <w:rFonts w:ascii="宋体" w:hAnsi="宋体" w:cs="宋体"/>
          <w:sz w:val="24"/>
          <w:szCs w:val="24"/>
        </w:rPr>
        <w:t>》的附件，与主体合同具有同等法律效力。经双方签署后立即生效。</w:t>
      </w:r>
    </w:p>
    <w:p>
      <w:pPr>
        <w:spacing w:line="360" w:lineRule="auto"/>
        <w:ind w:firstLine="480" w:firstLineChars="200"/>
        <w:rPr>
          <w:rFonts w:hint="default" w:ascii="宋体" w:hAnsi="宋体" w:cs="宋体"/>
          <w:sz w:val="24"/>
          <w:szCs w:val="24"/>
        </w:rPr>
      </w:pPr>
      <w:r>
        <w:rPr>
          <w:rFonts w:ascii="宋体" w:hAnsi="宋体" w:cs="宋体"/>
          <w:sz w:val="24"/>
          <w:szCs w:val="24"/>
        </w:rPr>
        <w:t>六、本协议的有效期为双方签署之日起至主体合同终止时止。</w:t>
      </w:r>
    </w:p>
    <w:p>
      <w:pPr>
        <w:spacing w:line="360" w:lineRule="auto"/>
        <w:ind w:firstLine="480" w:firstLineChars="200"/>
        <w:rPr>
          <w:rFonts w:hint="default" w:ascii="宋体" w:hAnsi="宋体" w:cs="宋体"/>
          <w:sz w:val="24"/>
          <w:szCs w:val="24"/>
        </w:rPr>
      </w:pPr>
    </w:p>
    <w:p>
      <w:pPr>
        <w:spacing w:line="360" w:lineRule="auto"/>
        <w:ind w:firstLine="480" w:firstLineChars="200"/>
        <w:rPr>
          <w:rFonts w:hint="default" w:ascii="宋体" w:hAnsi="宋体" w:cs="宋体"/>
          <w:sz w:val="24"/>
          <w:szCs w:val="24"/>
        </w:rPr>
      </w:pPr>
    </w:p>
    <w:p>
      <w:pPr>
        <w:spacing w:line="360" w:lineRule="auto"/>
        <w:ind w:firstLine="480" w:firstLineChars="200"/>
        <w:rPr>
          <w:rFonts w:hint="default" w:ascii="宋体" w:hAnsi="宋体" w:cs="宋体"/>
          <w:sz w:val="24"/>
          <w:szCs w:val="24"/>
        </w:rPr>
      </w:pPr>
      <w:r>
        <w:rPr>
          <w:rFonts w:ascii="宋体" w:hAnsi="宋体" w:cs="宋体"/>
          <w:sz w:val="24"/>
          <w:szCs w:val="24"/>
        </w:rPr>
        <w:t>甲方代表：                    乙方代表：</w:t>
      </w:r>
    </w:p>
    <w:p>
      <w:pPr>
        <w:spacing w:line="360" w:lineRule="auto"/>
        <w:ind w:firstLine="480" w:firstLineChars="200"/>
        <w:rPr>
          <w:rFonts w:hint="default" w:ascii="宋体" w:hAnsi="宋体" w:cs="宋体"/>
          <w:sz w:val="24"/>
          <w:szCs w:val="24"/>
        </w:rPr>
      </w:pPr>
      <w:r>
        <w:rPr>
          <w:rFonts w:ascii="宋体" w:hAnsi="宋体" w:cs="宋体"/>
          <w:sz w:val="24"/>
          <w:szCs w:val="24"/>
        </w:rPr>
        <w:t>甲方（签章）：                 乙方（签章）：</w:t>
      </w:r>
    </w:p>
    <w:p>
      <w:pPr>
        <w:spacing w:line="360" w:lineRule="auto"/>
        <w:ind w:firstLine="480" w:firstLineChars="200"/>
        <w:rPr>
          <w:rFonts w:hint="default" w:ascii="宋体" w:hAnsi="宋体" w:cs="宋体"/>
          <w:sz w:val="24"/>
          <w:szCs w:val="24"/>
        </w:rPr>
      </w:pPr>
      <w:r>
        <w:rPr>
          <w:rFonts w:ascii="宋体" w:hAnsi="宋体" w:cs="宋体"/>
          <w:sz w:val="24"/>
          <w:szCs w:val="24"/>
        </w:rPr>
        <w:t>签约日期：                    签约日期：</w:t>
      </w:r>
    </w:p>
    <w:p>
      <w:pPr>
        <w:spacing w:line="300" w:lineRule="auto"/>
        <w:rPr>
          <w:rFonts w:hint="default" w:ascii="仿宋" w:hAnsi="仿宋" w:eastAsia="仿宋"/>
          <w:sz w:val="24"/>
          <w:szCs w:val="24"/>
        </w:rPr>
      </w:pPr>
    </w:p>
    <w:p>
      <w:pPr>
        <w:pStyle w:val="10"/>
        <w:snapToGrid w:val="0"/>
        <w:spacing w:before="120" w:after="120" w:line="360" w:lineRule="auto"/>
        <w:jc w:val="center"/>
        <w:outlineLvl w:val="0"/>
        <w:rPr>
          <w:rFonts w:hint="default" w:ascii="Times New Roman" w:hAnsi="Times New Roman"/>
          <w:b/>
          <w:sz w:val="36"/>
          <w:szCs w:val="36"/>
        </w:rPr>
      </w:pPr>
      <w:r>
        <w:rPr>
          <w:rFonts w:hAnsi="宋体" w:cs="宋体"/>
          <w:b/>
          <w:sz w:val="36"/>
          <w:szCs w:val="36"/>
        </w:rPr>
        <w:br w:type="page"/>
      </w:r>
      <w:r>
        <w:rPr>
          <w:rFonts w:hint="default" w:ascii="Times New Roman" w:hAnsi="Times New Roman"/>
          <w:b/>
          <w:sz w:val="36"/>
          <w:szCs w:val="36"/>
        </w:rPr>
        <w:t>第六章　投标文件格式</w:t>
      </w:r>
      <w:bookmarkEnd w:id="63"/>
    </w:p>
    <w:p>
      <w:pPr>
        <w:snapToGrid w:val="0"/>
        <w:spacing w:beforeLines="50" w:after="50" w:line="360" w:lineRule="auto"/>
        <w:rPr>
          <w:rFonts w:hint="default"/>
          <w:b/>
          <w:sz w:val="24"/>
        </w:rPr>
      </w:pPr>
      <w:r>
        <w:rPr>
          <w:rFonts w:hint="default"/>
          <w:b/>
          <w:sz w:val="24"/>
        </w:rPr>
        <w:t>1.电子备份投标文件的外包装封面格式</w:t>
      </w:r>
    </w:p>
    <w:p>
      <w:pPr>
        <w:snapToGrid w:val="0"/>
        <w:spacing w:beforeLines="50" w:after="50" w:line="360" w:lineRule="auto"/>
        <w:rPr>
          <w:rFonts w:hint="default"/>
          <w:bCs/>
          <w:sz w:val="24"/>
        </w:rPr>
      </w:pPr>
    </w:p>
    <w:p>
      <w:pPr>
        <w:snapToGrid w:val="0"/>
        <w:spacing w:beforeLines="50" w:after="50" w:line="360" w:lineRule="auto"/>
        <w:jc w:val="center"/>
        <w:rPr>
          <w:rFonts w:hint="default"/>
          <w:b/>
          <w:bCs/>
          <w:sz w:val="52"/>
          <w:szCs w:val="52"/>
        </w:rPr>
      </w:pPr>
      <w:r>
        <w:rPr>
          <w:rFonts w:hint="default"/>
          <w:b/>
          <w:bCs/>
          <w:sz w:val="52"/>
          <w:szCs w:val="52"/>
        </w:rPr>
        <w:t>电子备份投标文件</w:t>
      </w:r>
    </w:p>
    <w:p>
      <w:pPr>
        <w:snapToGrid w:val="0"/>
        <w:spacing w:beforeLines="50" w:after="50" w:line="360" w:lineRule="auto"/>
        <w:rPr>
          <w:rFonts w:hint="default"/>
          <w:bCs/>
          <w:sz w:val="24"/>
        </w:rPr>
      </w:pPr>
    </w:p>
    <w:p>
      <w:pPr>
        <w:snapToGrid w:val="0"/>
        <w:spacing w:beforeLines="50" w:after="50" w:line="360" w:lineRule="auto"/>
        <w:ind w:firstLine="1120" w:firstLineChars="400"/>
        <w:rPr>
          <w:rFonts w:hint="eastAsia" w:eastAsia="宋体"/>
          <w:bCs/>
          <w:sz w:val="28"/>
          <w:szCs w:val="28"/>
          <w:lang w:eastAsia="zh-CN"/>
        </w:rPr>
      </w:pPr>
      <w:r>
        <w:rPr>
          <w:rFonts w:hint="default"/>
          <w:bCs/>
          <w:sz w:val="28"/>
          <w:szCs w:val="28"/>
        </w:rPr>
        <w:t>项目名称：</w:t>
      </w:r>
      <w:r>
        <w:rPr>
          <w:rFonts w:hint="eastAsia"/>
          <w:bCs/>
          <w:sz w:val="28"/>
          <w:szCs w:val="28"/>
          <w:lang w:eastAsia="zh-CN"/>
        </w:rPr>
        <w:t>数字化制造与检测技术中心数字化制造单元项目</w:t>
      </w:r>
    </w:p>
    <w:p>
      <w:pPr>
        <w:snapToGrid w:val="0"/>
        <w:spacing w:beforeLines="50" w:after="50" w:line="360" w:lineRule="auto"/>
        <w:ind w:firstLine="1120" w:firstLineChars="400"/>
        <w:rPr>
          <w:rFonts w:hint="default"/>
          <w:bCs/>
          <w:sz w:val="28"/>
          <w:szCs w:val="28"/>
        </w:rPr>
      </w:pPr>
      <w:r>
        <w:rPr>
          <w:rFonts w:hint="default"/>
          <w:bCs/>
          <w:sz w:val="28"/>
          <w:szCs w:val="28"/>
        </w:rPr>
        <w:t>项目编号：</w:t>
      </w:r>
    </w:p>
    <w:p>
      <w:pPr>
        <w:snapToGrid w:val="0"/>
        <w:spacing w:beforeLines="50" w:after="50" w:line="360" w:lineRule="auto"/>
        <w:ind w:firstLine="1260" w:firstLineChars="450"/>
        <w:rPr>
          <w:rFonts w:hint="default"/>
          <w:bCs/>
          <w:sz w:val="28"/>
          <w:szCs w:val="28"/>
        </w:rPr>
      </w:pPr>
    </w:p>
    <w:p>
      <w:pPr>
        <w:snapToGrid w:val="0"/>
        <w:spacing w:beforeLines="50" w:after="50" w:line="360" w:lineRule="auto"/>
        <w:ind w:firstLine="1260" w:firstLineChars="450"/>
        <w:rPr>
          <w:rFonts w:hint="default"/>
          <w:bCs/>
          <w:sz w:val="28"/>
          <w:szCs w:val="28"/>
        </w:rPr>
      </w:pPr>
    </w:p>
    <w:p>
      <w:pPr>
        <w:snapToGrid w:val="0"/>
        <w:spacing w:beforeLines="50" w:after="50" w:line="360" w:lineRule="auto"/>
        <w:ind w:firstLine="1260" w:firstLineChars="450"/>
        <w:rPr>
          <w:rFonts w:hint="default"/>
          <w:bCs/>
          <w:sz w:val="28"/>
          <w:szCs w:val="28"/>
        </w:rPr>
      </w:pPr>
    </w:p>
    <w:p>
      <w:pPr>
        <w:pStyle w:val="14"/>
        <w:snapToGrid w:val="0"/>
        <w:spacing w:before="50" w:after="50" w:line="360" w:lineRule="auto"/>
        <w:ind w:firstLine="1260" w:firstLineChars="450"/>
        <w:rPr>
          <w:rFonts w:hint="default"/>
          <w:bCs/>
          <w:sz w:val="28"/>
          <w:szCs w:val="28"/>
        </w:rPr>
      </w:pPr>
    </w:p>
    <w:p>
      <w:pPr>
        <w:pStyle w:val="14"/>
        <w:snapToGrid w:val="0"/>
        <w:spacing w:before="50" w:after="50" w:line="360" w:lineRule="auto"/>
        <w:ind w:firstLine="1260" w:firstLineChars="450"/>
        <w:rPr>
          <w:rFonts w:hint="default"/>
          <w:bCs/>
          <w:sz w:val="28"/>
          <w:szCs w:val="28"/>
        </w:rPr>
      </w:pPr>
    </w:p>
    <w:p>
      <w:pPr>
        <w:pStyle w:val="14"/>
        <w:snapToGrid w:val="0"/>
        <w:spacing w:before="50" w:after="50" w:line="360" w:lineRule="auto"/>
        <w:ind w:firstLine="1260" w:firstLineChars="450"/>
        <w:rPr>
          <w:rFonts w:hint="default"/>
          <w:bCs/>
          <w:sz w:val="28"/>
          <w:szCs w:val="28"/>
        </w:rPr>
      </w:pPr>
    </w:p>
    <w:p>
      <w:pPr>
        <w:pStyle w:val="14"/>
        <w:snapToGrid w:val="0"/>
        <w:spacing w:before="50" w:after="50" w:line="360" w:lineRule="auto"/>
        <w:ind w:firstLine="1260" w:firstLineChars="450"/>
        <w:rPr>
          <w:rFonts w:hint="default"/>
          <w:bCs/>
          <w:sz w:val="28"/>
          <w:szCs w:val="28"/>
        </w:rPr>
      </w:pPr>
      <w:r>
        <w:rPr>
          <w:rFonts w:hint="default"/>
          <w:bCs/>
          <w:sz w:val="28"/>
          <w:szCs w:val="28"/>
        </w:rPr>
        <w:t>投标人名称：</w:t>
      </w:r>
    </w:p>
    <w:p>
      <w:pPr>
        <w:pStyle w:val="14"/>
        <w:snapToGrid w:val="0"/>
        <w:spacing w:before="50" w:after="50" w:line="360" w:lineRule="auto"/>
        <w:ind w:firstLine="1260" w:firstLineChars="450"/>
        <w:rPr>
          <w:rFonts w:hint="default"/>
          <w:bCs/>
          <w:sz w:val="28"/>
          <w:szCs w:val="28"/>
        </w:rPr>
      </w:pPr>
      <w:r>
        <w:rPr>
          <w:rFonts w:hint="default"/>
          <w:bCs/>
          <w:sz w:val="28"/>
          <w:szCs w:val="28"/>
        </w:rPr>
        <w:t>投标人地址：</w:t>
      </w:r>
    </w:p>
    <w:p>
      <w:pPr>
        <w:pStyle w:val="14"/>
        <w:snapToGrid w:val="0"/>
        <w:spacing w:before="50" w:after="50" w:line="360" w:lineRule="auto"/>
        <w:ind w:firstLine="1260" w:firstLineChars="450"/>
        <w:rPr>
          <w:rFonts w:hint="default"/>
          <w:bCs/>
          <w:sz w:val="28"/>
          <w:szCs w:val="28"/>
        </w:rPr>
      </w:pPr>
      <w:r>
        <w:rPr>
          <w:rFonts w:hint="default"/>
          <w:bCs/>
          <w:sz w:val="28"/>
          <w:szCs w:val="28"/>
        </w:rPr>
        <w:t>在  年  月  日  时  分之前不得启封</w:t>
      </w:r>
    </w:p>
    <w:p>
      <w:pPr>
        <w:pStyle w:val="14"/>
        <w:snapToGrid w:val="0"/>
        <w:spacing w:before="50" w:after="50" w:line="360" w:lineRule="auto"/>
        <w:ind w:firstLine="1164" w:firstLineChars="416"/>
        <w:rPr>
          <w:rFonts w:hint="default"/>
          <w:sz w:val="28"/>
          <w:szCs w:val="28"/>
        </w:rPr>
      </w:pPr>
    </w:p>
    <w:p>
      <w:pPr>
        <w:snapToGrid w:val="0"/>
        <w:spacing w:beforeLines="50" w:after="50" w:line="360" w:lineRule="auto"/>
        <w:ind w:firstLine="645"/>
        <w:rPr>
          <w:rFonts w:hint="default"/>
          <w:sz w:val="28"/>
          <w:szCs w:val="28"/>
        </w:rPr>
      </w:pPr>
      <w:r>
        <w:rPr>
          <w:rFonts w:hint="default"/>
          <w:sz w:val="28"/>
          <w:szCs w:val="28"/>
        </w:rPr>
        <w:t xml:space="preserve">                        年  月  日</w:t>
      </w:r>
    </w:p>
    <w:p>
      <w:pPr>
        <w:snapToGrid w:val="0"/>
        <w:spacing w:beforeLines="50" w:after="50" w:line="360" w:lineRule="auto"/>
        <w:rPr>
          <w:rFonts w:hint="default"/>
          <w:b/>
          <w:sz w:val="24"/>
        </w:rPr>
      </w:pPr>
      <w:r>
        <w:rPr>
          <w:rFonts w:hint="default"/>
          <w:sz w:val="28"/>
          <w:szCs w:val="28"/>
        </w:rPr>
        <w:br w:type="page"/>
      </w:r>
      <w:r>
        <w:rPr>
          <w:rFonts w:hint="default"/>
          <w:b/>
          <w:sz w:val="24"/>
        </w:rPr>
        <w:t>2.资格证明/商务技术/报价</w:t>
      </w:r>
      <w:r>
        <w:rPr>
          <w:rFonts w:hint="default"/>
          <w:b/>
          <w:bCs/>
          <w:sz w:val="24"/>
        </w:rPr>
        <w:t>文件</w:t>
      </w:r>
      <w:r>
        <w:rPr>
          <w:rFonts w:hint="default"/>
          <w:b/>
          <w:sz w:val="24"/>
        </w:rPr>
        <w:t xml:space="preserve">封面格式 </w:t>
      </w:r>
    </w:p>
    <w:p>
      <w:pPr>
        <w:snapToGrid w:val="0"/>
        <w:spacing w:beforeLines="50" w:after="50" w:line="360" w:lineRule="auto"/>
        <w:rPr>
          <w:rFonts w:hint="default"/>
          <w:sz w:val="24"/>
        </w:rPr>
      </w:pPr>
    </w:p>
    <w:p>
      <w:pPr>
        <w:snapToGrid w:val="0"/>
        <w:spacing w:beforeLines="50" w:after="50" w:line="360" w:lineRule="auto"/>
        <w:rPr>
          <w:rFonts w:hint="default"/>
          <w:b/>
          <w:bCs/>
          <w:sz w:val="32"/>
        </w:rPr>
      </w:pPr>
    </w:p>
    <w:p>
      <w:pPr>
        <w:snapToGrid w:val="0"/>
        <w:spacing w:beforeLines="50" w:after="50" w:line="360" w:lineRule="auto"/>
        <w:jc w:val="center"/>
        <w:rPr>
          <w:rFonts w:hint="default"/>
          <w:bCs/>
          <w:sz w:val="24"/>
        </w:rPr>
      </w:pPr>
    </w:p>
    <w:p>
      <w:pPr>
        <w:snapToGrid w:val="0"/>
        <w:spacing w:beforeLines="50" w:after="50" w:line="360" w:lineRule="auto"/>
        <w:jc w:val="center"/>
        <w:rPr>
          <w:rFonts w:hint="default"/>
          <w:b/>
          <w:bCs/>
          <w:sz w:val="52"/>
          <w:szCs w:val="52"/>
        </w:rPr>
      </w:pPr>
      <w:r>
        <w:rPr>
          <w:rFonts w:hint="default"/>
          <w:b/>
          <w:bCs/>
          <w:sz w:val="52"/>
          <w:szCs w:val="52"/>
        </w:rPr>
        <w:t>资格证明/商务技术/报价文件</w:t>
      </w:r>
    </w:p>
    <w:p>
      <w:pPr>
        <w:snapToGrid w:val="0"/>
        <w:spacing w:beforeLines="50" w:after="50" w:line="360" w:lineRule="auto"/>
        <w:rPr>
          <w:rFonts w:hint="default"/>
          <w:bCs/>
          <w:sz w:val="24"/>
        </w:rPr>
      </w:pPr>
    </w:p>
    <w:p>
      <w:pPr>
        <w:snapToGrid w:val="0"/>
        <w:spacing w:beforeLines="50" w:after="50" w:line="360" w:lineRule="auto"/>
        <w:ind w:firstLine="1120" w:firstLineChars="400"/>
        <w:rPr>
          <w:rFonts w:hint="eastAsia" w:eastAsia="宋体"/>
          <w:bCs/>
          <w:sz w:val="28"/>
          <w:szCs w:val="28"/>
          <w:lang w:eastAsia="zh-CN"/>
        </w:rPr>
      </w:pPr>
      <w:r>
        <w:rPr>
          <w:rFonts w:hint="default"/>
          <w:bCs/>
          <w:sz w:val="28"/>
          <w:szCs w:val="28"/>
        </w:rPr>
        <w:t>项目名称：</w:t>
      </w:r>
      <w:r>
        <w:rPr>
          <w:rFonts w:hint="eastAsia"/>
          <w:bCs/>
          <w:sz w:val="28"/>
          <w:szCs w:val="28"/>
          <w:lang w:eastAsia="zh-CN"/>
        </w:rPr>
        <w:t>数字化制造与检测技术中心数字化制造单元项目</w:t>
      </w:r>
    </w:p>
    <w:p>
      <w:pPr>
        <w:snapToGrid w:val="0"/>
        <w:spacing w:beforeLines="50" w:after="50" w:line="360" w:lineRule="auto"/>
        <w:ind w:firstLine="1120" w:firstLineChars="400"/>
        <w:rPr>
          <w:rFonts w:hint="default"/>
          <w:bCs/>
          <w:sz w:val="28"/>
          <w:szCs w:val="28"/>
        </w:rPr>
      </w:pPr>
      <w:r>
        <w:rPr>
          <w:rFonts w:hint="default"/>
          <w:bCs/>
          <w:sz w:val="28"/>
          <w:szCs w:val="28"/>
        </w:rPr>
        <w:t>项目编号：</w:t>
      </w:r>
    </w:p>
    <w:p>
      <w:pPr>
        <w:snapToGrid w:val="0"/>
        <w:spacing w:beforeLines="50" w:after="50" w:line="360" w:lineRule="auto"/>
        <w:ind w:firstLine="560" w:firstLineChars="200"/>
        <w:rPr>
          <w:rFonts w:hint="default"/>
          <w:bCs/>
          <w:sz w:val="28"/>
          <w:szCs w:val="28"/>
        </w:rPr>
      </w:pPr>
    </w:p>
    <w:p>
      <w:pPr>
        <w:snapToGrid w:val="0"/>
        <w:spacing w:beforeLines="50" w:after="50" w:line="360" w:lineRule="auto"/>
        <w:ind w:firstLine="560" w:firstLineChars="200"/>
        <w:rPr>
          <w:rFonts w:hint="default"/>
          <w:bCs/>
          <w:sz w:val="28"/>
          <w:szCs w:val="28"/>
        </w:rPr>
      </w:pPr>
    </w:p>
    <w:p>
      <w:pPr>
        <w:pStyle w:val="14"/>
        <w:snapToGrid w:val="0"/>
        <w:spacing w:before="50" w:after="50" w:line="360" w:lineRule="auto"/>
        <w:ind w:firstLine="1260" w:firstLineChars="450"/>
        <w:rPr>
          <w:rFonts w:hint="default"/>
          <w:bCs/>
          <w:sz w:val="28"/>
          <w:szCs w:val="28"/>
        </w:rPr>
      </w:pPr>
    </w:p>
    <w:p>
      <w:pPr>
        <w:pStyle w:val="14"/>
        <w:snapToGrid w:val="0"/>
        <w:spacing w:before="50" w:after="50" w:line="360" w:lineRule="auto"/>
        <w:ind w:firstLine="1260" w:firstLineChars="450"/>
        <w:rPr>
          <w:rFonts w:hint="default"/>
          <w:bCs/>
          <w:sz w:val="28"/>
          <w:szCs w:val="28"/>
        </w:rPr>
      </w:pPr>
    </w:p>
    <w:p>
      <w:pPr>
        <w:pStyle w:val="14"/>
        <w:snapToGrid w:val="0"/>
        <w:spacing w:before="50" w:after="50" w:line="360" w:lineRule="auto"/>
        <w:ind w:firstLine="1260" w:firstLineChars="450"/>
        <w:rPr>
          <w:rFonts w:hint="default"/>
          <w:bCs/>
          <w:sz w:val="28"/>
          <w:szCs w:val="28"/>
        </w:rPr>
      </w:pPr>
    </w:p>
    <w:p>
      <w:pPr>
        <w:pStyle w:val="14"/>
        <w:snapToGrid w:val="0"/>
        <w:spacing w:before="50" w:after="50" w:line="360" w:lineRule="auto"/>
        <w:ind w:firstLine="1260" w:firstLineChars="450"/>
        <w:rPr>
          <w:rFonts w:hint="default"/>
          <w:bCs/>
          <w:sz w:val="28"/>
          <w:szCs w:val="28"/>
        </w:rPr>
      </w:pPr>
    </w:p>
    <w:p>
      <w:pPr>
        <w:pStyle w:val="14"/>
        <w:snapToGrid w:val="0"/>
        <w:spacing w:before="50" w:after="50" w:line="360" w:lineRule="auto"/>
        <w:ind w:firstLine="1260" w:firstLineChars="450"/>
        <w:rPr>
          <w:rFonts w:hint="default"/>
          <w:bCs/>
          <w:sz w:val="28"/>
          <w:szCs w:val="28"/>
        </w:rPr>
      </w:pPr>
      <w:r>
        <w:rPr>
          <w:rFonts w:hint="default"/>
          <w:bCs/>
          <w:sz w:val="28"/>
          <w:szCs w:val="28"/>
        </w:rPr>
        <w:t>投标人名称：</w:t>
      </w:r>
    </w:p>
    <w:p>
      <w:pPr>
        <w:pStyle w:val="14"/>
        <w:snapToGrid w:val="0"/>
        <w:spacing w:before="50" w:after="50" w:line="360" w:lineRule="auto"/>
        <w:ind w:firstLine="1260" w:firstLineChars="450"/>
        <w:rPr>
          <w:rFonts w:hint="default"/>
          <w:bCs/>
          <w:sz w:val="28"/>
          <w:szCs w:val="28"/>
        </w:rPr>
      </w:pPr>
      <w:r>
        <w:rPr>
          <w:rFonts w:hint="default"/>
          <w:bCs/>
          <w:sz w:val="28"/>
          <w:szCs w:val="28"/>
        </w:rPr>
        <w:t>投标人地址：</w:t>
      </w:r>
    </w:p>
    <w:p>
      <w:pPr>
        <w:snapToGrid w:val="0"/>
        <w:spacing w:beforeLines="50" w:after="50" w:line="360" w:lineRule="auto"/>
        <w:ind w:firstLine="645"/>
        <w:jc w:val="center"/>
        <w:rPr>
          <w:rFonts w:hint="default"/>
          <w:sz w:val="28"/>
          <w:szCs w:val="28"/>
        </w:rPr>
      </w:pPr>
    </w:p>
    <w:p>
      <w:pPr>
        <w:snapToGrid w:val="0"/>
        <w:spacing w:beforeLines="50" w:after="50" w:line="360" w:lineRule="auto"/>
        <w:ind w:firstLine="645"/>
        <w:jc w:val="center"/>
        <w:outlineLvl w:val="0"/>
        <w:rPr>
          <w:rFonts w:hint="default"/>
          <w:sz w:val="24"/>
        </w:rPr>
      </w:pPr>
      <w:bookmarkStart w:id="64" w:name="_Toc22374"/>
      <w:bookmarkStart w:id="65" w:name="_Toc29838"/>
      <w:bookmarkStart w:id="66" w:name="_Toc25091"/>
      <w:bookmarkStart w:id="67" w:name="_Toc20164"/>
      <w:bookmarkStart w:id="68" w:name="_Toc32368"/>
      <w:r>
        <w:rPr>
          <w:rFonts w:hint="default"/>
          <w:sz w:val="28"/>
          <w:szCs w:val="28"/>
        </w:rPr>
        <w:t>年  月  日</w:t>
      </w:r>
      <w:bookmarkEnd w:id="64"/>
      <w:bookmarkEnd w:id="65"/>
      <w:bookmarkEnd w:id="66"/>
      <w:bookmarkEnd w:id="67"/>
      <w:bookmarkEnd w:id="68"/>
    </w:p>
    <w:p>
      <w:pPr>
        <w:pStyle w:val="2"/>
        <w:rPr>
          <w:rFonts w:hint="default"/>
        </w:rPr>
      </w:pPr>
    </w:p>
    <w:p>
      <w:pPr>
        <w:pageBreakBefore/>
        <w:snapToGrid w:val="0"/>
        <w:spacing w:line="360" w:lineRule="auto"/>
        <w:jc w:val="center"/>
        <w:outlineLvl w:val="1"/>
        <w:rPr>
          <w:rFonts w:hint="default"/>
          <w:b/>
          <w:bCs/>
          <w:kern w:val="0"/>
          <w:sz w:val="36"/>
          <w:szCs w:val="36"/>
        </w:rPr>
      </w:pPr>
      <w:r>
        <w:rPr>
          <w:rFonts w:hint="default"/>
          <w:b/>
          <w:bCs/>
          <w:kern w:val="0"/>
          <w:sz w:val="36"/>
          <w:szCs w:val="36"/>
        </w:rPr>
        <w:t>资格文件</w:t>
      </w:r>
      <w:bookmarkEnd w:id="62"/>
    </w:p>
    <w:p>
      <w:pPr>
        <w:pStyle w:val="41"/>
        <w:rPr>
          <w:rFonts w:hint="default"/>
        </w:rPr>
      </w:pPr>
    </w:p>
    <w:p>
      <w:pPr>
        <w:snapToGrid w:val="0"/>
        <w:spacing w:line="300" w:lineRule="auto"/>
        <w:jc w:val="center"/>
        <w:rPr>
          <w:rFonts w:hint="default" w:ascii="Arial" w:hAnsi="Arial" w:cs="Arial"/>
          <w:b/>
          <w:kern w:val="0"/>
          <w:sz w:val="28"/>
          <w:szCs w:val="28"/>
        </w:rPr>
      </w:pPr>
      <w:r>
        <w:rPr>
          <w:rFonts w:ascii="Arial" w:hAnsi="Arial" w:cs="Arial"/>
          <w:b/>
          <w:kern w:val="0"/>
          <w:sz w:val="28"/>
          <w:szCs w:val="28"/>
        </w:rPr>
        <w:t>一、符合参加政府采购活动应当具备的一般条件的承诺函</w:t>
      </w:r>
    </w:p>
    <w:p>
      <w:pPr>
        <w:snapToGrid w:val="0"/>
        <w:spacing w:line="360" w:lineRule="auto"/>
        <w:jc w:val="center"/>
        <w:rPr>
          <w:rFonts w:hint="default" w:ascii="Arial" w:hAnsi="Arial" w:cs="Arial"/>
          <w:b/>
          <w:kern w:val="0"/>
          <w:sz w:val="28"/>
          <w:szCs w:val="28"/>
        </w:rPr>
      </w:pPr>
    </w:p>
    <w:p>
      <w:pPr>
        <w:pStyle w:val="87"/>
        <w:spacing w:line="360" w:lineRule="auto"/>
        <w:rPr>
          <w:rFonts w:hint="default" w:ascii="宋体" w:hAnsi="宋体" w:eastAsia="宋体" w:cs="宋体"/>
          <w:color w:val="auto"/>
          <w:u w:val="single"/>
        </w:rPr>
      </w:pPr>
      <w:r>
        <w:rPr>
          <w:rFonts w:ascii="宋体" w:hAnsi="宋体" w:eastAsia="宋体" w:cs="宋体"/>
          <w:color w:val="auto"/>
          <w:u w:val="single"/>
        </w:rPr>
        <w:t>浙江机电职业技术学院、浙江豪圣建设项目管理有限公司：</w:t>
      </w:r>
    </w:p>
    <w:p>
      <w:pPr>
        <w:pStyle w:val="87"/>
        <w:spacing w:line="360" w:lineRule="auto"/>
        <w:ind w:firstLine="420" w:firstLineChars="175"/>
        <w:rPr>
          <w:rFonts w:hint="default" w:ascii="宋体" w:hAnsi="宋体" w:eastAsia="宋体" w:cs="宋体"/>
          <w:color w:val="auto"/>
        </w:rPr>
      </w:pPr>
      <w:r>
        <w:rPr>
          <w:rFonts w:ascii="宋体" w:hAnsi="宋体" w:eastAsia="宋体" w:cs="宋体"/>
          <w:color w:val="auto"/>
        </w:rPr>
        <w:t>我方参与项目名称【项目编号：】政府采购活动，郑重承诺：</w:t>
      </w:r>
    </w:p>
    <w:p>
      <w:pPr>
        <w:pStyle w:val="87"/>
        <w:spacing w:line="360" w:lineRule="auto"/>
        <w:ind w:firstLine="420" w:firstLineChars="175"/>
        <w:rPr>
          <w:rFonts w:hint="default" w:ascii="宋体" w:hAnsi="宋体" w:eastAsia="宋体" w:cs="宋体"/>
          <w:color w:val="auto"/>
        </w:rPr>
      </w:pPr>
      <w:r>
        <w:rPr>
          <w:rFonts w:ascii="宋体" w:hAnsi="宋体" w:eastAsia="宋体" w:cs="宋体"/>
          <w:color w:val="auto"/>
        </w:rPr>
        <w:t>（一）具备《中华人民共和国政府采购法》第二十二条第一款规定的条件：</w:t>
      </w:r>
    </w:p>
    <w:p>
      <w:pPr>
        <w:pStyle w:val="87"/>
        <w:spacing w:line="360" w:lineRule="auto"/>
        <w:ind w:firstLine="420" w:firstLineChars="175"/>
        <w:rPr>
          <w:rFonts w:hint="default" w:ascii="宋体" w:hAnsi="宋体" w:eastAsia="宋体" w:cs="宋体"/>
          <w:color w:val="auto"/>
        </w:rPr>
      </w:pPr>
      <w:r>
        <w:rPr>
          <w:rFonts w:ascii="宋体" w:hAnsi="宋体" w:eastAsia="宋体" w:cs="宋体"/>
          <w:color w:val="auto"/>
        </w:rPr>
        <w:t>1、具有独立承担民事责任的能力；</w:t>
      </w:r>
    </w:p>
    <w:p>
      <w:pPr>
        <w:pStyle w:val="87"/>
        <w:spacing w:line="360" w:lineRule="auto"/>
        <w:ind w:firstLine="420" w:firstLineChars="175"/>
        <w:rPr>
          <w:rFonts w:hint="default" w:ascii="宋体" w:hAnsi="宋体" w:eastAsia="宋体" w:cs="宋体"/>
          <w:color w:val="auto"/>
        </w:rPr>
      </w:pPr>
      <w:r>
        <w:rPr>
          <w:rFonts w:ascii="宋体" w:hAnsi="宋体" w:eastAsia="宋体" w:cs="宋体"/>
          <w:color w:val="auto"/>
        </w:rPr>
        <w:t xml:space="preserve">2、具有良好的商业信誉和健全的财务会计制度； </w:t>
      </w:r>
    </w:p>
    <w:p>
      <w:pPr>
        <w:pStyle w:val="87"/>
        <w:spacing w:line="360" w:lineRule="auto"/>
        <w:ind w:firstLine="420" w:firstLineChars="175"/>
        <w:rPr>
          <w:rFonts w:hint="default" w:ascii="宋体" w:hAnsi="宋体" w:eastAsia="宋体" w:cs="宋体"/>
          <w:color w:val="auto"/>
        </w:rPr>
      </w:pPr>
      <w:r>
        <w:rPr>
          <w:rFonts w:ascii="宋体" w:hAnsi="宋体" w:eastAsia="宋体" w:cs="宋体"/>
          <w:color w:val="auto"/>
        </w:rPr>
        <w:t>3、具有履行合同所必需的设备和专业技术能力；</w:t>
      </w:r>
    </w:p>
    <w:p>
      <w:pPr>
        <w:pStyle w:val="87"/>
        <w:spacing w:line="360" w:lineRule="auto"/>
        <w:ind w:firstLine="420" w:firstLineChars="175"/>
        <w:rPr>
          <w:rFonts w:hint="default" w:ascii="宋体" w:hAnsi="宋体" w:eastAsia="宋体" w:cs="宋体"/>
          <w:color w:val="auto"/>
        </w:rPr>
      </w:pPr>
      <w:r>
        <w:rPr>
          <w:rFonts w:ascii="宋体" w:hAnsi="宋体" w:eastAsia="宋体" w:cs="宋体"/>
          <w:color w:val="auto"/>
        </w:rPr>
        <w:t>4、有依法缴纳税收和社会保障资金的良好记录；</w:t>
      </w:r>
    </w:p>
    <w:p>
      <w:pPr>
        <w:pStyle w:val="87"/>
        <w:spacing w:line="360" w:lineRule="auto"/>
        <w:ind w:firstLine="420" w:firstLineChars="175"/>
        <w:rPr>
          <w:rFonts w:hint="default" w:ascii="宋体" w:hAnsi="宋体" w:eastAsia="宋体" w:cs="宋体"/>
          <w:color w:val="auto"/>
        </w:rPr>
      </w:pPr>
      <w:r>
        <w:rPr>
          <w:rFonts w:ascii="宋体" w:hAnsi="宋体" w:eastAsia="宋体" w:cs="宋体"/>
          <w:color w:val="auto"/>
        </w:rPr>
        <w:t>5、参加政府采购活动前三年内，在经营活动中没有重大违法记录；</w:t>
      </w:r>
    </w:p>
    <w:p>
      <w:pPr>
        <w:pStyle w:val="87"/>
        <w:spacing w:line="360" w:lineRule="auto"/>
        <w:ind w:firstLine="420" w:firstLineChars="175"/>
        <w:rPr>
          <w:rFonts w:hint="default" w:ascii="宋体" w:hAnsi="宋体" w:eastAsia="宋体" w:cs="宋体"/>
          <w:color w:val="auto"/>
        </w:rPr>
      </w:pPr>
      <w:r>
        <w:rPr>
          <w:rFonts w:ascii="宋体" w:hAnsi="宋体" w:eastAsia="宋体" w:cs="宋体"/>
          <w:color w:val="auto"/>
        </w:rPr>
        <w:t>6、具有法律、行政法规规定的其他条件。</w:t>
      </w:r>
    </w:p>
    <w:p>
      <w:pPr>
        <w:pStyle w:val="87"/>
        <w:spacing w:line="360" w:lineRule="auto"/>
        <w:ind w:firstLine="420" w:firstLineChars="175"/>
        <w:rPr>
          <w:rFonts w:hint="default" w:ascii="宋体" w:hAnsi="宋体" w:eastAsia="宋体" w:cs="宋体"/>
          <w:color w:val="auto"/>
        </w:rPr>
      </w:pPr>
      <w:r>
        <w:rPr>
          <w:rFonts w:ascii="宋体" w:hAnsi="宋体" w:eastAsia="宋体" w:cs="宋体"/>
          <w:color w:val="auto"/>
        </w:rPr>
        <w:t>（二）未被信用中国（www.creditchina.gov.cn)、中国政府采购网（www.ccgp.gov.cn）列入失信被执行人、重大税收违法失信主体、政府采购严重违法失信行为记录名单。</w:t>
      </w:r>
    </w:p>
    <w:p>
      <w:pPr>
        <w:pStyle w:val="87"/>
        <w:spacing w:line="360" w:lineRule="auto"/>
        <w:ind w:firstLine="420" w:firstLineChars="175"/>
        <w:rPr>
          <w:rFonts w:hint="default" w:ascii="宋体" w:hAnsi="宋体" w:eastAsia="宋体" w:cs="宋体"/>
          <w:color w:val="auto"/>
        </w:rPr>
      </w:pPr>
      <w:r>
        <w:rPr>
          <w:rFonts w:ascii="宋体" w:hAnsi="宋体" w:eastAsia="宋体" w:cs="宋体"/>
          <w:color w:val="auto"/>
        </w:rPr>
        <w:t>（三）不存在以下情况：</w:t>
      </w:r>
    </w:p>
    <w:p>
      <w:pPr>
        <w:pStyle w:val="87"/>
        <w:spacing w:line="360" w:lineRule="auto"/>
        <w:ind w:firstLine="420" w:firstLineChars="175"/>
        <w:rPr>
          <w:rFonts w:hint="default" w:ascii="宋体" w:hAnsi="宋体" w:eastAsia="宋体" w:cs="宋体"/>
          <w:color w:val="auto"/>
        </w:rPr>
      </w:pPr>
      <w:r>
        <w:rPr>
          <w:rFonts w:ascii="宋体" w:hAnsi="宋体" w:eastAsia="宋体" w:cs="宋体"/>
          <w:color w:val="auto"/>
        </w:rPr>
        <w:t>1、单位负责人为同一人或者存在直接控股、管理关系的不同供应商参加同一合同项下的政府采购活动的；</w:t>
      </w:r>
    </w:p>
    <w:p>
      <w:pPr>
        <w:pStyle w:val="87"/>
        <w:spacing w:line="360" w:lineRule="auto"/>
        <w:ind w:firstLine="420" w:firstLineChars="175"/>
        <w:rPr>
          <w:rFonts w:hint="default" w:ascii="宋体" w:hAnsi="宋体" w:eastAsia="宋体" w:cs="宋体"/>
          <w:color w:val="auto"/>
        </w:rPr>
      </w:pPr>
      <w:r>
        <w:rPr>
          <w:rFonts w:ascii="宋体" w:hAnsi="宋体" w:eastAsia="宋体" w:cs="宋体"/>
          <w:color w:val="auto"/>
        </w:rPr>
        <w:t>2、为采购项目提供整体设计、规范编制或者项目管理、监理、检测等服务后再参加该采购项目的其他采购活动的。</w:t>
      </w:r>
    </w:p>
    <w:p>
      <w:pPr>
        <w:pStyle w:val="29"/>
        <w:tabs>
          <w:tab w:val="right" w:leader="dot" w:pos="9403"/>
        </w:tabs>
        <w:spacing w:line="360" w:lineRule="auto"/>
        <w:rPr>
          <w:rFonts w:hint="default" w:ascii="Arial" w:hAnsi="Arial" w:cs="Arial"/>
          <w:sz w:val="24"/>
          <w:szCs w:val="24"/>
        </w:rPr>
      </w:pPr>
      <w:bookmarkStart w:id="69" w:name="_Toc10512"/>
      <w:bookmarkStart w:id="70" w:name="_Toc2249"/>
    </w:p>
    <w:p>
      <w:pPr>
        <w:spacing w:line="360" w:lineRule="auto"/>
        <w:rPr>
          <w:rFonts w:hint="default"/>
          <w:sz w:val="24"/>
          <w:szCs w:val="24"/>
        </w:rPr>
      </w:pPr>
    </w:p>
    <w:p>
      <w:pPr>
        <w:pStyle w:val="87"/>
        <w:spacing w:line="360" w:lineRule="auto"/>
        <w:rPr>
          <w:rFonts w:hint="default" w:ascii="Times New Roman" w:eastAsia="宋体" w:cs="Times New Roman"/>
          <w:color w:val="auto"/>
        </w:rPr>
      </w:pPr>
    </w:p>
    <w:p>
      <w:pPr>
        <w:widowControl/>
        <w:spacing w:line="360" w:lineRule="auto"/>
        <w:ind w:firstLine="480" w:firstLineChars="200"/>
        <w:rPr>
          <w:rFonts w:hint="default" w:ascii="Arial" w:hAnsi="Arial" w:cs="Arial"/>
          <w:sz w:val="24"/>
          <w:szCs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r>
        <w:rPr>
          <w:rFonts w:ascii="Arial" w:hAnsi="Arial" w:cs="Arial"/>
          <w:sz w:val="24"/>
          <w:szCs w:val="24"/>
        </w:rPr>
        <w:t>：</w:t>
      </w:r>
    </w:p>
    <w:p>
      <w:pPr>
        <w:widowControl/>
        <w:spacing w:line="360" w:lineRule="auto"/>
        <w:ind w:firstLine="480" w:firstLineChars="200"/>
        <w:rPr>
          <w:rFonts w:hint="default" w:ascii="Arial" w:hAnsi="Arial" w:cs="Arial"/>
          <w:sz w:val="24"/>
          <w:szCs w:val="24"/>
        </w:rPr>
      </w:pPr>
      <w:r>
        <w:rPr>
          <w:rFonts w:ascii="Arial" w:hAnsi="Arial" w:cs="Arial"/>
          <w:sz w:val="24"/>
          <w:szCs w:val="24"/>
        </w:rPr>
        <w:t>日期：</w:t>
      </w:r>
    </w:p>
    <w:p>
      <w:pPr>
        <w:pStyle w:val="41"/>
        <w:ind w:firstLine="480"/>
        <w:rPr>
          <w:rFonts w:hint="default" w:ascii="宋体" w:hAnsi="宋体" w:cs="宋体"/>
          <w:sz w:val="24"/>
        </w:rPr>
      </w:pPr>
    </w:p>
    <w:p>
      <w:pPr>
        <w:snapToGrid w:val="0"/>
        <w:spacing w:line="360" w:lineRule="auto"/>
        <w:ind w:left="570"/>
        <w:jc w:val="center"/>
        <w:outlineLvl w:val="0"/>
        <w:rPr>
          <w:rFonts w:hint="default"/>
          <w:b/>
          <w:sz w:val="32"/>
          <w:szCs w:val="32"/>
        </w:rPr>
      </w:pPr>
      <w:r>
        <w:rPr>
          <w:rFonts w:ascii="宋体" w:hAnsi="宋体" w:cs="宋体"/>
          <w:b/>
          <w:sz w:val="30"/>
          <w:szCs w:val="30"/>
        </w:rPr>
        <w:br w:type="page"/>
      </w:r>
      <w:bookmarkStart w:id="71" w:name="_Toc19361"/>
      <w:bookmarkStart w:id="72" w:name="_Toc3172"/>
      <w:bookmarkStart w:id="73" w:name="_Toc28162"/>
      <w:bookmarkStart w:id="74" w:name="_Toc23989"/>
      <w:bookmarkStart w:id="75" w:name="_Toc18889"/>
      <w:r>
        <w:rPr>
          <w:b/>
          <w:sz w:val="32"/>
          <w:szCs w:val="32"/>
        </w:rPr>
        <w:t>二</w:t>
      </w:r>
      <w:r>
        <w:rPr>
          <w:rFonts w:hint="default"/>
          <w:b/>
          <w:sz w:val="32"/>
          <w:szCs w:val="32"/>
        </w:rPr>
        <w:t>、</w:t>
      </w:r>
      <w:bookmarkEnd w:id="71"/>
      <w:bookmarkEnd w:id="72"/>
      <w:r>
        <w:rPr>
          <w:rFonts w:hint="default"/>
          <w:b/>
          <w:sz w:val="32"/>
          <w:szCs w:val="32"/>
        </w:rPr>
        <w:t>中小企业声明函、残疾人福利性单位声明函、属于监狱企业的证明文件（由省级以上监狱管理局、戒毒管理局（含新疆生产建设兵团）出具的属于监狱企业的证明文件</w:t>
      </w:r>
      <w:bookmarkEnd w:id="73"/>
      <w:bookmarkEnd w:id="74"/>
      <w:bookmarkEnd w:id="75"/>
    </w:p>
    <w:p>
      <w:pPr>
        <w:widowControl/>
        <w:snapToGrid w:val="0"/>
        <w:spacing w:line="360" w:lineRule="auto"/>
        <w:ind w:firstLine="602" w:firstLineChars="200"/>
        <w:jc w:val="center"/>
        <w:rPr>
          <w:rFonts w:hint="default"/>
          <w:b/>
          <w:kern w:val="0"/>
          <w:sz w:val="30"/>
          <w:szCs w:val="30"/>
        </w:rPr>
      </w:pPr>
      <w:r>
        <w:rPr>
          <w:b/>
          <w:kern w:val="0"/>
          <w:sz w:val="30"/>
          <w:szCs w:val="30"/>
        </w:rPr>
        <w:t>2</w:t>
      </w:r>
      <w:r>
        <w:rPr>
          <w:rFonts w:hint="default"/>
          <w:b/>
          <w:kern w:val="0"/>
          <w:sz w:val="30"/>
          <w:szCs w:val="30"/>
        </w:rPr>
        <w:t>.1中小企业声明函及其相关的充分的证明材料</w:t>
      </w:r>
      <w:r>
        <w:rPr>
          <w:b/>
          <w:kern w:val="0"/>
          <w:sz w:val="30"/>
          <w:szCs w:val="30"/>
        </w:rPr>
        <w:t>（如有）</w:t>
      </w:r>
    </w:p>
    <w:p>
      <w:pPr>
        <w:autoSpaceDE w:val="0"/>
        <w:autoSpaceDN w:val="0"/>
        <w:adjustRightInd w:val="0"/>
        <w:spacing w:beforeLines="100" w:afterLines="100" w:line="360" w:lineRule="auto"/>
        <w:jc w:val="center"/>
        <w:rPr>
          <w:rFonts w:hint="default"/>
          <w:kern w:val="0"/>
          <w:sz w:val="24"/>
        </w:rPr>
      </w:pPr>
      <w:r>
        <w:rPr>
          <w:rFonts w:hint="default"/>
          <w:b/>
          <w:kern w:val="0"/>
          <w:sz w:val="24"/>
        </w:rPr>
        <w:t>中小企业声明函（货物</w:t>
      </w:r>
      <w:r>
        <w:rPr>
          <w:rFonts w:hint="default"/>
          <w:kern w:val="0"/>
          <w:sz w:val="24"/>
        </w:rPr>
        <w:t>）</w:t>
      </w:r>
    </w:p>
    <w:p>
      <w:pPr>
        <w:autoSpaceDE w:val="0"/>
        <w:autoSpaceDN w:val="0"/>
        <w:adjustRightInd w:val="0"/>
        <w:spacing w:line="360" w:lineRule="auto"/>
        <w:ind w:right="157" w:firstLine="642"/>
        <w:jc w:val="left"/>
        <w:rPr>
          <w:rFonts w:hint="default"/>
          <w:kern w:val="0"/>
          <w:sz w:val="24"/>
        </w:rPr>
      </w:pPr>
      <w:r>
        <w:rPr>
          <w:rFonts w:hint="default"/>
          <w:kern w:val="0"/>
          <w:sz w:val="24"/>
        </w:rPr>
        <w:t>本公司（联合体）郑重声明，根据《政府采购促进中小企业发展管理办法》（财库 ﹝2020﹞46号）的规定，本公司参加</w:t>
      </w:r>
      <w:r>
        <w:rPr>
          <w:rFonts w:hint="default"/>
          <w:kern w:val="0"/>
          <w:sz w:val="24"/>
          <w:u w:val="single"/>
        </w:rPr>
        <w:t>（单位名称）</w:t>
      </w:r>
      <w:r>
        <w:rPr>
          <w:rFonts w:hint="default"/>
          <w:kern w:val="0"/>
          <w:sz w:val="24"/>
        </w:rPr>
        <w:t>的</w:t>
      </w:r>
      <w:r>
        <w:rPr>
          <w:rFonts w:hint="default"/>
          <w:kern w:val="0"/>
          <w:sz w:val="24"/>
          <w:u w:val="single"/>
        </w:rPr>
        <w:t>（项目名称）</w:t>
      </w:r>
      <w:r>
        <w:rPr>
          <w:rFonts w:hint="default"/>
          <w:kern w:val="0"/>
          <w:sz w:val="24"/>
        </w:rPr>
        <w:t xml:space="preserve">采购活动，提供的货物全部由符合政策要求的中小企业制造。相关企业（含联合体中的中小企业、签订分包意向协议的中小企业）的具体情况如下： </w:t>
      </w:r>
    </w:p>
    <w:p>
      <w:pPr>
        <w:numPr>
          <w:ilvl w:val="0"/>
          <w:numId w:val="8"/>
        </w:numPr>
        <w:autoSpaceDE w:val="0"/>
        <w:autoSpaceDN w:val="0"/>
        <w:adjustRightInd w:val="0"/>
        <w:spacing w:line="360" w:lineRule="auto"/>
        <w:ind w:left="0" w:firstLine="480" w:firstLineChars="200"/>
        <w:jc w:val="left"/>
        <w:rPr>
          <w:rFonts w:hint="default"/>
          <w:kern w:val="0"/>
          <w:sz w:val="24"/>
        </w:rPr>
      </w:pPr>
      <w:r>
        <w:rPr>
          <w:rFonts w:hint="default"/>
          <w:kern w:val="0"/>
          <w:sz w:val="24"/>
          <w:u w:val="single"/>
        </w:rPr>
        <w:t>智能仓储单元</w:t>
      </w:r>
      <w:r>
        <w:rPr>
          <w:rFonts w:hint="default"/>
          <w:kern w:val="0"/>
          <w:sz w:val="24"/>
        </w:rPr>
        <w:t xml:space="preserve">，属于 </w:t>
      </w:r>
      <w:r>
        <w:rPr>
          <w:kern w:val="0"/>
          <w:sz w:val="24"/>
          <w:u w:val="single"/>
        </w:rPr>
        <w:t>工业</w:t>
      </w:r>
      <w:r>
        <w:rPr>
          <w:rFonts w:hint="default"/>
          <w:kern w:val="0"/>
          <w:sz w:val="24"/>
          <w:u w:val="single"/>
        </w:rPr>
        <w:t xml:space="preserve"> 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w:t>
      </w:r>
      <w:r>
        <w:rPr>
          <w:rFonts w:hint="default"/>
          <w:kern w:val="0"/>
          <w:sz w:val="24"/>
          <w:vertAlign w:val="superscript"/>
        </w:rPr>
        <w:footnoteReference w:id="0"/>
      </w:r>
      <w:r>
        <w:rPr>
          <w:rFonts w:hint="default"/>
          <w:kern w:val="0"/>
          <w:sz w:val="24"/>
        </w:rPr>
        <w:t>，属于</w:t>
      </w:r>
      <w:r>
        <w:rPr>
          <w:rFonts w:hint="default"/>
          <w:kern w:val="0"/>
          <w:sz w:val="24"/>
          <w:u w:val="single"/>
        </w:rPr>
        <w:t>（中型企业、小型企业、微型企业）</w:t>
      </w:r>
      <w:r>
        <w:rPr>
          <w:rFonts w:hint="default"/>
          <w:kern w:val="0"/>
          <w:sz w:val="24"/>
        </w:rPr>
        <w:t>；</w:t>
      </w:r>
    </w:p>
    <w:p>
      <w:pPr>
        <w:numPr>
          <w:ilvl w:val="0"/>
          <w:numId w:val="8"/>
        </w:numPr>
        <w:autoSpaceDE w:val="0"/>
        <w:autoSpaceDN w:val="0"/>
        <w:adjustRightInd w:val="0"/>
        <w:spacing w:line="360" w:lineRule="auto"/>
        <w:ind w:left="0" w:firstLine="480" w:firstLineChars="200"/>
        <w:jc w:val="left"/>
        <w:rPr>
          <w:rFonts w:hint="default"/>
          <w:kern w:val="0"/>
          <w:sz w:val="24"/>
        </w:rPr>
      </w:pPr>
      <w:r>
        <w:rPr>
          <w:kern w:val="0"/>
          <w:sz w:val="24"/>
          <w:u w:val="single"/>
        </w:rPr>
        <w:t>智能物流系统(含AMR、充电桩、输送线及软件)</w:t>
      </w:r>
      <w:r>
        <w:rPr>
          <w:rFonts w:hint="default"/>
          <w:kern w:val="0"/>
          <w:sz w:val="24"/>
        </w:rPr>
        <w:t xml:space="preserve">，属于 </w:t>
      </w:r>
      <w:r>
        <w:rPr>
          <w:kern w:val="0"/>
          <w:sz w:val="24"/>
          <w:u w:val="single"/>
        </w:rPr>
        <w:t>工业</w:t>
      </w:r>
      <w:r>
        <w:rPr>
          <w:rFonts w:hint="default"/>
          <w:kern w:val="0"/>
          <w:sz w:val="24"/>
          <w:u w:val="single"/>
        </w:rPr>
        <w:t xml:space="preserve"> 行业</w:t>
      </w:r>
      <w:r>
        <w:rPr>
          <w:rFonts w:hint="default"/>
          <w:kern w:val="0"/>
          <w:sz w:val="24"/>
        </w:rPr>
        <w:t>；制造商为</w:t>
      </w:r>
      <w:r>
        <w:rPr>
          <w:rFonts w:hint="default"/>
          <w:kern w:val="0"/>
          <w:sz w:val="24"/>
          <w:u w:val="single"/>
        </w:rPr>
        <w:t xml:space="preserve"> （企业名称） </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pPr>
        <w:numPr>
          <w:ilvl w:val="0"/>
          <w:numId w:val="8"/>
        </w:numPr>
        <w:autoSpaceDE w:val="0"/>
        <w:autoSpaceDN w:val="0"/>
        <w:adjustRightInd w:val="0"/>
        <w:spacing w:line="360" w:lineRule="auto"/>
        <w:ind w:left="0" w:firstLine="480" w:firstLineChars="200"/>
        <w:jc w:val="left"/>
        <w:rPr>
          <w:rFonts w:hint="default"/>
          <w:kern w:val="0"/>
          <w:sz w:val="24"/>
        </w:rPr>
      </w:pPr>
      <w:r>
        <w:rPr>
          <w:kern w:val="0"/>
          <w:sz w:val="24"/>
          <w:u w:val="single"/>
        </w:rPr>
        <w:t>数控加工中心工作站</w:t>
      </w:r>
      <w:r>
        <w:rPr>
          <w:rFonts w:hint="default"/>
          <w:kern w:val="0"/>
          <w:sz w:val="24"/>
        </w:rPr>
        <w:t xml:space="preserve">，属于 </w:t>
      </w:r>
      <w:r>
        <w:rPr>
          <w:kern w:val="0"/>
          <w:sz w:val="24"/>
          <w:u w:val="single"/>
        </w:rPr>
        <w:t>工业</w:t>
      </w:r>
      <w:r>
        <w:rPr>
          <w:rFonts w:hint="default"/>
          <w:kern w:val="0"/>
          <w:sz w:val="24"/>
          <w:u w:val="single"/>
        </w:rPr>
        <w:t xml:space="preserve"> 行业</w:t>
      </w:r>
      <w:r>
        <w:rPr>
          <w:rFonts w:hint="default"/>
          <w:kern w:val="0"/>
          <w:sz w:val="24"/>
        </w:rPr>
        <w:t>；制造商为</w:t>
      </w:r>
      <w:r>
        <w:rPr>
          <w:rFonts w:hint="default"/>
          <w:kern w:val="0"/>
          <w:sz w:val="24"/>
          <w:u w:val="single"/>
        </w:rPr>
        <w:t xml:space="preserve"> （企业名称） </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pPr>
        <w:numPr>
          <w:ilvl w:val="0"/>
          <w:numId w:val="8"/>
        </w:numPr>
        <w:autoSpaceDE w:val="0"/>
        <w:autoSpaceDN w:val="0"/>
        <w:adjustRightInd w:val="0"/>
        <w:spacing w:line="360" w:lineRule="auto"/>
        <w:ind w:left="0" w:firstLine="480" w:firstLineChars="200"/>
        <w:jc w:val="left"/>
        <w:rPr>
          <w:rFonts w:hint="default"/>
          <w:kern w:val="0"/>
          <w:sz w:val="24"/>
        </w:rPr>
      </w:pPr>
      <w:r>
        <w:rPr>
          <w:kern w:val="0"/>
          <w:sz w:val="24"/>
          <w:u w:val="single"/>
        </w:rPr>
        <w:t>数控车床工作站</w:t>
      </w:r>
      <w:r>
        <w:rPr>
          <w:rFonts w:hint="default"/>
          <w:kern w:val="0"/>
          <w:sz w:val="24"/>
        </w:rPr>
        <w:t xml:space="preserve">，属于 </w:t>
      </w:r>
      <w:r>
        <w:rPr>
          <w:kern w:val="0"/>
          <w:sz w:val="24"/>
          <w:u w:val="single"/>
        </w:rPr>
        <w:t>工业</w:t>
      </w:r>
      <w:r>
        <w:rPr>
          <w:rFonts w:hint="default"/>
          <w:kern w:val="0"/>
          <w:sz w:val="24"/>
          <w:u w:val="single"/>
        </w:rPr>
        <w:t xml:space="preserve"> 行业</w:t>
      </w:r>
      <w:r>
        <w:rPr>
          <w:rFonts w:hint="default"/>
          <w:kern w:val="0"/>
          <w:sz w:val="24"/>
        </w:rPr>
        <w:t>；制造商为</w:t>
      </w:r>
      <w:r>
        <w:rPr>
          <w:rFonts w:hint="default"/>
          <w:kern w:val="0"/>
          <w:sz w:val="24"/>
          <w:u w:val="single"/>
        </w:rPr>
        <w:t xml:space="preserve"> （企业名称） </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pPr>
        <w:numPr>
          <w:ilvl w:val="0"/>
          <w:numId w:val="8"/>
        </w:numPr>
        <w:autoSpaceDE w:val="0"/>
        <w:autoSpaceDN w:val="0"/>
        <w:adjustRightInd w:val="0"/>
        <w:spacing w:line="360" w:lineRule="auto"/>
        <w:ind w:left="0" w:firstLine="480" w:firstLineChars="200"/>
        <w:jc w:val="left"/>
        <w:rPr>
          <w:rFonts w:hint="default"/>
          <w:kern w:val="0"/>
          <w:sz w:val="24"/>
        </w:rPr>
      </w:pPr>
      <w:r>
        <w:rPr>
          <w:kern w:val="0"/>
          <w:sz w:val="24"/>
          <w:u w:val="single"/>
        </w:rPr>
        <w:t>打磨抛光单元（含工业机器人）</w:t>
      </w:r>
      <w:r>
        <w:rPr>
          <w:rFonts w:hint="default"/>
          <w:kern w:val="0"/>
          <w:sz w:val="24"/>
        </w:rPr>
        <w:t xml:space="preserve">，属于 </w:t>
      </w:r>
      <w:r>
        <w:rPr>
          <w:kern w:val="0"/>
          <w:sz w:val="24"/>
          <w:u w:val="single"/>
        </w:rPr>
        <w:t>工业</w:t>
      </w:r>
      <w:r>
        <w:rPr>
          <w:rFonts w:hint="default"/>
          <w:kern w:val="0"/>
          <w:sz w:val="24"/>
          <w:u w:val="single"/>
        </w:rPr>
        <w:t xml:space="preserve"> 行业</w:t>
      </w:r>
      <w:r>
        <w:rPr>
          <w:rFonts w:hint="default"/>
          <w:kern w:val="0"/>
          <w:sz w:val="24"/>
        </w:rPr>
        <w:t>；制造商为</w:t>
      </w:r>
      <w:r>
        <w:rPr>
          <w:rFonts w:hint="default"/>
          <w:kern w:val="0"/>
          <w:sz w:val="24"/>
          <w:u w:val="single"/>
        </w:rPr>
        <w:t xml:space="preserve"> （企业名称） </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pPr>
        <w:numPr>
          <w:ilvl w:val="0"/>
          <w:numId w:val="8"/>
        </w:numPr>
        <w:autoSpaceDE w:val="0"/>
        <w:autoSpaceDN w:val="0"/>
        <w:adjustRightInd w:val="0"/>
        <w:spacing w:line="360" w:lineRule="auto"/>
        <w:ind w:left="0" w:firstLine="480" w:firstLineChars="200"/>
        <w:jc w:val="left"/>
        <w:rPr>
          <w:rFonts w:hint="default"/>
          <w:kern w:val="0"/>
          <w:sz w:val="24"/>
        </w:rPr>
      </w:pPr>
      <w:r>
        <w:rPr>
          <w:kern w:val="0"/>
          <w:sz w:val="24"/>
          <w:u w:val="single"/>
        </w:rPr>
        <w:t>装配单元</w:t>
      </w:r>
      <w:r>
        <w:rPr>
          <w:rFonts w:hint="default"/>
          <w:kern w:val="0"/>
          <w:sz w:val="24"/>
        </w:rPr>
        <w:t xml:space="preserve">，属于 </w:t>
      </w:r>
      <w:r>
        <w:rPr>
          <w:kern w:val="0"/>
          <w:sz w:val="24"/>
          <w:u w:val="single"/>
        </w:rPr>
        <w:t>工业</w:t>
      </w:r>
      <w:r>
        <w:rPr>
          <w:rFonts w:hint="default"/>
          <w:kern w:val="0"/>
          <w:sz w:val="24"/>
          <w:u w:val="single"/>
        </w:rPr>
        <w:t xml:space="preserve"> 行业</w:t>
      </w:r>
      <w:r>
        <w:rPr>
          <w:rFonts w:hint="default"/>
          <w:kern w:val="0"/>
          <w:sz w:val="24"/>
        </w:rPr>
        <w:t>；制造商为</w:t>
      </w:r>
      <w:r>
        <w:rPr>
          <w:rFonts w:hint="default"/>
          <w:kern w:val="0"/>
          <w:sz w:val="24"/>
          <w:u w:val="single"/>
        </w:rPr>
        <w:t xml:space="preserve"> （企业名称） </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pPr>
        <w:numPr>
          <w:ilvl w:val="0"/>
          <w:numId w:val="8"/>
        </w:numPr>
        <w:autoSpaceDE w:val="0"/>
        <w:autoSpaceDN w:val="0"/>
        <w:adjustRightInd w:val="0"/>
        <w:spacing w:line="360" w:lineRule="auto"/>
        <w:ind w:left="0" w:firstLine="480" w:firstLineChars="200"/>
        <w:jc w:val="left"/>
        <w:rPr>
          <w:rFonts w:hint="default"/>
          <w:kern w:val="0"/>
          <w:sz w:val="24"/>
        </w:rPr>
      </w:pPr>
      <w:r>
        <w:rPr>
          <w:kern w:val="0"/>
          <w:sz w:val="24"/>
          <w:u w:val="single"/>
        </w:rPr>
        <w:t>包装单元(含激光打标机)</w:t>
      </w:r>
      <w:r>
        <w:rPr>
          <w:rFonts w:hint="default"/>
          <w:kern w:val="0"/>
          <w:sz w:val="24"/>
        </w:rPr>
        <w:t xml:space="preserve">，属于 </w:t>
      </w:r>
      <w:r>
        <w:rPr>
          <w:kern w:val="0"/>
          <w:sz w:val="24"/>
          <w:u w:val="single"/>
        </w:rPr>
        <w:t>工业</w:t>
      </w:r>
      <w:r>
        <w:rPr>
          <w:rFonts w:hint="default"/>
          <w:kern w:val="0"/>
          <w:sz w:val="24"/>
          <w:u w:val="single"/>
        </w:rPr>
        <w:t xml:space="preserve"> 行业</w:t>
      </w:r>
      <w:r>
        <w:rPr>
          <w:rFonts w:hint="default"/>
          <w:kern w:val="0"/>
          <w:sz w:val="24"/>
        </w:rPr>
        <w:t>；制造商为</w:t>
      </w:r>
      <w:r>
        <w:rPr>
          <w:rFonts w:hint="default"/>
          <w:kern w:val="0"/>
          <w:sz w:val="24"/>
          <w:u w:val="single"/>
        </w:rPr>
        <w:t xml:space="preserve"> （企业名称） </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pPr>
        <w:numPr>
          <w:ilvl w:val="0"/>
          <w:numId w:val="8"/>
        </w:numPr>
        <w:autoSpaceDE w:val="0"/>
        <w:autoSpaceDN w:val="0"/>
        <w:adjustRightInd w:val="0"/>
        <w:spacing w:line="360" w:lineRule="auto"/>
        <w:ind w:left="0" w:firstLine="480" w:firstLineChars="200"/>
        <w:jc w:val="left"/>
        <w:rPr>
          <w:rFonts w:hint="default"/>
          <w:kern w:val="0"/>
          <w:sz w:val="24"/>
        </w:rPr>
      </w:pPr>
      <w:r>
        <w:rPr>
          <w:kern w:val="0"/>
          <w:sz w:val="24"/>
          <w:u w:val="single"/>
        </w:rPr>
        <w:t>AGV接料储料单元(配套加工中心及数控车床使用)</w:t>
      </w:r>
      <w:r>
        <w:rPr>
          <w:rFonts w:hint="default"/>
          <w:kern w:val="0"/>
          <w:sz w:val="24"/>
        </w:rPr>
        <w:t xml:space="preserve">，属于 </w:t>
      </w:r>
      <w:r>
        <w:rPr>
          <w:kern w:val="0"/>
          <w:sz w:val="24"/>
          <w:u w:val="single"/>
        </w:rPr>
        <w:t>工业</w:t>
      </w:r>
      <w:r>
        <w:rPr>
          <w:rFonts w:hint="default"/>
          <w:kern w:val="0"/>
          <w:sz w:val="24"/>
          <w:u w:val="single"/>
        </w:rPr>
        <w:t xml:space="preserve"> 行业</w:t>
      </w:r>
      <w:r>
        <w:rPr>
          <w:rFonts w:hint="default"/>
          <w:kern w:val="0"/>
          <w:sz w:val="24"/>
        </w:rPr>
        <w:t>；制造商为</w:t>
      </w:r>
      <w:r>
        <w:rPr>
          <w:rFonts w:hint="default"/>
          <w:kern w:val="0"/>
          <w:sz w:val="24"/>
          <w:u w:val="single"/>
        </w:rPr>
        <w:t xml:space="preserve"> （企业名称） </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pPr>
        <w:numPr>
          <w:ilvl w:val="0"/>
          <w:numId w:val="8"/>
        </w:numPr>
        <w:autoSpaceDE w:val="0"/>
        <w:autoSpaceDN w:val="0"/>
        <w:adjustRightInd w:val="0"/>
        <w:spacing w:line="360" w:lineRule="auto"/>
        <w:ind w:left="0" w:firstLine="480" w:firstLineChars="200"/>
        <w:jc w:val="left"/>
        <w:rPr>
          <w:rFonts w:hint="default"/>
          <w:kern w:val="0"/>
          <w:sz w:val="24"/>
        </w:rPr>
      </w:pPr>
      <w:r>
        <w:rPr>
          <w:kern w:val="0"/>
          <w:sz w:val="24"/>
          <w:u w:val="single"/>
        </w:rPr>
        <w:t>总控系统</w:t>
      </w:r>
      <w:r>
        <w:rPr>
          <w:rFonts w:hint="default"/>
          <w:kern w:val="0"/>
          <w:sz w:val="24"/>
        </w:rPr>
        <w:t xml:space="preserve">，属于 </w:t>
      </w:r>
      <w:r>
        <w:rPr>
          <w:kern w:val="0"/>
          <w:sz w:val="24"/>
          <w:u w:val="single"/>
        </w:rPr>
        <w:t>工业</w:t>
      </w:r>
      <w:r>
        <w:rPr>
          <w:rFonts w:hint="default"/>
          <w:kern w:val="0"/>
          <w:sz w:val="24"/>
          <w:u w:val="single"/>
        </w:rPr>
        <w:t xml:space="preserve"> 行业</w:t>
      </w:r>
      <w:r>
        <w:rPr>
          <w:rFonts w:hint="default"/>
          <w:kern w:val="0"/>
          <w:sz w:val="24"/>
        </w:rPr>
        <w:t>；制造商为</w:t>
      </w:r>
      <w:r>
        <w:rPr>
          <w:rFonts w:hint="default"/>
          <w:kern w:val="0"/>
          <w:sz w:val="24"/>
          <w:u w:val="single"/>
        </w:rPr>
        <w:t xml:space="preserve"> （企业名称） </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pPr>
        <w:numPr>
          <w:ilvl w:val="0"/>
          <w:numId w:val="8"/>
        </w:numPr>
        <w:autoSpaceDE w:val="0"/>
        <w:autoSpaceDN w:val="0"/>
        <w:adjustRightInd w:val="0"/>
        <w:spacing w:line="360" w:lineRule="auto"/>
        <w:ind w:left="0" w:firstLine="480" w:firstLineChars="200"/>
        <w:jc w:val="left"/>
        <w:rPr>
          <w:rFonts w:hint="default"/>
          <w:kern w:val="0"/>
          <w:sz w:val="24"/>
        </w:rPr>
      </w:pPr>
      <w:r>
        <w:rPr>
          <w:kern w:val="0"/>
          <w:sz w:val="24"/>
          <w:u w:val="single"/>
        </w:rPr>
        <w:t>MES生产信息化管理系统软件</w:t>
      </w:r>
      <w:r>
        <w:rPr>
          <w:rFonts w:hint="default"/>
          <w:kern w:val="0"/>
          <w:sz w:val="24"/>
        </w:rPr>
        <w:t xml:space="preserve">，属于 </w:t>
      </w:r>
      <w:r>
        <w:rPr>
          <w:kern w:val="0"/>
          <w:sz w:val="24"/>
          <w:u w:val="single"/>
        </w:rPr>
        <w:t>工业</w:t>
      </w:r>
      <w:r>
        <w:rPr>
          <w:rFonts w:hint="default"/>
          <w:kern w:val="0"/>
          <w:sz w:val="24"/>
          <w:u w:val="single"/>
        </w:rPr>
        <w:t xml:space="preserve"> 行业</w:t>
      </w:r>
      <w:r>
        <w:rPr>
          <w:rFonts w:hint="default"/>
          <w:kern w:val="0"/>
          <w:sz w:val="24"/>
        </w:rPr>
        <w:t>；制造商为</w:t>
      </w:r>
      <w:r>
        <w:rPr>
          <w:rFonts w:hint="default"/>
          <w:kern w:val="0"/>
          <w:sz w:val="24"/>
          <w:u w:val="single"/>
        </w:rPr>
        <w:t xml:space="preserve"> （企业名称） </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pPr>
        <w:numPr>
          <w:ilvl w:val="0"/>
          <w:numId w:val="8"/>
        </w:numPr>
        <w:autoSpaceDE w:val="0"/>
        <w:autoSpaceDN w:val="0"/>
        <w:adjustRightInd w:val="0"/>
        <w:spacing w:line="360" w:lineRule="auto"/>
        <w:ind w:left="0" w:firstLine="480" w:firstLineChars="200"/>
        <w:jc w:val="left"/>
        <w:rPr>
          <w:rFonts w:hint="default"/>
          <w:kern w:val="0"/>
          <w:sz w:val="24"/>
        </w:rPr>
      </w:pPr>
      <w:r>
        <w:rPr>
          <w:kern w:val="0"/>
          <w:sz w:val="24"/>
          <w:u w:val="single"/>
        </w:rPr>
        <w:t>三维工业自动化设计软件</w:t>
      </w:r>
      <w:r>
        <w:rPr>
          <w:rFonts w:hint="default"/>
          <w:kern w:val="0"/>
          <w:sz w:val="24"/>
        </w:rPr>
        <w:t xml:space="preserve">，属于 </w:t>
      </w:r>
      <w:r>
        <w:rPr>
          <w:kern w:val="0"/>
          <w:sz w:val="24"/>
          <w:u w:val="single"/>
        </w:rPr>
        <w:t>工业</w:t>
      </w:r>
      <w:r>
        <w:rPr>
          <w:rFonts w:hint="default"/>
          <w:kern w:val="0"/>
          <w:sz w:val="24"/>
          <w:u w:val="single"/>
        </w:rPr>
        <w:t xml:space="preserve"> 行业</w:t>
      </w:r>
      <w:r>
        <w:rPr>
          <w:rFonts w:hint="default"/>
          <w:kern w:val="0"/>
          <w:sz w:val="24"/>
        </w:rPr>
        <w:t>；制造商为</w:t>
      </w:r>
      <w:r>
        <w:rPr>
          <w:rFonts w:hint="default"/>
          <w:kern w:val="0"/>
          <w:sz w:val="24"/>
          <w:u w:val="single"/>
        </w:rPr>
        <w:t xml:space="preserve"> （企业名称） </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pPr>
        <w:numPr>
          <w:ilvl w:val="0"/>
          <w:numId w:val="8"/>
        </w:numPr>
        <w:autoSpaceDE w:val="0"/>
        <w:autoSpaceDN w:val="0"/>
        <w:adjustRightInd w:val="0"/>
        <w:spacing w:line="360" w:lineRule="auto"/>
        <w:ind w:left="0" w:firstLine="480" w:firstLineChars="200"/>
        <w:jc w:val="left"/>
        <w:rPr>
          <w:rFonts w:hint="default"/>
          <w:kern w:val="0"/>
          <w:sz w:val="24"/>
        </w:rPr>
      </w:pPr>
      <w:r>
        <w:rPr>
          <w:kern w:val="0"/>
          <w:sz w:val="24"/>
          <w:u w:val="single"/>
        </w:rPr>
        <w:t>SCADA数据采集与监视控制系统软件</w:t>
      </w:r>
      <w:r>
        <w:rPr>
          <w:rFonts w:hint="default"/>
          <w:kern w:val="0"/>
          <w:sz w:val="24"/>
        </w:rPr>
        <w:t xml:space="preserve">，属于 </w:t>
      </w:r>
      <w:r>
        <w:rPr>
          <w:kern w:val="0"/>
          <w:sz w:val="24"/>
          <w:u w:val="single"/>
        </w:rPr>
        <w:t>工业</w:t>
      </w:r>
      <w:r>
        <w:rPr>
          <w:rFonts w:hint="default"/>
          <w:kern w:val="0"/>
          <w:sz w:val="24"/>
          <w:u w:val="single"/>
        </w:rPr>
        <w:t xml:space="preserve"> 行业</w:t>
      </w:r>
      <w:r>
        <w:rPr>
          <w:rFonts w:hint="default"/>
          <w:kern w:val="0"/>
          <w:sz w:val="24"/>
        </w:rPr>
        <w:t>；制造商为</w:t>
      </w:r>
      <w:r>
        <w:rPr>
          <w:rFonts w:hint="default"/>
          <w:kern w:val="0"/>
          <w:sz w:val="24"/>
          <w:u w:val="single"/>
        </w:rPr>
        <w:t xml:space="preserve"> （企业名称） </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pPr>
        <w:numPr>
          <w:ilvl w:val="0"/>
          <w:numId w:val="8"/>
        </w:numPr>
        <w:autoSpaceDE w:val="0"/>
        <w:autoSpaceDN w:val="0"/>
        <w:adjustRightInd w:val="0"/>
        <w:spacing w:line="360" w:lineRule="auto"/>
        <w:ind w:left="0" w:firstLine="480" w:firstLineChars="200"/>
        <w:jc w:val="left"/>
        <w:rPr>
          <w:rFonts w:hint="default"/>
          <w:kern w:val="0"/>
          <w:sz w:val="24"/>
        </w:rPr>
      </w:pPr>
      <w:r>
        <w:rPr>
          <w:kern w:val="0"/>
          <w:sz w:val="24"/>
          <w:u w:val="single"/>
        </w:rPr>
        <w:t>数字孪生系统软件</w:t>
      </w:r>
      <w:r>
        <w:rPr>
          <w:rFonts w:hint="default"/>
          <w:kern w:val="0"/>
          <w:sz w:val="24"/>
        </w:rPr>
        <w:t xml:space="preserve">，属于 </w:t>
      </w:r>
      <w:r>
        <w:rPr>
          <w:kern w:val="0"/>
          <w:sz w:val="24"/>
          <w:u w:val="single"/>
        </w:rPr>
        <w:t>工业</w:t>
      </w:r>
      <w:r>
        <w:rPr>
          <w:rFonts w:hint="default"/>
          <w:kern w:val="0"/>
          <w:sz w:val="24"/>
          <w:u w:val="single"/>
        </w:rPr>
        <w:t xml:space="preserve"> 行业</w:t>
      </w:r>
      <w:r>
        <w:rPr>
          <w:rFonts w:hint="default"/>
          <w:kern w:val="0"/>
          <w:sz w:val="24"/>
        </w:rPr>
        <w:t>；制造商为</w:t>
      </w:r>
      <w:r>
        <w:rPr>
          <w:rFonts w:hint="default"/>
          <w:kern w:val="0"/>
          <w:sz w:val="24"/>
          <w:u w:val="single"/>
        </w:rPr>
        <w:t xml:space="preserve"> （企业名称） </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pPr>
        <w:numPr>
          <w:ilvl w:val="0"/>
          <w:numId w:val="8"/>
        </w:numPr>
        <w:autoSpaceDE w:val="0"/>
        <w:autoSpaceDN w:val="0"/>
        <w:adjustRightInd w:val="0"/>
        <w:spacing w:line="360" w:lineRule="auto"/>
        <w:ind w:left="0" w:firstLine="480" w:firstLineChars="200"/>
        <w:jc w:val="left"/>
        <w:rPr>
          <w:rFonts w:hint="default"/>
          <w:kern w:val="0"/>
          <w:sz w:val="24"/>
        </w:rPr>
      </w:pPr>
      <w:r>
        <w:rPr>
          <w:kern w:val="0"/>
          <w:sz w:val="24"/>
          <w:u w:val="single"/>
        </w:rPr>
        <w:t>数据大屏(配落实式安装可移动平台)</w:t>
      </w:r>
      <w:r>
        <w:rPr>
          <w:rFonts w:hint="default"/>
          <w:kern w:val="0"/>
          <w:sz w:val="24"/>
        </w:rPr>
        <w:t xml:space="preserve">，属于 </w:t>
      </w:r>
      <w:r>
        <w:rPr>
          <w:kern w:val="0"/>
          <w:sz w:val="24"/>
          <w:u w:val="single"/>
        </w:rPr>
        <w:t>工业</w:t>
      </w:r>
      <w:r>
        <w:rPr>
          <w:rFonts w:hint="default"/>
          <w:kern w:val="0"/>
          <w:sz w:val="24"/>
          <w:u w:val="single"/>
        </w:rPr>
        <w:t xml:space="preserve"> 行业</w:t>
      </w:r>
      <w:r>
        <w:rPr>
          <w:rFonts w:hint="default"/>
          <w:kern w:val="0"/>
          <w:sz w:val="24"/>
        </w:rPr>
        <w:t>；制造商为</w:t>
      </w:r>
      <w:r>
        <w:rPr>
          <w:rFonts w:hint="default"/>
          <w:kern w:val="0"/>
          <w:sz w:val="24"/>
          <w:u w:val="single"/>
        </w:rPr>
        <w:t xml:space="preserve"> （企业名称） </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pPr>
        <w:numPr>
          <w:ilvl w:val="0"/>
          <w:numId w:val="8"/>
        </w:numPr>
        <w:autoSpaceDE w:val="0"/>
        <w:autoSpaceDN w:val="0"/>
        <w:adjustRightInd w:val="0"/>
        <w:spacing w:line="360" w:lineRule="auto"/>
        <w:ind w:left="0" w:firstLine="480" w:firstLineChars="200"/>
        <w:jc w:val="left"/>
        <w:rPr>
          <w:rFonts w:hint="default"/>
          <w:kern w:val="0"/>
          <w:sz w:val="24"/>
        </w:rPr>
      </w:pPr>
      <w:r>
        <w:rPr>
          <w:kern w:val="0"/>
          <w:sz w:val="24"/>
          <w:u w:val="single"/>
        </w:rPr>
        <w:t>工业计算机</w:t>
      </w:r>
      <w:r>
        <w:rPr>
          <w:rFonts w:hint="default"/>
          <w:kern w:val="0"/>
          <w:sz w:val="24"/>
        </w:rPr>
        <w:t xml:space="preserve">，属于 </w:t>
      </w:r>
      <w:r>
        <w:rPr>
          <w:kern w:val="0"/>
          <w:sz w:val="24"/>
          <w:u w:val="single"/>
        </w:rPr>
        <w:t>工业</w:t>
      </w:r>
      <w:r>
        <w:rPr>
          <w:rFonts w:hint="default"/>
          <w:kern w:val="0"/>
          <w:sz w:val="24"/>
          <w:u w:val="single"/>
        </w:rPr>
        <w:t xml:space="preserve"> 行业</w:t>
      </w:r>
      <w:r>
        <w:rPr>
          <w:rFonts w:hint="default"/>
          <w:kern w:val="0"/>
          <w:sz w:val="24"/>
        </w:rPr>
        <w:t>；制造商为</w:t>
      </w:r>
      <w:r>
        <w:rPr>
          <w:rFonts w:hint="default"/>
          <w:kern w:val="0"/>
          <w:sz w:val="24"/>
          <w:u w:val="single"/>
        </w:rPr>
        <w:t xml:space="preserve"> （企业名称） </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pPr>
        <w:pStyle w:val="2"/>
        <w:rPr>
          <w:rFonts w:hint="default"/>
          <w:kern w:val="0"/>
          <w:sz w:val="24"/>
        </w:rPr>
      </w:pPr>
      <w:r>
        <w:rPr>
          <w:rFonts w:hint="default"/>
          <w:kern w:val="0"/>
          <w:sz w:val="24"/>
        </w:rPr>
        <w:t>以上企业，不属于大企业的分支机构，不存在控股股东为大企业的情形，也不存在与大企业的负责人为同一人的情形。</w:t>
      </w:r>
    </w:p>
    <w:p>
      <w:pPr>
        <w:autoSpaceDE w:val="0"/>
        <w:autoSpaceDN w:val="0"/>
        <w:adjustRightInd w:val="0"/>
        <w:spacing w:line="360" w:lineRule="auto"/>
        <w:ind w:firstLine="480" w:firstLineChars="200"/>
        <w:jc w:val="left"/>
        <w:rPr>
          <w:rFonts w:hint="default"/>
          <w:kern w:val="0"/>
          <w:sz w:val="24"/>
        </w:rPr>
      </w:pPr>
      <w:r>
        <w:rPr>
          <w:rFonts w:hint="default"/>
          <w:kern w:val="0"/>
          <w:sz w:val="24"/>
        </w:rPr>
        <w:t>本企业对上述声明内容的真实性负责。如有虚假，将依法承担相应责任。</w:t>
      </w:r>
    </w:p>
    <w:p>
      <w:pPr>
        <w:autoSpaceDE w:val="0"/>
        <w:autoSpaceDN w:val="0"/>
        <w:adjustRightInd w:val="0"/>
        <w:spacing w:line="360" w:lineRule="auto"/>
        <w:ind w:left="3200" w:firstLine="720"/>
        <w:jc w:val="left"/>
        <w:rPr>
          <w:rFonts w:hint="default"/>
          <w:kern w:val="0"/>
          <w:sz w:val="24"/>
        </w:rPr>
      </w:pPr>
    </w:p>
    <w:p>
      <w:pPr>
        <w:autoSpaceDE w:val="0"/>
        <w:autoSpaceDN w:val="0"/>
        <w:adjustRightInd w:val="0"/>
        <w:spacing w:line="360" w:lineRule="auto"/>
        <w:ind w:left="3200" w:firstLine="720"/>
        <w:jc w:val="left"/>
        <w:rPr>
          <w:rFonts w:hint="default"/>
          <w:kern w:val="0"/>
          <w:sz w:val="24"/>
        </w:rPr>
      </w:pPr>
    </w:p>
    <w:p>
      <w:pPr>
        <w:autoSpaceDE w:val="0"/>
        <w:autoSpaceDN w:val="0"/>
        <w:adjustRightInd w:val="0"/>
        <w:spacing w:line="360" w:lineRule="auto"/>
        <w:ind w:left="3200" w:firstLine="720"/>
        <w:jc w:val="left"/>
        <w:rPr>
          <w:rFonts w:hint="default"/>
          <w:kern w:val="0"/>
          <w:sz w:val="24"/>
        </w:rPr>
      </w:pPr>
      <w:r>
        <w:rPr>
          <w:kern w:val="0"/>
          <w:sz w:val="24"/>
        </w:rPr>
        <w:t>供应商（</w:t>
      </w:r>
      <w:r>
        <w:rPr>
          <w:kern w:val="0"/>
          <w:sz w:val="24"/>
          <w:lang w:val="zh-CN"/>
        </w:rPr>
        <w:t>电子签名/公章</w:t>
      </w:r>
      <w:r>
        <w:rPr>
          <w:kern w:val="0"/>
          <w:sz w:val="24"/>
        </w:rPr>
        <w:t>）：</w:t>
      </w:r>
    </w:p>
    <w:p>
      <w:pPr>
        <w:autoSpaceDE w:val="0"/>
        <w:autoSpaceDN w:val="0"/>
        <w:adjustRightInd w:val="0"/>
        <w:spacing w:line="360" w:lineRule="auto"/>
        <w:ind w:left="3200" w:firstLine="720"/>
        <w:jc w:val="left"/>
        <w:rPr>
          <w:rFonts w:hint="default"/>
          <w:b/>
          <w:sz w:val="24"/>
        </w:rPr>
      </w:pPr>
      <w:r>
        <w:rPr>
          <w:rFonts w:hint="default"/>
          <w:kern w:val="0"/>
          <w:sz w:val="24"/>
        </w:rPr>
        <w:t>日期：</w:t>
      </w:r>
    </w:p>
    <w:p>
      <w:pPr>
        <w:widowControl/>
        <w:snapToGrid w:val="0"/>
        <w:spacing w:line="360" w:lineRule="auto"/>
        <w:ind w:firstLine="480" w:firstLineChars="200"/>
        <w:jc w:val="center"/>
        <w:rPr>
          <w:rFonts w:hint="default"/>
          <w:kern w:val="0"/>
          <w:sz w:val="24"/>
        </w:rPr>
      </w:pPr>
    </w:p>
    <w:p>
      <w:pPr>
        <w:spacing w:line="360" w:lineRule="auto"/>
        <w:ind w:firstLine="482" w:firstLineChars="200"/>
        <w:rPr>
          <w:rFonts w:hint="default"/>
          <w:b/>
          <w:sz w:val="24"/>
          <w:szCs w:val="24"/>
        </w:rPr>
      </w:pPr>
    </w:p>
    <w:p>
      <w:pPr>
        <w:widowControl/>
        <w:snapToGrid w:val="0"/>
        <w:spacing w:line="360" w:lineRule="auto"/>
        <w:jc w:val="left"/>
        <w:rPr>
          <w:rFonts w:hint="default"/>
          <w:b/>
          <w:sz w:val="24"/>
          <w:szCs w:val="24"/>
        </w:rPr>
        <w:sectPr>
          <w:pgSz w:w="11906" w:h="16838"/>
          <w:pgMar w:top="1134" w:right="1247" w:bottom="1247" w:left="1304" w:header="794" w:footer="794" w:gutter="0"/>
          <w:cols w:space="720" w:num="1"/>
          <w:docGrid w:linePitch="312" w:charSpace="0"/>
        </w:sectPr>
      </w:pPr>
      <w:r>
        <w:rPr>
          <w:rFonts w:ascii="宋体" w:hAnsi="宋体" w:cs="宋体"/>
          <w:sz w:val="24"/>
        </w:rPr>
        <w:t>1、填写要求：①“标的名称”、“采购文件中明确的所属行业”依据招标文件第二章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widowControl/>
        <w:snapToGrid w:val="0"/>
        <w:spacing w:line="360" w:lineRule="auto"/>
        <w:ind w:firstLine="602" w:firstLineChars="200"/>
        <w:jc w:val="center"/>
        <w:rPr>
          <w:rFonts w:hint="default" w:ascii="宋体" w:hAnsi="宋体" w:cs="宋体"/>
          <w:b/>
          <w:kern w:val="0"/>
          <w:sz w:val="30"/>
          <w:szCs w:val="30"/>
        </w:rPr>
      </w:pPr>
      <w:r>
        <w:rPr>
          <w:rFonts w:ascii="宋体" w:hAnsi="宋体" w:cs="宋体"/>
          <w:b/>
          <w:kern w:val="0"/>
          <w:sz w:val="30"/>
          <w:szCs w:val="30"/>
        </w:rPr>
        <w:t>2.2残疾人福利性单位声明函及其相关的充分的证明材料</w:t>
      </w:r>
    </w:p>
    <w:p>
      <w:pPr>
        <w:spacing w:line="360" w:lineRule="auto"/>
        <w:jc w:val="center"/>
        <w:rPr>
          <w:rFonts w:hint="default" w:ascii="宋体" w:hAnsi="宋体" w:cs="宋体"/>
          <w:b/>
          <w:spacing w:val="6"/>
          <w:sz w:val="32"/>
          <w:szCs w:val="32"/>
        </w:rPr>
      </w:pPr>
      <w:r>
        <w:rPr>
          <w:rFonts w:ascii="宋体" w:hAnsi="宋体" w:cs="宋体"/>
          <w:b/>
          <w:kern w:val="0"/>
          <w:sz w:val="30"/>
          <w:szCs w:val="30"/>
        </w:rPr>
        <w:t>残疾人福利性单位声明函</w:t>
      </w:r>
    </w:p>
    <w:p>
      <w:pPr>
        <w:spacing w:line="360" w:lineRule="auto"/>
        <w:rPr>
          <w:rFonts w:hint="default" w:ascii="宋体" w:hAnsi="宋体" w:cs="宋体"/>
          <w:b/>
          <w:spacing w:val="6"/>
          <w:sz w:val="30"/>
          <w:szCs w:val="30"/>
        </w:rPr>
      </w:pPr>
    </w:p>
    <w:p>
      <w:pPr>
        <w:spacing w:line="360" w:lineRule="auto"/>
        <w:ind w:firstLine="480" w:firstLineChars="200"/>
        <w:rPr>
          <w:rFonts w:hint="default" w:ascii="宋体" w:hAnsi="宋体" w:cs="宋体"/>
          <w:sz w:val="24"/>
        </w:rPr>
      </w:pPr>
      <w:r>
        <w:rPr>
          <w:rFonts w:ascii="宋体" w:hAnsi="宋体" w:cs="宋体"/>
          <w:sz w:val="24"/>
        </w:rPr>
        <w:t>本单位郑重声明，根据《财政部 民政部中国残疾人联合会关于促进残疾人就业政府采购政策的通知》（财库〔2017〕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360" w:lineRule="auto"/>
        <w:ind w:firstLine="480" w:firstLineChars="200"/>
        <w:rPr>
          <w:rFonts w:hint="default" w:ascii="宋体" w:hAnsi="宋体" w:cs="宋体"/>
          <w:sz w:val="24"/>
        </w:rPr>
      </w:pPr>
      <w:r>
        <w:rPr>
          <w:rFonts w:ascii="宋体" w:hAnsi="宋体" w:cs="宋体"/>
          <w:sz w:val="24"/>
        </w:rPr>
        <w:t>本单位对上述声明的真实性负责。如有虚假，将依法承担相应责任。</w:t>
      </w:r>
    </w:p>
    <w:p>
      <w:pPr>
        <w:widowControl/>
        <w:snapToGrid w:val="0"/>
        <w:spacing w:line="360" w:lineRule="auto"/>
        <w:ind w:firstLine="480" w:firstLineChars="200"/>
        <w:jc w:val="left"/>
        <w:rPr>
          <w:rFonts w:hint="default" w:ascii="宋体" w:hAnsi="宋体" w:cs="宋体"/>
          <w:kern w:val="0"/>
          <w:sz w:val="24"/>
        </w:rPr>
      </w:pPr>
    </w:p>
    <w:p>
      <w:pPr>
        <w:autoSpaceDE w:val="0"/>
        <w:autoSpaceDN w:val="0"/>
        <w:adjustRightInd w:val="0"/>
        <w:spacing w:line="360" w:lineRule="auto"/>
        <w:ind w:left="3200" w:firstLine="720"/>
        <w:jc w:val="left"/>
        <w:rPr>
          <w:rFonts w:hint="default"/>
          <w:kern w:val="0"/>
          <w:sz w:val="24"/>
        </w:rPr>
      </w:pPr>
      <w:r>
        <w:rPr>
          <w:kern w:val="0"/>
          <w:sz w:val="24"/>
        </w:rPr>
        <w:t>供应商（</w:t>
      </w:r>
      <w:r>
        <w:rPr>
          <w:kern w:val="0"/>
          <w:sz w:val="24"/>
          <w:lang w:val="zh-CN"/>
        </w:rPr>
        <w:t>电子签名/公章</w:t>
      </w:r>
      <w:r>
        <w:rPr>
          <w:kern w:val="0"/>
          <w:sz w:val="24"/>
        </w:rPr>
        <w:t>）：</w:t>
      </w:r>
    </w:p>
    <w:p>
      <w:pPr>
        <w:autoSpaceDE w:val="0"/>
        <w:autoSpaceDN w:val="0"/>
        <w:adjustRightInd w:val="0"/>
        <w:spacing w:line="360" w:lineRule="auto"/>
        <w:ind w:left="3200" w:firstLine="720"/>
        <w:jc w:val="left"/>
        <w:rPr>
          <w:rFonts w:hint="default"/>
          <w:b/>
          <w:sz w:val="24"/>
        </w:rPr>
      </w:pPr>
      <w:r>
        <w:rPr>
          <w:rFonts w:hint="default"/>
          <w:kern w:val="0"/>
          <w:sz w:val="24"/>
        </w:rPr>
        <w:t>日期：</w:t>
      </w:r>
    </w:p>
    <w:p>
      <w:pPr>
        <w:widowControl/>
        <w:snapToGrid w:val="0"/>
        <w:spacing w:line="360" w:lineRule="auto"/>
        <w:ind w:firstLine="480" w:firstLineChars="200"/>
        <w:jc w:val="left"/>
        <w:rPr>
          <w:rFonts w:hint="default" w:ascii="宋体" w:hAnsi="宋体" w:cs="宋体"/>
          <w:kern w:val="0"/>
          <w:sz w:val="24"/>
        </w:rPr>
      </w:pPr>
    </w:p>
    <w:p>
      <w:pPr>
        <w:widowControl/>
        <w:snapToGrid w:val="0"/>
        <w:spacing w:line="360" w:lineRule="auto"/>
        <w:ind w:firstLine="480" w:firstLineChars="200"/>
        <w:jc w:val="left"/>
        <w:rPr>
          <w:rFonts w:hint="default" w:ascii="宋体" w:hAnsi="宋体" w:cs="宋体"/>
          <w:kern w:val="0"/>
          <w:sz w:val="24"/>
        </w:rPr>
      </w:pPr>
      <w:r>
        <w:rPr>
          <w:rFonts w:ascii="宋体" w:hAnsi="宋体" w:cs="宋体"/>
          <w:kern w:val="0"/>
          <w:sz w:val="24"/>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00" w:lineRule="auto"/>
        <w:jc w:val="center"/>
        <w:rPr>
          <w:rFonts w:hint="default" w:ascii="Arial" w:hAnsi="Arial" w:cs="Arial"/>
          <w:b/>
          <w:kern w:val="0"/>
          <w:sz w:val="28"/>
          <w:szCs w:val="28"/>
          <w:lang w:val="zh-CN"/>
        </w:rPr>
      </w:pPr>
      <w:r>
        <w:rPr>
          <w:rFonts w:hint="default"/>
          <w:b/>
          <w:sz w:val="32"/>
          <w:szCs w:val="32"/>
        </w:rPr>
        <w:br w:type="page"/>
      </w:r>
      <w:r>
        <w:rPr>
          <w:b/>
          <w:sz w:val="32"/>
          <w:szCs w:val="32"/>
        </w:rPr>
        <w:t>三</w:t>
      </w:r>
      <w:r>
        <w:rPr>
          <w:rFonts w:ascii="Arial" w:hAnsi="Arial" w:cs="Arial"/>
          <w:b/>
          <w:kern w:val="0"/>
          <w:sz w:val="32"/>
          <w:szCs w:val="32"/>
        </w:rPr>
        <w:t>、</w:t>
      </w:r>
      <w:r>
        <w:rPr>
          <w:rFonts w:ascii="Arial" w:hAnsi="Arial" w:cs="Arial"/>
          <w:b/>
          <w:kern w:val="0"/>
          <w:sz w:val="32"/>
          <w:szCs w:val="32"/>
          <w:lang w:val="zh-CN"/>
        </w:rPr>
        <w:t xml:space="preserve"> 联合协议</w:t>
      </w:r>
    </w:p>
    <w:p>
      <w:pPr>
        <w:pStyle w:val="88"/>
        <w:rPr>
          <w:color w:val="auto"/>
          <w:lang w:val="zh-CN"/>
        </w:rPr>
      </w:pPr>
    </w:p>
    <w:p>
      <w:pPr>
        <w:widowControl/>
        <w:spacing w:line="360" w:lineRule="auto"/>
        <w:ind w:firstLine="482" w:firstLineChars="200"/>
        <w:jc w:val="left"/>
        <w:rPr>
          <w:rFonts w:hint="default" w:ascii="宋体" w:hAnsi="宋体" w:cs="宋体"/>
          <w:b/>
          <w:sz w:val="24"/>
        </w:rPr>
      </w:pPr>
      <w:r>
        <w:rPr>
          <w:rFonts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hint="default" w:ascii="宋体" w:hAnsi="宋体" w:cs="宋体"/>
          <w:kern w:val="0"/>
          <w:sz w:val="24"/>
          <w:lang w:val="zh-CN"/>
        </w:rPr>
      </w:pPr>
      <w:r>
        <w:rPr>
          <w:rFonts w:ascii="宋体" w:hAnsi="宋体" w:cs="宋体"/>
          <w:kern w:val="0"/>
          <w:sz w:val="24"/>
          <w:u w:val="single"/>
        </w:rPr>
        <w:t>（联合体所有成员名称）</w:t>
      </w:r>
      <w:r>
        <w:rPr>
          <w:rFonts w:ascii="宋体" w:hAnsi="宋体" w:cs="宋体"/>
          <w:kern w:val="0"/>
          <w:sz w:val="24"/>
        </w:rPr>
        <w:t>自愿</w:t>
      </w:r>
      <w:r>
        <w:rPr>
          <w:rFonts w:ascii="宋体" w:hAnsi="宋体" w:cs="宋体"/>
          <w:kern w:val="0"/>
          <w:sz w:val="24"/>
          <w:lang w:val="zh-CN"/>
        </w:rPr>
        <w:t>组成一个联合体，以一个投标人的身份</w:t>
      </w:r>
      <w:r>
        <w:rPr>
          <w:rFonts w:ascii="宋体" w:hAnsi="宋体" w:cs="宋体"/>
          <w:kern w:val="0"/>
          <w:sz w:val="24"/>
        </w:rPr>
        <w:t>参加</w:t>
      </w:r>
      <w:r>
        <w:rPr>
          <w:rFonts w:ascii="宋体" w:hAnsi="宋体" w:cs="宋体"/>
          <w:sz w:val="24"/>
        </w:rPr>
        <w:t>（项目名称）【项目编号：     】</w:t>
      </w:r>
      <w:r>
        <w:rPr>
          <w:rFonts w:ascii="宋体" w:hAnsi="宋体" w:cs="宋体"/>
          <w:kern w:val="0"/>
          <w:sz w:val="24"/>
          <w:lang w:val="zh-CN"/>
        </w:rPr>
        <w:t xml:space="preserve">投标。 </w:t>
      </w:r>
    </w:p>
    <w:p>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一、各方一致决定，</w:t>
      </w:r>
      <w:r>
        <w:rPr>
          <w:rFonts w:ascii="宋体" w:hAnsi="宋体" w:cs="宋体"/>
          <w:kern w:val="0"/>
          <w:sz w:val="24"/>
          <w:u w:val="single"/>
        </w:rPr>
        <w:t>（某联合体成员名称）</w:t>
      </w:r>
      <w:r>
        <w:rPr>
          <w:rFonts w:ascii="宋体" w:hAnsi="宋体" w:cs="宋体"/>
          <w:kern w:val="0"/>
          <w:sz w:val="24"/>
        </w:rPr>
        <w:t>为联合体</w:t>
      </w:r>
      <w:r>
        <w:rPr>
          <w:rFonts w:ascii="宋体" w:hAnsi="宋体" w:cs="宋体"/>
          <w:kern w:val="0"/>
          <w:sz w:val="24"/>
          <w:lang w:val="zh-CN"/>
        </w:rPr>
        <w:t>牵头人</w:t>
      </w:r>
      <w:r>
        <w:rPr>
          <w:rFonts w:ascii="宋体" w:hAnsi="宋体" w:cs="宋体"/>
          <w:sz w:val="24"/>
        </w:rPr>
        <w:t>，代表所有联合体成员负责投标和合同实施阶段的主办、协调工作</w:t>
      </w:r>
      <w:r>
        <w:rPr>
          <w:rFonts w:ascii="宋体" w:hAnsi="宋体" w:cs="宋体"/>
          <w:kern w:val="0"/>
          <w:sz w:val="24"/>
          <w:lang w:val="zh-CN"/>
        </w:rPr>
        <w:t>。</w:t>
      </w:r>
    </w:p>
    <w:p>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二、</w:t>
      </w:r>
      <w:r>
        <w:rPr>
          <w:rFonts w:ascii="宋体" w:hAnsi="宋体" w:cs="宋体"/>
          <w:sz w:val="24"/>
        </w:rPr>
        <w:t>所有联合体成员各方签署授权书，授权书载明的</w:t>
      </w:r>
      <w:r>
        <w:rPr>
          <w:rFonts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三、本次联合投标中，分工如下：</w:t>
      </w:r>
      <w:r>
        <w:rPr>
          <w:rFonts w:ascii="宋体" w:hAnsi="宋体" w:cs="宋体"/>
          <w:kern w:val="0"/>
          <w:sz w:val="24"/>
          <w:u w:val="single"/>
        </w:rPr>
        <w:t>（联合体其中一方成员名称）</w:t>
      </w:r>
      <w:r>
        <w:rPr>
          <w:rFonts w:ascii="宋体" w:hAnsi="宋体" w:cs="宋体"/>
          <w:kern w:val="0"/>
          <w:sz w:val="24"/>
          <w:lang w:val="zh-CN"/>
        </w:rPr>
        <w:t>承担的工作和义务为：；……。</w:t>
      </w:r>
    </w:p>
    <w:p>
      <w:pPr>
        <w:snapToGrid w:val="0"/>
        <w:spacing w:line="360" w:lineRule="auto"/>
        <w:ind w:firstLine="576"/>
        <w:rPr>
          <w:rFonts w:hint="default" w:ascii="宋体" w:hAnsi="宋体" w:cs="宋体"/>
          <w:b/>
          <w:kern w:val="0"/>
          <w:sz w:val="24"/>
          <w:lang w:val="zh-CN"/>
        </w:rPr>
      </w:pPr>
      <w:r>
        <w:rPr>
          <w:rFonts w:ascii="宋体" w:hAnsi="宋体" w:cs="宋体"/>
          <w:kern w:val="0"/>
          <w:sz w:val="24"/>
          <w:lang w:val="zh-CN"/>
        </w:rPr>
        <w:t>四、</w:t>
      </w:r>
      <w:r>
        <w:rPr>
          <w:rFonts w:ascii="宋体" w:hAnsi="宋体" w:cs="宋体"/>
          <w:kern w:val="0"/>
          <w:sz w:val="24"/>
          <w:u w:val="single"/>
        </w:rPr>
        <w:t>（联合体其中一方成员名称）</w:t>
      </w:r>
      <w:r>
        <w:rPr>
          <w:rFonts w:ascii="宋体" w:hAnsi="宋体" w:cs="宋体"/>
          <w:kern w:val="0"/>
          <w:sz w:val="24"/>
        </w:rPr>
        <w:t>提供的全部货物由小微企业制造，其合同份额占到合同总金额%以上；</w:t>
      </w:r>
      <w:r>
        <w:rPr>
          <w:rFonts w:ascii="宋体" w:hAnsi="宋体" w:cs="宋体"/>
          <w:kern w:val="0"/>
          <w:sz w:val="24"/>
          <w:lang w:val="zh-CN"/>
        </w:rPr>
        <w:t>……。</w:t>
      </w:r>
    </w:p>
    <w:p>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五、如果中标，</w:t>
      </w:r>
      <w:r>
        <w:rPr>
          <w:rFonts w:ascii="宋体" w:hAnsi="宋体" w:cs="宋体"/>
          <w:sz w:val="24"/>
        </w:rPr>
        <w:t>联合体各成员方共同与采购人签订合同，并就采购合同约定的事项对采购人承担连带责任。</w:t>
      </w:r>
    </w:p>
    <w:p>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六、有关本次联合投标的其他事宜：</w:t>
      </w:r>
    </w:p>
    <w:p>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3、本协议提交采购人、采购机构后，联合体各方不得以任何形式对上述内容进行修改或撤销。</w:t>
      </w:r>
    </w:p>
    <w:p>
      <w:pPr>
        <w:snapToGrid w:val="0"/>
        <w:spacing w:line="360" w:lineRule="auto"/>
        <w:ind w:firstLine="4800" w:firstLineChars="2000"/>
        <w:rPr>
          <w:rFonts w:hint="default" w:ascii="宋体" w:hAnsi="宋体" w:cs="宋体"/>
          <w:kern w:val="0"/>
          <w:sz w:val="24"/>
          <w:lang w:val="zh-CN"/>
        </w:rPr>
      </w:pPr>
      <w:r>
        <w:rPr>
          <w:rFonts w:ascii="宋体" w:hAnsi="宋体" w:cs="宋体"/>
          <w:kern w:val="0"/>
          <w:sz w:val="24"/>
          <w:lang w:val="zh-CN"/>
        </w:rPr>
        <w:t>联合体成员名称(电子签名/公章)：</w:t>
      </w:r>
    </w:p>
    <w:p>
      <w:pPr>
        <w:snapToGrid w:val="0"/>
        <w:spacing w:line="360" w:lineRule="auto"/>
        <w:rPr>
          <w:rFonts w:hint="default" w:ascii="宋体" w:hAnsi="宋体" w:cs="宋体"/>
          <w:kern w:val="0"/>
          <w:sz w:val="24"/>
          <w:lang w:val="zh-CN"/>
        </w:rPr>
      </w:pPr>
      <w:r>
        <w:rPr>
          <w:rFonts w:ascii="宋体" w:hAnsi="宋体" w:cs="宋体"/>
          <w:kern w:val="0"/>
          <w:sz w:val="24"/>
          <w:lang w:val="zh-CN"/>
        </w:rPr>
        <w:t xml:space="preserve">                                               日期：  年  月   日</w:t>
      </w:r>
    </w:p>
    <w:p>
      <w:pPr>
        <w:pStyle w:val="19"/>
        <w:rPr>
          <w:rFonts w:hint="default" w:ascii="Times New Roman" w:hAnsi="Times New Roman"/>
        </w:rPr>
      </w:pPr>
      <w:r>
        <w:rPr>
          <w:rFonts w:hAnsi="宋体" w:cs="宋体"/>
          <w:b/>
          <w:sz w:val="30"/>
          <w:szCs w:val="30"/>
        </w:rPr>
        <w:br w:type="page"/>
      </w:r>
      <w:bookmarkEnd w:id="69"/>
      <w:bookmarkEnd w:id="70"/>
      <w:bookmarkStart w:id="76" w:name="_Toc354996707"/>
      <w:bookmarkStart w:id="77" w:name="_Toc55237638"/>
      <w:bookmarkStart w:id="78" w:name="_Toc233618989"/>
    </w:p>
    <w:p>
      <w:pPr>
        <w:adjustRightInd w:val="0"/>
        <w:snapToGrid w:val="0"/>
        <w:spacing w:line="440" w:lineRule="exact"/>
        <w:ind w:right="420"/>
        <w:rPr>
          <w:rFonts w:hint="default"/>
        </w:rPr>
      </w:pPr>
    </w:p>
    <w:p>
      <w:pPr>
        <w:pStyle w:val="73"/>
        <w:snapToGrid w:val="0"/>
        <w:spacing w:line="360" w:lineRule="auto"/>
        <w:ind w:firstLine="301" w:firstLineChars="100"/>
        <w:jc w:val="center"/>
        <w:rPr>
          <w:rFonts w:hint="default" w:ascii="宋体" w:hAnsi="宋体" w:cs="宋体"/>
          <w:b/>
          <w:sz w:val="30"/>
          <w:szCs w:val="30"/>
        </w:rPr>
      </w:pPr>
      <w:r>
        <w:rPr>
          <w:rFonts w:ascii="宋体" w:hAnsi="宋体" w:cs="宋体"/>
          <w:b/>
          <w:sz w:val="30"/>
          <w:szCs w:val="30"/>
        </w:rPr>
        <w:t>四、</w:t>
      </w:r>
      <w:r>
        <w:rPr>
          <w:rFonts w:hint="default" w:ascii="宋体" w:hAnsi="宋体" w:cs="宋体"/>
          <w:b/>
          <w:sz w:val="30"/>
          <w:szCs w:val="30"/>
          <w:lang w:val="zh-CN"/>
        </w:rPr>
        <w:t>特定资格条件要求的资质文件（复印件</w:t>
      </w:r>
      <w:r>
        <w:rPr>
          <w:rFonts w:ascii="宋体" w:hAnsi="宋体" w:cs="宋体"/>
          <w:b/>
          <w:sz w:val="30"/>
          <w:szCs w:val="30"/>
          <w:lang w:val="zh-CN"/>
        </w:rPr>
        <w:t>，如有</w:t>
      </w:r>
      <w:r>
        <w:rPr>
          <w:rFonts w:hint="default" w:ascii="宋体" w:hAnsi="宋体" w:cs="宋体"/>
          <w:b/>
          <w:sz w:val="30"/>
          <w:szCs w:val="30"/>
          <w:lang w:val="zh-CN"/>
        </w:rPr>
        <w:t>）</w:t>
      </w:r>
    </w:p>
    <w:p>
      <w:pPr>
        <w:pStyle w:val="73"/>
        <w:snapToGrid w:val="0"/>
        <w:spacing w:line="360" w:lineRule="auto"/>
        <w:ind w:firstLine="321" w:firstLineChars="100"/>
        <w:jc w:val="center"/>
        <w:rPr>
          <w:rFonts w:hint="default"/>
          <w:b/>
          <w:bCs/>
          <w:kern w:val="0"/>
          <w:sz w:val="36"/>
          <w:szCs w:val="36"/>
        </w:rPr>
      </w:pPr>
      <w:r>
        <w:rPr>
          <w:rFonts w:hint="default"/>
          <w:b/>
          <w:bCs/>
          <w:kern w:val="0"/>
          <w:sz w:val="32"/>
          <w:szCs w:val="32"/>
        </w:rPr>
        <w:br w:type="page"/>
      </w:r>
      <w:r>
        <w:rPr>
          <w:rFonts w:hint="default"/>
          <w:b/>
          <w:bCs/>
          <w:kern w:val="0"/>
          <w:sz w:val="36"/>
          <w:szCs w:val="36"/>
        </w:rPr>
        <w:t>报价文件</w:t>
      </w:r>
      <w:bookmarkEnd w:id="76"/>
      <w:bookmarkEnd w:id="77"/>
    </w:p>
    <w:p>
      <w:pPr>
        <w:pStyle w:val="19"/>
        <w:rPr>
          <w:rFonts w:hint="default" w:ascii="Times New Roman" w:hAnsi="Times New Roman"/>
        </w:rPr>
      </w:pPr>
    </w:p>
    <w:p>
      <w:pPr>
        <w:snapToGrid w:val="0"/>
        <w:spacing w:line="360" w:lineRule="auto"/>
        <w:ind w:left="570"/>
        <w:jc w:val="center"/>
        <w:outlineLvl w:val="0"/>
        <w:rPr>
          <w:rFonts w:hint="default" w:ascii="宋体" w:hAnsi="宋体" w:cs="宋体"/>
          <w:b/>
          <w:sz w:val="30"/>
          <w:szCs w:val="30"/>
        </w:rPr>
      </w:pPr>
      <w:bookmarkStart w:id="79" w:name="_Toc5518"/>
      <w:bookmarkStart w:id="80" w:name="_Toc11307"/>
      <w:bookmarkStart w:id="81" w:name="_Toc31139"/>
      <w:bookmarkStart w:id="82" w:name="_Toc29285"/>
      <w:bookmarkStart w:id="83" w:name="_Toc233618990"/>
      <w:bookmarkStart w:id="84" w:name="_Toc21925"/>
      <w:r>
        <w:rPr>
          <w:rFonts w:hint="default" w:ascii="宋体" w:hAnsi="宋体" w:cs="宋体"/>
          <w:b/>
          <w:sz w:val="30"/>
          <w:szCs w:val="30"/>
        </w:rPr>
        <w:t>一、投标响应函</w:t>
      </w:r>
      <w:bookmarkEnd w:id="79"/>
      <w:bookmarkEnd w:id="80"/>
      <w:bookmarkEnd w:id="81"/>
      <w:bookmarkEnd w:id="82"/>
      <w:bookmarkEnd w:id="83"/>
      <w:bookmarkEnd w:id="84"/>
    </w:p>
    <w:p>
      <w:pPr>
        <w:snapToGrid w:val="0"/>
        <w:spacing w:line="360" w:lineRule="auto"/>
        <w:rPr>
          <w:rFonts w:hint="default"/>
          <w:sz w:val="24"/>
        </w:rPr>
      </w:pPr>
      <w:r>
        <w:rPr>
          <w:sz w:val="24"/>
        </w:rPr>
        <w:t>浙江机电职业技术学院</w:t>
      </w:r>
    </w:p>
    <w:p>
      <w:pPr>
        <w:snapToGrid w:val="0"/>
        <w:spacing w:line="360" w:lineRule="auto"/>
        <w:rPr>
          <w:rFonts w:hint="default"/>
          <w:sz w:val="24"/>
        </w:rPr>
      </w:pPr>
      <w:r>
        <w:rPr>
          <w:rFonts w:hint="default"/>
          <w:sz w:val="24"/>
        </w:rPr>
        <w:t>浙江豪圣建设项目管理有限公司：</w:t>
      </w:r>
    </w:p>
    <w:p>
      <w:pPr>
        <w:snapToGrid w:val="0"/>
        <w:spacing w:line="360" w:lineRule="auto"/>
        <w:rPr>
          <w:rFonts w:hint="default"/>
          <w:sz w:val="24"/>
        </w:rPr>
      </w:pPr>
      <w:r>
        <w:rPr>
          <w:rFonts w:hint="default"/>
          <w:sz w:val="24"/>
        </w:rPr>
        <w:t>(投标人全称)授权(全权代表姓名)(职务、职称)为全权代表，参加贵方组织的</w:t>
      </w:r>
      <w:r>
        <w:rPr>
          <w:rFonts w:hint="eastAsia"/>
          <w:sz w:val="24"/>
          <w:u w:val="single"/>
          <w:lang w:eastAsia="zh-CN"/>
        </w:rPr>
        <w:t>数字化制造与检测技术中心数字化制造单元项目</w:t>
      </w:r>
      <w:r>
        <w:rPr>
          <w:rFonts w:hint="default"/>
          <w:sz w:val="24"/>
        </w:rPr>
        <w:t>(</w:t>
      </w:r>
      <w:r>
        <w:rPr>
          <w:sz w:val="24"/>
        </w:rPr>
        <w:t>项目编号</w:t>
      </w:r>
      <w:r>
        <w:rPr>
          <w:rFonts w:hint="default"/>
          <w:sz w:val="24"/>
        </w:rPr>
        <w:t>：</w:t>
      </w:r>
      <w:r>
        <w:rPr>
          <w:sz w:val="24"/>
        </w:rPr>
        <w:t>HSZB-2023-626</w:t>
      </w:r>
      <w:r>
        <w:rPr>
          <w:rFonts w:hint="default"/>
          <w:kern w:val="0"/>
          <w:sz w:val="24"/>
          <w:lang w:val="zh-CN"/>
        </w:rPr>
        <w:t>)</w:t>
      </w:r>
      <w:r>
        <w:rPr>
          <w:rFonts w:hint="default"/>
          <w:sz w:val="24"/>
        </w:rPr>
        <w:t>招标的有关活动，并对此项目进行投标。为此：</w:t>
      </w:r>
    </w:p>
    <w:p>
      <w:pPr>
        <w:snapToGrid w:val="0"/>
        <w:spacing w:line="360" w:lineRule="auto"/>
        <w:ind w:firstLine="480" w:firstLineChars="200"/>
        <w:rPr>
          <w:rFonts w:hint="default"/>
          <w:sz w:val="24"/>
        </w:rPr>
      </w:pPr>
      <w:r>
        <w:rPr>
          <w:rFonts w:hint="default"/>
          <w:sz w:val="24"/>
        </w:rPr>
        <w:t>1、我方同意在投标人</w:t>
      </w:r>
      <w:r>
        <w:rPr>
          <w:rFonts w:hint="default"/>
          <w:kern w:val="44"/>
          <w:sz w:val="24"/>
        </w:rPr>
        <w:t>编制和提交投标文件须知</w:t>
      </w:r>
      <w:r>
        <w:rPr>
          <w:rFonts w:hint="default"/>
          <w:sz w:val="24"/>
        </w:rPr>
        <w:t>规定的开标日期起遵守本投标书中的承诺且在投标有效期满之前均具有约束力。</w:t>
      </w:r>
    </w:p>
    <w:p>
      <w:pPr>
        <w:snapToGrid w:val="0"/>
        <w:spacing w:line="360" w:lineRule="auto"/>
        <w:ind w:firstLine="480" w:firstLineChars="200"/>
        <w:rPr>
          <w:rFonts w:hint="default"/>
          <w:sz w:val="24"/>
        </w:rPr>
      </w:pPr>
      <w:r>
        <w:rPr>
          <w:rFonts w:hint="default"/>
          <w:sz w:val="24"/>
        </w:rPr>
        <w:t>2、我方承诺已经具备《中华人民共和国政府采购法》中规定的参加政府采购活动的供应商应当具备的条件：</w:t>
      </w:r>
    </w:p>
    <w:p>
      <w:pPr>
        <w:snapToGrid w:val="0"/>
        <w:spacing w:line="360" w:lineRule="auto"/>
        <w:ind w:firstLine="480" w:firstLineChars="200"/>
        <w:rPr>
          <w:rFonts w:hint="default"/>
          <w:sz w:val="24"/>
        </w:rPr>
      </w:pPr>
      <w:r>
        <w:rPr>
          <w:rFonts w:hint="default"/>
          <w:sz w:val="24"/>
        </w:rPr>
        <w:t>(1)具有独立承担民事责任的能力；</w:t>
      </w:r>
    </w:p>
    <w:p>
      <w:pPr>
        <w:snapToGrid w:val="0"/>
        <w:spacing w:line="360" w:lineRule="auto"/>
        <w:ind w:firstLine="480" w:firstLineChars="200"/>
        <w:rPr>
          <w:rFonts w:hint="default"/>
          <w:sz w:val="24"/>
        </w:rPr>
      </w:pPr>
      <w:r>
        <w:rPr>
          <w:rFonts w:hint="default"/>
          <w:sz w:val="24"/>
        </w:rPr>
        <w:t>(2)遵守国家法律、行政法规，具有良好的信誉和商业道德；</w:t>
      </w:r>
    </w:p>
    <w:p>
      <w:pPr>
        <w:snapToGrid w:val="0"/>
        <w:spacing w:line="360" w:lineRule="auto"/>
        <w:ind w:firstLine="480" w:firstLineChars="200"/>
        <w:rPr>
          <w:rFonts w:hint="default"/>
          <w:sz w:val="24"/>
        </w:rPr>
      </w:pPr>
      <w:r>
        <w:rPr>
          <w:rFonts w:hint="default"/>
          <w:sz w:val="24"/>
        </w:rPr>
        <w:t>(3)具有履行合同的能力和良好的履行合同记录；</w:t>
      </w:r>
    </w:p>
    <w:p>
      <w:pPr>
        <w:snapToGrid w:val="0"/>
        <w:spacing w:line="360" w:lineRule="auto"/>
        <w:ind w:firstLine="480" w:firstLineChars="200"/>
        <w:rPr>
          <w:rFonts w:hint="default"/>
          <w:sz w:val="24"/>
        </w:rPr>
      </w:pPr>
      <w:r>
        <w:rPr>
          <w:rFonts w:hint="default"/>
          <w:sz w:val="24"/>
        </w:rPr>
        <w:t>(4)良好的资金、财务状况；</w:t>
      </w:r>
    </w:p>
    <w:p>
      <w:pPr>
        <w:snapToGrid w:val="0"/>
        <w:spacing w:line="360" w:lineRule="auto"/>
        <w:ind w:firstLine="480" w:firstLineChars="200"/>
        <w:rPr>
          <w:rFonts w:hint="default"/>
          <w:sz w:val="24"/>
        </w:rPr>
      </w:pPr>
      <w:r>
        <w:rPr>
          <w:rFonts w:hint="default"/>
          <w:sz w:val="24"/>
        </w:rPr>
        <w:t>(5)提供的产品和服务符合中国政府规定的相应标准和环保标准；</w:t>
      </w:r>
    </w:p>
    <w:p>
      <w:pPr>
        <w:snapToGrid w:val="0"/>
        <w:spacing w:line="360" w:lineRule="auto"/>
        <w:ind w:firstLine="480" w:firstLineChars="200"/>
        <w:rPr>
          <w:rFonts w:hint="default"/>
          <w:sz w:val="24"/>
        </w:rPr>
      </w:pPr>
      <w:r>
        <w:rPr>
          <w:rFonts w:hint="default"/>
          <w:sz w:val="24"/>
        </w:rPr>
        <w:t>(6)没有违反政府采购法规、政策的记录；</w:t>
      </w:r>
    </w:p>
    <w:p>
      <w:pPr>
        <w:snapToGrid w:val="0"/>
        <w:spacing w:line="360" w:lineRule="auto"/>
        <w:ind w:firstLine="480" w:firstLineChars="200"/>
        <w:rPr>
          <w:rFonts w:hint="default"/>
          <w:sz w:val="24"/>
        </w:rPr>
      </w:pPr>
      <w:r>
        <w:rPr>
          <w:rFonts w:hint="default"/>
          <w:sz w:val="24"/>
        </w:rPr>
        <w:t>(7)没有发生重大经济纠纷和走私犯罪记录。</w:t>
      </w:r>
    </w:p>
    <w:p>
      <w:pPr>
        <w:snapToGrid w:val="0"/>
        <w:spacing w:line="360" w:lineRule="auto"/>
        <w:ind w:firstLine="480" w:firstLineChars="200"/>
        <w:rPr>
          <w:rFonts w:hint="default"/>
          <w:sz w:val="24"/>
        </w:rPr>
      </w:pPr>
      <w:r>
        <w:rPr>
          <w:rFonts w:hint="default"/>
          <w:sz w:val="24"/>
        </w:rPr>
        <w:t>3、提供</w:t>
      </w:r>
      <w:r>
        <w:rPr>
          <w:rFonts w:hint="default"/>
          <w:kern w:val="44"/>
          <w:sz w:val="24"/>
        </w:rPr>
        <w:t>编制和提交投标文件须知</w:t>
      </w:r>
      <w:r>
        <w:rPr>
          <w:rFonts w:hint="default"/>
          <w:sz w:val="24"/>
        </w:rPr>
        <w:t>规定的全部投标文件，包括资格文件、报价文件、商务技术文件。具体内容为：</w:t>
      </w:r>
    </w:p>
    <w:p>
      <w:pPr>
        <w:snapToGrid w:val="0"/>
        <w:spacing w:line="360" w:lineRule="auto"/>
        <w:ind w:firstLine="480" w:firstLineChars="200"/>
        <w:rPr>
          <w:rFonts w:hint="default"/>
          <w:sz w:val="24"/>
        </w:rPr>
      </w:pPr>
      <w:r>
        <w:rPr>
          <w:rFonts w:hint="default"/>
          <w:sz w:val="24"/>
        </w:rPr>
        <w:t>(1)资格文件</w:t>
      </w:r>
    </w:p>
    <w:p>
      <w:pPr>
        <w:snapToGrid w:val="0"/>
        <w:spacing w:line="360" w:lineRule="auto"/>
        <w:ind w:firstLine="480" w:firstLineChars="200"/>
        <w:rPr>
          <w:rFonts w:hint="default"/>
          <w:sz w:val="24"/>
        </w:rPr>
      </w:pPr>
      <w:r>
        <w:rPr>
          <w:rFonts w:hint="default"/>
          <w:sz w:val="24"/>
        </w:rPr>
        <w:t>(2)报价文件；</w:t>
      </w:r>
    </w:p>
    <w:p>
      <w:pPr>
        <w:snapToGrid w:val="0"/>
        <w:spacing w:line="360" w:lineRule="auto"/>
        <w:ind w:firstLine="480" w:firstLineChars="200"/>
        <w:rPr>
          <w:rFonts w:hint="default"/>
          <w:sz w:val="24"/>
        </w:rPr>
      </w:pPr>
      <w:r>
        <w:rPr>
          <w:rFonts w:hint="default"/>
          <w:sz w:val="24"/>
        </w:rPr>
        <w:t>(3)</w:t>
      </w:r>
      <w:r>
        <w:rPr>
          <w:rFonts w:hint="default"/>
          <w:sz w:val="24"/>
          <w:lang w:val="zh-CN"/>
        </w:rPr>
        <w:t>商务</w:t>
      </w:r>
      <w:r>
        <w:rPr>
          <w:rFonts w:hint="default"/>
          <w:kern w:val="0"/>
          <w:sz w:val="24"/>
          <w:lang w:val="zh-CN"/>
        </w:rPr>
        <w:t>技术文件</w:t>
      </w:r>
      <w:r>
        <w:rPr>
          <w:rFonts w:hint="default"/>
          <w:sz w:val="24"/>
        </w:rPr>
        <w:t>；</w:t>
      </w:r>
    </w:p>
    <w:p>
      <w:pPr>
        <w:snapToGrid w:val="0"/>
        <w:spacing w:line="360" w:lineRule="auto"/>
        <w:ind w:firstLine="480" w:firstLineChars="200"/>
        <w:rPr>
          <w:rFonts w:hint="default"/>
          <w:sz w:val="24"/>
        </w:rPr>
      </w:pPr>
      <w:r>
        <w:rPr>
          <w:rFonts w:hint="default"/>
          <w:sz w:val="24"/>
        </w:rPr>
        <w:t>(4)</w:t>
      </w:r>
      <w:r>
        <w:rPr>
          <w:rFonts w:hint="default"/>
          <w:kern w:val="44"/>
          <w:sz w:val="24"/>
        </w:rPr>
        <w:t>编制和提交投标文件须知</w:t>
      </w:r>
      <w:r>
        <w:rPr>
          <w:rFonts w:hint="default"/>
          <w:sz w:val="24"/>
        </w:rPr>
        <w:t>要求投标人提交的全部文件；</w:t>
      </w:r>
    </w:p>
    <w:p>
      <w:pPr>
        <w:snapToGrid w:val="0"/>
        <w:spacing w:line="360" w:lineRule="auto"/>
        <w:ind w:firstLine="480" w:firstLineChars="200"/>
        <w:rPr>
          <w:rFonts w:hint="default"/>
          <w:sz w:val="24"/>
        </w:rPr>
      </w:pPr>
      <w:r>
        <w:rPr>
          <w:rFonts w:hint="default"/>
          <w:sz w:val="24"/>
        </w:rPr>
        <w:t>(5)按采购文件</w:t>
      </w:r>
      <w:r>
        <w:rPr>
          <w:rFonts w:hint="default"/>
          <w:sz w:val="24"/>
        </w:rPr>
        <w:tab/>
      </w:r>
      <w:r>
        <w:rPr>
          <w:rFonts w:hint="default"/>
          <w:sz w:val="24"/>
        </w:rPr>
        <w:t>要求提供和交付的货物和服务的投标报价详见开标一览表；</w:t>
      </w:r>
    </w:p>
    <w:p>
      <w:pPr>
        <w:snapToGrid w:val="0"/>
        <w:spacing w:line="360" w:lineRule="auto"/>
        <w:ind w:firstLine="480" w:firstLineChars="200"/>
        <w:rPr>
          <w:rFonts w:hint="default"/>
          <w:sz w:val="24"/>
        </w:rPr>
      </w:pPr>
      <w:r>
        <w:rPr>
          <w:rFonts w:hint="default"/>
          <w:sz w:val="24"/>
        </w:rPr>
        <w:t>(6)保证忠实地执行双方所签订的合同，并承担合同规定的责任和义务；</w:t>
      </w:r>
    </w:p>
    <w:p>
      <w:pPr>
        <w:snapToGrid w:val="0"/>
        <w:spacing w:line="360" w:lineRule="auto"/>
        <w:ind w:firstLine="480" w:firstLineChars="200"/>
        <w:rPr>
          <w:rFonts w:hint="default"/>
          <w:sz w:val="24"/>
        </w:rPr>
      </w:pPr>
      <w:r>
        <w:rPr>
          <w:rFonts w:hint="default"/>
          <w:sz w:val="24"/>
        </w:rPr>
        <w:t>(7)保证遵守采购文件中的其他有关规定。</w:t>
      </w:r>
    </w:p>
    <w:p>
      <w:pPr>
        <w:snapToGrid w:val="0"/>
        <w:spacing w:line="360" w:lineRule="auto"/>
        <w:ind w:firstLine="480" w:firstLineChars="200"/>
        <w:rPr>
          <w:rFonts w:hint="default"/>
          <w:sz w:val="24"/>
        </w:rPr>
      </w:pPr>
      <w:r>
        <w:rPr>
          <w:rFonts w:hint="default"/>
          <w:sz w:val="24"/>
        </w:rPr>
        <w:t>4、投标有效期内不撤销投标文件；强行撤销的，承诺按本项目预算金额的2%赔偿对采购代理机构造成的损失。</w:t>
      </w:r>
    </w:p>
    <w:p>
      <w:pPr>
        <w:snapToGrid w:val="0"/>
        <w:spacing w:line="360" w:lineRule="auto"/>
        <w:ind w:firstLine="480" w:firstLineChars="200"/>
        <w:rPr>
          <w:rFonts w:hint="default"/>
          <w:sz w:val="24"/>
        </w:rPr>
      </w:pPr>
      <w:r>
        <w:rPr>
          <w:rFonts w:hint="default"/>
          <w:sz w:val="24"/>
        </w:rPr>
        <w:t>5、我方完全理解贵方不一定要接受最低价的投标。</w:t>
      </w:r>
    </w:p>
    <w:p>
      <w:pPr>
        <w:snapToGrid w:val="0"/>
        <w:spacing w:line="360" w:lineRule="auto"/>
        <w:ind w:firstLine="480" w:firstLineChars="200"/>
        <w:rPr>
          <w:rFonts w:hint="default"/>
          <w:sz w:val="24"/>
        </w:rPr>
      </w:pPr>
      <w:r>
        <w:rPr>
          <w:rFonts w:hint="default"/>
          <w:sz w:val="24"/>
        </w:rPr>
        <w:t>6、如中标，按采购文件规定与采购人签订合同。如拒绝签订合同，承诺按本项目预算金额的2%对采购人进行赔偿；赔偿金额不足以弥补采购人损失的，承诺继续承担超过部分的损失。</w:t>
      </w:r>
    </w:p>
    <w:p>
      <w:pPr>
        <w:snapToGrid w:val="0"/>
        <w:spacing w:line="360" w:lineRule="auto"/>
        <w:ind w:firstLine="480" w:firstLineChars="200"/>
        <w:rPr>
          <w:rFonts w:hint="default"/>
          <w:sz w:val="24"/>
        </w:rPr>
      </w:pPr>
      <w:r>
        <w:rPr>
          <w:rFonts w:hint="default"/>
          <w:sz w:val="24"/>
        </w:rPr>
        <w:t>7、如中标，按采购文件规定的招标代理服务费标准，承诺在签订合同前向采购代理机构支付招标代理服务费。</w:t>
      </w:r>
    </w:p>
    <w:p>
      <w:pPr>
        <w:snapToGrid w:val="0"/>
        <w:spacing w:line="360" w:lineRule="auto"/>
        <w:ind w:firstLine="480" w:firstLineChars="200"/>
        <w:rPr>
          <w:rFonts w:hint="default"/>
          <w:sz w:val="24"/>
        </w:rPr>
      </w:pPr>
      <w:r>
        <w:rPr>
          <w:rFonts w:hint="default"/>
          <w:sz w:val="24"/>
        </w:rPr>
        <w:t>8、我方愿意向贵方提供任何与该项投标有关的数据、情况和服务资料。若贵方需要，我方愿意提供我方作出的一切承诺的证明材料。</w:t>
      </w:r>
    </w:p>
    <w:p>
      <w:pPr>
        <w:snapToGrid w:val="0"/>
        <w:spacing w:line="360" w:lineRule="auto"/>
        <w:ind w:firstLine="480" w:firstLineChars="200"/>
        <w:rPr>
          <w:rFonts w:hint="default"/>
          <w:sz w:val="24"/>
        </w:rPr>
      </w:pPr>
      <w:r>
        <w:rPr>
          <w:rFonts w:hint="default"/>
          <w:sz w:val="24"/>
        </w:rPr>
        <w:t>9、我方已详细审核全部采购文件，包括采购文件修改书（如有的话）、参考资料及有关附件，确认无误。我方完全理解并接受采购文件的各项规定和要求，对采购文件</w:t>
      </w:r>
      <w:r>
        <w:rPr>
          <w:rFonts w:hint="default"/>
          <w:sz w:val="24"/>
        </w:rPr>
        <w:tab/>
      </w:r>
      <w:r>
        <w:rPr>
          <w:rFonts w:hint="default"/>
          <w:sz w:val="24"/>
        </w:rPr>
        <w:t>的合理性、合法性不再有异议。</w:t>
      </w:r>
    </w:p>
    <w:p>
      <w:pPr>
        <w:snapToGrid w:val="0"/>
        <w:spacing w:line="360" w:lineRule="auto"/>
        <w:ind w:firstLine="480" w:firstLineChars="200"/>
        <w:rPr>
          <w:rFonts w:hint="default"/>
          <w:sz w:val="24"/>
        </w:rPr>
      </w:pPr>
      <w:r>
        <w:rPr>
          <w:rFonts w:hint="default"/>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default"/>
          <w:sz w:val="24"/>
        </w:rPr>
      </w:pPr>
      <w:r>
        <w:rPr>
          <w:rFonts w:hint="default"/>
          <w:sz w:val="24"/>
        </w:rPr>
        <w:t>(1)提供虚假材料谋取中标、成交的；</w:t>
      </w:r>
    </w:p>
    <w:p>
      <w:pPr>
        <w:snapToGrid w:val="0"/>
        <w:spacing w:line="360" w:lineRule="auto"/>
        <w:ind w:firstLine="480" w:firstLineChars="200"/>
        <w:rPr>
          <w:rFonts w:hint="default"/>
          <w:sz w:val="24"/>
        </w:rPr>
      </w:pPr>
      <w:r>
        <w:rPr>
          <w:rFonts w:hint="default"/>
          <w:sz w:val="24"/>
        </w:rPr>
        <w:t>(2)采取不正当手段诋毁、排挤其他供应商的；</w:t>
      </w:r>
    </w:p>
    <w:p>
      <w:pPr>
        <w:snapToGrid w:val="0"/>
        <w:spacing w:line="360" w:lineRule="auto"/>
        <w:ind w:firstLine="480" w:firstLineChars="200"/>
        <w:rPr>
          <w:rFonts w:hint="default"/>
          <w:sz w:val="24"/>
        </w:rPr>
      </w:pPr>
      <w:r>
        <w:rPr>
          <w:rFonts w:hint="default"/>
          <w:sz w:val="24"/>
        </w:rPr>
        <w:t>(3)与采购人、其它供应商或者采购代理机构恶意串通的；</w:t>
      </w:r>
    </w:p>
    <w:p>
      <w:pPr>
        <w:snapToGrid w:val="0"/>
        <w:spacing w:line="360" w:lineRule="auto"/>
        <w:ind w:firstLine="480" w:firstLineChars="200"/>
        <w:rPr>
          <w:rFonts w:hint="default"/>
          <w:sz w:val="24"/>
        </w:rPr>
      </w:pPr>
      <w:r>
        <w:rPr>
          <w:rFonts w:hint="default"/>
          <w:sz w:val="24"/>
        </w:rPr>
        <w:t>(4)向采购人、采购代理机构行贿或者提供其他不正当利益的；</w:t>
      </w:r>
    </w:p>
    <w:p>
      <w:pPr>
        <w:snapToGrid w:val="0"/>
        <w:spacing w:line="360" w:lineRule="auto"/>
        <w:ind w:firstLine="480" w:firstLineChars="200"/>
        <w:rPr>
          <w:rFonts w:hint="default"/>
          <w:sz w:val="24"/>
        </w:rPr>
      </w:pPr>
      <w:r>
        <w:rPr>
          <w:rFonts w:hint="default"/>
          <w:sz w:val="24"/>
        </w:rPr>
        <w:t>(5)在采购过程中与采购人进行协商谈判的；</w:t>
      </w:r>
    </w:p>
    <w:p>
      <w:pPr>
        <w:snapToGrid w:val="0"/>
        <w:spacing w:line="360" w:lineRule="auto"/>
        <w:ind w:firstLine="480" w:firstLineChars="200"/>
        <w:rPr>
          <w:rFonts w:hint="default"/>
          <w:sz w:val="24"/>
        </w:rPr>
      </w:pPr>
      <w:r>
        <w:rPr>
          <w:rFonts w:hint="default"/>
          <w:sz w:val="24"/>
        </w:rPr>
        <w:t>(6)拒绝有关部门监督检查或提供虚假情况的。</w:t>
      </w:r>
    </w:p>
    <w:p>
      <w:pPr>
        <w:snapToGrid w:val="0"/>
        <w:spacing w:line="360" w:lineRule="auto"/>
        <w:ind w:firstLine="480" w:firstLineChars="200"/>
        <w:rPr>
          <w:rFonts w:hint="default"/>
          <w:sz w:val="24"/>
        </w:rPr>
      </w:pPr>
      <w:r>
        <w:rPr>
          <w:rFonts w:hint="default"/>
          <w:sz w:val="24"/>
        </w:rPr>
        <w:t>供应商有前款第(1)至(5)项情形之一的，中标、成交无效。</w:t>
      </w:r>
    </w:p>
    <w:p>
      <w:pPr>
        <w:snapToGrid w:val="0"/>
        <w:spacing w:line="360" w:lineRule="auto"/>
        <w:ind w:firstLine="480" w:firstLineChars="200"/>
        <w:rPr>
          <w:rFonts w:hint="default"/>
          <w:kern w:val="0"/>
          <w:sz w:val="24"/>
        </w:rPr>
      </w:pPr>
      <w:r>
        <w:rPr>
          <w:rFonts w:hint="default"/>
          <w:kern w:val="0"/>
          <w:sz w:val="24"/>
          <w:lang w:val="zh-CN"/>
        </w:rPr>
        <w:t>法定（授权）代表人（签字</w:t>
      </w:r>
      <w:r>
        <w:rPr>
          <w:rFonts w:hint="default"/>
          <w:kern w:val="0"/>
          <w:sz w:val="24"/>
        </w:rPr>
        <w:t>或盖章</w:t>
      </w:r>
      <w:r>
        <w:rPr>
          <w:rFonts w:hint="default"/>
          <w:kern w:val="0"/>
          <w:sz w:val="24"/>
          <w:lang w:val="zh-CN"/>
        </w:rPr>
        <w:t>）：</w:t>
      </w:r>
      <w:r>
        <w:rPr>
          <w:rFonts w:hint="default"/>
          <w:kern w:val="0"/>
          <w:sz w:val="24"/>
        </w:rPr>
        <w:tab/>
      </w:r>
    </w:p>
    <w:p>
      <w:pPr>
        <w:snapToGrid w:val="0"/>
        <w:spacing w:line="360" w:lineRule="auto"/>
        <w:ind w:firstLine="480" w:firstLineChars="200"/>
        <w:rPr>
          <w:rFonts w:hint="default"/>
          <w:kern w:val="0"/>
          <w:sz w:val="24"/>
          <w:u w:val="single"/>
          <w:lang w:val="zh-CN"/>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r>
        <w:rPr>
          <w:rFonts w:hint="default"/>
          <w:kern w:val="0"/>
          <w:sz w:val="24"/>
          <w:lang w:val="zh-CN"/>
        </w:rPr>
        <w:t>：</w:t>
      </w:r>
    </w:p>
    <w:p>
      <w:pPr>
        <w:snapToGrid w:val="0"/>
        <w:spacing w:line="360" w:lineRule="auto"/>
        <w:ind w:firstLine="480" w:firstLineChars="200"/>
        <w:rPr>
          <w:rFonts w:hint="default"/>
          <w:kern w:val="0"/>
          <w:sz w:val="24"/>
        </w:rPr>
      </w:pPr>
      <w:r>
        <w:rPr>
          <w:rFonts w:hint="default"/>
          <w:kern w:val="0"/>
          <w:sz w:val="24"/>
          <w:lang w:val="zh-CN"/>
        </w:rPr>
        <w:t xml:space="preserve">联系电话： 传真：  电子邮件：  </w:t>
      </w:r>
    </w:p>
    <w:p>
      <w:pPr>
        <w:snapToGrid w:val="0"/>
        <w:spacing w:line="360" w:lineRule="auto"/>
        <w:ind w:firstLine="480" w:firstLineChars="200"/>
        <w:rPr>
          <w:rFonts w:hint="default"/>
          <w:kern w:val="0"/>
          <w:sz w:val="24"/>
        </w:rPr>
      </w:pPr>
      <w:r>
        <w:rPr>
          <w:rFonts w:hint="default"/>
          <w:kern w:val="0"/>
          <w:sz w:val="24"/>
          <w:lang w:val="zh-CN"/>
        </w:rPr>
        <w:t>联系地址：</w:t>
      </w:r>
      <w:r>
        <w:rPr>
          <w:rFonts w:hint="default"/>
          <w:kern w:val="0"/>
          <w:sz w:val="24"/>
        </w:rPr>
        <w:tab/>
      </w:r>
    </w:p>
    <w:p>
      <w:pPr>
        <w:snapToGrid w:val="0"/>
        <w:spacing w:line="360" w:lineRule="auto"/>
        <w:ind w:firstLine="480" w:firstLineChars="200"/>
        <w:rPr>
          <w:rFonts w:hint="default"/>
          <w:kern w:val="0"/>
          <w:sz w:val="24"/>
        </w:rPr>
      </w:pPr>
      <w:r>
        <w:rPr>
          <w:rFonts w:hint="default"/>
          <w:kern w:val="0"/>
          <w:sz w:val="24"/>
          <w:lang w:val="zh-CN"/>
        </w:rPr>
        <w:t>邮政编码：传真号码：</w:t>
      </w:r>
    </w:p>
    <w:p>
      <w:pPr>
        <w:snapToGrid w:val="0"/>
        <w:spacing w:line="360" w:lineRule="auto"/>
        <w:ind w:firstLine="480" w:firstLineChars="200"/>
        <w:rPr>
          <w:rFonts w:hint="default"/>
          <w:kern w:val="0"/>
          <w:sz w:val="24"/>
          <w:u w:val="single"/>
        </w:rPr>
      </w:pPr>
      <w:r>
        <w:rPr>
          <w:rFonts w:hint="default"/>
          <w:kern w:val="0"/>
          <w:sz w:val="24"/>
          <w:lang w:val="zh-CN"/>
        </w:rPr>
        <w:t>日期</w:t>
      </w:r>
      <w:r>
        <w:rPr>
          <w:rFonts w:hint="default"/>
          <w:kern w:val="0"/>
          <w:sz w:val="24"/>
        </w:rPr>
        <w:t xml:space="preserve">： </w:t>
      </w:r>
      <w:r>
        <w:rPr>
          <w:rFonts w:hint="default"/>
          <w:kern w:val="0"/>
          <w:sz w:val="24"/>
          <w:lang w:val="zh-CN"/>
        </w:rPr>
        <w:t>年</w:t>
      </w:r>
      <w:r>
        <w:rPr>
          <w:rFonts w:hint="default"/>
          <w:kern w:val="0"/>
          <w:sz w:val="24"/>
          <w:u w:val="single"/>
        </w:rPr>
        <w:tab/>
      </w:r>
      <w:r>
        <w:rPr>
          <w:rFonts w:hint="default"/>
          <w:kern w:val="0"/>
          <w:sz w:val="24"/>
          <w:lang w:val="zh-CN"/>
        </w:rPr>
        <w:t>月日</w:t>
      </w:r>
    </w:p>
    <w:p>
      <w:pPr>
        <w:snapToGrid w:val="0"/>
        <w:spacing w:line="360" w:lineRule="auto"/>
        <w:rPr>
          <w:rFonts w:hint="default"/>
          <w:b/>
          <w:bCs/>
          <w:kern w:val="0"/>
          <w:sz w:val="24"/>
          <w:lang w:val="zh-CN"/>
        </w:rPr>
      </w:pPr>
      <w:r>
        <w:rPr>
          <w:rFonts w:hint="default"/>
          <w:b/>
          <w:bCs/>
          <w:kern w:val="0"/>
          <w:sz w:val="24"/>
          <w:lang w:val="zh-CN"/>
        </w:rPr>
        <w:t>注：未按照本投标响应函要求填报的将被视为非实质性响应，从而可能导致该投标文件被拒绝。</w:t>
      </w:r>
    </w:p>
    <w:p>
      <w:pPr>
        <w:pStyle w:val="3"/>
        <w:rPr>
          <w:rFonts w:hint="default"/>
          <w:lang w:val="zh-CN"/>
        </w:rPr>
      </w:pPr>
    </w:p>
    <w:p>
      <w:pPr>
        <w:pStyle w:val="19"/>
        <w:rPr>
          <w:rFonts w:hint="default" w:ascii="Times New Roman" w:hAnsi="Times New Roman"/>
          <w:lang w:val="zh-CN"/>
        </w:rPr>
      </w:pPr>
    </w:p>
    <w:p>
      <w:pPr>
        <w:snapToGrid w:val="0"/>
        <w:spacing w:line="360" w:lineRule="auto"/>
        <w:ind w:left="570"/>
        <w:jc w:val="center"/>
        <w:outlineLvl w:val="0"/>
        <w:rPr>
          <w:rFonts w:hint="default"/>
          <w:b/>
          <w:sz w:val="32"/>
          <w:szCs w:val="32"/>
        </w:rPr>
      </w:pPr>
      <w:bookmarkStart w:id="85" w:name="_Toc354859632"/>
      <w:bookmarkStart w:id="86" w:name="_Toc11193"/>
      <w:bookmarkStart w:id="87" w:name="_Toc354859551"/>
      <w:bookmarkStart w:id="88" w:name="_Toc354859475"/>
      <w:bookmarkStart w:id="89" w:name="_Toc6431"/>
      <w:bookmarkStart w:id="90" w:name="_Toc6304"/>
      <w:bookmarkStart w:id="91" w:name="_Toc12092"/>
      <w:bookmarkStart w:id="92" w:name="_Toc233618991"/>
      <w:bookmarkStart w:id="93" w:name="_Toc27051"/>
      <w:r>
        <w:rPr>
          <w:rFonts w:hint="default" w:ascii="宋体" w:hAnsi="宋体" w:cs="宋体"/>
          <w:b/>
          <w:sz w:val="30"/>
          <w:szCs w:val="30"/>
        </w:rPr>
        <w:t>二、开标一览表</w:t>
      </w:r>
      <w:bookmarkEnd w:id="85"/>
      <w:bookmarkEnd w:id="86"/>
      <w:bookmarkEnd w:id="87"/>
      <w:bookmarkEnd w:id="88"/>
      <w:bookmarkEnd w:id="89"/>
      <w:bookmarkEnd w:id="90"/>
      <w:bookmarkEnd w:id="91"/>
      <w:bookmarkEnd w:id="92"/>
      <w:bookmarkEnd w:id="93"/>
    </w:p>
    <w:p>
      <w:pPr>
        <w:snapToGrid w:val="0"/>
        <w:spacing w:line="360" w:lineRule="auto"/>
        <w:rPr>
          <w:rFonts w:hint="default"/>
          <w:szCs w:val="21"/>
        </w:rPr>
      </w:pPr>
      <w:r>
        <w:rPr>
          <w:szCs w:val="21"/>
        </w:rPr>
        <w:t>浙江机电职业技术学院</w:t>
      </w:r>
    </w:p>
    <w:p>
      <w:pPr>
        <w:snapToGrid w:val="0"/>
        <w:spacing w:line="360" w:lineRule="auto"/>
        <w:rPr>
          <w:rFonts w:hint="default"/>
          <w:szCs w:val="21"/>
        </w:rPr>
      </w:pPr>
      <w:r>
        <w:rPr>
          <w:rFonts w:hint="default"/>
          <w:szCs w:val="21"/>
        </w:rPr>
        <w:t>浙江豪圣建设项目管理有限公司：</w:t>
      </w:r>
    </w:p>
    <w:p>
      <w:pPr>
        <w:snapToGrid w:val="0"/>
        <w:spacing w:line="360" w:lineRule="auto"/>
        <w:ind w:firstLine="420" w:firstLineChars="200"/>
        <w:rPr>
          <w:rFonts w:hint="default"/>
          <w:kern w:val="0"/>
          <w:szCs w:val="21"/>
          <w:lang w:val="zh-CN"/>
        </w:rPr>
      </w:pPr>
      <w:r>
        <w:rPr>
          <w:rFonts w:hint="default"/>
          <w:kern w:val="0"/>
          <w:szCs w:val="21"/>
          <w:lang w:val="zh-CN"/>
        </w:rPr>
        <w:t>按你方采购文件要求，我们，本投标文件签字方，谨此向你方发出要约如下：如你方接受本投标文件，我方承诺按照如下开标一览表的价格完成项目编号为</w:t>
      </w:r>
      <w:r>
        <w:rPr>
          <w:szCs w:val="21"/>
          <w:u w:val="single"/>
        </w:rPr>
        <w:t>HSZB-2023-626</w:t>
      </w:r>
      <w:r>
        <w:rPr>
          <w:rFonts w:hint="default"/>
          <w:kern w:val="0"/>
          <w:szCs w:val="21"/>
          <w:lang w:val="zh-CN"/>
        </w:rPr>
        <w:t>的采购文件[项目名称：</w:t>
      </w:r>
      <w:r>
        <w:rPr>
          <w:rFonts w:hint="eastAsia"/>
          <w:szCs w:val="21"/>
          <w:lang w:eastAsia="zh-CN"/>
        </w:rPr>
        <w:t>数字化制造与检测技术中心数字化制造单元项目</w:t>
      </w:r>
      <w:r>
        <w:rPr>
          <w:rFonts w:hint="default"/>
          <w:kern w:val="0"/>
          <w:szCs w:val="21"/>
          <w:lang w:val="zh-CN"/>
        </w:rPr>
        <w:t>]的实施。</w:t>
      </w:r>
    </w:p>
    <w:p>
      <w:pPr>
        <w:autoSpaceDE w:val="0"/>
        <w:autoSpaceDN w:val="0"/>
        <w:adjustRightInd w:val="0"/>
        <w:spacing w:line="360" w:lineRule="auto"/>
        <w:jc w:val="center"/>
        <w:outlineLvl w:val="0"/>
        <w:rPr>
          <w:rFonts w:hint="default"/>
          <w:b/>
          <w:bCs/>
          <w:kern w:val="0"/>
          <w:sz w:val="24"/>
          <w:lang w:val="zh-CN"/>
        </w:rPr>
      </w:pPr>
      <w:bookmarkStart w:id="94" w:name="_Toc18202"/>
      <w:bookmarkStart w:id="95" w:name="_Toc14958"/>
      <w:bookmarkStart w:id="96" w:name="_Toc20543"/>
      <w:bookmarkStart w:id="97" w:name="_Toc12944"/>
      <w:bookmarkStart w:id="98" w:name="_Toc4652"/>
      <w:r>
        <w:rPr>
          <w:rFonts w:hint="default"/>
          <w:b/>
          <w:bCs/>
          <w:kern w:val="0"/>
          <w:sz w:val="24"/>
          <w:lang w:val="zh-CN"/>
        </w:rPr>
        <w:t>投标（开标）一览表（单位均为人民币元）</w:t>
      </w:r>
      <w:bookmarkEnd w:id="94"/>
      <w:bookmarkEnd w:id="95"/>
      <w:bookmarkEnd w:id="96"/>
      <w:bookmarkEnd w:id="97"/>
      <w:bookmarkEnd w:id="98"/>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975"/>
        <w:gridCol w:w="1908"/>
        <w:gridCol w:w="2088"/>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77" w:type="dxa"/>
            <w:vAlign w:val="center"/>
          </w:tcPr>
          <w:p>
            <w:pPr>
              <w:spacing w:line="360" w:lineRule="auto"/>
              <w:jc w:val="center"/>
              <w:rPr>
                <w:rFonts w:hint="default"/>
                <w:b/>
                <w:sz w:val="24"/>
                <w:szCs w:val="24"/>
              </w:rPr>
            </w:pPr>
            <w:r>
              <w:rPr>
                <w:rFonts w:hint="default"/>
                <w:b/>
                <w:sz w:val="24"/>
                <w:szCs w:val="24"/>
              </w:rPr>
              <w:t>序号</w:t>
            </w:r>
          </w:p>
        </w:tc>
        <w:tc>
          <w:tcPr>
            <w:tcW w:w="2975" w:type="dxa"/>
            <w:vAlign w:val="center"/>
          </w:tcPr>
          <w:p>
            <w:pPr>
              <w:spacing w:line="360" w:lineRule="auto"/>
              <w:jc w:val="center"/>
              <w:rPr>
                <w:rFonts w:hint="default"/>
                <w:b/>
                <w:sz w:val="24"/>
                <w:szCs w:val="24"/>
              </w:rPr>
            </w:pPr>
            <w:r>
              <w:rPr>
                <w:rFonts w:hint="default"/>
                <w:b/>
                <w:sz w:val="24"/>
                <w:szCs w:val="24"/>
              </w:rPr>
              <w:t>项目名称</w:t>
            </w:r>
          </w:p>
        </w:tc>
        <w:tc>
          <w:tcPr>
            <w:tcW w:w="1908" w:type="dxa"/>
            <w:vAlign w:val="center"/>
          </w:tcPr>
          <w:p>
            <w:pPr>
              <w:spacing w:line="360" w:lineRule="auto"/>
              <w:jc w:val="center"/>
              <w:rPr>
                <w:rFonts w:hint="default"/>
                <w:b/>
                <w:sz w:val="24"/>
                <w:szCs w:val="24"/>
              </w:rPr>
            </w:pPr>
            <w:r>
              <w:rPr>
                <w:rFonts w:hint="default"/>
                <w:b/>
                <w:sz w:val="24"/>
                <w:szCs w:val="24"/>
              </w:rPr>
              <w:t>投标报价（元）</w:t>
            </w:r>
          </w:p>
        </w:tc>
        <w:tc>
          <w:tcPr>
            <w:tcW w:w="2088" w:type="dxa"/>
            <w:vAlign w:val="center"/>
          </w:tcPr>
          <w:p>
            <w:pPr>
              <w:spacing w:line="360" w:lineRule="auto"/>
              <w:jc w:val="center"/>
              <w:rPr>
                <w:rFonts w:hint="default"/>
                <w:b/>
                <w:sz w:val="24"/>
                <w:szCs w:val="24"/>
              </w:rPr>
            </w:pPr>
            <w:r>
              <w:rPr>
                <w:b/>
                <w:sz w:val="24"/>
                <w:szCs w:val="24"/>
              </w:rPr>
              <w:t>供货期</w:t>
            </w:r>
          </w:p>
        </w:tc>
        <w:tc>
          <w:tcPr>
            <w:tcW w:w="1420" w:type="dxa"/>
            <w:vAlign w:val="center"/>
          </w:tcPr>
          <w:p>
            <w:pPr>
              <w:spacing w:line="360" w:lineRule="auto"/>
              <w:jc w:val="center"/>
              <w:rPr>
                <w:rFonts w:hint="default"/>
                <w:b/>
                <w:sz w:val="24"/>
                <w:szCs w:val="24"/>
              </w:rPr>
            </w:pPr>
            <w:r>
              <w:rPr>
                <w:rFonts w:hint="default"/>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77" w:type="dxa"/>
            <w:vAlign w:val="center"/>
          </w:tcPr>
          <w:p>
            <w:pPr>
              <w:spacing w:line="360" w:lineRule="auto"/>
              <w:jc w:val="center"/>
              <w:rPr>
                <w:rFonts w:hint="default"/>
                <w:kern w:val="0"/>
                <w:sz w:val="24"/>
                <w:szCs w:val="24"/>
                <w:lang w:val="zh-CN"/>
              </w:rPr>
            </w:pPr>
            <w:r>
              <w:rPr>
                <w:rFonts w:hint="default"/>
                <w:kern w:val="0"/>
                <w:sz w:val="24"/>
                <w:szCs w:val="24"/>
                <w:lang w:val="zh-CN"/>
              </w:rPr>
              <w:t>1</w:t>
            </w:r>
          </w:p>
        </w:tc>
        <w:tc>
          <w:tcPr>
            <w:tcW w:w="2975" w:type="dxa"/>
            <w:vAlign w:val="center"/>
          </w:tcPr>
          <w:p>
            <w:pPr>
              <w:jc w:val="center"/>
              <w:rPr>
                <w:rFonts w:hint="eastAsia" w:eastAsia="宋体"/>
                <w:kern w:val="0"/>
                <w:sz w:val="24"/>
                <w:szCs w:val="24"/>
                <w:lang w:val="zh-CN" w:eastAsia="zh-CN"/>
              </w:rPr>
            </w:pPr>
            <w:r>
              <w:rPr>
                <w:rFonts w:hint="eastAsia"/>
                <w:sz w:val="24"/>
                <w:szCs w:val="24"/>
                <w:lang w:eastAsia="zh-CN"/>
              </w:rPr>
              <w:t>数字化制造与检测技术中心数字化制造单元项目</w:t>
            </w:r>
          </w:p>
        </w:tc>
        <w:tc>
          <w:tcPr>
            <w:tcW w:w="1908" w:type="dxa"/>
            <w:vAlign w:val="center"/>
          </w:tcPr>
          <w:p>
            <w:pPr>
              <w:jc w:val="center"/>
              <w:rPr>
                <w:rFonts w:hint="default"/>
                <w:kern w:val="0"/>
                <w:sz w:val="24"/>
                <w:szCs w:val="24"/>
                <w:lang w:val="zh-CN"/>
              </w:rPr>
            </w:pPr>
          </w:p>
        </w:tc>
        <w:tc>
          <w:tcPr>
            <w:tcW w:w="2088" w:type="dxa"/>
            <w:vAlign w:val="center"/>
          </w:tcPr>
          <w:p>
            <w:pPr>
              <w:jc w:val="center"/>
              <w:rPr>
                <w:rFonts w:hint="default"/>
                <w:kern w:val="0"/>
                <w:sz w:val="24"/>
                <w:szCs w:val="24"/>
                <w:lang w:val="zh-CN"/>
              </w:rPr>
            </w:pPr>
          </w:p>
        </w:tc>
        <w:tc>
          <w:tcPr>
            <w:tcW w:w="1420" w:type="dxa"/>
            <w:vAlign w:val="center"/>
          </w:tcPr>
          <w:p>
            <w:pPr>
              <w:jc w:val="center"/>
              <w:rPr>
                <w:rFonts w:hint="default"/>
                <w:kern w:val="0"/>
                <w:sz w:val="24"/>
                <w:szCs w:val="24"/>
                <w:lang w:val="zh-CN"/>
              </w:rPr>
            </w:pPr>
          </w:p>
        </w:tc>
      </w:tr>
    </w:tbl>
    <w:p>
      <w:pPr>
        <w:tabs>
          <w:tab w:val="left" w:pos="1140"/>
        </w:tabs>
        <w:adjustRightInd w:val="0"/>
        <w:snapToGrid w:val="0"/>
        <w:spacing w:line="360" w:lineRule="auto"/>
        <w:jc w:val="left"/>
        <w:rPr>
          <w:rFonts w:hint="default"/>
          <w:kern w:val="0"/>
          <w:szCs w:val="21"/>
          <w:lang w:val="zh-CN"/>
        </w:rPr>
      </w:pPr>
    </w:p>
    <w:p>
      <w:pPr>
        <w:tabs>
          <w:tab w:val="left" w:pos="1140"/>
        </w:tabs>
        <w:adjustRightInd w:val="0"/>
        <w:snapToGrid w:val="0"/>
        <w:spacing w:line="360" w:lineRule="auto"/>
        <w:jc w:val="left"/>
        <w:rPr>
          <w:rFonts w:hint="default"/>
          <w:kern w:val="0"/>
          <w:szCs w:val="21"/>
          <w:lang w:val="zh-CN"/>
        </w:rPr>
      </w:pPr>
      <w:r>
        <w:rPr>
          <w:rFonts w:hint="default"/>
          <w:kern w:val="0"/>
          <w:szCs w:val="21"/>
          <w:lang w:val="zh-CN"/>
        </w:rPr>
        <w:t>注：</w:t>
      </w:r>
      <w:r>
        <w:rPr>
          <w:rFonts w:hint="default"/>
          <w:szCs w:val="21"/>
        </w:rPr>
        <w:t>1、投标人需按本表格式填写，</w:t>
      </w:r>
      <w:r>
        <w:rPr>
          <w:rFonts w:hint="default"/>
          <w:bCs/>
          <w:szCs w:val="21"/>
        </w:rPr>
        <w:t>栏数不够可自加。</w:t>
      </w:r>
    </w:p>
    <w:p>
      <w:pPr>
        <w:tabs>
          <w:tab w:val="left" w:pos="1140"/>
          <w:tab w:val="left" w:pos="5909"/>
        </w:tabs>
        <w:adjustRightInd w:val="0"/>
        <w:snapToGrid w:val="0"/>
        <w:spacing w:line="360" w:lineRule="auto"/>
        <w:ind w:firstLine="420" w:firstLineChars="200"/>
        <w:jc w:val="left"/>
        <w:rPr>
          <w:rFonts w:hint="default"/>
          <w:kern w:val="0"/>
          <w:szCs w:val="21"/>
          <w:lang w:val="zh-CN"/>
        </w:rPr>
      </w:pPr>
      <w:r>
        <w:rPr>
          <w:rFonts w:hint="default"/>
          <w:kern w:val="0"/>
          <w:szCs w:val="21"/>
          <w:lang w:val="zh-CN"/>
        </w:rPr>
        <w:t>2、有关本项目实施所涉及的一切费用均计入报价。</w:t>
      </w:r>
      <w:r>
        <w:rPr>
          <w:rFonts w:hint="default"/>
          <w:kern w:val="0"/>
          <w:szCs w:val="21"/>
          <w:lang w:val="zh-CN"/>
        </w:rPr>
        <w:tab/>
      </w:r>
    </w:p>
    <w:p>
      <w:pPr>
        <w:adjustRightInd w:val="0"/>
        <w:snapToGrid w:val="0"/>
        <w:spacing w:line="360" w:lineRule="auto"/>
        <w:ind w:firstLine="480" w:firstLineChars="200"/>
        <w:rPr>
          <w:rFonts w:hint="default" w:ascii="宋体" w:hAnsi="宋体" w:cs="宋体"/>
          <w:kern w:val="0"/>
          <w:sz w:val="24"/>
        </w:rPr>
      </w:pPr>
      <w:bookmarkStart w:id="99" w:name="_Toc233618992"/>
      <w:bookmarkStart w:id="100" w:name="_Toc26301"/>
      <w:bookmarkStart w:id="101" w:name="_Toc24956"/>
      <w:bookmarkStart w:id="102" w:name="_Toc4011"/>
      <w:bookmarkStart w:id="103" w:name="_Toc18315"/>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pPr>
        <w:pStyle w:val="10"/>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04" w:name="_Toc32170"/>
      <w:r>
        <w:rPr>
          <w:rFonts w:hint="default" w:ascii="Times New Roman" w:hAnsi="Times New Roman"/>
          <w:kern w:val="0"/>
        </w:rPr>
        <w:t>日期：     年  月  日</w:t>
      </w:r>
      <w:bookmarkEnd w:id="104"/>
    </w:p>
    <w:p>
      <w:pPr>
        <w:snapToGrid w:val="0"/>
        <w:spacing w:line="360" w:lineRule="auto"/>
        <w:ind w:firstLine="643" w:firstLineChars="200"/>
        <w:jc w:val="center"/>
        <w:outlineLvl w:val="0"/>
        <w:rPr>
          <w:rFonts w:hint="default"/>
          <w:b/>
          <w:sz w:val="32"/>
          <w:szCs w:val="32"/>
        </w:rPr>
      </w:pPr>
      <w:r>
        <w:rPr>
          <w:rFonts w:hint="default"/>
          <w:b/>
          <w:sz w:val="32"/>
          <w:szCs w:val="32"/>
        </w:rPr>
        <w:br w:type="page"/>
      </w:r>
      <w:bookmarkStart w:id="105" w:name="_Toc13342"/>
      <w:r>
        <w:rPr>
          <w:rFonts w:hint="default"/>
          <w:b/>
          <w:sz w:val="32"/>
          <w:szCs w:val="32"/>
        </w:rPr>
        <w:t>三、报价明细清单</w:t>
      </w:r>
      <w:bookmarkEnd w:id="99"/>
      <w:bookmarkEnd w:id="100"/>
      <w:bookmarkEnd w:id="101"/>
      <w:bookmarkEnd w:id="102"/>
      <w:bookmarkEnd w:id="103"/>
      <w:bookmarkEnd w:id="105"/>
    </w:p>
    <w:p>
      <w:pPr>
        <w:pStyle w:val="10"/>
        <w:snapToGrid w:val="0"/>
        <w:spacing w:before="156" w:after="156" w:line="360" w:lineRule="auto"/>
        <w:jc w:val="center"/>
        <w:rPr>
          <w:rFonts w:hint="default" w:ascii="Times New Roman" w:hAnsi="Times New Roman"/>
          <w:b/>
          <w:sz w:val="30"/>
          <w:szCs w:val="30"/>
        </w:rPr>
      </w:pPr>
      <w:r>
        <w:rPr>
          <w:rFonts w:hint="default" w:ascii="Times New Roman" w:hAnsi="Times New Roman"/>
          <w:b/>
          <w:sz w:val="30"/>
          <w:szCs w:val="30"/>
        </w:rPr>
        <w:t>投标报价明细表</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1535"/>
        <w:gridCol w:w="1135"/>
        <w:gridCol w:w="1513"/>
        <w:gridCol w:w="1702"/>
        <w:gridCol w:w="1324"/>
        <w:gridCol w:w="1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r>
              <w:rPr>
                <w:rFonts w:hint="default"/>
                <w:sz w:val="24"/>
                <w:szCs w:val="22"/>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r>
              <w:rPr>
                <w:rFonts w:hint="default"/>
                <w:sz w:val="24"/>
                <w:szCs w:val="22"/>
              </w:rPr>
              <w:t>名称</w:t>
            </w:r>
          </w:p>
        </w:tc>
        <w:tc>
          <w:tcPr>
            <w:tcW w:w="1135" w:type="dxa"/>
            <w:tcBorders>
              <w:top w:val="single" w:color="auto" w:sz="4" w:space="0"/>
              <w:left w:val="single" w:color="auto" w:sz="4" w:space="0"/>
              <w:bottom w:val="single" w:color="auto" w:sz="4" w:space="0"/>
              <w:right w:val="single" w:color="auto" w:sz="4" w:space="0"/>
            </w:tcBorders>
            <w:vAlign w:val="center"/>
          </w:tcPr>
          <w:p>
            <w:pPr>
              <w:pStyle w:val="100"/>
              <w:snapToGrid w:val="0"/>
              <w:spacing w:before="120" w:after="120"/>
              <w:rPr>
                <w:rFonts w:hint="default" w:ascii="Times New Roman" w:eastAsia="宋体"/>
                <w:szCs w:val="22"/>
              </w:rPr>
            </w:pPr>
            <w:r>
              <w:rPr>
                <w:rFonts w:hint="default" w:ascii="Times New Roman" w:eastAsia="宋体"/>
                <w:szCs w:val="22"/>
              </w:rPr>
              <w:t>品牌</w:t>
            </w: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r>
              <w:rPr>
                <w:rFonts w:hint="default"/>
                <w:sz w:val="24"/>
                <w:szCs w:val="22"/>
              </w:rPr>
              <w:t>规格型号</w:t>
            </w: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r>
              <w:rPr>
                <w:rFonts w:hint="default"/>
                <w:sz w:val="24"/>
                <w:szCs w:val="22"/>
              </w:rPr>
              <w:t>单位及数量</w:t>
            </w: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r>
              <w:rPr>
                <w:rFonts w:hint="default"/>
                <w:sz w:val="24"/>
                <w:szCs w:val="22"/>
              </w:rPr>
              <w:t>单价</w:t>
            </w: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r>
              <w:rPr>
                <w:rFonts w:hint="default"/>
                <w:sz w:val="24"/>
                <w:szCs w:val="22"/>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4183"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spacing w:val="20"/>
                <w:szCs w:val="24"/>
              </w:rPr>
            </w:pPr>
            <w:r>
              <w:rPr>
                <w:rFonts w:ascii="宋体" w:hAnsi="宋体" w:cs="宋体"/>
                <w:kern w:val="0"/>
                <w:szCs w:val="21"/>
              </w:rPr>
              <w:t>安装、调试费</w:t>
            </w: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4183"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spacing w:val="20"/>
                <w:szCs w:val="24"/>
              </w:rPr>
            </w:pPr>
            <w:r>
              <w:rPr>
                <w:rFonts w:ascii="宋体" w:hAnsi="宋体" w:cs="宋体"/>
                <w:kern w:val="0"/>
                <w:szCs w:val="21"/>
              </w:rPr>
              <w:t>运输费</w:t>
            </w: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4183" w:type="dxa"/>
            <w:gridSpan w:val="3"/>
            <w:tcBorders>
              <w:top w:val="single" w:color="auto" w:sz="4" w:space="0"/>
              <w:left w:val="single" w:color="auto" w:sz="4" w:space="0"/>
              <w:bottom w:val="single" w:color="auto" w:sz="4" w:space="0"/>
              <w:right w:val="single" w:color="auto" w:sz="4" w:space="0"/>
            </w:tcBorders>
            <w:vAlign w:val="center"/>
          </w:tcPr>
          <w:p>
            <w:pPr>
              <w:pStyle w:val="132"/>
              <w:tabs>
                <w:tab w:val="left" w:pos="1418"/>
              </w:tabs>
              <w:snapToGrid w:val="0"/>
              <w:spacing w:before="50" w:after="50" w:line="360" w:lineRule="auto"/>
              <w:rPr>
                <w:rFonts w:hint="default" w:ascii="Times New Roman" w:hAnsi="Times New Roman"/>
                <w:spacing w:val="20"/>
                <w:szCs w:val="24"/>
              </w:rPr>
            </w:pPr>
            <w:r>
              <w:rPr>
                <w:rFonts w:hint="default" w:ascii="Times New Roman" w:hAnsi="Times New Roman"/>
                <w:spacing w:val="20"/>
                <w:szCs w:val="24"/>
              </w:rPr>
              <w:t>其他：</w:t>
            </w: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7943"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r>
              <w:rPr>
                <w:rFonts w:hint="default"/>
                <w:spacing w:val="20"/>
                <w:sz w:val="24"/>
                <w:szCs w:val="22"/>
              </w:rPr>
              <w:t>投 标 总  价</w:t>
            </w:r>
          </w:p>
        </w:tc>
        <w:tc>
          <w:tcPr>
            <w:tcW w:w="1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auto"/>
              <w:jc w:val="center"/>
              <w:rPr>
                <w:rFonts w:hint="default"/>
                <w:spacing w:val="20"/>
                <w:sz w:val="24"/>
              </w:rPr>
            </w:pPr>
          </w:p>
        </w:tc>
      </w:tr>
    </w:tbl>
    <w:p>
      <w:pPr>
        <w:pStyle w:val="10"/>
        <w:snapToGrid w:val="0"/>
        <w:spacing w:before="156" w:after="156" w:line="360" w:lineRule="auto"/>
        <w:rPr>
          <w:rFonts w:hint="default" w:ascii="Times New Roman" w:hAnsi="Times New Roman"/>
        </w:rPr>
      </w:pPr>
      <w:r>
        <w:rPr>
          <w:rFonts w:hint="default" w:ascii="Times New Roman" w:hAnsi="Times New Roman"/>
          <w:kern w:val="0"/>
          <w:lang w:val="zh-CN"/>
        </w:rPr>
        <w:t>注：</w:t>
      </w:r>
      <w:r>
        <w:rPr>
          <w:rFonts w:ascii="Times New Roman" w:hAnsi="Times New Roman"/>
          <w:kern w:val="0"/>
        </w:rPr>
        <w:t>1、</w:t>
      </w:r>
      <w:r>
        <w:rPr>
          <w:rFonts w:hint="default" w:ascii="Times New Roman" w:hAnsi="Times New Roman"/>
        </w:rPr>
        <w:t>可根据具体情况调整报价明细清单格式，但应包括项目涉及的一切相关税、费等费用。</w:t>
      </w:r>
    </w:p>
    <w:p>
      <w:pPr>
        <w:spacing w:line="360" w:lineRule="auto"/>
        <w:ind w:firstLine="482" w:firstLineChars="200"/>
        <w:rPr>
          <w:rFonts w:hint="default" w:ascii="仿宋_GB2312" w:hAnsi="仿宋" w:eastAsia="仿宋_GB2312" w:cs="仿宋_GB2312"/>
          <w:kern w:val="0"/>
          <w:sz w:val="24"/>
          <w:lang w:val="zh-CN"/>
        </w:rPr>
      </w:pPr>
      <w:r>
        <w:rPr>
          <w:b/>
          <w:bCs/>
          <w:sz w:val="24"/>
        </w:rPr>
        <w:t>2、</w:t>
      </w:r>
      <w:r>
        <w:rPr>
          <w:rFonts w:hint="default"/>
          <w:b/>
          <w:bCs/>
          <w:sz w:val="24"/>
          <w:lang w:val="zh-CN"/>
        </w:rPr>
        <w:t>有关本项目实施所涉及的一切费用均计入报价。</w:t>
      </w:r>
      <w:r>
        <w:rPr>
          <w:b/>
          <w:bCs/>
          <w:sz w:val="24"/>
          <w:lang w:val="zh-CN"/>
        </w:rPr>
        <w:t>采购人将以合同形式有偿取得货物或服务，不接受投标人给予的赠品、回扣或者与采购无关的其他商品、服务，不得出现“</w:t>
      </w:r>
      <w:r>
        <w:rPr>
          <w:rFonts w:hint="default"/>
          <w:b/>
          <w:bCs/>
          <w:sz w:val="24"/>
          <w:lang w:val="zh-CN"/>
        </w:rPr>
        <w:t>0元”“免费赠送”等形式的无偿报价</w:t>
      </w:r>
      <w:r>
        <w:rPr>
          <w:b/>
          <w:bCs/>
          <w:sz w:val="24"/>
          <w:lang w:val="zh-CN"/>
        </w:rPr>
        <w:t>，</w:t>
      </w:r>
      <w:r>
        <w:rPr>
          <w:b/>
          <w:bCs/>
          <w:sz w:val="24"/>
        </w:rPr>
        <w:t>否则视为投标文件含有采购人不能接受的附加条件</w:t>
      </w:r>
      <w:r>
        <w:rPr>
          <w:rFonts w:ascii="仿宋_GB2312" w:hAnsi="仿宋" w:eastAsia="仿宋_GB2312"/>
          <w:b/>
          <w:bCs/>
          <w:sz w:val="24"/>
        </w:rPr>
        <w:t>的，投标无效</w:t>
      </w:r>
      <w:r>
        <w:rPr>
          <w:rFonts w:ascii="仿宋_GB2312" w:hAnsi="仿宋" w:eastAsia="仿宋_GB2312" w:cs="仿宋_GB2312"/>
          <w:b/>
          <w:kern w:val="0"/>
          <w:sz w:val="24"/>
          <w:lang w:val="zh-CN"/>
        </w:rPr>
        <w:t>。</w:t>
      </w:r>
    </w:p>
    <w:p>
      <w:pPr>
        <w:adjustRightInd w:val="0"/>
        <w:snapToGrid w:val="0"/>
        <w:spacing w:line="360" w:lineRule="auto"/>
        <w:ind w:firstLine="480" w:firstLineChars="200"/>
        <w:rPr>
          <w:rFonts w:hint="default" w:ascii="宋体" w:hAnsi="宋体" w:cs="宋体"/>
          <w:kern w:val="0"/>
          <w:sz w:val="24"/>
        </w:rPr>
      </w:pPr>
    </w:p>
    <w:p>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pPr>
        <w:pStyle w:val="10"/>
        <w:adjustRightInd w:val="0"/>
        <w:snapToGrid w:val="0"/>
        <w:spacing w:beforeLines="0" w:afterLines="0" w:line="360" w:lineRule="auto"/>
        <w:ind w:firstLine="480" w:firstLineChars="200"/>
        <w:outlineLvl w:val="0"/>
        <w:rPr>
          <w:rFonts w:hint="default" w:ascii="Times New Roman" w:hAnsi="Times New Roman"/>
          <w:kern w:val="0"/>
        </w:rPr>
      </w:pPr>
      <w:bookmarkStart w:id="106" w:name="_Toc26027"/>
      <w:r>
        <w:rPr>
          <w:rFonts w:hint="default" w:ascii="Times New Roman" w:hAnsi="Times New Roman"/>
          <w:kern w:val="0"/>
        </w:rPr>
        <w:t>日期：     年  月  日</w:t>
      </w:r>
      <w:bookmarkEnd w:id="106"/>
    </w:p>
    <w:p>
      <w:pPr>
        <w:adjustRightInd w:val="0"/>
        <w:snapToGrid w:val="0"/>
        <w:spacing w:line="440" w:lineRule="exact"/>
        <w:ind w:right="420"/>
        <w:rPr>
          <w:rFonts w:hint="default"/>
          <w:b/>
          <w:sz w:val="32"/>
          <w:szCs w:val="32"/>
        </w:rPr>
      </w:pPr>
      <w:r>
        <w:rPr>
          <w:rFonts w:hint="default"/>
          <w:kern w:val="0"/>
        </w:rPr>
        <w:br w:type="page"/>
      </w:r>
    </w:p>
    <w:p>
      <w:pPr>
        <w:pStyle w:val="73"/>
        <w:snapToGrid w:val="0"/>
        <w:spacing w:line="360" w:lineRule="auto"/>
        <w:ind w:firstLine="321" w:firstLineChars="100"/>
        <w:jc w:val="center"/>
        <w:rPr>
          <w:rFonts w:hint="default"/>
          <w:b/>
          <w:sz w:val="30"/>
          <w:szCs w:val="30"/>
        </w:rPr>
      </w:pPr>
      <w:r>
        <w:rPr>
          <w:rFonts w:ascii="宋体" w:hAnsi="宋体"/>
          <w:b/>
          <w:sz w:val="32"/>
          <w:szCs w:val="32"/>
        </w:rPr>
        <w:t>四、</w:t>
      </w:r>
      <w:r>
        <w:rPr>
          <w:rFonts w:hint="default"/>
          <w:b/>
          <w:sz w:val="30"/>
          <w:szCs w:val="30"/>
        </w:rPr>
        <w:t>代理服务费支付承诺书格式</w:t>
      </w:r>
    </w:p>
    <w:p>
      <w:pPr>
        <w:snapToGrid w:val="0"/>
        <w:spacing w:before="50" w:after="50" w:line="360" w:lineRule="auto"/>
        <w:rPr>
          <w:rFonts w:hint="default"/>
          <w:b/>
          <w:sz w:val="24"/>
        </w:rPr>
      </w:pPr>
    </w:p>
    <w:p>
      <w:pPr>
        <w:snapToGrid w:val="0"/>
        <w:spacing w:before="50" w:afterLines="50" w:line="360" w:lineRule="auto"/>
        <w:jc w:val="center"/>
        <w:rPr>
          <w:rFonts w:hint="default"/>
          <w:b/>
          <w:sz w:val="30"/>
          <w:szCs w:val="30"/>
        </w:rPr>
      </w:pPr>
      <w:r>
        <w:rPr>
          <w:rFonts w:hint="default"/>
          <w:b/>
          <w:sz w:val="30"/>
          <w:szCs w:val="30"/>
        </w:rPr>
        <w:t>代理服务费支付承诺书</w:t>
      </w:r>
    </w:p>
    <w:p>
      <w:pPr>
        <w:snapToGrid w:val="0"/>
        <w:spacing w:before="50" w:afterLines="50" w:line="360" w:lineRule="auto"/>
        <w:jc w:val="center"/>
        <w:rPr>
          <w:rFonts w:hint="default"/>
          <w:b/>
          <w:sz w:val="30"/>
          <w:szCs w:val="30"/>
        </w:rPr>
      </w:pPr>
    </w:p>
    <w:p>
      <w:pPr>
        <w:snapToGrid w:val="0"/>
        <w:spacing w:before="50" w:after="50" w:line="360" w:lineRule="auto"/>
        <w:rPr>
          <w:rFonts w:hint="default"/>
          <w:snapToGrid w:val="0"/>
          <w:kern w:val="0"/>
          <w:sz w:val="24"/>
        </w:rPr>
      </w:pPr>
      <w:r>
        <w:rPr>
          <w:rFonts w:hint="default"/>
          <w:snapToGrid w:val="0"/>
          <w:kern w:val="0"/>
          <w:sz w:val="24"/>
        </w:rPr>
        <w:t>致：</w:t>
      </w:r>
      <w:r>
        <w:rPr>
          <w:snapToGrid w:val="0"/>
          <w:kern w:val="0"/>
          <w:sz w:val="24"/>
        </w:rPr>
        <w:t>浙江豪圣建设项目管理有限公司</w:t>
      </w:r>
      <w:r>
        <w:rPr>
          <w:rFonts w:hint="default"/>
          <w:snapToGrid w:val="0"/>
          <w:kern w:val="0"/>
          <w:sz w:val="24"/>
        </w:rPr>
        <w:t>：</w:t>
      </w:r>
    </w:p>
    <w:p>
      <w:pPr>
        <w:snapToGrid w:val="0"/>
        <w:spacing w:before="50" w:after="50" w:line="360" w:lineRule="auto"/>
        <w:rPr>
          <w:rFonts w:hint="default"/>
          <w:snapToGrid w:val="0"/>
          <w:kern w:val="0"/>
          <w:sz w:val="24"/>
        </w:rPr>
      </w:pPr>
    </w:p>
    <w:p>
      <w:pPr>
        <w:snapToGrid w:val="0"/>
        <w:spacing w:before="50" w:after="50" w:line="360" w:lineRule="auto"/>
        <w:ind w:firstLine="630"/>
        <w:rPr>
          <w:rFonts w:hint="default"/>
          <w:snapToGrid w:val="0"/>
          <w:kern w:val="0"/>
          <w:sz w:val="24"/>
        </w:rPr>
      </w:pPr>
      <w:r>
        <w:rPr>
          <w:rFonts w:hint="default"/>
          <w:snapToGrid w:val="0"/>
          <w:kern w:val="0"/>
          <w:sz w:val="24"/>
        </w:rPr>
        <w:t>我公司已认真阅读了招标文件（项目编号：）并在此承诺：</w:t>
      </w:r>
    </w:p>
    <w:p>
      <w:pPr>
        <w:snapToGrid w:val="0"/>
        <w:spacing w:before="50" w:after="50" w:line="360" w:lineRule="auto"/>
        <w:ind w:firstLine="630"/>
        <w:rPr>
          <w:rFonts w:hint="default"/>
          <w:snapToGrid w:val="0"/>
          <w:kern w:val="0"/>
          <w:sz w:val="24"/>
        </w:rPr>
      </w:pPr>
      <w:r>
        <w:rPr>
          <w:rFonts w:hint="default"/>
          <w:snapToGrid w:val="0"/>
          <w:kern w:val="0"/>
          <w:sz w:val="24"/>
        </w:rPr>
        <w:t>如中标，我公司将自中标公告发布之日起5个工作日内按招标文件规定的标准（金额）一次性向采购代理机构支付代理服务费。</w:t>
      </w:r>
    </w:p>
    <w:p>
      <w:pPr>
        <w:snapToGrid w:val="0"/>
        <w:spacing w:before="50" w:after="50" w:line="360" w:lineRule="auto"/>
        <w:ind w:firstLine="630"/>
        <w:rPr>
          <w:rFonts w:hint="default"/>
          <w:snapToGrid w:val="0"/>
          <w:kern w:val="0"/>
          <w:sz w:val="24"/>
        </w:rPr>
      </w:pPr>
    </w:p>
    <w:p>
      <w:pPr>
        <w:snapToGrid w:val="0"/>
        <w:spacing w:before="50" w:after="50" w:line="360" w:lineRule="auto"/>
        <w:ind w:firstLine="630"/>
        <w:rPr>
          <w:rFonts w:hint="default"/>
          <w:snapToGrid w:val="0"/>
          <w:kern w:val="0"/>
          <w:sz w:val="24"/>
        </w:rPr>
      </w:pPr>
    </w:p>
    <w:p>
      <w:pPr>
        <w:snapToGrid w:val="0"/>
        <w:spacing w:before="50" w:after="50" w:line="360" w:lineRule="auto"/>
        <w:ind w:firstLine="630"/>
        <w:rPr>
          <w:rFonts w:hint="default"/>
          <w:snapToGrid w:val="0"/>
          <w:kern w:val="0"/>
          <w:sz w:val="24"/>
        </w:rPr>
      </w:pPr>
    </w:p>
    <w:p>
      <w:pPr>
        <w:snapToGrid w:val="0"/>
        <w:spacing w:before="50" w:after="50" w:line="360" w:lineRule="auto"/>
        <w:ind w:firstLine="630"/>
        <w:rPr>
          <w:rFonts w:hint="default"/>
          <w:snapToGrid w:val="0"/>
          <w:kern w:val="0"/>
          <w:sz w:val="24"/>
        </w:rPr>
      </w:pPr>
    </w:p>
    <w:p>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pPr>
        <w:pStyle w:val="10"/>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07" w:name="_Toc21299"/>
      <w:r>
        <w:rPr>
          <w:rFonts w:hint="default" w:ascii="Times New Roman" w:hAnsi="Times New Roman"/>
          <w:kern w:val="0"/>
        </w:rPr>
        <w:t>日期：     年  月  日</w:t>
      </w:r>
      <w:bookmarkEnd w:id="107"/>
    </w:p>
    <w:p>
      <w:pPr>
        <w:pStyle w:val="73"/>
        <w:snapToGrid w:val="0"/>
        <w:spacing w:line="360" w:lineRule="auto"/>
        <w:ind w:left="360" w:firstLine="240" w:firstLineChars="100"/>
        <w:jc w:val="center"/>
        <w:rPr>
          <w:rFonts w:hint="default"/>
          <w:sz w:val="24"/>
          <w:szCs w:val="24"/>
        </w:rPr>
      </w:pPr>
    </w:p>
    <w:p>
      <w:pPr>
        <w:snapToGrid w:val="0"/>
        <w:spacing w:line="360" w:lineRule="auto"/>
        <w:ind w:firstLine="411" w:firstLineChars="196"/>
        <w:jc w:val="center"/>
        <w:rPr>
          <w:rFonts w:hint="default"/>
          <w:b/>
          <w:bCs/>
          <w:kern w:val="0"/>
          <w:sz w:val="36"/>
          <w:szCs w:val="36"/>
        </w:rPr>
      </w:pPr>
      <w:r>
        <w:rPr>
          <w:rFonts w:hint="default"/>
          <w:kern w:val="0"/>
        </w:rPr>
        <w:br w:type="page"/>
      </w:r>
      <w:bookmarkStart w:id="108" w:name="_Toc24661"/>
      <w:bookmarkStart w:id="109" w:name="_Toc10672"/>
      <w:r>
        <w:rPr>
          <w:rFonts w:hint="default"/>
          <w:b/>
          <w:bCs/>
          <w:kern w:val="0"/>
          <w:sz w:val="36"/>
          <w:szCs w:val="36"/>
        </w:rPr>
        <w:t>商务技术文件</w:t>
      </w:r>
    </w:p>
    <w:p>
      <w:pPr>
        <w:snapToGrid w:val="0"/>
        <w:spacing w:before="50" w:afterLines="50" w:line="360" w:lineRule="auto"/>
        <w:jc w:val="center"/>
        <w:rPr>
          <w:rFonts w:hint="default"/>
          <w:b/>
          <w:sz w:val="30"/>
          <w:szCs w:val="30"/>
          <w:lang w:val="zh-CN"/>
        </w:rPr>
      </w:pPr>
      <w:r>
        <w:rPr>
          <w:rFonts w:hint="default"/>
          <w:b/>
          <w:sz w:val="30"/>
          <w:szCs w:val="30"/>
          <w:lang w:val="zh-CN"/>
        </w:rPr>
        <w:t>一、法定代表人授权委托书</w:t>
      </w:r>
      <w:bookmarkEnd w:id="108"/>
      <w:bookmarkEnd w:id="109"/>
    </w:p>
    <w:p>
      <w:pPr>
        <w:snapToGrid w:val="0"/>
        <w:spacing w:line="360" w:lineRule="auto"/>
        <w:rPr>
          <w:rFonts w:hint="default"/>
          <w:sz w:val="24"/>
        </w:rPr>
      </w:pPr>
      <w:r>
        <w:rPr>
          <w:sz w:val="24"/>
        </w:rPr>
        <w:t>浙江机电职业技术学院:</w:t>
      </w:r>
    </w:p>
    <w:p>
      <w:pPr>
        <w:snapToGrid w:val="0"/>
        <w:spacing w:line="360" w:lineRule="auto"/>
        <w:rPr>
          <w:rFonts w:hint="default"/>
          <w:sz w:val="24"/>
        </w:rPr>
      </w:pPr>
      <w:r>
        <w:rPr>
          <w:rFonts w:hint="default"/>
          <w:sz w:val="24"/>
        </w:rPr>
        <w:t>浙江豪圣建设项目管理有限公司：</w:t>
      </w:r>
    </w:p>
    <w:p>
      <w:pPr>
        <w:snapToGrid w:val="0"/>
        <w:spacing w:line="360" w:lineRule="auto"/>
        <w:ind w:firstLine="480" w:firstLineChars="200"/>
        <w:rPr>
          <w:rFonts w:hint="default"/>
          <w:sz w:val="24"/>
        </w:rPr>
      </w:pPr>
      <w:r>
        <w:rPr>
          <w:rFonts w:hint="default"/>
          <w:kern w:val="0"/>
          <w:sz w:val="24"/>
          <w:lang w:val="zh-CN"/>
        </w:rPr>
        <w:t>兹委派我公司先生/女士(其在本公司的职务是：，联系电话：手机：传真：)，代表我公司全权处理</w:t>
      </w:r>
      <w:r>
        <w:rPr>
          <w:rFonts w:hint="eastAsia"/>
          <w:sz w:val="24"/>
          <w:u w:val="single"/>
          <w:lang w:eastAsia="zh-CN"/>
        </w:rPr>
        <w:t>数字化制造与检测技术中心数字化制造单元项目</w:t>
      </w:r>
      <w:r>
        <w:rPr>
          <w:rFonts w:hint="default"/>
          <w:sz w:val="24"/>
        </w:rPr>
        <w:t>(项目编号：</w:t>
      </w:r>
      <w:r>
        <w:rPr>
          <w:sz w:val="24"/>
          <w:u w:val="single"/>
        </w:rPr>
        <w:t>HSZB-2023-626</w:t>
      </w:r>
      <w:r>
        <w:rPr>
          <w:rFonts w:hint="default"/>
          <w:sz w:val="24"/>
        </w:rPr>
        <w:t>)政府采购投标的一切事项，若中标则全权代表本公司签订相关合同，</w:t>
      </w:r>
      <w:r>
        <w:rPr>
          <w:rFonts w:hint="default"/>
          <w:kern w:val="0"/>
          <w:sz w:val="24"/>
          <w:lang w:val="zh-CN"/>
        </w:rPr>
        <w:t>并负责处理合同履行等事宜。</w:t>
      </w:r>
    </w:p>
    <w:p>
      <w:pPr>
        <w:snapToGrid w:val="0"/>
        <w:spacing w:line="360" w:lineRule="auto"/>
        <w:rPr>
          <w:rFonts w:hint="default"/>
          <w:kern w:val="0"/>
          <w:sz w:val="24"/>
        </w:rPr>
      </w:pPr>
      <w:r>
        <w:rPr>
          <w:rFonts w:hint="default"/>
          <w:kern w:val="0"/>
          <w:sz w:val="24"/>
          <w:lang w:val="zh-CN"/>
        </w:rPr>
        <w:t xml:space="preserve">    特此告知。</w:t>
      </w:r>
    </w:p>
    <w:p>
      <w:pPr>
        <w:snapToGrid w:val="0"/>
        <w:spacing w:line="360" w:lineRule="auto"/>
        <w:jc w:val="left"/>
        <w:rPr>
          <w:rFonts w:hint="default"/>
          <w:kern w:val="0"/>
          <w:sz w:val="24"/>
        </w:rPr>
      </w:pPr>
    </w:p>
    <w:p>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pPr>
        <w:widowControl/>
        <w:adjustRightInd w:val="0"/>
        <w:snapToGrid w:val="0"/>
        <w:spacing w:line="360" w:lineRule="auto"/>
        <w:ind w:firstLine="480" w:firstLineChars="200"/>
        <w:jc w:val="left"/>
        <w:rPr>
          <w:rFonts w:hint="default"/>
          <w:kern w:val="0"/>
          <w:sz w:val="24"/>
        </w:rPr>
      </w:pPr>
      <w:r>
        <w:rPr>
          <w:rFonts w:hint="default"/>
          <w:kern w:val="0"/>
          <w:sz w:val="24"/>
        </w:rPr>
        <w:t>法定代表人（签字或盖章）：</w:t>
      </w:r>
    </w:p>
    <w:p>
      <w:pPr>
        <w:pStyle w:val="10"/>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10" w:name="_Toc16708"/>
      <w:r>
        <w:rPr>
          <w:rFonts w:hint="default" w:ascii="Times New Roman" w:hAnsi="Times New Roman"/>
          <w:kern w:val="0"/>
        </w:rPr>
        <w:t>日期：     年  月  日</w:t>
      </w:r>
      <w:bookmarkEnd w:id="110"/>
    </w:p>
    <w:p>
      <w:pPr>
        <w:snapToGrid w:val="0"/>
        <w:spacing w:line="360" w:lineRule="auto"/>
        <w:ind w:right="480"/>
        <w:jc w:val="center"/>
        <w:rPr>
          <w:rFonts w:hint="default"/>
          <w:b/>
          <w:bCs/>
          <w:kern w:val="0"/>
          <w:sz w:val="24"/>
          <w:lang w:val="zh-CN"/>
        </w:rPr>
      </w:pPr>
    </w:p>
    <w:p>
      <w:pPr>
        <w:snapToGrid w:val="0"/>
        <w:spacing w:line="360" w:lineRule="auto"/>
        <w:ind w:firstLine="482" w:firstLineChars="200"/>
        <w:rPr>
          <w:rFonts w:hint="default"/>
          <w:b/>
          <w:bCs/>
          <w:kern w:val="0"/>
          <w:sz w:val="24"/>
          <w:lang w:val="zh-CN"/>
        </w:rPr>
      </w:pPr>
    </w:p>
    <w:p>
      <w:pPr>
        <w:pStyle w:val="10"/>
        <w:snapToGrid w:val="0"/>
        <w:spacing w:before="156" w:after="156" w:line="360" w:lineRule="auto"/>
        <w:ind w:firstLine="643" w:firstLineChars="200"/>
        <w:jc w:val="center"/>
        <w:outlineLvl w:val="0"/>
        <w:rPr>
          <w:rFonts w:hint="default" w:ascii="Times New Roman" w:hAnsi="Times New Roman"/>
          <w:b/>
          <w:sz w:val="32"/>
          <w:szCs w:val="32"/>
          <w:lang w:val="zh-CN"/>
        </w:rPr>
        <w:sectPr>
          <w:headerReference r:id="rId10" w:type="default"/>
          <w:footerReference r:id="rId11" w:type="default"/>
          <w:pgSz w:w="11906" w:h="16838"/>
          <w:pgMar w:top="1134" w:right="1247" w:bottom="1247" w:left="1304" w:header="794" w:footer="794" w:gutter="0"/>
          <w:cols w:space="720" w:num="1"/>
          <w:docGrid w:type="lines" w:linePitch="312" w:charSpace="0"/>
        </w:sectPr>
      </w:pPr>
      <w:bookmarkStart w:id="111" w:name="_Toc14452"/>
    </w:p>
    <w:p>
      <w:pPr>
        <w:pStyle w:val="10"/>
        <w:snapToGrid w:val="0"/>
        <w:spacing w:before="156" w:after="156" w:line="360" w:lineRule="auto"/>
        <w:ind w:firstLine="643" w:firstLineChars="200"/>
        <w:jc w:val="center"/>
        <w:outlineLvl w:val="0"/>
        <w:rPr>
          <w:rFonts w:hint="default" w:ascii="Times New Roman" w:hAnsi="Times New Roman"/>
          <w:b/>
          <w:sz w:val="32"/>
          <w:szCs w:val="32"/>
          <w:lang w:val="zh-CN"/>
        </w:rPr>
      </w:pPr>
      <w:bookmarkStart w:id="112" w:name="_Toc23434"/>
      <w:bookmarkStart w:id="113" w:name="_Toc719"/>
      <w:bookmarkStart w:id="114" w:name="_Toc21551"/>
      <w:bookmarkStart w:id="115" w:name="_Toc15275"/>
      <w:r>
        <w:rPr>
          <w:rFonts w:hint="default" w:ascii="Times New Roman" w:hAnsi="Times New Roman"/>
          <w:b/>
          <w:sz w:val="32"/>
          <w:szCs w:val="32"/>
          <w:lang w:val="zh-CN"/>
        </w:rPr>
        <w:t>二、法定代表人及授权代表人的身份证 (复印件加盖公章)</w:t>
      </w:r>
      <w:bookmarkEnd w:id="111"/>
      <w:bookmarkEnd w:id="112"/>
      <w:bookmarkEnd w:id="113"/>
      <w:bookmarkEnd w:id="114"/>
      <w:bookmarkEnd w:id="115"/>
    </w:p>
    <w:p>
      <w:pPr>
        <w:snapToGrid w:val="0"/>
        <w:spacing w:line="360" w:lineRule="auto"/>
        <w:ind w:right="480"/>
        <w:jc w:val="center"/>
        <w:rPr>
          <w:rFonts w:hint="default"/>
          <w:b/>
          <w:bCs/>
          <w:kern w:val="0"/>
          <w:sz w:val="24"/>
          <w:lang w:val="zh-CN"/>
        </w:rPr>
      </w:pPr>
    </w:p>
    <w:p>
      <w:pPr>
        <w:snapToGrid w:val="0"/>
        <w:spacing w:line="360" w:lineRule="auto"/>
        <w:ind w:right="480"/>
        <w:rPr>
          <w:rFonts w:hint="default"/>
          <w:b/>
          <w:bCs/>
          <w:kern w:val="0"/>
          <w:sz w:val="24"/>
          <w:lang w:val="zh-CN"/>
        </w:rPr>
      </w:pPr>
    </w:p>
    <w:p>
      <w:pPr>
        <w:shd w:val="clear" w:color="auto" w:fill="FFFFFF"/>
        <w:snapToGrid w:val="0"/>
        <w:spacing w:line="360" w:lineRule="auto"/>
        <w:rPr>
          <w:rFonts w:hint="default" w:ascii="宋体" w:hAnsi="宋体" w:cs="宋体"/>
          <w:b/>
          <w:bCs/>
          <w:sz w:val="24"/>
        </w:rPr>
      </w:pPr>
      <w:bookmarkStart w:id="116" w:name="_Toc17748"/>
      <w:r>
        <w:rPr>
          <w:rFonts w:ascii="宋体" w:hAnsi="宋体" w:cs="宋体"/>
          <w:b/>
          <w:bCs/>
          <w:sz w:val="24"/>
        </w:rPr>
        <w:t>▲供应商授权代表必须为供应商本单位在职职工，并提供投标（响应）截止时间前3个月内任意一月社保缴纳证明（授权代表为法定代表人可不提供）；</w:t>
      </w:r>
    </w:p>
    <w:p>
      <w:pPr>
        <w:pStyle w:val="10"/>
        <w:snapToGrid w:val="0"/>
        <w:spacing w:before="156" w:after="156" w:line="360" w:lineRule="auto"/>
        <w:ind w:firstLine="643" w:firstLineChars="200"/>
        <w:jc w:val="center"/>
        <w:outlineLvl w:val="0"/>
        <w:rPr>
          <w:rFonts w:hint="default" w:ascii="Times New Roman" w:hAnsi="Times New Roman"/>
          <w:b/>
          <w:sz w:val="32"/>
          <w:szCs w:val="32"/>
          <w:lang w:val="zh-CN"/>
        </w:rPr>
        <w:sectPr>
          <w:pgSz w:w="11906" w:h="16838"/>
          <w:pgMar w:top="1134" w:right="1247" w:bottom="1247" w:left="1304" w:header="794" w:footer="794" w:gutter="0"/>
          <w:cols w:space="720" w:num="1"/>
          <w:docGrid w:type="lines" w:linePitch="312" w:charSpace="0"/>
        </w:sectPr>
      </w:pPr>
    </w:p>
    <w:bookmarkEnd w:id="116"/>
    <w:p>
      <w:pPr>
        <w:pStyle w:val="10"/>
        <w:snapToGrid w:val="0"/>
        <w:spacing w:before="156" w:after="156" w:line="360" w:lineRule="auto"/>
        <w:ind w:firstLine="643" w:firstLineChars="200"/>
        <w:jc w:val="center"/>
        <w:outlineLvl w:val="0"/>
        <w:rPr>
          <w:rFonts w:hint="default" w:ascii="Times New Roman" w:hAnsi="Times New Roman"/>
          <w:b/>
          <w:sz w:val="32"/>
          <w:szCs w:val="32"/>
          <w:lang w:val="zh-CN"/>
        </w:rPr>
      </w:pPr>
      <w:bookmarkStart w:id="117" w:name="_Toc23712"/>
      <w:bookmarkStart w:id="118" w:name="_Toc1529"/>
      <w:bookmarkStart w:id="119" w:name="_Toc7478"/>
      <w:bookmarkStart w:id="120" w:name="_Toc31020"/>
      <w:bookmarkStart w:id="121" w:name="_Toc6649"/>
      <w:r>
        <w:rPr>
          <w:rFonts w:ascii="Times New Roman" w:hAnsi="Times New Roman"/>
          <w:b/>
          <w:sz w:val="32"/>
          <w:szCs w:val="32"/>
        </w:rPr>
        <w:t>三</w:t>
      </w:r>
      <w:r>
        <w:rPr>
          <w:rFonts w:hint="default" w:ascii="Times New Roman" w:hAnsi="Times New Roman"/>
          <w:b/>
          <w:sz w:val="32"/>
          <w:szCs w:val="32"/>
          <w:lang w:val="zh-CN"/>
        </w:rPr>
        <w:t>、公司介绍及同类项目经验</w:t>
      </w:r>
      <w:bookmarkEnd w:id="117"/>
      <w:bookmarkEnd w:id="118"/>
      <w:bookmarkEnd w:id="119"/>
      <w:bookmarkEnd w:id="120"/>
      <w:bookmarkEnd w:id="121"/>
    </w:p>
    <w:p>
      <w:pPr>
        <w:autoSpaceDE w:val="0"/>
        <w:autoSpaceDN w:val="0"/>
        <w:snapToGrid w:val="0"/>
        <w:spacing w:line="360" w:lineRule="auto"/>
        <w:ind w:firstLine="5160" w:firstLineChars="2150"/>
        <w:rPr>
          <w:rFonts w:hint="default"/>
          <w:kern w:val="0"/>
          <w:sz w:val="24"/>
          <w:lang w:val="zh-CN"/>
        </w:rPr>
      </w:pPr>
    </w:p>
    <w:p>
      <w:pPr>
        <w:snapToGrid w:val="0"/>
        <w:spacing w:line="360" w:lineRule="auto"/>
        <w:jc w:val="left"/>
        <w:rPr>
          <w:rFonts w:hint="default"/>
          <w:sz w:val="24"/>
          <w:u w:val="single"/>
        </w:rPr>
      </w:pPr>
      <w:r>
        <w:rPr>
          <w:rFonts w:hint="default"/>
          <w:sz w:val="24"/>
        </w:rPr>
        <w:t>项目名称：                           项目编号：</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163"/>
        <w:gridCol w:w="1865"/>
        <w:gridCol w:w="227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58" w:type="dxa"/>
            <w:vAlign w:val="center"/>
          </w:tcPr>
          <w:p>
            <w:pPr>
              <w:jc w:val="center"/>
              <w:rPr>
                <w:rFonts w:hint="default"/>
                <w:sz w:val="24"/>
                <w:szCs w:val="22"/>
              </w:rPr>
            </w:pPr>
            <w:r>
              <w:rPr>
                <w:rFonts w:hint="default"/>
                <w:sz w:val="24"/>
                <w:szCs w:val="22"/>
              </w:rPr>
              <w:t>序号</w:t>
            </w:r>
          </w:p>
        </w:tc>
        <w:tc>
          <w:tcPr>
            <w:tcW w:w="2163" w:type="dxa"/>
            <w:vAlign w:val="center"/>
          </w:tcPr>
          <w:p>
            <w:pPr>
              <w:jc w:val="center"/>
              <w:rPr>
                <w:rFonts w:hint="default"/>
                <w:sz w:val="24"/>
                <w:szCs w:val="22"/>
              </w:rPr>
            </w:pPr>
            <w:r>
              <w:rPr>
                <w:rFonts w:hint="default"/>
                <w:sz w:val="24"/>
                <w:szCs w:val="22"/>
              </w:rPr>
              <w:t>项目名称</w:t>
            </w:r>
          </w:p>
        </w:tc>
        <w:tc>
          <w:tcPr>
            <w:tcW w:w="1865" w:type="dxa"/>
            <w:vAlign w:val="center"/>
          </w:tcPr>
          <w:p>
            <w:pPr>
              <w:jc w:val="center"/>
              <w:rPr>
                <w:rFonts w:hint="default"/>
                <w:sz w:val="24"/>
                <w:szCs w:val="22"/>
              </w:rPr>
            </w:pPr>
            <w:r>
              <w:rPr>
                <w:sz w:val="24"/>
                <w:szCs w:val="22"/>
              </w:rPr>
              <w:t>采购</w:t>
            </w:r>
            <w:r>
              <w:rPr>
                <w:rFonts w:hint="default"/>
                <w:sz w:val="24"/>
                <w:szCs w:val="22"/>
              </w:rPr>
              <w:t>单位</w:t>
            </w:r>
          </w:p>
        </w:tc>
        <w:tc>
          <w:tcPr>
            <w:tcW w:w="2275" w:type="dxa"/>
            <w:vAlign w:val="center"/>
          </w:tcPr>
          <w:p>
            <w:pPr>
              <w:jc w:val="center"/>
              <w:rPr>
                <w:rFonts w:hint="default"/>
                <w:sz w:val="24"/>
                <w:szCs w:val="22"/>
              </w:rPr>
            </w:pPr>
            <w:r>
              <w:rPr>
                <w:rFonts w:hint="default"/>
                <w:sz w:val="24"/>
                <w:szCs w:val="22"/>
              </w:rPr>
              <w:t>合同签订时间</w:t>
            </w:r>
          </w:p>
        </w:tc>
        <w:tc>
          <w:tcPr>
            <w:tcW w:w="1676" w:type="dxa"/>
            <w:vAlign w:val="center"/>
          </w:tcPr>
          <w:p>
            <w:pPr>
              <w:jc w:val="center"/>
              <w:rPr>
                <w:rFonts w:hint="default"/>
                <w:sz w:val="24"/>
                <w:szCs w:val="22"/>
              </w:rPr>
            </w:pPr>
            <w:r>
              <w:rPr>
                <w:rFonts w:hint="default"/>
                <w:sz w:val="24"/>
                <w:szCs w:val="22"/>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pPr>
              <w:jc w:val="center"/>
              <w:rPr>
                <w:rFonts w:hint="default"/>
                <w:sz w:val="24"/>
                <w:szCs w:val="22"/>
              </w:rPr>
            </w:pPr>
            <w:r>
              <w:rPr>
                <w:rFonts w:hint="default"/>
                <w:sz w:val="24"/>
                <w:szCs w:val="22"/>
              </w:rPr>
              <w:t>1</w:t>
            </w:r>
          </w:p>
        </w:tc>
        <w:tc>
          <w:tcPr>
            <w:tcW w:w="2163" w:type="dxa"/>
            <w:vAlign w:val="center"/>
          </w:tcPr>
          <w:p>
            <w:pPr>
              <w:rPr>
                <w:rFonts w:hint="default"/>
                <w:sz w:val="24"/>
                <w:szCs w:val="22"/>
              </w:rPr>
            </w:pPr>
          </w:p>
        </w:tc>
        <w:tc>
          <w:tcPr>
            <w:tcW w:w="1865" w:type="dxa"/>
            <w:vAlign w:val="center"/>
          </w:tcPr>
          <w:p>
            <w:pPr>
              <w:rPr>
                <w:rFonts w:hint="default"/>
                <w:sz w:val="24"/>
                <w:szCs w:val="22"/>
              </w:rPr>
            </w:pPr>
          </w:p>
        </w:tc>
        <w:tc>
          <w:tcPr>
            <w:tcW w:w="2275" w:type="dxa"/>
            <w:vAlign w:val="center"/>
          </w:tcPr>
          <w:p>
            <w:pPr>
              <w:rPr>
                <w:rFonts w:hint="default"/>
                <w:sz w:val="24"/>
                <w:szCs w:val="22"/>
              </w:rPr>
            </w:pPr>
          </w:p>
        </w:tc>
        <w:tc>
          <w:tcPr>
            <w:tcW w:w="1676" w:type="dxa"/>
            <w:vAlign w:val="center"/>
          </w:tcPr>
          <w:p>
            <w:pPr>
              <w:rPr>
                <w:rFonts w:hint="default"/>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pPr>
              <w:jc w:val="center"/>
              <w:rPr>
                <w:rFonts w:hint="default"/>
                <w:sz w:val="24"/>
                <w:szCs w:val="22"/>
              </w:rPr>
            </w:pPr>
            <w:r>
              <w:rPr>
                <w:rFonts w:hint="default"/>
                <w:sz w:val="24"/>
                <w:szCs w:val="22"/>
              </w:rPr>
              <w:t>2</w:t>
            </w:r>
          </w:p>
        </w:tc>
        <w:tc>
          <w:tcPr>
            <w:tcW w:w="2163" w:type="dxa"/>
            <w:vAlign w:val="center"/>
          </w:tcPr>
          <w:p>
            <w:pPr>
              <w:rPr>
                <w:rFonts w:hint="default"/>
                <w:sz w:val="24"/>
                <w:szCs w:val="22"/>
              </w:rPr>
            </w:pPr>
          </w:p>
        </w:tc>
        <w:tc>
          <w:tcPr>
            <w:tcW w:w="1865" w:type="dxa"/>
            <w:vAlign w:val="center"/>
          </w:tcPr>
          <w:p>
            <w:pPr>
              <w:rPr>
                <w:rFonts w:hint="default"/>
                <w:sz w:val="24"/>
                <w:szCs w:val="22"/>
              </w:rPr>
            </w:pPr>
          </w:p>
        </w:tc>
        <w:tc>
          <w:tcPr>
            <w:tcW w:w="2275" w:type="dxa"/>
            <w:vAlign w:val="center"/>
          </w:tcPr>
          <w:p>
            <w:pPr>
              <w:rPr>
                <w:rFonts w:hint="default"/>
                <w:sz w:val="24"/>
                <w:szCs w:val="22"/>
              </w:rPr>
            </w:pPr>
          </w:p>
        </w:tc>
        <w:tc>
          <w:tcPr>
            <w:tcW w:w="1676" w:type="dxa"/>
            <w:vAlign w:val="center"/>
          </w:tcPr>
          <w:p>
            <w:pPr>
              <w:rPr>
                <w:rFonts w:hint="default"/>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pPr>
              <w:jc w:val="center"/>
              <w:rPr>
                <w:rFonts w:hint="default"/>
                <w:sz w:val="24"/>
                <w:szCs w:val="22"/>
              </w:rPr>
            </w:pPr>
            <w:r>
              <w:rPr>
                <w:rFonts w:hint="default"/>
                <w:sz w:val="24"/>
                <w:szCs w:val="22"/>
              </w:rPr>
              <w:t>3</w:t>
            </w:r>
          </w:p>
        </w:tc>
        <w:tc>
          <w:tcPr>
            <w:tcW w:w="2163" w:type="dxa"/>
            <w:vAlign w:val="center"/>
          </w:tcPr>
          <w:p>
            <w:pPr>
              <w:rPr>
                <w:rFonts w:hint="default"/>
                <w:sz w:val="24"/>
                <w:szCs w:val="22"/>
              </w:rPr>
            </w:pPr>
          </w:p>
        </w:tc>
        <w:tc>
          <w:tcPr>
            <w:tcW w:w="1865" w:type="dxa"/>
            <w:vAlign w:val="center"/>
          </w:tcPr>
          <w:p>
            <w:pPr>
              <w:rPr>
                <w:rFonts w:hint="default"/>
                <w:sz w:val="24"/>
                <w:szCs w:val="22"/>
              </w:rPr>
            </w:pPr>
          </w:p>
        </w:tc>
        <w:tc>
          <w:tcPr>
            <w:tcW w:w="2275" w:type="dxa"/>
            <w:vAlign w:val="center"/>
          </w:tcPr>
          <w:p>
            <w:pPr>
              <w:rPr>
                <w:rFonts w:hint="default"/>
                <w:sz w:val="24"/>
                <w:szCs w:val="22"/>
              </w:rPr>
            </w:pPr>
          </w:p>
        </w:tc>
        <w:tc>
          <w:tcPr>
            <w:tcW w:w="1676" w:type="dxa"/>
            <w:vAlign w:val="center"/>
          </w:tcPr>
          <w:p>
            <w:pPr>
              <w:rPr>
                <w:rFonts w:hint="default"/>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pPr>
              <w:jc w:val="center"/>
              <w:rPr>
                <w:rFonts w:hint="default"/>
                <w:sz w:val="24"/>
                <w:szCs w:val="22"/>
              </w:rPr>
            </w:pPr>
            <w:r>
              <w:rPr>
                <w:rFonts w:hint="default"/>
                <w:sz w:val="24"/>
                <w:szCs w:val="22"/>
              </w:rPr>
              <w:t>4</w:t>
            </w:r>
          </w:p>
        </w:tc>
        <w:tc>
          <w:tcPr>
            <w:tcW w:w="2163" w:type="dxa"/>
            <w:vAlign w:val="center"/>
          </w:tcPr>
          <w:p>
            <w:pPr>
              <w:rPr>
                <w:rFonts w:hint="default"/>
                <w:sz w:val="24"/>
                <w:szCs w:val="22"/>
              </w:rPr>
            </w:pPr>
          </w:p>
        </w:tc>
        <w:tc>
          <w:tcPr>
            <w:tcW w:w="1865" w:type="dxa"/>
            <w:vAlign w:val="center"/>
          </w:tcPr>
          <w:p>
            <w:pPr>
              <w:rPr>
                <w:rFonts w:hint="default"/>
                <w:sz w:val="24"/>
                <w:szCs w:val="22"/>
              </w:rPr>
            </w:pPr>
          </w:p>
        </w:tc>
        <w:tc>
          <w:tcPr>
            <w:tcW w:w="2275" w:type="dxa"/>
            <w:vAlign w:val="center"/>
          </w:tcPr>
          <w:p>
            <w:pPr>
              <w:rPr>
                <w:rFonts w:hint="default"/>
                <w:sz w:val="24"/>
                <w:szCs w:val="22"/>
              </w:rPr>
            </w:pPr>
          </w:p>
        </w:tc>
        <w:tc>
          <w:tcPr>
            <w:tcW w:w="1676" w:type="dxa"/>
            <w:vAlign w:val="center"/>
          </w:tcPr>
          <w:p>
            <w:pPr>
              <w:rPr>
                <w:rFonts w:hint="default"/>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pPr>
              <w:jc w:val="center"/>
              <w:rPr>
                <w:rFonts w:hint="default"/>
                <w:sz w:val="24"/>
                <w:szCs w:val="22"/>
              </w:rPr>
            </w:pPr>
            <w:r>
              <w:rPr>
                <w:rFonts w:hint="default"/>
                <w:sz w:val="24"/>
                <w:szCs w:val="22"/>
              </w:rPr>
              <w:t>5</w:t>
            </w:r>
          </w:p>
        </w:tc>
        <w:tc>
          <w:tcPr>
            <w:tcW w:w="2163" w:type="dxa"/>
            <w:vAlign w:val="center"/>
          </w:tcPr>
          <w:p>
            <w:pPr>
              <w:rPr>
                <w:rFonts w:hint="default"/>
                <w:sz w:val="24"/>
                <w:szCs w:val="22"/>
              </w:rPr>
            </w:pPr>
          </w:p>
        </w:tc>
        <w:tc>
          <w:tcPr>
            <w:tcW w:w="1865" w:type="dxa"/>
            <w:vAlign w:val="center"/>
          </w:tcPr>
          <w:p>
            <w:pPr>
              <w:rPr>
                <w:rFonts w:hint="default"/>
                <w:sz w:val="24"/>
                <w:szCs w:val="22"/>
              </w:rPr>
            </w:pPr>
          </w:p>
        </w:tc>
        <w:tc>
          <w:tcPr>
            <w:tcW w:w="2275" w:type="dxa"/>
            <w:vAlign w:val="center"/>
          </w:tcPr>
          <w:p>
            <w:pPr>
              <w:rPr>
                <w:rFonts w:hint="default"/>
                <w:sz w:val="24"/>
                <w:szCs w:val="22"/>
              </w:rPr>
            </w:pPr>
          </w:p>
        </w:tc>
        <w:tc>
          <w:tcPr>
            <w:tcW w:w="1676" w:type="dxa"/>
            <w:vAlign w:val="center"/>
          </w:tcPr>
          <w:p>
            <w:pPr>
              <w:rPr>
                <w:rFonts w:hint="default"/>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pPr>
              <w:jc w:val="center"/>
              <w:rPr>
                <w:rFonts w:hint="default"/>
                <w:sz w:val="24"/>
                <w:szCs w:val="22"/>
              </w:rPr>
            </w:pPr>
            <w:r>
              <w:rPr>
                <w:rFonts w:hint="default"/>
                <w:sz w:val="24"/>
                <w:szCs w:val="22"/>
              </w:rPr>
              <w:t>6</w:t>
            </w:r>
          </w:p>
        </w:tc>
        <w:tc>
          <w:tcPr>
            <w:tcW w:w="2163" w:type="dxa"/>
            <w:vAlign w:val="center"/>
          </w:tcPr>
          <w:p>
            <w:pPr>
              <w:rPr>
                <w:rFonts w:hint="default"/>
                <w:sz w:val="24"/>
                <w:szCs w:val="22"/>
              </w:rPr>
            </w:pPr>
          </w:p>
        </w:tc>
        <w:tc>
          <w:tcPr>
            <w:tcW w:w="1865" w:type="dxa"/>
            <w:vAlign w:val="center"/>
          </w:tcPr>
          <w:p>
            <w:pPr>
              <w:rPr>
                <w:rFonts w:hint="default"/>
                <w:sz w:val="24"/>
                <w:szCs w:val="22"/>
              </w:rPr>
            </w:pPr>
          </w:p>
        </w:tc>
        <w:tc>
          <w:tcPr>
            <w:tcW w:w="2275" w:type="dxa"/>
            <w:vAlign w:val="center"/>
          </w:tcPr>
          <w:p>
            <w:pPr>
              <w:rPr>
                <w:rFonts w:hint="default"/>
                <w:sz w:val="24"/>
                <w:szCs w:val="22"/>
              </w:rPr>
            </w:pPr>
          </w:p>
        </w:tc>
        <w:tc>
          <w:tcPr>
            <w:tcW w:w="1676" w:type="dxa"/>
            <w:vAlign w:val="center"/>
          </w:tcPr>
          <w:p>
            <w:pPr>
              <w:rPr>
                <w:rFonts w:hint="default"/>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pPr>
              <w:jc w:val="center"/>
              <w:rPr>
                <w:rFonts w:hint="default"/>
                <w:sz w:val="24"/>
                <w:szCs w:val="22"/>
              </w:rPr>
            </w:pPr>
            <w:r>
              <w:rPr>
                <w:rFonts w:hint="default"/>
                <w:sz w:val="24"/>
                <w:szCs w:val="22"/>
              </w:rPr>
              <w:t>7</w:t>
            </w:r>
          </w:p>
        </w:tc>
        <w:tc>
          <w:tcPr>
            <w:tcW w:w="2163" w:type="dxa"/>
            <w:vAlign w:val="center"/>
          </w:tcPr>
          <w:p>
            <w:pPr>
              <w:rPr>
                <w:rFonts w:hint="default"/>
                <w:sz w:val="24"/>
                <w:szCs w:val="22"/>
              </w:rPr>
            </w:pPr>
          </w:p>
        </w:tc>
        <w:tc>
          <w:tcPr>
            <w:tcW w:w="1865" w:type="dxa"/>
            <w:vAlign w:val="center"/>
          </w:tcPr>
          <w:p>
            <w:pPr>
              <w:rPr>
                <w:rFonts w:hint="default"/>
                <w:sz w:val="24"/>
                <w:szCs w:val="22"/>
              </w:rPr>
            </w:pPr>
          </w:p>
        </w:tc>
        <w:tc>
          <w:tcPr>
            <w:tcW w:w="2275" w:type="dxa"/>
            <w:vAlign w:val="center"/>
          </w:tcPr>
          <w:p>
            <w:pPr>
              <w:rPr>
                <w:rFonts w:hint="default"/>
                <w:sz w:val="24"/>
                <w:szCs w:val="22"/>
              </w:rPr>
            </w:pPr>
          </w:p>
        </w:tc>
        <w:tc>
          <w:tcPr>
            <w:tcW w:w="1676" w:type="dxa"/>
            <w:vAlign w:val="center"/>
          </w:tcPr>
          <w:p>
            <w:pPr>
              <w:rPr>
                <w:rFonts w:hint="default"/>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pPr>
              <w:jc w:val="center"/>
              <w:rPr>
                <w:rFonts w:hint="default"/>
                <w:sz w:val="24"/>
                <w:szCs w:val="22"/>
              </w:rPr>
            </w:pPr>
            <w:r>
              <w:rPr>
                <w:rFonts w:hint="default"/>
                <w:sz w:val="24"/>
                <w:szCs w:val="22"/>
              </w:rPr>
              <w:t>8</w:t>
            </w:r>
          </w:p>
        </w:tc>
        <w:tc>
          <w:tcPr>
            <w:tcW w:w="2163" w:type="dxa"/>
            <w:vAlign w:val="center"/>
          </w:tcPr>
          <w:p>
            <w:pPr>
              <w:rPr>
                <w:rFonts w:hint="default"/>
                <w:sz w:val="24"/>
                <w:szCs w:val="22"/>
              </w:rPr>
            </w:pPr>
          </w:p>
        </w:tc>
        <w:tc>
          <w:tcPr>
            <w:tcW w:w="1865" w:type="dxa"/>
            <w:vAlign w:val="center"/>
          </w:tcPr>
          <w:p>
            <w:pPr>
              <w:rPr>
                <w:rFonts w:hint="default"/>
                <w:sz w:val="24"/>
                <w:szCs w:val="22"/>
              </w:rPr>
            </w:pPr>
          </w:p>
        </w:tc>
        <w:tc>
          <w:tcPr>
            <w:tcW w:w="2275" w:type="dxa"/>
            <w:vAlign w:val="center"/>
          </w:tcPr>
          <w:p>
            <w:pPr>
              <w:rPr>
                <w:rFonts w:hint="default"/>
                <w:sz w:val="24"/>
                <w:szCs w:val="22"/>
              </w:rPr>
            </w:pPr>
          </w:p>
        </w:tc>
        <w:tc>
          <w:tcPr>
            <w:tcW w:w="1676" w:type="dxa"/>
            <w:vAlign w:val="center"/>
          </w:tcPr>
          <w:p>
            <w:pPr>
              <w:rPr>
                <w:rFonts w:hint="default"/>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pPr>
              <w:jc w:val="center"/>
              <w:rPr>
                <w:rFonts w:hint="default"/>
                <w:sz w:val="24"/>
                <w:szCs w:val="22"/>
              </w:rPr>
            </w:pPr>
            <w:r>
              <w:rPr>
                <w:rFonts w:hint="default"/>
                <w:sz w:val="24"/>
                <w:szCs w:val="22"/>
              </w:rPr>
              <w:t>9</w:t>
            </w:r>
          </w:p>
        </w:tc>
        <w:tc>
          <w:tcPr>
            <w:tcW w:w="2163" w:type="dxa"/>
            <w:vAlign w:val="center"/>
          </w:tcPr>
          <w:p>
            <w:pPr>
              <w:rPr>
                <w:rFonts w:hint="default"/>
                <w:sz w:val="24"/>
                <w:szCs w:val="22"/>
              </w:rPr>
            </w:pPr>
          </w:p>
        </w:tc>
        <w:tc>
          <w:tcPr>
            <w:tcW w:w="1865" w:type="dxa"/>
            <w:vAlign w:val="center"/>
          </w:tcPr>
          <w:p>
            <w:pPr>
              <w:rPr>
                <w:rFonts w:hint="default"/>
                <w:sz w:val="24"/>
                <w:szCs w:val="22"/>
              </w:rPr>
            </w:pPr>
          </w:p>
        </w:tc>
        <w:tc>
          <w:tcPr>
            <w:tcW w:w="2275" w:type="dxa"/>
            <w:vAlign w:val="center"/>
          </w:tcPr>
          <w:p>
            <w:pPr>
              <w:rPr>
                <w:rFonts w:hint="default"/>
                <w:sz w:val="24"/>
                <w:szCs w:val="22"/>
              </w:rPr>
            </w:pPr>
          </w:p>
        </w:tc>
        <w:tc>
          <w:tcPr>
            <w:tcW w:w="1676" w:type="dxa"/>
            <w:vAlign w:val="center"/>
          </w:tcPr>
          <w:p>
            <w:pPr>
              <w:rPr>
                <w:rFonts w:hint="default"/>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58" w:type="dxa"/>
            <w:vAlign w:val="center"/>
          </w:tcPr>
          <w:p>
            <w:pPr>
              <w:jc w:val="center"/>
              <w:rPr>
                <w:rFonts w:hint="default"/>
                <w:sz w:val="24"/>
                <w:szCs w:val="22"/>
              </w:rPr>
            </w:pPr>
            <w:r>
              <w:rPr>
                <w:rFonts w:hint="default"/>
                <w:sz w:val="24"/>
                <w:szCs w:val="22"/>
              </w:rPr>
              <w:t>10</w:t>
            </w:r>
          </w:p>
        </w:tc>
        <w:tc>
          <w:tcPr>
            <w:tcW w:w="2163" w:type="dxa"/>
            <w:vAlign w:val="center"/>
          </w:tcPr>
          <w:p>
            <w:pPr>
              <w:rPr>
                <w:rFonts w:hint="default"/>
                <w:sz w:val="24"/>
                <w:szCs w:val="22"/>
              </w:rPr>
            </w:pPr>
          </w:p>
        </w:tc>
        <w:tc>
          <w:tcPr>
            <w:tcW w:w="1865" w:type="dxa"/>
            <w:vAlign w:val="center"/>
          </w:tcPr>
          <w:p>
            <w:pPr>
              <w:rPr>
                <w:rFonts w:hint="default"/>
                <w:sz w:val="24"/>
                <w:szCs w:val="22"/>
              </w:rPr>
            </w:pPr>
          </w:p>
        </w:tc>
        <w:tc>
          <w:tcPr>
            <w:tcW w:w="2275" w:type="dxa"/>
            <w:vAlign w:val="center"/>
          </w:tcPr>
          <w:p>
            <w:pPr>
              <w:rPr>
                <w:rFonts w:hint="default"/>
                <w:sz w:val="24"/>
                <w:szCs w:val="22"/>
              </w:rPr>
            </w:pPr>
          </w:p>
        </w:tc>
        <w:tc>
          <w:tcPr>
            <w:tcW w:w="1676" w:type="dxa"/>
            <w:vAlign w:val="center"/>
          </w:tcPr>
          <w:p>
            <w:pPr>
              <w:rPr>
                <w:rFonts w:hint="default"/>
                <w:sz w:val="24"/>
                <w:szCs w:val="22"/>
              </w:rPr>
            </w:pPr>
          </w:p>
        </w:tc>
      </w:tr>
    </w:tbl>
    <w:p>
      <w:pPr>
        <w:pStyle w:val="10"/>
        <w:spacing w:beforeLines="0" w:afterLines="0" w:line="360" w:lineRule="auto"/>
        <w:rPr>
          <w:rFonts w:hint="default" w:ascii="Times New Roman" w:hAnsi="Times New Roman"/>
          <w:b/>
          <w:bCs/>
        </w:rPr>
      </w:pPr>
      <w:r>
        <w:rPr>
          <w:rFonts w:hint="default" w:ascii="Times New Roman" w:hAnsi="Times New Roman"/>
          <w:b/>
        </w:rPr>
        <w:t>注：表中所列的业绩，</w:t>
      </w:r>
      <w:r>
        <w:rPr>
          <w:rFonts w:ascii="Times New Roman" w:hAnsi="Times New Roman"/>
          <w:b/>
        </w:rPr>
        <w:t>按评标办法提供证明材料</w:t>
      </w:r>
      <w:r>
        <w:rPr>
          <w:rFonts w:hint="default" w:ascii="Times New Roman" w:hAnsi="Times New Roman"/>
          <w:b/>
          <w:bCs/>
        </w:rPr>
        <w:t>。</w:t>
      </w:r>
    </w:p>
    <w:p>
      <w:pPr>
        <w:pStyle w:val="19"/>
        <w:snapToGrid w:val="0"/>
        <w:spacing w:line="360" w:lineRule="auto"/>
        <w:rPr>
          <w:rFonts w:hint="default" w:ascii="Times New Roman" w:hAnsi="Times New Roman"/>
          <w:lang w:val="zh-CN"/>
        </w:rPr>
      </w:pPr>
    </w:p>
    <w:p>
      <w:pPr>
        <w:pStyle w:val="19"/>
        <w:snapToGrid w:val="0"/>
        <w:spacing w:line="360" w:lineRule="auto"/>
        <w:rPr>
          <w:rFonts w:hint="default" w:ascii="Times New Roman" w:hAnsi="Times New Roman"/>
          <w:lang w:val="zh-CN"/>
        </w:rPr>
      </w:pPr>
    </w:p>
    <w:p>
      <w:pPr>
        <w:pStyle w:val="19"/>
        <w:snapToGrid w:val="0"/>
        <w:spacing w:line="360" w:lineRule="auto"/>
        <w:rPr>
          <w:rFonts w:hint="default" w:ascii="Times New Roman" w:hAnsi="Times New Roman"/>
          <w:lang w:val="zh-CN"/>
        </w:rPr>
      </w:pPr>
    </w:p>
    <w:p>
      <w:pPr>
        <w:adjustRightInd w:val="0"/>
        <w:snapToGrid w:val="0"/>
        <w:spacing w:line="360" w:lineRule="auto"/>
        <w:ind w:firstLine="480" w:firstLineChars="200"/>
        <w:rPr>
          <w:rFonts w:hint="default" w:ascii="宋体" w:hAnsi="宋体" w:cs="宋体"/>
          <w:kern w:val="0"/>
          <w:sz w:val="24"/>
        </w:rPr>
      </w:pPr>
      <w:bookmarkStart w:id="122" w:name="_Toc16760"/>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pPr>
        <w:pStyle w:val="10"/>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23" w:name="_Toc26327"/>
      <w:r>
        <w:rPr>
          <w:rFonts w:hint="default" w:ascii="Times New Roman" w:hAnsi="Times New Roman"/>
          <w:kern w:val="0"/>
        </w:rPr>
        <w:t>日期：     年  月  日</w:t>
      </w:r>
      <w:bookmarkEnd w:id="123"/>
    </w:p>
    <w:p>
      <w:pPr>
        <w:snapToGrid w:val="0"/>
        <w:spacing w:line="360" w:lineRule="auto"/>
        <w:ind w:left="570"/>
        <w:jc w:val="center"/>
        <w:outlineLvl w:val="0"/>
        <w:rPr>
          <w:rFonts w:hint="default"/>
          <w:b/>
          <w:sz w:val="32"/>
          <w:szCs w:val="32"/>
        </w:rPr>
        <w:sectPr>
          <w:pgSz w:w="11906" w:h="16838"/>
          <w:pgMar w:top="1134" w:right="1247" w:bottom="1247" w:left="1304" w:header="794" w:footer="794" w:gutter="0"/>
          <w:cols w:space="720" w:num="1"/>
          <w:docGrid w:type="lines" w:linePitch="312" w:charSpace="0"/>
        </w:sectPr>
      </w:pPr>
      <w:bookmarkStart w:id="124" w:name="_Toc20407"/>
      <w:bookmarkStart w:id="125" w:name="_Toc5229"/>
      <w:bookmarkStart w:id="126" w:name="_Toc31280"/>
    </w:p>
    <w:p>
      <w:pPr>
        <w:pStyle w:val="10"/>
        <w:adjustRightInd w:val="0"/>
        <w:snapToGrid w:val="0"/>
        <w:spacing w:beforeLines="0" w:afterLines="0" w:line="360" w:lineRule="auto"/>
        <w:ind w:firstLine="643" w:firstLineChars="200"/>
        <w:jc w:val="center"/>
        <w:outlineLvl w:val="0"/>
        <w:rPr>
          <w:rFonts w:hint="default" w:ascii="Times New Roman" w:hAnsi="Times New Roman"/>
          <w:b/>
          <w:sz w:val="32"/>
          <w:szCs w:val="32"/>
        </w:rPr>
      </w:pPr>
      <w:bookmarkStart w:id="127" w:name="_Toc32753"/>
      <w:r>
        <w:rPr>
          <w:rFonts w:ascii="Times New Roman" w:hAnsi="Times New Roman"/>
          <w:b/>
          <w:sz w:val="32"/>
          <w:szCs w:val="32"/>
        </w:rPr>
        <w:t>四、分包意向协议</w:t>
      </w:r>
      <w:bookmarkEnd w:id="127"/>
    </w:p>
    <w:p>
      <w:pPr>
        <w:widowControl/>
        <w:adjustRightInd w:val="0"/>
        <w:snapToGrid w:val="0"/>
        <w:spacing w:line="360" w:lineRule="auto"/>
        <w:ind w:firstLine="120" w:firstLineChars="50"/>
        <w:jc w:val="left"/>
        <w:rPr>
          <w:rFonts w:hint="default" w:ascii="宋体" w:hAnsi="宋体" w:cs="宋体"/>
          <w:sz w:val="24"/>
        </w:rPr>
      </w:pPr>
      <w:r>
        <w:rPr>
          <w:rFonts w:ascii="宋体" w:hAnsi="宋体" w:cs="宋体"/>
          <w:sz w:val="24"/>
        </w:rPr>
        <w:t>（</w:t>
      </w:r>
      <w:r>
        <w:rPr>
          <w:rFonts w:ascii="宋体" w:hAnsi="宋体" w:cs="宋体"/>
          <w:b/>
          <w:sz w:val="24"/>
        </w:rPr>
        <w:t>中标后以分包方式履行合同的，提供分包意向协议；采购人不同意分包或者投标人中标后不以分包方式履行合同的，则不需要提供。</w:t>
      </w:r>
      <w:r>
        <w:rPr>
          <w:rFonts w:ascii="宋体" w:hAnsi="宋体" w:cs="宋体"/>
          <w:sz w:val="24"/>
        </w:rPr>
        <w:t>）</w:t>
      </w:r>
    </w:p>
    <w:p>
      <w:pPr>
        <w:pStyle w:val="9"/>
        <w:adjustRightInd w:val="0"/>
        <w:snapToGrid w:val="0"/>
        <w:spacing w:before="0" w:after="0" w:line="360" w:lineRule="auto"/>
        <w:rPr>
          <w:rFonts w:hint="default"/>
        </w:rPr>
      </w:pPr>
    </w:p>
    <w:p>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u w:val="single"/>
        </w:rPr>
        <w:t>（投标人名称）</w:t>
      </w:r>
      <w:r>
        <w:rPr>
          <w:rFonts w:ascii="宋体" w:hAnsi="宋体" w:cs="宋体"/>
          <w:kern w:val="0"/>
          <w:sz w:val="24"/>
          <w:lang w:val="zh-CN"/>
        </w:rPr>
        <w:t>若成为</w:t>
      </w:r>
      <w:r>
        <w:rPr>
          <w:rFonts w:ascii="宋体" w:hAnsi="宋体" w:cs="宋体"/>
          <w:sz w:val="24"/>
        </w:rPr>
        <w:t>（项目名称）【项目编号：     】</w:t>
      </w:r>
      <w:r>
        <w:rPr>
          <w:rFonts w:ascii="宋体" w:hAnsi="宋体" w:cs="宋体"/>
          <w:kern w:val="0"/>
          <w:sz w:val="24"/>
          <w:lang w:val="zh-CN"/>
        </w:rPr>
        <w:t>的成交供应商，将依法采取分包方式履行合同。</w:t>
      </w:r>
      <w:r>
        <w:rPr>
          <w:rFonts w:ascii="宋体" w:hAnsi="宋体" w:cs="宋体"/>
          <w:kern w:val="0"/>
          <w:sz w:val="24"/>
          <w:u w:val="single"/>
        </w:rPr>
        <w:t>（投标人名称）</w:t>
      </w:r>
      <w:r>
        <w:rPr>
          <w:rFonts w:ascii="宋体" w:hAnsi="宋体" w:cs="宋体"/>
          <w:kern w:val="0"/>
          <w:sz w:val="24"/>
        </w:rPr>
        <w:t>与</w:t>
      </w:r>
      <w:r>
        <w:rPr>
          <w:rFonts w:ascii="宋体" w:hAnsi="宋体" w:cs="宋体"/>
          <w:kern w:val="0"/>
          <w:sz w:val="24"/>
          <w:u w:val="single"/>
        </w:rPr>
        <w:t>（所有分包供应商名称）</w:t>
      </w:r>
      <w:r>
        <w:rPr>
          <w:rFonts w:ascii="宋体" w:hAnsi="宋体" w:cs="宋体"/>
          <w:kern w:val="0"/>
          <w:sz w:val="24"/>
        </w:rPr>
        <w:t>达成分包意向协议</w:t>
      </w:r>
      <w:r>
        <w:rPr>
          <w:rFonts w:ascii="宋体" w:hAnsi="宋体" w:cs="宋体"/>
          <w:kern w:val="0"/>
          <w:sz w:val="24"/>
          <w:lang w:val="zh-CN"/>
        </w:rPr>
        <w:t xml:space="preserve">。 </w:t>
      </w:r>
    </w:p>
    <w:p>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一、分包标的及数量</w:t>
      </w:r>
    </w:p>
    <w:p>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u w:val="single"/>
        </w:rPr>
        <w:t>（投标人名称）</w:t>
      </w:r>
      <w:r>
        <w:rPr>
          <w:rFonts w:ascii="宋体" w:hAnsi="宋体" w:cs="宋体"/>
          <w:kern w:val="0"/>
          <w:sz w:val="24"/>
          <w:lang w:val="zh-CN"/>
        </w:rPr>
        <w:t>将</w:t>
      </w:r>
      <w:r>
        <w:rPr>
          <w:rFonts w:ascii="宋体" w:hAnsi="宋体" w:cs="宋体"/>
          <w:u w:val="single"/>
        </w:rPr>
        <w:t xml:space="preserve">   XX工作内容   </w:t>
      </w:r>
      <w:r>
        <w:rPr>
          <w:rFonts w:ascii="宋体" w:hAnsi="宋体" w:cs="宋体"/>
          <w:sz w:val="24"/>
        </w:rPr>
        <w:t>分包给</w:t>
      </w:r>
      <w:r>
        <w:rPr>
          <w:rFonts w:ascii="宋体" w:hAnsi="宋体" w:cs="宋体"/>
          <w:kern w:val="0"/>
          <w:sz w:val="24"/>
          <w:u w:val="single"/>
        </w:rPr>
        <w:t>（某分包供应商名称）</w:t>
      </w:r>
      <w:r>
        <w:rPr>
          <w:rFonts w:ascii="宋体" w:hAnsi="宋体" w:cs="宋体"/>
          <w:kern w:val="0"/>
          <w:sz w:val="24"/>
          <w:lang w:val="zh-CN"/>
        </w:rPr>
        <w:t>，</w:t>
      </w:r>
      <w:r>
        <w:rPr>
          <w:rFonts w:ascii="宋体" w:hAnsi="宋体" w:cs="宋体"/>
          <w:kern w:val="0"/>
          <w:sz w:val="24"/>
          <w:u w:val="single"/>
        </w:rPr>
        <w:t>（某分包供应商名称），</w:t>
      </w:r>
      <w:r>
        <w:rPr>
          <w:rFonts w:ascii="宋体" w:hAnsi="宋体" w:cs="宋体"/>
          <w:kern w:val="0"/>
          <w:sz w:val="24"/>
          <w:lang w:val="zh-CN"/>
        </w:rPr>
        <w:t>具备承</w:t>
      </w:r>
      <w:r>
        <w:rPr>
          <w:rFonts w:ascii="宋体" w:hAnsi="宋体" w:cs="宋体"/>
          <w:kern w:val="0"/>
          <w:sz w:val="24"/>
        </w:rPr>
        <w:t>担</w:t>
      </w:r>
      <w:r>
        <w:rPr>
          <w:rFonts w:ascii="宋体" w:hAnsi="宋体" w:cs="宋体"/>
          <w:kern w:val="0"/>
          <w:sz w:val="24"/>
          <w:u w:val="single"/>
          <w:lang w:val="zh-CN"/>
        </w:rPr>
        <w:t>XX工作内容</w:t>
      </w:r>
      <w:r>
        <w:rPr>
          <w:rFonts w:ascii="宋体" w:hAnsi="宋体" w:cs="宋体"/>
          <w:kern w:val="0"/>
          <w:sz w:val="24"/>
          <w:lang w:val="zh-CN"/>
        </w:rPr>
        <w:t>相应资质条件且不得再次分包；</w:t>
      </w:r>
    </w:p>
    <w:p>
      <w:pPr>
        <w:pStyle w:val="7"/>
        <w:tabs>
          <w:tab w:val="left" w:pos="432"/>
        </w:tabs>
        <w:adjustRightInd w:val="0"/>
        <w:snapToGrid w:val="0"/>
        <w:spacing w:before="0" w:after="0" w:line="360" w:lineRule="auto"/>
        <w:ind w:left="664" w:leftChars="316" w:firstLine="229" w:firstLineChars="95"/>
        <w:rPr>
          <w:rFonts w:hint="default" w:ascii="宋体" w:hAnsi="宋体" w:eastAsia="宋体" w:cs="宋体"/>
        </w:rPr>
      </w:pPr>
      <w:r>
        <w:rPr>
          <w:rFonts w:ascii="宋体" w:hAnsi="宋体" w:eastAsia="宋体" w:cs="宋体"/>
          <w:kern w:val="0"/>
          <w:sz w:val="24"/>
          <w:szCs w:val="24"/>
        </w:rPr>
        <w:t>……</w:t>
      </w:r>
    </w:p>
    <w:p>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二、分包工作履行期限、地点、方式</w:t>
      </w:r>
    </w:p>
    <w:p>
      <w:pPr>
        <w:adjustRightInd w:val="0"/>
        <w:snapToGrid w:val="0"/>
        <w:spacing w:line="360" w:lineRule="auto"/>
        <w:ind w:firstLine="576"/>
        <w:rPr>
          <w:rFonts w:hint="default" w:ascii="宋体" w:hAnsi="宋体" w:cs="宋体"/>
          <w:u w:val="single"/>
        </w:rPr>
      </w:pPr>
    </w:p>
    <w:p>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三、质量</w:t>
      </w:r>
    </w:p>
    <w:p>
      <w:pPr>
        <w:adjustRightInd w:val="0"/>
        <w:snapToGrid w:val="0"/>
        <w:spacing w:line="360" w:lineRule="auto"/>
        <w:ind w:firstLine="576"/>
        <w:rPr>
          <w:rFonts w:hint="default" w:ascii="宋体" w:hAnsi="宋体" w:cs="宋体"/>
          <w:kern w:val="0"/>
          <w:sz w:val="24"/>
          <w:lang w:val="zh-CN"/>
        </w:rPr>
      </w:pPr>
    </w:p>
    <w:p>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四、价款或者报酬</w:t>
      </w:r>
    </w:p>
    <w:p>
      <w:pPr>
        <w:adjustRightInd w:val="0"/>
        <w:snapToGrid w:val="0"/>
        <w:spacing w:line="360" w:lineRule="auto"/>
        <w:ind w:left="573" w:leftChars="273"/>
        <w:rPr>
          <w:rFonts w:hint="default" w:ascii="宋体" w:hAnsi="宋体" w:cs="宋体"/>
          <w:kern w:val="0"/>
          <w:sz w:val="24"/>
          <w:lang w:val="zh-CN"/>
        </w:rPr>
      </w:pPr>
    </w:p>
    <w:p>
      <w:pPr>
        <w:adjustRightInd w:val="0"/>
        <w:snapToGrid w:val="0"/>
        <w:spacing w:line="360" w:lineRule="auto"/>
        <w:ind w:left="573" w:leftChars="273"/>
        <w:rPr>
          <w:rFonts w:hint="default" w:ascii="宋体" w:hAnsi="宋体" w:cs="宋体"/>
          <w:kern w:val="0"/>
          <w:sz w:val="24"/>
          <w:lang w:val="zh-CN"/>
        </w:rPr>
      </w:pPr>
      <w:r>
        <w:rPr>
          <w:rFonts w:ascii="宋体" w:hAnsi="宋体" w:cs="宋体"/>
          <w:kern w:val="0"/>
          <w:sz w:val="24"/>
          <w:lang w:val="zh-CN"/>
        </w:rPr>
        <w:t>五、违约责任</w:t>
      </w:r>
    </w:p>
    <w:p>
      <w:pPr>
        <w:adjustRightInd w:val="0"/>
        <w:snapToGrid w:val="0"/>
        <w:spacing w:line="360" w:lineRule="auto"/>
        <w:ind w:firstLine="576"/>
        <w:rPr>
          <w:rFonts w:hint="default" w:ascii="宋体" w:hAnsi="宋体" w:cs="宋体"/>
          <w:kern w:val="0"/>
          <w:sz w:val="24"/>
          <w:lang w:val="zh-CN"/>
        </w:rPr>
      </w:pPr>
    </w:p>
    <w:p>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六、争议解决的办法</w:t>
      </w:r>
    </w:p>
    <w:p>
      <w:pPr>
        <w:adjustRightInd w:val="0"/>
        <w:snapToGrid w:val="0"/>
        <w:spacing w:line="360" w:lineRule="auto"/>
        <w:ind w:firstLine="576"/>
        <w:rPr>
          <w:rFonts w:hint="default" w:ascii="宋体" w:hAnsi="宋体" w:cs="宋体"/>
          <w:kern w:val="0"/>
          <w:sz w:val="24"/>
          <w:lang w:val="zh-CN"/>
        </w:rPr>
      </w:pPr>
    </w:p>
    <w:p>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七、其他</w:t>
      </w:r>
    </w:p>
    <w:p>
      <w:pPr>
        <w:adjustRightInd w:val="0"/>
        <w:snapToGrid w:val="0"/>
        <w:spacing w:line="360" w:lineRule="auto"/>
        <w:ind w:firstLine="576"/>
        <w:rPr>
          <w:rFonts w:hint="default" w:ascii="宋体" w:hAnsi="宋体" w:cs="宋体"/>
          <w:b/>
          <w:kern w:val="0"/>
          <w:sz w:val="24"/>
          <w:lang w:val="zh-CN"/>
        </w:rPr>
      </w:pPr>
      <w:r>
        <w:rPr>
          <w:rFonts w:ascii="宋体" w:hAnsi="宋体" w:cs="宋体"/>
          <w:kern w:val="0"/>
          <w:sz w:val="24"/>
          <w:u w:val="single"/>
        </w:rPr>
        <w:t>（分包供应商名称）提供的货物全部由小微企业制造，</w:t>
      </w:r>
      <w:r>
        <w:rPr>
          <w:rFonts w:ascii="宋体" w:hAnsi="宋体" w:cs="宋体"/>
          <w:kern w:val="0"/>
          <w:sz w:val="24"/>
        </w:rPr>
        <w:t>其合同份额占到合同总金额%以上</w:t>
      </w:r>
      <w:r>
        <w:rPr>
          <w:rFonts w:ascii="宋体" w:hAnsi="宋体" w:cs="宋体"/>
        </w:rPr>
        <w:t>。</w:t>
      </w:r>
    </w:p>
    <w:p>
      <w:pPr>
        <w:adjustRightInd w:val="0"/>
        <w:snapToGrid w:val="0"/>
        <w:spacing w:line="440" w:lineRule="exact"/>
        <w:rPr>
          <w:rFonts w:hint="default" w:ascii="宋体" w:hAnsi="宋体" w:cs="宋体"/>
          <w:kern w:val="0"/>
          <w:sz w:val="24"/>
          <w:lang w:val="zh-CN"/>
        </w:rPr>
      </w:pPr>
      <w:r>
        <w:rPr>
          <w:rFonts w:ascii="宋体" w:hAnsi="宋体" w:cs="宋体"/>
          <w:kern w:val="0"/>
          <w:sz w:val="24"/>
        </w:rPr>
        <w:t>供应商</w:t>
      </w:r>
      <w:r>
        <w:rPr>
          <w:rFonts w:ascii="宋体" w:hAnsi="宋体" w:cs="宋体"/>
          <w:kern w:val="0"/>
          <w:sz w:val="24"/>
          <w:lang w:val="zh-CN"/>
        </w:rPr>
        <w:t>名称(电子签名/公章)：</w:t>
      </w:r>
    </w:p>
    <w:p>
      <w:pPr>
        <w:adjustRightInd w:val="0"/>
        <w:snapToGrid w:val="0"/>
        <w:spacing w:line="440" w:lineRule="exact"/>
        <w:ind w:firstLine="5640" w:firstLineChars="2350"/>
        <w:rPr>
          <w:rFonts w:hint="default" w:ascii="宋体" w:hAnsi="宋体" w:cs="宋体"/>
          <w:kern w:val="0"/>
          <w:sz w:val="24"/>
          <w:lang w:val="zh-CN"/>
        </w:rPr>
      </w:pPr>
      <w:r>
        <w:rPr>
          <w:rFonts w:ascii="宋体" w:hAnsi="宋体" w:cs="宋体"/>
          <w:kern w:val="0"/>
          <w:sz w:val="24"/>
          <w:lang w:val="zh-CN"/>
        </w:rPr>
        <w:t>分包供应商名称：</w:t>
      </w:r>
    </w:p>
    <w:p>
      <w:pPr>
        <w:adjustRightInd w:val="0"/>
        <w:snapToGrid w:val="0"/>
        <w:spacing w:line="440" w:lineRule="exact"/>
        <w:ind w:right="420"/>
        <w:rPr>
          <w:rFonts w:hint="default" w:ascii="宋体" w:hAnsi="宋体" w:cs="宋体"/>
          <w:kern w:val="0"/>
          <w:sz w:val="24"/>
          <w:lang w:val="zh-CN"/>
        </w:rPr>
      </w:pPr>
      <w:r>
        <w:rPr>
          <w:rFonts w:ascii="宋体" w:hAnsi="宋体" w:cs="宋体"/>
          <w:kern w:val="0"/>
          <w:sz w:val="24"/>
          <w:lang w:val="zh-CN"/>
        </w:rPr>
        <w:t xml:space="preserve">                                               日期：  年  月   日</w:t>
      </w:r>
    </w:p>
    <w:p>
      <w:pPr>
        <w:snapToGrid w:val="0"/>
        <w:spacing w:line="360" w:lineRule="auto"/>
        <w:ind w:left="570"/>
        <w:jc w:val="center"/>
        <w:outlineLvl w:val="0"/>
        <w:rPr>
          <w:rFonts w:hint="default"/>
          <w:b/>
          <w:sz w:val="32"/>
          <w:szCs w:val="32"/>
          <w:lang w:val="zh-CN"/>
        </w:rPr>
      </w:pPr>
      <w:r>
        <w:rPr>
          <w:rFonts w:ascii="宋体" w:hAnsi="宋体" w:cs="宋体"/>
          <w:kern w:val="0"/>
          <w:sz w:val="24"/>
          <w:lang w:val="zh-CN"/>
        </w:rPr>
        <w:br w:type="page"/>
      </w:r>
      <w:bookmarkStart w:id="128" w:name="_Toc11509"/>
      <w:r>
        <w:rPr>
          <w:b/>
          <w:sz w:val="32"/>
          <w:szCs w:val="32"/>
        </w:rPr>
        <w:t>五</w:t>
      </w:r>
      <w:r>
        <w:rPr>
          <w:rFonts w:hint="default"/>
          <w:b/>
          <w:sz w:val="32"/>
          <w:szCs w:val="32"/>
          <w:lang w:val="zh-CN"/>
        </w:rPr>
        <w:t>、商务技术偏离表</w:t>
      </w:r>
      <w:bookmarkEnd w:id="122"/>
      <w:bookmarkEnd w:id="124"/>
      <w:bookmarkEnd w:id="125"/>
      <w:bookmarkEnd w:id="126"/>
      <w:bookmarkEnd w:id="128"/>
    </w:p>
    <w:p>
      <w:pPr>
        <w:tabs>
          <w:tab w:val="left" w:pos="1418"/>
        </w:tabs>
        <w:snapToGrid w:val="0"/>
        <w:spacing w:before="50" w:after="50" w:line="360" w:lineRule="auto"/>
        <w:ind w:firstLine="480" w:firstLineChars="200"/>
        <w:rPr>
          <w:rFonts w:hint="default"/>
          <w:sz w:val="24"/>
        </w:rPr>
      </w:pPr>
      <w:r>
        <w:rPr>
          <w:rFonts w:hint="default"/>
          <w:sz w:val="24"/>
        </w:rPr>
        <w:t>项目名称：                       项目编号：</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6"/>
        <w:gridCol w:w="2097"/>
        <w:gridCol w:w="2112"/>
        <w:gridCol w:w="24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sz w:val="24"/>
                <w:szCs w:val="22"/>
              </w:rPr>
            </w:pPr>
            <w:r>
              <w:rPr>
                <w:rFonts w:hint="default"/>
                <w:sz w:val="24"/>
                <w:szCs w:val="22"/>
              </w:rPr>
              <w:t>采购文件要求</w:t>
            </w:r>
          </w:p>
        </w:tc>
        <w:tc>
          <w:tcPr>
            <w:tcW w:w="20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sz w:val="24"/>
                <w:szCs w:val="22"/>
              </w:rPr>
            </w:pPr>
            <w:r>
              <w:rPr>
                <w:rFonts w:hint="default"/>
                <w:sz w:val="24"/>
                <w:szCs w:val="22"/>
              </w:rPr>
              <w:t>采购文件响应</w:t>
            </w:r>
          </w:p>
        </w:tc>
        <w:tc>
          <w:tcPr>
            <w:tcW w:w="2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sz w:val="24"/>
                <w:szCs w:val="22"/>
              </w:rPr>
            </w:pPr>
            <w:r>
              <w:rPr>
                <w:rFonts w:hint="default"/>
                <w:sz w:val="24"/>
                <w:szCs w:val="22"/>
              </w:rPr>
              <w:t>偏离</w:t>
            </w:r>
          </w:p>
        </w:tc>
        <w:tc>
          <w:tcPr>
            <w:tcW w:w="24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sz w:val="24"/>
                <w:szCs w:val="22"/>
              </w:rPr>
            </w:pPr>
            <w:r>
              <w:rPr>
                <w:rFonts w:hint="default"/>
                <w:sz w:val="24"/>
                <w:szCs w:val="22"/>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69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sz w:val="24"/>
                <w:szCs w:val="22"/>
              </w:rPr>
            </w:pPr>
          </w:p>
        </w:tc>
      </w:tr>
    </w:tbl>
    <w:p>
      <w:pPr>
        <w:pStyle w:val="10"/>
        <w:spacing w:before="156" w:after="156" w:line="460" w:lineRule="atLeast"/>
        <w:ind w:right="-105" w:rightChars="-50"/>
        <w:rPr>
          <w:rFonts w:hint="default" w:hAnsi="宋体"/>
          <w:b/>
          <w:bCs/>
          <w:u w:val="single"/>
        </w:rPr>
      </w:pPr>
      <w:r>
        <w:rPr>
          <w:rFonts w:hAnsi="宋体" w:cs="仿宋"/>
          <w:spacing w:val="-10"/>
        </w:rPr>
        <w:t>备注：1、</w:t>
      </w:r>
      <w:r>
        <w:rPr>
          <w:rFonts w:hAnsi="宋体" w:cs="仿宋"/>
          <w:b/>
          <w:bCs/>
          <w:u w:val="single"/>
        </w:rPr>
        <w:t>结合</w:t>
      </w:r>
      <w:r>
        <w:rPr>
          <w:rFonts w:hAnsi="宋体" w:cs="仿宋"/>
          <w:spacing w:val="-10"/>
          <w:u w:val="single"/>
        </w:rPr>
        <w:t>《</w:t>
      </w:r>
      <w:r>
        <w:rPr>
          <w:rFonts w:hint="default" w:hAnsi="宋体" w:cs="仿宋"/>
          <w:b/>
          <w:bCs/>
          <w:u w:val="single"/>
        </w:rPr>
        <w:t>第三章评标办法</w:t>
      </w:r>
      <w:r>
        <w:rPr>
          <w:rFonts w:hAnsi="宋体" w:cs="仿宋"/>
          <w:b/>
          <w:bCs/>
          <w:u w:val="single"/>
        </w:rPr>
        <w:t>》</w:t>
      </w:r>
      <w:r>
        <w:rPr>
          <w:rFonts w:hAnsi="宋体" w:cs="仿宋"/>
          <w:b/>
          <w:bCs/>
          <w:spacing w:val="-10"/>
          <w:u w:val="single"/>
        </w:rPr>
        <w:t>与</w:t>
      </w:r>
      <w:r>
        <w:rPr>
          <w:rFonts w:hAnsi="宋体" w:cs="仿宋"/>
          <w:b/>
          <w:bCs/>
          <w:u w:val="single"/>
        </w:rPr>
        <w:t>《第四章采购内容及需求</w:t>
      </w:r>
      <w:r>
        <w:rPr>
          <w:rFonts w:hAnsi="宋体" w:cs="仿宋"/>
          <w:b/>
          <w:bCs/>
          <w:spacing w:val="-10"/>
          <w:u w:val="single"/>
        </w:rPr>
        <w:t>》</w:t>
      </w:r>
      <w:r>
        <w:rPr>
          <w:rFonts w:hAnsi="宋体" w:cs="仿宋"/>
          <w:b/>
          <w:bCs/>
          <w:spacing w:val="-1"/>
          <w:u w:val="single"/>
        </w:rPr>
        <w:t>中</w:t>
      </w:r>
      <w:r>
        <w:rPr>
          <w:rFonts w:hAnsi="宋体" w:cs="仿宋"/>
          <w:b/>
          <w:bCs/>
          <w:u w:val="single"/>
        </w:rPr>
        <w:t>要求逐条对应；2、投标单位须如实填写上表，并按要求提供证明材料，提供虚假材料处理的按虚假应标一律；3、“偏离情况”栏填写：“正偏离</w:t>
      </w:r>
      <w:r>
        <w:rPr>
          <w:rFonts w:hAnsi="宋体" w:cs="仿宋"/>
          <w:b/>
          <w:bCs/>
          <w:spacing w:val="-1"/>
          <w:u w:val="single"/>
        </w:rPr>
        <w:t>”</w:t>
      </w:r>
      <w:r>
        <w:rPr>
          <w:rFonts w:hAnsi="宋体" w:cs="仿宋"/>
          <w:b/>
          <w:bCs/>
          <w:u w:val="single"/>
        </w:rPr>
        <w:t>或“负偏离”或“无偏离”。4、投标单位未按要求填写本表的，评标委员会评审时有权按不利于投标人的情况进行评审。</w:t>
      </w:r>
      <w:r>
        <w:rPr>
          <w:rFonts w:ascii="Times New Roman"/>
          <w:b/>
          <w:bCs/>
          <w:u w:val="single"/>
        </w:rPr>
        <w:t>▲</w:t>
      </w:r>
      <w:r>
        <w:rPr>
          <w:rFonts w:hAnsi="宋体" w:cs="仿宋"/>
          <w:b/>
          <w:bCs/>
          <w:u w:val="single"/>
        </w:rPr>
        <w:t>5、</w:t>
      </w:r>
      <w:r>
        <w:rPr>
          <w:rFonts w:ascii="Times New Roman"/>
          <w:b/>
          <w:bCs/>
          <w:u w:val="single"/>
        </w:rPr>
        <w:t>采购人拟采购的产品属于政府强制采购的节能产品品目清单范围的，投标人在商务技术偏离表后提供国家确定的认证机构出具的、处于有效期之内的节能产品认证证书的，未提供的投标无效</w:t>
      </w:r>
      <w:r>
        <w:rPr>
          <w:rFonts w:ascii="Times New Roman"/>
          <w:b/>
          <w:bCs/>
        </w:rPr>
        <w:t>。</w:t>
      </w:r>
    </w:p>
    <w:p>
      <w:pPr>
        <w:snapToGrid w:val="0"/>
        <w:spacing w:line="300" w:lineRule="auto"/>
        <w:rPr>
          <w:rFonts w:hint="default" w:ascii="Arial" w:hAnsi="Arial" w:cs="Arial"/>
        </w:rPr>
      </w:pPr>
    </w:p>
    <w:p>
      <w:pPr>
        <w:snapToGrid w:val="0"/>
        <w:spacing w:line="360" w:lineRule="auto"/>
        <w:ind w:firstLine="211" w:firstLineChars="100"/>
        <w:rPr>
          <w:rFonts w:hint="default"/>
          <w:b/>
          <w:bCs/>
        </w:rPr>
      </w:pPr>
    </w:p>
    <w:p>
      <w:pPr>
        <w:autoSpaceDE w:val="0"/>
        <w:autoSpaceDN w:val="0"/>
        <w:snapToGrid w:val="0"/>
        <w:spacing w:line="360" w:lineRule="auto"/>
        <w:ind w:firstLine="5160" w:firstLineChars="2150"/>
        <w:rPr>
          <w:rFonts w:hint="default"/>
          <w:kern w:val="0"/>
          <w:sz w:val="24"/>
          <w:lang w:val="zh-CN"/>
        </w:rPr>
      </w:pPr>
    </w:p>
    <w:p>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pPr>
        <w:pStyle w:val="10"/>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29" w:name="_Toc31392"/>
      <w:r>
        <w:rPr>
          <w:rFonts w:hint="default" w:ascii="Times New Roman" w:hAnsi="Times New Roman"/>
          <w:kern w:val="0"/>
        </w:rPr>
        <w:t>日期：     年  月  日</w:t>
      </w:r>
      <w:bookmarkEnd w:id="129"/>
    </w:p>
    <w:p>
      <w:pPr>
        <w:snapToGrid w:val="0"/>
        <w:spacing w:line="360" w:lineRule="auto"/>
        <w:ind w:firstLine="211" w:firstLineChars="100"/>
        <w:rPr>
          <w:rFonts w:hint="default"/>
          <w:b/>
          <w:bCs/>
        </w:rPr>
      </w:pPr>
    </w:p>
    <w:p>
      <w:pPr>
        <w:pStyle w:val="10"/>
        <w:snapToGrid w:val="0"/>
        <w:spacing w:before="156" w:after="156" w:line="360" w:lineRule="auto"/>
        <w:ind w:firstLine="643" w:firstLineChars="200"/>
        <w:jc w:val="center"/>
        <w:outlineLvl w:val="0"/>
        <w:rPr>
          <w:rFonts w:hint="default" w:ascii="Times New Roman" w:hAnsi="Times New Roman"/>
          <w:b/>
          <w:sz w:val="32"/>
          <w:szCs w:val="32"/>
          <w:lang w:val="zh-CN"/>
        </w:rPr>
        <w:sectPr>
          <w:pgSz w:w="11906" w:h="16838"/>
          <w:pgMar w:top="1134" w:right="1247" w:bottom="1247" w:left="1304" w:header="794" w:footer="794" w:gutter="0"/>
          <w:cols w:space="720" w:num="1"/>
          <w:docGrid w:type="lines" w:linePitch="312" w:charSpace="0"/>
        </w:sectPr>
      </w:pPr>
      <w:bookmarkStart w:id="130" w:name="_Toc28622"/>
      <w:bookmarkStart w:id="131" w:name="_Toc19684"/>
      <w:bookmarkStart w:id="132" w:name="_Toc16955"/>
      <w:bookmarkStart w:id="133" w:name="_Toc15353"/>
    </w:p>
    <w:p>
      <w:pPr>
        <w:pStyle w:val="10"/>
        <w:snapToGrid w:val="0"/>
        <w:spacing w:before="156" w:after="156" w:line="360" w:lineRule="auto"/>
        <w:ind w:firstLine="643" w:firstLineChars="200"/>
        <w:jc w:val="center"/>
        <w:outlineLvl w:val="0"/>
        <w:rPr>
          <w:rFonts w:hint="default" w:ascii="Times New Roman" w:hAnsi="Times New Roman"/>
        </w:rPr>
      </w:pPr>
      <w:bookmarkStart w:id="134" w:name="_Toc6768"/>
      <w:r>
        <w:rPr>
          <w:rFonts w:ascii="Times New Roman" w:hAnsi="Times New Roman"/>
          <w:b/>
          <w:sz w:val="32"/>
          <w:szCs w:val="32"/>
        </w:rPr>
        <w:t>六</w:t>
      </w:r>
      <w:r>
        <w:rPr>
          <w:rFonts w:hint="default" w:ascii="Times New Roman" w:hAnsi="Times New Roman"/>
          <w:b/>
          <w:sz w:val="32"/>
          <w:szCs w:val="32"/>
        </w:rPr>
        <w:t>、</w:t>
      </w:r>
      <w:bookmarkEnd w:id="130"/>
      <w:bookmarkEnd w:id="131"/>
      <w:bookmarkEnd w:id="132"/>
      <w:r>
        <w:rPr>
          <w:rFonts w:hint="default" w:ascii="Times New Roman" w:hAnsi="Times New Roman"/>
          <w:b/>
          <w:sz w:val="32"/>
          <w:szCs w:val="32"/>
        </w:rPr>
        <w:t>设备的详细配置及零部件清单</w:t>
      </w:r>
      <w:r>
        <w:rPr>
          <w:rFonts w:hint="default" w:ascii="Times New Roman" w:hAnsi="Times New Roman"/>
          <w:b/>
          <w:sz w:val="32"/>
          <w:szCs w:val="32"/>
          <w:lang w:val="zh-CN"/>
        </w:rPr>
        <w:t>产品配置清单</w:t>
      </w:r>
      <w:bookmarkEnd w:id="134"/>
    </w:p>
    <w:p>
      <w:pPr>
        <w:tabs>
          <w:tab w:val="left" w:pos="1418"/>
        </w:tabs>
        <w:snapToGrid w:val="0"/>
        <w:spacing w:before="50" w:after="50" w:line="360" w:lineRule="auto"/>
        <w:rPr>
          <w:rFonts w:hint="default"/>
          <w:sz w:val="24"/>
          <w:szCs w:val="28"/>
        </w:rPr>
      </w:pPr>
      <w:r>
        <w:rPr>
          <w:rFonts w:hint="default"/>
          <w:sz w:val="24"/>
        </w:rPr>
        <w:t>项目名称：                           项目编号：</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
        <w:gridCol w:w="1793"/>
        <w:gridCol w:w="895"/>
        <w:gridCol w:w="1366"/>
        <w:gridCol w:w="1513"/>
        <w:gridCol w:w="2375"/>
        <w:gridCol w:w="11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r>
              <w:rPr>
                <w:rFonts w:hint="default"/>
                <w:sz w:val="24"/>
                <w:szCs w:val="22"/>
              </w:rPr>
              <w:t>序号</w:t>
            </w: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r>
              <w:rPr>
                <w:rFonts w:hint="default"/>
                <w:sz w:val="24"/>
                <w:szCs w:val="22"/>
              </w:rPr>
              <w:t>产品名称</w:t>
            </w:r>
          </w:p>
        </w:tc>
        <w:tc>
          <w:tcPr>
            <w:tcW w:w="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r>
              <w:rPr>
                <w:rFonts w:hint="default"/>
                <w:sz w:val="24"/>
                <w:szCs w:val="22"/>
              </w:rPr>
              <w:t>品牌</w:t>
            </w:r>
          </w:p>
        </w:tc>
        <w:tc>
          <w:tcPr>
            <w:tcW w:w="13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r>
              <w:rPr>
                <w:rFonts w:hint="default"/>
                <w:sz w:val="24"/>
                <w:szCs w:val="22"/>
              </w:rPr>
              <w:t>规格型号</w:t>
            </w:r>
          </w:p>
        </w:tc>
        <w:tc>
          <w:tcPr>
            <w:tcW w:w="15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r>
              <w:rPr>
                <w:rFonts w:hint="default"/>
                <w:sz w:val="24"/>
                <w:szCs w:val="22"/>
              </w:rPr>
              <w:t>单位及数量</w:t>
            </w:r>
          </w:p>
        </w:tc>
        <w:tc>
          <w:tcPr>
            <w:tcW w:w="23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r>
              <w:rPr>
                <w:rFonts w:hint="default"/>
                <w:sz w:val="24"/>
                <w:szCs w:val="22"/>
              </w:rPr>
              <w:t>性能及指标</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r>
              <w:rPr>
                <w:rFonts w:hint="default"/>
                <w:sz w:val="24"/>
                <w:szCs w:val="22"/>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23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23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23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23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1152" w:type="dxa"/>
            <w:tcBorders>
              <w:top w:val="single" w:color="auto" w:sz="4" w:space="0"/>
              <w:left w:val="single" w:color="auto" w:sz="4" w:space="0"/>
              <w:bottom w:val="nil"/>
              <w:right w:val="single" w:color="auto" w:sz="4" w:space="0"/>
            </w:tcBorders>
            <w:vAlign w:val="center"/>
          </w:tcPr>
          <w:p>
            <w:pPr>
              <w:snapToGrid w:val="0"/>
              <w:jc w:val="center"/>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ind w:left="480" w:hanging="480"/>
              <w:jc w:val="center"/>
              <w:rPr>
                <w:rFonts w:hint="default"/>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15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23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sz w:val="24"/>
              </w:rPr>
            </w:pPr>
          </w:p>
        </w:tc>
      </w:tr>
    </w:tbl>
    <w:p>
      <w:pPr>
        <w:widowControl/>
        <w:snapToGrid w:val="0"/>
        <w:spacing w:line="360" w:lineRule="auto"/>
        <w:ind w:firstLine="480" w:firstLineChars="200"/>
        <w:jc w:val="left"/>
        <w:rPr>
          <w:rFonts w:hint="default"/>
          <w:kern w:val="0"/>
          <w:sz w:val="24"/>
        </w:rPr>
      </w:pPr>
      <w:bookmarkStart w:id="135" w:name="_Toc7951"/>
    </w:p>
    <w:p>
      <w:pPr>
        <w:widowControl/>
        <w:snapToGrid w:val="0"/>
        <w:spacing w:line="360" w:lineRule="auto"/>
        <w:ind w:firstLine="480" w:firstLineChars="200"/>
        <w:jc w:val="left"/>
        <w:rPr>
          <w:rFonts w:hint="default"/>
          <w:kern w:val="0"/>
          <w:sz w:val="24"/>
        </w:rPr>
      </w:pPr>
    </w:p>
    <w:p>
      <w:pPr>
        <w:widowControl/>
        <w:snapToGrid w:val="0"/>
        <w:spacing w:line="360" w:lineRule="auto"/>
        <w:ind w:firstLine="480" w:firstLineChars="200"/>
        <w:jc w:val="left"/>
        <w:rPr>
          <w:rFonts w:hint="default"/>
          <w:kern w:val="0"/>
          <w:sz w:val="24"/>
        </w:rPr>
      </w:pPr>
    </w:p>
    <w:p>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pPr>
        <w:pStyle w:val="10"/>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36" w:name="_Toc23642"/>
      <w:bookmarkStart w:id="137" w:name="_Toc19389"/>
      <w:bookmarkStart w:id="138" w:name="_Toc21484"/>
      <w:r>
        <w:rPr>
          <w:rFonts w:hint="default" w:ascii="Times New Roman" w:hAnsi="Times New Roman"/>
          <w:kern w:val="0"/>
        </w:rPr>
        <w:t>日期：     年  月  日</w:t>
      </w:r>
      <w:bookmarkEnd w:id="136"/>
      <w:bookmarkEnd w:id="137"/>
      <w:bookmarkEnd w:id="138"/>
    </w:p>
    <w:p>
      <w:pPr>
        <w:pStyle w:val="10"/>
        <w:snapToGrid w:val="0"/>
        <w:spacing w:before="156" w:after="156" w:line="360" w:lineRule="auto"/>
        <w:ind w:firstLine="643" w:firstLineChars="200"/>
        <w:jc w:val="center"/>
        <w:outlineLvl w:val="0"/>
        <w:rPr>
          <w:rFonts w:hint="default" w:ascii="Times New Roman" w:hAnsi="Times New Roman"/>
          <w:b/>
          <w:sz w:val="32"/>
          <w:szCs w:val="32"/>
        </w:rPr>
      </w:pPr>
    </w:p>
    <w:p>
      <w:pPr>
        <w:pStyle w:val="10"/>
        <w:snapToGrid w:val="0"/>
        <w:spacing w:before="156" w:after="156" w:line="360" w:lineRule="auto"/>
        <w:ind w:firstLine="643" w:firstLineChars="200"/>
        <w:jc w:val="center"/>
        <w:outlineLvl w:val="0"/>
        <w:rPr>
          <w:rFonts w:hint="default" w:ascii="Times New Roman" w:hAnsi="Times New Roman"/>
          <w:b/>
          <w:sz w:val="32"/>
          <w:szCs w:val="32"/>
        </w:rPr>
        <w:sectPr>
          <w:pgSz w:w="11906" w:h="16838"/>
          <w:pgMar w:top="1134" w:right="1247" w:bottom="1247" w:left="1304" w:header="794" w:footer="794" w:gutter="0"/>
          <w:cols w:space="720" w:num="1"/>
          <w:docGrid w:type="lines" w:linePitch="312" w:charSpace="0"/>
        </w:sectPr>
      </w:pPr>
    </w:p>
    <w:p>
      <w:pPr>
        <w:pStyle w:val="10"/>
        <w:snapToGrid w:val="0"/>
        <w:spacing w:before="156" w:after="156" w:line="360" w:lineRule="auto"/>
        <w:ind w:firstLine="643" w:firstLineChars="200"/>
        <w:jc w:val="center"/>
        <w:outlineLvl w:val="0"/>
        <w:rPr>
          <w:rFonts w:hint="default" w:hAnsi="宋体"/>
          <w:b/>
          <w:sz w:val="30"/>
          <w:szCs w:val="30"/>
        </w:rPr>
      </w:pPr>
      <w:bookmarkStart w:id="139" w:name="_Toc15904"/>
      <w:bookmarkStart w:id="140" w:name="_Toc17423"/>
      <w:bookmarkStart w:id="141" w:name="_Toc28534"/>
      <w:r>
        <w:rPr>
          <w:rFonts w:ascii="Times New Roman" w:hAnsi="Times New Roman"/>
          <w:b/>
          <w:sz w:val="32"/>
          <w:szCs w:val="32"/>
        </w:rPr>
        <w:t>七、项目实施人员</w:t>
      </w:r>
      <w:r>
        <w:rPr>
          <w:rFonts w:hint="default" w:ascii="Times New Roman" w:hAnsi="Times New Roman"/>
          <w:b/>
          <w:sz w:val="32"/>
          <w:szCs w:val="32"/>
        </w:rPr>
        <w:t>配备情况</w:t>
      </w:r>
      <w:bookmarkEnd w:id="139"/>
      <w:bookmarkEnd w:id="140"/>
      <w:bookmarkEnd w:id="141"/>
    </w:p>
    <w:p>
      <w:pPr>
        <w:tabs>
          <w:tab w:val="left" w:pos="1418"/>
        </w:tabs>
        <w:snapToGrid w:val="0"/>
        <w:spacing w:before="50" w:after="50" w:line="360" w:lineRule="auto"/>
        <w:rPr>
          <w:rFonts w:hint="default"/>
          <w:sz w:val="24"/>
          <w:szCs w:val="28"/>
        </w:rPr>
      </w:pPr>
      <w:r>
        <w:rPr>
          <w:rFonts w:hint="default"/>
          <w:sz w:val="24"/>
        </w:rPr>
        <w:t>项目名称：                           项目编号：</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5"/>
        <w:gridCol w:w="1125"/>
        <w:gridCol w:w="1863"/>
        <w:gridCol w:w="1411"/>
        <w:gridCol w:w="1815"/>
        <w:gridCol w:w="2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sz w:val="24"/>
              </w:rPr>
            </w:pPr>
            <w:r>
              <w:rPr>
                <w:rFonts w:ascii="宋体" w:hAnsi="宋体"/>
                <w:sz w:val="24"/>
                <w:szCs w:val="22"/>
              </w:rPr>
              <w:t>姓名</w:t>
            </w:r>
          </w:p>
        </w:tc>
        <w:tc>
          <w:tcPr>
            <w:tcW w:w="11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sz w:val="24"/>
              </w:rPr>
            </w:pPr>
            <w:r>
              <w:rPr>
                <w:rFonts w:ascii="宋体" w:hAnsi="宋体"/>
                <w:sz w:val="24"/>
                <w:szCs w:val="22"/>
              </w:rPr>
              <w:t>职务</w:t>
            </w:r>
          </w:p>
        </w:tc>
        <w:tc>
          <w:tcPr>
            <w:tcW w:w="18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sz w:val="24"/>
              </w:rPr>
            </w:pPr>
            <w:r>
              <w:rPr>
                <w:rFonts w:ascii="宋体" w:hAnsi="宋体"/>
                <w:sz w:val="24"/>
                <w:szCs w:val="22"/>
              </w:rPr>
              <w:t>专业技术资格</w:t>
            </w:r>
          </w:p>
        </w:tc>
        <w:tc>
          <w:tcPr>
            <w:tcW w:w="14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sz w:val="24"/>
              </w:rPr>
            </w:pPr>
            <w:r>
              <w:rPr>
                <w:rFonts w:ascii="宋体" w:hAnsi="宋体"/>
                <w:sz w:val="24"/>
                <w:szCs w:val="22"/>
              </w:rPr>
              <w:t>证书编号</w:t>
            </w:r>
          </w:p>
        </w:tc>
        <w:tc>
          <w:tcPr>
            <w:tcW w:w="18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bCs/>
                <w:sz w:val="24"/>
              </w:rPr>
            </w:pPr>
            <w:r>
              <w:rPr>
                <w:rFonts w:ascii="宋体" w:hAnsi="宋体"/>
                <w:bCs/>
                <w:sz w:val="24"/>
                <w:szCs w:val="22"/>
              </w:rPr>
              <w:t>参加本单位工作时间</w:t>
            </w:r>
          </w:p>
        </w:tc>
        <w:tc>
          <w:tcPr>
            <w:tcW w:w="22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bCs/>
                <w:sz w:val="24"/>
              </w:rPr>
            </w:pPr>
            <w:r>
              <w:rPr>
                <w:rFonts w:ascii="宋体" w:hAnsi="宋体"/>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pPr>
              <w:pStyle w:val="24"/>
              <w:snapToGrid w:val="0"/>
              <w:spacing w:line="360" w:lineRule="auto"/>
              <w:ind w:left="5250"/>
              <w:rPr>
                <w:rFonts w:hint="default" w:ascii="宋体" w:hAnsi="宋体" w:eastAsia="宋体"/>
                <w:sz w:val="24"/>
                <w:szCs w:val="24"/>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sz w:val="24"/>
              </w:rPr>
            </w:pPr>
          </w:p>
        </w:tc>
      </w:tr>
    </w:tbl>
    <w:p>
      <w:pPr>
        <w:snapToGrid w:val="0"/>
        <w:spacing w:line="360" w:lineRule="auto"/>
        <w:jc w:val="left"/>
        <w:rPr>
          <w:rFonts w:hint="default" w:ascii="宋体" w:hAnsi="宋体"/>
          <w:sz w:val="24"/>
        </w:rPr>
      </w:pPr>
      <w:r>
        <w:rPr>
          <w:rFonts w:ascii="宋体" w:hAnsi="宋体"/>
          <w:sz w:val="24"/>
        </w:rPr>
        <w:t>注：在填写时，如本表格不适合供应商的实际情况，可根据本表格式自行划表填写。</w:t>
      </w:r>
    </w:p>
    <w:p>
      <w:pPr>
        <w:snapToGrid w:val="0"/>
        <w:spacing w:line="360" w:lineRule="auto"/>
        <w:rPr>
          <w:rFonts w:hint="default" w:ascii="宋体" w:hAnsi="宋体"/>
          <w:sz w:val="24"/>
        </w:rPr>
      </w:pPr>
    </w:p>
    <w:bookmarkEnd w:id="135"/>
    <w:p>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pPr>
        <w:pStyle w:val="10"/>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42" w:name="_Toc15132"/>
      <w:r>
        <w:rPr>
          <w:rFonts w:hint="default" w:ascii="Times New Roman" w:hAnsi="Times New Roman"/>
          <w:kern w:val="0"/>
        </w:rPr>
        <w:t>日期：     年  月  日</w:t>
      </w:r>
      <w:bookmarkEnd w:id="142"/>
    </w:p>
    <w:bookmarkEnd w:id="78"/>
    <w:bookmarkEnd w:id="133"/>
    <w:p>
      <w:pPr>
        <w:pStyle w:val="10"/>
        <w:snapToGrid w:val="0"/>
        <w:spacing w:before="156" w:after="156" w:line="360" w:lineRule="auto"/>
        <w:jc w:val="center"/>
        <w:outlineLvl w:val="0"/>
        <w:rPr>
          <w:rFonts w:hint="default" w:hAnsi="宋体" w:cs="宋体"/>
          <w:b/>
          <w:bCs/>
          <w:sz w:val="32"/>
          <w:szCs w:val="32"/>
        </w:rPr>
      </w:pPr>
      <w:r>
        <w:rPr>
          <w:rFonts w:hAnsi="宋体" w:cs="宋体"/>
          <w:b/>
          <w:bCs/>
          <w:sz w:val="32"/>
          <w:szCs w:val="32"/>
        </w:rPr>
        <w:br w:type="page"/>
      </w:r>
      <w:bookmarkStart w:id="143" w:name="_Toc26586"/>
      <w:r>
        <w:rPr>
          <w:rFonts w:hAnsi="宋体" w:cs="宋体"/>
          <w:b/>
          <w:bCs/>
          <w:sz w:val="32"/>
          <w:szCs w:val="32"/>
        </w:rPr>
        <w:t>市场监管总局关于发布参与实施政府采购节能产品、环境标志产品认证机构名录的公告（2019年第16号）</w:t>
      </w:r>
      <w:bookmarkEnd w:id="143"/>
    </w:p>
    <w:p>
      <w:pPr>
        <w:widowControl/>
        <w:shd w:val="clear" w:color="auto" w:fill="FFFFFF"/>
        <w:spacing w:before="68" w:after="299" w:line="360" w:lineRule="auto"/>
        <w:jc w:val="center"/>
        <w:textAlignment w:val="baseline"/>
        <w:rPr>
          <w:rFonts w:hint="default" w:ascii="华文中宋" w:hAnsi="华文中宋" w:eastAsia="华文中宋" w:cs="宋体"/>
          <w:b/>
          <w:kern w:val="0"/>
          <w:sz w:val="28"/>
        </w:rPr>
      </w:pPr>
    </w:p>
    <w:p>
      <w:pPr>
        <w:widowControl/>
        <w:shd w:val="clear" w:color="auto" w:fill="FFFFFF"/>
        <w:spacing w:before="68" w:after="299" w:line="360" w:lineRule="auto"/>
        <w:jc w:val="center"/>
        <w:textAlignment w:val="baseline"/>
        <w:rPr>
          <w:rFonts w:hint="default" w:ascii="华文中宋" w:hAnsi="华文中宋" w:eastAsia="华文中宋" w:cs="宋体"/>
          <w:b/>
          <w:kern w:val="0"/>
          <w:sz w:val="24"/>
        </w:rPr>
      </w:pPr>
      <w:r>
        <w:rPr>
          <w:rFonts w:ascii="华文中宋" w:hAnsi="华文中宋" w:eastAsia="华文中宋" w:cs="宋体"/>
          <w:b/>
          <w:kern w:val="0"/>
          <w:sz w:val="36"/>
        </w:rPr>
        <w:t>市场监管总局关于发布参与实施政府采购节能产品、环境</w:t>
      </w:r>
      <w:r>
        <w:rPr>
          <w:rFonts w:ascii="华文中宋" w:hAnsi="华文中宋" w:eastAsia="华文中宋" w:cs="宋体"/>
          <w:b/>
          <w:kern w:val="0"/>
          <w:sz w:val="36"/>
        </w:rPr>
        <w:br w:type="textWrapping"/>
      </w:r>
      <w:r>
        <w:rPr>
          <w:rFonts w:ascii="华文中宋" w:hAnsi="华文中宋" w:eastAsia="华文中宋" w:cs="宋体"/>
          <w:b/>
          <w:kern w:val="0"/>
          <w:sz w:val="36"/>
        </w:rPr>
        <w:t>标志产品认证机构名录的公告</w:t>
      </w:r>
    </w:p>
    <w:p>
      <w:pPr>
        <w:widowControl/>
        <w:shd w:val="clear" w:color="auto" w:fill="FFFFFF"/>
        <w:spacing w:before="68" w:after="299" w:line="360" w:lineRule="auto"/>
        <w:jc w:val="center"/>
        <w:textAlignment w:val="baseline"/>
        <w:rPr>
          <w:rFonts w:hint="default" w:ascii="仿宋" w:hAnsi="仿宋" w:eastAsia="仿宋" w:cs="宋体"/>
          <w:kern w:val="0"/>
          <w:sz w:val="24"/>
        </w:rPr>
      </w:pPr>
      <w:r>
        <w:rPr>
          <w:rFonts w:ascii="仿宋" w:hAnsi="仿宋" w:eastAsia="仿宋" w:cs="宋体"/>
          <w:kern w:val="0"/>
          <w:sz w:val="24"/>
        </w:rPr>
        <w:t>2019年第16号</w:t>
      </w:r>
    </w:p>
    <w:p>
      <w:pPr>
        <w:widowControl/>
        <w:shd w:val="clear" w:color="auto" w:fill="FFFFFF"/>
        <w:spacing w:before="68" w:after="299" w:line="360" w:lineRule="auto"/>
        <w:ind w:firstLine="424" w:firstLineChars="177"/>
        <w:jc w:val="left"/>
        <w:textAlignment w:val="baseline"/>
        <w:rPr>
          <w:rFonts w:hint="default" w:ascii="仿宋" w:hAnsi="仿宋" w:eastAsia="仿宋" w:cs="宋体"/>
          <w:kern w:val="0"/>
          <w:sz w:val="24"/>
        </w:rPr>
      </w:pPr>
      <w:r>
        <w:rPr>
          <w:rFonts w:ascii="仿宋" w:hAnsi="仿宋" w:eastAsia="仿宋" w:cs="宋体"/>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spacing w:before="68" w:after="299" w:line="360" w:lineRule="auto"/>
        <w:ind w:firstLine="424" w:firstLineChars="177"/>
        <w:jc w:val="left"/>
        <w:textAlignment w:val="baseline"/>
        <w:rPr>
          <w:rFonts w:hint="default" w:ascii="仿宋" w:hAnsi="仿宋" w:eastAsia="仿宋" w:cs="宋体"/>
          <w:kern w:val="0"/>
          <w:sz w:val="24"/>
        </w:rPr>
      </w:pPr>
      <w:r>
        <w:rPr>
          <w:rFonts w:ascii="仿宋" w:hAnsi="仿宋" w:eastAsia="仿宋" w:cs="宋体"/>
          <w:kern w:val="0"/>
          <w:sz w:val="24"/>
        </w:rPr>
        <w:t>自本公告发布后，新增认证机构应尽快完成政府采购认证信息系统对接，对接完成后方可开展相关认证工作。</w:t>
      </w:r>
    </w:p>
    <w:p>
      <w:pPr>
        <w:widowControl/>
        <w:shd w:val="clear" w:color="auto" w:fill="FFFFFF"/>
        <w:spacing w:before="68" w:after="299" w:line="360" w:lineRule="auto"/>
        <w:jc w:val="right"/>
        <w:textAlignment w:val="baseline"/>
        <w:rPr>
          <w:rFonts w:hint="default" w:ascii="仿宋" w:hAnsi="仿宋" w:eastAsia="仿宋" w:cs="宋体"/>
          <w:kern w:val="0"/>
          <w:sz w:val="24"/>
        </w:rPr>
      </w:pPr>
      <w:r>
        <w:rPr>
          <w:rFonts w:ascii="仿宋" w:hAnsi="仿宋" w:eastAsia="仿宋" w:cs="宋体"/>
          <w:kern w:val="0"/>
          <w:sz w:val="24"/>
        </w:rPr>
        <w:t>市场监管总局</w:t>
      </w:r>
      <w:r>
        <w:rPr>
          <w:rFonts w:ascii="仿宋" w:hAnsi="仿宋" w:eastAsia="仿宋" w:cs="宋体"/>
          <w:kern w:val="0"/>
          <w:sz w:val="24"/>
        </w:rPr>
        <w:br w:type="textWrapping"/>
      </w:r>
      <w:r>
        <w:rPr>
          <w:rFonts w:ascii="仿宋" w:hAnsi="仿宋" w:eastAsia="仿宋" w:cs="宋体"/>
          <w:kern w:val="0"/>
          <w:sz w:val="24"/>
        </w:rPr>
        <w:t>2019年4月3日</w:t>
      </w:r>
    </w:p>
    <w:p>
      <w:pPr>
        <w:keepNext/>
        <w:widowControl/>
        <w:rPr>
          <w:rFonts w:hint="default"/>
        </w:rPr>
      </w:pPr>
      <w:r>
        <w:br w:type="page"/>
      </w:r>
      <w:r>
        <w:t>附1：参与实施政府采购节能产品认证机构名录</w:t>
      </w:r>
    </w:p>
    <w:tbl>
      <w:tblPr>
        <w:tblStyle w:val="42"/>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序号</w:t>
            </w:r>
          </w:p>
        </w:tc>
        <w:tc>
          <w:tcPr>
            <w:tcW w:w="2481" w:type="dxa"/>
            <w:gridSpan w:val="2"/>
            <w:shd w:val="clear" w:color="auto" w:fill="DAEEF3"/>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一级目录</w:t>
            </w:r>
          </w:p>
        </w:tc>
        <w:tc>
          <w:tcPr>
            <w:tcW w:w="3472" w:type="dxa"/>
            <w:gridSpan w:val="2"/>
            <w:shd w:val="clear" w:color="auto" w:fill="DAEEF3"/>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二级目录</w:t>
            </w:r>
          </w:p>
        </w:tc>
        <w:tc>
          <w:tcPr>
            <w:tcW w:w="3261" w:type="dxa"/>
            <w:vMerge w:val="restart"/>
            <w:shd w:val="clear" w:color="auto" w:fill="DAEEF3"/>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continue"/>
            <w:shd w:val="clear" w:color="auto" w:fill="DAEEF3"/>
            <w:vAlign w:val="center"/>
          </w:tcPr>
          <w:p>
            <w:pPr>
              <w:spacing w:line="276" w:lineRule="auto"/>
              <w:jc w:val="center"/>
              <w:textAlignment w:val="baseline"/>
              <w:rPr>
                <w:rFonts w:hint="default" w:ascii="仿宋" w:hAnsi="仿宋" w:eastAsia="仿宋" w:cs="宋体"/>
                <w:w w:val="90"/>
                <w:kern w:val="0"/>
                <w:sz w:val="22"/>
                <w:szCs w:val="22"/>
              </w:rPr>
            </w:pPr>
          </w:p>
        </w:tc>
        <w:tc>
          <w:tcPr>
            <w:tcW w:w="1134" w:type="dxa"/>
            <w:shd w:val="clear" w:color="auto" w:fill="DAEEF3"/>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产品代码</w:t>
            </w:r>
          </w:p>
        </w:tc>
        <w:tc>
          <w:tcPr>
            <w:tcW w:w="1347" w:type="dxa"/>
            <w:shd w:val="clear" w:color="auto" w:fill="DAEEF3"/>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产品名称</w:t>
            </w:r>
          </w:p>
        </w:tc>
        <w:tc>
          <w:tcPr>
            <w:tcW w:w="1402" w:type="dxa"/>
            <w:shd w:val="clear" w:color="auto" w:fill="DAEEF3"/>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产品代码</w:t>
            </w:r>
          </w:p>
        </w:tc>
        <w:tc>
          <w:tcPr>
            <w:tcW w:w="2070" w:type="dxa"/>
            <w:shd w:val="clear" w:color="auto" w:fill="DAEEF3"/>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产品名称</w:t>
            </w:r>
          </w:p>
        </w:tc>
        <w:tc>
          <w:tcPr>
            <w:tcW w:w="3261" w:type="dxa"/>
            <w:vMerge w:val="continue"/>
            <w:shd w:val="clear" w:color="auto" w:fill="DAEEF3"/>
            <w:tcMar>
              <w:top w:w="0" w:type="dxa"/>
              <w:left w:w="0" w:type="dxa"/>
              <w:bottom w:w="0" w:type="dxa"/>
              <w:right w:w="0" w:type="dxa"/>
            </w:tcMar>
            <w:vAlign w:val="center"/>
          </w:tcPr>
          <w:p>
            <w:pPr>
              <w:spacing w:line="276" w:lineRule="auto"/>
              <w:jc w:val="left"/>
              <w:textAlignment w:val="baseline"/>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A020101</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计算机设备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A02010104</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台式计算机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北京赛西认证有限责任公司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中国网络安全审查技术与认证中心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A02010105</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便携式计算机</w:t>
            </w:r>
          </w:p>
        </w:tc>
        <w:tc>
          <w:tcPr>
            <w:tcW w:w="3261" w:type="dxa"/>
            <w:vMerge w:val="continue"/>
            <w:shd w:val="clear" w:color="auto" w:fill="FFFFFF"/>
            <w:tcMar>
              <w:top w:w="0" w:type="dxa"/>
              <w:bottom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A02010107</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平板式微型计算机</w:t>
            </w:r>
          </w:p>
        </w:tc>
        <w:tc>
          <w:tcPr>
            <w:tcW w:w="3261" w:type="dxa"/>
            <w:vMerge w:val="continue"/>
            <w:shd w:val="clear" w:color="auto" w:fill="FFFFFF"/>
            <w:tcMar>
              <w:top w:w="0" w:type="dxa"/>
              <w:bottom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2</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A020106</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输入输出设备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A02010601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打印设备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A02010604</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显示设备</w:t>
            </w:r>
          </w:p>
        </w:tc>
        <w:tc>
          <w:tcPr>
            <w:tcW w:w="3261" w:type="dxa"/>
            <w:vMerge w:val="continue"/>
            <w:shd w:val="clear" w:color="auto" w:fill="FFFFFF"/>
            <w:tcMar>
              <w:top w:w="0" w:type="dxa"/>
              <w:bottom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A02010609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图形图像输入设备</w:t>
            </w:r>
          </w:p>
        </w:tc>
        <w:tc>
          <w:tcPr>
            <w:tcW w:w="3261" w:type="dxa"/>
            <w:vMerge w:val="continue"/>
            <w:shd w:val="clear" w:color="auto" w:fill="FFFFFF"/>
            <w:tcMar>
              <w:top w:w="0" w:type="dxa"/>
              <w:bottom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3</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A020202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投影仪</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4</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A020204611</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多功能一体机</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5</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A020519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泵</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A02051901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离心泵</w:t>
            </w: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电能（北京）认证中心有限公司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6</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A020523</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制冷空调设备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A02052301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制冷压缩机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合肥通用机械产品认证有限公司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A02052305</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空调机组</w:t>
            </w:r>
          </w:p>
        </w:tc>
        <w:tc>
          <w:tcPr>
            <w:tcW w:w="3261" w:type="dxa"/>
            <w:vMerge w:val="continue"/>
            <w:shd w:val="clear" w:color="auto" w:fill="FFFFFF"/>
            <w:tcMar>
              <w:top w:w="0" w:type="dxa"/>
              <w:bottom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A02052309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专用制冷、空调设备</w:t>
            </w:r>
          </w:p>
        </w:tc>
        <w:tc>
          <w:tcPr>
            <w:tcW w:w="3261" w:type="dxa"/>
            <w:vMerge w:val="continue"/>
            <w:shd w:val="clear" w:color="auto" w:fill="FFFFFF"/>
            <w:tcMar>
              <w:top w:w="0" w:type="dxa"/>
              <w:bottom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A02052399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其他制冷空调设备</w:t>
            </w:r>
          </w:p>
        </w:tc>
        <w:tc>
          <w:tcPr>
            <w:tcW w:w="3261" w:type="dxa"/>
            <w:vMerge w:val="continue"/>
            <w:shd w:val="clear" w:color="auto" w:fill="FFFFFF"/>
            <w:tcMar>
              <w:top w:w="0" w:type="dxa"/>
              <w:bottom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7</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A020601</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电机</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电能（北京）认证中心有限公司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8</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A020602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变压器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电能（北京）认证中心有限公司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9</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A020609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镇流器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深圳市计量质量检测研究院</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10</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A020618</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生活用电器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A0206180101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电冰箱</w:t>
            </w: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A0206180203</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空调机</w:t>
            </w:r>
          </w:p>
        </w:tc>
        <w:tc>
          <w:tcPr>
            <w:tcW w:w="3261" w:type="dxa"/>
            <w:shd w:val="clear" w:color="auto" w:fill="FFFFFF"/>
            <w:tcMar>
              <w:top w:w="0" w:type="dxa"/>
              <w:bottom w:w="0"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中家院（北京）检测认证有限公司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A0206180301</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洗衣机</w:t>
            </w:r>
          </w:p>
        </w:tc>
        <w:tc>
          <w:tcPr>
            <w:tcW w:w="3261" w:type="dxa"/>
            <w:shd w:val="clear" w:color="auto" w:fill="FFFFFF"/>
            <w:tcMar>
              <w:top w:w="0" w:type="dxa"/>
              <w:bottom w:w="0"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A02061808</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热水器</w:t>
            </w:r>
          </w:p>
        </w:tc>
        <w:tc>
          <w:tcPr>
            <w:tcW w:w="3261" w:type="dxa"/>
            <w:shd w:val="clear" w:color="auto" w:fill="FFFFFF"/>
            <w:tcMar>
              <w:top w:w="0" w:type="dxa"/>
              <w:bottom w:w="0"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中家院（北京）检测认证有限公司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合肥通用机械产品认证有限公司(范围仅限于“热泵热水器”)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11</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照明设备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深圳市计量质量检测研究院</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12</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A020910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电视设备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A02091001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普通电视设备（电视机）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北京泰瑞特认证有限责任公司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13</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A020911</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视频设备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A02091107</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视频监控设备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14</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A031210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饮食炊事机械</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北京鉴衡认证中心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15</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A060805</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便器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北京新华节水产品认证有限公司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16</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A060806</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水嘴</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17</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A060807</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便器冲洗阀</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18</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A060810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淋浴器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hint="default" w:ascii="仿宋" w:hAnsi="仿宋" w:eastAsia="仿宋" w:cs="宋体"/>
                <w:w w:val="90"/>
                <w:kern w:val="0"/>
                <w:sz w:val="22"/>
                <w:szCs w:val="22"/>
              </w:rPr>
            </w:pPr>
          </w:p>
        </w:tc>
      </w:tr>
    </w:tbl>
    <w:p>
      <w:pPr>
        <w:keepNext/>
        <w:widowControl/>
        <w:rPr>
          <w:rFonts w:hint="default"/>
        </w:rPr>
      </w:pPr>
      <w:r>
        <w:t>附2：参与实施政府采购环境标志产品认证机构名录</w:t>
      </w:r>
    </w:p>
    <w:tbl>
      <w:tblPr>
        <w:tblStyle w:val="42"/>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kern w:val="0"/>
                <w:sz w:val="22"/>
                <w:szCs w:val="22"/>
              </w:rPr>
            </w:pPr>
            <w:r>
              <w:rPr>
                <w:rFonts w:ascii="仿宋" w:hAnsi="仿宋" w:eastAsia="仿宋" w:cs="宋体"/>
                <w:b/>
                <w:kern w:val="0"/>
                <w:sz w:val="22"/>
                <w:szCs w:val="22"/>
              </w:rPr>
              <w:t>序号</w:t>
            </w:r>
          </w:p>
        </w:tc>
        <w:tc>
          <w:tcPr>
            <w:tcW w:w="2288"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kern w:val="0"/>
                <w:sz w:val="22"/>
                <w:szCs w:val="22"/>
              </w:rPr>
            </w:pPr>
            <w:r>
              <w:rPr>
                <w:rFonts w:ascii="仿宋" w:hAnsi="仿宋" w:eastAsia="仿宋" w:cs="宋体"/>
                <w:b/>
                <w:kern w:val="0"/>
                <w:sz w:val="22"/>
                <w:szCs w:val="22"/>
              </w:rPr>
              <w:t>目录</w:t>
            </w:r>
          </w:p>
        </w:tc>
        <w:tc>
          <w:tcPr>
            <w:tcW w:w="6643"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kern w:val="0"/>
                <w:sz w:val="22"/>
                <w:szCs w:val="22"/>
              </w:rPr>
            </w:pPr>
            <w:r>
              <w:rPr>
                <w:rFonts w:ascii="仿宋" w:hAnsi="仿宋" w:eastAsia="仿宋" w:cs="宋体"/>
                <w:b/>
                <w:kern w:val="0"/>
                <w:sz w:val="22"/>
                <w:szCs w:val="22"/>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kern w:val="0"/>
                <w:sz w:val="22"/>
                <w:szCs w:val="22"/>
              </w:rPr>
            </w:pPr>
            <w:r>
              <w:rPr>
                <w:rFonts w:ascii="仿宋" w:hAnsi="仿宋" w:eastAsia="仿宋" w:cs="宋体"/>
                <w:kern w:val="0"/>
                <w:sz w:val="22"/>
                <w:szCs w:val="22"/>
              </w:rPr>
              <w:t>1</w:t>
            </w:r>
          </w:p>
        </w:tc>
        <w:tc>
          <w:tcPr>
            <w:tcW w:w="228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kern w:val="0"/>
                <w:sz w:val="22"/>
                <w:szCs w:val="22"/>
              </w:rPr>
            </w:pPr>
            <w:r>
              <w:rPr>
                <w:rFonts w:ascii="仿宋" w:hAnsi="仿宋" w:eastAsia="仿宋" w:cs="宋体"/>
                <w:kern w:val="0"/>
                <w:sz w:val="22"/>
                <w:szCs w:val="22"/>
              </w:rPr>
              <w:t>环境标志产品</w:t>
            </w:r>
          </w:p>
        </w:tc>
        <w:tc>
          <w:tcPr>
            <w:tcW w:w="6643" w:type="dxa"/>
            <w:shd w:val="clear" w:color="auto" w:fill="FFFFFF"/>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kern w:val="0"/>
                <w:sz w:val="22"/>
                <w:szCs w:val="22"/>
              </w:rPr>
            </w:pPr>
            <w:r>
              <w:rPr>
                <w:rFonts w:ascii="仿宋" w:hAnsi="仿宋" w:eastAsia="仿宋" w:cs="宋体"/>
                <w:kern w:val="0"/>
                <w:sz w:val="22"/>
                <w:szCs w:val="22"/>
              </w:rPr>
              <w:t>中环联合（北京）认证中心有限公司</w:t>
            </w:r>
          </w:p>
          <w:p>
            <w:pPr>
              <w:widowControl/>
              <w:spacing w:line="276" w:lineRule="auto"/>
              <w:jc w:val="left"/>
              <w:textAlignment w:val="baseline"/>
              <w:rPr>
                <w:rFonts w:hint="default" w:ascii="仿宋" w:hAnsi="仿宋" w:eastAsia="仿宋" w:cs="宋体"/>
                <w:kern w:val="0"/>
                <w:sz w:val="22"/>
                <w:szCs w:val="22"/>
              </w:rPr>
            </w:pPr>
            <w:r>
              <w:rPr>
                <w:rFonts w:ascii="仿宋" w:hAnsi="仿宋" w:eastAsia="仿宋" w:cs="宋体"/>
                <w:kern w:val="0"/>
                <w:sz w:val="22"/>
                <w:szCs w:val="22"/>
              </w:rPr>
              <w:t>中标合信（北京）认证有限公司</w:t>
            </w:r>
          </w:p>
          <w:p>
            <w:pPr>
              <w:widowControl/>
              <w:spacing w:line="276" w:lineRule="auto"/>
              <w:jc w:val="left"/>
              <w:textAlignment w:val="baseline"/>
              <w:rPr>
                <w:rFonts w:hint="default" w:ascii="仿宋" w:hAnsi="仿宋" w:eastAsia="仿宋" w:cs="宋体"/>
                <w:kern w:val="0"/>
                <w:sz w:val="22"/>
                <w:szCs w:val="22"/>
              </w:rPr>
            </w:pPr>
            <w:r>
              <w:rPr>
                <w:rFonts w:ascii="仿宋" w:hAnsi="仿宋" w:eastAsia="仿宋" w:cs="宋体"/>
                <w:kern w:val="0"/>
                <w:sz w:val="22"/>
                <w:szCs w:val="22"/>
              </w:rPr>
              <w:t>中环协（北京）认证有限公司</w:t>
            </w:r>
          </w:p>
          <w:p>
            <w:pPr>
              <w:widowControl/>
              <w:spacing w:line="276" w:lineRule="auto"/>
              <w:jc w:val="left"/>
              <w:textAlignment w:val="baseline"/>
              <w:rPr>
                <w:rFonts w:hint="default" w:ascii="仿宋" w:hAnsi="仿宋" w:eastAsia="仿宋" w:cs="宋体"/>
                <w:kern w:val="0"/>
                <w:sz w:val="22"/>
                <w:szCs w:val="22"/>
              </w:rPr>
            </w:pPr>
            <w:r>
              <w:rPr>
                <w:rFonts w:ascii="仿宋" w:hAnsi="仿宋" w:eastAsia="仿宋" w:cs="宋体"/>
                <w:kern w:val="0"/>
                <w:sz w:val="22"/>
                <w:szCs w:val="22"/>
              </w:rPr>
              <w:t>天津华诚认证有限公司</w:t>
            </w:r>
          </w:p>
        </w:tc>
      </w:tr>
    </w:tbl>
    <w:p>
      <w:pPr>
        <w:tabs>
          <w:tab w:val="left" w:pos="720"/>
        </w:tabs>
        <w:autoSpaceDE w:val="0"/>
        <w:autoSpaceDN w:val="0"/>
        <w:snapToGrid w:val="0"/>
        <w:spacing w:line="360" w:lineRule="auto"/>
        <w:rPr>
          <w:rFonts w:hint="default" w:ascii="宋体" w:hAnsi="宋体" w:cs="宋体"/>
          <w:szCs w:val="21"/>
          <w:lang w:val="zh-CN"/>
        </w:rPr>
      </w:pPr>
    </w:p>
    <w:p>
      <w:pPr>
        <w:widowControl/>
        <w:spacing w:line="360" w:lineRule="auto"/>
        <w:ind w:firstLine="420" w:firstLineChars="200"/>
        <w:jc w:val="left"/>
        <w:rPr>
          <w:rFonts w:hint="default" w:ascii="仿宋" w:hAnsi="仿宋" w:eastAsia="仿宋" w:cs="仿宋"/>
          <w:kern w:val="0"/>
          <w:szCs w:val="21"/>
          <w:lang w:val="zh-CN"/>
        </w:rPr>
      </w:pPr>
    </w:p>
    <w:p>
      <w:pPr>
        <w:pStyle w:val="19"/>
        <w:ind w:firstLine="0"/>
        <w:rPr>
          <w:rFonts w:hint="default" w:ascii="Times New Roman" w:hAnsi="Times New Roman"/>
          <w:lang w:val="zh-CN"/>
        </w:rPr>
      </w:pPr>
    </w:p>
    <w:sectPr>
      <w:pgSz w:w="11906" w:h="16838"/>
      <w:pgMar w:top="1134" w:right="1247" w:bottom="1247" w:left="1304"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ì.">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
    <w:altName w:val="Cambria"/>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firstLine="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rPr>
        <w:rStyle w:val="46"/>
        <w:rFonts w:hint="default"/>
      </w:rPr>
    </w:pPr>
    <w:r>
      <w:fldChar w:fldCharType="begin"/>
    </w:r>
    <w:r>
      <w:rPr>
        <w:rStyle w:val="46"/>
      </w:rPr>
      <w:instrText xml:space="preserve">PAGE  </w:instrText>
    </w:r>
    <w:r>
      <w:fldChar w:fldCharType="separate"/>
    </w:r>
    <w:r>
      <w:rPr>
        <w:rStyle w:val="46"/>
      </w:rPr>
      <w:t>1</w:t>
    </w:r>
    <w:r>
      <w:fldChar w:fldCharType="end"/>
    </w:r>
  </w:p>
  <w:p>
    <w:pPr>
      <w:pStyle w:val="27"/>
      <w:ind w:right="360" w:firstLine="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7"/>
                            <w:rPr>
                              <w:rFonts w:hint="default"/>
                            </w:rPr>
                          </w:pPr>
                          <w:r>
                            <w:fldChar w:fldCharType="begin"/>
                          </w:r>
                          <w:r>
                            <w:instrText xml:space="preserve"> PAGE  \* MERGEFORMAT </w:instrText>
                          </w:r>
                          <w:r>
                            <w:fldChar w:fldCharType="separate"/>
                          </w:r>
                          <w:r>
                            <w:rPr>
                              <w:rFonts w:hint="default"/>
                            </w:rPr>
                            <w:t>45</w:t>
                          </w:r>
                          <w: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AKC8cBAACc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a86sMPTgl+/fLj9+XX5+ZctV&#10;0qf3WFHZg6fCONy5gbZmjiMFE+2hDSZ9iRCjPKl7vqoLQ2QyXVqv1uuSUpJys0P4xeN1HzC+BWdY&#10;Mmoe6PmyquL0HuNYOpekbtbdK63zE2r7V4AwxwjkHZhuJybjxMmKw36Y6O1dcyZ2Pe1BzS2tPWf6&#10;nSWZ08rMRpiN/WSkjuhvj5HGyNMl1BGKWCWHHi3zmxYsbcWffq56/Km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HvAKC8cBAACcAwAADgAAAAAAAAABACAAAAAeAQAAZHJzL2Uyb0RvYy54&#10;bWxQSwUGAAAAAAYABgBZAQAAVwUAAAAA&#10;">
              <v:fill on="f" focussize="0,0"/>
              <v:stroke on="f"/>
              <v:imagedata o:title=""/>
              <o:lock v:ext="edit" aspectratio="f"/>
              <v:textbox inset="0mm,0mm,0mm,0mm" style="mso-fit-shape-to-text:t;">
                <w:txbxContent>
                  <w:p>
                    <w:pPr>
                      <w:pStyle w:val="27"/>
                      <w:rPr>
                        <w:rFonts w:hint="default"/>
                      </w:rPr>
                    </w:pPr>
                    <w:r>
                      <w:fldChar w:fldCharType="begin"/>
                    </w:r>
                    <w:r>
                      <w:instrText xml:space="preserve"> PAGE  \* MERGEFORMAT </w:instrText>
                    </w:r>
                    <w:r>
                      <w:fldChar w:fldCharType="separate"/>
                    </w:r>
                    <w:r>
                      <w:rPr>
                        <w:rFonts w:hint="default"/>
                      </w:rP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firstLine="360"/>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7"/>
                            <w:rPr>
                              <w:rFonts w:hint="default"/>
                            </w:rPr>
                          </w:pPr>
                          <w:r>
                            <w:fldChar w:fldCharType="begin"/>
                          </w:r>
                          <w:r>
                            <w:instrText xml:space="preserve"> PAGE  \* MERGEFORMAT </w:instrText>
                          </w:r>
                          <w:r>
                            <w:fldChar w:fldCharType="separate"/>
                          </w:r>
                          <w:r>
                            <w:rPr>
                              <w:rFonts w:hint="default"/>
                            </w:rPr>
                            <w:t>79</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Lf6iUjFAQAAmwMAAA4AAAAAAAAAAQAgAAAAHgEAAGRycy9lMm9Eb2MueG1s&#10;UEsFBgAAAAAGAAYAWQEAAFUFAAAAAA==&#10;">
              <v:fill on="f" focussize="0,0"/>
              <v:stroke on="f"/>
              <v:imagedata o:title=""/>
              <o:lock v:ext="edit" aspectratio="f"/>
              <v:textbox inset="0mm,0mm,0mm,0mm" style="mso-fit-shape-to-text:t;">
                <w:txbxContent>
                  <w:p>
                    <w:pPr>
                      <w:pStyle w:val="27"/>
                      <w:rPr>
                        <w:rFonts w:hint="default"/>
                      </w:rPr>
                    </w:pPr>
                    <w:r>
                      <w:fldChar w:fldCharType="begin"/>
                    </w:r>
                    <w:r>
                      <w:instrText xml:space="preserve"> PAGE  \* MERGEFORMAT </w:instrText>
                    </w:r>
                    <w:r>
                      <w:fldChar w:fldCharType="separate"/>
                    </w:r>
                    <w:r>
                      <w:rPr>
                        <w:rFonts w:hint="default"/>
                      </w:rPr>
                      <w:t>79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1"/>
        <w:rPr>
          <w:rFonts w:hint="default"/>
        </w:rPr>
      </w:pPr>
      <w:r>
        <w:rPr>
          <w:rStyle w:val="50"/>
          <w:rFonts w:hint="eastAsia"/>
        </w:rPr>
        <w:footnoteRef/>
      </w:r>
      <w:r>
        <w:rPr>
          <w:rFonts w:hAnsi="宋体" w:cs="宋体"/>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rPr>
        <w:rFonts w:hint="default"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rPr>
        <w:rFonts w:hint="default" w:eastAsia="宋体"/>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052B"/>
    <w:multiLevelType w:val="singleLevel"/>
    <w:tmpl w:val="8A57052B"/>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2">
    <w:nsid w:val="09890BCC"/>
    <w:multiLevelType w:val="multilevel"/>
    <w:tmpl w:val="09890BCC"/>
    <w:lvl w:ilvl="0" w:tentative="0">
      <w:start w:val="1"/>
      <w:numFmt w:val="decimal"/>
      <w:pStyle w:val="13"/>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201E9B8E"/>
    <w:multiLevelType w:val="singleLevel"/>
    <w:tmpl w:val="201E9B8E"/>
    <w:lvl w:ilvl="0" w:tentative="0">
      <w:start w:val="6"/>
      <w:numFmt w:val="decimal"/>
      <w:lvlText w:val="%1."/>
      <w:lvlJc w:val="left"/>
      <w:pPr>
        <w:tabs>
          <w:tab w:val="left" w:pos="312"/>
        </w:tabs>
      </w:pPr>
    </w:lvl>
  </w:abstractNum>
  <w:abstractNum w:abstractNumId="4">
    <w:nsid w:val="26525E68"/>
    <w:multiLevelType w:val="multilevel"/>
    <w:tmpl w:val="26525E6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80D0A2D"/>
    <w:multiLevelType w:val="singleLevel"/>
    <w:tmpl w:val="280D0A2D"/>
    <w:lvl w:ilvl="0" w:tentative="0">
      <w:start w:val="2"/>
      <w:numFmt w:val="decimal"/>
      <w:suff w:val="nothing"/>
      <w:lvlText w:val="%1、"/>
      <w:lvlJc w:val="left"/>
    </w:lvl>
  </w:abstractNum>
  <w:abstractNum w:abstractNumId="6">
    <w:nsid w:val="485D6849"/>
    <w:multiLevelType w:val="singleLevel"/>
    <w:tmpl w:val="485D6849"/>
    <w:lvl w:ilvl="0" w:tentative="0">
      <w:start w:val="1"/>
      <w:numFmt w:val="decimal"/>
      <w:lvlText w:val="%1."/>
      <w:lvlJc w:val="left"/>
      <w:pPr>
        <w:ind w:left="425" w:hanging="425"/>
      </w:pPr>
      <w:rPr>
        <w:rFonts w:hint="default"/>
      </w:rPr>
    </w:lvl>
  </w:abstractNum>
  <w:abstractNum w:abstractNumId="7">
    <w:nsid w:val="4A79FC0A"/>
    <w:multiLevelType w:val="singleLevel"/>
    <w:tmpl w:val="4A79FC0A"/>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MTA3MDc3NTM0OGE0NjRiYjZmY2NhYjRkNjkxY2QifQ=="/>
  </w:docVars>
  <w:rsids>
    <w:rsidRoot w:val="00172A27"/>
    <w:rsid w:val="00000CF0"/>
    <w:rsid w:val="00017B35"/>
    <w:rsid w:val="00024C7D"/>
    <w:rsid w:val="00060DEA"/>
    <w:rsid w:val="00061E29"/>
    <w:rsid w:val="00071F24"/>
    <w:rsid w:val="000B62B3"/>
    <w:rsid w:val="000E36BE"/>
    <w:rsid w:val="00113537"/>
    <w:rsid w:val="00117984"/>
    <w:rsid w:val="00172A27"/>
    <w:rsid w:val="00192295"/>
    <w:rsid w:val="00211BB0"/>
    <w:rsid w:val="00232CF9"/>
    <w:rsid w:val="002375BA"/>
    <w:rsid w:val="00256141"/>
    <w:rsid w:val="002674D1"/>
    <w:rsid w:val="002A204B"/>
    <w:rsid w:val="002A6FE6"/>
    <w:rsid w:val="002C7BEE"/>
    <w:rsid w:val="00335DB5"/>
    <w:rsid w:val="0033648A"/>
    <w:rsid w:val="00375761"/>
    <w:rsid w:val="003C468C"/>
    <w:rsid w:val="003D21B2"/>
    <w:rsid w:val="00431AB3"/>
    <w:rsid w:val="00440A1B"/>
    <w:rsid w:val="004519A6"/>
    <w:rsid w:val="0046209C"/>
    <w:rsid w:val="00471626"/>
    <w:rsid w:val="0047571A"/>
    <w:rsid w:val="004F7426"/>
    <w:rsid w:val="00505BF2"/>
    <w:rsid w:val="00545FDB"/>
    <w:rsid w:val="005D0BD9"/>
    <w:rsid w:val="00610597"/>
    <w:rsid w:val="00636298"/>
    <w:rsid w:val="00653455"/>
    <w:rsid w:val="006623A3"/>
    <w:rsid w:val="00676462"/>
    <w:rsid w:val="006A20CF"/>
    <w:rsid w:val="00724F87"/>
    <w:rsid w:val="00756585"/>
    <w:rsid w:val="00770788"/>
    <w:rsid w:val="00790FEB"/>
    <w:rsid w:val="008C1780"/>
    <w:rsid w:val="008E47F1"/>
    <w:rsid w:val="009212FD"/>
    <w:rsid w:val="009446D5"/>
    <w:rsid w:val="009B3F30"/>
    <w:rsid w:val="00A33A81"/>
    <w:rsid w:val="00B734E3"/>
    <w:rsid w:val="00C20C41"/>
    <w:rsid w:val="00CB7244"/>
    <w:rsid w:val="00CF0661"/>
    <w:rsid w:val="00D34D64"/>
    <w:rsid w:val="00D966AA"/>
    <w:rsid w:val="00E1659E"/>
    <w:rsid w:val="00E618D1"/>
    <w:rsid w:val="00E8339F"/>
    <w:rsid w:val="00EF3A56"/>
    <w:rsid w:val="00F145D8"/>
    <w:rsid w:val="00F536FD"/>
    <w:rsid w:val="00F62D16"/>
    <w:rsid w:val="00FD58F7"/>
    <w:rsid w:val="010A29DC"/>
    <w:rsid w:val="011C44BE"/>
    <w:rsid w:val="01402D08"/>
    <w:rsid w:val="0141732B"/>
    <w:rsid w:val="01633E9B"/>
    <w:rsid w:val="01695955"/>
    <w:rsid w:val="017A1732"/>
    <w:rsid w:val="01837CD8"/>
    <w:rsid w:val="0187402D"/>
    <w:rsid w:val="018F4C90"/>
    <w:rsid w:val="01901FC8"/>
    <w:rsid w:val="01B12E58"/>
    <w:rsid w:val="01B82438"/>
    <w:rsid w:val="01BF64E7"/>
    <w:rsid w:val="01CA07D3"/>
    <w:rsid w:val="01D51CCD"/>
    <w:rsid w:val="023139F3"/>
    <w:rsid w:val="02385327"/>
    <w:rsid w:val="023D5146"/>
    <w:rsid w:val="027768E1"/>
    <w:rsid w:val="028247F4"/>
    <w:rsid w:val="02A93B2F"/>
    <w:rsid w:val="02B20C36"/>
    <w:rsid w:val="02B26E88"/>
    <w:rsid w:val="02B53D64"/>
    <w:rsid w:val="02C62933"/>
    <w:rsid w:val="02CE17E8"/>
    <w:rsid w:val="02D0684A"/>
    <w:rsid w:val="02E451BA"/>
    <w:rsid w:val="03047D0A"/>
    <w:rsid w:val="03064E9C"/>
    <w:rsid w:val="030B47EA"/>
    <w:rsid w:val="03103BAE"/>
    <w:rsid w:val="035E6D97"/>
    <w:rsid w:val="03631C6C"/>
    <w:rsid w:val="0363562F"/>
    <w:rsid w:val="036A549B"/>
    <w:rsid w:val="039D6F65"/>
    <w:rsid w:val="03D25B2B"/>
    <w:rsid w:val="03FE4564"/>
    <w:rsid w:val="04056117"/>
    <w:rsid w:val="046046C1"/>
    <w:rsid w:val="04852E26"/>
    <w:rsid w:val="049E4E62"/>
    <w:rsid w:val="04C510B5"/>
    <w:rsid w:val="04D550AF"/>
    <w:rsid w:val="04D8694E"/>
    <w:rsid w:val="04F66779"/>
    <w:rsid w:val="04FC007E"/>
    <w:rsid w:val="05252C5E"/>
    <w:rsid w:val="05355B4E"/>
    <w:rsid w:val="053C512E"/>
    <w:rsid w:val="054951E7"/>
    <w:rsid w:val="0550096B"/>
    <w:rsid w:val="05526CCF"/>
    <w:rsid w:val="056703FD"/>
    <w:rsid w:val="057448C8"/>
    <w:rsid w:val="057F32BF"/>
    <w:rsid w:val="058D756E"/>
    <w:rsid w:val="05C018BB"/>
    <w:rsid w:val="05D84E57"/>
    <w:rsid w:val="05EE64A2"/>
    <w:rsid w:val="06314A49"/>
    <w:rsid w:val="063B53E6"/>
    <w:rsid w:val="064A5629"/>
    <w:rsid w:val="065164BA"/>
    <w:rsid w:val="06826D92"/>
    <w:rsid w:val="06B26EBB"/>
    <w:rsid w:val="06BA630B"/>
    <w:rsid w:val="070677A2"/>
    <w:rsid w:val="070D0B30"/>
    <w:rsid w:val="0717488F"/>
    <w:rsid w:val="071A5B9D"/>
    <w:rsid w:val="071C5B60"/>
    <w:rsid w:val="071F1AD0"/>
    <w:rsid w:val="0725607B"/>
    <w:rsid w:val="072F4F4B"/>
    <w:rsid w:val="073B57B2"/>
    <w:rsid w:val="077B7A4A"/>
    <w:rsid w:val="0781507A"/>
    <w:rsid w:val="07E15B19"/>
    <w:rsid w:val="07FB4C26"/>
    <w:rsid w:val="081C55C3"/>
    <w:rsid w:val="08273E74"/>
    <w:rsid w:val="082A1FB5"/>
    <w:rsid w:val="084550F1"/>
    <w:rsid w:val="08617538"/>
    <w:rsid w:val="086C1887"/>
    <w:rsid w:val="08780AB9"/>
    <w:rsid w:val="089F7EAE"/>
    <w:rsid w:val="08B576D2"/>
    <w:rsid w:val="08C9485C"/>
    <w:rsid w:val="08DB1294"/>
    <w:rsid w:val="08F73242"/>
    <w:rsid w:val="091F4B4B"/>
    <w:rsid w:val="095347F5"/>
    <w:rsid w:val="09684744"/>
    <w:rsid w:val="0969226A"/>
    <w:rsid w:val="097A4477"/>
    <w:rsid w:val="09B434E5"/>
    <w:rsid w:val="0A0B49FE"/>
    <w:rsid w:val="0A12645E"/>
    <w:rsid w:val="0A2148F3"/>
    <w:rsid w:val="0A372641"/>
    <w:rsid w:val="0A3E6B22"/>
    <w:rsid w:val="0A430D0D"/>
    <w:rsid w:val="0A56459C"/>
    <w:rsid w:val="0A592D6E"/>
    <w:rsid w:val="0A876E4C"/>
    <w:rsid w:val="0A90542F"/>
    <w:rsid w:val="0AA73327"/>
    <w:rsid w:val="0AAE316A"/>
    <w:rsid w:val="0AE778EA"/>
    <w:rsid w:val="0B006553"/>
    <w:rsid w:val="0B0C7351"/>
    <w:rsid w:val="0B340293"/>
    <w:rsid w:val="0B3B3636"/>
    <w:rsid w:val="0B603053"/>
    <w:rsid w:val="0B726B07"/>
    <w:rsid w:val="0B8B471A"/>
    <w:rsid w:val="0BAF665A"/>
    <w:rsid w:val="0BFA6C8D"/>
    <w:rsid w:val="0C3B6140"/>
    <w:rsid w:val="0C3C77C2"/>
    <w:rsid w:val="0C7B27F2"/>
    <w:rsid w:val="0CA81D50"/>
    <w:rsid w:val="0CDE03B5"/>
    <w:rsid w:val="0CE802C6"/>
    <w:rsid w:val="0CEC568C"/>
    <w:rsid w:val="0D6E60A1"/>
    <w:rsid w:val="0D7A67F4"/>
    <w:rsid w:val="0D7B5914"/>
    <w:rsid w:val="0D841421"/>
    <w:rsid w:val="0D8C1EA0"/>
    <w:rsid w:val="0D8F3BB6"/>
    <w:rsid w:val="0D951880"/>
    <w:rsid w:val="0D9B0DE1"/>
    <w:rsid w:val="0DA25D4B"/>
    <w:rsid w:val="0DB37F58"/>
    <w:rsid w:val="0E056A05"/>
    <w:rsid w:val="0E1F26BA"/>
    <w:rsid w:val="0E4F1AA1"/>
    <w:rsid w:val="0E517949"/>
    <w:rsid w:val="0E8D07A9"/>
    <w:rsid w:val="0EA24248"/>
    <w:rsid w:val="0EA62201"/>
    <w:rsid w:val="0EF00B77"/>
    <w:rsid w:val="0F694D72"/>
    <w:rsid w:val="0F737149"/>
    <w:rsid w:val="0F7C6E4E"/>
    <w:rsid w:val="0F7F287D"/>
    <w:rsid w:val="0F8256FA"/>
    <w:rsid w:val="0FA111A8"/>
    <w:rsid w:val="0FBA1C6F"/>
    <w:rsid w:val="0FED1786"/>
    <w:rsid w:val="10294501"/>
    <w:rsid w:val="1030763E"/>
    <w:rsid w:val="10321608"/>
    <w:rsid w:val="103C29BD"/>
    <w:rsid w:val="1052010F"/>
    <w:rsid w:val="10945E1E"/>
    <w:rsid w:val="10BD35C7"/>
    <w:rsid w:val="10E24DDC"/>
    <w:rsid w:val="10FD1C16"/>
    <w:rsid w:val="110805BA"/>
    <w:rsid w:val="11250D18"/>
    <w:rsid w:val="11345FF6"/>
    <w:rsid w:val="1154735C"/>
    <w:rsid w:val="115701E6"/>
    <w:rsid w:val="115E652A"/>
    <w:rsid w:val="117B75CD"/>
    <w:rsid w:val="11B52E1D"/>
    <w:rsid w:val="11B5429E"/>
    <w:rsid w:val="11C849EC"/>
    <w:rsid w:val="11CD7E8E"/>
    <w:rsid w:val="11DF131B"/>
    <w:rsid w:val="11EC3A38"/>
    <w:rsid w:val="121E62E8"/>
    <w:rsid w:val="123C676E"/>
    <w:rsid w:val="125E66E4"/>
    <w:rsid w:val="126E0DF3"/>
    <w:rsid w:val="12850115"/>
    <w:rsid w:val="1289304B"/>
    <w:rsid w:val="129C545E"/>
    <w:rsid w:val="12AD31C8"/>
    <w:rsid w:val="12C02EFB"/>
    <w:rsid w:val="12F26E2C"/>
    <w:rsid w:val="12F40DF6"/>
    <w:rsid w:val="12FA4174"/>
    <w:rsid w:val="130D3C66"/>
    <w:rsid w:val="132D6C5C"/>
    <w:rsid w:val="13312989"/>
    <w:rsid w:val="134578A4"/>
    <w:rsid w:val="134A6C68"/>
    <w:rsid w:val="13566C00"/>
    <w:rsid w:val="13BC25A6"/>
    <w:rsid w:val="13D21C0B"/>
    <w:rsid w:val="13DB3D64"/>
    <w:rsid w:val="14004427"/>
    <w:rsid w:val="140B63F8"/>
    <w:rsid w:val="140E7C96"/>
    <w:rsid w:val="141F6347"/>
    <w:rsid w:val="143F60A1"/>
    <w:rsid w:val="146167AA"/>
    <w:rsid w:val="14643D5A"/>
    <w:rsid w:val="146855F8"/>
    <w:rsid w:val="147E4E1C"/>
    <w:rsid w:val="14A979BF"/>
    <w:rsid w:val="14D9299B"/>
    <w:rsid w:val="14EF7AC7"/>
    <w:rsid w:val="150E796B"/>
    <w:rsid w:val="1519603C"/>
    <w:rsid w:val="152754B3"/>
    <w:rsid w:val="152A0AFF"/>
    <w:rsid w:val="15543DCE"/>
    <w:rsid w:val="15784C1B"/>
    <w:rsid w:val="159D60C5"/>
    <w:rsid w:val="15C4574E"/>
    <w:rsid w:val="15DE2DF5"/>
    <w:rsid w:val="15EC6D0A"/>
    <w:rsid w:val="15FF1F8C"/>
    <w:rsid w:val="160532E6"/>
    <w:rsid w:val="162714E3"/>
    <w:rsid w:val="163A2FC4"/>
    <w:rsid w:val="163D2AB4"/>
    <w:rsid w:val="168F2A1B"/>
    <w:rsid w:val="16AF6C42"/>
    <w:rsid w:val="16C64858"/>
    <w:rsid w:val="16DC051F"/>
    <w:rsid w:val="173E4D36"/>
    <w:rsid w:val="1776627E"/>
    <w:rsid w:val="17964BA4"/>
    <w:rsid w:val="17A0779F"/>
    <w:rsid w:val="17B91C41"/>
    <w:rsid w:val="17BB6C04"/>
    <w:rsid w:val="17D17958"/>
    <w:rsid w:val="18115297"/>
    <w:rsid w:val="18280199"/>
    <w:rsid w:val="185D743E"/>
    <w:rsid w:val="18626802"/>
    <w:rsid w:val="18C740C2"/>
    <w:rsid w:val="18CA357C"/>
    <w:rsid w:val="190A3122"/>
    <w:rsid w:val="190C006F"/>
    <w:rsid w:val="19126797"/>
    <w:rsid w:val="193156C1"/>
    <w:rsid w:val="193C65EA"/>
    <w:rsid w:val="1981715C"/>
    <w:rsid w:val="19BD63E6"/>
    <w:rsid w:val="19C3097F"/>
    <w:rsid w:val="19FB4FF9"/>
    <w:rsid w:val="19FC0EA3"/>
    <w:rsid w:val="1A044015"/>
    <w:rsid w:val="1A363BA1"/>
    <w:rsid w:val="1A526FE4"/>
    <w:rsid w:val="1A554870"/>
    <w:rsid w:val="1A600746"/>
    <w:rsid w:val="1A933BF8"/>
    <w:rsid w:val="1AFD4F2D"/>
    <w:rsid w:val="1B000A4D"/>
    <w:rsid w:val="1B3C333B"/>
    <w:rsid w:val="1B486183"/>
    <w:rsid w:val="1B5E7A18"/>
    <w:rsid w:val="1B601107"/>
    <w:rsid w:val="1BB15657"/>
    <w:rsid w:val="1BBB515F"/>
    <w:rsid w:val="1BC11A92"/>
    <w:rsid w:val="1BC81072"/>
    <w:rsid w:val="1BD417C5"/>
    <w:rsid w:val="1BD712B5"/>
    <w:rsid w:val="1C05309F"/>
    <w:rsid w:val="1C112A19"/>
    <w:rsid w:val="1C352AF7"/>
    <w:rsid w:val="1C56667E"/>
    <w:rsid w:val="1C601445"/>
    <w:rsid w:val="1C980A44"/>
    <w:rsid w:val="1CA6062E"/>
    <w:rsid w:val="1CB77386"/>
    <w:rsid w:val="1CC21F65"/>
    <w:rsid w:val="1CDD28FB"/>
    <w:rsid w:val="1D225E65"/>
    <w:rsid w:val="1D305121"/>
    <w:rsid w:val="1D392227"/>
    <w:rsid w:val="1D522301"/>
    <w:rsid w:val="1D5801D4"/>
    <w:rsid w:val="1D5E41C9"/>
    <w:rsid w:val="1D6E79F7"/>
    <w:rsid w:val="1D790876"/>
    <w:rsid w:val="1D7E7C3A"/>
    <w:rsid w:val="1DFD5239"/>
    <w:rsid w:val="1DFE18A8"/>
    <w:rsid w:val="1E01086B"/>
    <w:rsid w:val="1E0A7BA4"/>
    <w:rsid w:val="1E107C7E"/>
    <w:rsid w:val="1E2C7696"/>
    <w:rsid w:val="1E85149C"/>
    <w:rsid w:val="1E8829F7"/>
    <w:rsid w:val="1E9E60BA"/>
    <w:rsid w:val="1EE2069D"/>
    <w:rsid w:val="1EEC1EBD"/>
    <w:rsid w:val="1F2E1C68"/>
    <w:rsid w:val="1F4C5B16"/>
    <w:rsid w:val="1F5307B6"/>
    <w:rsid w:val="1F530CDA"/>
    <w:rsid w:val="1F6254E4"/>
    <w:rsid w:val="1F6B68E4"/>
    <w:rsid w:val="1F7237CF"/>
    <w:rsid w:val="1F7C289F"/>
    <w:rsid w:val="1F9D6372"/>
    <w:rsid w:val="1FCC0CA0"/>
    <w:rsid w:val="20085EE1"/>
    <w:rsid w:val="201137B3"/>
    <w:rsid w:val="201326D4"/>
    <w:rsid w:val="204F1D62"/>
    <w:rsid w:val="206A6B9C"/>
    <w:rsid w:val="20D54C81"/>
    <w:rsid w:val="20DA787E"/>
    <w:rsid w:val="20E424AA"/>
    <w:rsid w:val="20F12E19"/>
    <w:rsid w:val="210439D2"/>
    <w:rsid w:val="21127DD7"/>
    <w:rsid w:val="213347C0"/>
    <w:rsid w:val="213A5DCC"/>
    <w:rsid w:val="213D0D46"/>
    <w:rsid w:val="215C0A16"/>
    <w:rsid w:val="21604622"/>
    <w:rsid w:val="21657114"/>
    <w:rsid w:val="21BA6626"/>
    <w:rsid w:val="21DD6DE7"/>
    <w:rsid w:val="21E40288"/>
    <w:rsid w:val="21F26E49"/>
    <w:rsid w:val="22015A34"/>
    <w:rsid w:val="22456F79"/>
    <w:rsid w:val="22541CC2"/>
    <w:rsid w:val="22612CC2"/>
    <w:rsid w:val="226640C8"/>
    <w:rsid w:val="227C6FEA"/>
    <w:rsid w:val="228B669A"/>
    <w:rsid w:val="22BB548D"/>
    <w:rsid w:val="22C72083"/>
    <w:rsid w:val="23046E34"/>
    <w:rsid w:val="23272B22"/>
    <w:rsid w:val="232B0864"/>
    <w:rsid w:val="23377209"/>
    <w:rsid w:val="2338088B"/>
    <w:rsid w:val="236553F8"/>
    <w:rsid w:val="23742F66"/>
    <w:rsid w:val="23750B7B"/>
    <w:rsid w:val="23775858"/>
    <w:rsid w:val="23A423C5"/>
    <w:rsid w:val="23E168A8"/>
    <w:rsid w:val="24060D92"/>
    <w:rsid w:val="243C436C"/>
    <w:rsid w:val="245B0CD5"/>
    <w:rsid w:val="246A0F18"/>
    <w:rsid w:val="247F0237"/>
    <w:rsid w:val="24A94DE7"/>
    <w:rsid w:val="2512195F"/>
    <w:rsid w:val="25325BEA"/>
    <w:rsid w:val="255B6AB3"/>
    <w:rsid w:val="257D00DA"/>
    <w:rsid w:val="25A33D1C"/>
    <w:rsid w:val="25AC730F"/>
    <w:rsid w:val="25DE062A"/>
    <w:rsid w:val="25FC764B"/>
    <w:rsid w:val="25FF2BAC"/>
    <w:rsid w:val="260C2968"/>
    <w:rsid w:val="26394FB6"/>
    <w:rsid w:val="267111C5"/>
    <w:rsid w:val="267F74F6"/>
    <w:rsid w:val="26AC17FC"/>
    <w:rsid w:val="26D87BBC"/>
    <w:rsid w:val="26D97E39"/>
    <w:rsid w:val="26DD00C8"/>
    <w:rsid w:val="26E256DE"/>
    <w:rsid w:val="271D04C4"/>
    <w:rsid w:val="27436541"/>
    <w:rsid w:val="27441EF5"/>
    <w:rsid w:val="276318B8"/>
    <w:rsid w:val="276F74CA"/>
    <w:rsid w:val="277771ED"/>
    <w:rsid w:val="279938C3"/>
    <w:rsid w:val="27C06CFE"/>
    <w:rsid w:val="27C2753A"/>
    <w:rsid w:val="27CC3C98"/>
    <w:rsid w:val="28096C9A"/>
    <w:rsid w:val="280D678A"/>
    <w:rsid w:val="281E2746"/>
    <w:rsid w:val="286C3BF6"/>
    <w:rsid w:val="28940C5A"/>
    <w:rsid w:val="28967235"/>
    <w:rsid w:val="28BD07B9"/>
    <w:rsid w:val="28C055AB"/>
    <w:rsid w:val="28CD611F"/>
    <w:rsid w:val="28DB1694"/>
    <w:rsid w:val="28EA13DF"/>
    <w:rsid w:val="292D0389"/>
    <w:rsid w:val="296B1A60"/>
    <w:rsid w:val="29ED5768"/>
    <w:rsid w:val="29F0566A"/>
    <w:rsid w:val="2A1C3834"/>
    <w:rsid w:val="2A6015BE"/>
    <w:rsid w:val="2A7C2A0C"/>
    <w:rsid w:val="2A834AE2"/>
    <w:rsid w:val="2A940956"/>
    <w:rsid w:val="2AA81143"/>
    <w:rsid w:val="2ABA14D8"/>
    <w:rsid w:val="2ACC14D5"/>
    <w:rsid w:val="2AEC60AB"/>
    <w:rsid w:val="2AEE24AC"/>
    <w:rsid w:val="2AF7488D"/>
    <w:rsid w:val="2B4F6426"/>
    <w:rsid w:val="2B4F7378"/>
    <w:rsid w:val="2B8562FE"/>
    <w:rsid w:val="2B8B0AD7"/>
    <w:rsid w:val="2B944ACD"/>
    <w:rsid w:val="2BA93F88"/>
    <w:rsid w:val="2BAD603D"/>
    <w:rsid w:val="2BD8582F"/>
    <w:rsid w:val="2BE55328"/>
    <w:rsid w:val="2C110D10"/>
    <w:rsid w:val="2C1711F7"/>
    <w:rsid w:val="2C1F083A"/>
    <w:rsid w:val="2C2E6CCF"/>
    <w:rsid w:val="2C4118B1"/>
    <w:rsid w:val="2C463402"/>
    <w:rsid w:val="2C5524AE"/>
    <w:rsid w:val="2C6426F1"/>
    <w:rsid w:val="2C6646BB"/>
    <w:rsid w:val="2C6D0405"/>
    <w:rsid w:val="2C6D5A4A"/>
    <w:rsid w:val="2C720C5C"/>
    <w:rsid w:val="2C731985"/>
    <w:rsid w:val="2CA62D0A"/>
    <w:rsid w:val="2CC413E2"/>
    <w:rsid w:val="2CC651A3"/>
    <w:rsid w:val="2CCB451E"/>
    <w:rsid w:val="2CD755B9"/>
    <w:rsid w:val="2D045C82"/>
    <w:rsid w:val="2D095047"/>
    <w:rsid w:val="2D0D1EDF"/>
    <w:rsid w:val="2D12039F"/>
    <w:rsid w:val="2D156581"/>
    <w:rsid w:val="2D216834"/>
    <w:rsid w:val="2D237B5F"/>
    <w:rsid w:val="2D442A76"/>
    <w:rsid w:val="2D6266C8"/>
    <w:rsid w:val="2DD13DB6"/>
    <w:rsid w:val="2DFE4282"/>
    <w:rsid w:val="2E062593"/>
    <w:rsid w:val="2E19750B"/>
    <w:rsid w:val="2E410027"/>
    <w:rsid w:val="2E515D29"/>
    <w:rsid w:val="2E573752"/>
    <w:rsid w:val="2EF44200"/>
    <w:rsid w:val="2F063B68"/>
    <w:rsid w:val="2F2C5DF5"/>
    <w:rsid w:val="2F6C023B"/>
    <w:rsid w:val="2F7F65C3"/>
    <w:rsid w:val="2FAA362C"/>
    <w:rsid w:val="2FBE036A"/>
    <w:rsid w:val="2FE853E7"/>
    <w:rsid w:val="300809E8"/>
    <w:rsid w:val="30085277"/>
    <w:rsid w:val="30176A6B"/>
    <w:rsid w:val="301B3A0F"/>
    <w:rsid w:val="302F373C"/>
    <w:rsid w:val="306742E8"/>
    <w:rsid w:val="30731155"/>
    <w:rsid w:val="30A718B6"/>
    <w:rsid w:val="30BC0D4E"/>
    <w:rsid w:val="30C220DC"/>
    <w:rsid w:val="30C9346B"/>
    <w:rsid w:val="30CF6B01"/>
    <w:rsid w:val="30EB68FA"/>
    <w:rsid w:val="30F32296"/>
    <w:rsid w:val="30F6609D"/>
    <w:rsid w:val="31077AEF"/>
    <w:rsid w:val="312D57A8"/>
    <w:rsid w:val="31513D86"/>
    <w:rsid w:val="31556AAC"/>
    <w:rsid w:val="31561508"/>
    <w:rsid w:val="31A55C86"/>
    <w:rsid w:val="31B83C01"/>
    <w:rsid w:val="31C61758"/>
    <w:rsid w:val="31E247B3"/>
    <w:rsid w:val="321A3377"/>
    <w:rsid w:val="323E5C15"/>
    <w:rsid w:val="32621481"/>
    <w:rsid w:val="32892EB1"/>
    <w:rsid w:val="329A6E6D"/>
    <w:rsid w:val="329D4C03"/>
    <w:rsid w:val="32A01FA9"/>
    <w:rsid w:val="32AE31AE"/>
    <w:rsid w:val="32BA306B"/>
    <w:rsid w:val="32C23C80"/>
    <w:rsid w:val="32FC50E2"/>
    <w:rsid w:val="32FE40E3"/>
    <w:rsid w:val="33070A96"/>
    <w:rsid w:val="332901F1"/>
    <w:rsid w:val="33423060"/>
    <w:rsid w:val="335E60EC"/>
    <w:rsid w:val="337B615B"/>
    <w:rsid w:val="337B62D2"/>
    <w:rsid w:val="33813B89"/>
    <w:rsid w:val="33833DA5"/>
    <w:rsid w:val="33A02904"/>
    <w:rsid w:val="33AD7074"/>
    <w:rsid w:val="33DB598F"/>
    <w:rsid w:val="33DD3064"/>
    <w:rsid w:val="33E759B9"/>
    <w:rsid w:val="33E94F54"/>
    <w:rsid w:val="34073F4A"/>
    <w:rsid w:val="340C5B48"/>
    <w:rsid w:val="3417200F"/>
    <w:rsid w:val="342D5594"/>
    <w:rsid w:val="34346E4D"/>
    <w:rsid w:val="34425A0E"/>
    <w:rsid w:val="34451A66"/>
    <w:rsid w:val="3457480D"/>
    <w:rsid w:val="34943D90"/>
    <w:rsid w:val="34AE5530"/>
    <w:rsid w:val="34B241A1"/>
    <w:rsid w:val="34B8182C"/>
    <w:rsid w:val="34DC2104"/>
    <w:rsid w:val="34F0546A"/>
    <w:rsid w:val="35016C06"/>
    <w:rsid w:val="3546508A"/>
    <w:rsid w:val="354B6B44"/>
    <w:rsid w:val="355D23D3"/>
    <w:rsid w:val="35733F51"/>
    <w:rsid w:val="35956011"/>
    <w:rsid w:val="35AE03E3"/>
    <w:rsid w:val="35CA5CBB"/>
    <w:rsid w:val="35CD1307"/>
    <w:rsid w:val="35D94150"/>
    <w:rsid w:val="35F47571"/>
    <w:rsid w:val="36080591"/>
    <w:rsid w:val="3656754F"/>
    <w:rsid w:val="36651A28"/>
    <w:rsid w:val="366C4FC4"/>
    <w:rsid w:val="366C6D72"/>
    <w:rsid w:val="368466C6"/>
    <w:rsid w:val="36A75FFC"/>
    <w:rsid w:val="36A93B22"/>
    <w:rsid w:val="36B67162"/>
    <w:rsid w:val="36D663A2"/>
    <w:rsid w:val="370A6B06"/>
    <w:rsid w:val="37224DEA"/>
    <w:rsid w:val="372E16F2"/>
    <w:rsid w:val="373044DC"/>
    <w:rsid w:val="37407D7B"/>
    <w:rsid w:val="374D013B"/>
    <w:rsid w:val="37623CD1"/>
    <w:rsid w:val="376E2676"/>
    <w:rsid w:val="377203B8"/>
    <w:rsid w:val="37AF3366"/>
    <w:rsid w:val="37AF33BA"/>
    <w:rsid w:val="37BA1509"/>
    <w:rsid w:val="37C60704"/>
    <w:rsid w:val="37C97B8C"/>
    <w:rsid w:val="37D90437"/>
    <w:rsid w:val="37E34E12"/>
    <w:rsid w:val="37F60442"/>
    <w:rsid w:val="37FA2165"/>
    <w:rsid w:val="38254583"/>
    <w:rsid w:val="3828316D"/>
    <w:rsid w:val="382C4A0B"/>
    <w:rsid w:val="382E38EF"/>
    <w:rsid w:val="383218F5"/>
    <w:rsid w:val="386E3ED6"/>
    <w:rsid w:val="386F2B4A"/>
    <w:rsid w:val="387D5266"/>
    <w:rsid w:val="38855EC9"/>
    <w:rsid w:val="388A1731"/>
    <w:rsid w:val="39251FE6"/>
    <w:rsid w:val="395F671A"/>
    <w:rsid w:val="396F22EF"/>
    <w:rsid w:val="39863D18"/>
    <w:rsid w:val="398D6900"/>
    <w:rsid w:val="39A20CFD"/>
    <w:rsid w:val="39AC2784"/>
    <w:rsid w:val="39E165D2"/>
    <w:rsid w:val="39FE3B90"/>
    <w:rsid w:val="3A273C34"/>
    <w:rsid w:val="3A43114E"/>
    <w:rsid w:val="3A4D6EBA"/>
    <w:rsid w:val="3A63561E"/>
    <w:rsid w:val="3A685AA2"/>
    <w:rsid w:val="3A887EF3"/>
    <w:rsid w:val="3AB74334"/>
    <w:rsid w:val="3ABF3A64"/>
    <w:rsid w:val="3AEF1127"/>
    <w:rsid w:val="3AF74E62"/>
    <w:rsid w:val="3AFE47B5"/>
    <w:rsid w:val="3B0726A2"/>
    <w:rsid w:val="3B0D21A6"/>
    <w:rsid w:val="3B2E0A9A"/>
    <w:rsid w:val="3B4E3123"/>
    <w:rsid w:val="3B5418C9"/>
    <w:rsid w:val="3B6C3AB4"/>
    <w:rsid w:val="3BB14E02"/>
    <w:rsid w:val="3BB54D17"/>
    <w:rsid w:val="3BC34F00"/>
    <w:rsid w:val="3BE839DA"/>
    <w:rsid w:val="3C1E0A9B"/>
    <w:rsid w:val="3C1F03E3"/>
    <w:rsid w:val="3C1F1CE5"/>
    <w:rsid w:val="3C2A6EA9"/>
    <w:rsid w:val="3C553E04"/>
    <w:rsid w:val="3C6B6B95"/>
    <w:rsid w:val="3CB1315A"/>
    <w:rsid w:val="3CB60B4C"/>
    <w:rsid w:val="3CDE029E"/>
    <w:rsid w:val="3CE75864"/>
    <w:rsid w:val="3D09356D"/>
    <w:rsid w:val="3D0C4E0B"/>
    <w:rsid w:val="3D113EFE"/>
    <w:rsid w:val="3D1617E6"/>
    <w:rsid w:val="3D2F02CC"/>
    <w:rsid w:val="3D3A1978"/>
    <w:rsid w:val="3D581605"/>
    <w:rsid w:val="3D843589"/>
    <w:rsid w:val="3DCB3191"/>
    <w:rsid w:val="3DD47DFE"/>
    <w:rsid w:val="3DE32B7F"/>
    <w:rsid w:val="3DFD4754"/>
    <w:rsid w:val="3E0808AB"/>
    <w:rsid w:val="3E0A2D77"/>
    <w:rsid w:val="3E0B6E71"/>
    <w:rsid w:val="3E0F40CF"/>
    <w:rsid w:val="3E27133C"/>
    <w:rsid w:val="3E38578C"/>
    <w:rsid w:val="3E4B652F"/>
    <w:rsid w:val="3E9C1AC2"/>
    <w:rsid w:val="3EAE391C"/>
    <w:rsid w:val="3ECB7146"/>
    <w:rsid w:val="3ED52C04"/>
    <w:rsid w:val="3ED57CDA"/>
    <w:rsid w:val="3ED656D0"/>
    <w:rsid w:val="3EDD5CEC"/>
    <w:rsid w:val="3F147FA7"/>
    <w:rsid w:val="3F5465F5"/>
    <w:rsid w:val="3F65130D"/>
    <w:rsid w:val="3FAE5D48"/>
    <w:rsid w:val="3FD84A93"/>
    <w:rsid w:val="3FDA11F0"/>
    <w:rsid w:val="3FDA4D4C"/>
    <w:rsid w:val="3FE156B2"/>
    <w:rsid w:val="401D10DD"/>
    <w:rsid w:val="402E6E46"/>
    <w:rsid w:val="40536250"/>
    <w:rsid w:val="406D5BC1"/>
    <w:rsid w:val="40972C3D"/>
    <w:rsid w:val="40CD3353"/>
    <w:rsid w:val="40D32C22"/>
    <w:rsid w:val="40F4221B"/>
    <w:rsid w:val="40F7192E"/>
    <w:rsid w:val="4114024C"/>
    <w:rsid w:val="41215DA5"/>
    <w:rsid w:val="413D1A37"/>
    <w:rsid w:val="413E755D"/>
    <w:rsid w:val="41627F5C"/>
    <w:rsid w:val="41854E04"/>
    <w:rsid w:val="419A57EC"/>
    <w:rsid w:val="419B4C0C"/>
    <w:rsid w:val="41A2189A"/>
    <w:rsid w:val="41D072D4"/>
    <w:rsid w:val="41EC2EEF"/>
    <w:rsid w:val="41FE1774"/>
    <w:rsid w:val="420C610C"/>
    <w:rsid w:val="42126564"/>
    <w:rsid w:val="42170F9D"/>
    <w:rsid w:val="422C0342"/>
    <w:rsid w:val="425A6F73"/>
    <w:rsid w:val="426E79CE"/>
    <w:rsid w:val="4278084D"/>
    <w:rsid w:val="427C658F"/>
    <w:rsid w:val="42982C9D"/>
    <w:rsid w:val="42BD4FAE"/>
    <w:rsid w:val="42FE73AB"/>
    <w:rsid w:val="43144B7B"/>
    <w:rsid w:val="431765E0"/>
    <w:rsid w:val="432927CA"/>
    <w:rsid w:val="432A1CC2"/>
    <w:rsid w:val="434A21E9"/>
    <w:rsid w:val="437159C8"/>
    <w:rsid w:val="43B74E39"/>
    <w:rsid w:val="43B9736F"/>
    <w:rsid w:val="43D9356D"/>
    <w:rsid w:val="43E33FD1"/>
    <w:rsid w:val="43FE181E"/>
    <w:rsid w:val="441B1DD7"/>
    <w:rsid w:val="443D58AA"/>
    <w:rsid w:val="445B0B70"/>
    <w:rsid w:val="4469003D"/>
    <w:rsid w:val="446B68BB"/>
    <w:rsid w:val="447D039C"/>
    <w:rsid w:val="44C9538F"/>
    <w:rsid w:val="44EE129A"/>
    <w:rsid w:val="450F2C98"/>
    <w:rsid w:val="45116B80"/>
    <w:rsid w:val="452E56DC"/>
    <w:rsid w:val="453873E8"/>
    <w:rsid w:val="4538740E"/>
    <w:rsid w:val="4540521A"/>
    <w:rsid w:val="455410FD"/>
    <w:rsid w:val="456953A7"/>
    <w:rsid w:val="45723C79"/>
    <w:rsid w:val="45941E41"/>
    <w:rsid w:val="459C3262"/>
    <w:rsid w:val="459E4A6E"/>
    <w:rsid w:val="45CB40CB"/>
    <w:rsid w:val="45D1274E"/>
    <w:rsid w:val="45EA380F"/>
    <w:rsid w:val="46102858"/>
    <w:rsid w:val="46517D32"/>
    <w:rsid w:val="465810C1"/>
    <w:rsid w:val="46674E60"/>
    <w:rsid w:val="468A6DA0"/>
    <w:rsid w:val="46A61E2C"/>
    <w:rsid w:val="46BF2EEE"/>
    <w:rsid w:val="46D60513"/>
    <w:rsid w:val="46D71FE6"/>
    <w:rsid w:val="476870E2"/>
    <w:rsid w:val="47743CD8"/>
    <w:rsid w:val="477D7930"/>
    <w:rsid w:val="4780267D"/>
    <w:rsid w:val="479354E3"/>
    <w:rsid w:val="47AB5220"/>
    <w:rsid w:val="47B16CDB"/>
    <w:rsid w:val="47EE05EF"/>
    <w:rsid w:val="47FF070F"/>
    <w:rsid w:val="4819383E"/>
    <w:rsid w:val="48215AFD"/>
    <w:rsid w:val="48496AAD"/>
    <w:rsid w:val="486A5272"/>
    <w:rsid w:val="48C447EC"/>
    <w:rsid w:val="48FE3D3C"/>
    <w:rsid w:val="491D5CAA"/>
    <w:rsid w:val="491F5EC6"/>
    <w:rsid w:val="49296D45"/>
    <w:rsid w:val="49477565"/>
    <w:rsid w:val="49574F2D"/>
    <w:rsid w:val="495A5150"/>
    <w:rsid w:val="49663AF5"/>
    <w:rsid w:val="497F27A4"/>
    <w:rsid w:val="49841976"/>
    <w:rsid w:val="4990049A"/>
    <w:rsid w:val="49B91DA4"/>
    <w:rsid w:val="4A0661CA"/>
    <w:rsid w:val="4A0A4F84"/>
    <w:rsid w:val="4A1016DA"/>
    <w:rsid w:val="4A17094B"/>
    <w:rsid w:val="4A3D31A8"/>
    <w:rsid w:val="4A851D59"/>
    <w:rsid w:val="4A954692"/>
    <w:rsid w:val="4AA93C99"/>
    <w:rsid w:val="4ABA0F61"/>
    <w:rsid w:val="4AC62BC0"/>
    <w:rsid w:val="4AC960E9"/>
    <w:rsid w:val="4AD41CA3"/>
    <w:rsid w:val="4AE253FD"/>
    <w:rsid w:val="4B3A0D95"/>
    <w:rsid w:val="4B3C4B0D"/>
    <w:rsid w:val="4B58121B"/>
    <w:rsid w:val="4B9B5087"/>
    <w:rsid w:val="4B9C2307"/>
    <w:rsid w:val="4BAA2EFE"/>
    <w:rsid w:val="4BAA5D79"/>
    <w:rsid w:val="4BD04548"/>
    <w:rsid w:val="4BD54E32"/>
    <w:rsid w:val="4BED5E07"/>
    <w:rsid w:val="4C177113"/>
    <w:rsid w:val="4C2F4672"/>
    <w:rsid w:val="4C7D0675"/>
    <w:rsid w:val="4C83051A"/>
    <w:rsid w:val="4C8F3BAE"/>
    <w:rsid w:val="4C983498"/>
    <w:rsid w:val="4CB9218D"/>
    <w:rsid w:val="4CD810E9"/>
    <w:rsid w:val="4CD8218A"/>
    <w:rsid w:val="4CEE1E91"/>
    <w:rsid w:val="4D0553D3"/>
    <w:rsid w:val="4D07739D"/>
    <w:rsid w:val="4D13140C"/>
    <w:rsid w:val="4D2649DC"/>
    <w:rsid w:val="4D2717ED"/>
    <w:rsid w:val="4D4203D5"/>
    <w:rsid w:val="4D5320B4"/>
    <w:rsid w:val="4D8D3D2C"/>
    <w:rsid w:val="4D9228D2"/>
    <w:rsid w:val="4D97427D"/>
    <w:rsid w:val="4DDE195C"/>
    <w:rsid w:val="4DF55447"/>
    <w:rsid w:val="4E0E2361"/>
    <w:rsid w:val="4E9702AC"/>
    <w:rsid w:val="4E9C365E"/>
    <w:rsid w:val="4ECA5EC4"/>
    <w:rsid w:val="4F282E73"/>
    <w:rsid w:val="4F2C30EB"/>
    <w:rsid w:val="4F6F4D85"/>
    <w:rsid w:val="4FD214B6"/>
    <w:rsid w:val="4FDF63AF"/>
    <w:rsid w:val="4FE87012"/>
    <w:rsid w:val="4FF97471"/>
    <w:rsid w:val="4FFF63AB"/>
    <w:rsid w:val="50120532"/>
    <w:rsid w:val="503404A9"/>
    <w:rsid w:val="506A5C79"/>
    <w:rsid w:val="508806ED"/>
    <w:rsid w:val="508A631B"/>
    <w:rsid w:val="50AC6291"/>
    <w:rsid w:val="50C25AB5"/>
    <w:rsid w:val="50DC644B"/>
    <w:rsid w:val="50E772C9"/>
    <w:rsid w:val="50E917F7"/>
    <w:rsid w:val="51361FFF"/>
    <w:rsid w:val="514B1B1C"/>
    <w:rsid w:val="518064A7"/>
    <w:rsid w:val="51B51175"/>
    <w:rsid w:val="51C92E73"/>
    <w:rsid w:val="51CA0718"/>
    <w:rsid w:val="51D82FF4"/>
    <w:rsid w:val="51DA018B"/>
    <w:rsid w:val="51E43809"/>
    <w:rsid w:val="52036385"/>
    <w:rsid w:val="52045C59"/>
    <w:rsid w:val="524D7600"/>
    <w:rsid w:val="5297014C"/>
    <w:rsid w:val="52CD24EF"/>
    <w:rsid w:val="52E43E80"/>
    <w:rsid w:val="52EA30A1"/>
    <w:rsid w:val="52EE68A0"/>
    <w:rsid w:val="533B1BB0"/>
    <w:rsid w:val="533D713F"/>
    <w:rsid w:val="53806ACF"/>
    <w:rsid w:val="538B13C1"/>
    <w:rsid w:val="53BB6A43"/>
    <w:rsid w:val="53FA5565"/>
    <w:rsid w:val="53FB308C"/>
    <w:rsid w:val="5402441A"/>
    <w:rsid w:val="54080284"/>
    <w:rsid w:val="54170908"/>
    <w:rsid w:val="54210D44"/>
    <w:rsid w:val="543C792C"/>
    <w:rsid w:val="54413194"/>
    <w:rsid w:val="544310EC"/>
    <w:rsid w:val="544561BC"/>
    <w:rsid w:val="54492049"/>
    <w:rsid w:val="544B64F2"/>
    <w:rsid w:val="54513ED8"/>
    <w:rsid w:val="54534C76"/>
    <w:rsid w:val="545C1413"/>
    <w:rsid w:val="545F1A35"/>
    <w:rsid w:val="54770964"/>
    <w:rsid w:val="54A26E00"/>
    <w:rsid w:val="54A84643"/>
    <w:rsid w:val="54AF6350"/>
    <w:rsid w:val="54CC3338"/>
    <w:rsid w:val="54DA3B82"/>
    <w:rsid w:val="553966FB"/>
    <w:rsid w:val="55894DF3"/>
    <w:rsid w:val="55A467C8"/>
    <w:rsid w:val="55C070A6"/>
    <w:rsid w:val="55CA71B9"/>
    <w:rsid w:val="55F44040"/>
    <w:rsid w:val="55F942A7"/>
    <w:rsid w:val="560721BC"/>
    <w:rsid w:val="562B40FC"/>
    <w:rsid w:val="562C4278"/>
    <w:rsid w:val="56427548"/>
    <w:rsid w:val="565901FB"/>
    <w:rsid w:val="5661676B"/>
    <w:rsid w:val="569A4DDE"/>
    <w:rsid w:val="56B063AF"/>
    <w:rsid w:val="56D55286"/>
    <w:rsid w:val="56EE1B8C"/>
    <w:rsid w:val="57467F7B"/>
    <w:rsid w:val="574865E8"/>
    <w:rsid w:val="5753390A"/>
    <w:rsid w:val="57911D3D"/>
    <w:rsid w:val="5797131D"/>
    <w:rsid w:val="57B86A55"/>
    <w:rsid w:val="57BD5228"/>
    <w:rsid w:val="57C540DC"/>
    <w:rsid w:val="57CE3012"/>
    <w:rsid w:val="581110D0"/>
    <w:rsid w:val="58331046"/>
    <w:rsid w:val="58525DD9"/>
    <w:rsid w:val="58580AAD"/>
    <w:rsid w:val="58622535"/>
    <w:rsid w:val="58847AF3"/>
    <w:rsid w:val="5889510A"/>
    <w:rsid w:val="589651AD"/>
    <w:rsid w:val="589C4E3D"/>
    <w:rsid w:val="58A15938"/>
    <w:rsid w:val="58A272E0"/>
    <w:rsid w:val="58C44394"/>
    <w:rsid w:val="58CF53CB"/>
    <w:rsid w:val="58D24809"/>
    <w:rsid w:val="58DF11CE"/>
    <w:rsid w:val="58E81E30"/>
    <w:rsid w:val="58EB36CF"/>
    <w:rsid w:val="58F00457"/>
    <w:rsid w:val="591047FC"/>
    <w:rsid w:val="59155BDF"/>
    <w:rsid w:val="59284166"/>
    <w:rsid w:val="5967369D"/>
    <w:rsid w:val="598C2BE0"/>
    <w:rsid w:val="599B50F5"/>
    <w:rsid w:val="59A85A64"/>
    <w:rsid w:val="59EA2050"/>
    <w:rsid w:val="5A074538"/>
    <w:rsid w:val="5A41771A"/>
    <w:rsid w:val="5A8B0A6A"/>
    <w:rsid w:val="5AB91C35"/>
    <w:rsid w:val="5ABD0110"/>
    <w:rsid w:val="5AE825BC"/>
    <w:rsid w:val="5AFE34FD"/>
    <w:rsid w:val="5B0E18F6"/>
    <w:rsid w:val="5B174FD8"/>
    <w:rsid w:val="5B3E6680"/>
    <w:rsid w:val="5B75322C"/>
    <w:rsid w:val="5B8E46C8"/>
    <w:rsid w:val="5B914A01"/>
    <w:rsid w:val="5BE23E61"/>
    <w:rsid w:val="5BFB54CD"/>
    <w:rsid w:val="5C1C46DE"/>
    <w:rsid w:val="5C1D1C44"/>
    <w:rsid w:val="5C2C472A"/>
    <w:rsid w:val="5C2E04A2"/>
    <w:rsid w:val="5C3F26AF"/>
    <w:rsid w:val="5C533A65"/>
    <w:rsid w:val="5C676FEC"/>
    <w:rsid w:val="5C7F2AAC"/>
    <w:rsid w:val="5CB0535B"/>
    <w:rsid w:val="5CB84B6A"/>
    <w:rsid w:val="5CC42BB4"/>
    <w:rsid w:val="5CC45BA9"/>
    <w:rsid w:val="5CCA006D"/>
    <w:rsid w:val="5CCB429F"/>
    <w:rsid w:val="5CCD29B2"/>
    <w:rsid w:val="5D3537DE"/>
    <w:rsid w:val="5D55543A"/>
    <w:rsid w:val="5D5F6439"/>
    <w:rsid w:val="5D61749E"/>
    <w:rsid w:val="5D665A1A"/>
    <w:rsid w:val="5D7A7717"/>
    <w:rsid w:val="5D954ADB"/>
    <w:rsid w:val="5DA551E3"/>
    <w:rsid w:val="5DAA1DAA"/>
    <w:rsid w:val="5DC015CE"/>
    <w:rsid w:val="5DC3689E"/>
    <w:rsid w:val="5DED1C97"/>
    <w:rsid w:val="5E121BA9"/>
    <w:rsid w:val="5E1C257C"/>
    <w:rsid w:val="5E2D7FB9"/>
    <w:rsid w:val="5E2E29DB"/>
    <w:rsid w:val="5E3420C7"/>
    <w:rsid w:val="5E3873B6"/>
    <w:rsid w:val="5E526529"/>
    <w:rsid w:val="5ED63B38"/>
    <w:rsid w:val="5F0D1A37"/>
    <w:rsid w:val="5F16000E"/>
    <w:rsid w:val="5F304531"/>
    <w:rsid w:val="5FA17A19"/>
    <w:rsid w:val="5FCF6910"/>
    <w:rsid w:val="5FDE21DF"/>
    <w:rsid w:val="5FE86BBA"/>
    <w:rsid w:val="5FEB0A27"/>
    <w:rsid w:val="5FF62406"/>
    <w:rsid w:val="600D03CE"/>
    <w:rsid w:val="601349DC"/>
    <w:rsid w:val="603B57A9"/>
    <w:rsid w:val="60667AC0"/>
    <w:rsid w:val="608033BA"/>
    <w:rsid w:val="608B5521"/>
    <w:rsid w:val="60943AD9"/>
    <w:rsid w:val="60CB2763"/>
    <w:rsid w:val="60E655D4"/>
    <w:rsid w:val="60E66958"/>
    <w:rsid w:val="60EE4F6D"/>
    <w:rsid w:val="60F05E4D"/>
    <w:rsid w:val="60FF15E0"/>
    <w:rsid w:val="613A1697"/>
    <w:rsid w:val="614222FA"/>
    <w:rsid w:val="61816E7A"/>
    <w:rsid w:val="61897F44"/>
    <w:rsid w:val="61924217"/>
    <w:rsid w:val="6192502F"/>
    <w:rsid w:val="61A540B6"/>
    <w:rsid w:val="61AC5FDE"/>
    <w:rsid w:val="620E6D99"/>
    <w:rsid w:val="621912AD"/>
    <w:rsid w:val="622044E7"/>
    <w:rsid w:val="6230783D"/>
    <w:rsid w:val="623409A6"/>
    <w:rsid w:val="625D3903"/>
    <w:rsid w:val="626F1C56"/>
    <w:rsid w:val="629B5C1E"/>
    <w:rsid w:val="62D16876"/>
    <w:rsid w:val="62DD677E"/>
    <w:rsid w:val="62E95123"/>
    <w:rsid w:val="630065ED"/>
    <w:rsid w:val="630C2BBF"/>
    <w:rsid w:val="63225D72"/>
    <w:rsid w:val="633407C8"/>
    <w:rsid w:val="637D0255"/>
    <w:rsid w:val="63AD1207"/>
    <w:rsid w:val="63DA38A8"/>
    <w:rsid w:val="63E84A0F"/>
    <w:rsid w:val="64255715"/>
    <w:rsid w:val="643B2165"/>
    <w:rsid w:val="646F78AA"/>
    <w:rsid w:val="649E2A36"/>
    <w:rsid w:val="64A70DF2"/>
    <w:rsid w:val="64CD637E"/>
    <w:rsid w:val="64EE7961"/>
    <w:rsid w:val="650C334B"/>
    <w:rsid w:val="651346D9"/>
    <w:rsid w:val="654474C8"/>
    <w:rsid w:val="654900FB"/>
    <w:rsid w:val="65566374"/>
    <w:rsid w:val="656F5FE4"/>
    <w:rsid w:val="65A96DEB"/>
    <w:rsid w:val="65BB5537"/>
    <w:rsid w:val="65C20D04"/>
    <w:rsid w:val="65D07F6A"/>
    <w:rsid w:val="66041D37"/>
    <w:rsid w:val="660D0F10"/>
    <w:rsid w:val="662D7193"/>
    <w:rsid w:val="667967BE"/>
    <w:rsid w:val="667B0CB0"/>
    <w:rsid w:val="669058B5"/>
    <w:rsid w:val="66974E96"/>
    <w:rsid w:val="669E7FD2"/>
    <w:rsid w:val="66A7157D"/>
    <w:rsid w:val="66AE484C"/>
    <w:rsid w:val="66DB2FD4"/>
    <w:rsid w:val="670065FE"/>
    <w:rsid w:val="679232E9"/>
    <w:rsid w:val="6793565D"/>
    <w:rsid w:val="67A27F96"/>
    <w:rsid w:val="67AF7FBD"/>
    <w:rsid w:val="67B13D35"/>
    <w:rsid w:val="67BB59CA"/>
    <w:rsid w:val="67C92354"/>
    <w:rsid w:val="67CF2561"/>
    <w:rsid w:val="67D5211A"/>
    <w:rsid w:val="67FD5DC4"/>
    <w:rsid w:val="68093B71"/>
    <w:rsid w:val="682E35D8"/>
    <w:rsid w:val="6841636E"/>
    <w:rsid w:val="68442F3F"/>
    <w:rsid w:val="68686AEA"/>
    <w:rsid w:val="68AD7F2E"/>
    <w:rsid w:val="68EC1253"/>
    <w:rsid w:val="69012A9A"/>
    <w:rsid w:val="690546F9"/>
    <w:rsid w:val="690D5105"/>
    <w:rsid w:val="69242AFE"/>
    <w:rsid w:val="69344C1E"/>
    <w:rsid w:val="6939173B"/>
    <w:rsid w:val="693B7E5B"/>
    <w:rsid w:val="694D5CE0"/>
    <w:rsid w:val="694D6594"/>
    <w:rsid w:val="69554A42"/>
    <w:rsid w:val="695F2A22"/>
    <w:rsid w:val="69732A99"/>
    <w:rsid w:val="69796AD5"/>
    <w:rsid w:val="69AE49D0"/>
    <w:rsid w:val="69C77840"/>
    <w:rsid w:val="6A2A6C1F"/>
    <w:rsid w:val="6A375412"/>
    <w:rsid w:val="6A754122"/>
    <w:rsid w:val="6A9040D6"/>
    <w:rsid w:val="6AB3340E"/>
    <w:rsid w:val="6AE461D0"/>
    <w:rsid w:val="6AF9602B"/>
    <w:rsid w:val="6AF96DE2"/>
    <w:rsid w:val="6B026CED"/>
    <w:rsid w:val="6B1677AA"/>
    <w:rsid w:val="6B696AC6"/>
    <w:rsid w:val="6B7E6624"/>
    <w:rsid w:val="6B9F4620"/>
    <w:rsid w:val="6BAD7577"/>
    <w:rsid w:val="6BE50451"/>
    <w:rsid w:val="6BEF79EE"/>
    <w:rsid w:val="6C276CBC"/>
    <w:rsid w:val="6C3D64DF"/>
    <w:rsid w:val="6C3F5DB4"/>
    <w:rsid w:val="6C53360D"/>
    <w:rsid w:val="6C553829"/>
    <w:rsid w:val="6C7C7008"/>
    <w:rsid w:val="6C845EBC"/>
    <w:rsid w:val="6C991968"/>
    <w:rsid w:val="6CA200F0"/>
    <w:rsid w:val="6CA64CB9"/>
    <w:rsid w:val="6CA67BE1"/>
    <w:rsid w:val="6CBA368C"/>
    <w:rsid w:val="6CBD4F2A"/>
    <w:rsid w:val="6CCA0AEE"/>
    <w:rsid w:val="6CD97FB6"/>
    <w:rsid w:val="6D2673E0"/>
    <w:rsid w:val="6D415B5B"/>
    <w:rsid w:val="6D531D64"/>
    <w:rsid w:val="6D7777CF"/>
    <w:rsid w:val="6DAA381D"/>
    <w:rsid w:val="6DC742B3"/>
    <w:rsid w:val="6DE85FD7"/>
    <w:rsid w:val="6E14005B"/>
    <w:rsid w:val="6E2A4841"/>
    <w:rsid w:val="6E2C05BA"/>
    <w:rsid w:val="6E385080"/>
    <w:rsid w:val="6E435A5B"/>
    <w:rsid w:val="6E4B4EE4"/>
    <w:rsid w:val="6E511DCE"/>
    <w:rsid w:val="6E711EDB"/>
    <w:rsid w:val="6E9D3265"/>
    <w:rsid w:val="6EA90670"/>
    <w:rsid w:val="6EB32A89"/>
    <w:rsid w:val="6EE67DB6"/>
    <w:rsid w:val="6EF56BFD"/>
    <w:rsid w:val="6F0B6421"/>
    <w:rsid w:val="6F241291"/>
    <w:rsid w:val="6F3F60CB"/>
    <w:rsid w:val="6F6214F1"/>
    <w:rsid w:val="6F631DB9"/>
    <w:rsid w:val="6F977CB5"/>
    <w:rsid w:val="6FA50B40"/>
    <w:rsid w:val="6FCB3E2E"/>
    <w:rsid w:val="6FED1F44"/>
    <w:rsid w:val="6FF60E7F"/>
    <w:rsid w:val="70025A76"/>
    <w:rsid w:val="700E61C9"/>
    <w:rsid w:val="701E263C"/>
    <w:rsid w:val="7048237C"/>
    <w:rsid w:val="70566516"/>
    <w:rsid w:val="70713BD1"/>
    <w:rsid w:val="70A65F9E"/>
    <w:rsid w:val="70C82AB2"/>
    <w:rsid w:val="70EB650A"/>
    <w:rsid w:val="70FA1D5A"/>
    <w:rsid w:val="71145A61"/>
    <w:rsid w:val="712B2DAA"/>
    <w:rsid w:val="71381CA7"/>
    <w:rsid w:val="71473C79"/>
    <w:rsid w:val="7147688E"/>
    <w:rsid w:val="716143DA"/>
    <w:rsid w:val="71705CD4"/>
    <w:rsid w:val="71B0505E"/>
    <w:rsid w:val="71C54519"/>
    <w:rsid w:val="71CB2566"/>
    <w:rsid w:val="72007D93"/>
    <w:rsid w:val="720535FB"/>
    <w:rsid w:val="72086C48"/>
    <w:rsid w:val="72180B78"/>
    <w:rsid w:val="72B666A4"/>
    <w:rsid w:val="72BD5C84"/>
    <w:rsid w:val="72C46090"/>
    <w:rsid w:val="72CB65F3"/>
    <w:rsid w:val="72CD32BD"/>
    <w:rsid w:val="72D056C9"/>
    <w:rsid w:val="72E66F89"/>
    <w:rsid w:val="72F02FB8"/>
    <w:rsid w:val="73016CE4"/>
    <w:rsid w:val="73061D27"/>
    <w:rsid w:val="73165394"/>
    <w:rsid w:val="73225FFC"/>
    <w:rsid w:val="732E26DE"/>
    <w:rsid w:val="736A4AA1"/>
    <w:rsid w:val="73C854B8"/>
    <w:rsid w:val="73D74B24"/>
    <w:rsid w:val="73FD2F24"/>
    <w:rsid w:val="73FD6AC3"/>
    <w:rsid w:val="74100036"/>
    <w:rsid w:val="742F621F"/>
    <w:rsid w:val="7440441F"/>
    <w:rsid w:val="74466AEE"/>
    <w:rsid w:val="7467234B"/>
    <w:rsid w:val="746D7236"/>
    <w:rsid w:val="74883CC4"/>
    <w:rsid w:val="748F32C8"/>
    <w:rsid w:val="74A82EA8"/>
    <w:rsid w:val="74A87AD3"/>
    <w:rsid w:val="74B66E2F"/>
    <w:rsid w:val="74C72DEA"/>
    <w:rsid w:val="74D36DD2"/>
    <w:rsid w:val="74E47DAA"/>
    <w:rsid w:val="75051D1C"/>
    <w:rsid w:val="751C3136"/>
    <w:rsid w:val="75322959"/>
    <w:rsid w:val="75480753"/>
    <w:rsid w:val="757A4300"/>
    <w:rsid w:val="7581749B"/>
    <w:rsid w:val="75A35605"/>
    <w:rsid w:val="75A82C1C"/>
    <w:rsid w:val="75BF1D13"/>
    <w:rsid w:val="760C0463"/>
    <w:rsid w:val="76120095"/>
    <w:rsid w:val="76204D8E"/>
    <w:rsid w:val="76397D18"/>
    <w:rsid w:val="765406AD"/>
    <w:rsid w:val="76650C10"/>
    <w:rsid w:val="76654669"/>
    <w:rsid w:val="766C59F7"/>
    <w:rsid w:val="767F0F22"/>
    <w:rsid w:val="768B0E67"/>
    <w:rsid w:val="76A809F9"/>
    <w:rsid w:val="76CC293A"/>
    <w:rsid w:val="770420D4"/>
    <w:rsid w:val="771F28FF"/>
    <w:rsid w:val="77295AC0"/>
    <w:rsid w:val="772C4DFE"/>
    <w:rsid w:val="773A78A3"/>
    <w:rsid w:val="77470212"/>
    <w:rsid w:val="7760409C"/>
    <w:rsid w:val="7765512B"/>
    <w:rsid w:val="776A6102"/>
    <w:rsid w:val="77707769"/>
    <w:rsid w:val="77784870"/>
    <w:rsid w:val="778925D9"/>
    <w:rsid w:val="77F80F34"/>
    <w:rsid w:val="783C764B"/>
    <w:rsid w:val="784011AE"/>
    <w:rsid w:val="78553A83"/>
    <w:rsid w:val="786A68F2"/>
    <w:rsid w:val="78746DE5"/>
    <w:rsid w:val="78843C75"/>
    <w:rsid w:val="78880AE2"/>
    <w:rsid w:val="78A51694"/>
    <w:rsid w:val="78C2428E"/>
    <w:rsid w:val="78D93B65"/>
    <w:rsid w:val="793D4922"/>
    <w:rsid w:val="7948418D"/>
    <w:rsid w:val="795A0263"/>
    <w:rsid w:val="79884CBA"/>
    <w:rsid w:val="798D3C7E"/>
    <w:rsid w:val="798E4C9F"/>
    <w:rsid w:val="79B41C03"/>
    <w:rsid w:val="79DB3703"/>
    <w:rsid w:val="79E84C9C"/>
    <w:rsid w:val="7A124B07"/>
    <w:rsid w:val="7A1C30A9"/>
    <w:rsid w:val="7A1F0087"/>
    <w:rsid w:val="7A2A00A3"/>
    <w:rsid w:val="7A786E84"/>
    <w:rsid w:val="7A84644A"/>
    <w:rsid w:val="7AA716F4"/>
    <w:rsid w:val="7AC8166A"/>
    <w:rsid w:val="7AD973D3"/>
    <w:rsid w:val="7AE30252"/>
    <w:rsid w:val="7B14578D"/>
    <w:rsid w:val="7B3A7E20"/>
    <w:rsid w:val="7B71585E"/>
    <w:rsid w:val="7B7C2BC7"/>
    <w:rsid w:val="7B8B2650"/>
    <w:rsid w:val="7BB35E76"/>
    <w:rsid w:val="7BB65396"/>
    <w:rsid w:val="7BCF61F6"/>
    <w:rsid w:val="7BF007D9"/>
    <w:rsid w:val="7C395F22"/>
    <w:rsid w:val="7C46099E"/>
    <w:rsid w:val="7C4E24BC"/>
    <w:rsid w:val="7CB00608"/>
    <w:rsid w:val="7D0F732D"/>
    <w:rsid w:val="7D1B0177"/>
    <w:rsid w:val="7D276AC4"/>
    <w:rsid w:val="7D5D078F"/>
    <w:rsid w:val="7D6308BF"/>
    <w:rsid w:val="7D7A4E9D"/>
    <w:rsid w:val="7DD236A1"/>
    <w:rsid w:val="7DE95B7F"/>
    <w:rsid w:val="7DF05160"/>
    <w:rsid w:val="7E0D3F64"/>
    <w:rsid w:val="7E1B6064"/>
    <w:rsid w:val="7E2C464B"/>
    <w:rsid w:val="7E5A5F62"/>
    <w:rsid w:val="7E6163C9"/>
    <w:rsid w:val="7E675269"/>
    <w:rsid w:val="7EB42631"/>
    <w:rsid w:val="7EBE7F49"/>
    <w:rsid w:val="7ED14F91"/>
    <w:rsid w:val="7ED27099"/>
    <w:rsid w:val="7EEF18BB"/>
    <w:rsid w:val="7EF37B12"/>
    <w:rsid w:val="7F340FE7"/>
    <w:rsid w:val="7F380056"/>
    <w:rsid w:val="7F8578A0"/>
    <w:rsid w:val="7FAE720E"/>
    <w:rsid w:val="7FB327FC"/>
    <w:rsid w:val="7FC11A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6">
    <w:name w:val="heading 1"/>
    <w:basedOn w:val="1"/>
    <w:next w:val="1"/>
    <w:link w:val="141"/>
    <w:qFormat/>
    <w:uiPriority w:val="0"/>
    <w:pPr>
      <w:keepNext/>
      <w:jc w:val="center"/>
      <w:outlineLvl w:val="0"/>
    </w:pPr>
    <w:rPr>
      <w:b/>
      <w:bCs/>
      <w:sz w:val="24"/>
    </w:rPr>
  </w:style>
  <w:style w:type="paragraph" w:styleId="7">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link w:val="55"/>
    <w:qFormat/>
    <w:uiPriority w:val="0"/>
    <w:pPr>
      <w:keepNext/>
      <w:keepLines/>
      <w:spacing w:before="260" w:after="260" w:line="416" w:lineRule="auto"/>
      <w:outlineLvl w:val="2"/>
    </w:pPr>
    <w:rPr>
      <w:b/>
      <w:bCs/>
      <w:sz w:val="32"/>
      <w:szCs w:val="32"/>
    </w:rPr>
  </w:style>
  <w:style w:type="paragraph" w:styleId="9">
    <w:name w:val="heading 4"/>
    <w:basedOn w:val="1"/>
    <w:next w:val="10"/>
    <w:qFormat/>
    <w:uiPriority w:val="0"/>
    <w:pPr>
      <w:keepNext/>
      <w:keepLines/>
      <w:spacing w:before="280" w:after="290" w:line="376" w:lineRule="auto"/>
      <w:outlineLvl w:val="3"/>
    </w:pPr>
    <w:rPr>
      <w:rFonts w:ascii="Arial" w:hAnsi="Arial" w:eastAsia="黑体"/>
      <w:b/>
      <w:bCs/>
      <w:sz w:val="28"/>
      <w:szCs w:val="28"/>
    </w:rPr>
  </w:style>
  <w:style w:type="paragraph" w:styleId="11">
    <w:name w:val="heading 5"/>
    <w:basedOn w:val="1"/>
    <w:next w:val="1"/>
    <w:link w:val="56"/>
    <w:qFormat/>
    <w:uiPriority w:val="0"/>
    <w:pPr>
      <w:keepNext/>
      <w:keepLines/>
      <w:spacing w:before="280" w:after="290" w:line="376" w:lineRule="auto"/>
      <w:outlineLvl w:val="4"/>
    </w:pPr>
    <w:rPr>
      <w:b/>
      <w:bCs/>
      <w:sz w:val="28"/>
      <w:szCs w:val="28"/>
    </w:rPr>
  </w:style>
  <w:style w:type="paragraph" w:styleId="12">
    <w:name w:val="heading 9"/>
    <w:basedOn w:val="1"/>
    <w:next w:val="1"/>
    <w:qFormat/>
    <w:uiPriority w:val="0"/>
    <w:pPr>
      <w:keepNext/>
      <w:keepLines/>
      <w:spacing w:before="240" w:after="64" w:line="317" w:lineRule="auto"/>
      <w:outlineLvl w:val="8"/>
    </w:pPr>
    <w:rPr>
      <w:rFonts w:ascii="Arial" w:hAnsi="Arial" w:eastAsia="黑体"/>
      <w:szCs w:val="22"/>
    </w:r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autoSpaceDE w:val="0"/>
      <w:autoSpaceDN w:val="0"/>
      <w:adjustRightInd w:val="0"/>
      <w:spacing w:line="360" w:lineRule="auto"/>
      <w:ind w:firstLine="420"/>
    </w:pPr>
    <w:rPr>
      <w:rFonts w:ascii="宋体" w:hAnsi="Calibri"/>
      <w:lang w:val="zh-CN"/>
    </w:rPr>
  </w:style>
  <w:style w:type="paragraph" w:styleId="3">
    <w:name w:val="Body Text"/>
    <w:basedOn w:val="1"/>
    <w:next w:val="4"/>
    <w:link w:val="52"/>
    <w:qFormat/>
    <w:uiPriority w:val="0"/>
    <w:pPr>
      <w:spacing w:after="120"/>
    </w:pPr>
    <w:rPr>
      <w:sz w:val="28"/>
    </w:rPr>
  </w:style>
  <w:style w:type="paragraph" w:customStyle="1" w:styleId="4">
    <w:name w:val="Body Text First Indent1"/>
    <w:basedOn w:val="3"/>
    <w:next w:val="5"/>
    <w:qFormat/>
    <w:uiPriority w:val="0"/>
    <w:pPr>
      <w:spacing w:line="312" w:lineRule="auto"/>
      <w:ind w:firstLine="420"/>
    </w:pPr>
    <w:rPr>
      <w:rFonts w:ascii="Calibri" w:hAnsi="Calibri"/>
      <w:sz w:val="32"/>
      <w:szCs w:val="24"/>
    </w:rPr>
  </w:style>
  <w:style w:type="paragraph" w:styleId="5">
    <w:name w:val="toc 6"/>
    <w:basedOn w:val="1"/>
    <w:next w:val="1"/>
    <w:qFormat/>
    <w:uiPriority w:val="0"/>
    <w:pPr>
      <w:ind w:left="1050"/>
      <w:jc w:val="left"/>
    </w:pPr>
    <w:rPr>
      <w:rFonts w:ascii="仿宋_GB2312" w:eastAsia="仿宋_GB2312"/>
      <w:sz w:val="18"/>
      <w:szCs w:val="18"/>
    </w:rPr>
  </w:style>
  <w:style w:type="paragraph" w:styleId="10">
    <w:name w:val="Plain Text"/>
    <w:basedOn w:val="1"/>
    <w:next w:val="1"/>
    <w:link w:val="58"/>
    <w:qFormat/>
    <w:uiPriority w:val="0"/>
    <w:pPr>
      <w:spacing w:beforeLines="50" w:afterLines="50" w:line="400" w:lineRule="exact"/>
    </w:pPr>
    <w:rPr>
      <w:rFonts w:ascii="宋体" w:hAnsi="Courier New"/>
      <w:sz w:val="24"/>
    </w:rPr>
  </w:style>
  <w:style w:type="paragraph" w:styleId="13">
    <w:name w:val="List Number"/>
    <w:basedOn w:val="1"/>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4">
    <w:name w:val="Normal Indent"/>
    <w:basedOn w:val="1"/>
    <w:next w:val="1"/>
    <w:link w:val="57"/>
    <w:qFormat/>
    <w:uiPriority w:val="0"/>
    <w:pPr>
      <w:ind w:firstLine="420"/>
    </w:pPr>
  </w:style>
  <w:style w:type="paragraph" w:styleId="15">
    <w:name w:val="caption"/>
    <w:basedOn w:val="1"/>
    <w:next w:val="1"/>
    <w:qFormat/>
    <w:uiPriority w:val="0"/>
    <w:pPr>
      <w:spacing w:before="152" w:after="160"/>
    </w:pPr>
    <w:rPr>
      <w:rFonts w:ascii="Arial" w:hAnsi="Arial" w:eastAsia="黑体" w:cs="Arial"/>
      <w:sz w:val="20"/>
    </w:rPr>
  </w:style>
  <w:style w:type="paragraph" w:styleId="16">
    <w:name w:val="annotation text"/>
    <w:basedOn w:val="1"/>
    <w:next w:val="17"/>
    <w:semiHidden/>
    <w:qFormat/>
    <w:uiPriority w:val="0"/>
    <w:pPr>
      <w:jc w:val="left"/>
    </w:pPr>
  </w:style>
  <w:style w:type="paragraph" w:styleId="17">
    <w:name w:val="toc 9"/>
    <w:next w:val="1"/>
    <w:qFormat/>
    <w:uiPriority w:val="0"/>
    <w:pPr>
      <w:wordWrap w:val="0"/>
      <w:ind w:left="2975"/>
      <w:jc w:val="both"/>
    </w:pPr>
    <w:rPr>
      <w:rFonts w:ascii="Calibri" w:hAnsi="Calibri" w:eastAsia="宋体" w:cs="Times New Roman"/>
      <w:sz w:val="21"/>
      <w:lang w:val="en-US" w:eastAsia="zh-CN" w:bidi="ar-SA"/>
    </w:rPr>
  </w:style>
  <w:style w:type="paragraph" w:styleId="18">
    <w:name w:val="Body Text 3"/>
    <w:basedOn w:val="1"/>
    <w:qFormat/>
    <w:uiPriority w:val="0"/>
    <w:pPr>
      <w:snapToGrid w:val="0"/>
      <w:spacing w:before="50" w:after="50"/>
    </w:pPr>
    <w:rPr>
      <w:rFonts w:hAnsi="宋体" w:eastAsia="仿宋_GB2312"/>
      <w:b/>
      <w:bCs/>
      <w:sz w:val="24"/>
    </w:rPr>
  </w:style>
  <w:style w:type="paragraph" w:styleId="19">
    <w:name w:val="Body Text Indent"/>
    <w:basedOn w:val="1"/>
    <w:next w:val="1"/>
    <w:qFormat/>
    <w:uiPriority w:val="0"/>
    <w:pPr>
      <w:spacing w:line="200" w:lineRule="exact"/>
      <w:ind w:firstLine="301"/>
    </w:pPr>
    <w:rPr>
      <w:rFonts w:ascii="宋体" w:hAnsi="Courier New"/>
      <w:spacing w:val="-4"/>
      <w:sz w:val="18"/>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Block Text"/>
    <w:basedOn w:val="1"/>
    <w:unhideWhenUsed/>
    <w:qFormat/>
    <w:uiPriority w:val="99"/>
    <w:pPr>
      <w:spacing w:after="120"/>
      <w:ind w:left="1440" w:leftChars="700" w:right="1440" w:rightChars="700"/>
    </w:pPr>
  </w:style>
  <w:style w:type="paragraph" w:styleId="23">
    <w:name w:val="toc 3"/>
    <w:basedOn w:val="1"/>
    <w:next w:val="1"/>
    <w:qFormat/>
    <w:uiPriority w:val="0"/>
    <w:pPr>
      <w:ind w:left="840" w:leftChars="400"/>
    </w:pPr>
    <w:rPr>
      <w:rFonts w:ascii="Calibri" w:hAnsi="Calibri"/>
      <w:szCs w:val="22"/>
    </w:rPr>
  </w:style>
  <w:style w:type="paragraph" w:styleId="24">
    <w:name w:val="Date"/>
    <w:basedOn w:val="1"/>
    <w:next w:val="1"/>
    <w:qFormat/>
    <w:uiPriority w:val="0"/>
    <w:pPr>
      <w:ind w:left="2500" w:leftChars="2500"/>
    </w:pPr>
    <w:rPr>
      <w:rFonts w:eastAsia="楷体_GB2312"/>
      <w:sz w:val="32"/>
    </w:rPr>
  </w:style>
  <w:style w:type="paragraph" w:styleId="25">
    <w:name w:val="Body Text Indent 2"/>
    <w:basedOn w:val="1"/>
    <w:qFormat/>
    <w:uiPriority w:val="0"/>
    <w:pPr>
      <w:snapToGrid w:val="0"/>
      <w:ind w:firstLine="542" w:firstLineChars="225"/>
    </w:pPr>
    <w:rPr>
      <w:rFonts w:ascii="仿宋_GB2312" w:hAnsi="宋体" w:cs="Arial"/>
      <w:b/>
      <w:bCs/>
      <w:color w:val="000000"/>
      <w:sz w:val="24"/>
    </w:rPr>
  </w:style>
  <w:style w:type="paragraph" w:styleId="26">
    <w:name w:val="Balloon Text"/>
    <w:basedOn w:val="1"/>
    <w:semiHidden/>
    <w:qFormat/>
    <w:uiPriority w:val="0"/>
    <w:rPr>
      <w:sz w:val="18"/>
      <w:szCs w:val="18"/>
    </w:rPr>
  </w:style>
  <w:style w:type="paragraph" w:styleId="27">
    <w:name w:val="footer"/>
    <w:basedOn w:val="1"/>
    <w:link w:val="59"/>
    <w:qFormat/>
    <w:uiPriority w:val="0"/>
    <w:pPr>
      <w:tabs>
        <w:tab w:val="center" w:pos="4153"/>
        <w:tab w:val="right" w:pos="8306"/>
      </w:tabs>
      <w:snapToGrid w:val="0"/>
      <w:jc w:val="left"/>
    </w:pPr>
    <w:rPr>
      <w:rFonts w:eastAsia="黑体"/>
      <w:snapToGrid w:val="0"/>
      <w:kern w:val="0"/>
      <w:sz w:val="18"/>
      <w:szCs w:val="18"/>
    </w:rPr>
  </w:style>
  <w:style w:type="paragraph" w:styleId="28">
    <w:name w:val="header"/>
    <w:basedOn w:val="1"/>
    <w:link w:val="60"/>
    <w:qFormat/>
    <w:uiPriority w:val="0"/>
    <w:pPr>
      <w:pBdr>
        <w:bottom w:val="single" w:color="auto" w:sz="6" w:space="1"/>
      </w:pBdr>
      <w:tabs>
        <w:tab w:val="center" w:pos="4153"/>
        <w:tab w:val="right" w:pos="8306"/>
      </w:tabs>
      <w:snapToGrid w:val="0"/>
      <w:jc w:val="center"/>
    </w:pPr>
    <w:rPr>
      <w:rFonts w:eastAsia="仿宋_GB2312"/>
      <w:sz w:val="18"/>
    </w:rPr>
  </w:style>
  <w:style w:type="paragraph" w:styleId="29">
    <w:name w:val="toc 1"/>
    <w:basedOn w:val="1"/>
    <w:next w:val="1"/>
    <w:semiHidden/>
    <w:qFormat/>
    <w:uiPriority w:val="0"/>
  </w:style>
  <w:style w:type="paragraph" w:styleId="30">
    <w:name w:val="List"/>
    <w:basedOn w:val="1"/>
    <w:qFormat/>
    <w:uiPriority w:val="0"/>
    <w:pPr>
      <w:ind w:left="200" w:hanging="200" w:hangingChars="200"/>
    </w:pPr>
    <w:rPr>
      <w:sz w:val="28"/>
    </w:rPr>
  </w:style>
  <w:style w:type="paragraph" w:styleId="31">
    <w:name w:val="footnote text"/>
    <w:basedOn w:val="1"/>
    <w:unhideWhenUsed/>
    <w:qFormat/>
    <w:uiPriority w:val="99"/>
    <w:pPr>
      <w:snapToGrid w:val="0"/>
      <w:jc w:val="left"/>
    </w:pPr>
    <w:rPr>
      <w:sz w:val="18"/>
    </w:rPr>
  </w:style>
  <w:style w:type="paragraph" w:styleId="32">
    <w:name w:val="List 5"/>
    <w:basedOn w:val="1"/>
    <w:qFormat/>
    <w:uiPriority w:val="0"/>
    <w:pPr>
      <w:ind w:left="2100" w:hanging="420"/>
    </w:pPr>
    <w:rPr>
      <w:rFonts w:ascii="Calibri" w:hAnsi="Calibri" w:eastAsia="楷体_GB2312"/>
      <w:sz w:val="32"/>
      <w:szCs w:val="22"/>
    </w:rPr>
  </w:style>
  <w:style w:type="paragraph" w:styleId="33">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4">
    <w:name w:val="toc 2"/>
    <w:basedOn w:val="1"/>
    <w:next w:val="1"/>
    <w:qFormat/>
    <w:uiPriority w:val="0"/>
    <w:pPr>
      <w:ind w:left="420" w:leftChars="200"/>
    </w:pPr>
    <w:rPr>
      <w:rFonts w:ascii="Calibri" w:hAnsi="Calibri"/>
      <w:szCs w:val="22"/>
    </w:rPr>
  </w:style>
  <w:style w:type="paragraph" w:styleId="35">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6">
    <w:name w:val="List 4"/>
    <w:basedOn w:val="1"/>
    <w:qFormat/>
    <w:uiPriority w:val="0"/>
    <w:pPr>
      <w:ind w:left="1680" w:hanging="420"/>
    </w:pPr>
    <w:rPr>
      <w:rFonts w:ascii="Calibri" w:hAnsi="Calibri" w:eastAsia="楷体_GB2312"/>
      <w:sz w:val="32"/>
      <w:szCs w:val="22"/>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9">
    <w:name w:val="Title"/>
    <w:basedOn w:val="1"/>
    <w:next w:val="1"/>
    <w:qFormat/>
    <w:uiPriority w:val="0"/>
    <w:pPr>
      <w:spacing w:line="520" w:lineRule="exact"/>
      <w:jc w:val="center"/>
      <w:outlineLvl w:val="3"/>
    </w:pPr>
    <w:rPr>
      <w:rFonts w:ascii="Cambria" w:hAnsi="Cambria"/>
      <w:b/>
      <w:bCs/>
      <w:sz w:val="28"/>
      <w:szCs w:val="32"/>
    </w:rPr>
  </w:style>
  <w:style w:type="paragraph" w:styleId="40">
    <w:name w:val="annotation subject"/>
    <w:basedOn w:val="16"/>
    <w:next w:val="16"/>
    <w:qFormat/>
    <w:uiPriority w:val="0"/>
    <w:rPr>
      <w:b/>
      <w:bCs/>
    </w:rPr>
  </w:style>
  <w:style w:type="paragraph" w:styleId="41">
    <w:name w:val="Body Text First Indent 2"/>
    <w:basedOn w:val="19"/>
    <w:qFormat/>
    <w:uiPriority w:val="0"/>
    <w:pPr>
      <w:spacing w:after="120" w:line="240" w:lineRule="auto"/>
      <w:ind w:left="420" w:leftChars="200" w:firstLine="420" w:firstLineChars="200"/>
    </w:pPr>
    <w:rPr>
      <w:rFonts w:ascii="Times New Roman" w:hAnsi="Times New Roman"/>
      <w:spacing w:val="0"/>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rFonts w:eastAsia="宋体"/>
      <w:b/>
      <w:bCs/>
      <w:kern w:val="2"/>
      <w:sz w:val="24"/>
      <w:szCs w:val="24"/>
      <w:lang w:val="en-US" w:eastAsia="zh-CN" w:bidi="ar-SA"/>
    </w:rPr>
  </w:style>
  <w:style w:type="character" w:styleId="46">
    <w:name w:val="page number"/>
    <w:qFormat/>
    <w:uiPriority w:val="0"/>
  </w:style>
  <w:style w:type="character" w:styleId="47">
    <w:name w:val="FollowedHyperlink"/>
    <w:qFormat/>
    <w:uiPriority w:val="0"/>
    <w:rPr>
      <w:rFonts w:eastAsia="宋体"/>
      <w:color w:val="800080"/>
      <w:kern w:val="2"/>
      <w:sz w:val="24"/>
      <w:szCs w:val="24"/>
      <w:u w:val="single"/>
      <w:lang w:val="en-US" w:eastAsia="zh-CN" w:bidi="ar-SA"/>
    </w:rPr>
  </w:style>
  <w:style w:type="character" w:styleId="48">
    <w:name w:val="Hyperlink"/>
    <w:qFormat/>
    <w:uiPriority w:val="0"/>
    <w:rPr>
      <w:color w:val="0000FF"/>
      <w:u w:val="single"/>
    </w:rPr>
  </w:style>
  <w:style w:type="character" w:styleId="49">
    <w:name w:val="annotation reference"/>
    <w:qFormat/>
    <w:uiPriority w:val="0"/>
    <w:rPr>
      <w:rFonts w:eastAsia="宋体"/>
      <w:kern w:val="2"/>
      <w:sz w:val="21"/>
      <w:szCs w:val="21"/>
      <w:lang w:val="en-US" w:eastAsia="zh-CN" w:bidi="ar-SA"/>
    </w:rPr>
  </w:style>
  <w:style w:type="character" w:styleId="50">
    <w:name w:val="footnote reference"/>
    <w:unhideWhenUsed/>
    <w:qFormat/>
    <w:uiPriority w:val="99"/>
    <w:rPr>
      <w:rFonts w:hint="default" w:ascii="Times New Roman"/>
      <w:sz w:val="24"/>
      <w:vertAlign w:val="superscript"/>
    </w:rPr>
  </w:style>
  <w:style w:type="paragraph" w:customStyle="1" w:styleId="51">
    <w:name w:val="正文文本首行缩进 21"/>
    <w:basedOn w:val="19"/>
    <w:qFormat/>
    <w:uiPriority w:val="99"/>
    <w:pPr>
      <w:spacing w:line="200" w:lineRule="atLeast"/>
      <w:ind w:firstLine="420"/>
    </w:pPr>
  </w:style>
  <w:style w:type="character" w:customStyle="1" w:styleId="52">
    <w:name w:val="正文文本 Char"/>
    <w:link w:val="3"/>
    <w:semiHidden/>
    <w:qFormat/>
    <w:locked/>
    <w:uiPriority w:val="0"/>
    <w:rPr>
      <w:rFonts w:eastAsia="宋体"/>
      <w:kern w:val="2"/>
      <w:sz w:val="28"/>
      <w:szCs w:val="24"/>
      <w:lang w:val="en-US" w:eastAsia="zh-CN" w:bidi="ar-SA"/>
    </w:rPr>
  </w:style>
  <w:style w:type="character" w:customStyle="1" w:styleId="53">
    <w:name w:val="标题 1 字符"/>
    <w:qFormat/>
    <w:uiPriority w:val="0"/>
    <w:rPr>
      <w:rFonts w:eastAsia="宋体"/>
      <w:b/>
      <w:bCs/>
      <w:kern w:val="2"/>
      <w:sz w:val="24"/>
      <w:szCs w:val="24"/>
      <w:lang w:val="en-US" w:eastAsia="zh-CN" w:bidi="ar-SA"/>
    </w:rPr>
  </w:style>
  <w:style w:type="character" w:customStyle="1" w:styleId="54">
    <w:name w:val="标题 2 Char"/>
    <w:link w:val="7"/>
    <w:qFormat/>
    <w:uiPriority w:val="0"/>
    <w:rPr>
      <w:rFonts w:ascii="Arial" w:hAnsi="Arial" w:eastAsia="黑体"/>
      <w:b/>
      <w:bCs/>
      <w:kern w:val="2"/>
      <w:sz w:val="32"/>
      <w:szCs w:val="32"/>
      <w:lang w:val="en-US" w:eastAsia="zh-CN" w:bidi="ar-SA"/>
    </w:rPr>
  </w:style>
  <w:style w:type="character" w:customStyle="1" w:styleId="55">
    <w:name w:val="标题 3 Char"/>
    <w:link w:val="8"/>
    <w:qFormat/>
    <w:uiPriority w:val="0"/>
    <w:rPr>
      <w:rFonts w:eastAsia="宋体"/>
      <w:b/>
      <w:bCs/>
      <w:kern w:val="2"/>
      <w:sz w:val="32"/>
      <w:szCs w:val="32"/>
      <w:lang w:val="en-US" w:eastAsia="zh-CN" w:bidi="ar-SA"/>
    </w:rPr>
  </w:style>
  <w:style w:type="character" w:customStyle="1" w:styleId="56">
    <w:name w:val="标题 5 Char"/>
    <w:link w:val="11"/>
    <w:qFormat/>
    <w:uiPriority w:val="0"/>
    <w:rPr>
      <w:rFonts w:eastAsia="宋体"/>
      <w:b/>
      <w:bCs/>
      <w:kern w:val="2"/>
      <w:sz w:val="28"/>
      <w:szCs w:val="28"/>
      <w:lang w:val="en-US" w:eastAsia="zh-CN" w:bidi="ar-SA"/>
    </w:rPr>
  </w:style>
  <w:style w:type="character" w:customStyle="1" w:styleId="57">
    <w:name w:val="正文缩进 Char"/>
    <w:link w:val="14"/>
    <w:qFormat/>
    <w:uiPriority w:val="0"/>
    <w:rPr>
      <w:rFonts w:eastAsia="宋体"/>
      <w:kern w:val="2"/>
      <w:sz w:val="21"/>
      <w:lang w:val="en-US" w:eastAsia="zh-CN" w:bidi="ar-SA"/>
    </w:rPr>
  </w:style>
  <w:style w:type="character" w:customStyle="1" w:styleId="58">
    <w:name w:val="纯文本 Char"/>
    <w:link w:val="10"/>
    <w:qFormat/>
    <w:uiPriority w:val="0"/>
    <w:rPr>
      <w:rFonts w:ascii="宋体" w:hAnsi="Courier New" w:eastAsia="宋体"/>
      <w:kern w:val="2"/>
      <w:sz w:val="24"/>
      <w:szCs w:val="24"/>
      <w:lang w:val="en-US" w:eastAsia="zh-CN" w:bidi="ar-SA"/>
    </w:rPr>
  </w:style>
  <w:style w:type="character" w:customStyle="1" w:styleId="59">
    <w:name w:val="页脚 Char"/>
    <w:link w:val="27"/>
    <w:qFormat/>
    <w:uiPriority w:val="0"/>
    <w:rPr>
      <w:rFonts w:eastAsia="黑体"/>
      <w:snapToGrid w:val="0"/>
      <w:sz w:val="18"/>
      <w:szCs w:val="18"/>
      <w:lang w:val="en-US" w:eastAsia="zh-CN" w:bidi="ar-SA"/>
    </w:rPr>
  </w:style>
  <w:style w:type="character" w:customStyle="1" w:styleId="60">
    <w:name w:val="页眉 Char"/>
    <w:link w:val="28"/>
    <w:qFormat/>
    <w:uiPriority w:val="0"/>
    <w:rPr>
      <w:rFonts w:eastAsia="仿宋_GB2312"/>
      <w:kern w:val="2"/>
      <w:sz w:val="18"/>
      <w:lang w:val="en-US" w:eastAsia="zh-CN" w:bidi="ar-SA"/>
    </w:rPr>
  </w:style>
  <w:style w:type="character" w:customStyle="1" w:styleId="61">
    <w:name w:val="font41"/>
    <w:basedOn w:val="44"/>
    <w:qFormat/>
    <w:uiPriority w:val="0"/>
    <w:rPr>
      <w:rFonts w:hint="eastAsia" w:ascii="宋体" w:hAnsi="宋体" w:eastAsia="宋体" w:cs="宋体"/>
      <w:color w:val="000000"/>
      <w:sz w:val="20"/>
      <w:szCs w:val="20"/>
      <w:u w:val="none"/>
    </w:rPr>
  </w:style>
  <w:style w:type="character" w:customStyle="1" w:styleId="62">
    <w:name w:val="style41"/>
    <w:qFormat/>
    <w:uiPriority w:val="0"/>
    <w:rPr>
      <w:sz w:val="18"/>
      <w:szCs w:val="18"/>
    </w:rPr>
  </w:style>
  <w:style w:type="character" w:customStyle="1" w:styleId="63">
    <w:name w:val="font01"/>
    <w:qFormat/>
    <w:uiPriority w:val="0"/>
    <w:rPr>
      <w:rFonts w:hint="eastAsia" w:ascii="宋体" w:hAnsi="宋体" w:eastAsia="宋体" w:cs="宋体"/>
      <w:color w:val="000000"/>
      <w:sz w:val="21"/>
      <w:szCs w:val="21"/>
      <w:u w:val="none"/>
    </w:rPr>
  </w:style>
  <w:style w:type="character" w:customStyle="1" w:styleId="64">
    <w:name w:val="hui121"/>
    <w:qFormat/>
    <w:uiPriority w:val="0"/>
    <w:rPr>
      <w:rFonts w:eastAsia="宋体"/>
      <w:color w:val="333333"/>
      <w:kern w:val="2"/>
      <w:sz w:val="18"/>
      <w:szCs w:val="18"/>
      <w:lang w:val="en-US" w:eastAsia="zh-CN" w:bidi="ar-SA"/>
    </w:rPr>
  </w:style>
  <w:style w:type="character" w:customStyle="1" w:styleId="65">
    <w:name w:val="class3"/>
    <w:qFormat/>
    <w:uiPriority w:val="0"/>
  </w:style>
  <w:style w:type="character" w:customStyle="1" w:styleId="66">
    <w:name w:val="font11"/>
    <w:qFormat/>
    <w:uiPriority w:val="0"/>
    <w:rPr>
      <w:rFonts w:hint="eastAsia" w:ascii="宋体" w:hAnsi="宋体" w:eastAsia="宋体" w:cs="宋体"/>
      <w:color w:val="000000"/>
      <w:sz w:val="21"/>
      <w:szCs w:val="21"/>
      <w:u w:val="none"/>
    </w:rPr>
  </w:style>
  <w:style w:type="character" w:customStyle="1" w:styleId="67">
    <w:name w:val="普通文字 Char Char1"/>
    <w:qFormat/>
    <w:uiPriority w:val="0"/>
    <w:rPr>
      <w:rFonts w:ascii="宋体" w:hAnsi="Courier New"/>
      <w:kern w:val="2"/>
      <w:sz w:val="24"/>
      <w:szCs w:val="24"/>
    </w:rPr>
  </w:style>
  <w:style w:type="character" w:customStyle="1" w:styleId="68">
    <w:name w:val="普通文字 Char Char3"/>
    <w:qFormat/>
    <w:uiPriority w:val="0"/>
    <w:rPr>
      <w:rFonts w:ascii="宋体" w:hAnsi="Courier New" w:eastAsia="宋体"/>
      <w:kern w:val="2"/>
      <w:sz w:val="24"/>
      <w:szCs w:val="24"/>
      <w:lang w:val="en-US" w:eastAsia="zh-CN" w:bidi="ar-SA"/>
    </w:rPr>
  </w:style>
  <w:style w:type="character" w:customStyle="1" w:styleId="69">
    <w:name w:val="class4"/>
    <w:qFormat/>
    <w:uiPriority w:val="0"/>
  </w:style>
  <w:style w:type="character" w:customStyle="1" w:styleId="70">
    <w:name w:val="ca-3"/>
    <w:qFormat/>
    <w:uiPriority w:val="0"/>
    <w:rPr>
      <w:rFonts w:eastAsia="宋体"/>
      <w:kern w:val="2"/>
      <w:sz w:val="24"/>
      <w:szCs w:val="24"/>
      <w:lang w:val="en-US" w:eastAsia="zh-CN" w:bidi="ar-SA"/>
    </w:rPr>
  </w:style>
  <w:style w:type="character" w:customStyle="1" w:styleId="71">
    <w:name w:val="Plain Text Char"/>
    <w:semiHidden/>
    <w:qFormat/>
    <w:locked/>
    <w:uiPriority w:val="0"/>
    <w:rPr>
      <w:rFonts w:ascii="宋体" w:hAnsi="Courier New" w:eastAsia="宋体" w:cs="Times New Roman"/>
      <w:sz w:val="20"/>
      <w:szCs w:val="20"/>
    </w:rPr>
  </w:style>
  <w:style w:type="character" w:customStyle="1" w:styleId="72">
    <w:name w:val="List Paragraph Char"/>
    <w:link w:val="73"/>
    <w:qFormat/>
    <w:locked/>
    <w:uiPriority w:val="0"/>
    <w:rPr>
      <w:rFonts w:eastAsia="宋体"/>
      <w:kern w:val="2"/>
      <w:sz w:val="21"/>
      <w:szCs w:val="24"/>
      <w:lang w:val="en-US" w:eastAsia="zh-CN" w:bidi="ar-SA"/>
    </w:rPr>
  </w:style>
  <w:style w:type="paragraph" w:customStyle="1" w:styleId="73">
    <w:name w:val="List Paragraph1"/>
    <w:basedOn w:val="1"/>
    <w:next w:val="1"/>
    <w:link w:val="72"/>
    <w:qFormat/>
    <w:uiPriority w:val="0"/>
    <w:pPr>
      <w:ind w:firstLine="420" w:firstLineChars="200"/>
    </w:pPr>
  </w:style>
  <w:style w:type="character" w:customStyle="1" w:styleId="74">
    <w:name w:val="h Char Char"/>
    <w:qFormat/>
    <w:uiPriority w:val="0"/>
    <w:rPr>
      <w:rFonts w:eastAsia="仿宋_GB2312"/>
      <w:kern w:val="2"/>
      <w:sz w:val="18"/>
      <w:lang w:val="en-US" w:eastAsia="zh-CN" w:bidi="ar-SA"/>
    </w:rPr>
  </w:style>
  <w:style w:type="character" w:customStyle="1" w:styleId="75">
    <w:name w:val="label_list1"/>
    <w:qFormat/>
    <w:uiPriority w:val="0"/>
  </w:style>
  <w:style w:type="character" w:customStyle="1" w:styleId="76">
    <w:name w:val="普通文字 Char Char2"/>
    <w:qFormat/>
    <w:uiPriority w:val="0"/>
    <w:rPr>
      <w:rFonts w:ascii="宋体" w:hAnsi="Courier New" w:eastAsia="宋体"/>
      <w:kern w:val="2"/>
      <w:sz w:val="21"/>
      <w:lang w:val="en-US" w:eastAsia="zh-CN" w:bidi="ar-SA"/>
    </w:rPr>
  </w:style>
  <w:style w:type="character" w:customStyle="1" w:styleId="77">
    <w:name w:val="Char Char18"/>
    <w:qFormat/>
    <w:uiPriority w:val="0"/>
    <w:rPr>
      <w:rFonts w:ascii="宋体" w:eastAsia="宋体"/>
      <w:snapToGrid w:val="0"/>
      <w:color w:val="000000"/>
      <w:kern w:val="28"/>
      <w:sz w:val="28"/>
      <w:lang w:val="en-US" w:eastAsia="zh-CN" w:bidi="ar-SA"/>
    </w:rPr>
  </w:style>
  <w:style w:type="character" w:customStyle="1" w:styleId="78">
    <w:name w:val="font111"/>
    <w:qFormat/>
    <w:uiPriority w:val="0"/>
    <w:rPr>
      <w:rFonts w:hint="default" w:ascii="Calibri" w:hAnsi="Calibri" w:cs="Calibri"/>
      <w:color w:val="000000"/>
      <w:sz w:val="22"/>
      <w:szCs w:val="22"/>
      <w:u w:val="none"/>
    </w:rPr>
  </w:style>
  <w:style w:type="character" w:customStyle="1" w:styleId="79">
    <w:name w:val="cf01"/>
    <w:qFormat/>
    <w:uiPriority w:val="0"/>
    <w:rPr>
      <w:rFonts w:hint="eastAsia" w:ascii="Microsoft YaHei UI" w:hAnsi="Microsoft YaHei UI" w:eastAsia="Microsoft YaHei UI"/>
      <w:sz w:val="18"/>
      <w:szCs w:val="18"/>
    </w:rPr>
  </w:style>
  <w:style w:type="character" w:customStyle="1" w:styleId="80">
    <w:name w:val="cf11"/>
    <w:qFormat/>
    <w:uiPriority w:val="0"/>
    <w:rPr>
      <w:rFonts w:hint="eastAsia" w:ascii="Microsoft YaHei UI" w:hAnsi="Microsoft YaHei UI" w:eastAsia="Microsoft YaHei UI"/>
      <w:sz w:val="18"/>
      <w:szCs w:val="18"/>
    </w:rPr>
  </w:style>
  <w:style w:type="character" w:customStyle="1" w:styleId="81">
    <w:name w:val="fontstyle01"/>
    <w:qFormat/>
    <w:uiPriority w:val="0"/>
    <w:rPr>
      <w:rFonts w:hint="eastAsia" w:ascii="宋体" w:hAnsi="宋体" w:eastAsia="宋体"/>
      <w:color w:val="000000"/>
      <w:sz w:val="22"/>
      <w:szCs w:val="22"/>
    </w:rPr>
  </w:style>
  <w:style w:type="character" w:customStyle="1" w:styleId="82">
    <w:name w:val="font51"/>
    <w:basedOn w:val="44"/>
    <w:qFormat/>
    <w:uiPriority w:val="0"/>
    <w:rPr>
      <w:rFonts w:hint="default" w:ascii="等线" w:hAnsi="等线" w:eastAsia="等线" w:cs="等线"/>
      <w:b/>
      <w:bCs/>
      <w:color w:val="000000"/>
      <w:sz w:val="22"/>
      <w:szCs w:val="22"/>
      <w:u w:val="none"/>
    </w:rPr>
  </w:style>
  <w:style w:type="paragraph" w:customStyle="1" w:styleId="83">
    <w:name w:val="WPSOffice手动目录 1"/>
    <w:qFormat/>
    <w:uiPriority w:val="0"/>
    <w:rPr>
      <w:rFonts w:ascii="Times New Roman" w:hAnsi="Times New Roman" w:eastAsia="宋体" w:cs="Times New Roman"/>
      <w:lang w:val="en-US" w:eastAsia="zh-CN" w:bidi="ar-SA"/>
    </w:rPr>
  </w:style>
  <w:style w:type="paragraph" w:customStyle="1" w:styleId="84">
    <w:name w:val="lp1"/>
    <w:basedOn w:val="1"/>
    <w:next w:val="73"/>
    <w:qFormat/>
    <w:uiPriority w:val="34"/>
    <w:pPr>
      <w:widowControl/>
      <w:ind w:left="720"/>
      <w:contextualSpacing/>
      <w:jc w:val="left"/>
    </w:pPr>
    <w:rPr>
      <w:sz w:val="24"/>
      <w:szCs w:val="24"/>
    </w:rPr>
  </w:style>
  <w:style w:type="paragraph" w:customStyle="1" w:styleId="85">
    <w:name w:val="cjk"/>
    <w:basedOn w:val="1"/>
    <w:qFormat/>
    <w:uiPriority w:val="0"/>
    <w:pPr>
      <w:widowControl/>
      <w:spacing w:line="480" w:lineRule="auto"/>
      <w:jc w:val="left"/>
    </w:pPr>
    <w:rPr>
      <w:rFonts w:ascii="宋体" w:hAnsi="宋体" w:cs="宋体"/>
      <w:kern w:val="0"/>
      <w:sz w:val="24"/>
      <w:szCs w:val="22"/>
    </w:rPr>
  </w:style>
  <w:style w:type="paragraph" w:customStyle="1" w:styleId="86">
    <w:name w:val="表格"/>
    <w:basedOn w:val="1"/>
    <w:qFormat/>
    <w:uiPriority w:val="0"/>
    <w:pPr>
      <w:snapToGrid w:val="0"/>
      <w:spacing w:line="360" w:lineRule="auto"/>
      <w:ind w:firstLine="42" w:firstLineChars="21"/>
    </w:pPr>
    <w:rPr>
      <w:rFonts w:ascii="宋体" w:hAnsi="宋体"/>
      <w:kern w:val="0"/>
      <w:sz w:val="20"/>
    </w:rPr>
  </w:style>
  <w:style w:type="paragraph" w:customStyle="1" w:styleId="87">
    <w:name w:val="CM14"/>
    <w:basedOn w:val="88"/>
    <w:next w:val="88"/>
    <w:unhideWhenUsed/>
    <w:qFormat/>
    <w:uiPriority w:val="99"/>
    <w:pPr>
      <w:spacing w:line="546" w:lineRule="atLeast"/>
    </w:pPr>
    <w:rPr>
      <w:rFonts w:hint="eastAsia"/>
    </w:rPr>
  </w:style>
  <w:style w:type="paragraph" w:customStyle="1" w:styleId="88">
    <w:name w:val="Default"/>
    <w:next w:val="89"/>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0">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91">
    <w:name w:val="_Style 88"/>
    <w:unhideWhenUsed/>
    <w:qFormat/>
    <w:uiPriority w:val="99"/>
    <w:rPr>
      <w:rFonts w:hint="eastAsia" w:ascii="Times New Roman" w:hAnsi="Times New Roman" w:eastAsia="宋体" w:cs="Times New Roman"/>
      <w:kern w:val="2"/>
      <w:sz w:val="21"/>
      <w:lang w:val="en-US" w:eastAsia="zh-CN" w:bidi="ar-SA"/>
    </w:rPr>
  </w:style>
  <w:style w:type="paragraph" w:customStyle="1" w:styleId="9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4">
    <w:name w:val="Medium Grid 1 - Accent 21"/>
    <w:basedOn w:val="1"/>
    <w:qFormat/>
    <w:uiPriority w:val="0"/>
    <w:pPr>
      <w:spacing w:line="500" w:lineRule="exact"/>
      <w:ind w:firstLine="420" w:firstLineChars="200"/>
    </w:pPr>
    <w:rPr>
      <w:kern w:val="0"/>
      <w:szCs w:val="24"/>
    </w:rPr>
  </w:style>
  <w:style w:type="paragraph" w:styleId="95">
    <w:name w:val="List Paragraph"/>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96">
    <w:name w:val="Table Paragraph"/>
    <w:basedOn w:val="1"/>
    <w:qFormat/>
    <w:uiPriority w:val="1"/>
    <w:rPr>
      <w:rFonts w:ascii="宋体" w:hAnsi="宋体" w:cs="宋体"/>
      <w:lang w:val="zh-CN" w:bidi="zh-CN"/>
    </w:rPr>
  </w:style>
  <w:style w:type="paragraph" w:customStyle="1" w:styleId="97">
    <w:name w:val="Norm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8">
    <w:name w:val="纯文本1"/>
    <w:basedOn w:val="92"/>
    <w:qFormat/>
    <w:uiPriority w:val="0"/>
    <w:pPr>
      <w:widowControl/>
      <w:jc w:val="left"/>
    </w:pPr>
    <w:rPr>
      <w:rFonts w:ascii="宋体" w:hAnsi="Courier New"/>
    </w:rPr>
  </w:style>
  <w:style w:type="paragraph" w:customStyle="1" w:styleId="99">
    <w:name w:val="内文正文"/>
    <w:qFormat/>
    <w:uiPriority w:val="0"/>
    <w:pPr>
      <w:autoSpaceDE w:val="0"/>
      <w:autoSpaceDN w:val="0"/>
      <w:spacing w:line="400" w:lineRule="exact"/>
      <w:ind w:firstLine="200" w:firstLineChars="200"/>
      <w:jc w:val="both"/>
      <w:textAlignment w:val="bottom"/>
    </w:pPr>
    <w:rPr>
      <w:rFonts w:ascii="??" w:hAnsi="??" w:eastAsia="??" w:cs="Times New Roman"/>
      <w:sz w:val="21"/>
      <w:szCs w:val="28"/>
      <w:lang w:val="en-US" w:eastAsia="zh-CN" w:bidi="ar-SA"/>
    </w:rPr>
  </w:style>
  <w:style w:type="paragraph" w:customStyle="1" w:styleId="10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01">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rPr>
  </w:style>
  <w:style w:type="paragraph" w:customStyle="1" w:styleId="10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3">
    <w:name w:val="CM19"/>
    <w:basedOn w:val="88"/>
    <w:next w:val="88"/>
    <w:unhideWhenUsed/>
    <w:qFormat/>
    <w:uiPriority w:val="99"/>
    <w:rPr>
      <w:rFonts w:hint="eastAsia"/>
    </w:rPr>
  </w:style>
  <w:style w:type="paragraph" w:customStyle="1" w:styleId="104">
    <w:name w:val="列出段落1"/>
    <w:basedOn w:val="1"/>
    <w:qFormat/>
    <w:uiPriority w:val="0"/>
    <w:pPr>
      <w:ind w:firstLine="420" w:firstLineChars="200"/>
    </w:pPr>
    <w:rPr>
      <w:rFonts w:ascii="Calibri" w:hAnsi="Calibri"/>
      <w:szCs w:val="22"/>
    </w:rPr>
  </w:style>
  <w:style w:type="paragraph" w:customStyle="1" w:styleId="105">
    <w:name w:val="1 Char"/>
    <w:basedOn w:val="1"/>
    <w:qFormat/>
    <w:uiPriority w:val="0"/>
  </w:style>
  <w:style w:type="paragraph" w:customStyle="1" w:styleId="106">
    <w:name w:val="默认段落字体 Para Char Char Char Char"/>
    <w:basedOn w:val="1"/>
    <w:qFormat/>
    <w:uiPriority w:val="0"/>
    <w:rPr>
      <w:spacing w:val="20"/>
      <w:sz w:val="28"/>
      <w:szCs w:val="21"/>
    </w:rPr>
  </w:style>
  <w:style w:type="paragraph" w:customStyle="1" w:styleId="107">
    <w:name w:val="标题B"/>
    <w:basedOn w:val="7"/>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08">
    <w:name w:val="样式 正文文本"/>
    <w:basedOn w:val="1"/>
    <w:qFormat/>
    <w:uiPriority w:val="0"/>
    <w:pPr>
      <w:adjustRightInd w:val="0"/>
      <w:snapToGrid w:val="0"/>
      <w:spacing w:line="400" w:lineRule="exact"/>
      <w:ind w:firstLine="200" w:firstLineChars="200"/>
    </w:pPr>
    <w:rPr>
      <w:rFonts w:ascii="Arial" w:hAnsi="Arial"/>
      <w:color w:val="000000"/>
    </w:rPr>
  </w:style>
  <w:style w:type="paragraph" w:customStyle="1" w:styleId="109">
    <w:name w:val="Char Char Char"/>
    <w:basedOn w:val="1"/>
    <w:qFormat/>
    <w:uiPriority w:val="0"/>
    <w:rPr>
      <w:rFonts w:ascii="Calibri" w:hAnsi="Calibri"/>
      <w:szCs w:val="22"/>
    </w:rPr>
  </w:style>
  <w:style w:type="paragraph" w:customStyle="1" w:styleId="110">
    <w:name w:val="Char Char Char Char Char Char"/>
    <w:basedOn w:val="1"/>
    <w:qFormat/>
    <w:uiPriority w:val="0"/>
    <w:rPr>
      <w:rFonts w:ascii="仿宋_GB2312" w:eastAsia="仿宋_GB2312"/>
      <w:b/>
      <w:sz w:val="32"/>
      <w:szCs w:val="32"/>
    </w:rPr>
  </w:style>
  <w:style w:type="paragraph" w:customStyle="1" w:styleId="111">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12">
    <w:name w:val="CM11"/>
    <w:basedOn w:val="88"/>
    <w:next w:val="88"/>
    <w:unhideWhenUsed/>
    <w:qFormat/>
    <w:uiPriority w:val="99"/>
    <w:pPr>
      <w:spacing w:line="520" w:lineRule="atLeast"/>
    </w:pPr>
    <w:rPr>
      <w:rFonts w:hint="eastAsia"/>
    </w:rPr>
  </w:style>
  <w:style w:type="paragraph" w:customStyle="1" w:styleId="113">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ascii="仿宋_GB2312" w:hAnsi="宋体" w:eastAsia="仿宋_GB2312"/>
      <w:kern w:val="0"/>
      <w:sz w:val="24"/>
    </w:rPr>
  </w:style>
  <w:style w:type="paragraph" w:customStyle="1" w:styleId="114">
    <w:name w:val="Char"/>
    <w:basedOn w:val="1"/>
    <w:qFormat/>
    <w:uiPriority w:val="0"/>
    <w:pPr>
      <w:tabs>
        <w:tab w:val="left" w:pos="1200"/>
      </w:tabs>
      <w:ind w:left="1200" w:hanging="360"/>
    </w:pPr>
    <w:rPr>
      <w:sz w:val="24"/>
    </w:rPr>
  </w:style>
  <w:style w:type="paragraph" w:customStyle="1" w:styleId="115">
    <w:name w:val="UserStyle_0"/>
    <w:next w:val="116"/>
    <w:qFormat/>
    <w:uiPriority w:val="0"/>
    <w:pPr>
      <w:textAlignment w:val="baseline"/>
    </w:pPr>
    <w:rPr>
      <w:rFonts w:ascii="Arial" w:hAnsi="Arial" w:eastAsia="宋体" w:cs="Times New Roman"/>
      <w:color w:val="000000"/>
      <w:sz w:val="24"/>
      <w:szCs w:val="24"/>
      <w:lang w:val="en-US" w:eastAsia="zh-CN" w:bidi="ar-SA"/>
    </w:rPr>
  </w:style>
  <w:style w:type="paragraph" w:customStyle="1" w:styleId="116">
    <w:name w:val="UserStyle_1"/>
    <w:next w:val="1"/>
    <w:qFormat/>
    <w:uiPriority w:val="0"/>
    <w:pPr>
      <w:ind w:left="2550"/>
      <w:jc w:val="both"/>
      <w:textAlignment w:val="baseline"/>
    </w:pPr>
    <w:rPr>
      <w:rFonts w:ascii="Times New Roman" w:hAnsi="Times New Roman" w:eastAsia="宋体" w:cs="Times New Roman"/>
      <w:sz w:val="21"/>
      <w:szCs w:val="22"/>
      <w:lang w:val="en-US" w:eastAsia="zh-CN" w:bidi="ar-SA"/>
    </w:rPr>
  </w:style>
  <w:style w:type="paragraph" w:customStyle="1" w:styleId="117">
    <w:name w:val="标题C"/>
    <w:basedOn w:val="8"/>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18">
    <w:name w:val="正文2"/>
    <w:basedOn w:val="1"/>
    <w:qFormat/>
    <w:uiPriority w:val="0"/>
    <w:pPr>
      <w:spacing w:before="156" w:line="360" w:lineRule="auto"/>
      <w:ind w:firstLine="510" w:firstLineChars="200"/>
    </w:pPr>
    <w:rPr>
      <w:sz w:val="24"/>
    </w:rPr>
  </w:style>
  <w:style w:type="paragraph" w:customStyle="1" w:styleId="119">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20">
    <w:name w:val="Plain Text1"/>
    <w:basedOn w:val="97"/>
    <w:qFormat/>
    <w:uiPriority w:val="0"/>
    <w:pPr>
      <w:widowControl/>
      <w:jc w:val="left"/>
    </w:pPr>
    <w:rPr>
      <w:rFonts w:ascii="宋体" w:hAnsi="Courier New"/>
    </w:rPr>
  </w:style>
  <w:style w:type="paragraph" w:customStyle="1" w:styleId="121">
    <w:name w:val="标题A"/>
    <w:basedOn w:val="6"/>
    <w:qFormat/>
    <w:uiPriority w:val="0"/>
    <w:pPr>
      <w:keepLines/>
      <w:adjustRightInd w:val="0"/>
      <w:spacing w:before="100" w:beforeAutospacing="1" w:after="60"/>
      <w:textAlignment w:val="baseline"/>
    </w:pPr>
    <w:rPr>
      <w:rFonts w:ascii="Arial" w:hAnsi="Arial"/>
      <w:kern w:val="44"/>
      <w:sz w:val="28"/>
      <w:szCs w:val="44"/>
    </w:rPr>
  </w:style>
  <w:style w:type="paragraph" w:customStyle="1" w:styleId="122">
    <w:name w:val="CM13"/>
    <w:basedOn w:val="88"/>
    <w:next w:val="88"/>
    <w:unhideWhenUsed/>
    <w:qFormat/>
    <w:uiPriority w:val="99"/>
    <w:pPr>
      <w:spacing w:line="520" w:lineRule="atLeast"/>
    </w:pPr>
    <w:rPr>
      <w:rFonts w:hint="eastAsia"/>
    </w:rPr>
  </w:style>
  <w:style w:type="paragraph" w:customStyle="1" w:styleId="123">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4">
    <w:name w:val="简单回函地址"/>
    <w:basedOn w:val="1"/>
    <w:qFormat/>
    <w:uiPriority w:val="0"/>
    <w:pPr>
      <w:adjustRightInd w:val="0"/>
      <w:spacing w:line="312" w:lineRule="atLeast"/>
      <w:textAlignment w:val="baseline"/>
    </w:pPr>
    <w:rPr>
      <w:kern w:val="0"/>
    </w:rPr>
  </w:style>
  <w:style w:type="paragraph" w:customStyle="1" w:styleId="125">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26">
    <w:name w:val="首行缩进"/>
    <w:basedOn w:val="1"/>
    <w:qFormat/>
    <w:uiPriority w:val="0"/>
    <w:pPr>
      <w:adjustRightInd w:val="0"/>
      <w:spacing w:line="360" w:lineRule="auto"/>
      <w:ind w:firstLine="480" w:firstLineChars="200"/>
    </w:pPr>
    <w:rPr>
      <w:rFonts w:ascii="宋体"/>
      <w:sz w:val="24"/>
    </w:rPr>
  </w:style>
  <w:style w:type="paragraph" w:customStyle="1" w:styleId="127">
    <w:name w:val="样式1"/>
    <w:basedOn w:val="1"/>
    <w:qFormat/>
    <w:uiPriority w:val="0"/>
    <w:pPr>
      <w:spacing w:line="360" w:lineRule="exact"/>
      <w:ind w:firstLine="200" w:firstLineChars="200"/>
    </w:pPr>
    <w:rPr>
      <w:rFonts w:ascii="Arial" w:hAnsi="Arial"/>
    </w:rPr>
  </w:style>
  <w:style w:type="paragraph" w:customStyle="1" w:styleId="12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ascii="仿宋_GB2312" w:eastAsia="仿宋_GB2312"/>
      <w:b/>
      <w:sz w:val="32"/>
    </w:rPr>
  </w:style>
  <w:style w:type="paragraph" w:customStyle="1" w:styleId="130">
    <w:name w:val="Normal Indent1"/>
    <w:basedOn w:val="1"/>
    <w:qFormat/>
    <w:uiPriority w:val="0"/>
    <w:pPr>
      <w:ind w:firstLine="420"/>
    </w:pPr>
  </w:style>
  <w:style w:type="paragraph" w:customStyle="1" w:styleId="131">
    <w:name w:val="正文段"/>
    <w:basedOn w:val="1"/>
    <w:qFormat/>
    <w:uiPriority w:val="0"/>
    <w:pPr>
      <w:widowControl/>
      <w:snapToGrid w:val="0"/>
      <w:spacing w:afterLines="50"/>
      <w:ind w:firstLine="200" w:firstLineChars="200"/>
    </w:pPr>
    <w:rPr>
      <w:kern w:val="0"/>
      <w:sz w:val="24"/>
    </w:rPr>
  </w:style>
  <w:style w:type="paragraph" w:customStyle="1" w:styleId="132">
    <w:name w:val="默认段落字体 Para Char Char Char Char Char Char Char Char Char1 Char Char Char Char"/>
    <w:basedOn w:val="1"/>
    <w:qFormat/>
    <w:uiPriority w:val="0"/>
    <w:rPr>
      <w:rFonts w:ascii="Tahoma" w:hAnsi="Tahoma"/>
      <w:sz w:val="24"/>
    </w:rPr>
  </w:style>
  <w:style w:type="paragraph" w:customStyle="1" w:styleId="133">
    <w:name w:val="正文缩进1"/>
    <w:basedOn w:val="134"/>
    <w:next w:val="51"/>
    <w:qFormat/>
    <w:uiPriority w:val="0"/>
    <w:pPr>
      <w:spacing w:line="480" w:lineRule="exact"/>
    </w:pPr>
    <w:rPr>
      <w:rFonts w:ascii="宋体" w:hAnsi="宋体"/>
      <w:sz w:val="24"/>
    </w:rPr>
  </w:style>
  <w:style w:type="paragraph" w:customStyle="1" w:styleId="134">
    <w:name w:val="正文11"/>
    <w:next w:val="1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36">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37">
    <w:name w:val="p0"/>
    <w:basedOn w:val="1"/>
    <w:qFormat/>
    <w:uiPriority w:val="0"/>
    <w:pPr>
      <w:widowControl/>
    </w:pPr>
    <w:rPr>
      <w:kern w:val="0"/>
      <w:szCs w:val="21"/>
    </w:rPr>
  </w:style>
  <w:style w:type="character" w:customStyle="1" w:styleId="138">
    <w:name w:val="font21"/>
    <w:basedOn w:val="44"/>
    <w:qFormat/>
    <w:uiPriority w:val="0"/>
    <w:rPr>
      <w:rFonts w:hint="eastAsia" w:ascii="宋体" w:hAnsi="宋体" w:eastAsia="宋体" w:cs="宋体"/>
      <w:color w:val="000000"/>
      <w:sz w:val="24"/>
      <w:szCs w:val="24"/>
      <w:u w:val="none"/>
    </w:rPr>
  </w:style>
  <w:style w:type="character" w:customStyle="1" w:styleId="139">
    <w:name w:val="font31"/>
    <w:basedOn w:val="44"/>
    <w:qFormat/>
    <w:uiPriority w:val="0"/>
    <w:rPr>
      <w:rFonts w:hint="eastAsia" w:ascii="宋体" w:hAnsi="宋体" w:eastAsia="宋体" w:cs="宋体"/>
      <w:b/>
      <w:bCs/>
      <w:color w:val="000000"/>
      <w:sz w:val="24"/>
      <w:szCs w:val="24"/>
      <w:u w:val="none"/>
    </w:rPr>
  </w:style>
  <w:style w:type="paragraph" w:customStyle="1" w:styleId="140">
    <w:name w:val="_Style 1"/>
    <w:basedOn w:val="1"/>
    <w:qFormat/>
    <w:uiPriority w:val="0"/>
    <w:pPr>
      <w:ind w:firstLine="420"/>
    </w:pPr>
    <w:rPr>
      <w:rFonts w:ascii="Calibri" w:hAnsi="Calibri"/>
      <w:szCs w:val="22"/>
    </w:rPr>
  </w:style>
  <w:style w:type="character" w:customStyle="1" w:styleId="141">
    <w:name w:val="标题 1 Char"/>
    <w:link w:val="6"/>
    <w:qFormat/>
    <w:uiPriority w:val="0"/>
    <w:rPr>
      <w:rFonts w:eastAsia="宋体"/>
      <w:b/>
      <w:bCs/>
      <w:kern w:val="2"/>
      <w:sz w:val="24"/>
      <w:szCs w:val="24"/>
      <w:lang w:val="en-US" w:eastAsia="zh-CN" w:bidi="ar-SA"/>
    </w:rPr>
  </w:style>
  <w:style w:type="paragraph" w:customStyle="1" w:styleId="142">
    <w:name w:val="无间隔1"/>
    <w:qFormat/>
    <w:uiPriority w:val="0"/>
    <w:rPr>
      <w:rFonts w:ascii="Calibri" w:hAnsi="Calibri" w:eastAsia="宋体" w:cs="Times New Roman"/>
      <w:sz w:val="22"/>
      <w:szCs w:val="22"/>
      <w:lang w:val="en-US" w:eastAsia="en-US" w:bidi="ar-SA"/>
    </w:rPr>
  </w:style>
  <w:style w:type="character" w:customStyle="1" w:styleId="143">
    <w:name w:val="font211"/>
    <w:basedOn w:val="44"/>
    <w:qFormat/>
    <w:uiPriority w:val="0"/>
    <w:rPr>
      <w:rFonts w:ascii="宋体" w:hAnsi="宋体" w:eastAsia="宋体" w:cs="宋体"/>
      <w:color w:val="000000"/>
      <w:sz w:val="20"/>
      <w:szCs w:val="20"/>
      <w:u w:val="none"/>
    </w:rPr>
  </w:style>
  <w:style w:type="character" w:customStyle="1" w:styleId="144">
    <w:name w:val="font22"/>
    <w:basedOn w:val="44"/>
    <w:qFormat/>
    <w:uiPriority w:val="0"/>
    <w:rPr>
      <w:rFonts w:hint="eastAsia" w:ascii="宋体" w:hAnsi="宋体" w:eastAsia="宋体" w:cs="宋体"/>
      <w:color w:val="000000"/>
      <w:sz w:val="20"/>
      <w:szCs w:val="20"/>
      <w:u w:val="none"/>
    </w:rPr>
  </w:style>
  <w:style w:type="character" w:customStyle="1" w:styleId="145">
    <w:name w:val="font222"/>
    <w:basedOn w:val="44"/>
    <w:qFormat/>
    <w:uiPriority w:val="0"/>
    <w:rPr>
      <w:rFonts w:hint="eastAsia" w:ascii="宋体" w:hAnsi="宋体" w:eastAsia="宋体" w:cs="宋体"/>
      <w:color w:val="000000"/>
      <w:sz w:val="20"/>
      <w:szCs w:val="20"/>
      <w:u w:val="none"/>
      <w:vertAlign w:val="superscript"/>
    </w:rPr>
  </w:style>
  <w:style w:type="character" w:customStyle="1" w:styleId="146">
    <w:name w:val="font231"/>
    <w:basedOn w:val="44"/>
    <w:qFormat/>
    <w:uiPriority w:val="0"/>
    <w:rPr>
      <w:rFonts w:hint="eastAsia" w:ascii="宋体" w:hAnsi="宋体" w:eastAsia="宋体" w:cs="宋体"/>
      <w:color w:val="FF0000"/>
      <w:sz w:val="20"/>
      <w:szCs w:val="20"/>
      <w:u w:val="none"/>
    </w:rPr>
  </w:style>
  <w:style w:type="character" w:customStyle="1" w:styleId="147">
    <w:name w:val="font91"/>
    <w:basedOn w:val="44"/>
    <w:qFormat/>
    <w:uiPriority w:val="0"/>
    <w:rPr>
      <w:rFonts w:hint="eastAsia" w:ascii="宋体" w:hAnsi="宋体" w:eastAsia="宋体" w:cs="宋体"/>
      <w:color w:val="000000"/>
      <w:sz w:val="20"/>
      <w:szCs w:val="20"/>
      <w:u w:val="none"/>
    </w:rPr>
  </w:style>
  <w:style w:type="character" w:customStyle="1" w:styleId="148">
    <w:name w:val="font251"/>
    <w:basedOn w:val="44"/>
    <w:qFormat/>
    <w:uiPriority w:val="0"/>
    <w:rPr>
      <w:rFonts w:ascii="宋体" w:hAnsi="宋体" w:eastAsia="宋体" w:cs="宋体"/>
      <w:color w:val="000000"/>
      <w:sz w:val="20"/>
      <w:szCs w:val="20"/>
      <w:u w:val="none"/>
    </w:rPr>
  </w:style>
  <w:style w:type="character" w:customStyle="1" w:styleId="149">
    <w:name w:val="font141"/>
    <w:basedOn w:val="44"/>
    <w:qFormat/>
    <w:uiPriority w:val="0"/>
    <w:rPr>
      <w:rFonts w:hint="eastAsia" w:ascii="宋体" w:hAnsi="宋体" w:eastAsia="宋体" w:cs="宋体"/>
      <w:color w:val="000000"/>
      <w:sz w:val="20"/>
      <w:szCs w:val="20"/>
      <w:u w:val="none"/>
    </w:rPr>
  </w:style>
  <w:style w:type="character" w:customStyle="1" w:styleId="150">
    <w:name w:val="font81"/>
    <w:basedOn w:val="44"/>
    <w:qFormat/>
    <w:uiPriority w:val="0"/>
    <w:rPr>
      <w:rFonts w:hint="eastAsia" w:ascii="宋体" w:hAnsi="宋体" w:eastAsia="宋体" w:cs="宋体"/>
      <w:color w:val="000000"/>
      <w:sz w:val="20"/>
      <w:szCs w:val="20"/>
      <w:u w:val="none"/>
      <w:vertAlign w:val="superscript"/>
    </w:rPr>
  </w:style>
  <w:style w:type="character" w:customStyle="1" w:styleId="151">
    <w:name w:val="font131"/>
    <w:basedOn w:val="44"/>
    <w:qFormat/>
    <w:uiPriority w:val="0"/>
    <w:rPr>
      <w:rFonts w:hint="eastAsia" w:ascii="微软雅黑" w:hAnsi="微软雅黑" w:eastAsia="微软雅黑" w:cs="微软雅黑"/>
      <w:color w:val="000000"/>
      <w:sz w:val="20"/>
      <w:szCs w:val="20"/>
      <w:u w:val="none"/>
    </w:rPr>
  </w:style>
  <w:style w:type="character" w:customStyle="1" w:styleId="152">
    <w:name w:val="font121"/>
    <w:basedOn w:val="44"/>
    <w:qFormat/>
    <w:uiPriority w:val="0"/>
    <w:rPr>
      <w:rFonts w:hint="eastAsia" w:ascii="等线" w:hAnsi="等线" w:eastAsia="等线" w:cs="等线"/>
      <w:color w:val="000000"/>
      <w:sz w:val="20"/>
      <w:szCs w:val="20"/>
      <w:u w:val="none"/>
    </w:rPr>
  </w:style>
  <w:style w:type="character" w:customStyle="1" w:styleId="153">
    <w:name w:val="font61"/>
    <w:basedOn w:val="44"/>
    <w:qFormat/>
    <w:uiPriority w:val="0"/>
    <w:rPr>
      <w:rFonts w:hint="eastAsia" w:ascii="宋体" w:hAnsi="宋体" w:eastAsia="宋体" w:cs="宋体"/>
      <w:color w:val="000000"/>
      <w:sz w:val="20"/>
      <w:szCs w:val="20"/>
      <w:u w:val="none"/>
    </w:rPr>
  </w:style>
  <w:style w:type="character" w:customStyle="1" w:styleId="154">
    <w:name w:val="font261"/>
    <w:basedOn w:val="44"/>
    <w:qFormat/>
    <w:uiPriority w:val="0"/>
    <w:rPr>
      <w:rFonts w:hint="eastAsia" w:ascii="宋体" w:hAnsi="宋体" w:eastAsia="宋体" w:cs="宋体"/>
      <w:color w:val="000000"/>
      <w:sz w:val="20"/>
      <w:szCs w:val="20"/>
      <w:u w:val="none"/>
    </w:rPr>
  </w:style>
  <w:style w:type="character" w:customStyle="1" w:styleId="155">
    <w:name w:val="NormalCharacter"/>
    <w:semiHidden/>
    <w:qFormat/>
    <w:uiPriority w:val="0"/>
    <w:rPr>
      <w:rFonts w:hint="eastAsia" w:ascii="Times New Roman" w:hAnsi="Times New Roman" w:eastAsia="宋体" w:cs="Times New Roman"/>
      <w:kern w:val="2"/>
      <w:sz w:val="21"/>
      <w:lang w:val="en-US" w:eastAsia="zh-CN" w:bidi="ar-SA"/>
    </w:rPr>
  </w:style>
  <w:style w:type="paragraph" w:customStyle="1" w:styleId="156">
    <w:name w:val="Normal (Web)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80</Pages>
  <Words>48216</Words>
  <Characters>52139</Characters>
  <Lines>394</Lines>
  <Paragraphs>111</Paragraphs>
  <TotalTime>7</TotalTime>
  <ScaleCrop>false</ScaleCrop>
  <LinksUpToDate>false</LinksUpToDate>
  <CharactersWithSpaces>53136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2023-06-06T03:14:00Z</dcterms:created>
  <dc:creator>黄旭明</dc:creator>
  <cp:lastModifiedBy>陶传林</cp:lastModifiedBy>
  <cp:lastPrinted>2019-07-03T10:12:00Z</cp:lastPrinted>
  <dcterms:modified xsi:type="dcterms:W3CDTF">2023-09-08T03:27:56Z</dcterms:modified>
  <dc:title>                                                </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E4215B012A4E44A397FF826B459E1FC4_13</vt:lpwstr>
  </property>
</Properties>
</file>