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FA13FD">
      <w:pPr>
        <w:adjustRightInd/>
        <w:spacing w:line="360" w:lineRule="auto"/>
        <w:jc w:val="center"/>
        <w:rPr>
          <w:rFonts w:hint="eastAsia" w:ascii="仿宋" w:hAnsi="仿宋" w:eastAsia="仿宋" w:cs="宋体"/>
          <w:b/>
          <w:color w:val="auto"/>
          <w:sz w:val="44"/>
          <w:szCs w:val="44"/>
          <w:highlight w:val="none"/>
          <w:lang w:eastAsia="zh-CN"/>
        </w:rPr>
      </w:pPr>
      <w:bookmarkStart w:id="0" w:name="_Toc23088"/>
      <w:r>
        <w:rPr>
          <w:rFonts w:hint="eastAsia" w:ascii="仿宋" w:hAnsi="仿宋" w:eastAsia="仿宋" w:cs="宋体"/>
          <w:b/>
          <w:color w:val="auto"/>
          <w:sz w:val="44"/>
          <w:szCs w:val="44"/>
          <w:highlight w:val="none"/>
          <w:lang w:eastAsia="zh-CN"/>
        </w:rPr>
        <w:t>杭州市生态环境局拱墅分局“清净”拱墅多污染协同管控工程建设项目</w:t>
      </w:r>
    </w:p>
    <w:p w14:paraId="62E29B9B">
      <w:pPr>
        <w:adjustRightInd/>
        <w:spacing w:line="360" w:lineRule="auto"/>
        <w:jc w:val="center"/>
        <w:rPr>
          <w:rFonts w:ascii="仿宋" w:hAnsi="仿宋" w:eastAsia="仿宋" w:cs="宋体"/>
          <w:color w:val="auto"/>
          <w:sz w:val="48"/>
          <w:szCs w:val="48"/>
          <w:highlight w:val="none"/>
        </w:rPr>
      </w:pPr>
      <w:r>
        <w:rPr>
          <w:rFonts w:hint="eastAsia" w:ascii="仿宋" w:hAnsi="仿宋" w:eastAsia="仿宋" w:cs="宋体"/>
          <w:color w:val="auto"/>
          <w:sz w:val="48"/>
          <w:szCs w:val="48"/>
          <w:highlight w:val="none"/>
        </w:rPr>
        <w:t>公开招标文件</w:t>
      </w:r>
    </w:p>
    <w:p w14:paraId="3A9E6B91">
      <w:pPr>
        <w:adjustRightInd/>
        <w:spacing w:line="360" w:lineRule="auto"/>
        <w:jc w:val="center"/>
        <w:rPr>
          <w:rFonts w:hint="eastAsia" w:ascii="仿宋" w:hAnsi="仿宋" w:eastAsia="仿宋" w:cs="宋体"/>
          <w:b/>
          <w:color w:val="auto"/>
          <w:sz w:val="44"/>
          <w:szCs w:val="44"/>
          <w:highlight w:val="none"/>
        </w:rPr>
      </w:pPr>
      <w:r>
        <w:rPr>
          <w:rFonts w:hint="eastAsia" w:ascii="仿宋" w:hAnsi="仿宋" w:eastAsia="仿宋" w:cs="宋体"/>
          <w:b/>
          <w:color w:val="auto"/>
          <w:sz w:val="44"/>
          <w:szCs w:val="44"/>
          <w:highlight w:val="none"/>
        </w:rPr>
        <w:t>（电子招投标）</w:t>
      </w:r>
    </w:p>
    <w:p w14:paraId="05A6FA09">
      <w:pPr>
        <w:pStyle w:val="13"/>
        <w:rPr>
          <w:rFonts w:hint="eastAsia"/>
          <w:color w:val="auto"/>
          <w:highlight w:val="none"/>
        </w:rPr>
      </w:pPr>
    </w:p>
    <w:p w14:paraId="62B0770F">
      <w:pPr>
        <w:spacing w:line="360" w:lineRule="auto"/>
        <w:jc w:val="center"/>
        <w:rPr>
          <w:rFonts w:hint="eastAsia" w:ascii="仿宋" w:hAnsi="仿宋" w:eastAsia="仿宋" w:cs="仿宋"/>
          <w:b/>
          <w:color w:val="auto"/>
          <w:highlight w:val="none"/>
        </w:rPr>
      </w:pPr>
      <w:r>
        <w:rPr>
          <w:rFonts w:hint="eastAsia" w:ascii="仿宋" w:hAnsi="仿宋" w:eastAsia="仿宋" w:cs="仿宋"/>
          <w:b/>
          <w:color w:val="auto"/>
          <w:highlight w:val="none"/>
        </w:rPr>
        <w:drawing>
          <wp:inline distT="0" distB="0" distL="114300" distR="114300">
            <wp:extent cx="5659120" cy="933450"/>
            <wp:effectExtent l="0" t="0" r="8255" b="0"/>
            <wp:docPr id="1" name="图片 1" descr="微信图片_20211120124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1120124212"/>
                    <pic:cNvPicPr>
                      <a:picLocks noChangeAspect="1"/>
                    </pic:cNvPicPr>
                  </pic:nvPicPr>
                  <pic:blipFill>
                    <a:blip r:embed="rId17"/>
                    <a:stretch>
                      <a:fillRect/>
                    </a:stretch>
                  </pic:blipFill>
                  <pic:spPr>
                    <a:xfrm>
                      <a:off x="0" y="0"/>
                      <a:ext cx="5659120" cy="933450"/>
                    </a:xfrm>
                    <a:prstGeom prst="rect">
                      <a:avLst/>
                    </a:prstGeom>
                    <a:noFill/>
                    <a:ln>
                      <a:noFill/>
                    </a:ln>
                  </pic:spPr>
                </pic:pic>
              </a:graphicData>
            </a:graphic>
          </wp:inline>
        </w:drawing>
      </w:r>
    </w:p>
    <w:p w14:paraId="11FB9874">
      <w:pPr>
        <w:pStyle w:val="13"/>
        <w:rPr>
          <w:rFonts w:hint="eastAsia" w:ascii="仿宋" w:hAnsi="仿宋" w:eastAsia="仿宋" w:cs="仿宋"/>
          <w:b/>
          <w:color w:val="auto"/>
          <w:highlight w:val="none"/>
        </w:rPr>
      </w:pPr>
    </w:p>
    <w:p w14:paraId="20CF1501">
      <w:pPr>
        <w:rPr>
          <w:rFonts w:hint="eastAsia" w:ascii="仿宋" w:hAnsi="仿宋" w:eastAsia="仿宋" w:cs="仿宋"/>
          <w:b/>
          <w:color w:val="auto"/>
          <w:highlight w:val="none"/>
        </w:rPr>
      </w:pPr>
    </w:p>
    <w:p w14:paraId="43FDA7F3">
      <w:pPr>
        <w:pStyle w:val="13"/>
        <w:rPr>
          <w:rFonts w:hint="eastAsia" w:ascii="仿宋" w:hAnsi="仿宋" w:eastAsia="仿宋" w:cs="仿宋"/>
          <w:b/>
          <w:color w:val="auto"/>
          <w:highlight w:val="none"/>
        </w:rPr>
      </w:pPr>
    </w:p>
    <w:p w14:paraId="328F89E6">
      <w:pPr>
        <w:rPr>
          <w:color w:val="auto"/>
          <w:highlight w:val="none"/>
        </w:rPr>
      </w:pPr>
    </w:p>
    <w:tbl>
      <w:tblPr>
        <w:tblStyle w:val="23"/>
        <w:tblW w:w="9498" w:type="dxa"/>
        <w:tblInd w:w="-34" w:type="dxa"/>
        <w:tblLayout w:type="fixed"/>
        <w:tblCellMar>
          <w:top w:w="0" w:type="dxa"/>
          <w:left w:w="108" w:type="dxa"/>
          <w:bottom w:w="0" w:type="dxa"/>
          <w:right w:w="108" w:type="dxa"/>
        </w:tblCellMar>
      </w:tblPr>
      <w:tblGrid>
        <w:gridCol w:w="1702"/>
        <w:gridCol w:w="7796"/>
      </w:tblGrid>
      <w:tr w14:paraId="025F6A9F">
        <w:tblPrEx>
          <w:tblCellMar>
            <w:top w:w="0" w:type="dxa"/>
            <w:left w:w="108" w:type="dxa"/>
            <w:bottom w:w="0" w:type="dxa"/>
            <w:right w:w="108" w:type="dxa"/>
          </w:tblCellMar>
        </w:tblPrEx>
        <w:trPr>
          <w:trHeight w:val="680" w:hRule="atLeast"/>
        </w:trPr>
        <w:tc>
          <w:tcPr>
            <w:tcW w:w="1702" w:type="dxa"/>
            <w:noWrap w:val="0"/>
            <w:vAlign w:val="center"/>
          </w:tcPr>
          <w:p w14:paraId="3466672B">
            <w:pPr>
              <w:jc w:val="center"/>
              <w:rPr>
                <w:rFonts w:ascii="仿宋" w:hAnsi="仿宋" w:eastAsia="仿宋" w:cs="仿宋"/>
                <w:color w:val="auto"/>
                <w:sz w:val="28"/>
                <w:szCs w:val="30"/>
                <w:highlight w:val="none"/>
              </w:rPr>
            </w:pPr>
            <w:r>
              <w:rPr>
                <w:rFonts w:hint="eastAsia" w:ascii="仿宋" w:hAnsi="仿宋" w:eastAsia="仿宋" w:cs="仿宋"/>
                <w:color w:val="auto"/>
                <w:sz w:val="28"/>
                <w:szCs w:val="30"/>
                <w:highlight w:val="none"/>
              </w:rPr>
              <w:t>项目名称：</w:t>
            </w:r>
          </w:p>
        </w:tc>
        <w:tc>
          <w:tcPr>
            <w:tcW w:w="7796" w:type="dxa"/>
            <w:noWrap w:val="0"/>
            <w:vAlign w:val="center"/>
          </w:tcPr>
          <w:p w14:paraId="36284872">
            <w:pPr>
              <w:spacing w:line="276" w:lineRule="auto"/>
              <w:ind w:left="-7" w:leftChars="-4" w:hanging="1"/>
              <w:rPr>
                <w:rFonts w:hint="eastAsia" w:ascii="仿宋" w:hAnsi="仿宋" w:eastAsia="仿宋" w:cs="仿宋"/>
                <w:bCs/>
                <w:color w:val="auto"/>
                <w:kern w:val="0"/>
                <w:sz w:val="28"/>
                <w:szCs w:val="30"/>
                <w:highlight w:val="none"/>
                <w:lang w:eastAsia="zh-CN"/>
              </w:rPr>
            </w:pPr>
            <w:r>
              <w:rPr>
                <w:rFonts w:hint="eastAsia" w:ascii="仿宋" w:hAnsi="仿宋" w:eastAsia="仿宋" w:cs="仿宋"/>
                <w:color w:val="auto"/>
                <w:sz w:val="28"/>
                <w:szCs w:val="30"/>
                <w:highlight w:val="none"/>
                <w:lang w:eastAsia="zh-CN"/>
              </w:rPr>
              <w:t>“清净”拱墅多污染协同管控工程建设项目</w:t>
            </w:r>
          </w:p>
        </w:tc>
      </w:tr>
      <w:tr w14:paraId="655EE4A9">
        <w:tblPrEx>
          <w:tblCellMar>
            <w:top w:w="0" w:type="dxa"/>
            <w:left w:w="108" w:type="dxa"/>
            <w:bottom w:w="0" w:type="dxa"/>
            <w:right w:w="108" w:type="dxa"/>
          </w:tblCellMar>
        </w:tblPrEx>
        <w:trPr>
          <w:trHeight w:val="680" w:hRule="atLeast"/>
        </w:trPr>
        <w:tc>
          <w:tcPr>
            <w:tcW w:w="1702" w:type="dxa"/>
            <w:noWrap w:val="0"/>
            <w:vAlign w:val="center"/>
          </w:tcPr>
          <w:p w14:paraId="5AF45A0B">
            <w:pPr>
              <w:jc w:val="center"/>
              <w:rPr>
                <w:rFonts w:ascii="仿宋" w:hAnsi="仿宋" w:eastAsia="仿宋" w:cs="仿宋"/>
                <w:color w:val="auto"/>
                <w:sz w:val="28"/>
                <w:szCs w:val="30"/>
                <w:highlight w:val="none"/>
              </w:rPr>
            </w:pPr>
            <w:r>
              <w:rPr>
                <w:rFonts w:hint="eastAsia" w:ascii="仿宋" w:hAnsi="仿宋" w:eastAsia="仿宋" w:cs="仿宋"/>
                <w:color w:val="auto"/>
                <w:sz w:val="28"/>
                <w:szCs w:val="30"/>
                <w:highlight w:val="none"/>
              </w:rPr>
              <w:t>项目编号：</w:t>
            </w:r>
          </w:p>
        </w:tc>
        <w:tc>
          <w:tcPr>
            <w:tcW w:w="7796" w:type="dxa"/>
            <w:noWrap w:val="0"/>
            <w:vAlign w:val="center"/>
          </w:tcPr>
          <w:p w14:paraId="0A4BAF86">
            <w:pPr>
              <w:spacing w:line="276" w:lineRule="auto"/>
              <w:ind w:left="-7" w:leftChars="-4" w:hanging="1"/>
              <w:rPr>
                <w:rFonts w:hint="eastAsia" w:ascii="仿宋" w:hAnsi="仿宋" w:eastAsia="仿宋" w:cs="仿宋"/>
                <w:bCs/>
                <w:color w:val="auto"/>
                <w:kern w:val="0"/>
                <w:sz w:val="28"/>
                <w:szCs w:val="30"/>
                <w:highlight w:val="none"/>
              </w:rPr>
            </w:pPr>
            <w:r>
              <w:rPr>
                <w:rFonts w:hint="eastAsia" w:ascii="仿宋" w:hAnsi="仿宋" w:eastAsia="仿宋" w:cs="仿宋"/>
                <w:bCs/>
                <w:color w:val="auto"/>
                <w:kern w:val="0"/>
                <w:sz w:val="28"/>
                <w:szCs w:val="30"/>
                <w:highlight w:val="none"/>
                <w:lang w:eastAsia="zh-CN"/>
              </w:rPr>
              <w:t>ZJWS2025--GS01</w:t>
            </w:r>
            <w:r>
              <w:rPr>
                <w:rFonts w:hint="eastAsia" w:ascii="仿宋" w:hAnsi="仿宋" w:eastAsia="仿宋" w:cs="仿宋"/>
                <w:bCs/>
                <w:color w:val="auto"/>
                <w:kern w:val="0"/>
                <w:sz w:val="28"/>
                <w:szCs w:val="30"/>
                <w:highlight w:val="none"/>
              </w:rPr>
              <w:t xml:space="preserve"> </w:t>
            </w:r>
          </w:p>
        </w:tc>
      </w:tr>
      <w:tr w14:paraId="5C7DF8E9">
        <w:tblPrEx>
          <w:tblCellMar>
            <w:top w:w="0" w:type="dxa"/>
            <w:left w:w="108" w:type="dxa"/>
            <w:bottom w:w="0" w:type="dxa"/>
            <w:right w:w="108" w:type="dxa"/>
          </w:tblCellMar>
        </w:tblPrEx>
        <w:trPr>
          <w:trHeight w:val="680" w:hRule="atLeast"/>
        </w:trPr>
        <w:tc>
          <w:tcPr>
            <w:tcW w:w="1702" w:type="dxa"/>
            <w:noWrap w:val="0"/>
            <w:vAlign w:val="center"/>
          </w:tcPr>
          <w:p w14:paraId="424C5655">
            <w:pPr>
              <w:jc w:val="center"/>
              <w:rPr>
                <w:rFonts w:ascii="仿宋" w:hAnsi="仿宋" w:eastAsia="仿宋" w:cs="仿宋"/>
                <w:color w:val="auto"/>
                <w:sz w:val="28"/>
                <w:szCs w:val="30"/>
                <w:highlight w:val="none"/>
              </w:rPr>
            </w:pPr>
            <w:r>
              <w:rPr>
                <w:rFonts w:hint="eastAsia" w:ascii="仿宋" w:hAnsi="仿宋" w:eastAsia="仿宋" w:cs="仿宋"/>
                <w:color w:val="auto"/>
                <w:sz w:val="28"/>
                <w:szCs w:val="30"/>
                <w:highlight w:val="none"/>
              </w:rPr>
              <w:t>采购方式：</w:t>
            </w:r>
          </w:p>
        </w:tc>
        <w:tc>
          <w:tcPr>
            <w:tcW w:w="7796" w:type="dxa"/>
            <w:noWrap w:val="0"/>
            <w:vAlign w:val="center"/>
          </w:tcPr>
          <w:p w14:paraId="30C20DA2">
            <w:pPr>
              <w:spacing w:line="276" w:lineRule="auto"/>
              <w:ind w:left="-7" w:leftChars="-4" w:hanging="1"/>
              <w:rPr>
                <w:rFonts w:ascii="仿宋" w:hAnsi="仿宋" w:eastAsia="仿宋" w:cs="仿宋"/>
                <w:bCs/>
                <w:color w:val="auto"/>
                <w:kern w:val="0"/>
                <w:sz w:val="28"/>
                <w:szCs w:val="30"/>
                <w:highlight w:val="none"/>
              </w:rPr>
            </w:pPr>
            <w:r>
              <w:rPr>
                <w:rFonts w:hint="eastAsia" w:ascii="仿宋" w:hAnsi="仿宋" w:eastAsia="仿宋" w:cs="仿宋"/>
                <w:bCs/>
                <w:color w:val="auto"/>
                <w:kern w:val="0"/>
                <w:sz w:val="28"/>
                <w:szCs w:val="30"/>
                <w:highlight w:val="none"/>
              </w:rPr>
              <w:t>公开招标</w:t>
            </w:r>
          </w:p>
        </w:tc>
      </w:tr>
      <w:tr w14:paraId="122888E7">
        <w:tblPrEx>
          <w:tblCellMar>
            <w:top w:w="0" w:type="dxa"/>
            <w:left w:w="108" w:type="dxa"/>
            <w:bottom w:w="0" w:type="dxa"/>
            <w:right w:w="108" w:type="dxa"/>
          </w:tblCellMar>
        </w:tblPrEx>
        <w:trPr>
          <w:trHeight w:val="680" w:hRule="atLeast"/>
        </w:trPr>
        <w:tc>
          <w:tcPr>
            <w:tcW w:w="1702" w:type="dxa"/>
            <w:noWrap w:val="0"/>
            <w:vAlign w:val="center"/>
          </w:tcPr>
          <w:p w14:paraId="05708992">
            <w:pPr>
              <w:jc w:val="center"/>
              <w:rPr>
                <w:rFonts w:ascii="仿宋" w:hAnsi="仿宋" w:eastAsia="仿宋" w:cs="仿宋"/>
                <w:color w:val="auto"/>
                <w:sz w:val="28"/>
                <w:szCs w:val="30"/>
                <w:highlight w:val="none"/>
              </w:rPr>
            </w:pPr>
            <w:r>
              <w:rPr>
                <w:rFonts w:hint="eastAsia" w:ascii="仿宋" w:hAnsi="仿宋" w:eastAsia="仿宋" w:cs="仿宋"/>
                <w:color w:val="auto"/>
                <w:sz w:val="28"/>
                <w:szCs w:val="30"/>
                <w:highlight w:val="none"/>
              </w:rPr>
              <w:t>交易方式：</w:t>
            </w:r>
          </w:p>
        </w:tc>
        <w:tc>
          <w:tcPr>
            <w:tcW w:w="7796" w:type="dxa"/>
            <w:noWrap w:val="0"/>
            <w:vAlign w:val="center"/>
          </w:tcPr>
          <w:p w14:paraId="595C11DE">
            <w:pPr>
              <w:spacing w:line="276" w:lineRule="auto"/>
              <w:ind w:left="-7" w:leftChars="-4" w:hanging="1"/>
              <w:rPr>
                <w:rFonts w:ascii="仿宋" w:hAnsi="仿宋" w:eastAsia="仿宋" w:cs="仿宋"/>
                <w:bCs/>
                <w:color w:val="auto"/>
                <w:kern w:val="0"/>
                <w:sz w:val="28"/>
                <w:szCs w:val="30"/>
                <w:highlight w:val="none"/>
              </w:rPr>
            </w:pPr>
            <w:r>
              <w:rPr>
                <w:rFonts w:hint="eastAsia" w:ascii="仿宋" w:hAnsi="仿宋" w:eastAsia="仿宋" w:cs="仿宋"/>
                <w:bCs/>
                <w:color w:val="auto"/>
                <w:kern w:val="0"/>
                <w:sz w:val="28"/>
                <w:szCs w:val="30"/>
                <w:highlight w:val="none"/>
              </w:rPr>
              <w:t>政府采购电子交易（政府采购云平台）</w:t>
            </w:r>
          </w:p>
        </w:tc>
      </w:tr>
      <w:tr w14:paraId="6D1C7476">
        <w:tblPrEx>
          <w:tblCellMar>
            <w:top w:w="0" w:type="dxa"/>
            <w:left w:w="108" w:type="dxa"/>
            <w:bottom w:w="0" w:type="dxa"/>
            <w:right w:w="108" w:type="dxa"/>
          </w:tblCellMar>
        </w:tblPrEx>
        <w:trPr>
          <w:trHeight w:val="680" w:hRule="atLeast"/>
        </w:trPr>
        <w:tc>
          <w:tcPr>
            <w:tcW w:w="1702" w:type="dxa"/>
            <w:noWrap w:val="0"/>
            <w:vAlign w:val="center"/>
          </w:tcPr>
          <w:p w14:paraId="40DAD814">
            <w:pPr>
              <w:jc w:val="center"/>
              <w:rPr>
                <w:rFonts w:ascii="仿宋" w:hAnsi="仿宋" w:eastAsia="仿宋" w:cs="仿宋"/>
                <w:color w:val="auto"/>
                <w:sz w:val="28"/>
                <w:szCs w:val="30"/>
                <w:highlight w:val="none"/>
              </w:rPr>
            </w:pPr>
            <w:r>
              <w:rPr>
                <w:rFonts w:hint="eastAsia" w:ascii="仿宋" w:hAnsi="仿宋" w:eastAsia="仿宋" w:cs="仿宋"/>
                <w:color w:val="auto"/>
                <w:sz w:val="28"/>
                <w:szCs w:val="30"/>
                <w:highlight w:val="none"/>
              </w:rPr>
              <w:t>采 购 人：</w:t>
            </w:r>
          </w:p>
        </w:tc>
        <w:tc>
          <w:tcPr>
            <w:tcW w:w="7796" w:type="dxa"/>
            <w:noWrap w:val="0"/>
            <w:vAlign w:val="center"/>
          </w:tcPr>
          <w:p w14:paraId="36109FA8">
            <w:pPr>
              <w:spacing w:line="276" w:lineRule="auto"/>
              <w:ind w:left="-7" w:leftChars="-4" w:hanging="1"/>
              <w:rPr>
                <w:rFonts w:hint="eastAsia" w:ascii="仿宋" w:hAnsi="仿宋" w:eastAsia="仿宋" w:cs="仿宋"/>
                <w:color w:val="auto"/>
                <w:kern w:val="0"/>
                <w:sz w:val="28"/>
                <w:szCs w:val="30"/>
                <w:highlight w:val="none"/>
                <w:lang w:eastAsia="zh-CN"/>
              </w:rPr>
            </w:pPr>
            <w:r>
              <w:rPr>
                <w:rFonts w:hint="eastAsia" w:ascii="仿宋" w:hAnsi="仿宋" w:eastAsia="仿宋" w:cs="仿宋"/>
                <w:color w:val="auto"/>
                <w:kern w:val="0"/>
                <w:sz w:val="28"/>
                <w:szCs w:val="30"/>
                <w:highlight w:val="none"/>
                <w:lang w:eastAsia="zh-CN"/>
              </w:rPr>
              <w:t>杭州市生态环境局拱墅分局</w:t>
            </w:r>
          </w:p>
        </w:tc>
      </w:tr>
      <w:tr w14:paraId="366FC989">
        <w:tblPrEx>
          <w:tblCellMar>
            <w:top w:w="0" w:type="dxa"/>
            <w:left w:w="108" w:type="dxa"/>
            <w:bottom w:w="0" w:type="dxa"/>
            <w:right w:w="108" w:type="dxa"/>
          </w:tblCellMar>
        </w:tblPrEx>
        <w:trPr>
          <w:trHeight w:val="680" w:hRule="atLeast"/>
        </w:trPr>
        <w:tc>
          <w:tcPr>
            <w:tcW w:w="1702" w:type="dxa"/>
            <w:noWrap w:val="0"/>
            <w:vAlign w:val="center"/>
          </w:tcPr>
          <w:p w14:paraId="10403904">
            <w:pPr>
              <w:jc w:val="center"/>
              <w:rPr>
                <w:rFonts w:ascii="仿宋" w:hAnsi="仿宋" w:eastAsia="仿宋" w:cs="仿宋"/>
                <w:color w:val="auto"/>
                <w:sz w:val="28"/>
                <w:szCs w:val="30"/>
                <w:highlight w:val="none"/>
              </w:rPr>
            </w:pPr>
            <w:r>
              <w:rPr>
                <w:rFonts w:hint="eastAsia" w:ascii="仿宋" w:hAnsi="仿宋" w:eastAsia="仿宋" w:cs="仿宋"/>
                <w:color w:val="auto"/>
                <w:sz w:val="28"/>
                <w:szCs w:val="30"/>
                <w:highlight w:val="none"/>
              </w:rPr>
              <w:t>代理机构：</w:t>
            </w:r>
          </w:p>
        </w:tc>
        <w:tc>
          <w:tcPr>
            <w:tcW w:w="7796" w:type="dxa"/>
            <w:noWrap w:val="0"/>
            <w:vAlign w:val="center"/>
          </w:tcPr>
          <w:p w14:paraId="041A7D1E">
            <w:pPr>
              <w:spacing w:line="276" w:lineRule="auto"/>
              <w:ind w:left="-7" w:leftChars="-4" w:hanging="1"/>
              <w:rPr>
                <w:rFonts w:hint="eastAsia" w:ascii="仿宋" w:hAnsi="仿宋" w:eastAsia="仿宋" w:cs="仿宋"/>
                <w:color w:val="auto"/>
                <w:kern w:val="0"/>
                <w:sz w:val="28"/>
                <w:szCs w:val="30"/>
                <w:highlight w:val="none"/>
                <w:lang w:eastAsia="zh-CN"/>
              </w:rPr>
            </w:pPr>
            <w:r>
              <w:rPr>
                <w:rFonts w:hint="eastAsia" w:ascii="仿宋" w:hAnsi="仿宋" w:eastAsia="仿宋" w:cs="仿宋"/>
                <w:color w:val="auto"/>
                <w:kern w:val="0"/>
                <w:sz w:val="28"/>
                <w:szCs w:val="30"/>
                <w:highlight w:val="none"/>
                <w:lang w:eastAsia="zh-CN"/>
              </w:rPr>
              <w:t>浙江五石中正工程咨询有限公司</w:t>
            </w:r>
          </w:p>
        </w:tc>
      </w:tr>
      <w:tr w14:paraId="7E7AA8E2">
        <w:tblPrEx>
          <w:tblCellMar>
            <w:top w:w="0" w:type="dxa"/>
            <w:left w:w="108" w:type="dxa"/>
            <w:bottom w:w="0" w:type="dxa"/>
            <w:right w:w="108" w:type="dxa"/>
          </w:tblCellMar>
        </w:tblPrEx>
        <w:trPr>
          <w:trHeight w:val="680" w:hRule="atLeast"/>
        </w:trPr>
        <w:tc>
          <w:tcPr>
            <w:tcW w:w="1702" w:type="dxa"/>
            <w:noWrap w:val="0"/>
            <w:vAlign w:val="center"/>
          </w:tcPr>
          <w:p w14:paraId="6E51721B">
            <w:pPr>
              <w:jc w:val="center"/>
              <w:rPr>
                <w:rFonts w:ascii="仿宋" w:hAnsi="仿宋" w:eastAsia="仿宋" w:cs="仿宋"/>
                <w:color w:val="auto"/>
                <w:sz w:val="28"/>
                <w:szCs w:val="30"/>
                <w:highlight w:val="none"/>
              </w:rPr>
            </w:pPr>
            <w:r>
              <w:rPr>
                <w:rFonts w:hint="eastAsia" w:ascii="仿宋" w:hAnsi="仿宋" w:eastAsia="仿宋" w:cs="仿宋"/>
                <w:color w:val="auto"/>
                <w:sz w:val="28"/>
                <w:szCs w:val="30"/>
                <w:highlight w:val="none"/>
              </w:rPr>
              <w:t>日    期：</w:t>
            </w:r>
          </w:p>
        </w:tc>
        <w:tc>
          <w:tcPr>
            <w:tcW w:w="7796" w:type="dxa"/>
            <w:noWrap w:val="0"/>
            <w:vAlign w:val="center"/>
          </w:tcPr>
          <w:p w14:paraId="6674877B">
            <w:pPr>
              <w:spacing w:line="276" w:lineRule="auto"/>
              <w:ind w:left="-7" w:leftChars="-4" w:hanging="1"/>
              <w:rPr>
                <w:rFonts w:ascii="仿宋" w:hAnsi="仿宋" w:eastAsia="仿宋" w:cs="仿宋"/>
                <w:color w:val="auto"/>
                <w:kern w:val="0"/>
                <w:sz w:val="28"/>
                <w:szCs w:val="30"/>
                <w:highlight w:val="none"/>
              </w:rPr>
            </w:pPr>
            <w:r>
              <w:rPr>
                <w:rFonts w:hint="eastAsia" w:ascii="仿宋" w:hAnsi="仿宋" w:eastAsia="仿宋" w:cs="仿宋"/>
                <w:color w:val="auto"/>
                <w:kern w:val="0"/>
                <w:sz w:val="28"/>
                <w:szCs w:val="30"/>
                <w:highlight w:val="none"/>
              </w:rPr>
              <w:t>二○二</w:t>
            </w:r>
            <w:r>
              <w:rPr>
                <w:rFonts w:hint="eastAsia" w:ascii="仿宋" w:hAnsi="仿宋" w:eastAsia="仿宋" w:cs="仿宋"/>
                <w:color w:val="auto"/>
                <w:kern w:val="0"/>
                <w:sz w:val="28"/>
                <w:szCs w:val="30"/>
                <w:highlight w:val="none"/>
                <w:lang w:val="en-US" w:eastAsia="zh-CN"/>
              </w:rPr>
              <w:t>五</w:t>
            </w:r>
            <w:r>
              <w:rPr>
                <w:rFonts w:hint="eastAsia" w:ascii="仿宋" w:hAnsi="仿宋" w:eastAsia="仿宋" w:cs="仿宋"/>
                <w:color w:val="auto"/>
                <w:kern w:val="0"/>
                <w:sz w:val="28"/>
                <w:szCs w:val="30"/>
                <w:highlight w:val="none"/>
              </w:rPr>
              <w:t>年</w:t>
            </w:r>
            <w:r>
              <w:rPr>
                <w:rFonts w:hint="eastAsia" w:ascii="仿宋" w:hAnsi="仿宋" w:eastAsia="仿宋" w:cs="仿宋"/>
                <w:color w:val="auto"/>
                <w:kern w:val="0"/>
                <w:sz w:val="28"/>
                <w:szCs w:val="30"/>
                <w:highlight w:val="none"/>
                <w:lang w:val="en-US" w:eastAsia="zh-CN"/>
              </w:rPr>
              <w:t>六</w:t>
            </w:r>
            <w:r>
              <w:rPr>
                <w:rFonts w:hint="eastAsia" w:ascii="仿宋" w:hAnsi="仿宋" w:eastAsia="仿宋" w:cs="仿宋"/>
                <w:color w:val="auto"/>
                <w:kern w:val="0"/>
                <w:sz w:val="28"/>
                <w:szCs w:val="30"/>
                <w:highlight w:val="none"/>
              </w:rPr>
              <w:t>月</w:t>
            </w:r>
          </w:p>
        </w:tc>
      </w:tr>
    </w:tbl>
    <w:p w14:paraId="01F915DB">
      <w:pPr>
        <w:adjustRightInd/>
        <w:spacing w:line="360" w:lineRule="auto"/>
        <w:jc w:val="center"/>
        <w:outlineLvl w:val="0"/>
        <w:rPr>
          <w:rFonts w:hint="eastAsia" w:ascii="仿宋" w:hAnsi="仿宋" w:eastAsia="仿宋" w:cs="宋体"/>
          <w:b/>
          <w:color w:val="auto"/>
          <w:sz w:val="36"/>
          <w:szCs w:val="20"/>
          <w:highlight w:val="none"/>
        </w:rPr>
        <w:sectPr>
          <w:headerReference r:id="rId4" w:type="first"/>
          <w:footerReference r:id="rId6" w:type="first"/>
          <w:headerReference r:id="rId3" w:type="default"/>
          <w:footerReference r:id="rId5" w:type="default"/>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72F1534E">
      <w:pPr>
        <w:pStyle w:val="3"/>
        <w:rPr>
          <w:rFonts w:hint="eastAsia"/>
          <w:color w:val="auto"/>
          <w:highlight w:val="none"/>
          <w:lang w:val="en-US" w:eastAsia="zh-CN"/>
        </w:rPr>
      </w:pPr>
    </w:p>
    <w:sdt>
      <w:sdtPr>
        <w:rPr>
          <w:rFonts w:ascii="宋体" w:hAnsi="宋体" w:eastAsia="宋体" w:cs="Times New Roman"/>
          <w:color w:val="auto"/>
          <w:kern w:val="2"/>
          <w:sz w:val="21"/>
          <w:szCs w:val="24"/>
          <w:highlight w:val="none"/>
          <w:lang w:val="en-US" w:eastAsia="zh-CN" w:bidi="ar-SA"/>
        </w:rPr>
        <w:id w:val="147476172"/>
        <w15:color w:val="DBDBDB"/>
        <w:docPartObj>
          <w:docPartGallery w:val="Table of Contents"/>
          <w:docPartUnique/>
        </w:docPartObj>
      </w:sdtPr>
      <w:sdtEndPr>
        <w:rPr>
          <w:rFonts w:hint="eastAsia" w:ascii="Times New Roman" w:hAnsi="Times New Roman" w:eastAsia="宋体" w:cs="Times New Roman"/>
          <w:color w:val="auto"/>
          <w:kern w:val="2"/>
          <w:sz w:val="21"/>
          <w:szCs w:val="24"/>
          <w:highlight w:val="none"/>
          <w:lang w:val="en-US" w:eastAsia="zh-CN" w:bidi="ar-SA"/>
        </w:rPr>
      </w:sdtEndPr>
      <w:sdtContent>
        <w:p w14:paraId="518A94AB">
          <w:pPr>
            <w:spacing w:before="0" w:beforeLines="0" w:after="0" w:afterLines="0" w:line="240" w:lineRule="auto"/>
            <w:ind w:left="0" w:leftChars="0" w:right="0" w:rightChars="0" w:firstLine="0" w:firstLineChars="0"/>
            <w:jc w:val="center"/>
            <w:rPr>
              <w:color w:val="auto"/>
              <w:sz w:val="28"/>
              <w:szCs w:val="28"/>
              <w:highlight w:val="none"/>
            </w:rPr>
          </w:pPr>
          <w:r>
            <w:rPr>
              <w:rFonts w:ascii="宋体" w:hAnsi="宋体" w:eastAsia="宋体"/>
              <w:color w:val="auto"/>
              <w:sz w:val="28"/>
              <w:szCs w:val="28"/>
              <w:highlight w:val="none"/>
            </w:rPr>
            <w:t>目录</w:t>
          </w:r>
        </w:p>
        <w:p w14:paraId="0269FF50">
          <w:pPr>
            <w:pStyle w:val="19"/>
            <w:tabs>
              <w:tab w:val="right" w:leader="dot" w:pos="8279"/>
            </w:tabs>
            <w:spacing w:line="360" w:lineRule="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TOC \o "1-1" \h \u </w:instrText>
          </w:r>
          <w:r>
            <w:rPr>
              <w:rFonts w:hint="eastAsia"/>
              <w:color w:val="auto"/>
              <w:sz w:val="28"/>
              <w:szCs w:val="28"/>
              <w:highlight w:val="none"/>
              <w:lang w:val="en-US" w:eastAsia="zh-CN"/>
            </w:rPr>
            <w:fldChar w:fldCharType="separate"/>
          </w: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_Toc2132 </w:instrText>
          </w:r>
          <w:r>
            <w:rPr>
              <w:rFonts w:hint="eastAsia"/>
              <w:color w:val="auto"/>
              <w:sz w:val="28"/>
              <w:szCs w:val="28"/>
              <w:highlight w:val="none"/>
              <w:lang w:val="en-US" w:eastAsia="zh-CN"/>
            </w:rPr>
            <w:fldChar w:fldCharType="separate"/>
          </w:r>
          <w:r>
            <w:rPr>
              <w:rFonts w:hint="eastAsia" w:ascii="仿宋" w:hAnsi="仿宋" w:eastAsia="仿宋" w:cs="宋体"/>
              <w:color w:val="auto"/>
              <w:sz w:val="28"/>
              <w:szCs w:val="28"/>
              <w:highlight w:val="none"/>
            </w:rPr>
            <w:t>第一部分 招标公告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_Toc2132 \h </w:instrText>
          </w:r>
          <w:r>
            <w:rPr>
              <w:color w:val="auto"/>
              <w:sz w:val="28"/>
              <w:szCs w:val="28"/>
              <w:highlight w:val="none"/>
            </w:rPr>
            <w:fldChar w:fldCharType="separate"/>
          </w:r>
          <w:r>
            <w:rPr>
              <w:color w:val="auto"/>
              <w:sz w:val="28"/>
              <w:szCs w:val="28"/>
              <w:highlight w:val="none"/>
            </w:rPr>
            <w:t>2</w:t>
          </w:r>
          <w:r>
            <w:rPr>
              <w:color w:val="auto"/>
              <w:sz w:val="28"/>
              <w:szCs w:val="28"/>
              <w:highlight w:val="none"/>
            </w:rPr>
            <w:fldChar w:fldCharType="end"/>
          </w:r>
          <w:r>
            <w:rPr>
              <w:rFonts w:hint="eastAsia"/>
              <w:color w:val="auto"/>
              <w:sz w:val="28"/>
              <w:szCs w:val="28"/>
              <w:highlight w:val="none"/>
              <w:lang w:val="en-US" w:eastAsia="zh-CN"/>
            </w:rPr>
            <w:fldChar w:fldCharType="end"/>
          </w:r>
        </w:p>
        <w:p w14:paraId="2149C980">
          <w:pPr>
            <w:pStyle w:val="19"/>
            <w:tabs>
              <w:tab w:val="right" w:leader="dot" w:pos="8279"/>
            </w:tabs>
            <w:spacing w:line="360" w:lineRule="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_Toc14654 </w:instrText>
          </w:r>
          <w:r>
            <w:rPr>
              <w:rFonts w:hint="eastAsia"/>
              <w:color w:val="auto"/>
              <w:sz w:val="28"/>
              <w:szCs w:val="28"/>
              <w:highlight w:val="none"/>
              <w:lang w:val="en-US" w:eastAsia="zh-CN"/>
            </w:rPr>
            <w:fldChar w:fldCharType="separate"/>
          </w:r>
          <w:r>
            <w:rPr>
              <w:rFonts w:hint="eastAsia" w:ascii="仿宋" w:hAnsi="仿宋" w:eastAsia="仿宋" w:cs="宋体"/>
              <w:color w:val="auto"/>
              <w:sz w:val="28"/>
              <w:szCs w:val="28"/>
              <w:highlight w:val="none"/>
            </w:rPr>
            <w:t>第二部分 投标人须知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_Toc14654 \h </w:instrText>
          </w:r>
          <w:r>
            <w:rPr>
              <w:color w:val="auto"/>
              <w:sz w:val="28"/>
              <w:szCs w:val="28"/>
              <w:highlight w:val="none"/>
            </w:rPr>
            <w:fldChar w:fldCharType="separate"/>
          </w:r>
          <w:r>
            <w:rPr>
              <w:color w:val="auto"/>
              <w:sz w:val="28"/>
              <w:szCs w:val="28"/>
              <w:highlight w:val="none"/>
            </w:rPr>
            <w:t>7</w:t>
          </w:r>
          <w:r>
            <w:rPr>
              <w:color w:val="auto"/>
              <w:sz w:val="28"/>
              <w:szCs w:val="28"/>
              <w:highlight w:val="none"/>
            </w:rPr>
            <w:fldChar w:fldCharType="end"/>
          </w:r>
          <w:r>
            <w:rPr>
              <w:rFonts w:hint="eastAsia"/>
              <w:color w:val="auto"/>
              <w:sz w:val="28"/>
              <w:szCs w:val="28"/>
              <w:highlight w:val="none"/>
              <w:lang w:val="en-US" w:eastAsia="zh-CN"/>
            </w:rPr>
            <w:fldChar w:fldCharType="end"/>
          </w:r>
        </w:p>
        <w:p w14:paraId="22F98ADB">
          <w:pPr>
            <w:pStyle w:val="19"/>
            <w:tabs>
              <w:tab w:val="right" w:leader="dot" w:pos="8279"/>
            </w:tabs>
            <w:spacing w:line="360" w:lineRule="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_Toc25663 </w:instrText>
          </w:r>
          <w:r>
            <w:rPr>
              <w:rFonts w:hint="eastAsia"/>
              <w:color w:val="auto"/>
              <w:sz w:val="28"/>
              <w:szCs w:val="28"/>
              <w:highlight w:val="none"/>
              <w:lang w:val="en-US" w:eastAsia="zh-CN"/>
            </w:rPr>
            <w:fldChar w:fldCharType="separate"/>
          </w:r>
          <w:r>
            <w:rPr>
              <w:rFonts w:hint="eastAsia" w:ascii="仿宋" w:hAnsi="仿宋" w:eastAsia="仿宋" w:cs="宋体"/>
              <w:color w:val="auto"/>
              <w:sz w:val="28"/>
              <w:szCs w:val="28"/>
              <w:highlight w:val="none"/>
            </w:rPr>
            <w:t>第三部分</w:t>
          </w:r>
          <w:r>
            <w:rPr>
              <w:rFonts w:ascii="仿宋" w:hAnsi="仿宋" w:eastAsia="仿宋" w:cs="宋体"/>
              <w:color w:val="auto"/>
              <w:sz w:val="28"/>
              <w:szCs w:val="28"/>
              <w:highlight w:val="none"/>
            </w:rPr>
            <w:t xml:space="preserve"> </w:t>
          </w:r>
          <w:r>
            <w:rPr>
              <w:rFonts w:hint="eastAsia" w:ascii="仿宋" w:hAnsi="仿宋" w:eastAsia="仿宋" w:cs="宋体"/>
              <w:color w:val="auto"/>
              <w:sz w:val="28"/>
              <w:szCs w:val="28"/>
              <w:highlight w:val="none"/>
            </w:rPr>
            <w:t>采购需求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_Toc25663 \h </w:instrText>
          </w:r>
          <w:r>
            <w:rPr>
              <w:color w:val="auto"/>
              <w:sz w:val="28"/>
              <w:szCs w:val="28"/>
              <w:highlight w:val="none"/>
            </w:rPr>
            <w:fldChar w:fldCharType="separate"/>
          </w:r>
          <w:r>
            <w:rPr>
              <w:color w:val="auto"/>
              <w:sz w:val="28"/>
              <w:szCs w:val="28"/>
              <w:highlight w:val="none"/>
            </w:rPr>
            <w:t>26</w:t>
          </w:r>
          <w:r>
            <w:rPr>
              <w:color w:val="auto"/>
              <w:sz w:val="28"/>
              <w:szCs w:val="28"/>
              <w:highlight w:val="none"/>
            </w:rPr>
            <w:fldChar w:fldCharType="end"/>
          </w:r>
          <w:r>
            <w:rPr>
              <w:rFonts w:hint="eastAsia"/>
              <w:color w:val="auto"/>
              <w:sz w:val="28"/>
              <w:szCs w:val="28"/>
              <w:highlight w:val="none"/>
              <w:lang w:val="en-US" w:eastAsia="zh-CN"/>
            </w:rPr>
            <w:fldChar w:fldCharType="end"/>
          </w:r>
        </w:p>
        <w:p w14:paraId="1736DAC3">
          <w:pPr>
            <w:pStyle w:val="19"/>
            <w:tabs>
              <w:tab w:val="right" w:leader="dot" w:pos="8279"/>
            </w:tabs>
            <w:spacing w:line="360" w:lineRule="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_Toc30127 </w:instrText>
          </w:r>
          <w:r>
            <w:rPr>
              <w:rFonts w:hint="eastAsia"/>
              <w:color w:val="auto"/>
              <w:sz w:val="28"/>
              <w:szCs w:val="28"/>
              <w:highlight w:val="none"/>
              <w:lang w:val="en-US" w:eastAsia="zh-CN"/>
            </w:rPr>
            <w:fldChar w:fldCharType="separate"/>
          </w:r>
          <w:r>
            <w:rPr>
              <w:rFonts w:hint="eastAsia" w:ascii="仿宋" w:hAnsi="仿宋" w:eastAsia="仿宋" w:cs="宋体"/>
              <w:color w:val="auto"/>
              <w:sz w:val="28"/>
              <w:szCs w:val="28"/>
              <w:highlight w:val="none"/>
            </w:rPr>
            <w:t>第四部分 评标办法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_Toc30127 \h </w:instrText>
          </w:r>
          <w:r>
            <w:rPr>
              <w:color w:val="auto"/>
              <w:sz w:val="28"/>
              <w:szCs w:val="28"/>
              <w:highlight w:val="none"/>
            </w:rPr>
            <w:fldChar w:fldCharType="separate"/>
          </w:r>
          <w:r>
            <w:rPr>
              <w:color w:val="auto"/>
              <w:sz w:val="28"/>
              <w:szCs w:val="28"/>
              <w:highlight w:val="none"/>
            </w:rPr>
            <w:t>42</w:t>
          </w:r>
          <w:r>
            <w:rPr>
              <w:color w:val="auto"/>
              <w:sz w:val="28"/>
              <w:szCs w:val="28"/>
              <w:highlight w:val="none"/>
            </w:rPr>
            <w:fldChar w:fldCharType="end"/>
          </w:r>
          <w:r>
            <w:rPr>
              <w:rFonts w:hint="eastAsia"/>
              <w:color w:val="auto"/>
              <w:sz w:val="28"/>
              <w:szCs w:val="28"/>
              <w:highlight w:val="none"/>
              <w:lang w:val="en-US" w:eastAsia="zh-CN"/>
            </w:rPr>
            <w:fldChar w:fldCharType="end"/>
          </w:r>
        </w:p>
        <w:p w14:paraId="387F52DD">
          <w:pPr>
            <w:pStyle w:val="19"/>
            <w:tabs>
              <w:tab w:val="right" w:leader="dot" w:pos="8279"/>
            </w:tabs>
            <w:spacing w:line="360" w:lineRule="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_Toc26358 </w:instrText>
          </w:r>
          <w:r>
            <w:rPr>
              <w:rFonts w:hint="eastAsia"/>
              <w:color w:val="auto"/>
              <w:sz w:val="28"/>
              <w:szCs w:val="28"/>
              <w:highlight w:val="none"/>
              <w:lang w:val="en-US" w:eastAsia="zh-CN"/>
            </w:rPr>
            <w:fldChar w:fldCharType="separate"/>
          </w:r>
          <w:r>
            <w:rPr>
              <w:rFonts w:hint="eastAsia" w:ascii="仿宋" w:hAnsi="仿宋" w:eastAsia="仿宋" w:cs="宋体"/>
              <w:color w:val="auto"/>
              <w:sz w:val="28"/>
              <w:szCs w:val="28"/>
              <w:highlight w:val="none"/>
            </w:rPr>
            <w:t>第五部分 拟签订的合同文本</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_Toc26358 \h </w:instrText>
          </w:r>
          <w:r>
            <w:rPr>
              <w:color w:val="auto"/>
              <w:sz w:val="28"/>
              <w:szCs w:val="28"/>
              <w:highlight w:val="none"/>
            </w:rPr>
            <w:fldChar w:fldCharType="separate"/>
          </w:r>
          <w:r>
            <w:rPr>
              <w:color w:val="auto"/>
              <w:sz w:val="28"/>
              <w:szCs w:val="28"/>
              <w:highlight w:val="none"/>
            </w:rPr>
            <w:t>55</w:t>
          </w:r>
          <w:r>
            <w:rPr>
              <w:color w:val="auto"/>
              <w:sz w:val="28"/>
              <w:szCs w:val="28"/>
              <w:highlight w:val="none"/>
            </w:rPr>
            <w:fldChar w:fldCharType="end"/>
          </w:r>
          <w:r>
            <w:rPr>
              <w:rFonts w:hint="eastAsia"/>
              <w:color w:val="auto"/>
              <w:sz w:val="28"/>
              <w:szCs w:val="28"/>
              <w:highlight w:val="none"/>
              <w:lang w:val="en-US" w:eastAsia="zh-CN"/>
            </w:rPr>
            <w:fldChar w:fldCharType="end"/>
          </w:r>
        </w:p>
        <w:p w14:paraId="519DFC67">
          <w:pPr>
            <w:pStyle w:val="19"/>
            <w:tabs>
              <w:tab w:val="right" w:leader="dot" w:pos="8279"/>
            </w:tabs>
            <w:spacing w:line="360" w:lineRule="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_Toc19336 </w:instrText>
          </w:r>
          <w:r>
            <w:rPr>
              <w:rFonts w:hint="eastAsia"/>
              <w:color w:val="auto"/>
              <w:sz w:val="28"/>
              <w:szCs w:val="28"/>
              <w:highlight w:val="none"/>
              <w:lang w:val="en-US" w:eastAsia="zh-CN"/>
            </w:rPr>
            <w:fldChar w:fldCharType="separate"/>
          </w:r>
          <w:r>
            <w:rPr>
              <w:rFonts w:hint="eastAsia" w:ascii="仿宋" w:hAnsi="仿宋" w:eastAsia="仿宋" w:cs="宋体"/>
              <w:color w:val="auto"/>
              <w:sz w:val="28"/>
              <w:szCs w:val="28"/>
              <w:highlight w:val="none"/>
            </w:rPr>
            <w:t>第六部分 应提交的有关格式范例</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_Toc19336 \h </w:instrText>
          </w:r>
          <w:r>
            <w:rPr>
              <w:color w:val="auto"/>
              <w:sz w:val="28"/>
              <w:szCs w:val="28"/>
              <w:highlight w:val="none"/>
            </w:rPr>
            <w:fldChar w:fldCharType="separate"/>
          </w:r>
          <w:r>
            <w:rPr>
              <w:color w:val="auto"/>
              <w:sz w:val="28"/>
              <w:szCs w:val="28"/>
              <w:highlight w:val="none"/>
            </w:rPr>
            <w:t>74</w:t>
          </w:r>
          <w:r>
            <w:rPr>
              <w:color w:val="auto"/>
              <w:sz w:val="28"/>
              <w:szCs w:val="28"/>
              <w:highlight w:val="none"/>
            </w:rPr>
            <w:fldChar w:fldCharType="end"/>
          </w:r>
          <w:r>
            <w:rPr>
              <w:rFonts w:hint="eastAsia"/>
              <w:color w:val="auto"/>
              <w:sz w:val="28"/>
              <w:szCs w:val="28"/>
              <w:highlight w:val="none"/>
              <w:lang w:val="en-US" w:eastAsia="zh-CN"/>
            </w:rPr>
            <w:fldChar w:fldCharType="end"/>
          </w:r>
        </w:p>
        <w:p w14:paraId="178BFC6F">
          <w:pPr>
            <w:spacing w:line="360" w:lineRule="auto"/>
            <w:rPr>
              <w:rFonts w:hint="eastAsia" w:ascii="Times New Roman" w:hAnsi="Times New Roman" w:eastAsia="宋体" w:cs="Times New Roman"/>
              <w:color w:val="auto"/>
              <w:kern w:val="2"/>
              <w:sz w:val="21"/>
              <w:szCs w:val="24"/>
              <w:highlight w:val="none"/>
              <w:lang w:val="en-US" w:eastAsia="zh-CN" w:bidi="ar-SA"/>
            </w:rPr>
          </w:pPr>
          <w:r>
            <w:rPr>
              <w:rFonts w:hint="eastAsia"/>
              <w:color w:val="auto"/>
              <w:sz w:val="28"/>
              <w:szCs w:val="28"/>
              <w:highlight w:val="none"/>
              <w:lang w:val="en-US" w:eastAsia="zh-CN"/>
            </w:rPr>
            <w:fldChar w:fldCharType="end"/>
          </w:r>
        </w:p>
      </w:sdtContent>
    </w:sdt>
    <w:p w14:paraId="2FCBA89F">
      <w:pPr>
        <w:pStyle w:val="2"/>
        <w:rPr>
          <w:rFonts w:hint="eastAsia"/>
          <w:color w:val="auto"/>
          <w:highlight w:val="none"/>
          <w:lang w:val="en-US" w:eastAsia="zh-CN"/>
        </w:rPr>
        <w:sectPr>
          <w:footerReference r:id="rId7" w:type="default"/>
          <w:pgSz w:w="11907" w:h="16840"/>
          <w:pgMar w:top="1474" w:right="1814" w:bottom="1474" w:left="1814" w:header="851" w:footer="851" w:gutter="0"/>
          <w:pgBorders>
            <w:top w:val="none" w:sz="0" w:space="0"/>
            <w:left w:val="none" w:sz="0" w:space="0"/>
            <w:bottom w:val="none" w:sz="0" w:space="0"/>
            <w:right w:val="none" w:sz="0" w:space="0"/>
          </w:pgBorders>
          <w:pgNumType w:fmt="decimal" w:start="1"/>
          <w:cols w:space="720" w:num="1"/>
        </w:sectPr>
      </w:pPr>
    </w:p>
    <w:p w14:paraId="4E971FD7">
      <w:pPr>
        <w:adjustRightInd/>
        <w:spacing w:line="360" w:lineRule="auto"/>
        <w:jc w:val="center"/>
        <w:outlineLvl w:val="0"/>
        <w:rPr>
          <w:rFonts w:ascii="仿宋" w:hAnsi="仿宋" w:eastAsia="仿宋" w:cs="宋体"/>
          <w:b/>
          <w:color w:val="auto"/>
          <w:sz w:val="36"/>
          <w:szCs w:val="20"/>
          <w:highlight w:val="none"/>
        </w:rPr>
      </w:pPr>
      <w:bookmarkStart w:id="1" w:name="_Toc2132"/>
      <w:r>
        <w:rPr>
          <w:rFonts w:hint="eastAsia" w:ascii="仿宋" w:hAnsi="仿宋" w:eastAsia="仿宋" w:cs="宋体"/>
          <w:b/>
          <w:color w:val="auto"/>
          <w:sz w:val="36"/>
          <w:szCs w:val="20"/>
          <w:highlight w:val="none"/>
        </w:rPr>
        <w:t>第一部分 招标公告</w:t>
      </w:r>
      <w:bookmarkEnd w:id="0"/>
      <w:bookmarkEnd w:id="1"/>
    </w:p>
    <w:p w14:paraId="1DF283B3">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项目概况</w:t>
      </w:r>
    </w:p>
    <w:p w14:paraId="1175CB75">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color w:val="auto"/>
          <w:sz w:val="24"/>
          <w:highlight w:val="none"/>
          <w:u w:val="single"/>
        </w:rPr>
      </w:pPr>
      <w:r>
        <w:rPr>
          <w:rFonts w:hint="eastAsia" w:ascii="仿宋" w:hAnsi="仿宋" w:eastAsia="仿宋" w:cs="宋体"/>
          <w:color w:val="auto"/>
          <w:sz w:val="24"/>
          <w:highlight w:val="none"/>
          <w:lang w:eastAsia="zh-CN"/>
        </w:rPr>
        <w:t>杭州市生态环境局拱墅分局“清净”拱墅多污染协同管控工程建设项目</w:t>
      </w:r>
      <w:r>
        <w:rPr>
          <w:rFonts w:hint="eastAsia" w:ascii="仿宋" w:hAnsi="仿宋" w:eastAsia="仿宋" w:cs="宋体"/>
          <w:color w:val="auto"/>
          <w:sz w:val="24"/>
          <w:highlight w:val="none"/>
        </w:rPr>
        <w:t>的潜在投标人应在政采云平台（</w:t>
      </w:r>
      <w:r>
        <w:rPr>
          <w:color w:val="auto"/>
          <w:highlight w:val="none"/>
        </w:rPr>
        <w:fldChar w:fldCharType="begin"/>
      </w:r>
      <w:r>
        <w:rPr>
          <w:color w:val="auto"/>
          <w:highlight w:val="none"/>
        </w:rPr>
        <w:instrText xml:space="preserve"> HYPERLINK "https://www.zcygov.cn/）获取（下载）招标文件，并于2023年3月1日9点30分00秒" </w:instrText>
      </w:r>
      <w:r>
        <w:rPr>
          <w:color w:val="auto"/>
          <w:highlight w:val="none"/>
        </w:rPr>
        <w:fldChar w:fldCharType="separate"/>
      </w:r>
      <w:r>
        <w:rPr>
          <w:rStyle w:val="26"/>
          <w:rFonts w:hint="eastAsia" w:ascii="仿宋" w:hAnsi="仿宋" w:eastAsia="仿宋" w:cs="宋体"/>
          <w:snapToGrid/>
          <w:color w:val="auto"/>
          <w:kern w:val="2"/>
          <w:sz w:val="24"/>
          <w:szCs w:val="24"/>
          <w:highlight w:val="none"/>
        </w:rPr>
        <w:t>https://www.zcygov.cn/）获取（下载）招标文件，并于</w:t>
      </w:r>
      <w:r>
        <w:rPr>
          <w:rStyle w:val="26"/>
          <w:rFonts w:hint="eastAsia" w:ascii="仿宋" w:hAnsi="仿宋" w:eastAsia="仿宋" w:cs="宋体"/>
          <w:snapToGrid/>
          <w:color w:val="auto"/>
          <w:kern w:val="2"/>
          <w:sz w:val="24"/>
          <w:szCs w:val="24"/>
          <w:highlight w:val="none"/>
          <w:lang w:eastAsia="zh-CN"/>
        </w:rPr>
        <w:t>2025年</w:t>
      </w:r>
      <w:r>
        <w:rPr>
          <w:rStyle w:val="26"/>
          <w:rFonts w:hint="eastAsia" w:ascii="仿宋" w:hAnsi="仿宋" w:eastAsia="仿宋" w:cs="宋体"/>
          <w:snapToGrid/>
          <w:color w:val="auto"/>
          <w:kern w:val="2"/>
          <w:sz w:val="24"/>
          <w:szCs w:val="24"/>
          <w:highlight w:val="none"/>
          <w:lang w:val="en-US" w:eastAsia="zh-CN"/>
        </w:rPr>
        <w:t>07</w:t>
      </w:r>
      <w:r>
        <w:rPr>
          <w:rStyle w:val="26"/>
          <w:rFonts w:hint="eastAsia" w:ascii="仿宋" w:hAnsi="仿宋" w:eastAsia="仿宋" w:cs="宋体"/>
          <w:snapToGrid/>
          <w:color w:val="auto"/>
          <w:kern w:val="2"/>
          <w:sz w:val="24"/>
          <w:szCs w:val="24"/>
          <w:highlight w:val="none"/>
        </w:rPr>
        <w:t>月</w:t>
      </w:r>
      <w:r>
        <w:rPr>
          <w:rStyle w:val="26"/>
          <w:rFonts w:hint="eastAsia" w:ascii="仿宋" w:hAnsi="仿宋" w:eastAsia="仿宋" w:cs="宋体"/>
          <w:snapToGrid/>
          <w:color w:val="auto"/>
          <w:kern w:val="2"/>
          <w:sz w:val="24"/>
          <w:szCs w:val="24"/>
          <w:highlight w:val="none"/>
          <w:lang w:val="en-US" w:eastAsia="zh-CN"/>
        </w:rPr>
        <w:t>14</w:t>
      </w:r>
      <w:r>
        <w:rPr>
          <w:rStyle w:val="26"/>
          <w:rFonts w:hint="eastAsia" w:ascii="仿宋" w:hAnsi="仿宋" w:eastAsia="仿宋" w:cs="宋体"/>
          <w:snapToGrid/>
          <w:color w:val="auto"/>
          <w:kern w:val="2"/>
          <w:sz w:val="24"/>
          <w:szCs w:val="24"/>
          <w:highlight w:val="none"/>
        </w:rPr>
        <w:t>日</w:t>
      </w:r>
      <w:r>
        <w:rPr>
          <w:rStyle w:val="26"/>
          <w:rFonts w:hint="eastAsia" w:ascii="仿宋" w:hAnsi="仿宋" w:eastAsia="仿宋" w:cs="宋体"/>
          <w:snapToGrid/>
          <w:color w:val="auto"/>
          <w:kern w:val="2"/>
          <w:sz w:val="24"/>
          <w:szCs w:val="24"/>
          <w:highlight w:val="none"/>
          <w:lang w:val="en-US" w:eastAsia="zh-CN"/>
        </w:rPr>
        <w:t>09</w:t>
      </w:r>
      <w:r>
        <w:rPr>
          <w:rStyle w:val="26"/>
          <w:rFonts w:hint="eastAsia" w:ascii="仿宋" w:hAnsi="仿宋" w:eastAsia="仿宋" w:cs="宋体"/>
          <w:snapToGrid/>
          <w:color w:val="auto"/>
          <w:kern w:val="2"/>
          <w:sz w:val="24"/>
          <w:szCs w:val="24"/>
          <w:highlight w:val="none"/>
        </w:rPr>
        <w:t>点</w:t>
      </w:r>
      <w:r>
        <w:rPr>
          <w:rStyle w:val="26"/>
          <w:rFonts w:hint="eastAsia" w:ascii="仿宋" w:hAnsi="仿宋" w:eastAsia="仿宋" w:cs="宋体"/>
          <w:snapToGrid/>
          <w:color w:val="auto"/>
          <w:kern w:val="2"/>
          <w:sz w:val="24"/>
          <w:szCs w:val="24"/>
          <w:highlight w:val="none"/>
          <w:lang w:val="en-US" w:eastAsia="zh-CN"/>
        </w:rPr>
        <w:t>00</w:t>
      </w:r>
      <w:r>
        <w:rPr>
          <w:rStyle w:val="26"/>
          <w:rFonts w:hint="eastAsia" w:ascii="仿宋" w:hAnsi="仿宋" w:eastAsia="仿宋" w:cs="宋体"/>
          <w:snapToGrid/>
          <w:color w:val="auto"/>
          <w:kern w:val="2"/>
          <w:sz w:val="24"/>
          <w:szCs w:val="24"/>
          <w:highlight w:val="none"/>
        </w:rPr>
        <w:t>分</w:t>
      </w:r>
      <w:r>
        <w:rPr>
          <w:rStyle w:val="26"/>
          <w:rFonts w:hint="eastAsia" w:ascii="仿宋" w:hAnsi="仿宋" w:eastAsia="仿宋" w:cs="宋体"/>
          <w:bCs/>
          <w:snapToGrid/>
          <w:color w:val="auto"/>
          <w:kern w:val="2"/>
          <w:sz w:val="24"/>
          <w:szCs w:val="24"/>
          <w:highlight w:val="none"/>
        </w:rPr>
        <w:t>00秒</w:t>
      </w:r>
      <w:r>
        <w:rPr>
          <w:rStyle w:val="26"/>
          <w:rFonts w:hint="eastAsia" w:ascii="仿宋" w:hAnsi="仿宋" w:eastAsia="仿宋" w:cs="宋体"/>
          <w:bCs/>
          <w:snapToGrid/>
          <w:color w:val="auto"/>
          <w:kern w:val="2"/>
          <w:sz w:val="24"/>
          <w:szCs w:val="24"/>
          <w:highlight w:val="none"/>
        </w:rPr>
        <w:fldChar w:fldCharType="end"/>
      </w:r>
      <w:r>
        <w:rPr>
          <w:rFonts w:hint="eastAsia" w:ascii="仿宋" w:hAnsi="仿宋" w:eastAsia="仿宋" w:cs="宋体"/>
          <w:bCs/>
          <w:color w:val="auto"/>
          <w:sz w:val="24"/>
          <w:highlight w:val="none"/>
        </w:rPr>
        <w:t>（北京时间）前</w:t>
      </w:r>
      <w:r>
        <w:rPr>
          <w:rFonts w:hint="eastAsia" w:ascii="仿宋" w:hAnsi="仿宋" w:eastAsia="仿宋" w:cs="宋体"/>
          <w:color w:val="auto"/>
          <w:sz w:val="24"/>
          <w:highlight w:val="none"/>
        </w:rPr>
        <w:t>递交（上传）投标文件。</w:t>
      </w:r>
    </w:p>
    <w:p w14:paraId="37D77F60">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一、项目基本情况</w:t>
      </w:r>
    </w:p>
    <w:p w14:paraId="39DC7D38">
      <w:pPr>
        <w:spacing w:line="360" w:lineRule="auto"/>
        <w:ind w:firstLine="482" w:firstLineChars="200"/>
        <w:rPr>
          <w:rFonts w:hint="eastAsia" w:ascii="仿宋" w:hAnsi="仿宋" w:eastAsia="仿宋" w:cs="宋体"/>
          <w:color w:val="auto"/>
          <w:sz w:val="24"/>
          <w:highlight w:val="none"/>
        </w:rPr>
      </w:pPr>
      <w:r>
        <w:rPr>
          <w:rFonts w:hint="eastAsia" w:ascii="仿宋" w:hAnsi="仿宋" w:eastAsia="仿宋" w:cs="宋体"/>
          <w:b/>
          <w:color w:val="auto"/>
          <w:sz w:val="24"/>
          <w:highlight w:val="none"/>
        </w:rPr>
        <w:t>项目编号：</w:t>
      </w:r>
      <w:r>
        <w:rPr>
          <w:rFonts w:hint="eastAsia" w:ascii="仿宋" w:hAnsi="仿宋" w:eastAsia="仿宋" w:cs="宋体"/>
          <w:color w:val="auto"/>
          <w:sz w:val="24"/>
          <w:highlight w:val="none"/>
          <w:lang w:eastAsia="zh-CN"/>
        </w:rPr>
        <w:t>ZJWS2025--GS01</w:t>
      </w:r>
      <w:r>
        <w:rPr>
          <w:rFonts w:hint="eastAsia" w:ascii="仿宋" w:hAnsi="仿宋" w:eastAsia="仿宋" w:cs="宋体"/>
          <w:color w:val="auto"/>
          <w:sz w:val="24"/>
          <w:highlight w:val="none"/>
        </w:rPr>
        <w:t xml:space="preserve"> </w:t>
      </w:r>
    </w:p>
    <w:p w14:paraId="690E1DBF">
      <w:pPr>
        <w:spacing w:line="360" w:lineRule="auto"/>
        <w:ind w:firstLine="482" w:firstLineChars="200"/>
        <w:rPr>
          <w:rFonts w:hint="eastAsia" w:ascii="仿宋" w:hAnsi="仿宋" w:eastAsia="仿宋" w:cs="宋体"/>
          <w:color w:val="auto"/>
          <w:sz w:val="24"/>
          <w:highlight w:val="none"/>
          <w:lang w:eastAsia="zh-CN"/>
        </w:rPr>
      </w:pPr>
      <w:r>
        <w:rPr>
          <w:rFonts w:hint="eastAsia" w:ascii="仿宋" w:hAnsi="仿宋" w:eastAsia="仿宋" w:cs="宋体"/>
          <w:b/>
          <w:color w:val="auto"/>
          <w:sz w:val="24"/>
          <w:highlight w:val="none"/>
        </w:rPr>
        <w:t>项目名称：</w:t>
      </w:r>
      <w:r>
        <w:rPr>
          <w:rFonts w:hint="eastAsia" w:ascii="仿宋" w:hAnsi="仿宋" w:eastAsia="仿宋" w:cs="宋体"/>
          <w:b/>
          <w:color w:val="auto"/>
          <w:sz w:val="24"/>
          <w:highlight w:val="none"/>
          <w:lang w:eastAsia="zh-CN"/>
        </w:rPr>
        <w:t>“清净”拱墅多污染协同管控工程建设项目</w:t>
      </w:r>
    </w:p>
    <w:p w14:paraId="10A82B28">
      <w:pPr>
        <w:spacing w:line="360" w:lineRule="auto"/>
        <w:ind w:firstLine="482" w:firstLineChars="200"/>
        <w:rPr>
          <w:rFonts w:hint="default" w:ascii="仿宋" w:hAnsi="仿宋" w:eastAsia="仿宋" w:cs="宋体"/>
          <w:color w:val="auto"/>
          <w:sz w:val="24"/>
          <w:highlight w:val="none"/>
          <w:lang w:val="en-US" w:eastAsia="zh-CN"/>
        </w:rPr>
      </w:pPr>
      <w:r>
        <w:rPr>
          <w:rFonts w:hint="eastAsia" w:ascii="仿宋" w:hAnsi="仿宋" w:eastAsia="仿宋" w:cs="宋体"/>
          <w:b/>
          <w:color w:val="auto"/>
          <w:sz w:val="24"/>
          <w:highlight w:val="none"/>
        </w:rPr>
        <w:t>预算金额（元）：</w:t>
      </w:r>
      <w:r>
        <w:rPr>
          <w:rFonts w:hint="eastAsia" w:ascii="仿宋" w:hAnsi="仿宋" w:eastAsia="仿宋" w:cs="宋体"/>
          <w:b/>
          <w:color w:val="auto"/>
          <w:sz w:val="24"/>
          <w:highlight w:val="none"/>
          <w:lang w:val="en-US" w:eastAsia="zh-CN"/>
        </w:rPr>
        <w:t>3575000（其中标项1:1575000元；标项2:2000000元）</w:t>
      </w:r>
    </w:p>
    <w:p w14:paraId="7F8632FB">
      <w:pPr>
        <w:spacing w:line="360" w:lineRule="auto"/>
        <w:ind w:firstLine="482" w:firstLineChars="200"/>
        <w:rPr>
          <w:rFonts w:hint="default" w:ascii="仿宋" w:hAnsi="仿宋" w:eastAsia="仿宋" w:cs="宋体"/>
          <w:color w:val="auto"/>
          <w:sz w:val="24"/>
          <w:highlight w:val="none"/>
          <w:lang w:val="en-US" w:eastAsia="zh-CN"/>
        </w:rPr>
      </w:pPr>
      <w:r>
        <w:rPr>
          <w:rFonts w:hint="eastAsia" w:ascii="仿宋" w:hAnsi="仿宋" w:eastAsia="仿宋" w:cs="宋体"/>
          <w:b/>
          <w:color w:val="auto"/>
          <w:sz w:val="24"/>
          <w:highlight w:val="none"/>
        </w:rPr>
        <w:t>最高限价（元）：</w:t>
      </w:r>
      <w:r>
        <w:rPr>
          <w:rFonts w:hint="eastAsia" w:ascii="仿宋" w:hAnsi="仿宋" w:eastAsia="仿宋" w:cs="宋体"/>
          <w:b/>
          <w:color w:val="auto"/>
          <w:sz w:val="24"/>
          <w:highlight w:val="none"/>
          <w:lang w:val="en-US" w:eastAsia="zh-CN"/>
        </w:rPr>
        <w:t>3575000（其中标项1:1575000元；标项2:2000000元）</w:t>
      </w:r>
    </w:p>
    <w:p w14:paraId="1FF962D0">
      <w:pPr>
        <w:widowControl/>
        <w:snapToGrid w:val="0"/>
        <w:spacing w:line="360" w:lineRule="auto"/>
        <w:ind w:left="0" w:leftChars="0" w:firstLine="482" w:firstLineChars="200"/>
        <w:jc w:val="left"/>
        <w:rPr>
          <w:rFonts w:hint="eastAsia" w:ascii="仿宋" w:hAnsi="仿宋" w:eastAsia="仿宋" w:cs="Arial"/>
          <w:b w:val="0"/>
          <w:bCs/>
          <w:color w:val="auto"/>
          <w:sz w:val="24"/>
          <w:highlight w:val="none"/>
        </w:rPr>
      </w:pPr>
      <w:r>
        <w:rPr>
          <w:rFonts w:hint="eastAsia" w:ascii="仿宋" w:hAnsi="仿宋" w:eastAsia="仿宋" w:cs="宋体"/>
          <w:b/>
          <w:color w:val="auto"/>
          <w:sz w:val="24"/>
          <w:highlight w:val="none"/>
        </w:rPr>
        <w:t>简要规格描述或项目基本概况介绍、用途：</w:t>
      </w:r>
      <w:r>
        <w:rPr>
          <w:rFonts w:hint="eastAsia" w:ascii="仿宋" w:hAnsi="仿宋" w:eastAsia="仿宋" w:cs="Arial"/>
          <w:b w:val="0"/>
          <w:bCs/>
          <w:color w:val="auto"/>
          <w:sz w:val="24"/>
          <w:highlight w:val="none"/>
        </w:rPr>
        <w:t>具体以招标文件《第三章 采购需求》为准。</w:t>
      </w:r>
    </w:p>
    <w:p w14:paraId="289CA42D">
      <w:pPr>
        <w:widowControl/>
        <w:snapToGrid w:val="0"/>
        <w:spacing w:line="360" w:lineRule="auto"/>
        <w:ind w:firstLine="482" w:firstLineChars="200"/>
        <w:jc w:val="left"/>
        <w:rPr>
          <w:rFonts w:hint="eastAsia" w:ascii="仿宋" w:hAnsi="仿宋" w:eastAsia="仿宋" w:cs="Arial"/>
          <w:b w:val="0"/>
          <w:bCs w:val="0"/>
          <w:color w:val="auto"/>
          <w:sz w:val="24"/>
          <w:highlight w:val="none"/>
          <w:lang w:val="en-US" w:eastAsia="zh-CN"/>
        </w:rPr>
      </w:pPr>
      <w:r>
        <w:rPr>
          <w:rFonts w:hint="eastAsia" w:ascii="仿宋" w:hAnsi="仿宋" w:eastAsia="仿宋" w:cs="Arial"/>
          <w:b/>
          <w:color w:val="auto"/>
          <w:sz w:val="24"/>
          <w:highlight w:val="none"/>
        </w:rPr>
        <w:t>合同履约期限</w:t>
      </w:r>
      <w:r>
        <w:rPr>
          <w:rFonts w:hint="eastAsia" w:ascii="仿宋" w:hAnsi="仿宋" w:eastAsia="仿宋" w:cs="Arial"/>
          <w:b/>
          <w:color w:val="auto"/>
          <w:sz w:val="24"/>
          <w:highlight w:val="none"/>
        </w:rPr>
        <w:t>：</w:t>
      </w:r>
      <w:r>
        <w:rPr>
          <w:rFonts w:hint="eastAsia" w:ascii="仿宋" w:hAnsi="仿宋" w:eastAsia="仿宋" w:cs="Arial"/>
          <w:b/>
          <w:bCs w:val="0"/>
          <w:color w:val="auto"/>
          <w:sz w:val="24"/>
          <w:highlight w:val="none"/>
          <w:lang w:val="en-US" w:eastAsia="zh-CN"/>
        </w:rPr>
        <w:t>标项1：</w:t>
      </w:r>
      <w:r>
        <w:rPr>
          <w:rFonts w:hint="eastAsia" w:ascii="仿宋" w:hAnsi="仿宋" w:eastAsia="仿宋" w:cs="Arial"/>
          <w:b w:val="0"/>
          <w:bCs/>
          <w:color w:val="auto"/>
          <w:sz w:val="24"/>
          <w:highlight w:val="none"/>
          <w:lang w:val="en-US" w:eastAsia="zh-CN"/>
        </w:rPr>
        <w:t>签订合同且完全具备施工条件后3个月内完成3D微气象调控系统及颗粒物激光雷达设备安装、调试</w:t>
      </w:r>
      <w:r>
        <w:rPr>
          <w:rFonts w:hint="eastAsia" w:ascii="仿宋" w:hAnsi="仿宋" w:eastAsia="仿宋" w:cs="仿宋"/>
          <w:b w:val="0"/>
          <w:bCs/>
          <w:color w:val="auto"/>
          <w:sz w:val="24"/>
          <w:highlight w:val="none"/>
        </w:rPr>
        <w:t>，</w:t>
      </w:r>
      <w:r>
        <w:rPr>
          <w:rFonts w:hint="eastAsia" w:ascii="仿宋" w:hAnsi="仿宋" w:eastAsia="仿宋" w:cs="仿宋"/>
          <w:b w:val="0"/>
          <w:bCs w:val="0"/>
          <w:color w:val="auto"/>
          <w:sz w:val="24"/>
          <w:highlight w:val="none"/>
        </w:rPr>
        <w:t>布局应科学合理，统一规划。安装完成后需尽快完成调试，确保设备正常运行</w:t>
      </w:r>
      <w:r>
        <w:rPr>
          <w:rFonts w:hint="eastAsia" w:ascii="仿宋" w:hAnsi="仿宋" w:eastAsia="仿宋" w:cs="Arial"/>
          <w:b w:val="0"/>
          <w:bCs w:val="0"/>
          <w:color w:val="auto"/>
          <w:sz w:val="24"/>
          <w:highlight w:val="none"/>
          <w:lang w:val="en-US" w:eastAsia="zh-CN"/>
        </w:rPr>
        <w:t>。</w:t>
      </w:r>
      <w:r>
        <w:rPr>
          <w:rFonts w:hint="eastAsia" w:ascii="仿宋" w:hAnsi="仿宋" w:eastAsia="仿宋" w:cs="Arial"/>
          <w:b/>
          <w:bCs/>
          <w:color w:val="auto"/>
          <w:sz w:val="24"/>
          <w:highlight w:val="none"/>
          <w:lang w:val="en-US" w:eastAsia="zh-CN"/>
        </w:rPr>
        <w:t>标项2：</w:t>
      </w:r>
      <w:r>
        <w:rPr>
          <w:rFonts w:hint="eastAsia" w:ascii="仿宋" w:hAnsi="仿宋" w:eastAsia="仿宋" w:cs="Arial"/>
          <w:b w:val="0"/>
          <w:bCs w:val="0"/>
          <w:color w:val="auto"/>
          <w:sz w:val="24"/>
          <w:highlight w:val="none"/>
          <w:lang w:val="en-US" w:eastAsia="zh-CN"/>
        </w:rPr>
        <w:t>合同签订后提交服务方案，经甲方确认后在 30天内完成设备点位的安装和调试，投入使用后进入三年服务期。服务期间提供季度及年度数据分析报告。</w:t>
      </w:r>
    </w:p>
    <w:p w14:paraId="6DF4469D">
      <w:pPr>
        <w:widowControl/>
        <w:snapToGrid w:val="0"/>
        <w:spacing w:line="360" w:lineRule="auto"/>
        <w:ind w:firstLine="482" w:firstLineChars="200"/>
        <w:jc w:val="left"/>
        <w:rPr>
          <w:rFonts w:hint="eastAsia" w:ascii="仿宋" w:hAnsi="仿宋" w:eastAsia="仿宋" w:cs="Arial"/>
          <w:b/>
          <w:color w:val="auto"/>
          <w:sz w:val="24"/>
          <w:highlight w:val="none"/>
        </w:rPr>
      </w:pPr>
      <w:r>
        <w:rPr>
          <w:rFonts w:hint="eastAsia" w:ascii="仿宋" w:hAnsi="仿宋" w:eastAsia="仿宋" w:cs="Arial"/>
          <w:b/>
          <w:color w:val="auto"/>
          <w:sz w:val="24"/>
          <w:highlight w:val="none"/>
        </w:rPr>
        <w:t>本项目接受联合体投标：☑是；☐否。</w:t>
      </w:r>
    </w:p>
    <w:p w14:paraId="6F16FF63">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二、申请人的资格要求：</w:t>
      </w:r>
    </w:p>
    <w:p w14:paraId="506AA68E">
      <w:pPr>
        <w:spacing w:line="440" w:lineRule="exact"/>
        <w:ind w:firstLine="480"/>
        <w:rPr>
          <w:rFonts w:ascii="仿宋" w:hAnsi="仿宋" w:eastAsia="仿宋" w:cs="仿宋"/>
          <w:snapToGrid w:val="0"/>
          <w:color w:val="auto"/>
          <w:kern w:val="28"/>
          <w:sz w:val="24"/>
          <w:highlight w:val="none"/>
        </w:rPr>
      </w:pPr>
      <w:bookmarkStart w:id="2" w:name="_Toc28359004"/>
      <w:bookmarkStart w:id="3" w:name="_Toc28359081"/>
      <w:bookmarkStart w:id="4" w:name="_Toc35393792"/>
      <w:bookmarkStart w:id="5" w:name="_Toc35393623"/>
      <w:r>
        <w:rPr>
          <w:rFonts w:hint="eastAsia" w:ascii="仿宋" w:hAnsi="仿宋" w:eastAsia="仿宋" w:cs="仿宋"/>
          <w:snapToGrid w:val="0"/>
          <w:color w:val="auto"/>
          <w:kern w:val="28"/>
          <w:sz w:val="24"/>
          <w:highlight w:val="none"/>
        </w:rPr>
        <w:t>1.</w:t>
      </w:r>
      <w:r>
        <w:rPr>
          <w:rFonts w:ascii="仿宋" w:hAnsi="仿宋" w:eastAsia="仿宋" w:cs="仿宋"/>
          <w:snapToGrid w:val="0"/>
          <w:color w:val="auto"/>
          <w:kern w:val="28"/>
          <w:sz w:val="24"/>
          <w:highlight w:val="none"/>
        </w:rPr>
        <w:t xml:space="preserve"> </w:t>
      </w:r>
      <w:r>
        <w:rPr>
          <w:rFonts w:hint="eastAsia" w:ascii="仿宋" w:hAnsi="仿宋" w:eastAsia="仿宋" w:cs="仿宋"/>
          <w:snapToGrid w:val="0"/>
          <w:color w:val="auto"/>
          <w:kern w:val="28"/>
          <w:sz w:val="24"/>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14:paraId="26C2BB0C">
      <w:pPr>
        <w:spacing w:line="440" w:lineRule="exact"/>
        <w:ind w:firstLine="48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2.以联合体形式投标的，提供联合协议(本项目不接受联合体投标或者投标人不以联合体形式投标的，则不需要提供) ；</w:t>
      </w:r>
    </w:p>
    <w:p w14:paraId="46C79BA9">
      <w:pPr>
        <w:spacing w:line="440" w:lineRule="exact"/>
        <w:ind w:firstLine="48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lang w:val="en-US" w:eastAsia="zh-CN"/>
        </w:rPr>
        <w:t>3</w:t>
      </w:r>
      <w:r>
        <w:rPr>
          <w:rFonts w:hint="eastAsia" w:ascii="仿宋" w:hAnsi="仿宋" w:eastAsia="仿宋" w:cs="仿宋"/>
          <w:snapToGrid w:val="0"/>
          <w:color w:val="auto"/>
          <w:kern w:val="28"/>
          <w:sz w:val="24"/>
          <w:highlight w:val="none"/>
        </w:rPr>
        <w:t>. 落实政府采购政策需满足的资格要求：</w:t>
      </w:r>
    </w:p>
    <w:p w14:paraId="0C1F571D">
      <w:pPr>
        <w:spacing w:line="440" w:lineRule="exact"/>
        <w:ind w:firstLine="48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lang w:val="en-US" w:eastAsia="zh-CN"/>
        </w:rPr>
        <w:t>标项1：</w:t>
      </w:r>
      <w:r>
        <w:rPr>
          <w:rFonts w:hint="eastAsia" w:ascii="仿宋" w:hAnsi="仿宋" w:eastAsia="仿宋" w:cs="仿宋"/>
          <w:snapToGrid w:val="0"/>
          <w:color w:val="auto"/>
          <w:kern w:val="28"/>
          <w:sz w:val="24"/>
          <w:highlight w:val="none"/>
        </w:rPr>
        <w:t>专门面向中小企业采购，</w:t>
      </w:r>
      <w:r>
        <w:rPr>
          <w:rFonts w:hint="eastAsia" w:ascii="仿宋" w:hAnsi="仿宋" w:eastAsia="仿宋" w:cs="仿宋"/>
          <w:snapToGrid w:val="0"/>
          <w:color w:val="auto"/>
          <w:kern w:val="28"/>
          <w:sz w:val="24"/>
          <w:highlight w:val="none"/>
        </w:rPr>
        <w:t>供应商所提供的货物必须全部由符合政策要求的中小企业制造（中小企业划分标准对应行业为“工业”，符合要求的监狱企业和残疾人福利性单位视同为小微企业）；</w:t>
      </w:r>
    </w:p>
    <w:p w14:paraId="1EF5C75A">
      <w:pPr>
        <w:spacing w:line="440" w:lineRule="exact"/>
        <w:ind w:firstLine="48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lang w:val="en-US" w:eastAsia="zh-CN"/>
        </w:rPr>
        <w:t>标项2：</w:t>
      </w:r>
      <w:r>
        <w:rPr>
          <w:rFonts w:hint="eastAsia" w:ascii="仿宋" w:hAnsi="仿宋" w:eastAsia="仿宋" w:cs="仿宋"/>
          <w:snapToGrid w:val="0"/>
          <w:color w:val="auto"/>
          <w:kern w:val="28"/>
          <w:sz w:val="24"/>
          <w:highlight w:val="none"/>
        </w:rPr>
        <w:t>专门面向中小企业采购，服务全部由符合政策要求的中小企业承接（中小企业划分标准对应行业为“其他未列明行业”，符合要求的监狱企业和残疾人福利性单位视同为小微企业）；</w:t>
      </w:r>
    </w:p>
    <w:p w14:paraId="4CD8F4D3">
      <w:pPr>
        <w:numPr>
          <w:ilvl w:val="0"/>
          <w:numId w:val="0"/>
        </w:numPr>
        <w:spacing w:line="440" w:lineRule="exact"/>
        <w:ind w:firstLine="480" w:firstLineChars="0"/>
        <w:rPr>
          <w:rFonts w:hint="eastAsia" w:ascii="仿宋" w:hAnsi="仿宋" w:eastAsia="仿宋" w:cs="仿宋"/>
          <w:color w:val="auto"/>
          <w:sz w:val="24"/>
          <w:highlight w:val="none"/>
        </w:rPr>
      </w:pPr>
      <w:r>
        <w:rPr>
          <w:rFonts w:hint="eastAsia" w:ascii="仿宋" w:hAnsi="仿宋" w:eastAsia="仿宋" w:cs="仿宋"/>
          <w:color w:val="auto"/>
          <w:kern w:val="2"/>
          <w:sz w:val="24"/>
          <w:szCs w:val="24"/>
          <w:highlight w:val="none"/>
          <w:lang w:val="en-US" w:eastAsia="zh-CN" w:bidi="ar-SA"/>
        </w:rPr>
        <w:t>4.</w:t>
      </w:r>
      <w:r>
        <w:rPr>
          <w:rFonts w:hint="eastAsia" w:ascii="仿宋" w:hAnsi="仿宋" w:eastAsia="仿宋" w:cs="仿宋"/>
          <w:color w:val="auto"/>
          <w:sz w:val="24"/>
          <w:highlight w:val="none"/>
        </w:rPr>
        <w:t>本项目的特定资格要求：</w:t>
      </w:r>
      <w:r>
        <w:rPr>
          <w:rFonts w:hint="eastAsia" w:ascii="仿宋" w:hAnsi="仿宋" w:eastAsia="仿宋" w:cs="仿宋"/>
          <w:color w:val="auto"/>
          <w:sz w:val="24"/>
          <w:highlight w:val="none"/>
          <w:lang w:val="en-US" w:eastAsia="zh-CN"/>
        </w:rPr>
        <w:t>无</w:t>
      </w:r>
      <w:r>
        <w:rPr>
          <w:rFonts w:hint="eastAsia" w:ascii="仿宋" w:hAnsi="仿宋" w:eastAsia="仿宋" w:cs="仿宋"/>
          <w:color w:val="auto"/>
          <w:sz w:val="24"/>
          <w:highlight w:val="none"/>
        </w:rPr>
        <w:t>。</w:t>
      </w:r>
      <w:bookmarkEnd w:id="2"/>
      <w:bookmarkEnd w:id="3"/>
      <w:bookmarkEnd w:id="4"/>
      <w:bookmarkEnd w:id="5"/>
    </w:p>
    <w:p w14:paraId="73997308">
      <w:pPr>
        <w:numPr>
          <w:ilvl w:val="0"/>
          <w:numId w:val="0"/>
        </w:numPr>
        <w:spacing w:line="440" w:lineRule="exact"/>
        <w:ind w:firstLine="480" w:firstLineChars="0"/>
        <w:rPr>
          <w:rFonts w:hint="eastAsia" w:ascii="仿宋" w:hAnsi="仿宋" w:eastAsia="仿宋" w:cs="仿宋"/>
          <w:snapToGrid w:val="0"/>
          <w:color w:val="auto"/>
          <w:kern w:val="28"/>
          <w:sz w:val="24"/>
          <w:highlight w:val="none"/>
          <w:lang w:val="en-US" w:eastAsia="zh-CN"/>
        </w:rPr>
      </w:pPr>
      <w:r>
        <w:rPr>
          <w:rFonts w:hint="eastAsia" w:ascii="仿宋" w:hAnsi="仿宋" w:eastAsia="仿宋" w:cs="仿宋"/>
          <w:snapToGrid w:val="0"/>
          <w:color w:val="auto"/>
          <w:kern w:val="28"/>
          <w:sz w:val="24"/>
          <w:highlight w:val="none"/>
          <w:lang w:val="en-US" w:eastAsia="zh-CN"/>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AFF33F4">
      <w:pPr>
        <w:spacing w:before="120" w:beforeLines="50"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三、获取招标文件</w:t>
      </w:r>
    </w:p>
    <w:p w14:paraId="5376C4D3">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时间：</w:t>
      </w:r>
      <w:r>
        <w:rPr>
          <w:rFonts w:hint="eastAsia" w:ascii="仿宋" w:hAnsi="仿宋" w:eastAsia="仿宋" w:cs="宋体"/>
          <w:color w:val="auto"/>
          <w:sz w:val="24"/>
          <w:highlight w:val="none"/>
        </w:rPr>
        <w:t>/至</w:t>
      </w:r>
      <w:r>
        <w:rPr>
          <w:rFonts w:hint="eastAsia" w:ascii="仿宋" w:hAnsi="仿宋" w:eastAsia="仿宋" w:cs="宋体"/>
          <w:color w:val="auto"/>
          <w:sz w:val="24"/>
          <w:highlight w:val="none"/>
          <w:u w:val="single"/>
          <w:lang w:eastAsia="zh-CN"/>
        </w:rPr>
        <w:t>2025年</w:t>
      </w:r>
      <w:r>
        <w:rPr>
          <w:rFonts w:hint="eastAsia" w:ascii="仿宋" w:hAnsi="仿宋" w:eastAsia="仿宋" w:cs="宋体"/>
          <w:color w:val="auto"/>
          <w:sz w:val="24"/>
          <w:highlight w:val="none"/>
          <w:u w:val="single"/>
          <w:lang w:val="en-US" w:eastAsia="zh-CN"/>
        </w:rPr>
        <w:t>07</w:t>
      </w:r>
      <w:r>
        <w:rPr>
          <w:rFonts w:hint="eastAsia" w:ascii="仿宋" w:hAnsi="仿宋" w:eastAsia="仿宋" w:cs="宋体"/>
          <w:color w:val="auto"/>
          <w:sz w:val="24"/>
          <w:highlight w:val="none"/>
          <w:u w:val="single"/>
        </w:rPr>
        <w:t>月</w:t>
      </w:r>
      <w:r>
        <w:rPr>
          <w:rFonts w:hint="eastAsia" w:ascii="仿宋" w:hAnsi="仿宋" w:eastAsia="仿宋" w:cs="宋体"/>
          <w:color w:val="auto"/>
          <w:sz w:val="24"/>
          <w:highlight w:val="none"/>
          <w:u w:val="single"/>
          <w:lang w:val="en-US" w:eastAsia="zh-CN"/>
        </w:rPr>
        <w:t>14</w:t>
      </w:r>
      <w:r>
        <w:rPr>
          <w:rFonts w:hint="eastAsia" w:ascii="仿宋" w:hAnsi="仿宋" w:eastAsia="仿宋" w:cs="宋体"/>
          <w:color w:val="auto"/>
          <w:sz w:val="24"/>
          <w:highlight w:val="none"/>
          <w:u w:val="single"/>
        </w:rPr>
        <w:t>日</w:t>
      </w:r>
      <w:r>
        <w:rPr>
          <w:rFonts w:hint="eastAsia" w:ascii="仿宋" w:hAnsi="仿宋" w:eastAsia="仿宋" w:cs="宋体"/>
          <w:color w:val="auto"/>
          <w:sz w:val="24"/>
          <w:highlight w:val="none"/>
        </w:rPr>
        <w:t>，每天上午00:00至12:00，下午12:00至23:59（北京时间，线上获取法定节假日均可，线下获取文件法定节假日除外）</w:t>
      </w:r>
    </w:p>
    <w:p w14:paraId="55D62A01">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地点（网址）：</w:t>
      </w:r>
      <w:r>
        <w:rPr>
          <w:rFonts w:hint="eastAsia" w:ascii="仿宋" w:hAnsi="仿宋" w:eastAsia="仿宋" w:cs="宋体"/>
          <w:color w:val="auto"/>
          <w:sz w:val="24"/>
          <w:highlight w:val="none"/>
        </w:rPr>
        <w:t>政采云平台（https://www.zcygov.cn/）</w:t>
      </w:r>
    </w:p>
    <w:p w14:paraId="60DF3149">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方式：</w:t>
      </w:r>
      <w:r>
        <w:rPr>
          <w:rFonts w:hint="eastAsia" w:ascii="仿宋" w:hAnsi="仿宋" w:eastAsia="仿宋" w:cs="宋体"/>
          <w:color w:val="auto"/>
          <w:sz w:val="24"/>
          <w:highlight w:val="none"/>
        </w:rPr>
        <w:t>供应商登录政采云平台https://www.zcygov.cn/在线申请获取采购文件（进入“项目采购”应用，在获取采购文件菜单中选择项目，申请获取采购文件）。</w:t>
      </w:r>
    </w:p>
    <w:p w14:paraId="35A71A8B">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售价（元）：</w:t>
      </w:r>
      <w:r>
        <w:rPr>
          <w:rFonts w:hint="eastAsia" w:ascii="仿宋" w:hAnsi="仿宋" w:eastAsia="仿宋" w:cs="宋体"/>
          <w:color w:val="auto"/>
          <w:sz w:val="24"/>
          <w:highlight w:val="none"/>
        </w:rPr>
        <w:t>0</w:t>
      </w:r>
      <w:r>
        <w:rPr>
          <w:rFonts w:hint="eastAsia" w:ascii="仿宋" w:hAnsi="仿宋" w:eastAsia="仿宋" w:cs="宋体"/>
          <w:color w:val="auto"/>
          <w:sz w:val="24"/>
          <w:highlight w:val="none"/>
        </w:rPr>
        <w:tab/>
      </w:r>
    </w:p>
    <w:p w14:paraId="274E137D">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四、提交投标文件截止时间、开标时间和地点</w:t>
      </w:r>
    </w:p>
    <w:p w14:paraId="79AC4C6E">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提交投标文件截止时间：</w:t>
      </w:r>
      <w:r>
        <w:rPr>
          <w:rFonts w:hint="eastAsia" w:ascii="仿宋" w:hAnsi="仿宋" w:eastAsia="仿宋" w:cs="宋体"/>
          <w:color w:val="auto"/>
          <w:sz w:val="24"/>
          <w:highlight w:val="none"/>
          <w:u w:val="single"/>
          <w:lang w:eastAsia="zh-CN"/>
        </w:rPr>
        <w:t>2025年</w:t>
      </w:r>
      <w:r>
        <w:rPr>
          <w:rFonts w:hint="eastAsia" w:ascii="仿宋" w:hAnsi="仿宋" w:eastAsia="仿宋" w:cs="宋体"/>
          <w:color w:val="auto"/>
          <w:sz w:val="24"/>
          <w:highlight w:val="none"/>
          <w:u w:val="single"/>
          <w:lang w:val="en-US" w:eastAsia="zh-CN"/>
        </w:rPr>
        <w:t>07</w:t>
      </w:r>
      <w:r>
        <w:rPr>
          <w:rFonts w:hint="eastAsia" w:ascii="仿宋" w:hAnsi="仿宋" w:eastAsia="仿宋" w:cs="宋体"/>
          <w:color w:val="auto"/>
          <w:sz w:val="24"/>
          <w:highlight w:val="none"/>
          <w:u w:val="single"/>
        </w:rPr>
        <w:t>月</w:t>
      </w:r>
      <w:r>
        <w:rPr>
          <w:rFonts w:hint="eastAsia" w:ascii="仿宋" w:hAnsi="仿宋" w:eastAsia="仿宋" w:cs="宋体"/>
          <w:color w:val="auto"/>
          <w:sz w:val="24"/>
          <w:highlight w:val="none"/>
          <w:u w:val="single"/>
          <w:lang w:val="en-US" w:eastAsia="zh-CN"/>
        </w:rPr>
        <w:t>14</w:t>
      </w:r>
      <w:r>
        <w:rPr>
          <w:rFonts w:hint="eastAsia" w:ascii="仿宋" w:hAnsi="仿宋" w:eastAsia="仿宋" w:cs="宋体"/>
          <w:color w:val="auto"/>
          <w:sz w:val="24"/>
          <w:highlight w:val="none"/>
          <w:u w:val="single"/>
        </w:rPr>
        <w:t>日</w:t>
      </w:r>
      <w:r>
        <w:rPr>
          <w:rFonts w:hint="eastAsia" w:ascii="仿宋" w:hAnsi="仿宋" w:eastAsia="仿宋" w:cs="宋体"/>
          <w:color w:val="auto"/>
          <w:sz w:val="24"/>
          <w:highlight w:val="none"/>
          <w:u w:val="single"/>
          <w:lang w:val="en-US" w:eastAsia="zh-CN"/>
        </w:rPr>
        <w:t>09</w:t>
      </w:r>
      <w:r>
        <w:rPr>
          <w:rFonts w:hint="eastAsia" w:ascii="仿宋" w:hAnsi="仿宋" w:eastAsia="仿宋" w:cs="宋体"/>
          <w:color w:val="auto"/>
          <w:sz w:val="24"/>
          <w:highlight w:val="none"/>
          <w:u w:val="single"/>
        </w:rPr>
        <w:t>点</w:t>
      </w:r>
      <w:r>
        <w:rPr>
          <w:rFonts w:hint="eastAsia" w:ascii="仿宋" w:hAnsi="仿宋" w:eastAsia="仿宋" w:cs="宋体"/>
          <w:color w:val="auto"/>
          <w:sz w:val="24"/>
          <w:highlight w:val="none"/>
          <w:u w:val="single"/>
          <w:lang w:val="en-US" w:eastAsia="zh-CN"/>
        </w:rPr>
        <w:t>00</w:t>
      </w:r>
      <w:r>
        <w:rPr>
          <w:rFonts w:hint="eastAsia" w:ascii="仿宋" w:hAnsi="仿宋" w:eastAsia="仿宋" w:cs="宋体"/>
          <w:color w:val="auto"/>
          <w:sz w:val="24"/>
          <w:highlight w:val="none"/>
          <w:u w:val="single"/>
        </w:rPr>
        <w:t>分00秒</w:t>
      </w:r>
      <w:r>
        <w:rPr>
          <w:rFonts w:hint="eastAsia" w:ascii="仿宋" w:hAnsi="仿宋" w:eastAsia="仿宋" w:cs="宋体"/>
          <w:color w:val="auto"/>
          <w:sz w:val="24"/>
          <w:highlight w:val="none"/>
        </w:rPr>
        <w:t>（北京时间）</w:t>
      </w:r>
    </w:p>
    <w:p w14:paraId="3D5842D3">
      <w:pPr>
        <w:spacing w:line="360" w:lineRule="auto"/>
        <w:ind w:firstLine="482" w:firstLineChars="200"/>
        <w:rPr>
          <w:rFonts w:ascii="仿宋" w:hAnsi="仿宋" w:eastAsia="仿宋" w:cs="宋体"/>
          <w:b/>
          <w:color w:val="auto"/>
          <w:sz w:val="24"/>
          <w:highlight w:val="none"/>
        </w:rPr>
      </w:pPr>
      <w:r>
        <w:rPr>
          <w:rFonts w:hint="eastAsia" w:ascii="仿宋" w:hAnsi="仿宋" w:eastAsia="仿宋" w:cs="宋体"/>
          <w:b/>
          <w:color w:val="auto"/>
          <w:sz w:val="24"/>
          <w:highlight w:val="none"/>
        </w:rPr>
        <w:t>投标地点（网址）：请登录政采云投标客户端投标</w:t>
      </w:r>
    </w:p>
    <w:p w14:paraId="6E81D4F7">
      <w:pPr>
        <w:spacing w:line="360" w:lineRule="auto"/>
        <w:ind w:firstLine="482" w:firstLineChars="200"/>
        <w:rPr>
          <w:rFonts w:ascii="仿宋" w:hAnsi="仿宋" w:eastAsia="仿宋" w:cs="宋体"/>
          <w:bCs/>
          <w:color w:val="auto"/>
          <w:sz w:val="24"/>
          <w:highlight w:val="none"/>
          <w:u w:val="single"/>
        </w:rPr>
      </w:pPr>
      <w:r>
        <w:rPr>
          <w:rFonts w:hint="eastAsia" w:ascii="仿宋" w:hAnsi="仿宋" w:eastAsia="仿宋" w:cs="宋体"/>
          <w:b/>
          <w:color w:val="auto"/>
          <w:sz w:val="24"/>
          <w:highlight w:val="none"/>
        </w:rPr>
        <w:t>开标时间：</w:t>
      </w:r>
      <w:r>
        <w:rPr>
          <w:rFonts w:hint="eastAsia" w:ascii="仿宋" w:hAnsi="仿宋" w:eastAsia="仿宋" w:cs="宋体"/>
          <w:color w:val="auto"/>
          <w:sz w:val="24"/>
          <w:highlight w:val="none"/>
          <w:u w:val="single"/>
          <w:lang w:eastAsia="zh-CN"/>
        </w:rPr>
        <w:t>2025年</w:t>
      </w:r>
      <w:r>
        <w:rPr>
          <w:rFonts w:hint="eastAsia" w:ascii="仿宋" w:hAnsi="仿宋" w:eastAsia="仿宋" w:cs="宋体"/>
          <w:color w:val="auto"/>
          <w:sz w:val="24"/>
          <w:highlight w:val="none"/>
          <w:u w:val="single"/>
          <w:lang w:val="en-US" w:eastAsia="zh-CN"/>
        </w:rPr>
        <w:t>07</w:t>
      </w:r>
      <w:r>
        <w:rPr>
          <w:rFonts w:hint="eastAsia" w:ascii="仿宋" w:hAnsi="仿宋" w:eastAsia="仿宋" w:cs="宋体"/>
          <w:color w:val="auto"/>
          <w:sz w:val="24"/>
          <w:highlight w:val="none"/>
          <w:u w:val="single"/>
        </w:rPr>
        <w:t>月</w:t>
      </w:r>
      <w:r>
        <w:rPr>
          <w:rFonts w:hint="eastAsia" w:ascii="仿宋" w:hAnsi="仿宋" w:eastAsia="仿宋" w:cs="宋体"/>
          <w:color w:val="auto"/>
          <w:sz w:val="24"/>
          <w:highlight w:val="none"/>
          <w:u w:val="single"/>
          <w:lang w:val="en-US" w:eastAsia="zh-CN"/>
        </w:rPr>
        <w:t>14</w:t>
      </w:r>
      <w:r>
        <w:rPr>
          <w:rFonts w:hint="eastAsia" w:ascii="仿宋" w:hAnsi="仿宋" w:eastAsia="仿宋" w:cs="宋体"/>
          <w:color w:val="auto"/>
          <w:sz w:val="24"/>
          <w:highlight w:val="none"/>
          <w:u w:val="single"/>
        </w:rPr>
        <w:t>日</w:t>
      </w:r>
      <w:r>
        <w:rPr>
          <w:rFonts w:hint="eastAsia" w:ascii="仿宋" w:hAnsi="仿宋" w:eastAsia="仿宋" w:cs="宋体"/>
          <w:color w:val="auto"/>
          <w:sz w:val="24"/>
          <w:highlight w:val="none"/>
          <w:u w:val="single"/>
          <w:lang w:val="en-US" w:eastAsia="zh-CN"/>
        </w:rPr>
        <w:t>09</w:t>
      </w:r>
      <w:r>
        <w:rPr>
          <w:rFonts w:hint="eastAsia" w:ascii="仿宋" w:hAnsi="仿宋" w:eastAsia="仿宋" w:cs="宋体"/>
          <w:color w:val="auto"/>
          <w:sz w:val="24"/>
          <w:highlight w:val="none"/>
          <w:u w:val="single"/>
        </w:rPr>
        <w:t>点</w:t>
      </w:r>
      <w:r>
        <w:rPr>
          <w:rFonts w:hint="eastAsia" w:ascii="仿宋" w:hAnsi="仿宋" w:eastAsia="仿宋" w:cs="宋体"/>
          <w:color w:val="auto"/>
          <w:sz w:val="24"/>
          <w:highlight w:val="none"/>
          <w:u w:val="single"/>
          <w:lang w:val="en-US" w:eastAsia="zh-CN"/>
        </w:rPr>
        <w:t>00</w:t>
      </w:r>
      <w:r>
        <w:rPr>
          <w:rFonts w:hint="eastAsia" w:ascii="仿宋" w:hAnsi="仿宋" w:eastAsia="仿宋" w:cs="宋体"/>
          <w:color w:val="auto"/>
          <w:sz w:val="24"/>
          <w:highlight w:val="none"/>
          <w:u w:val="single"/>
        </w:rPr>
        <w:t>分00秒</w:t>
      </w:r>
      <w:r>
        <w:rPr>
          <w:rFonts w:hint="eastAsia" w:ascii="仿宋" w:hAnsi="仿宋" w:eastAsia="仿宋" w:cs="宋体"/>
          <w:bCs/>
          <w:color w:val="auto"/>
          <w:sz w:val="24"/>
          <w:highlight w:val="none"/>
        </w:rPr>
        <w:t>（北京时间）</w:t>
      </w:r>
    </w:p>
    <w:p w14:paraId="685C3FA7">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开标地点（网址）：政采云平台（https://www.zcygov.cn/）</w:t>
      </w:r>
    </w:p>
    <w:p w14:paraId="4E3354E3">
      <w:pPr>
        <w:spacing w:line="360" w:lineRule="auto"/>
        <w:rPr>
          <w:rFonts w:ascii="仿宋" w:hAnsi="仿宋" w:eastAsia="仿宋" w:cs="宋体"/>
          <w:color w:val="auto"/>
          <w:sz w:val="24"/>
          <w:highlight w:val="none"/>
        </w:rPr>
      </w:pPr>
      <w:r>
        <w:rPr>
          <w:rFonts w:hint="eastAsia" w:ascii="仿宋" w:hAnsi="仿宋" w:eastAsia="仿宋" w:cs="宋体"/>
          <w:b/>
          <w:color w:val="auto"/>
          <w:sz w:val="24"/>
          <w:highlight w:val="none"/>
        </w:rPr>
        <w:t>五、公告期限</w:t>
      </w:r>
    </w:p>
    <w:p w14:paraId="21D5470B">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自本公告发布之日起5个工作日。</w:t>
      </w:r>
    </w:p>
    <w:p w14:paraId="74A91762">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六、其他补充事宜</w:t>
      </w:r>
    </w:p>
    <w:p w14:paraId="7361E2BB">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DA561C5">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BC81DAF">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69E2230">
      <w:pPr>
        <w:snapToGrid w:val="0"/>
        <w:spacing w:line="440" w:lineRule="exact"/>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4.</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其他事项：</w:t>
      </w:r>
    </w:p>
    <w:p w14:paraId="20A2CFD9">
      <w:pPr>
        <w:snapToGrid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（1）需要落实的政府采购政策：包括节约资源、保护环境、支持创新、促进中小企业发展等。详见招标文件的第二部分总则。</w:t>
      </w:r>
    </w:p>
    <w:p w14:paraId="15BBFB75">
      <w:pPr>
        <w:snapToGrid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14:paraId="735AB5EA">
      <w:pPr>
        <w:snapToGrid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（3）招标文件公告期限与招标公告的公告期限一致。</w:t>
      </w:r>
    </w:p>
    <w:p w14:paraId="13CFE14E">
      <w:pPr>
        <w:spacing w:before="120" w:beforeLines="50"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七、对本次采购提出询问、质疑、投诉，请按以下方式联系</w:t>
      </w:r>
    </w:p>
    <w:p w14:paraId="25040C6F">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采购人信息</w:t>
      </w:r>
    </w:p>
    <w:p w14:paraId="6468778E">
      <w:pPr>
        <w:spacing w:line="360" w:lineRule="auto"/>
        <w:ind w:firstLine="480" w:firstLineChars="200"/>
        <w:rPr>
          <w:rFonts w:hint="eastAsia" w:ascii="仿宋" w:hAnsi="仿宋" w:eastAsia="仿宋" w:cs="宋体"/>
          <w:color w:val="auto"/>
          <w:sz w:val="24"/>
          <w:highlight w:val="none"/>
          <w:lang w:eastAsia="zh-CN"/>
        </w:rPr>
      </w:pPr>
      <w:r>
        <w:rPr>
          <w:rFonts w:hint="eastAsia" w:ascii="仿宋" w:hAnsi="仿宋" w:eastAsia="仿宋" w:cs="宋体"/>
          <w:color w:val="auto"/>
          <w:sz w:val="24"/>
          <w:highlight w:val="none"/>
        </w:rPr>
        <w:t>名    称：</w:t>
      </w:r>
      <w:r>
        <w:rPr>
          <w:rFonts w:hint="eastAsia" w:ascii="仿宋" w:hAnsi="仿宋" w:eastAsia="仿宋" w:cs="宋体"/>
          <w:color w:val="auto"/>
          <w:sz w:val="24"/>
          <w:highlight w:val="none"/>
          <w:lang w:eastAsia="zh-CN"/>
        </w:rPr>
        <w:t>杭州市生态环境局拱墅分局</w:t>
      </w:r>
    </w:p>
    <w:p w14:paraId="630C8A1C">
      <w:pPr>
        <w:spacing w:line="360" w:lineRule="auto"/>
        <w:ind w:firstLine="480" w:firstLineChars="200"/>
        <w:rPr>
          <w:rFonts w:hint="eastAsia" w:ascii="仿宋" w:hAnsi="仿宋" w:eastAsia="仿宋" w:cs="宋体"/>
          <w:color w:val="auto"/>
          <w:sz w:val="24"/>
          <w:highlight w:val="none"/>
          <w:lang w:eastAsia="zh-CN"/>
        </w:rPr>
      </w:pPr>
      <w:r>
        <w:rPr>
          <w:rFonts w:hint="eastAsia" w:ascii="仿宋" w:hAnsi="仿宋" w:eastAsia="仿宋" w:cs="宋体"/>
          <w:color w:val="auto"/>
          <w:sz w:val="24"/>
          <w:highlight w:val="none"/>
        </w:rPr>
        <w:t>地    址：</w:t>
      </w:r>
      <w:r>
        <w:rPr>
          <w:rFonts w:hint="eastAsia" w:ascii="仿宋" w:hAnsi="仿宋" w:eastAsia="仿宋" w:cs="宋体"/>
          <w:color w:val="auto"/>
          <w:sz w:val="24"/>
          <w:highlight w:val="none"/>
          <w:lang w:eastAsia="zh-CN"/>
        </w:rPr>
        <w:t>杭州市拱墅区白石巷156号</w:t>
      </w:r>
    </w:p>
    <w:p w14:paraId="1C91F50F">
      <w:pPr>
        <w:spacing w:line="360" w:lineRule="auto"/>
        <w:ind w:firstLine="480"/>
        <w:rPr>
          <w:rFonts w:ascii="仿宋" w:hAnsi="仿宋" w:eastAsia="仿宋" w:cs="宋体"/>
          <w:color w:val="auto"/>
          <w:sz w:val="24"/>
          <w:highlight w:val="none"/>
        </w:rPr>
      </w:pPr>
      <w:r>
        <w:rPr>
          <w:rFonts w:hint="eastAsia" w:ascii="仿宋" w:hAnsi="仿宋" w:eastAsia="仿宋" w:cs="宋体"/>
          <w:color w:val="auto"/>
          <w:sz w:val="24"/>
          <w:highlight w:val="none"/>
        </w:rPr>
        <w:t>传    真：/</w:t>
      </w:r>
    </w:p>
    <w:p w14:paraId="59074AC4">
      <w:pPr>
        <w:spacing w:line="360" w:lineRule="auto"/>
        <w:ind w:firstLine="480"/>
        <w:rPr>
          <w:rFonts w:hint="default" w:ascii="仿宋" w:hAnsi="仿宋" w:eastAsia="仿宋" w:cs="宋体"/>
          <w:color w:val="auto"/>
          <w:sz w:val="24"/>
          <w:highlight w:val="none"/>
          <w:lang w:val="en-US" w:eastAsia="zh-CN"/>
        </w:rPr>
      </w:pPr>
      <w:r>
        <w:rPr>
          <w:rFonts w:hint="eastAsia" w:ascii="仿宋" w:hAnsi="仿宋" w:eastAsia="仿宋" w:cs="宋体"/>
          <w:color w:val="auto"/>
          <w:sz w:val="24"/>
          <w:highlight w:val="none"/>
        </w:rPr>
        <w:t>项目联系人（询问）：</w:t>
      </w:r>
      <w:r>
        <w:rPr>
          <w:rFonts w:hint="eastAsia" w:ascii="仿宋" w:hAnsi="仿宋" w:eastAsia="仿宋" w:cs="宋体"/>
          <w:color w:val="auto"/>
          <w:sz w:val="24"/>
          <w:highlight w:val="none"/>
          <w:lang w:val="en-US" w:eastAsia="zh-CN"/>
        </w:rPr>
        <w:t>马灏</w:t>
      </w:r>
    </w:p>
    <w:p w14:paraId="4C7862A1">
      <w:pPr>
        <w:spacing w:line="360" w:lineRule="auto"/>
        <w:ind w:firstLine="480"/>
        <w:rPr>
          <w:rFonts w:hint="default" w:ascii="仿宋" w:hAnsi="仿宋" w:eastAsia="仿宋" w:cs="宋体"/>
          <w:color w:val="auto"/>
          <w:sz w:val="24"/>
          <w:highlight w:val="none"/>
          <w:lang w:val="en-US" w:eastAsia="zh-CN"/>
        </w:rPr>
      </w:pPr>
      <w:r>
        <w:rPr>
          <w:rFonts w:hint="eastAsia" w:ascii="仿宋" w:hAnsi="仿宋" w:eastAsia="仿宋" w:cs="宋体"/>
          <w:color w:val="auto"/>
          <w:sz w:val="24"/>
          <w:highlight w:val="none"/>
        </w:rPr>
        <w:t>项目联系方式（询问）：0571-</w:t>
      </w:r>
      <w:r>
        <w:rPr>
          <w:rFonts w:hint="eastAsia" w:ascii="仿宋" w:hAnsi="仿宋" w:eastAsia="仿宋" w:cs="宋体"/>
          <w:color w:val="auto"/>
          <w:sz w:val="24"/>
          <w:highlight w:val="none"/>
          <w:lang w:val="en-US" w:eastAsia="zh-CN"/>
        </w:rPr>
        <w:t>85375942</w:t>
      </w:r>
    </w:p>
    <w:p w14:paraId="701B6C1B">
      <w:pPr>
        <w:spacing w:line="360" w:lineRule="auto"/>
        <w:ind w:firstLine="480"/>
        <w:rPr>
          <w:rFonts w:ascii="仿宋" w:hAnsi="仿宋" w:eastAsia="仿宋" w:cs="宋体"/>
          <w:color w:val="auto"/>
          <w:sz w:val="24"/>
          <w:highlight w:val="none"/>
        </w:rPr>
      </w:pPr>
      <w:r>
        <w:rPr>
          <w:rFonts w:hint="eastAsia" w:ascii="仿宋" w:hAnsi="仿宋" w:eastAsia="仿宋" w:cs="宋体"/>
          <w:color w:val="auto"/>
          <w:sz w:val="24"/>
          <w:highlight w:val="none"/>
        </w:rPr>
        <w:t>质疑联系人：</w:t>
      </w:r>
      <w:r>
        <w:rPr>
          <w:rFonts w:hint="eastAsia" w:ascii="仿宋" w:hAnsi="仿宋" w:eastAsia="仿宋" w:cs="宋体"/>
          <w:color w:val="auto"/>
          <w:sz w:val="24"/>
          <w:highlight w:val="none"/>
          <w:lang w:val="en-US" w:eastAsia="zh-CN"/>
        </w:rPr>
        <w:t>郑雷斌</w:t>
      </w:r>
    </w:p>
    <w:p w14:paraId="27C23D48">
      <w:pPr>
        <w:spacing w:line="360" w:lineRule="auto"/>
        <w:ind w:firstLine="480"/>
        <w:rPr>
          <w:rFonts w:hint="default" w:ascii="仿宋" w:hAnsi="仿宋" w:eastAsia="仿宋" w:cs="宋体"/>
          <w:color w:val="auto"/>
          <w:sz w:val="24"/>
          <w:highlight w:val="none"/>
          <w:lang w:val="en-US"/>
        </w:rPr>
      </w:pPr>
      <w:r>
        <w:rPr>
          <w:rFonts w:hint="eastAsia" w:ascii="仿宋" w:hAnsi="仿宋" w:eastAsia="仿宋" w:cs="宋体"/>
          <w:color w:val="auto"/>
          <w:sz w:val="24"/>
          <w:highlight w:val="none"/>
        </w:rPr>
        <w:t>质疑联系方式：0571-</w:t>
      </w:r>
      <w:r>
        <w:rPr>
          <w:rFonts w:hint="eastAsia" w:ascii="仿宋" w:hAnsi="仿宋" w:eastAsia="仿宋" w:cs="宋体"/>
          <w:color w:val="auto"/>
          <w:sz w:val="24"/>
          <w:highlight w:val="none"/>
          <w:lang w:val="en-US" w:eastAsia="zh-CN"/>
        </w:rPr>
        <w:t>85132829</w:t>
      </w:r>
    </w:p>
    <w:p w14:paraId="49A3E3FE">
      <w:pPr>
        <w:spacing w:line="360" w:lineRule="auto"/>
        <w:ind w:firstLine="480"/>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 xml:space="preserve">采购代理机构信息            </w:t>
      </w:r>
    </w:p>
    <w:p w14:paraId="49A496CB">
      <w:pPr>
        <w:spacing w:line="360" w:lineRule="auto"/>
        <w:ind w:firstLine="480"/>
        <w:rPr>
          <w:rFonts w:hint="eastAsia" w:ascii="仿宋" w:hAnsi="仿宋" w:eastAsia="仿宋" w:cs="宋体"/>
          <w:color w:val="auto"/>
          <w:sz w:val="24"/>
          <w:highlight w:val="none"/>
          <w:lang w:eastAsia="zh-CN"/>
        </w:rPr>
      </w:pPr>
      <w:r>
        <w:rPr>
          <w:rFonts w:hint="eastAsia" w:ascii="仿宋" w:hAnsi="仿宋" w:eastAsia="仿宋" w:cs="宋体"/>
          <w:color w:val="auto"/>
          <w:sz w:val="24"/>
          <w:highlight w:val="none"/>
        </w:rPr>
        <w:t>名    称：</w:t>
      </w:r>
      <w:r>
        <w:rPr>
          <w:rFonts w:hint="eastAsia" w:ascii="仿宋" w:hAnsi="仿宋" w:eastAsia="仿宋" w:cs="宋体"/>
          <w:color w:val="auto"/>
          <w:sz w:val="24"/>
          <w:highlight w:val="none"/>
          <w:lang w:eastAsia="zh-CN"/>
        </w:rPr>
        <w:t>浙江五石中正工程咨询有限公司</w:t>
      </w:r>
    </w:p>
    <w:p w14:paraId="2B092BBD">
      <w:pPr>
        <w:spacing w:line="360" w:lineRule="auto"/>
        <w:ind w:firstLine="480"/>
        <w:rPr>
          <w:rFonts w:hint="eastAsia" w:ascii="仿宋" w:hAnsi="仿宋" w:eastAsia="仿宋" w:cs="宋体"/>
          <w:color w:val="auto"/>
          <w:sz w:val="24"/>
          <w:highlight w:val="none"/>
          <w:lang w:eastAsia="zh-CN"/>
        </w:rPr>
      </w:pPr>
      <w:r>
        <w:rPr>
          <w:rFonts w:hint="eastAsia" w:ascii="仿宋" w:hAnsi="仿宋" w:eastAsia="仿宋" w:cs="宋体"/>
          <w:color w:val="auto"/>
          <w:sz w:val="24"/>
          <w:highlight w:val="none"/>
        </w:rPr>
        <w:t>地    址：</w:t>
      </w:r>
      <w:r>
        <w:rPr>
          <w:rFonts w:hint="eastAsia" w:ascii="仿宋" w:hAnsi="仿宋" w:eastAsia="仿宋" w:cs="宋体"/>
          <w:color w:val="auto"/>
          <w:sz w:val="24"/>
          <w:highlight w:val="none"/>
          <w:lang w:eastAsia="zh-CN"/>
        </w:rPr>
        <w:t>杭州市拱墅区白石巷318号人力资源产业园北楼512室</w:t>
      </w:r>
    </w:p>
    <w:p w14:paraId="13AF021A">
      <w:pPr>
        <w:spacing w:line="360" w:lineRule="auto"/>
        <w:ind w:firstLine="480"/>
        <w:rPr>
          <w:rFonts w:ascii="仿宋" w:hAnsi="仿宋" w:eastAsia="仿宋" w:cs="宋体"/>
          <w:color w:val="auto"/>
          <w:sz w:val="24"/>
          <w:highlight w:val="none"/>
        </w:rPr>
      </w:pPr>
      <w:r>
        <w:rPr>
          <w:rFonts w:hint="eastAsia" w:ascii="仿宋" w:hAnsi="仿宋" w:eastAsia="仿宋" w:cs="宋体"/>
          <w:color w:val="auto"/>
          <w:sz w:val="24"/>
          <w:highlight w:val="none"/>
        </w:rPr>
        <w:t>传    真：/</w:t>
      </w:r>
    </w:p>
    <w:p w14:paraId="2A74BCB9">
      <w:pPr>
        <w:spacing w:line="360" w:lineRule="auto"/>
        <w:ind w:firstLine="480"/>
        <w:rPr>
          <w:rFonts w:hint="eastAsia" w:ascii="仿宋" w:hAnsi="仿宋" w:eastAsia="仿宋" w:cs="宋体"/>
          <w:color w:val="auto"/>
          <w:sz w:val="24"/>
          <w:highlight w:val="none"/>
          <w:lang w:eastAsia="zh-CN"/>
        </w:rPr>
      </w:pPr>
      <w:r>
        <w:rPr>
          <w:rFonts w:hint="eastAsia" w:ascii="仿宋" w:hAnsi="仿宋" w:eastAsia="仿宋" w:cs="宋体"/>
          <w:color w:val="auto"/>
          <w:sz w:val="24"/>
          <w:highlight w:val="none"/>
        </w:rPr>
        <w:t>项目联系人（询问）：</w:t>
      </w:r>
      <w:r>
        <w:rPr>
          <w:rFonts w:hint="eastAsia" w:ascii="仿宋" w:hAnsi="仿宋" w:eastAsia="仿宋" w:cs="宋体"/>
          <w:color w:val="auto"/>
          <w:sz w:val="24"/>
          <w:highlight w:val="none"/>
          <w:lang w:eastAsia="zh-CN"/>
        </w:rPr>
        <w:t>盛宇轩</w:t>
      </w:r>
    </w:p>
    <w:p w14:paraId="15E4A991">
      <w:pPr>
        <w:spacing w:line="360" w:lineRule="auto"/>
        <w:ind w:firstLine="480"/>
        <w:rPr>
          <w:rFonts w:hint="eastAsia" w:ascii="仿宋" w:hAnsi="仿宋" w:eastAsia="仿宋" w:cs="宋体"/>
          <w:color w:val="auto"/>
          <w:sz w:val="24"/>
          <w:highlight w:val="none"/>
          <w:lang w:eastAsia="zh-CN"/>
        </w:rPr>
      </w:pPr>
      <w:r>
        <w:rPr>
          <w:rFonts w:hint="eastAsia" w:ascii="仿宋" w:hAnsi="仿宋" w:eastAsia="仿宋" w:cs="宋体"/>
          <w:color w:val="auto"/>
          <w:sz w:val="24"/>
          <w:highlight w:val="none"/>
        </w:rPr>
        <w:t>项目联系方式（询问）：</w:t>
      </w:r>
      <w:r>
        <w:rPr>
          <w:rFonts w:hint="eastAsia" w:ascii="仿宋" w:hAnsi="仿宋" w:eastAsia="仿宋" w:cs="宋体"/>
          <w:color w:val="auto"/>
          <w:sz w:val="24"/>
          <w:highlight w:val="none"/>
          <w:lang w:eastAsia="zh-CN"/>
        </w:rPr>
        <w:t>0571-85340710，15658033007</w:t>
      </w:r>
    </w:p>
    <w:p w14:paraId="4577A57D">
      <w:pPr>
        <w:spacing w:line="360" w:lineRule="auto"/>
        <w:ind w:firstLine="480"/>
        <w:rPr>
          <w:rFonts w:hint="eastAsia" w:ascii="仿宋" w:hAnsi="仿宋" w:eastAsia="仿宋" w:cs="宋体"/>
          <w:color w:val="auto"/>
          <w:sz w:val="24"/>
          <w:highlight w:val="none"/>
          <w:lang w:eastAsia="zh-CN"/>
        </w:rPr>
      </w:pPr>
      <w:r>
        <w:rPr>
          <w:rFonts w:hint="eastAsia" w:ascii="仿宋" w:hAnsi="仿宋" w:eastAsia="仿宋" w:cs="宋体"/>
          <w:color w:val="auto"/>
          <w:sz w:val="24"/>
          <w:highlight w:val="none"/>
        </w:rPr>
        <w:t>质疑联系人：</w:t>
      </w:r>
      <w:r>
        <w:rPr>
          <w:rFonts w:hint="eastAsia" w:ascii="仿宋" w:hAnsi="仿宋" w:eastAsia="仿宋" w:cs="宋体"/>
          <w:color w:val="auto"/>
          <w:sz w:val="24"/>
          <w:highlight w:val="none"/>
          <w:lang w:eastAsia="zh-CN"/>
        </w:rPr>
        <w:t>高琳</w:t>
      </w:r>
    </w:p>
    <w:p w14:paraId="6D2AF747">
      <w:pPr>
        <w:spacing w:line="360" w:lineRule="auto"/>
        <w:ind w:firstLine="480"/>
        <w:rPr>
          <w:rFonts w:ascii="仿宋" w:hAnsi="仿宋" w:eastAsia="仿宋" w:cs="宋体"/>
          <w:color w:val="auto"/>
          <w:sz w:val="24"/>
          <w:highlight w:val="none"/>
        </w:rPr>
      </w:pPr>
      <w:r>
        <w:rPr>
          <w:rFonts w:hint="eastAsia" w:ascii="仿宋" w:hAnsi="仿宋" w:eastAsia="仿宋" w:cs="宋体"/>
          <w:color w:val="auto"/>
          <w:sz w:val="24"/>
          <w:highlight w:val="none"/>
        </w:rPr>
        <w:t>质疑联系方式：</w:t>
      </w:r>
      <w:r>
        <w:rPr>
          <w:rFonts w:hint="eastAsia" w:ascii="仿宋" w:hAnsi="仿宋" w:eastAsia="仿宋" w:cs="仿宋"/>
          <w:bCs/>
          <w:snapToGrid w:val="0"/>
          <w:color w:val="auto"/>
          <w:kern w:val="0"/>
          <w:sz w:val="24"/>
          <w:szCs w:val="24"/>
          <w:highlight w:val="none"/>
          <w:lang w:val="zh-TW" w:eastAsia="zh-TW"/>
        </w:rPr>
        <w:t>0571-85340710</w:t>
      </w:r>
      <w:r>
        <w:rPr>
          <w:rFonts w:hint="eastAsia" w:ascii="仿宋" w:hAnsi="仿宋" w:eastAsia="仿宋" w:cs="仿宋"/>
          <w:color w:val="auto"/>
          <w:sz w:val="24"/>
          <w:highlight w:val="none"/>
        </w:rPr>
        <w:t>（请通过以下路径在线提起质疑：政采云-项目采购-询问质疑投诉-质疑列表）</w:t>
      </w:r>
    </w:p>
    <w:p w14:paraId="02A1BFA4">
      <w:pPr>
        <w:spacing w:line="360" w:lineRule="auto"/>
        <w:ind w:firstLine="480"/>
        <w:rPr>
          <w:rFonts w:ascii="仿宋" w:hAnsi="仿宋" w:eastAsia="仿宋" w:cs="宋体"/>
          <w:color w:val="auto"/>
          <w:sz w:val="24"/>
          <w:highlight w:val="none"/>
        </w:rPr>
      </w:pPr>
      <w:r>
        <w:rPr>
          <w:rFonts w:hint="eastAsia" w:ascii="仿宋" w:hAnsi="仿宋" w:eastAsia="仿宋" w:cs="宋体"/>
          <w:color w:val="auto"/>
          <w:sz w:val="24"/>
          <w:highlight w:val="none"/>
        </w:rPr>
        <w:t>3.同级政府采购监督管理部门</w:t>
      </w:r>
    </w:p>
    <w:p w14:paraId="50B6C8A6">
      <w:pPr>
        <w:spacing w:line="360" w:lineRule="auto"/>
        <w:ind w:firstLine="480"/>
        <w:rPr>
          <w:rFonts w:hint="eastAsia" w:ascii="仿宋" w:hAnsi="仿宋" w:eastAsia="仿宋" w:cs="宋体"/>
          <w:color w:val="auto"/>
          <w:sz w:val="24"/>
          <w:highlight w:val="none"/>
        </w:rPr>
      </w:pPr>
      <w:r>
        <w:rPr>
          <w:rFonts w:hint="eastAsia" w:ascii="仿宋" w:hAnsi="仿宋" w:eastAsia="仿宋" w:cs="宋体"/>
          <w:color w:val="auto"/>
          <w:sz w:val="24"/>
          <w:highlight w:val="none"/>
        </w:rPr>
        <w:t>名    称：杭州市</w:t>
      </w:r>
      <w:r>
        <w:rPr>
          <w:rFonts w:hint="eastAsia" w:ascii="仿宋" w:hAnsi="仿宋" w:eastAsia="仿宋" w:cs="宋体"/>
          <w:color w:val="auto"/>
          <w:sz w:val="24"/>
          <w:highlight w:val="none"/>
          <w:lang w:eastAsia="zh-CN"/>
        </w:rPr>
        <w:t>拱墅区</w:t>
      </w:r>
      <w:r>
        <w:rPr>
          <w:rFonts w:hint="eastAsia" w:ascii="仿宋" w:hAnsi="仿宋" w:eastAsia="仿宋" w:cs="宋体"/>
          <w:color w:val="auto"/>
          <w:sz w:val="24"/>
          <w:highlight w:val="none"/>
        </w:rPr>
        <w:t>财政局/浙江省政府采购行政裁决服务中心（杭州）</w:t>
      </w:r>
    </w:p>
    <w:p w14:paraId="773077CA">
      <w:pPr>
        <w:spacing w:line="360" w:lineRule="auto"/>
        <w:ind w:firstLine="480"/>
        <w:rPr>
          <w:rFonts w:hint="eastAsia" w:ascii="仿宋" w:hAnsi="仿宋" w:eastAsia="仿宋" w:cs="宋体"/>
          <w:color w:val="auto"/>
          <w:sz w:val="24"/>
          <w:highlight w:val="none"/>
        </w:rPr>
      </w:pPr>
      <w:r>
        <w:rPr>
          <w:rFonts w:hint="eastAsia" w:ascii="仿宋" w:hAnsi="仿宋" w:eastAsia="仿宋" w:cs="宋体"/>
          <w:color w:val="auto"/>
          <w:sz w:val="24"/>
          <w:highlight w:val="none"/>
        </w:rPr>
        <w:t>地    址：杭州市上城区清泰街549号城建综合大楼11楼（快递仅限ems或顺丰）</w:t>
      </w:r>
    </w:p>
    <w:p w14:paraId="469C86BC">
      <w:pPr>
        <w:spacing w:line="360" w:lineRule="auto"/>
        <w:ind w:firstLine="480"/>
        <w:rPr>
          <w:rFonts w:hint="eastAsia" w:ascii="仿宋" w:hAnsi="仿宋" w:eastAsia="仿宋" w:cs="宋体"/>
          <w:color w:val="auto"/>
          <w:sz w:val="24"/>
          <w:highlight w:val="none"/>
        </w:rPr>
      </w:pPr>
      <w:r>
        <w:rPr>
          <w:rFonts w:hint="eastAsia" w:ascii="仿宋" w:hAnsi="仿宋" w:eastAsia="仿宋" w:cs="宋体"/>
          <w:color w:val="auto"/>
          <w:sz w:val="24"/>
          <w:highlight w:val="none"/>
        </w:rPr>
        <w:t>传    真： /</w:t>
      </w:r>
    </w:p>
    <w:p w14:paraId="09B2DD9A">
      <w:pPr>
        <w:spacing w:line="360" w:lineRule="auto"/>
        <w:ind w:firstLine="480"/>
        <w:rPr>
          <w:rFonts w:hint="eastAsia" w:ascii="仿宋" w:hAnsi="仿宋" w:eastAsia="仿宋" w:cs="宋体"/>
          <w:color w:val="auto"/>
          <w:sz w:val="24"/>
          <w:highlight w:val="none"/>
        </w:rPr>
      </w:pPr>
      <w:r>
        <w:rPr>
          <w:rFonts w:hint="eastAsia" w:ascii="仿宋" w:hAnsi="仿宋" w:eastAsia="仿宋" w:cs="宋体"/>
          <w:color w:val="auto"/>
          <w:sz w:val="24"/>
          <w:highlight w:val="none"/>
        </w:rPr>
        <w:t>联系人 ：朱女士、王女士</w:t>
      </w:r>
    </w:p>
    <w:p w14:paraId="14125F74">
      <w:pPr>
        <w:spacing w:line="360" w:lineRule="auto"/>
        <w:ind w:firstLine="480"/>
        <w:rPr>
          <w:rFonts w:hint="eastAsia" w:ascii="仿宋" w:hAnsi="仿宋" w:eastAsia="仿宋" w:cs="宋体"/>
          <w:color w:val="auto"/>
          <w:sz w:val="24"/>
          <w:highlight w:val="none"/>
        </w:rPr>
      </w:pPr>
      <w:r>
        <w:rPr>
          <w:rFonts w:hint="eastAsia" w:ascii="仿宋" w:hAnsi="仿宋" w:eastAsia="仿宋" w:cs="宋体"/>
          <w:color w:val="auto"/>
          <w:sz w:val="24"/>
          <w:highlight w:val="none"/>
        </w:rPr>
        <w:t>监督投诉电话：0571-87227671,0571-87800218</w:t>
      </w:r>
    </w:p>
    <w:p w14:paraId="22677915">
      <w:pPr>
        <w:spacing w:line="360" w:lineRule="auto"/>
        <w:ind w:firstLine="480"/>
        <w:rPr>
          <w:rFonts w:hint="eastAsia" w:ascii="仿宋" w:hAnsi="仿宋" w:eastAsia="仿宋" w:cs="宋体"/>
          <w:color w:val="auto"/>
          <w:sz w:val="24"/>
          <w:highlight w:val="none"/>
        </w:rPr>
      </w:pPr>
    </w:p>
    <w:p w14:paraId="33024A5F">
      <w:pPr>
        <w:spacing w:line="360" w:lineRule="auto"/>
        <w:ind w:firstLine="480"/>
        <w:rPr>
          <w:rFonts w:hint="eastAsia" w:ascii="仿宋" w:hAnsi="仿宋" w:eastAsia="仿宋" w:cs="宋体"/>
          <w:color w:val="auto"/>
          <w:sz w:val="24"/>
          <w:highlight w:val="none"/>
        </w:rPr>
      </w:pPr>
    </w:p>
    <w:p w14:paraId="41DD4244">
      <w:pPr>
        <w:spacing w:line="360" w:lineRule="auto"/>
        <w:ind w:firstLine="480"/>
        <w:rPr>
          <w:rFonts w:ascii="仿宋" w:hAnsi="仿宋" w:eastAsia="仿宋" w:cs="宋体"/>
          <w:color w:val="auto"/>
          <w:sz w:val="24"/>
          <w:highlight w:val="none"/>
        </w:rPr>
      </w:pPr>
      <w:r>
        <w:rPr>
          <w:rFonts w:hint="eastAsia" w:ascii="仿宋" w:hAnsi="仿宋" w:eastAsia="仿宋"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14:paraId="12394039">
      <w:pPr>
        <w:spacing w:line="360" w:lineRule="auto"/>
        <w:ind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CA问题联系电话（人工）：汇信CA 400-888-4636；天谷CA 400-087-8198。</w:t>
      </w:r>
    </w:p>
    <w:p w14:paraId="49D7764D">
      <w:pPr>
        <w:rPr>
          <w:rFonts w:hint="eastAsia" w:ascii="仿宋" w:hAnsi="仿宋" w:eastAsia="仿宋" w:cs="宋体"/>
          <w:color w:val="auto"/>
          <w:sz w:val="24"/>
          <w:highlight w:val="none"/>
        </w:rPr>
      </w:pPr>
      <w:r>
        <w:rPr>
          <w:rFonts w:hint="eastAsia" w:ascii="仿宋" w:hAnsi="仿宋" w:eastAsia="仿宋" w:cs="宋体"/>
          <w:color w:val="auto"/>
          <w:sz w:val="24"/>
          <w:highlight w:val="none"/>
        </w:rPr>
        <w:br w:type="page"/>
      </w:r>
    </w:p>
    <w:p w14:paraId="1BA91C57">
      <w:pPr>
        <w:adjustRightInd/>
        <w:spacing w:line="360" w:lineRule="auto"/>
        <w:ind w:firstLine="420" w:firstLineChars="0"/>
        <w:jc w:val="center"/>
        <w:outlineLvl w:val="0"/>
        <w:rPr>
          <w:rFonts w:ascii="仿宋" w:hAnsi="仿宋" w:eastAsia="仿宋" w:cs="宋体"/>
          <w:b/>
          <w:color w:val="auto"/>
          <w:sz w:val="36"/>
          <w:szCs w:val="20"/>
          <w:highlight w:val="none"/>
        </w:rPr>
      </w:pPr>
      <w:bookmarkStart w:id="6" w:name="_Toc14654"/>
      <w:r>
        <w:rPr>
          <w:rFonts w:hint="eastAsia" w:ascii="仿宋" w:hAnsi="仿宋" w:eastAsia="仿宋" w:cs="宋体"/>
          <w:b/>
          <w:color w:val="auto"/>
          <w:sz w:val="36"/>
          <w:szCs w:val="20"/>
          <w:highlight w:val="none"/>
        </w:rPr>
        <w:t>第二部分 投标人须知</w:t>
      </w:r>
      <w:bookmarkEnd w:id="6"/>
    </w:p>
    <w:p w14:paraId="3794EC9C">
      <w:pPr>
        <w:adjustRightInd/>
        <w:spacing w:line="360" w:lineRule="auto"/>
        <w:ind w:firstLine="3845" w:firstLineChars="1197"/>
        <w:outlineLvl w:val="1"/>
        <w:rPr>
          <w:rFonts w:ascii="仿宋" w:hAnsi="仿宋" w:eastAsia="仿宋" w:cs="宋体"/>
          <w:b/>
          <w:color w:val="auto"/>
          <w:sz w:val="32"/>
          <w:szCs w:val="20"/>
          <w:highlight w:val="none"/>
        </w:rPr>
      </w:pPr>
      <w:r>
        <w:rPr>
          <w:rFonts w:hint="eastAsia" w:ascii="仿宋" w:hAnsi="仿宋" w:eastAsia="仿宋" w:cs="宋体"/>
          <w:b/>
          <w:color w:val="auto"/>
          <w:sz w:val="32"/>
          <w:szCs w:val="20"/>
          <w:highlight w:val="none"/>
        </w:rPr>
        <w:t>前附表</w:t>
      </w:r>
    </w:p>
    <w:tbl>
      <w:tblPr>
        <w:tblStyle w:val="23"/>
        <w:tblW w:w="1014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69"/>
        <w:gridCol w:w="2321"/>
        <w:gridCol w:w="7154"/>
      </w:tblGrid>
      <w:tr w14:paraId="0EAB2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tblHeader/>
          <w:jc w:val="center"/>
        </w:trPr>
        <w:tc>
          <w:tcPr>
            <w:tcW w:w="669" w:type="dxa"/>
            <w:noWrap w:val="0"/>
            <w:vAlign w:val="center"/>
          </w:tcPr>
          <w:p w14:paraId="48615B47">
            <w:pPr>
              <w:snapToGrid w:val="0"/>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序号</w:t>
            </w:r>
          </w:p>
        </w:tc>
        <w:tc>
          <w:tcPr>
            <w:tcW w:w="2321" w:type="dxa"/>
            <w:noWrap w:val="0"/>
            <w:vAlign w:val="center"/>
          </w:tcPr>
          <w:p w14:paraId="03CD5915">
            <w:pPr>
              <w:snapToGrid w:val="0"/>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事项</w:t>
            </w:r>
          </w:p>
        </w:tc>
        <w:tc>
          <w:tcPr>
            <w:tcW w:w="7154" w:type="dxa"/>
            <w:noWrap w:val="0"/>
            <w:vAlign w:val="center"/>
          </w:tcPr>
          <w:p w14:paraId="2E1C95AE">
            <w:pPr>
              <w:snapToGrid w:val="0"/>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本项目的特别规定</w:t>
            </w:r>
          </w:p>
        </w:tc>
      </w:tr>
      <w:tr w14:paraId="1D2E9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69" w:type="dxa"/>
            <w:noWrap w:val="0"/>
            <w:vAlign w:val="center"/>
          </w:tcPr>
          <w:p w14:paraId="4A838F4C">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2321" w:type="dxa"/>
            <w:noWrap w:val="0"/>
            <w:vAlign w:val="center"/>
          </w:tcPr>
          <w:p w14:paraId="4E446E62">
            <w:pPr>
              <w:snapToGrid w:val="0"/>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项目属性</w:t>
            </w:r>
          </w:p>
        </w:tc>
        <w:tc>
          <w:tcPr>
            <w:tcW w:w="7154" w:type="dxa"/>
            <w:noWrap w:val="0"/>
            <w:vAlign w:val="center"/>
          </w:tcPr>
          <w:p w14:paraId="5EEE4590">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服务类。</w:t>
            </w:r>
          </w:p>
        </w:tc>
      </w:tr>
      <w:tr w14:paraId="05243F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69" w:type="dxa"/>
            <w:noWrap w:val="0"/>
            <w:vAlign w:val="center"/>
          </w:tcPr>
          <w:p w14:paraId="5CFDA5B6">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2321" w:type="dxa"/>
            <w:noWrap w:val="0"/>
            <w:vAlign w:val="center"/>
          </w:tcPr>
          <w:p w14:paraId="377DB4AD">
            <w:pPr>
              <w:snapToGrid w:val="0"/>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采购标的及其对应的中小企业划分标准所属行业</w:t>
            </w:r>
          </w:p>
        </w:tc>
        <w:tc>
          <w:tcPr>
            <w:tcW w:w="7154" w:type="dxa"/>
            <w:noWrap w:val="0"/>
            <w:vAlign w:val="center"/>
          </w:tcPr>
          <w:p w14:paraId="53C17512">
            <w:pPr>
              <w:rPr>
                <w:color w:val="auto"/>
                <w:highlight w:val="none"/>
              </w:rPr>
            </w:pPr>
            <w:r>
              <w:rPr>
                <w:rFonts w:hint="eastAsia" w:ascii="仿宋" w:hAnsi="仿宋" w:eastAsia="仿宋" w:cs="宋体"/>
                <w:color w:val="auto"/>
                <w:kern w:val="0"/>
                <w:sz w:val="24"/>
                <w:szCs w:val="24"/>
                <w:highlight w:val="none"/>
                <w:lang w:val="en-US" w:eastAsia="zh-CN" w:bidi="ar-SA"/>
              </w:rPr>
              <w:t>（1）</w:t>
            </w:r>
            <w:r>
              <w:rPr>
                <w:rFonts w:hint="eastAsia" w:ascii="仿宋" w:hAnsi="仿宋" w:eastAsia="仿宋" w:cs="宋体"/>
                <w:color w:val="auto"/>
                <w:kern w:val="0"/>
                <w:sz w:val="24"/>
                <w:highlight w:val="none"/>
              </w:rPr>
              <w:t>标的：</w:t>
            </w:r>
            <w:r>
              <w:rPr>
                <w:rFonts w:hint="eastAsia" w:ascii="仿宋" w:hAnsi="仿宋" w:eastAsia="仿宋" w:cs="宋体"/>
                <w:color w:val="auto"/>
                <w:kern w:val="0"/>
                <w:sz w:val="24"/>
                <w:highlight w:val="none"/>
                <w:u w:val="single"/>
              </w:rPr>
              <w:t>3D微气象调控系统</w:t>
            </w:r>
            <w:r>
              <w:rPr>
                <w:rFonts w:hint="eastAsia" w:ascii="仿宋" w:hAnsi="仿宋" w:eastAsia="仿宋" w:cs="宋体"/>
                <w:color w:val="auto"/>
                <w:kern w:val="0"/>
                <w:sz w:val="24"/>
                <w:highlight w:val="none"/>
              </w:rPr>
              <w:t>，属于</w:t>
            </w:r>
            <w:r>
              <w:rPr>
                <w:rFonts w:hint="eastAsia" w:ascii="仿宋" w:hAnsi="仿宋" w:eastAsia="仿宋" w:cs="仿宋"/>
                <w:color w:val="auto"/>
                <w:kern w:val="0"/>
                <w:sz w:val="24"/>
                <w:highlight w:val="none"/>
                <w:u w:val="single"/>
                <w:lang w:val="en-US" w:eastAsia="zh-CN"/>
              </w:rPr>
              <w:t>工业</w:t>
            </w:r>
            <w:r>
              <w:rPr>
                <w:rFonts w:hint="eastAsia" w:ascii="仿宋" w:hAnsi="仿宋" w:eastAsia="仿宋" w:cs="宋体"/>
                <w:color w:val="auto"/>
                <w:kern w:val="0"/>
                <w:sz w:val="24"/>
                <w:highlight w:val="none"/>
              </w:rPr>
              <w:t>；</w:t>
            </w:r>
          </w:p>
          <w:p w14:paraId="202B2B64">
            <w:pPr>
              <w:numPr>
                <w:ilvl w:val="0"/>
                <w:numId w:val="0"/>
              </w:numPr>
              <w:snapToGrid w:val="0"/>
              <w:spacing w:line="360" w:lineRule="auto"/>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lang w:eastAsia="zh-CN"/>
              </w:rPr>
              <w:t>（</w:t>
            </w:r>
            <w:r>
              <w:rPr>
                <w:rFonts w:hint="eastAsia" w:ascii="仿宋" w:hAnsi="仿宋" w:eastAsia="仿宋" w:cs="宋体"/>
                <w:color w:val="auto"/>
                <w:kern w:val="0"/>
                <w:sz w:val="24"/>
                <w:highlight w:val="none"/>
                <w:lang w:val="en-US" w:eastAsia="zh-CN"/>
              </w:rPr>
              <w:t>2</w:t>
            </w:r>
            <w:r>
              <w:rPr>
                <w:rFonts w:hint="eastAsia" w:ascii="仿宋" w:hAnsi="仿宋" w:eastAsia="仿宋" w:cs="宋体"/>
                <w:color w:val="auto"/>
                <w:kern w:val="0"/>
                <w:sz w:val="24"/>
                <w:highlight w:val="none"/>
                <w:lang w:eastAsia="zh-CN"/>
              </w:rPr>
              <w:t>）</w:t>
            </w:r>
            <w:r>
              <w:rPr>
                <w:rFonts w:hint="eastAsia" w:ascii="仿宋" w:hAnsi="仿宋" w:eastAsia="仿宋" w:cs="宋体"/>
                <w:color w:val="auto"/>
                <w:kern w:val="0"/>
                <w:sz w:val="24"/>
                <w:highlight w:val="none"/>
              </w:rPr>
              <w:t>标的：</w:t>
            </w:r>
            <w:r>
              <w:rPr>
                <w:rFonts w:hint="eastAsia" w:ascii="仿宋" w:hAnsi="仿宋" w:eastAsia="仿宋" w:cs="仿宋"/>
                <w:color w:val="auto"/>
                <w:sz w:val="24"/>
                <w:szCs w:val="24"/>
                <w:highlight w:val="none"/>
                <w:u w:val="single"/>
                <w:lang w:eastAsia="zh-CN"/>
              </w:rPr>
              <w:t>颗粒物激光雷达</w:t>
            </w:r>
            <w:r>
              <w:rPr>
                <w:rFonts w:hint="eastAsia" w:ascii="仿宋" w:hAnsi="仿宋" w:eastAsia="仿宋" w:cs="宋体"/>
                <w:color w:val="auto"/>
                <w:kern w:val="0"/>
                <w:sz w:val="24"/>
                <w:highlight w:val="none"/>
              </w:rPr>
              <w:t>，属于</w:t>
            </w:r>
            <w:r>
              <w:rPr>
                <w:rFonts w:hint="eastAsia" w:ascii="仿宋" w:hAnsi="仿宋" w:eastAsia="仿宋" w:cs="仿宋"/>
                <w:color w:val="auto"/>
                <w:kern w:val="0"/>
                <w:sz w:val="24"/>
                <w:highlight w:val="none"/>
                <w:u w:val="single"/>
                <w:lang w:val="en-US" w:eastAsia="zh-CN"/>
              </w:rPr>
              <w:t>工业</w:t>
            </w:r>
            <w:r>
              <w:rPr>
                <w:rFonts w:hint="eastAsia" w:ascii="仿宋" w:hAnsi="仿宋" w:eastAsia="仿宋" w:cs="宋体"/>
                <w:color w:val="auto"/>
                <w:kern w:val="0"/>
                <w:sz w:val="24"/>
                <w:highlight w:val="none"/>
              </w:rPr>
              <w:t>；</w:t>
            </w:r>
          </w:p>
          <w:p w14:paraId="15A18067">
            <w:pPr>
              <w:snapToGrid w:val="0"/>
              <w:spacing w:line="360" w:lineRule="auto"/>
              <w:rPr>
                <w:rFonts w:hint="eastAsia" w:ascii="仿宋" w:hAnsi="仿宋" w:eastAsia="仿宋" w:cs="宋体"/>
                <w:color w:val="auto"/>
                <w:sz w:val="24"/>
                <w:highlight w:val="none"/>
              </w:rPr>
            </w:pPr>
            <w:r>
              <w:rPr>
                <w:rFonts w:hint="eastAsia" w:ascii="仿宋" w:hAnsi="仿宋" w:eastAsia="仿宋" w:cs="宋体"/>
                <w:color w:val="auto"/>
                <w:sz w:val="24"/>
                <w:highlight w:val="none"/>
              </w:rPr>
              <w:t>（</w:t>
            </w:r>
            <w:r>
              <w:rPr>
                <w:rFonts w:hint="eastAsia" w:ascii="仿宋" w:hAnsi="仿宋" w:eastAsia="仿宋" w:cs="宋体"/>
                <w:color w:val="auto"/>
                <w:sz w:val="24"/>
                <w:highlight w:val="none"/>
                <w:lang w:val="en-US" w:eastAsia="zh-CN"/>
              </w:rPr>
              <w:t>3</w:t>
            </w:r>
            <w:r>
              <w:rPr>
                <w:rFonts w:hint="eastAsia" w:ascii="仿宋" w:hAnsi="仿宋" w:eastAsia="仿宋" w:cs="宋体"/>
                <w:color w:val="auto"/>
                <w:sz w:val="24"/>
                <w:highlight w:val="none"/>
              </w:rPr>
              <w:t>）</w:t>
            </w:r>
            <w:r>
              <w:rPr>
                <w:rFonts w:hint="eastAsia" w:ascii="仿宋" w:hAnsi="仿宋" w:eastAsia="仿宋" w:cs="宋体"/>
                <w:color w:val="auto"/>
                <w:sz w:val="24"/>
                <w:highlight w:val="none"/>
              </w:rPr>
              <w:t>根据《关于印发中小企业划型标准规定的通知》（工信部联企业〔2011〕300号）第四条规定：</w:t>
            </w:r>
            <w:r>
              <w:rPr>
                <w:rFonts w:hint="eastAsia" w:ascii="仿宋" w:hAnsi="仿宋" w:eastAsia="仿宋" w:cs="仿宋"/>
                <w:color w:val="auto"/>
                <w:kern w:val="0"/>
                <w:sz w:val="24"/>
                <w:highlight w:val="none"/>
                <w:u w:val="single"/>
                <w:lang w:val="en-US" w:eastAsia="zh-CN"/>
              </w:rPr>
              <w:t>工业</w:t>
            </w:r>
            <w:r>
              <w:rPr>
                <w:rFonts w:hint="eastAsia" w:ascii="仿宋" w:hAnsi="仿宋" w:eastAsia="仿宋" w:cs="仿宋"/>
                <w:color w:val="auto"/>
                <w:kern w:val="0"/>
                <w:sz w:val="24"/>
                <w:highlight w:val="none"/>
                <w:u w:val="none"/>
                <w:lang w:eastAsia="zh-CN"/>
              </w:rPr>
              <w:t>。</w:t>
            </w:r>
            <w:r>
              <w:rPr>
                <w:rFonts w:hint="eastAsia" w:ascii="仿宋" w:hAnsi="仿宋" w:eastAsia="仿宋" w:cs="宋体"/>
                <w:color w:val="auto"/>
                <w:sz w:val="24"/>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5802226">
            <w:pPr>
              <w:snapToGrid w:val="0"/>
              <w:spacing w:line="360" w:lineRule="auto"/>
              <w:rPr>
                <w:rFonts w:ascii="仿宋" w:hAnsi="仿宋" w:eastAsia="仿宋" w:cs="宋体"/>
                <w:color w:val="auto"/>
                <w:highlight w:val="none"/>
              </w:rPr>
            </w:pPr>
            <w:r>
              <w:rPr>
                <w:rFonts w:hint="eastAsia" w:ascii="仿宋" w:hAnsi="仿宋" w:eastAsia="仿宋" w:cs="宋体"/>
                <w:color w:val="auto"/>
                <w:kern w:val="0"/>
                <w:sz w:val="24"/>
                <w:highlight w:val="none"/>
              </w:rPr>
              <w:t>（</w:t>
            </w:r>
            <w:r>
              <w:rPr>
                <w:rFonts w:hint="eastAsia" w:ascii="仿宋" w:hAnsi="仿宋" w:eastAsia="仿宋" w:cs="宋体"/>
                <w:color w:val="auto"/>
                <w:kern w:val="0"/>
                <w:sz w:val="24"/>
                <w:highlight w:val="none"/>
                <w:lang w:val="en-US" w:eastAsia="zh-CN"/>
              </w:rPr>
              <w:t>4</w:t>
            </w:r>
            <w:r>
              <w:rPr>
                <w:rFonts w:hint="eastAsia" w:ascii="仿宋" w:hAnsi="仿宋" w:eastAsia="仿宋" w:cs="宋体"/>
                <w:color w:val="auto"/>
                <w:kern w:val="0"/>
                <w:sz w:val="24"/>
                <w:highlight w:val="none"/>
              </w:rPr>
              <w:t>）标的：</w:t>
            </w:r>
            <w:r>
              <w:rPr>
                <w:rFonts w:hint="eastAsia" w:ascii="仿宋" w:hAnsi="仿宋" w:eastAsia="仿宋" w:cs="宋体"/>
                <w:color w:val="auto"/>
                <w:kern w:val="0"/>
                <w:sz w:val="24"/>
                <w:highlight w:val="none"/>
                <w:u w:val="single"/>
                <w:lang w:eastAsia="zh-CN"/>
              </w:rPr>
              <w:t>拱墅区2025年-2027年</w:t>
            </w:r>
            <w:r>
              <w:rPr>
                <w:rFonts w:hint="eastAsia" w:ascii="仿宋" w:hAnsi="仿宋" w:eastAsia="仿宋" w:cs="宋体"/>
                <w:color w:val="auto"/>
                <w:kern w:val="0"/>
                <w:sz w:val="24"/>
                <w:highlight w:val="none"/>
                <w:u w:val="single"/>
                <w:lang w:val="en-US" w:eastAsia="zh-CN"/>
              </w:rPr>
              <w:t>环境空气污染源</w:t>
            </w:r>
            <w:r>
              <w:rPr>
                <w:rFonts w:hint="eastAsia" w:ascii="仿宋" w:hAnsi="仿宋" w:eastAsia="仿宋" w:cs="宋体"/>
                <w:color w:val="auto"/>
                <w:kern w:val="0"/>
                <w:sz w:val="24"/>
                <w:highlight w:val="none"/>
                <w:u w:val="single"/>
                <w:lang w:eastAsia="zh-CN"/>
              </w:rPr>
              <w:t>治理服务</w:t>
            </w:r>
            <w:r>
              <w:rPr>
                <w:rFonts w:hint="eastAsia" w:ascii="仿宋" w:hAnsi="仿宋" w:eastAsia="仿宋" w:cs="宋体"/>
                <w:color w:val="auto"/>
                <w:kern w:val="0"/>
                <w:sz w:val="24"/>
                <w:highlight w:val="none"/>
              </w:rPr>
              <w:t>，属于</w:t>
            </w:r>
            <w:r>
              <w:rPr>
                <w:rFonts w:hint="eastAsia" w:ascii="仿宋" w:hAnsi="仿宋" w:eastAsia="仿宋" w:cs="宋体"/>
                <w:color w:val="auto"/>
                <w:kern w:val="0"/>
                <w:sz w:val="24"/>
                <w:highlight w:val="none"/>
                <w:u w:val="single"/>
              </w:rPr>
              <w:t>其他未列明行业</w:t>
            </w:r>
            <w:r>
              <w:rPr>
                <w:rFonts w:hint="eastAsia" w:ascii="仿宋" w:hAnsi="仿宋" w:eastAsia="仿宋" w:cs="宋体"/>
                <w:color w:val="auto"/>
                <w:kern w:val="0"/>
                <w:sz w:val="24"/>
                <w:highlight w:val="none"/>
              </w:rPr>
              <w:t>；</w:t>
            </w:r>
          </w:p>
          <w:p w14:paraId="33E4302C">
            <w:pPr>
              <w:snapToGrid w:val="0"/>
              <w:spacing w:line="360" w:lineRule="auto"/>
              <w:rPr>
                <w:rFonts w:ascii="仿宋" w:hAnsi="仿宋" w:eastAsia="仿宋" w:cs="宋体"/>
                <w:color w:val="auto"/>
                <w:highlight w:val="none"/>
              </w:rPr>
            </w:pPr>
            <w:r>
              <w:rPr>
                <w:rFonts w:hint="eastAsia" w:ascii="仿宋" w:hAnsi="仿宋" w:eastAsia="仿宋" w:cs="宋体"/>
                <w:color w:val="auto"/>
                <w:sz w:val="24"/>
                <w:highlight w:val="none"/>
              </w:rPr>
              <w:t>（</w:t>
            </w:r>
            <w:r>
              <w:rPr>
                <w:rFonts w:hint="eastAsia" w:ascii="仿宋" w:hAnsi="仿宋" w:eastAsia="仿宋" w:cs="宋体"/>
                <w:color w:val="auto"/>
                <w:sz w:val="24"/>
                <w:highlight w:val="none"/>
                <w:lang w:val="en-US" w:eastAsia="zh-CN"/>
              </w:rPr>
              <w:t>5</w:t>
            </w:r>
            <w:r>
              <w:rPr>
                <w:rFonts w:hint="eastAsia" w:ascii="仿宋" w:hAnsi="仿宋" w:eastAsia="仿宋" w:cs="宋体"/>
                <w:color w:val="auto"/>
                <w:sz w:val="24"/>
                <w:highlight w:val="none"/>
              </w:rPr>
              <w:t>）根据《关于印发中小企业划型标准规定的通知》（工信部联企业〔2011〕300号）第四条规定：</w:t>
            </w:r>
            <w:r>
              <w:rPr>
                <w:rFonts w:hint="eastAsia" w:ascii="仿宋" w:hAnsi="仿宋" w:eastAsia="仿宋" w:cs="宋体"/>
                <w:color w:val="auto"/>
                <w:sz w:val="24"/>
                <w:highlight w:val="none"/>
                <w:u w:val="single"/>
              </w:rPr>
              <w:t>其他未列明行业</w:t>
            </w:r>
            <w:r>
              <w:rPr>
                <w:rFonts w:hint="eastAsia" w:ascii="仿宋" w:hAnsi="仿宋" w:eastAsia="仿宋" w:cs="宋体"/>
                <w:color w:val="auto"/>
                <w:sz w:val="24"/>
                <w:highlight w:val="none"/>
                <w:lang w:eastAsia="zh-CN"/>
              </w:rPr>
              <w:t>。</w:t>
            </w:r>
            <w:r>
              <w:rPr>
                <w:rFonts w:hint="eastAsia" w:ascii="仿宋" w:hAnsi="仿宋" w:eastAsia="仿宋" w:cs="宋体"/>
                <w:color w:val="auto"/>
                <w:sz w:val="24"/>
                <w:highlight w:val="none"/>
              </w:rPr>
              <w:t>从业人员300人以下的为中小微型企业。其中，从业人员100人及以上的为中型企业；从业人员10人及以上的为小型企业；从业人员10人以下的为微型企业。</w:t>
            </w:r>
          </w:p>
        </w:tc>
      </w:tr>
      <w:tr w14:paraId="52439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69" w:type="dxa"/>
            <w:noWrap w:val="0"/>
            <w:vAlign w:val="center"/>
          </w:tcPr>
          <w:p w14:paraId="13AFFD45">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3</w:t>
            </w:r>
          </w:p>
        </w:tc>
        <w:tc>
          <w:tcPr>
            <w:tcW w:w="2321" w:type="dxa"/>
            <w:noWrap w:val="0"/>
            <w:vAlign w:val="center"/>
          </w:tcPr>
          <w:p w14:paraId="28E8BDD6">
            <w:pPr>
              <w:snapToGrid w:val="0"/>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是否允许采购进口产品</w:t>
            </w:r>
          </w:p>
        </w:tc>
        <w:tc>
          <w:tcPr>
            <w:tcW w:w="7154" w:type="dxa"/>
            <w:noWrap w:val="0"/>
            <w:vAlign w:val="center"/>
          </w:tcPr>
          <w:p w14:paraId="6D30FA6A">
            <w:pPr>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sym w:font="Wingdings" w:char="F0FE"/>
            </w:r>
            <w:r>
              <w:rPr>
                <w:rFonts w:hint="eastAsia" w:ascii="仿宋" w:hAnsi="仿宋" w:eastAsia="仿宋" w:cs="宋体"/>
                <w:color w:val="auto"/>
                <w:kern w:val="0"/>
                <w:sz w:val="24"/>
                <w:highlight w:val="none"/>
              </w:rPr>
              <w:t>本项目不允许采购进口产品。</w:t>
            </w:r>
          </w:p>
          <w:p w14:paraId="4674AACE">
            <w:pPr>
              <w:spacing w:line="360" w:lineRule="auto"/>
              <w:rPr>
                <w:rFonts w:ascii="仿宋" w:hAnsi="仿宋" w:eastAsia="仿宋" w:cs="宋体"/>
                <w:color w:val="auto"/>
                <w:highlight w:val="none"/>
              </w:rPr>
            </w:pPr>
            <w:r>
              <w:rPr>
                <w:rFonts w:ascii="Segoe UI Symbol" w:hAnsi="Segoe UI Symbol" w:eastAsia="仿宋" w:cs="Segoe UI Symbol"/>
                <w:color w:val="auto"/>
                <w:kern w:val="0"/>
                <w:sz w:val="24"/>
                <w:highlight w:val="none"/>
              </w:rPr>
              <w:t>☐</w:t>
            </w:r>
            <w:r>
              <w:rPr>
                <w:rFonts w:hint="eastAsia" w:ascii="仿宋" w:hAnsi="仿宋" w:eastAsia="仿宋" w:cs="宋体"/>
                <w:color w:val="auto"/>
                <w:kern w:val="0"/>
                <w:sz w:val="24"/>
                <w:highlight w:val="none"/>
              </w:rPr>
              <w:t>可以就</w:t>
            </w:r>
            <w:r>
              <w:rPr>
                <w:rFonts w:hint="eastAsia" w:ascii="仿宋" w:hAnsi="仿宋" w:eastAsia="仿宋" w:cs="宋体"/>
                <w:color w:val="auto"/>
                <w:sz w:val="24"/>
                <w:highlight w:val="none"/>
                <w:u w:val="single"/>
              </w:rPr>
              <w:t xml:space="preserve">    </w:t>
            </w:r>
            <w:r>
              <w:rPr>
                <w:rFonts w:hint="eastAsia" w:ascii="仿宋" w:hAnsi="仿宋" w:eastAsia="仿宋" w:cs="宋体"/>
                <w:color w:val="auto"/>
                <w:kern w:val="0"/>
                <w:sz w:val="24"/>
                <w:highlight w:val="none"/>
              </w:rPr>
              <w:t>采购进口产品。</w:t>
            </w:r>
          </w:p>
        </w:tc>
      </w:tr>
      <w:tr w14:paraId="2024AF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69" w:type="dxa"/>
            <w:noWrap w:val="0"/>
            <w:vAlign w:val="center"/>
          </w:tcPr>
          <w:p w14:paraId="41F96774">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4</w:t>
            </w:r>
          </w:p>
        </w:tc>
        <w:tc>
          <w:tcPr>
            <w:tcW w:w="2321" w:type="dxa"/>
            <w:noWrap w:val="0"/>
            <w:vAlign w:val="center"/>
          </w:tcPr>
          <w:p w14:paraId="0E07507B">
            <w:pPr>
              <w:snapToGrid w:val="0"/>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分包</w:t>
            </w:r>
          </w:p>
        </w:tc>
        <w:tc>
          <w:tcPr>
            <w:tcW w:w="7154" w:type="dxa"/>
            <w:noWrap w:val="0"/>
            <w:vAlign w:val="center"/>
          </w:tcPr>
          <w:p w14:paraId="0BEB4580">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sz w:val="24"/>
                <w:highlight w:val="none"/>
              </w:rPr>
              <w:t xml:space="preserve"> A 同意将非主体、非关键</w:t>
            </w:r>
            <w:r>
              <w:rPr>
                <w:rFonts w:hint="eastAsia" w:ascii="仿宋" w:hAnsi="仿宋" w:eastAsia="仿宋" w:cs="仿宋"/>
                <w:color w:val="auto"/>
                <w:sz w:val="24"/>
                <w:highlight w:val="none"/>
              </w:rPr>
              <w:t>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产品的包装、运输 </w:t>
            </w:r>
            <w:r>
              <w:rPr>
                <w:rFonts w:hint="eastAsia" w:ascii="仿宋" w:hAnsi="仿宋" w:eastAsia="仿宋" w:cs="仿宋"/>
                <w:color w:val="auto"/>
                <w:sz w:val="24"/>
                <w:highlight w:val="none"/>
              </w:rPr>
              <w:t>工作分</w:t>
            </w:r>
            <w:r>
              <w:rPr>
                <w:rFonts w:hint="eastAsia" w:ascii="仿宋" w:hAnsi="仿宋" w:eastAsia="仿宋" w:cs="仿宋"/>
                <w:color w:val="auto"/>
                <w:sz w:val="24"/>
                <w:highlight w:val="none"/>
              </w:rPr>
              <w:t xml:space="preserve">包。 </w:t>
            </w:r>
          </w:p>
          <w:p w14:paraId="012897EE">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 xml:space="preserve">B 不同意分包。 </w:t>
            </w:r>
          </w:p>
          <w:p w14:paraId="3651764A">
            <w:pPr>
              <w:spacing w:line="360" w:lineRule="auto"/>
              <w:rPr>
                <w:rFonts w:ascii="仿宋" w:hAnsi="仿宋" w:eastAsia="仿宋" w:cs="宋体"/>
                <w:color w:val="auto"/>
                <w:sz w:val="24"/>
                <w:highlight w:val="none"/>
              </w:rPr>
            </w:pPr>
            <w:r>
              <w:rPr>
                <w:rFonts w:hint="eastAsia" w:ascii="仿宋" w:hAnsi="仿宋" w:eastAsia="仿宋" w:cs="仿宋"/>
                <w:color w:val="auto"/>
                <w:sz w:val="24"/>
                <w:highlight w:val="none"/>
              </w:rPr>
              <w:t>注：不得限制大中型企业向小微企业合理分包。</w:t>
            </w:r>
          </w:p>
        </w:tc>
      </w:tr>
      <w:tr w14:paraId="3C050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69" w:type="dxa"/>
            <w:noWrap w:val="0"/>
            <w:vAlign w:val="center"/>
          </w:tcPr>
          <w:p w14:paraId="17A96A55">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5</w:t>
            </w:r>
          </w:p>
        </w:tc>
        <w:tc>
          <w:tcPr>
            <w:tcW w:w="2321" w:type="dxa"/>
            <w:noWrap w:val="0"/>
            <w:vAlign w:val="center"/>
          </w:tcPr>
          <w:p w14:paraId="12705595">
            <w:pPr>
              <w:snapToGrid w:val="0"/>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开标前答疑会或现场考察</w:t>
            </w:r>
          </w:p>
        </w:tc>
        <w:tc>
          <w:tcPr>
            <w:tcW w:w="7154" w:type="dxa"/>
            <w:noWrap w:val="0"/>
            <w:vAlign w:val="center"/>
          </w:tcPr>
          <w:p w14:paraId="519739C6">
            <w:pPr>
              <w:spacing w:line="360" w:lineRule="auto"/>
              <w:rPr>
                <w:rFonts w:ascii="仿宋" w:hAnsi="仿宋" w:eastAsia="仿宋" w:cs="宋体"/>
                <w:color w:val="auto"/>
                <w:sz w:val="24"/>
                <w:highlight w:val="none"/>
              </w:rPr>
            </w:pPr>
            <w:r>
              <w:rPr>
                <w:rFonts w:ascii="Wingdings" w:hAnsi="Wingdings" w:eastAsia="仿宋" w:cs="宋体"/>
                <w:color w:val="auto"/>
                <w:kern w:val="0"/>
                <w:sz w:val="24"/>
                <w:highlight w:val="none"/>
              </w:rPr>
              <w:t></w:t>
            </w:r>
            <w:r>
              <w:rPr>
                <w:rFonts w:hint="eastAsia" w:ascii="仿宋" w:hAnsi="仿宋" w:eastAsia="仿宋" w:cs="宋体"/>
                <w:color w:val="auto"/>
                <w:kern w:val="0"/>
                <w:sz w:val="24"/>
                <w:highlight w:val="none"/>
              </w:rPr>
              <w:t>A</w:t>
            </w:r>
            <w:r>
              <w:rPr>
                <w:rFonts w:hint="eastAsia" w:ascii="仿宋" w:hAnsi="仿宋" w:eastAsia="仿宋" w:cs="宋体"/>
                <w:color w:val="auto"/>
                <w:sz w:val="24"/>
                <w:highlight w:val="none"/>
              </w:rPr>
              <w:t>不组织。</w:t>
            </w:r>
          </w:p>
          <w:p w14:paraId="4EDE310E">
            <w:pPr>
              <w:spacing w:line="360" w:lineRule="auto"/>
              <w:rPr>
                <w:rFonts w:hint="eastAsia" w:ascii="仿宋" w:hAnsi="仿宋" w:eastAsia="仿宋" w:cs="仿宋"/>
                <w:color w:val="auto"/>
                <w:sz w:val="24"/>
                <w:szCs w:val="32"/>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szCs w:val="32"/>
                <w:highlight w:val="none"/>
              </w:rPr>
              <w:t>B组织，时间：      ,地点：      ，联系人：      ，联系方式：      。</w:t>
            </w:r>
          </w:p>
          <w:p w14:paraId="2F09D0BD">
            <w:pPr>
              <w:spacing w:line="360" w:lineRule="auto"/>
              <w:rPr>
                <w:rFonts w:ascii="仿宋" w:hAnsi="仿宋" w:eastAsia="仿宋" w:cs="宋体"/>
                <w:color w:val="auto"/>
                <w:sz w:val="24"/>
                <w:szCs w:val="20"/>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2"/>
                <w:sz w:val="24"/>
                <w:szCs w:val="32"/>
                <w:highlight w:val="none"/>
                <w:lang w:val="en-US" w:eastAsia="zh-CN" w:bidi="ar-SA"/>
              </w:rPr>
              <w:t>C不统一组织，供应商在获取采购文件后，自行至项目现场考察。地点： ，联系人： ，联系方式： 。</w:t>
            </w:r>
          </w:p>
        </w:tc>
      </w:tr>
      <w:tr w14:paraId="6A0EF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69" w:type="dxa"/>
            <w:noWrap w:val="0"/>
            <w:vAlign w:val="center"/>
          </w:tcPr>
          <w:p w14:paraId="3AF7BEED">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6</w:t>
            </w:r>
          </w:p>
        </w:tc>
        <w:tc>
          <w:tcPr>
            <w:tcW w:w="2321" w:type="dxa"/>
            <w:noWrap w:val="0"/>
            <w:vAlign w:val="center"/>
          </w:tcPr>
          <w:p w14:paraId="15FE08C3">
            <w:pPr>
              <w:snapToGrid w:val="0"/>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样品提供</w:t>
            </w:r>
          </w:p>
        </w:tc>
        <w:tc>
          <w:tcPr>
            <w:tcW w:w="7154" w:type="dxa"/>
            <w:noWrap w:val="0"/>
            <w:vAlign w:val="center"/>
          </w:tcPr>
          <w:p w14:paraId="184FC892">
            <w:pPr>
              <w:spacing w:line="360" w:lineRule="auto"/>
              <w:rPr>
                <w:rFonts w:ascii="仿宋" w:hAnsi="仿宋" w:eastAsia="仿宋" w:cs="宋体"/>
                <w:b/>
                <w:color w:val="auto"/>
                <w:sz w:val="24"/>
                <w:highlight w:val="none"/>
              </w:rPr>
            </w:pPr>
            <w:r>
              <w:rPr>
                <w:rFonts w:hint="eastAsia" w:ascii="仿宋" w:hAnsi="仿宋" w:eastAsia="仿宋" w:cs="宋体"/>
                <w:color w:val="auto"/>
                <w:kern w:val="0"/>
                <w:sz w:val="24"/>
                <w:highlight w:val="none"/>
              </w:rPr>
              <w:sym w:font="Wingdings" w:char="F0FE"/>
            </w:r>
            <w:r>
              <w:rPr>
                <w:rFonts w:hint="eastAsia" w:ascii="仿宋" w:hAnsi="仿宋" w:eastAsia="仿宋" w:cs="宋体"/>
                <w:color w:val="auto"/>
                <w:kern w:val="0"/>
                <w:sz w:val="24"/>
                <w:highlight w:val="none"/>
              </w:rPr>
              <w:t>A</w:t>
            </w:r>
            <w:r>
              <w:rPr>
                <w:rFonts w:hint="eastAsia" w:ascii="仿宋" w:hAnsi="仿宋" w:eastAsia="仿宋" w:cs="宋体"/>
                <w:color w:val="auto"/>
                <w:sz w:val="24"/>
                <w:highlight w:val="none"/>
              </w:rPr>
              <w:t>不要求提供。</w:t>
            </w:r>
          </w:p>
        </w:tc>
      </w:tr>
      <w:tr w14:paraId="53195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69" w:type="dxa"/>
            <w:noWrap w:val="0"/>
            <w:vAlign w:val="center"/>
          </w:tcPr>
          <w:p w14:paraId="7A22AF76">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7</w:t>
            </w:r>
          </w:p>
        </w:tc>
        <w:tc>
          <w:tcPr>
            <w:tcW w:w="2321" w:type="dxa"/>
            <w:noWrap w:val="0"/>
            <w:vAlign w:val="center"/>
          </w:tcPr>
          <w:p w14:paraId="778F4CDF">
            <w:pPr>
              <w:snapToGrid w:val="0"/>
              <w:spacing w:line="360" w:lineRule="auto"/>
              <w:jc w:val="center"/>
              <w:rPr>
                <w:rFonts w:ascii="仿宋" w:hAnsi="仿宋" w:eastAsia="仿宋" w:cs="宋体"/>
                <w:bCs/>
                <w:color w:val="auto"/>
                <w:sz w:val="24"/>
                <w:highlight w:val="none"/>
              </w:rPr>
            </w:pPr>
            <w:r>
              <w:rPr>
                <w:rFonts w:hint="eastAsia" w:ascii="仿宋" w:hAnsi="仿宋" w:eastAsia="仿宋" w:cs="宋体"/>
                <w:b/>
                <w:color w:val="auto"/>
                <w:sz w:val="24"/>
                <w:highlight w:val="none"/>
              </w:rPr>
              <w:t>方案讲解演示</w:t>
            </w:r>
          </w:p>
        </w:tc>
        <w:tc>
          <w:tcPr>
            <w:tcW w:w="7154" w:type="dxa"/>
            <w:noWrap w:val="0"/>
            <w:vAlign w:val="center"/>
          </w:tcPr>
          <w:p w14:paraId="3852D661">
            <w:pPr>
              <w:spacing w:line="360" w:lineRule="auto"/>
              <w:rPr>
                <w:rFonts w:ascii="仿宋" w:hAnsi="仿宋" w:eastAsia="仿宋" w:cs="宋体"/>
                <w:b/>
                <w:color w:val="auto"/>
                <w:kern w:val="0"/>
                <w:sz w:val="24"/>
                <w:highlight w:val="none"/>
                <w:lang w:val="zh-CN"/>
              </w:rPr>
            </w:pPr>
            <w:r>
              <w:rPr>
                <w:rFonts w:ascii="Wingdings" w:hAnsi="Wingdings" w:eastAsia="仿宋" w:cs="Segoe UI Symbol"/>
                <w:color w:val="auto"/>
                <w:kern w:val="0"/>
                <w:sz w:val="24"/>
                <w:highlight w:val="none"/>
              </w:rPr>
              <w:sym w:font="Wingdings" w:char="00FE"/>
            </w:r>
            <w:r>
              <w:rPr>
                <w:rFonts w:hint="eastAsia" w:ascii="仿宋" w:hAnsi="仿宋" w:eastAsia="仿宋" w:cs="宋体"/>
                <w:color w:val="auto"/>
                <w:kern w:val="0"/>
                <w:sz w:val="24"/>
                <w:highlight w:val="none"/>
              </w:rPr>
              <w:t>A</w:t>
            </w:r>
            <w:r>
              <w:rPr>
                <w:rFonts w:hint="eastAsia" w:ascii="仿宋" w:hAnsi="仿宋" w:eastAsia="仿宋" w:cs="宋体"/>
                <w:color w:val="auto"/>
                <w:sz w:val="24"/>
                <w:highlight w:val="none"/>
              </w:rPr>
              <w:t>不组织。</w:t>
            </w:r>
          </w:p>
        </w:tc>
      </w:tr>
      <w:tr w14:paraId="125A8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69" w:type="dxa"/>
            <w:vMerge w:val="restart"/>
            <w:noWrap w:val="0"/>
            <w:vAlign w:val="center"/>
          </w:tcPr>
          <w:p w14:paraId="12C7151A">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8</w:t>
            </w:r>
          </w:p>
        </w:tc>
        <w:tc>
          <w:tcPr>
            <w:tcW w:w="2321" w:type="dxa"/>
            <w:vMerge w:val="restart"/>
            <w:noWrap w:val="0"/>
            <w:vAlign w:val="center"/>
          </w:tcPr>
          <w:p w14:paraId="5FA8F191">
            <w:pPr>
              <w:snapToGrid w:val="0"/>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投标人应当提供的资格、资信证明文件</w:t>
            </w:r>
          </w:p>
        </w:tc>
        <w:tc>
          <w:tcPr>
            <w:tcW w:w="7154" w:type="dxa"/>
            <w:noWrap w:val="0"/>
            <w:vAlign w:val="center"/>
          </w:tcPr>
          <w:p w14:paraId="1431B648">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（1）资格证明文件：见招标文件第二部分1</w:t>
            </w:r>
            <w:r>
              <w:rPr>
                <w:rFonts w:hint="eastAsia" w:ascii="仿宋" w:hAnsi="仿宋" w:eastAsia="仿宋" w:cs="宋体"/>
                <w:color w:val="auto"/>
                <w:sz w:val="24"/>
                <w:highlight w:val="none"/>
                <w:lang w:val="en-US" w:eastAsia="zh-CN"/>
              </w:rPr>
              <w:t>3</w:t>
            </w:r>
            <w:r>
              <w:rPr>
                <w:rFonts w:hint="eastAsia" w:ascii="仿宋" w:hAnsi="仿宋" w:eastAsia="仿宋" w:cs="宋体"/>
                <w:color w:val="auto"/>
                <w:sz w:val="24"/>
                <w:highlight w:val="none"/>
              </w:rPr>
              <w:t>.1。</w:t>
            </w:r>
          </w:p>
          <w:p w14:paraId="1DCAB7D2">
            <w:pPr>
              <w:spacing w:line="360" w:lineRule="auto"/>
              <w:rPr>
                <w:rFonts w:ascii="仿宋" w:hAnsi="仿宋" w:eastAsia="仿宋" w:cs="宋体"/>
                <w:snapToGrid w:val="0"/>
                <w:color w:val="auto"/>
                <w:kern w:val="0"/>
                <w:szCs w:val="21"/>
                <w:highlight w:val="none"/>
              </w:rPr>
            </w:pPr>
            <w:r>
              <w:rPr>
                <w:rFonts w:hint="eastAsia" w:ascii="仿宋" w:hAnsi="仿宋" w:eastAsia="仿宋" w:cs="宋体"/>
                <w:color w:val="auto"/>
                <w:kern w:val="0"/>
                <w:sz w:val="24"/>
                <w:highlight w:val="none"/>
                <w:lang w:val="zh-CN"/>
              </w:rPr>
              <w:t>投标人未提供有效的资格证明文件的，视为投标人不具备招标文件中规定的资格要求，投标无效。</w:t>
            </w:r>
          </w:p>
        </w:tc>
      </w:tr>
      <w:tr w14:paraId="05A4D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69" w:type="dxa"/>
            <w:vMerge w:val="continue"/>
            <w:noWrap w:val="0"/>
            <w:vAlign w:val="center"/>
          </w:tcPr>
          <w:p w14:paraId="24F0F168">
            <w:pPr>
              <w:snapToGrid w:val="0"/>
              <w:spacing w:line="360" w:lineRule="auto"/>
              <w:jc w:val="center"/>
              <w:rPr>
                <w:rFonts w:ascii="仿宋" w:hAnsi="仿宋" w:eastAsia="仿宋" w:cs="宋体"/>
                <w:color w:val="auto"/>
                <w:sz w:val="24"/>
                <w:highlight w:val="none"/>
              </w:rPr>
            </w:pPr>
          </w:p>
        </w:tc>
        <w:tc>
          <w:tcPr>
            <w:tcW w:w="2321" w:type="dxa"/>
            <w:vMerge w:val="continue"/>
            <w:noWrap w:val="0"/>
            <w:vAlign w:val="center"/>
          </w:tcPr>
          <w:p w14:paraId="7E79E9CA">
            <w:pPr>
              <w:snapToGrid w:val="0"/>
              <w:spacing w:line="360" w:lineRule="auto"/>
              <w:jc w:val="center"/>
              <w:rPr>
                <w:rFonts w:ascii="仿宋" w:hAnsi="仿宋" w:eastAsia="仿宋" w:cs="宋体"/>
                <w:b/>
                <w:color w:val="auto"/>
                <w:sz w:val="24"/>
                <w:highlight w:val="none"/>
              </w:rPr>
            </w:pPr>
          </w:p>
        </w:tc>
        <w:tc>
          <w:tcPr>
            <w:tcW w:w="7154" w:type="dxa"/>
            <w:noWrap w:val="0"/>
            <w:vAlign w:val="center"/>
          </w:tcPr>
          <w:p w14:paraId="1E2FFF4B">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（2）资信证明文件：根据招标文件第四部分评标标准提供。</w:t>
            </w:r>
          </w:p>
        </w:tc>
      </w:tr>
      <w:tr w14:paraId="7C363E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69" w:type="dxa"/>
            <w:noWrap w:val="0"/>
            <w:vAlign w:val="center"/>
          </w:tcPr>
          <w:p w14:paraId="4A8A7F49">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9</w:t>
            </w:r>
          </w:p>
        </w:tc>
        <w:tc>
          <w:tcPr>
            <w:tcW w:w="2321" w:type="dxa"/>
            <w:noWrap w:val="0"/>
            <w:vAlign w:val="center"/>
          </w:tcPr>
          <w:p w14:paraId="1B8A3EF4">
            <w:pPr>
              <w:snapToGrid w:val="0"/>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节能产品、环境标志产品</w:t>
            </w:r>
          </w:p>
        </w:tc>
        <w:tc>
          <w:tcPr>
            <w:tcW w:w="7154" w:type="dxa"/>
            <w:noWrap w:val="0"/>
            <w:vAlign w:val="center"/>
          </w:tcPr>
          <w:p w14:paraId="3BF0CAA1">
            <w:pPr>
              <w:pStyle w:val="27"/>
              <w:ind w:firstLine="480"/>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5CBD086">
            <w:pPr>
              <w:pStyle w:val="27"/>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☐强制采购。产品：    </w:t>
            </w:r>
          </w:p>
          <w:p w14:paraId="13CDB0AC">
            <w:pPr>
              <w:pStyle w:val="27"/>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优先采购节能产品。产品：   </w:t>
            </w:r>
          </w:p>
          <w:p w14:paraId="2CEB3542">
            <w:pPr>
              <w:pStyle w:val="27"/>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优先采购环保产品。产品：    </w:t>
            </w:r>
          </w:p>
          <w:p w14:paraId="05C43B9A">
            <w:pPr>
              <w:snapToGrid w:val="0"/>
              <w:spacing w:line="360" w:lineRule="auto"/>
              <w:ind w:firstLine="480" w:firstLineChars="200"/>
              <w:rPr>
                <w:rFonts w:ascii="仿宋" w:hAnsi="仿宋" w:eastAsia="仿宋" w:cs="宋体"/>
                <w:color w:val="auto"/>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无</w:t>
            </w:r>
          </w:p>
        </w:tc>
      </w:tr>
      <w:tr w14:paraId="35CC0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69" w:type="dxa"/>
            <w:noWrap w:val="0"/>
            <w:vAlign w:val="center"/>
          </w:tcPr>
          <w:p w14:paraId="40492322">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10</w:t>
            </w:r>
          </w:p>
        </w:tc>
        <w:tc>
          <w:tcPr>
            <w:tcW w:w="2321" w:type="dxa"/>
            <w:noWrap w:val="0"/>
            <w:vAlign w:val="center"/>
          </w:tcPr>
          <w:p w14:paraId="0804E491">
            <w:pPr>
              <w:snapToGrid w:val="0"/>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报价要求</w:t>
            </w:r>
          </w:p>
        </w:tc>
        <w:tc>
          <w:tcPr>
            <w:tcW w:w="7154" w:type="dxa"/>
            <w:noWrap w:val="0"/>
            <w:vAlign w:val="center"/>
          </w:tcPr>
          <w:p w14:paraId="6E71395C">
            <w:pPr>
              <w:snapToGrid w:val="0"/>
              <w:spacing w:line="360" w:lineRule="auto"/>
              <w:jc w:val="left"/>
              <w:rPr>
                <w:rFonts w:ascii="仿宋" w:hAnsi="仿宋" w:eastAsia="仿宋" w:cs="宋体"/>
                <w:b/>
                <w:color w:val="auto"/>
                <w:kern w:val="0"/>
                <w:sz w:val="24"/>
                <w:highlight w:val="none"/>
                <w:lang w:val="zh-CN"/>
              </w:rPr>
            </w:pPr>
            <w:r>
              <w:rPr>
                <w:rFonts w:hint="eastAsia" w:ascii="仿宋" w:hAnsi="仿宋" w:eastAsia="仿宋" w:cs="宋体"/>
                <w:color w:val="auto"/>
                <w:kern w:val="0"/>
                <w:sz w:val="24"/>
                <w:highlight w:val="none"/>
                <w:lang w:val="zh-CN"/>
              </w:rPr>
              <w:t>有关本项目实施所需的所有费用（含税费）均计入报价。</w:t>
            </w:r>
            <w:r>
              <w:rPr>
                <w:rFonts w:hint="eastAsia" w:ascii="仿宋" w:hAnsi="仿宋" w:eastAsia="仿宋" w:cs="宋体"/>
                <w:b/>
                <w:bCs/>
                <w:color w:val="auto"/>
                <w:kern w:val="0"/>
                <w:sz w:val="24"/>
                <w:highlight w:val="none"/>
                <w:lang w:val="zh-CN"/>
              </w:rPr>
              <w:t>投标文件</w:t>
            </w:r>
            <w:r>
              <w:rPr>
                <w:rFonts w:hint="eastAsia" w:ascii="仿宋" w:hAnsi="仿宋" w:eastAsia="仿宋"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宋体"/>
                <w:b/>
                <w:color w:val="auto"/>
                <w:kern w:val="0"/>
                <w:sz w:val="24"/>
                <w:highlight w:val="none"/>
                <w:lang w:val="zh-CN"/>
              </w:rPr>
              <w:t>提醒：验收时检测费用由采购人承担，不包含在投标总价中。</w:t>
            </w:r>
          </w:p>
          <w:p w14:paraId="6EC4B614">
            <w:pPr>
              <w:snapToGrid w:val="0"/>
              <w:spacing w:line="360" w:lineRule="auto"/>
              <w:jc w:val="left"/>
              <w:rPr>
                <w:rFonts w:ascii="仿宋" w:hAnsi="仿宋" w:eastAsia="仿宋" w:cs="宋体"/>
                <w:b/>
                <w:color w:val="auto"/>
                <w:kern w:val="0"/>
                <w:sz w:val="24"/>
                <w:highlight w:val="none"/>
                <w:lang w:val="zh-CN"/>
              </w:rPr>
            </w:pPr>
            <w:r>
              <w:rPr>
                <w:rFonts w:hint="eastAsia" w:ascii="仿宋" w:hAnsi="仿宋" w:eastAsia="仿宋" w:cs="宋体"/>
                <w:b/>
                <w:color w:val="auto"/>
                <w:kern w:val="0"/>
                <w:sz w:val="24"/>
                <w:highlight w:val="none"/>
                <w:lang w:val="zh-CN"/>
              </w:rPr>
              <w:t>投标报价出现下列情形的，投标无效：</w:t>
            </w:r>
          </w:p>
          <w:p w14:paraId="10FB122A">
            <w:pPr>
              <w:snapToGrid w:val="0"/>
              <w:spacing w:line="360" w:lineRule="auto"/>
              <w:ind w:firstLine="241" w:firstLineChars="100"/>
              <w:jc w:val="left"/>
              <w:rPr>
                <w:rFonts w:ascii="仿宋" w:hAnsi="仿宋" w:eastAsia="仿宋" w:cs="宋体"/>
                <w:b/>
                <w:color w:val="auto"/>
                <w:kern w:val="0"/>
                <w:sz w:val="24"/>
                <w:highlight w:val="none"/>
                <w:lang w:val="zh-CN"/>
              </w:rPr>
            </w:pPr>
            <w:r>
              <w:rPr>
                <w:rFonts w:hint="eastAsia" w:ascii="仿宋" w:hAnsi="仿宋" w:eastAsia="仿宋" w:cs="宋体"/>
                <w:b/>
                <w:color w:val="auto"/>
                <w:kern w:val="0"/>
                <w:sz w:val="24"/>
                <w:highlight w:val="none"/>
                <w:lang w:val="zh-CN"/>
              </w:rPr>
              <w:t>投标文件出现不是唯一的、有选择性投标报价的；</w:t>
            </w:r>
          </w:p>
          <w:p w14:paraId="7FB400CC">
            <w:pPr>
              <w:snapToGrid w:val="0"/>
              <w:spacing w:line="360" w:lineRule="auto"/>
              <w:ind w:firstLine="241" w:firstLineChars="100"/>
              <w:jc w:val="left"/>
              <w:rPr>
                <w:rFonts w:ascii="仿宋" w:hAnsi="仿宋" w:eastAsia="仿宋" w:cs="宋体"/>
                <w:color w:val="auto"/>
                <w:kern w:val="0"/>
                <w:sz w:val="24"/>
                <w:highlight w:val="none"/>
                <w:lang w:val="zh-CN"/>
              </w:rPr>
            </w:pPr>
            <w:r>
              <w:rPr>
                <w:rFonts w:hint="eastAsia" w:ascii="仿宋" w:hAnsi="仿宋" w:eastAsia="仿宋" w:cs="宋体"/>
                <w:b/>
                <w:color w:val="auto"/>
                <w:kern w:val="0"/>
                <w:sz w:val="24"/>
                <w:highlight w:val="none"/>
                <w:lang w:val="zh-CN"/>
              </w:rPr>
              <w:t>投标报价超过招标文件中规定的预算金额或者最高限价的;</w:t>
            </w:r>
          </w:p>
          <w:p w14:paraId="57CEB2C0">
            <w:pPr>
              <w:spacing w:line="360" w:lineRule="auto"/>
              <w:ind w:firstLine="241" w:firstLineChars="100"/>
              <w:rPr>
                <w:rFonts w:ascii="仿宋" w:hAnsi="仿宋" w:eastAsia="仿宋" w:cs="宋体"/>
                <w:b/>
                <w:color w:val="auto"/>
                <w:sz w:val="24"/>
                <w:highlight w:val="none"/>
              </w:rPr>
            </w:pPr>
            <w:r>
              <w:rPr>
                <w:rFonts w:hint="eastAsia" w:ascii="仿宋" w:hAnsi="仿宋" w:eastAsia="仿宋"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
                <w:color w:val="auto"/>
                <w:sz w:val="24"/>
                <w:szCs w:val="21"/>
                <w:highlight w:val="none"/>
              </w:rPr>
              <w:t>;</w:t>
            </w:r>
          </w:p>
          <w:p w14:paraId="4195D04B">
            <w:pPr>
              <w:spacing w:line="360" w:lineRule="auto"/>
              <w:ind w:firstLine="241" w:firstLineChars="100"/>
              <w:rPr>
                <w:rFonts w:hint="eastAsia" w:ascii="仿宋" w:hAnsi="仿宋" w:eastAsia="仿宋" w:cs="宋体"/>
                <w:b/>
                <w:color w:val="auto"/>
                <w:sz w:val="24"/>
                <w:highlight w:val="none"/>
              </w:rPr>
            </w:pPr>
            <w:r>
              <w:rPr>
                <w:rFonts w:hint="eastAsia" w:ascii="仿宋" w:hAnsi="仿宋" w:eastAsia="仿宋" w:cs="宋体"/>
                <w:b/>
                <w:color w:val="auto"/>
                <w:kern w:val="0"/>
                <w:sz w:val="24"/>
                <w:highlight w:val="none"/>
              </w:rPr>
              <w:t>投标人对根据修正原则修正后的报价不确认的</w:t>
            </w:r>
            <w:r>
              <w:rPr>
                <w:rFonts w:hint="eastAsia" w:ascii="仿宋" w:hAnsi="仿宋" w:eastAsia="仿宋" w:cs="宋体"/>
                <w:b/>
                <w:color w:val="auto"/>
                <w:sz w:val="24"/>
                <w:highlight w:val="none"/>
              </w:rPr>
              <w:t>。</w:t>
            </w:r>
          </w:p>
          <w:p w14:paraId="418B94ED">
            <w:pPr>
              <w:spacing w:line="360" w:lineRule="auto"/>
              <w:ind w:firstLine="241" w:firstLineChars="100"/>
              <w:rPr>
                <w:rFonts w:hint="eastAsia" w:ascii="仿宋" w:hAnsi="仿宋" w:eastAsia="仿宋" w:cs="宋体"/>
                <w:color w:val="auto"/>
                <w:sz w:val="24"/>
                <w:highlight w:val="none"/>
                <w:lang w:eastAsia="zh-CN"/>
              </w:rPr>
            </w:pPr>
            <w:r>
              <w:rPr>
                <w:rFonts w:hint="eastAsia" w:ascii="仿宋" w:hAnsi="仿宋" w:eastAsia="仿宋" w:cs="宋体"/>
                <w:b/>
                <w:color w:val="auto"/>
                <w:kern w:val="0"/>
                <w:sz w:val="24"/>
                <w:highlight w:val="none"/>
              </w:rPr>
              <w:t>投标人</w:t>
            </w:r>
            <w:r>
              <w:rPr>
                <w:rFonts w:hint="eastAsia" w:ascii="仿宋" w:hAnsi="仿宋" w:eastAsia="仿宋" w:cs="宋体"/>
                <w:b/>
                <w:color w:val="auto"/>
                <w:sz w:val="24"/>
                <w:highlight w:val="none"/>
              </w:rPr>
              <w:t>不得进行影响产品质量或者诚信履约的恶意报价。</w:t>
            </w:r>
            <w:r>
              <w:rPr>
                <w:rFonts w:hint="eastAsia" w:ascii="仿宋" w:hAnsi="仿宋" w:eastAsia="仿宋" w:cs="宋体"/>
                <w:b/>
                <w:color w:val="auto"/>
                <w:kern w:val="0"/>
                <w:sz w:val="24"/>
                <w:highlight w:val="none"/>
              </w:rPr>
              <w:t>投标人</w:t>
            </w:r>
            <w:r>
              <w:rPr>
                <w:rFonts w:hint="eastAsia" w:ascii="仿宋" w:hAnsi="仿宋" w:eastAsia="仿宋" w:cs="宋体"/>
                <w:b/>
                <w:color w:val="auto"/>
                <w:sz w:val="24"/>
                <w:highlight w:val="none"/>
              </w:rPr>
              <w:t>在项目评审前准备好报价核算、报价明细、报价说明等材料，以备评审专家核查</w:t>
            </w:r>
            <w:r>
              <w:rPr>
                <w:rFonts w:hint="eastAsia" w:ascii="仿宋" w:hAnsi="仿宋" w:eastAsia="仿宋" w:cs="宋体"/>
                <w:b/>
                <w:color w:val="auto"/>
                <w:sz w:val="24"/>
                <w:highlight w:val="none"/>
                <w:lang w:eastAsia="zh-CN"/>
              </w:rPr>
              <w:t>。</w:t>
            </w:r>
          </w:p>
        </w:tc>
      </w:tr>
      <w:tr w14:paraId="6CC12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69" w:type="dxa"/>
            <w:noWrap w:val="0"/>
            <w:vAlign w:val="center"/>
          </w:tcPr>
          <w:p w14:paraId="0053583B">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11</w:t>
            </w:r>
          </w:p>
        </w:tc>
        <w:tc>
          <w:tcPr>
            <w:tcW w:w="2321" w:type="dxa"/>
            <w:noWrap w:val="0"/>
            <w:vAlign w:val="center"/>
          </w:tcPr>
          <w:p w14:paraId="2BB8B2B6">
            <w:pPr>
              <w:snapToGrid w:val="0"/>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中小企业信用融资</w:t>
            </w:r>
          </w:p>
        </w:tc>
        <w:tc>
          <w:tcPr>
            <w:tcW w:w="7154" w:type="dxa"/>
            <w:noWrap w:val="0"/>
            <w:vAlign w:val="center"/>
          </w:tcPr>
          <w:p w14:paraId="028B9A96">
            <w:pPr>
              <w:spacing w:line="360" w:lineRule="auto"/>
              <w:ind w:firstLine="480" w:firstLineChars="200"/>
              <w:rPr>
                <w:rFonts w:ascii="仿宋" w:hAnsi="仿宋" w:eastAsia="仿宋" w:cs="宋体"/>
                <w:snapToGrid w:val="0"/>
                <w:color w:val="auto"/>
                <w:kern w:val="28"/>
                <w:sz w:val="24"/>
                <w:highlight w:val="none"/>
              </w:rPr>
            </w:pPr>
            <w:r>
              <w:rPr>
                <w:rFonts w:hint="eastAsia" w:ascii="仿宋" w:hAnsi="仿宋" w:eastAsia="仿宋" w:cs="宋体"/>
                <w:snapToGrid w:val="0"/>
                <w:color w:val="auto"/>
                <w:kern w:val="28"/>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14:paraId="6C74A493">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snapToGrid w:val="0"/>
                <w:color w:val="auto"/>
                <w:kern w:val="28"/>
                <w:sz w:val="24"/>
                <w:highlight w:val="none"/>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14:paraId="3B2525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69" w:type="dxa"/>
            <w:noWrap w:val="0"/>
            <w:vAlign w:val="center"/>
          </w:tcPr>
          <w:p w14:paraId="48CD41D4">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12</w:t>
            </w:r>
          </w:p>
        </w:tc>
        <w:tc>
          <w:tcPr>
            <w:tcW w:w="2321" w:type="dxa"/>
            <w:noWrap w:val="0"/>
            <w:vAlign w:val="center"/>
          </w:tcPr>
          <w:p w14:paraId="7DC9A9A7">
            <w:pPr>
              <w:snapToGrid w:val="0"/>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备份投标文件送达地点和签收人员</w:t>
            </w:r>
          </w:p>
        </w:tc>
        <w:tc>
          <w:tcPr>
            <w:tcW w:w="7154" w:type="dxa"/>
            <w:noWrap w:val="0"/>
            <w:vAlign w:val="center"/>
          </w:tcPr>
          <w:p w14:paraId="2B89BA99">
            <w:pPr>
              <w:pStyle w:val="15"/>
              <w:spacing w:line="360" w:lineRule="auto"/>
              <w:rPr>
                <w:rFonts w:ascii="仿宋" w:hAnsi="仿宋" w:eastAsia="仿宋" w:cs="宋体"/>
                <w:color w:val="auto"/>
                <w:kern w:val="28"/>
                <w:sz w:val="24"/>
                <w:szCs w:val="24"/>
                <w:highlight w:val="none"/>
              </w:rPr>
            </w:pPr>
            <w:r>
              <w:rPr>
                <w:rFonts w:hint="eastAsia" w:ascii="仿宋" w:hAnsi="仿宋" w:eastAsia="仿宋" w:cs="宋体"/>
                <w:color w:val="auto"/>
                <w:kern w:val="28"/>
                <w:sz w:val="24"/>
                <w:szCs w:val="24"/>
                <w:highlight w:val="none"/>
              </w:rPr>
              <w:t>备份投标文件送达地点：</w:t>
            </w:r>
          </w:p>
          <w:p w14:paraId="6C3C76CD">
            <w:pPr>
              <w:pStyle w:val="15"/>
              <w:spacing w:line="360" w:lineRule="auto"/>
              <w:rPr>
                <w:rFonts w:ascii="仿宋" w:hAnsi="仿宋" w:eastAsia="仿宋" w:cs="宋体"/>
                <w:color w:val="auto"/>
                <w:kern w:val="28"/>
                <w:sz w:val="24"/>
                <w:szCs w:val="24"/>
                <w:highlight w:val="none"/>
              </w:rPr>
            </w:pPr>
            <w:r>
              <w:rPr>
                <w:rFonts w:hint="eastAsia" w:ascii="仿宋" w:hAnsi="仿宋" w:eastAsia="仿宋" w:cs="宋体"/>
                <w:color w:val="auto"/>
                <w:kern w:val="28"/>
                <w:sz w:val="24"/>
                <w:szCs w:val="24"/>
                <w:highlight w:val="none"/>
              </w:rPr>
              <w:t>直接送达的：</w:t>
            </w:r>
            <w:r>
              <w:rPr>
                <w:rFonts w:hint="eastAsia" w:ascii="仿宋" w:hAnsi="仿宋" w:eastAsia="仿宋" w:cs="仿宋"/>
                <w:color w:val="auto"/>
                <w:sz w:val="24"/>
                <w:szCs w:val="24"/>
                <w:highlight w:val="none"/>
                <w:u w:val="single"/>
                <w:lang w:eastAsia="zh-CN"/>
              </w:rPr>
              <w:t>杭州市拱墅区白石巷318号人力资源产业园北楼512室</w:t>
            </w:r>
            <w:r>
              <w:rPr>
                <w:rFonts w:hint="eastAsia" w:ascii="仿宋" w:hAnsi="仿宋" w:eastAsia="仿宋" w:cs="宋体"/>
                <w:color w:val="auto"/>
                <w:kern w:val="28"/>
                <w:sz w:val="24"/>
                <w:szCs w:val="24"/>
                <w:highlight w:val="none"/>
              </w:rPr>
              <w:t>；</w:t>
            </w:r>
          </w:p>
          <w:p w14:paraId="2735035C">
            <w:pPr>
              <w:pStyle w:val="15"/>
              <w:spacing w:line="360" w:lineRule="auto"/>
              <w:rPr>
                <w:rFonts w:ascii="仿宋" w:hAnsi="仿宋" w:eastAsia="仿宋" w:cs="宋体"/>
                <w:color w:val="auto"/>
                <w:kern w:val="28"/>
                <w:sz w:val="24"/>
                <w:szCs w:val="24"/>
                <w:highlight w:val="none"/>
              </w:rPr>
            </w:pPr>
            <w:r>
              <w:rPr>
                <w:rFonts w:hint="eastAsia" w:ascii="仿宋" w:hAnsi="仿宋" w:eastAsia="仿宋" w:cs="宋体"/>
                <w:color w:val="auto"/>
                <w:kern w:val="28"/>
                <w:sz w:val="24"/>
                <w:szCs w:val="24"/>
                <w:highlight w:val="none"/>
              </w:rPr>
              <w:t>备份投标文件签收人员联系电话</w:t>
            </w:r>
            <w:r>
              <w:rPr>
                <w:rFonts w:hint="eastAsia" w:ascii="仿宋" w:hAnsi="仿宋" w:eastAsia="仿宋" w:cs="宋体"/>
                <w:color w:val="auto"/>
                <w:kern w:val="28"/>
                <w:sz w:val="24"/>
                <w:szCs w:val="24"/>
                <w:highlight w:val="none"/>
                <w:lang w:eastAsia="zh-CN"/>
              </w:rPr>
              <w:t>：15658033007</w:t>
            </w:r>
            <w:r>
              <w:rPr>
                <w:rFonts w:hint="eastAsia" w:ascii="仿宋" w:hAnsi="仿宋" w:eastAsia="仿宋" w:cs="宋体"/>
                <w:color w:val="auto"/>
                <w:kern w:val="28"/>
                <w:sz w:val="24"/>
                <w:szCs w:val="24"/>
                <w:highlight w:val="none"/>
              </w:rPr>
              <w:t>。</w:t>
            </w:r>
          </w:p>
          <w:p w14:paraId="2C94FF7B">
            <w:pPr>
              <w:pStyle w:val="15"/>
              <w:spacing w:line="360" w:lineRule="auto"/>
              <w:rPr>
                <w:rFonts w:ascii="仿宋" w:hAnsi="仿宋" w:eastAsia="仿宋" w:cs="宋体"/>
                <w:color w:val="auto"/>
                <w:kern w:val="28"/>
                <w:sz w:val="24"/>
                <w:szCs w:val="24"/>
                <w:highlight w:val="none"/>
              </w:rPr>
            </w:pPr>
            <w:r>
              <w:rPr>
                <w:rFonts w:hint="eastAsia" w:ascii="仿宋" w:hAnsi="仿宋" w:eastAsia="仿宋" w:cs="宋体"/>
                <w:color w:val="auto"/>
                <w:kern w:val="28"/>
                <w:sz w:val="24"/>
                <w:szCs w:val="24"/>
                <w:highlight w:val="none"/>
              </w:rPr>
              <w:t>或邮寄送达的：邮寄的备份投标文件请在投标截止时间前送达。投标文件邮寄地址:</w:t>
            </w:r>
            <w:r>
              <w:rPr>
                <w:rFonts w:hint="eastAsia" w:ascii="仿宋" w:hAnsi="仿宋" w:eastAsia="仿宋" w:cs="宋体"/>
                <w:color w:val="auto"/>
                <w:kern w:val="28"/>
                <w:sz w:val="24"/>
                <w:szCs w:val="24"/>
                <w:highlight w:val="none"/>
                <w:lang w:eastAsia="zh-CN"/>
              </w:rPr>
              <w:t>杭州市拱墅区白石巷318号人力资源产业园北楼512室盛宇轩</w:t>
            </w:r>
            <w:r>
              <w:rPr>
                <w:rFonts w:hint="eastAsia" w:ascii="仿宋" w:hAnsi="仿宋" w:eastAsia="仿宋" w:cs="宋体"/>
                <w:color w:val="auto"/>
                <w:kern w:val="28"/>
                <w:sz w:val="24"/>
                <w:szCs w:val="24"/>
                <w:highlight w:val="none"/>
              </w:rPr>
              <w:t>收）</w:t>
            </w:r>
          </w:p>
          <w:p w14:paraId="6082B9FD">
            <w:pPr>
              <w:pStyle w:val="15"/>
              <w:spacing w:line="360" w:lineRule="auto"/>
              <w:rPr>
                <w:rFonts w:ascii="仿宋" w:hAnsi="仿宋" w:eastAsia="仿宋" w:cs="宋体"/>
                <w:color w:val="auto"/>
                <w:kern w:val="28"/>
                <w:sz w:val="24"/>
                <w:highlight w:val="none"/>
              </w:rPr>
            </w:pPr>
            <w:r>
              <w:rPr>
                <w:rFonts w:hint="eastAsia" w:ascii="仿宋" w:hAnsi="仿宋" w:eastAsia="仿宋" w:cs="宋体"/>
                <w:b/>
                <w:color w:val="auto"/>
                <w:sz w:val="24"/>
                <w:szCs w:val="24"/>
                <w:highlight w:val="none"/>
              </w:rPr>
              <w:t>采购人、采购机构不强制或变相强制投标人提交备份投标文件。</w:t>
            </w:r>
          </w:p>
        </w:tc>
      </w:tr>
      <w:tr w14:paraId="73DF9A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69" w:type="dxa"/>
            <w:vMerge w:val="restart"/>
            <w:noWrap w:val="0"/>
            <w:vAlign w:val="center"/>
          </w:tcPr>
          <w:p w14:paraId="6E9E3A12">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13</w:t>
            </w:r>
          </w:p>
        </w:tc>
        <w:tc>
          <w:tcPr>
            <w:tcW w:w="2321" w:type="dxa"/>
            <w:vMerge w:val="restart"/>
            <w:noWrap w:val="0"/>
            <w:vAlign w:val="center"/>
          </w:tcPr>
          <w:p w14:paraId="1A010C0B">
            <w:pPr>
              <w:snapToGrid w:val="0"/>
              <w:spacing w:line="360" w:lineRule="auto"/>
              <w:jc w:val="center"/>
              <w:rPr>
                <w:rFonts w:ascii="仿宋" w:hAnsi="仿宋" w:eastAsia="仿宋" w:cs="宋体"/>
                <w:b/>
                <w:color w:val="auto"/>
                <w:sz w:val="24"/>
                <w:highlight w:val="none"/>
              </w:rPr>
            </w:pPr>
            <w:r>
              <w:rPr>
                <w:rFonts w:hint="eastAsia" w:ascii="仿宋" w:hAnsi="仿宋" w:eastAsia="仿宋" w:cs="仿宋_GB2312"/>
                <w:b/>
                <w:color w:val="auto"/>
                <w:sz w:val="24"/>
                <w:highlight w:val="none"/>
              </w:rPr>
              <w:t>特别说明</w:t>
            </w:r>
          </w:p>
        </w:tc>
        <w:tc>
          <w:tcPr>
            <w:tcW w:w="7154" w:type="dxa"/>
            <w:noWrap w:val="0"/>
            <w:vAlign w:val="center"/>
          </w:tcPr>
          <w:p w14:paraId="159C4B0B">
            <w:pPr>
              <w:spacing w:line="360" w:lineRule="auto"/>
              <w:rPr>
                <w:rFonts w:ascii="仿宋" w:hAnsi="仿宋" w:eastAsia="仿宋" w:cs="宋体"/>
                <w:snapToGrid w:val="0"/>
                <w:color w:val="auto"/>
                <w:kern w:val="28"/>
                <w:sz w:val="24"/>
                <w:highlight w:val="none"/>
              </w:rPr>
            </w:pPr>
            <w:r>
              <w:rPr>
                <w:rFonts w:hint="eastAsia" w:ascii="仿宋" w:hAnsi="仿宋" w:eastAsia="仿宋"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2244E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69" w:type="dxa"/>
            <w:vMerge w:val="continue"/>
            <w:tcBorders>
              <w:bottom w:val="single" w:color="auto" w:sz="4" w:space="0"/>
            </w:tcBorders>
            <w:noWrap w:val="0"/>
            <w:vAlign w:val="center"/>
          </w:tcPr>
          <w:p w14:paraId="5742B113">
            <w:pPr>
              <w:snapToGrid w:val="0"/>
              <w:spacing w:line="360" w:lineRule="auto"/>
              <w:jc w:val="center"/>
              <w:rPr>
                <w:rFonts w:ascii="仿宋" w:hAnsi="仿宋" w:eastAsia="仿宋" w:cs="宋体"/>
                <w:color w:val="auto"/>
                <w:sz w:val="24"/>
                <w:highlight w:val="none"/>
              </w:rPr>
            </w:pPr>
          </w:p>
        </w:tc>
        <w:tc>
          <w:tcPr>
            <w:tcW w:w="2321" w:type="dxa"/>
            <w:vMerge w:val="continue"/>
            <w:tcBorders>
              <w:bottom w:val="single" w:color="auto" w:sz="4" w:space="0"/>
            </w:tcBorders>
            <w:noWrap w:val="0"/>
            <w:vAlign w:val="center"/>
          </w:tcPr>
          <w:p w14:paraId="4E566405">
            <w:pPr>
              <w:snapToGrid w:val="0"/>
              <w:spacing w:line="360" w:lineRule="auto"/>
              <w:jc w:val="center"/>
              <w:rPr>
                <w:rFonts w:ascii="仿宋" w:hAnsi="仿宋" w:eastAsia="仿宋" w:cs="宋体"/>
                <w:b/>
                <w:color w:val="auto"/>
                <w:sz w:val="24"/>
                <w:highlight w:val="none"/>
              </w:rPr>
            </w:pPr>
          </w:p>
        </w:tc>
        <w:tc>
          <w:tcPr>
            <w:tcW w:w="7154" w:type="dxa"/>
            <w:tcBorders>
              <w:bottom w:val="single" w:color="auto" w:sz="4" w:space="0"/>
            </w:tcBorders>
            <w:noWrap w:val="0"/>
            <w:vAlign w:val="center"/>
          </w:tcPr>
          <w:p w14:paraId="1D92C744">
            <w:pPr>
              <w:spacing w:line="360" w:lineRule="auto"/>
              <w:rPr>
                <w:rFonts w:ascii="仿宋" w:hAnsi="仿宋" w:eastAsia="仿宋" w:cs="宋体"/>
                <w:snapToGrid w:val="0"/>
                <w:color w:val="auto"/>
                <w:kern w:val="28"/>
                <w:sz w:val="24"/>
                <w:highlight w:val="none"/>
              </w:rPr>
            </w:pPr>
            <w:r>
              <w:rPr>
                <w:rFonts w:hint="eastAsia" w:ascii="仿宋" w:hAnsi="仿宋" w:eastAsia="仿宋" w:cs="Arial"/>
                <w:color w:val="auto"/>
                <w:kern w:val="0"/>
                <w:sz w:val="24"/>
                <w:highlight w:val="none"/>
              </w:rPr>
              <w:sym w:font="Wingdings" w:char="00A8"/>
            </w:r>
            <w:r>
              <w:rPr>
                <w:rFonts w:hint="eastAsia" w:ascii="仿宋" w:hAnsi="仿宋" w:eastAsia="仿宋" w:cs="宋体"/>
                <w:snapToGrid w:val="0"/>
                <w:color w:val="auto"/>
                <w:kern w:val="28"/>
                <w:sz w:val="24"/>
                <w:highlight w:val="none"/>
              </w:rPr>
              <w:t>联合体投标的，联合体各方均需按招标文件第四部分评标标准要求提供资信证明文件，否则视为不符合相关要求。</w:t>
            </w:r>
          </w:p>
          <w:p w14:paraId="54C5ABAB">
            <w:pPr>
              <w:spacing w:line="360" w:lineRule="auto"/>
              <w:rPr>
                <w:rFonts w:ascii="仿宋" w:hAnsi="仿宋" w:eastAsia="仿宋" w:cs="宋体"/>
                <w:snapToGrid w:val="0"/>
                <w:color w:val="auto"/>
                <w:kern w:val="28"/>
                <w:sz w:val="24"/>
                <w:highlight w:val="none"/>
              </w:rPr>
            </w:pPr>
            <w:r>
              <w:rPr>
                <w:rFonts w:hint="eastAsia" w:ascii="仿宋" w:hAnsi="仿宋" w:eastAsia="仿宋" w:cs="Arial"/>
                <w:color w:val="auto"/>
                <w:kern w:val="0"/>
                <w:sz w:val="24"/>
                <w:highlight w:val="none"/>
              </w:rPr>
              <w:sym w:font="Wingdings" w:char="00FE"/>
            </w:r>
            <w:r>
              <w:rPr>
                <w:rFonts w:hint="eastAsia" w:ascii="仿宋" w:hAnsi="仿宋" w:eastAsia="仿宋"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62890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69" w:type="dxa"/>
            <w:tcBorders>
              <w:top w:val="single" w:color="auto" w:sz="4" w:space="0"/>
            </w:tcBorders>
            <w:noWrap w:val="0"/>
            <w:vAlign w:val="center"/>
          </w:tcPr>
          <w:p w14:paraId="61139967">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14</w:t>
            </w:r>
          </w:p>
        </w:tc>
        <w:tc>
          <w:tcPr>
            <w:tcW w:w="2321" w:type="dxa"/>
            <w:tcBorders>
              <w:top w:val="single" w:color="auto" w:sz="4" w:space="0"/>
            </w:tcBorders>
            <w:noWrap w:val="0"/>
            <w:vAlign w:val="center"/>
          </w:tcPr>
          <w:p w14:paraId="44CBE821">
            <w:pPr>
              <w:snapToGrid w:val="0"/>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招标代理费</w:t>
            </w:r>
          </w:p>
        </w:tc>
        <w:tc>
          <w:tcPr>
            <w:tcW w:w="7154" w:type="dxa"/>
            <w:tcBorders>
              <w:top w:val="single" w:color="auto" w:sz="4" w:space="0"/>
            </w:tcBorders>
            <w:noWrap w:val="0"/>
            <w:vAlign w:val="center"/>
          </w:tcPr>
          <w:p w14:paraId="51FF0E42">
            <w:pPr>
              <w:pStyle w:val="28"/>
              <w:adjustRightInd w:val="0"/>
              <w:spacing w:line="360" w:lineRule="auto"/>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采购代理服务费金额：</w:t>
            </w:r>
            <w:r>
              <w:rPr>
                <w:rFonts w:hint="eastAsia" w:ascii="仿宋" w:hAnsi="仿宋" w:eastAsia="仿宋" w:cs="仿宋"/>
                <w:b/>
                <w:bCs/>
                <w:color w:val="auto"/>
                <w:sz w:val="24"/>
                <w:szCs w:val="24"/>
                <w:highlight w:val="none"/>
                <w:u w:val="single"/>
              </w:rPr>
              <w:t>按国家计委关于印发《招标代理服务收费管理暂行办法》的通知计价格[2002]1980号文件规定收费标准</w:t>
            </w:r>
            <w:r>
              <w:rPr>
                <w:rFonts w:hint="eastAsia" w:ascii="仿宋" w:hAnsi="仿宋" w:eastAsia="仿宋" w:cs="仿宋"/>
                <w:b/>
                <w:bCs/>
                <w:color w:val="auto"/>
                <w:sz w:val="24"/>
                <w:szCs w:val="24"/>
                <w:highlight w:val="none"/>
                <w:u w:val="single"/>
                <w:lang w:eastAsia="zh-CN"/>
              </w:rPr>
              <w:t>的</w:t>
            </w:r>
            <w:r>
              <w:rPr>
                <w:rFonts w:hint="eastAsia" w:ascii="仿宋" w:hAnsi="仿宋" w:eastAsia="仿宋" w:cs="仿宋"/>
                <w:b/>
                <w:bCs/>
                <w:color w:val="auto"/>
                <w:sz w:val="24"/>
                <w:szCs w:val="24"/>
                <w:highlight w:val="none"/>
                <w:u w:val="single"/>
                <w:lang w:val="en-US" w:eastAsia="zh-CN"/>
              </w:rPr>
              <w:t>80%</w:t>
            </w:r>
            <w:r>
              <w:rPr>
                <w:rFonts w:hint="eastAsia" w:ascii="仿宋" w:hAnsi="仿宋" w:eastAsia="仿宋" w:cs="仿宋"/>
                <w:b/>
                <w:bCs/>
                <w:color w:val="auto"/>
                <w:sz w:val="24"/>
                <w:szCs w:val="24"/>
                <w:highlight w:val="none"/>
                <w:u w:val="single"/>
              </w:rPr>
              <w:t>计算，以</w:t>
            </w:r>
            <w:r>
              <w:rPr>
                <w:rFonts w:hint="eastAsia" w:ascii="仿宋" w:hAnsi="仿宋" w:eastAsia="仿宋" w:cs="仿宋"/>
                <w:b/>
                <w:bCs/>
                <w:color w:val="auto"/>
                <w:sz w:val="24"/>
                <w:szCs w:val="24"/>
                <w:highlight w:val="none"/>
                <w:u w:val="single"/>
                <w:lang w:val="en-US" w:eastAsia="zh-CN"/>
              </w:rPr>
              <w:t>中标</w:t>
            </w:r>
            <w:r>
              <w:rPr>
                <w:rFonts w:hint="eastAsia" w:ascii="仿宋" w:hAnsi="仿宋" w:eastAsia="仿宋" w:cs="仿宋"/>
                <w:b/>
                <w:bCs/>
                <w:color w:val="auto"/>
                <w:sz w:val="24"/>
                <w:szCs w:val="24"/>
                <w:highlight w:val="none"/>
                <w:u w:val="single"/>
              </w:rPr>
              <w:t>金额为计算基数</w:t>
            </w:r>
            <w:r>
              <w:rPr>
                <w:rFonts w:hint="eastAsia" w:ascii="仿宋" w:hAnsi="仿宋" w:eastAsia="仿宋" w:cs="仿宋"/>
                <w:b/>
                <w:bCs/>
                <w:color w:val="auto"/>
                <w:sz w:val="24"/>
                <w:szCs w:val="24"/>
                <w:highlight w:val="none"/>
                <w:u w:val="single"/>
              </w:rPr>
              <w:t>。</w:t>
            </w:r>
          </w:p>
          <w:p w14:paraId="36557A87">
            <w:pPr>
              <w:pStyle w:val="28"/>
              <w:adjustRightInd w:val="0"/>
              <w:snapToGrid w:val="0"/>
              <w:spacing w:line="360" w:lineRule="auto"/>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采购代理服务费缴纳形式：网银/电汇/转账</w:t>
            </w:r>
          </w:p>
          <w:p w14:paraId="2185E36E">
            <w:pPr>
              <w:pStyle w:val="28"/>
              <w:adjustRightInd w:val="0"/>
              <w:snapToGrid w:val="0"/>
              <w:spacing w:line="360" w:lineRule="auto"/>
              <w:ind w:left="210" w:left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采购代理服务费由</w:t>
            </w:r>
            <w:r>
              <w:rPr>
                <w:rFonts w:hint="eastAsia" w:ascii="仿宋" w:hAnsi="仿宋" w:eastAsia="仿宋" w:cs="仿宋"/>
                <w:b/>
                <w:color w:val="auto"/>
                <w:sz w:val="24"/>
                <w:szCs w:val="24"/>
                <w:highlight w:val="none"/>
                <w:u w:val="single"/>
              </w:rPr>
              <w:t>每家中标人</w:t>
            </w:r>
            <w:r>
              <w:rPr>
                <w:rFonts w:hint="eastAsia" w:ascii="仿宋" w:hAnsi="仿宋" w:eastAsia="仿宋" w:cs="仿宋"/>
                <w:color w:val="auto"/>
                <w:sz w:val="24"/>
                <w:szCs w:val="24"/>
                <w:highlight w:val="none"/>
              </w:rPr>
              <w:t>在收到中标通知书后10日内向采购代理机构支付。汇入以下账户：</w:t>
            </w:r>
          </w:p>
          <w:p w14:paraId="0F3C2805">
            <w:pPr>
              <w:spacing w:line="360" w:lineRule="auto"/>
              <w:ind w:firstLine="240" w:firstLineChars="100"/>
              <w:rPr>
                <w:rFonts w:hint="eastAsia" w:ascii="仿宋" w:hAnsi="仿宋" w:eastAsia="仿宋" w:cs="Arial"/>
                <w:color w:val="auto"/>
                <w:kern w:val="0"/>
                <w:sz w:val="24"/>
                <w:highlight w:val="none"/>
              </w:rPr>
            </w:pPr>
            <w:r>
              <w:rPr>
                <w:rFonts w:hint="eastAsia" w:ascii="仿宋" w:hAnsi="仿宋" w:eastAsia="仿宋" w:cs="Arial"/>
                <w:color w:val="auto"/>
                <w:kern w:val="0"/>
                <w:sz w:val="24"/>
                <w:highlight w:val="none"/>
              </w:rPr>
              <w:t>户 名：浙江五石中正工程咨询有限公司</w:t>
            </w:r>
          </w:p>
          <w:p w14:paraId="5694BD12">
            <w:pPr>
              <w:spacing w:line="360" w:lineRule="auto"/>
              <w:ind w:firstLine="240" w:firstLineChars="100"/>
              <w:rPr>
                <w:rFonts w:hint="eastAsia" w:ascii="仿宋" w:hAnsi="仿宋" w:eastAsia="仿宋" w:cs="Arial"/>
                <w:color w:val="auto"/>
                <w:kern w:val="0"/>
                <w:sz w:val="24"/>
                <w:highlight w:val="none"/>
              </w:rPr>
            </w:pPr>
            <w:r>
              <w:rPr>
                <w:rFonts w:hint="eastAsia" w:ascii="仿宋" w:hAnsi="仿宋" w:eastAsia="仿宋" w:cs="Arial"/>
                <w:color w:val="auto"/>
                <w:kern w:val="0"/>
                <w:sz w:val="24"/>
                <w:highlight w:val="none"/>
              </w:rPr>
              <w:t xml:space="preserve">开 户：中国工商银行杭州潮王路支行 </w:t>
            </w:r>
          </w:p>
          <w:p w14:paraId="62F37337">
            <w:pPr>
              <w:spacing w:line="360" w:lineRule="auto"/>
              <w:ind w:firstLine="240" w:firstLineChars="100"/>
              <w:rPr>
                <w:rFonts w:hint="eastAsia" w:ascii="仿宋" w:hAnsi="仿宋" w:eastAsia="仿宋" w:cs="Arial"/>
                <w:color w:val="auto"/>
                <w:kern w:val="0"/>
                <w:sz w:val="24"/>
                <w:highlight w:val="none"/>
              </w:rPr>
            </w:pPr>
            <w:r>
              <w:rPr>
                <w:rFonts w:hint="eastAsia" w:ascii="仿宋" w:hAnsi="仿宋" w:eastAsia="仿宋" w:cs="Arial"/>
                <w:color w:val="auto"/>
                <w:kern w:val="0"/>
                <w:sz w:val="24"/>
                <w:highlight w:val="none"/>
              </w:rPr>
              <w:t>账 号：1202003209900014176</w:t>
            </w:r>
          </w:p>
        </w:tc>
      </w:tr>
      <w:tr w14:paraId="76756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669" w:type="dxa"/>
            <w:tcBorders>
              <w:top w:val="single" w:color="auto" w:sz="4" w:space="0"/>
            </w:tcBorders>
            <w:noWrap w:val="0"/>
            <w:vAlign w:val="center"/>
          </w:tcPr>
          <w:p w14:paraId="136B6FA0">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15</w:t>
            </w:r>
          </w:p>
        </w:tc>
        <w:tc>
          <w:tcPr>
            <w:tcW w:w="2321" w:type="dxa"/>
            <w:tcBorders>
              <w:top w:val="single" w:color="auto" w:sz="4" w:space="0"/>
            </w:tcBorders>
            <w:noWrap w:val="0"/>
            <w:vAlign w:val="center"/>
          </w:tcPr>
          <w:p w14:paraId="5FE6EAB3">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仿宋" w:hAnsi="仿宋" w:eastAsia="仿宋" w:cs="宋体"/>
                <w:b/>
                <w:color w:val="auto"/>
                <w:sz w:val="24"/>
                <w:highlight w:val="none"/>
                <w:lang w:val="en-US" w:eastAsia="zh-CN"/>
              </w:rPr>
            </w:pPr>
            <w:r>
              <w:rPr>
                <w:rFonts w:hint="eastAsia" w:ascii="仿宋" w:hAnsi="仿宋" w:eastAsia="仿宋" w:cs="宋体"/>
                <w:b/>
                <w:color w:val="auto"/>
                <w:sz w:val="24"/>
                <w:highlight w:val="none"/>
                <w:lang w:val="en-US" w:eastAsia="zh-CN"/>
              </w:rPr>
              <w:t>履约保证金</w:t>
            </w:r>
          </w:p>
        </w:tc>
        <w:tc>
          <w:tcPr>
            <w:tcW w:w="7154" w:type="dxa"/>
            <w:tcBorders>
              <w:top w:val="single" w:color="auto" w:sz="4" w:space="0"/>
            </w:tcBorders>
            <w:noWrap w:val="0"/>
            <w:vAlign w:val="center"/>
          </w:tcPr>
          <w:p w14:paraId="5CD58D0A">
            <w:pPr>
              <w:keepNext w:val="0"/>
              <w:keepLines w:val="0"/>
              <w:pageBreakBefore w:val="0"/>
              <w:widowControl w:val="0"/>
              <w:kinsoku/>
              <w:wordWrap/>
              <w:overflowPunct/>
              <w:topLinePunct w:val="0"/>
              <w:autoSpaceDE/>
              <w:autoSpaceDN/>
              <w:bidi w:val="0"/>
              <w:adjustRightInd w:val="0"/>
              <w:spacing w:line="360" w:lineRule="exact"/>
              <w:ind w:firstLine="240" w:firstLineChars="100"/>
              <w:textAlignment w:val="auto"/>
              <w:rPr>
                <w:rFonts w:hint="default" w:ascii="仿宋" w:hAnsi="仿宋" w:eastAsia="仿宋" w:cs="Arial"/>
                <w:color w:val="auto"/>
                <w:kern w:val="0"/>
                <w:sz w:val="24"/>
                <w:highlight w:val="none"/>
                <w:lang w:val="en-US" w:eastAsia="zh-CN"/>
              </w:rPr>
            </w:pPr>
            <w:r>
              <w:rPr>
                <w:rFonts w:hint="eastAsia" w:ascii="仿宋" w:hAnsi="仿宋" w:eastAsia="仿宋" w:cs="Arial"/>
                <w:color w:val="auto"/>
                <w:kern w:val="0"/>
                <w:sz w:val="24"/>
                <w:highlight w:val="none"/>
                <w:lang w:val="en-US" w:eastAsia="zh-CN"/>
              </w:rPr>
              <w:t>无</w:t>
            </w:r>
          </w:p>
        </w:tc>
      </w:tr>
      <w:tr w14:paraId="60027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69" w:type="dxa"/>
            <w:noWrap w:val="0"/>
            <w:vAlign w:val="center"/>
          </w:tcPr>
          <w:p w14:paraId="47321C61">
            <w:pPr>
              <w:snapToGrid w:val="0"/>
              <w:spacing w:line="360" w:lineRule="auto"/>
              <w:jc w:val="center"/>
              <w:rPr>
                <w:rFonts w:hint="eastAsia" w:ascii="仿宋" w:hAnsi="仿宋" w:eastAsia="仿宋" w:cs="宋体"/>
                <w:color w:val="auto"/>
                <w:sz w:val="24"/>
                <w:highlight w:val="none"/>
                <w:lang w:eastAsia="zh-CN"/>
              </w:rPr>
            </w:pPr>
            <w:r>
              <w:rPr>
                <w:rFonts w:hint="eastAsia" w:ascii="仿宋" w:hAnsi="仿宋" w:eastAsia="仿宋" w:cs="宋体"/>
                <w:color w:val="auto"/>
                <w:sz w:val="24"/>
                <w:highlight w:val="none"/>
              </w:rPr>
              <w:t>1</w:t>
            </w:r>
            <w:r>
              <w:rPr>
                <w:rFonts w:hint="eastAsia" w:ascii="仿宋" w:hAnsi="仿宋" w:eastAsia="仿宋" w:cs="宋体"/>
                <w:color w:val="auto"/>
                <w:sz w:val="24"/>
                <w:highlight w:val="none"/>
                <w:lang w:val="en-US" w:eastAsia="zh-CN"/>
              </w:rPr>
              <w:t>6</w:t>
            </w:r>
          </w:p>
        </w:tc>
        <w:tc>
          <w:tcPr>
            <w:tcW w:w="2321" w:type="dxa"/>
            <w:noWrap w:val="0"/>
            <w:vAlign w:val="center"/>
          </w:tcPr>
          <w:p w14:paraId="233BAF19">
            <w:pPr>
              <w:spacing w:line="360" w:lineRule="exact"/>
              <w:rPr>
                <w:rFonts w:ascii="仿宋" w:hAnsi="仿宋" w:eastAsia="仿宋" w:cs="Arial"/>
                <w:b/>
                <w:bCs/>
                <w:color w:val="auto"/>
                <w:kern w:val="0"/>
                <w:sz w:val="24"/>
                <w:highlight w:val="none"/>
              </w:rPr>
            </w:pPr>
            <w:r>
              <w:rPr>
                <w:rFonts w:hint="eastAsia" w:ascii="仿宋" w:hAnsi="仿宋" w:eastAsia="仿宋" w:cs="Arial"/>
                <w:b/>
                <w:bCs/>
                <w:color w:val="auto"/>
                <w:kern w:val="0"/>
                <w:sz w:val="24"/>
                <w:highlight w:val="none"/>
              </w:rPr>
              <w:t>本项目推荐的中标候选人数量</w:t>
            </w:r>
          </w:p>
        </w:tc>
        <w:tc>
          <w:tcPr>
            <w:tcW w:w="7154" w:type="dxa"/>
            <w:noWrap w:val="0"/>
            <w:vAlign w:val="center"/>
          </w:tcPr>
          <w:p w14:paraId="3EC8BA84">
            <w:pPr>
              <w:spacing w:line="360" w:lineRule="exact"/>
              <w:ind w:firstLine="241" w:firstLineChars="100"/>
              <w:rPr>
                <w:rFonts w:ascii="仿宋" w:hAnsi="仿宋" w:eastAsia="仿宋" w:cs="Arial"/>
                <w:color w:val="auto"/>
                <w:kern w:val="0"/>
                <w:sz w:val="24"/>
                <w:highlight w:val="none"/>
              </w:rPr>
            </w:pPr>
            <w:r>
              <w:rPr>
                <w:rFonts w:hint="eastAsia" w:ascii="仿宋" w:hAnsi="仿宋" w:eastAsia="仿宋" w:cs="Arial"/>
                <w:b/>
                <w:bCs/>
                <w:color w:val="auto"/>
                <w:kern w:val="0"/>
                <w:sz w:val="24"/>
                <w:highlight w:val="none"/>
                <w:u w:val="single"/>
                <w:lang w:val="en-US" w:eastAsia="zh-CN"/>
              </w:rPr>
              <w:t>2</w:t>
            </w:r>
            <w:r>
              <w:rPr>
                <w:rFonts w:hint="eastAsia" w:ascii="仿宋" w:hAnsi="仿宋" w:eastAsia="仿宋" w:cs="Arial"/>
                <w:b/>
                <w:bCs/>
                <w:color w:val="auto"/>
                <w:kern w:val="0"/>
                <w:sz w:val="24"/>
                <w:highlight w:val="none"/>
                <w:u w:val="single"/>
              </w:rPr>
              <w:t>家</w:t>
            </w:r>
          </w:p>
        </w:tc>
      </w:tr>
    </w:tbl>
    <w:p w14:paraId="5B84E7FB">
      <w:pPr>
        <w:rPr>
          <w:rFonts w:hint="eastAsia" w:ascii="仿宋" w:hAnsi="仿宋" w:eastAsia="仿宋" w:cs="仿宋"/>
          <w:b/>
          <w:color w:val="auto"/>
          <w:sz w:val="24"/>
          <w:highlight w:val="none"/>
        </w:rPr>
      </w:pPr>
      <w:bookmarkStart w:id="7" w:name="_Toc1966"/>
      <w:bookmarkStart w:id="8" w:name="_Toc91899903"/>
      <w:r>
        <w:rPr>
          <w:rFonts w:hint="eastAsia" w:ascii="仿宋" w:hAnsi="仿宋" w:eastAsia="仿宋" w:cs="仿宋"/>
          <w:b/>
          <w:color w:val="auto"/>
          <w:sz w:val="24"/>
          <w:highlight w:val="none"/>
        </w:rPr>
        <w:br w:type="page"/>
      </w:r>
    </w:p>
    <w:p w14:paraId="77765267">
      <w:pPr>
        <w:spacing w:line="360" w:lineRule="auto"/>
        <w:jc w:val="center"/>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一、总则</w:t>
      </w:r>
      <w:bookmarkEnd w:id="7"/>
    </w:p>
    <w:p w14:paraId="3B5B2826">
      <w:pPr>
        <w:snapToGrid w:val="0"/>
        <w:spacing w:line="360" w:lineRule="auto"/>
        <w:ind w:firstLine="361" w:firstLineChars="150"/>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148780D9">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05494DE3">
      <w:pPr>
        <w:numPr>
          <w:ilvl w:val="0"/>
          <w:numId w:val="2"/>
        </w:numPr>
        <w:snapToGrid w:val="0"/>
        <w:spacing w:line="360" w:lineRule="auto"/>
        <w:ind w:firstLine="361" w:firstLineChars="150"/>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定义</w:t>
      </w:r>
    </w:p>
    <w:p w14:paraId="4414C3C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08B8132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 “采购机构”系指招标公告中载明的本项目的采购机构。</w:t>
      </w:r>
    </w:p>
    <w:p w14:paraId="7CB7272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 “投标供应商”系指是指响应招标、参加投标竞争的法人、其他组织或者自然人。</w:t>
      </w:r>
    </w:p>
    <w:p w14:paraId="6173A42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7F20083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w:t>
      </w:r>
    </w:p>
    <w:p w14:paraId="46C75D1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“电子交易平台”是指本项目政府采购活动所依托的政府采购云平台（https://www.zcygov.cn/）。</w:t>
      </w:r>
    </w:p>
    <w:p w14:paraId="7BB379B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 “▲”系指实质性要求条款，“★”系指重要技术指标，“</w:t>
      </w:r>
      <w:r>
        <w:rPr>
          <w:rFonts w:ascii="Wingdings" w:hAnsi="Wingdings" w:eastAsia="仿宋" w:cs="宋体"/>
          <w:color w:val="auto"/>
          <w:kern w:val="0"/>
          <w:sz w:val="24"/>
          <w:highlight w:val="none"/>
        </w:rPr>
        <w:t></w:t>
      </w:r>
      <w:r>
        <w:rPr>
          <w:rFonts w:hint="eastAsia" w:ascii="仿宋" w:hAnsi="仿宋" w:eastAsia="仿宋" w:cs="仿宋"/>
          <w:color w:val="auto"/>
          <w:sz w:val="24"/>
          <w:highlight w:val="none"/>
        </w:rPr>
        <w:t>”系指适用本项目的要求，“</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”系指不适用本项目的要求。</w:t>
      </w:r>
    </w:p>
    <w:bookmarkEnd w:id="8"/>
    <w:p w14:paraId="51278955">
      <w:pPr>
        <w:snapToGrid w:val="0"/>
        <w:spacing w:line="360" w:lineRule="auto"/>
        <w:ind w:firstLine="361" w:firstLineChars="150"/>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3. 联合体投标</w:t>
      </w:r>
    </w:p>
    <w:p w14:paraId="38C4E32F">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3.1是否接受联合体投标：详见《第一章 招标公告》；</w:t>
      </w:r>
    </w:p>
    <w:p w14:paraId="788E1DCF">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3.2接受联合体投标的，组成联合体的各方应遵守以下规定：</w:t>
      </w:r>
    </w:p>
    <w:p w14:paraId="166984D2">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1）两个以上的自然人、法人或者其他组织可以组成一个联合体，以一个供应商的身份共同参加政府采购。以联合体形式参加政府采购的，应当在投标文件中提交《联合协议》，载明联合体各方承担的工作和义务。未提交有效的《联合协议》的联合体投标无效；</w:t>
      </w:r>
    </w:p>
    <w:p w14:paraId="1D8D23B3">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（2）联合体各方应当共同与采购人签订采购合同，就采购合同约定的事项对采购人承担连带责任；</w:t>
      </w:r>
    </w:p>
    <w:p w14:paraId="4E2E1AE8">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联合体中有同类资质的供应商按照联合体分工承担相同工作的，按照资质等级较低的供应商确定资质等级（联合体投标的，联合体各方分别提供与联合体协议中规定的分工内容相应的业绩证明材料，业绩数量以提供材料较少的一方为准）；以联合体形式参加政府采购活动的，联合体各方不得再单独参加或者与其他供应商另外组成联合体参加同一合同项下的政府采购活动；以联合体形式参加政府采购活动，联合体各方均为中小企业的，联合体视同中小企业。其中，联合体各方均为小微企业的，联合体视同小微企业；</w:t>
      </w:r>
    </w:p>
    <w:p w14:paraId="5AB9DC54">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4）联合体形式参加政府采购的，招标文件中有明确规定联合体各方均须提供的材料应当由联合体各成员共同签、章（或分别提供各自签、章）；招标文件没有明确规定联合体各方均须提供的材料可以由联合投标协议书中载明的牵头人（主办方）按规定进行签、章，牵头人（主办方）代表联合体签、章的，对联合体各成员方同样具有约束力；</w:t>
      </w:r>
    </w:p>
    <w:p w14:paraId="33F1870C">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（5）联合体形式参加政府采购的，履约保证金、采购代理服务费可由牵头人（主办方）一方缴纳，也可以由联合体各方按联合投标协议书约定共同缴纳。</w:t>
      </w:r>
    </w:p>
    <w:p w14:paraId="69513442">
      <w:pPr>
        <w:snapToGrid w:val="0"/>
        <w:spacing w:line="360" w:lineRule="auto"/>
        <w:ind w:firstLine="361" w:firstLineChars="150"/>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4. 分包</w:t>
      </w:r>
    </w:p>
    <w:p w14:paraId="092BCC33">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4.1</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是否同意分包：详见《须知前附表》。《须知前附表》中声明允许分包的，投标人可以根据招标文件的规定和采购项目的实际情况进行分包。投标人根据招标文件的规定和采购项目的实际情况，拟在中标后将中标项目的非主体、非关键性工作分包的，应当在投标文件中提交《分包意向协议》，载明分包承担主体，分包承担主体应当具备相应资质条件且不得再次分包。政府采购合同分包履行的，中标、中标单位就采购项目和分包项目向采购人负责，分包供应商就分包项目承担责任。</w:t>
      </w:r>
    </w:p>
    <w:p w14:paraId="15A4FEEE">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4.2</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以分包方式履行合同的，投标人与分包供应商分别提供与分包意向协议中规定的分工内容相应的业绩证明材料，业绩数量以提供材料较少的一方为准。</w:t>
      </w:r>
    </w:p>
    <w:p w14:paraId="3123FE4F">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4.3</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中小企业享受扶持政策获得政府采购合同的，小微企业不得将合同分包给大中型企业，中型企业不得将合同分包给大型企业。</w:t>
      </w:r>
    </w:p>
    <w:p w14:paraId="7DDB6AD8">
      <w:pPr>
        <w:snapToGrid w:val="0"/>
        <w:spacing w:line="360" w:lineRule="auto"/>
        <w:ind w:firstLine="361" w:firstLineChars="150"/>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5. 采购项目需要落实的政府采购政策</w:t>
      </w:r>
    </w:p>
    <w:p w14:paraId="1369461B">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5.1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481037EF">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5.2 支持绿色发展</w:t>
      </w:r>
    </w:p>
    <w:p w14:paraId="29625E69">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5.2.1</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344C5BA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5.2.2 修缮、装修类项目采购建材的，采购人应将绿色建筑和绿色建材性能、指标等作为实质性条件纳入招标文件和合同。</w:t>
      </w:r>
    </w:p>
    <w:p w14:paraId="58165D0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5.2.3</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000D76BC">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5.3</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支持中小企业发展</w:t>
      </w:r>
    </w:p>
    <w:p w14:paraId="62FFE33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5.3.1</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08CA99A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19A4D7D6">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bCs/>
          <w:color w:val="auto"/>
          <w:sz w:val="24"/>
          <w:highlight w:val="none"/>
        </w:rPr>
        <w:t>5.3.2</w:t>
      </w:r>
      <w:r>
        <w:rPr>
          <w:rFonts w:ascii="仿宋" w:hAnsi="仿宋" w:eastAsia="仿宋" w:cs="仿宋"/>
          <w:bCs/>
          <w:color w:val="auto"/>
          <w:sz w:val="24"/>
          <w:highlight w:val="none"/>
        </w:rPr>
        <w:t xml:space="preserve"> </w:t>
      </w:r>
      <w:r>
        <w:rPr>
          <w:rFonts w:hint="eastAsia" w:ascii="仿宋" w:hAnsi="仿宋" w:eastAsia="仿宋" w:cs="仿宋"/>
          <w:color w:val="auto"/>
          <w:kern w:val="0"/>
          <w:sz w:val="24"/>
          <w:highlight w:val="none"/>
        </w:rPr>
        <w:t>在政府采购活动中，投标人提供的货物、工程或者服务符合下列情形的，享受中小企业扶持政策：</w:t>
      </w:r>
    </w:p>
    <w:p w14:paraId="0ECA8300">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5.3.2.1</w:t>
      </w:r>
      <w:r>
        <w:rPr>
          <w:rFonts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rPr>
        <w:t>在货物采购项目中，货物由中小企业制造，即货物由中小企业生产且使用该中小企业商号或者注册商标；</w:t>
      </w:r>
    </w:p>
    <w:p w14:paraId="566EDDDC">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5.3.2.2</w:t>
      </w:r>
      <w:r>
        <w:rPr>
          <w:rFonts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rPr>
        <w:t>在工程采购项目中，工程由中小企业承建，即工程施工单位为中小企业；</w:t>
      </w:r>
    </w:p>
    <w:p w14:paraId="634DC3DE">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5.3.2.3</w:t>
      </w:r>
      <w:r>
        <w:rPr>
          <w:rFonts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rPr>
        <w:t>在服务采购项目中，服务由中小企业承接，即提供服务的人员为中小企业依照《中华人民共和国劳动合同法》订立劳动合同的从业人员。</w:t>
      </w:r>
    </w:p>
    <w:p w14:paraId="1D90847C">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在货物采购项目中，投标人提供的货物既有中小企业制造货物，也有大型企业制造货物的，不享受中小企业扶持政策。</w:t>
      </w:r>
    </w:p>
    <w:p w14:paraId="4D08DD27">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43EED91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5.3.3</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b/>
          <w:bCs/>
          <w:color w:val="auto"/>
          <w:sz w:val="24"/>
          <w:highlight w:val="none"/>
          <w:u w:val="single"/>
        </w:rPr>
        <w:t>10%</w:t>
      </w:r>
      <w:r>
        <w:rPr>
          <w:rFonts w:hint="eastAsia" w:ascii="仿宋" w:hAnsi="仿宋" w:eastAsia="仿宋" w:cs="仿宋"/>
          <w:color w:val="auto"/>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b/>
          <w:bCs/>
          <w:color w:val="auto"/>
          <w:sz w:val="24"/>
          <w:highlight w:val="none"/>
          <w:u w:val="single"/>
        </w:rPr>
        <w:t>4%</w:t>
      </w:r>
      <w:r>
        <w:rPr>
          <w:rFonts w:hint="eastAsia" w:ascii="仿宋" w:hAnsi="仿宋" w:eastAsia="仿宋" w:cs="仿宋"/>
          <w:color w:val="auto"/>
          <w:sz w:val="24"/>
          <w:highlight w:val="none"/>
        </w:rPr>
        <w:t>的扣除，用扣除后的价格参加评审。组成联合体或者接受分包的小微企业与联合体内其他企业、分包企业之间存在直接控股、管理关系的，不享受价格扣除优惠政策。</w:t>
      </w:r>
    </w:p>
    <w:p w14:paraId="114AA9C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5.3.4</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符合《关于促进残疾人就业政府采购政策的通知》（财库〔2017〕141号）规定的条件并提供《残疾人福利性单位声明函》（附件1）的残疾人福利性单位视同小型、微型企业；</w:t>
      </w:r>
    </w:p>
    <w:p w14:paraId="381D6C4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5.3.5</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5505E30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5.3.6</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4941AE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5.3.7</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中小企业享受扶持政策获得政府采购合同的，小微企业不得将合同分包给大中型企业，中型企业不得将合同分包给大型企业。</w:t>
      </w:r>
    </w:p>
    <w:p w14:paraId="4441B44C">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5.4</w:t>
      </w:r>
      <w:r>
        <w:rPr>
          <w:rFonts w:ascii="仿宋" w:hAnsi="仿宋" w:eastAsia="仿宋" w:cs="仿宋"/>
          <w:color w:val="auto"/>
          <w:sz w:val="24"/>
          <w:highlight w:val="none"/>
        </w:rPr>
        <w:t xml:space="preserve"> </w:t>
      </w:r>
      <w:r>
        <w:rPr>
          <w:rFonts w:hint="eastAsia" w:ascii="仿宋" w:hAnsi="仿宋" w:eastAsia="仿宋" w:cs="仿宋"/>
          <w:bCs/>
          <w:color w:val="auto"/>
          <w:sz w:val="24"/>
          <w:highlight w:val="none"/>
        </w:rPr>
        <w:t>支持创新发展</w:t>
      </w:r>
    </w:p>
    <w:p w14:paraId="7FCBA711">
      <w:pPr>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3.4.1 首台套、“制造精品”、“专精特新”等创新产品按规定享受政府采购支持政策。</w:t>
      </w:r>
    </w:p>
    <w:p w14:paraId="2354D9BC">
      <w:pPr>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3.4.2 采购人应当贯彻落实知识产权保护相关法律法规，应当采购使用正版软件。</w:t>
      </w:r>
    </w:p>
    <w:p w14:paraId="28534A6C">
      <w:pPr>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3.5平等对待内外资企业和符合条件的破产重整企业</w:t>
      </w:r>
    </w:p>
    <w:p w14:paraId="1A18D1C5">
      <w:pPr>
        <w:spacing w:line="360" w:lineRule="auto"/>
        <w:ind w:firstLine="240" w:firstLineChars="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平等对待内外资企业和符合条件的破产重整企业，切实保障企业公平竞争，平等维护企业的合法利益。</w:t>
      </w:r>
    </w:p>
    <w:p w14:paraId="6EF5D606">
      <w:pPr>
        <w:spacing w:line="360" w:lineRule="auto"/>
        <w:ind w:firstLine="241" w:firstLineChars="100"/>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6. 询问、质疑、投诉、补偿救济</w:t>
      </w:r>
    </w:p>
    <w:p w14:paraId="0754A0FC">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lang w:val="zh-CN"/>
        </w:rPr>
        <w:t>.1在线询问、质疑、投诉</w:t>
      </w:r>
    </w:p>
    <w:p w14:paraId="72F1B88C">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4C54810">
      <w:pPr>
        <w:autoSpaceDE w:val="0"/>
        <w:autoSpaceDN w:val="0"/>
        <w:spacing w:line="360" w:lineRule="auto"/>
        <w:ind w:firstLine="240" w:firstLineChars="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6</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lang w:val="en-US" w:eastAsia="zh-CN"/>
        </w:rPr>
        <w:t>2</w:t>
      </w:r>
      <w:r>
        <w:rPr>
          <w:rFonts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lang w:val="zh-CN"/>
        </w:rPr>
        <w:t>供应商询问</w:t>
      </w:r>
    </w:p>
    <w:p w14:paraId="57D6D6FB">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9F679BA">
      <w:pPr>
        <w:autoSpaceDE w:val="0"/>
        <w:autoSpaceDN w:val="0"/>
        <w:spacing w:line="360" w:lineRule="auto"/>
        <w:ind w:firstLine="240" w:firstLineChars="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6</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lang w:val="en-US" w:eastAsia="zh-CN"/>
        </w:rPr>
        <w:t>3</w:t>
      </w:r>
      <w:r>
        <w:rPr>
          <w:rFonts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lang w:val="zh-CN"/>
        </w:rPr>
        <w:t>供应商质疑</w:t>
      </w:r>
    </w:p>
    <w:p w14:paraId="350F0CB4">
      <w:pPr>
        <w:pStyle w:val="15"/>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6</w:t>
      </w:r>
      <w:r>
        <w:rPr>
          <w:rFonts w:hint="eastAsia"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sz w:val="24"/>
          <w:szCs w:val="24"/>
          <w:highlight w:val="none"/>
        </w:rPr>
        <w:t>.1</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提出质疑的供应商应当是参与所质疑项目采购活动的供应商。潜在供应商已依法获取其可质疑的招标文件的，可以对该文件提出质疑。</w:t>
      </w:r>
    </w:p>
    <w:p w14:paraId="17F326D5">
      <w:pPr>
        <w:pStyle w:val="15"/>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6</w:t>
      </w:r>
      <w:r>
        <w:rPr>
          <w:rFonts w:hint="eastAsia"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sz w:val="24"/>
          <w:szCs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46452D5B">
      <w:pPr>
        <w:pStyle w:val="10"/>
        <w:spacing w:line="360" w:lineRule="auto"/>
        <w:ind w:firstLine="480" w:firstLineChars="200"/>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6.</w:t>
      </w:r>
      <w:r>
        <w:rPr>
          <w:rFonts w:hint="eastAsia" w:ascii="仿宋" w:hAnsi="仿宋" w:eastAsia="仿宋" w:cs="仿宋"/>
          <w:color w:val="auto"/>
          <w:kern w:val="2"/>
          <w:sz w:val="24"/>
          <w:szCs w:val="24"/>
          <w:highlight w:val="none"/>
          <w:lang w:val="en-US" w:eastAsia="zh-CN"/>
        </w:rPr>
        <w:t>3</w:t>
      </w:r>
      <w:r>
        <w:rPr>
          <w:rFonts w:hint="eastAsia" w:ascii="仿宋" w:hAnsi="仿宋" w:eastAsia="仿宋" w:cs="仿宋"/>
          <w:color w:val="auto"/>
          <w:kern w:val="2"/>
          <w:sz w:val="24"/>
          <w:szCs w:val="24"/>
          <w:highlight w:val="none"/>
        </w:rPr>
        <w:t>.2.1对招标文件提出质疑的，质疑期限为供应商获得招标文件之日或者招标文件公告期限届满之日起计算。</w:t>
      </w:r>
    </w:p>
    <w:p w14:paraId="50555E1A">
      <w:pPr>
        <w:pStyle w:val="15"/>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.2.2对采购过程提出质疑的，质疑期限为各采购程序环节结束之日起计算。对同一采购程序环节的质疑，供应商须一次性提出。</w:t>
      </w:r>
    </w:p>
    <w:p w14:paraId="0FCEA3B7">
      <w:pPr>
        <w:pStyle w:val="15"/>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.2.3对采购结果提出质疑的，质疑期限自采购结果公告期限届满之日起计算。</w:t>
      </w:r>
    </w:p>
    <w:p w14:paraId="5BE41352">
      <w:pPr>
        <w:pStyle w:val="15"/>
        <w:spacing w:line="360" w:lineRule="auto"/>
        <w:ind w:firstLine="480" w:firstLineChars="200"/>
        <w:rPr>
          <w:rFonts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rPr>
        <w:t>6</w:t>
      </w:r>
      <w:r>
        <w:rPr>
          <w:rFonts w:hint="eastAsia"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zh-CN"/>
        </w:rPr>
        <w:t>.3</w:t>
      </w:r>
      <w:r>
        <w:rPr>
          <w:rFonts w:hint="eastAsia" w:ascii="仿宋" w:hAnsi="仿宋" w:eastAsia="仿宋" w:cs="仿宋"/>
          <w:color w:val="auto"/>
          <w:sz w:val="24"/>
          <w:szCs w:val="24"/>
          <w:highlight w:val="none"/>
        </w:rPr>
        <w:t>供应商提出质疑应当提交质疑函和必要的证明材料。质疑函应当包括下列内容：</w:t>
      </w:r>
    </w:p>
    <w:p w14:paraId="7B801B4A">
      <w:pPr>
        <w:pStyle w:val="15"/>
        <w:spacing w:line="360" w:lineRule="auto"/>
        <w:ind w:firstLine="960" w:firstLineChars="400"/>
        <w:rPr>
          <w:rFonts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rPr>
        <w:t>6</w:t>
      </w:r>
      <w:r>
        <w:rPr>
          <w:rFonts w:hint="eastAsia"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zh-CN"/>
        </w:rPr>
        <w:t>.3.1供应商的姓名或者名称、地址、邮编、联系人及联系电话；</w:t>
      </w:r>
    </w:p>
    <w:p w14:paraId="76F076BE">
      <w:pPr>
        <w:pStyle w:val="15"/>
        <w:spacing w:line="360" w:lineRule="auto"/>
        <w:ind w:firstLine="960" w:firstLineChars="400"/>
        <w:rPr>
          <w:rFonts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rPr>
        <w:t>6</w:t>
      </w:r>
      <w:r>
        <w:rPr>
          <w:rFonts w:hint="eastAsia"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zh-CN"/>
        </w:rPr>
        <w:t>.3.2质疑项目的名称、编号；</w:t>
      </w:r>
    </w:p>
    <w:p w14:paraId="100D4461">
      <w:pPr>
        <w:pStyle w:val="15"/>
        <w:spacing w:line="360" w:lineRule="auto"/>
        <w:ind w:firstLine="960" w:firstLineChars="400"/>
        <w:rPr>
          <w:rFonts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rPr>
        <w:t>6</w:t>
      </w:r>
      <w:r>
        <w:rPr>
          <w:rFonts w:hint="eastAsia"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zh-CN"/>
        </w:rPr>
        <w:t>.3.3具体、明确的质疑事项和与质疑事项相关的请求；</w:t>
      </w:r>
    </w:p>
    <w:p w14:paraId="09548BEF">
      <w:pPr>
        <w:pStyle w:val="15"/>
        <w:spacing w:line="360" w:lineRule="auto"/>
        <w:ind w:firstLine="960" w:firstLineChars="400"/>
        <w:rPr>
          <w:rFonts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rPr>
        <w:t>6</w:t>
      </w:r>
      <w:r>
        <w:rPr>
          <w:rFonts w:hint="eastAsia"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zh-CN"/>
        </w:rPr>
        <w:t>.3.4事实依据；</w:t>
      </w:r>
    </w:p>
    <w:p w14:paraId="2D3A5623">
      <w:pPr>
        <w:pStyle w:val="15"/>
        <w:spacing w:line="360" w:lineRule="auto"/>
        <w:ind w:firstLine="960" w:firstLineChars="400"/>
        <w:rPr>
          <w:rFonts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rPr>
        <w:t>6</w:t>
      </w:r>
      <w:r>
        <w:rPr>
          <w:rFonts w:hint="eastAsia"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zh-CN"/>
        </w:rPr>
        <w:t>.3.5必要的法律依据；</w:t>
      </w:r>
    </w:p>
    <w:p w14:paraId="258D571B">
      <w:pPr>
        <w:pStyle w:val="15"/>
        <w:adjustRightInd/>
        <w:spacing w:line="360" w:lineRule="auto"/>
        <w:ind w:firstLine="960" w:firstLineChars="400"/>
        <w:rPr>
          <w:rFonts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rPr>
        <w:t>6</w:t>
      </w:r>
      <w:r>
        <w:rPr>
          <w:rFonts w:hint="eastAsia"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zh-CN"/>
        </w:rPr>
        <w:t>.3.6提出质疑的日期。</w:t>
      </w:r>
    </w:p>
    <w:p w14:paraId="2006D0D3">
      <w:pPr>
        <w:pStyle w:val="29"/>
        <w:shd w:val="clear" w:color="auto" w:fill="FFFFFF"/>
        <w:snapToGrid w:val="0"/>
        <w:spacing w:after="0" w:afterAutospacing="0" w:line="360" w:lineRule="auto"/>
        <w:ind w:firstLine="403"/>
        <w:contextualSpacing/>
        <w:rPr>
          <w:rFonts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1A3D91E3">
      <w:pPr>
        <w:pStyle w:val="29"/>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2C0E94FF">
      <w:pPr>
        <w:pStyle w:val="29"/>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6</w:t>
      </w:r>
      <w:r>
        <w:rPr>
          <w:rFonts w:hint="eastAsia" w:ascii="仿宋" w:hAnsi="仿宋" w:eastAsia="仿宋" w:cs="仿宋"/>
          <w:color w:val="auto"/>
          <w:highlight w:val="none"/>
          <w:lang w:val="zh-CN"/>
        </w:rPr>
        <w:t>.</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6058D509">
      <w:pPr>
        <w:pStyle w:val="29"/>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6</w:t>
      </w:r>
      <w:r>
        <w:rPr>
          <w:rFonts w:hint="eastAsia" w:ascii="仿宋" w:hAnsi="仿宋" w:eastAsia="仿宋" w:cs="仿宋"/>
          <w:color w:val="auto"/>
          <w:highlight w:val="none"/>
          <w:lang w:val="zh-CN"/>
        </w:rPr>
        <w:t>.</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.5询问或者质疑事项可能影响采购结果的，采购人应当暂停签订合同，已经签订合同的，应当中止履行合同。</w:t>
      </w:r>
    </w:p>
    <w:p w14:paraId="455DC006">
      <w:pPr>
        <w:pStyle w:val="29"/>
        <w:shd w:val="clear" w:color="auto" w:fill="FFFFFF"/>
        <w:snapToGrid w:val="0"/>
        <w:spacing w:after="240" w:afterAutospacing="0" w:line="360" w:lineRule="auto"/>
        <w:ind w:firstLine="480" w:firstLineChars="200"/>
        <w:contextualSpacing/>
        <w:rPr>
          <w:rFonts w:ascii="仿宋" w:hAnsi="仿宋" w:eastAsia="仿宋" w:cs="仿宋"/>
          <w:color w:val="auto"/>
          <w:highlight w:val="none"/>
          <w:lang w:val="zh-CN"/>
        </w:rPr>
      </w:pPr>
      <w:r>
        <w:rPr>
          <w:rFonts w:hint="eastAsia" w:ascii="仿宋" w:hAnsi="仿宋" w:eastAsia="仿宋" w:cs="仿宋"/>
          <w:color w:val="auto"/>
          <w:highlight w:val="none"/>
        </w:rPr>
        <w:t>6</w:t>
      </w:r>
      <w:r>
        <w:rPr>
          <w:rFonts w:hint="eastAsia" w:ascii="仿宋" w:hAnsi="仿宋" w:eastAsia="仿宋" w:cs="仿宋"/>
          <w:color w:val="auto"/>
          <w:highlight w:val="none"/>
          <w:lang w:val="zh-CN"/>
        </w:rPr>
        <w:t>.</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lang w:val="zh-CN"/>
        </w:rPr>
        <w:t>供应商投诉</w:t>
      </w:r>
    </w:p>
    <w:p w14:paraId="33D212FC">
      <w:pPr>
        <w:pStyle w:val="29"/>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6.</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.1</w:t>
      </w:r>
      <w:r>
        <w:rPr>
          <w:rFonts w:ascii="仿宋" w:hAnsi="仿宋" w:eastAsia="仿宋" w:cs="仿宋"/>
          <w:color w:val="auto"/>
          <w:highlight w:val="none"/>
        </w:rPr>
        <w:t xml:space="preserve"> </w:t>
      </w:r>
      <w:r>
        <w:rPr>
          <w:rFonts w:hint="eastAsia" w:ascii="仿宋" w:hAnsi="仿宋" w:eastAsia="仿宋" w:cs="仿宋"/>
          <w:color w:val="auto"/>
          <w:highlight w:val="none"/>
        </w:rPr>
        <w:t>质疑供应商对采购人、采购机构的答复不满意或者采购人、采购机构未在规定的时间内作出答复的，可以在答复期满后十五个工作日内向同级政府采购监督管理部门提出投诉。</w:t>
      </w:r>
    </w:p>
    <w:p w14:paraId="1928DDF9">
      <w:pPr>
        <w:pStyle w:val="29"/>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6.</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w:t>
      </w:r>
      <w:r>
        <w:rPr>
          <w:rFonts w:hint="eastAsia" w:ascii="仿宋" w:hAnsi="仿宋" w:eastAsia="仿宋" w:cs="仿宋"/>
          <w:color w:val="auto"/>
          <w:highlight w:val="none"/>
          <w:lang w:val="zh-CN"/>
        </w:rPr>
        <w:t>2</w:t>
      </w:r>
      <w:r>
        <w:rPr>
          <w:rFonts w:ascii="仿宋" w:hAnsi="仿宋" w:eastAsia="仿宋" w:cs="仿宋"/>
          <w:color w:val="auto"/>
          <w:highlight w:val="none"/>
          <w:lang w:val="zh-CN"/>
        </w:rPr>
        <w:t xml:space="preserve"> </w:t>
      </w:r>
      <w:r>
        <w:rPr>
          <w:rFonts w:hint="eastAsia" w:ascii="仿宋" w:hAnsi="仿宋" w:eastAsia="仿宋" w:cs="仿宋"/>
          <w:color w:val="auto"/>
          <w:highlight w:val="none"/>
        </w:rPr>
        <w:t>供应商投诉的事项不得超出已质疑事项的范围，基于质疑答复内容提出的投诉事项除外。</w:t>
      </w:r>
    </w:p>
    <w:p w14:paraId="6CC3D64B">
      <w:pPr>
        <w:pStyle w:val="29"/>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6.</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.3</w:t>
      </w:r>
      <w:r>
        <w:rPr>
          <w:rFonts w:ascii="仿宋" w:hAnsi="仿宋" w:eastAsia="仿宋" w:cs="仿宋"/>
          <w:color w:val="auto"/>
          <w:highlight w:val="none"/>
        </w:rPr>
        <w:t xml:space="preserve"> </w:t>
      </w:r>
      <w:r>
        <w:rPr>
          <w:rFonts w:hint="eastAsia" w:ascii="仿宋" w:hAnsi="仿宋" w:eastAsia="仿宋" w:cs="仿宋"/>
          <w:color w:val="auto"/>
          <w:highlight w:val="none"/>
        </w:rPr>
        <w:t>供应商投诉应当有明确的请求和必要的证明材料。</w:t>
      </w:r>
    </w:p>
    <w:p w14:paraId="7EC70FC2">
      <w:pPr>
        <w:pStyle w:val="29"/>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6.</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w:t>
      </w:r>
      <w:r>
        <w:rPr>
          <w:rFonts w:ascii="仿宋" w:hAnsi="仿宋" w:eastAsia="仿宋" w:cs="仿宋"/>
          <w:color w:val="auto"/>
          <w:highlight w:val="none"/>
        </w:rPr>
        <w:t>4</w:t>
      </w:r>
      <w:r>
        <w:rPr>
          <w:rFonts w:hint="eastAsia" w:ascii="仿宋" w:hAnsi="仿宋" w:eastAsia="仿宋" w:cs="仿宋"/>
          <w:color w:val="auto"/>
          <w:highlight w:val="none"/>
        </w:rPr>
        <w:t xml:space="preserve"> 以联合体形式参加政府采购活动的，其投诉应当由组成联合体的所有供应商共同提出。</w:t>
      </w:r>
    </w:p>
    <w:p w14:paraId="2A872C7C">
      <w:pPr>
        <w:pStyle w:val="29"/>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投诉书范本及制作说明详见附件。</w:t>
      </w:r>
    </w:p>
    <w:p w14:paraId="08895516">
      <w:pPr>
        <w:pStyle w:val="2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59DC9257">
      <w:pPr>
        <w:pStyle w:val="29"/>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6.</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 xml:space="preserve"> 补偿救济</w:t>
      </w:r>
    </w:p>
    <w:p w14:paraId="5831FE51">
      <w:pPr>
        <w:pStyle w:val="29"/>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采购人因政策变化、规划调整而不履行政府采购合同的，供应商可依据《杭州市涉企补偿救济实施办法（试行）》向采购人提起补偿申请。</w:t>
      </w:r>
    </w:p>
    <w:p w14:paraId="539370F5">
      <w:pPr>
        <w:spacing w:line="360" w:lineRule="auto"/>
        <w:jc w:val="center"/>
        <w:outlineLvl w:val="1"/>
        <w:rPr>
          <w:rFonts w:ascii="仿宋" w:hAnsi="仿宋" w:eastAsia="仿宋" w:cs="仿宋"/>
          <w:b/>
          <w:color w:val="auto"/>
          <w:sz w:val="24"/>
          <w:highlight w:val="none"/>
        </w:rPr>
      </w:pPr>
      <w:bookmarkStart w:id="9" w:name="_Toc9777"/>
      <w:bookmarkStart w:id="10" w:name="_Toc11416"/>
      <w:r>
        <w:rPr>
          <w:rFonts w:hint="eastAsia" w:ascii="仿宋" w:hAnsi="仿宋" w:eastAsia="仿宋" w:cs="仿宋"/>
          <w:b/>
          <w:color w:val="auto"/>
          <w:sz w:val="24"/>
          <w:highlight w:val="none"/>
        </w:rPr>
        <w:t>二、招标文件的构成、澄清、修改</w:t>
      </w:r>
      <w:bookmarkEnd w:id="9"/>
      <w:bookmarkEnd w:id="10"/>
    </w:p>
    <w:p w14:paraId="0DAF9D11">
      <w:pPr>
        <w:pStyle w:val="15"/>
        <w:spacing w:line="360" w:lineRule="auto"/>
        <w:outlineLvl w:val="2"/>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7．招标文件的构成</w:t>
      </w:r>
    </w:p>
    <w:p w14:paraId="0DA59D50">
      <w:pPr>
        <w:pStyle w:val="15"/>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7.1 招标文件包括下列文件及附件：</w:t>
      </w:r>
    </w:p>
    <w:p w14:paraId="220E6A5B">
      <w:pPr>
        <w:pStyle w:val="15"/>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7.1.1</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招标公告；</w:t>
      </w:r>
    </w:p>
    <w:p w14:paraId="03F851E5">
      <w:pPr>
        <w:pStyle w:val="15"/>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7.1.2</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投标人须知；</w:t>
      </w:r>
    </w:p>
    <w:p w14:paraId="58CBB143">
      <w:pPr>
        <w:pStyle w:val="15"/>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7.1.3</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采购需求；</w:t>
      </w:r>
    </w:p>
    <w:p w14:paraId="4984181C">
      <w:pPr>
        <w:pStyle w:val="15"/>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7.1.4</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评标办法；</w:t>
      </w:r>
    </w:p>
    <w:p w14:paraId="76203429">
      <w:pPr>
        <w:pStyle w:val="15"/>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7.1.5</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拟签订的合同文本；</w:t>
      </w:r>
    </w:p>
    <w:p w14:paraId="5FF9B5DD">
      <w:pPr>
        <w:pStyle w:val="15"/>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7.1.6</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应提交的有关格式范例。</w:t>
      </w:r>
    </w:p>
    <w:p w14:paraId="375377EF">
      <w:pPr>
        <w:pStyle w:val="15"/>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7.1.7 附件</w:t>
      </w:r>
    </w:p>
    <w:p w14:paraId="128070A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7.2</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2E0900FA">
      <w:pPr>
        <w:pStyle w:val="15"/>
        <w:spacing w:line="360" w:lineRule="auto"/>
        <w:outlineLvl w:val="2"/>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8. 招标文件的澄清、修改</w:t>
      </w:r>
    </w:p>
    <w:p w14:paraId="63174C13">
      <w:pPr>
        <w:pStyle w:val="30"/>
        <w:snapToGrid w:val="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8.1</w:t>
      </w:r>
      <w:r>
        <w:rPr>
          <w:rFonts w:ascii="仿宋" w:hAnsi="仿宋" w:eastAsia="仿宋" w:cs="仿宋"/>
          <w:color w:val="auto"/>
          <w:szCs w:val="24"/>
          <w:highlight w:val="none"/>
        </w:rPr>
        <w:t xml:space="preserve"> </w:t>
      </w:r>
      <w:r>
        <w:rPr>
          <w:rFonts w:hint="eastAsia" w:ascii="仿宋" w:hAnsi="仿宋" w:eastAsia="仿宋" w:cs="仿宋"/>
          <w:color w:val="auto"/>
          <w:szCs w:val="24"/>
          <w:highlight w:val="none"/>
        </w:rPr>
        <w:t>已获取招标文件的潜在投标人，若有问题需要澄清，应于投标截止时间前，以书面形式向采购机构提出。</w:t>
      </w:r>
    </w:p>
    <w:p w14:paraId="683BEE1C">
      <w:pPr>
        <w:pStyle w:val="30"/>
        <w:snapToGrid w:val="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8.2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22BA99A">
      <w:pPr>
        <w:pStyle w:val="3"/>
        <w:rPr>
          <w:rFonts w:ascii="仿宋" w:hAnsi="仿宋" w:eastAsia="仿宋" w:cs="仿宋"/>
          <w:color w:val="auto"/>
          <w:szCs w:val="24"/>
          <w:highlight w:val="none"/>
        </w:rPr>
      </w:pPr>
    </w:p>
    <w:p w14:paraId="70F4B159">
      <w:pPr>
        <w:spacing w:line="360" w:lineRule="auto"/>
        <w:jc w:val="center"/>
        <w:outlineLvl w:val="1"/>
        <w:rPr>
          <w:rFonts w:ascii="仿宋" w:hAnsi="仿宋" w:eastAsia="仿宋" w:cs="仿宋"/>
          <w:b/>
          <w:color w:val="auto"/>
          <w:sz w:val="24"/>
          <w:highlight w:val="none"/>
        </w:rPr>
      </w:pPr>
      <w:bookmarkStart w:id="11" w:name="_Toc10766"/>
      <w:bookmarkStart w:id="12" w:name="_Toc20983"/>
      <w:r>
        <w:rPr>
          <w:rFonts w:hint="eastAsia" w:ascii="仿宋" w:hAnsi="仿宋" w:eastAsia="仿宋" w:cs="仿宋"/>
          <w:b/>
          <w:color w:val="auto"/>
          <w:sz w:val="24"/>
          <w:highlight w:val="none"/>
        </w:rPr>
        <w:t>三、投标</w:t>
      </w:r>
      <w:bookmarkEnd w:id="11"/>
      <w:bookmarkEnd w:id="12"/>
    </w:p>
    <w:p w14:paraId="7C20AB05">
      <w:pPr>
        <w:pStyle w:val="15"/>
        <w:spacing w:line="360" w:lineRule="auto"/>
        <w:outlineLvl w:val="2"/>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9. 招标文件的获取</w:t>
      </w:r>
    </w:p>
    <w:p w14:paraId="72E93A75">
      <w:pPr>
        <w:spacing w:line="360" w:lineRule="auto"/>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43107826">
      <w:pPr>
        <w:pStyle w:val="15"/>
        <w:spacing w:line="360" w:lineRule="auto"/>
        <w:outlineLvl w:val="2"/>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w:t>
      </w:r>
      <w:r>
        <w:rPr>
          <w:rFonts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rPr>
        <w:t>开标前答疑会或现场考察</w:t>
      </w:r>
    </w:p>
    <w:p w14:paraId="20AC2058">
      <w:pPr>
        <w:pStyle w:val="15"/>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354E63D2">
      <w:pPr>
        <w:pStyle w:val="15"/>
        <w:spacing w:line="360" w:lineRule="auto"/>
        <w:outlineLvl w:val="2"/>
        <w:rPr>
          <w:rFonts w:ascii="仿宋" w:hAnsi="仿宋" w:eastAsia="仿宋" w:cs="仿宋"/>
          <w:b/>
          <w:color w:val="auto"/>
          <w:sz w:val="24"/>
          <w:szCs w:val="24"/>
          <w:highlight w:val="none"/>
        </w:rPr>
      </w:pPr>
      <w:r>
        <w:rPr>
          <w:rFonts w:hint="eastAsia" w:ascii="仿宋" w:hAnsi="仿宋" w:eastAsia="仿宋" w:cs="仿宋"/>
          <w:b/>
          <w:color w:val="auto"/>
          <w:kern w:val="28"/>
          <w:sz w:val="24"/>
          <w:szCs w:val="24"/>
          <w:highlight w:val="none"/>
        </w:rPr>
        <w:t>11.</w:t>
      </w:r>
      <w:r>
        <w:rPr>
          <w:rFonts w:ascii="仿宋" w:hAnsi="仿宋" w:eastAsia="仿宋" w:cs="仿宋"/>
          <w:b/>
          <w:color w:val="auto"/>
          <w:kern w:val="28"/>
          <w:sz w:val="24"/>
          <w:szCs w:val="24"/>
          <w:highlight w:val="none"/>
        </w:rPr>
        <w:t xml:space="preserve"> </w:t>
      </w:r>
      <w:r>
        <w:rPr>
          <w:rFonts w:hint="eastAsia" w:ascii="仿宋" w:hAnsi="仿宋" w:eastAsia="仿宋" w:cs="仿宋"/>
          <w:b/>
          <w:color w:val="auto"/>
          <w:kern w:val="28"/>
          <w:sz w:val="24"/>
          <w:szCs w:val="24"/>
          <w:highlight w:val="none"/>
        </w:rPr>
        <w:t>投标保证金</w:t>
      </w:r>
    </w:p>
    <w:p w14:paraId="340BCB35">
      <w:pPr>
        <w:pStyle w:val="10"/>
        <w:spacing w:line="360" w:lineRule="auto"/>
        <w:ind w:firstLine="470" w:firstLineChars="19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本项目不需缴纳投标保证金。</w:t>
      </w:r>
    </w:p>
    <w:p w14:paraId="145C89D0">
      <w:pPr>
        <w:pStyle w:val="15"/>
        <w:spacing w:line="360" w:lineRule="auto"/>
        <w:outlineLvl w:val="2"/>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12. 投标文件的语言</w:t>
      </w:r>
    </w:p>
    <w:p w14:paraId="70D1AA32">
      <w:pPr>
        <w:autoSpaceDE w:val="0"/>
        <w:autoSpaceDN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12D2E392">
      <w:pPr>
        <w:pStyle w:val="15"/>
        <w:spacing w:line="360" w:lineRule="auto"/>
        <w:outlineLvl w:val="2"/>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13. 投标文件的组成</w:t>
      </w:r>
    </w:p>
    <w:p w14:paraId="685CFB22">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13.1</w:t>
      </w:r>
      <w:r>
        <w:rPr>
          <w:rFonts w:ascii="仿宋" w:hAnsi="仿宋" w:eastAsia="仿宋" w:cs="仿宋"/>
          <w:color w:val="auto"/>
          <w:sz w:val="24"/>
          <w:highlight w:val="none"/>
        </w:rPr>
        <w:t xml:space="preserve"> </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0679795A">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13.1.1</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符合参加政府采购活动应当具备的一般条件的承诺函；</w:t>
      </w:r>
    </w:p>
    <w:p w14:paraId="1048D935">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13.1.2</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营业执照或其他同类证明文件；</w:t>
      </w:r>
    </w:p>
    <w:p w14:paraId="1DFB7F76">
      <w:pPr>
        <w:snapToGrid w:val="0"/>
        <w:spacing w:line="360" w:lineRule="auto"/>
        <w:ind w:firstLine="960" w:firstLineChars="400"/>
        <w:rPr>
          <w:rFonts w:ascii="仿宋" w:hAnsi="仿宋" w:eastAsia="仿宋" w:cs="仿宋"/>
          <w:color w:val="auto"/>
          <w:sz w:val="24"/>
          <w:highlight w:val="none"/>
        </w:rPr>
      </w:pPr>
      <w:r>
        <w:rPr>
          <w:rFonts w:ascii="仿宋" w:hAnsi="仿宋" w:eastAsia="仿宋" w:cs="仿宋"/>
          <w:color w:val="auto"/>
          <w:sz w:val="24"/>
          <w:highlight w:val="none"/>
        </w:rPr>
        <w:t>13</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符合供应商特定资格条件的证明文件（如有）；</w:t>
      </w:r>
    </w:p>
    <w:p w14:paraId="1700E94A">
      <w:pPr>
        <w:snapToGrid w:val="0"/>
        <w:spacing w:line="360" w:lineRule="auto"/>
        <w:ind w:firstLine="960" w:firstLineChars="400"/>
        <w:rPr>
          <w:rFonts w:ascii="仿宋" w:hAnsi="仿宋" w:eastAsia="仿宋" w:cs="仿宋"/>
          <w:color w:val="auto"/>
          <w:sz w:val="24"/>
          <w:highlight w:val="none"/>
        </w:rPr>
      </w:pPr>
      <w:r>
        <w:rPr>
          <w:rFonts w:ascii="仿宋" w:hAnsi="仿宋" w:eastAsia="仿宋" w:cs="仿宋"/>
          <w:color w:val="auto"/>
          <w:sz w:val="24"/>
          <w:highlight w:val="none"/>
        </w:rPr>
        <w:t>13</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4</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联合体协议或分包协议（如有）</w:t>
      </w:r>
    </w:p>
    <w:p w14:paraId="21696FCE">
      <w:pPr>
        <w:snapToGrid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w:t>
      </w: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ascii="仿宋" w:hAnsi="仿宋" w:eastAsia="仿宋" w:cs="仿宋"/>
          <w:color w:val="auto"/>
          <w:sz w:val="24"/>
          <w:highlight w:val="none"/>
        </w:rPr>
        <w:t xml:space="preserve"> </w:t>
      </w:r>
      <w:r>
        <w:rPr>
          <w:rFonts w:hint="eastAsia" w:ascii="仿宋" w:hAnsi="仿宋" w:eastAsia="仿宋" w:cs="仿宋"/>
          <w:b/>
          <w:bCs/>
          <w:color w:val="auto"/>
          <w:sz w:val="24"/>
          <w:highlight w:val="none"/>
        </w:rPr>
        <w:t>商务技术</w:t>
      </w:r>
      <w:r>
        <w:rPr>
          <w:rFonts w:hint="eastAsia" w:ascii="仿宋" w:hAnsi="仿宋" w:eastAsia="仿宋" w:cs="仿宋"/>
          <w:b/>
          <w:bCs/>
          <w:color w:val="auto"/>
          <w:sz w:val="24"/>
          <w:highlight w:val="none"/>
          <w:lang w:val="zh-CN"/>
        </w:rPr>
        <w:t>文件：</w:t>
      </w:r>
    </w:p>
    <w:p w14:paraId="0E45CB4D">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13.2.1</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投标函；</w:t>
      </w:r>
      <w:r>
        <w:rPr>
          <w:rFonts w:hint="eastAsia" w:ascii="仿宋" w:hAnsi="仿宋" w:eastAsia="仿宋" w:cs="仿宋"/>
          <w:color w:val="auto"/>
          <w:sz w:val="24"/>
          <w:highlight w:val="none"/>
          <w:lang w:val="zh-CN"/>
        </w:rPr>
        <w:t xml:space="preserve"> </w:t>
      </w:r>
    </w:p>
    <w:p w14:paraId="7E596169">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13.2.2</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授权委托书或法定代表人（单位负责人、自然人本人）身份证明；</w:t>
      </w:r>
    </w:p>
    <w:p w14:paraId="3C391B87">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13.2.3</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联合协议或分包意向协议；</w:t>
      </w:r>
    </w:p>
    <w:p w14:paraId="7F95CCE4">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13.2.4</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符合性审查资料；</w:t>
      </w:r>
    </w:p>
    <w:p w14:paraId="4F1CAEBE">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13.2.5</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商务技术偏离表</w:t>
      </w:r>
      <w:r>
        <w:rPr>
          <w:rFonts w:hint="eastAsia" w:ascii="仿宋" w:hAnsi="仿宋" w:eastAsia="仿宋" w:cs="仿宋"/>
          <w:color w:val="auto"/>
          <w:sz w:val="24"/>
          <w:highlight w:val="none"/>
        </w:rPr>
        <w:t>；</w:t>
      </w:r>
    </w:p>
    <w:p w14:paraId="1E7D9D49">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13.2.6</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评标标准相应的商务技术资料；</w:t>
      </w:r>
    </w:p>
    <w:p w14:paraId="6C8338D9">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13.2.7 投标标的清单；</w:t>
      </w:r>
    </w:p>
    <w:p w14:paraId="33BF353D">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13.2.8 政府采购供应商廉洁自律承诺书；</w:t>
      </w:r>
    </w:p>
    <w:p w14:paraId="630D9B43">
      <w:pPr>
        <w:snapToGrid w:val="0"/>
        <w:spacing w:line="360" w:lineRule="auto"/>
        <w:ind w:firstLine="960" w:firstLineChars="400"/>
        <w:rPr>
          <w:rFonts w:ascii="仿宋" w:hAnsi="仿宋" w:eastAsia="仿宋" w:cs="仿宋"/>
          <w:color w:val="auto"/>
          <w:sz w:val="24"/>
          <w:highlight w:val="none"/>
          <w:lang w:val="zh-CN"/>
        </w:rPr>
      </w:pPr>
      <w:r>
        <w:rPr>
          <w:rFonts w:hint="eastAsia" w:ascii="仿宋" w:hAnsi="仿宋" w:eastAsia="仿宋" w:cs="仿宋"/>
          <w:color w:val="auto"/>
          <w:sz w:val="24"/>
          <w:highlight w:val="none"/>
        </w:rPr>
        <w:t>13.2.9政府采购活动现场确认声明书（开标后提供）</w:t>
      </w:r>
      <w:r>
        <w:rPr>
          <w:rFonts w:hint="eastAsia" w:ascii="仿宋" w:hAnsi="仿宋" w:eastAsia="仿宋" w:cs="仿宋"/>
          <w:color w:val="auto"/>
          <w:sz w:val="24"/>
          <w:highlight w:val="none"/>
          <w:lang w:val="zh-CN"/>
        </w:rPr>
        <w:t>；</w:t>
      </w:r>
    </w:p>
    <w:p w14:paraId="115AC135">
      <w:pPr>
        <w:snapToGrid w:val="0"/>
        <w:spacing w:line="360" w:lineRule="auto"/>
        <w:ind w:firstLine="480" w:firstLineChars="200"/>
        <w:rPr>
          <w:rFonts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13.</w:t>
      </w:r>
      <w:r>
        <w:rPr>
          <w:rFonts w:hint="eastAsia" w:ascii="仿宋" w:hAnsi="仿宋" w:eastAsia="仿宋" w:cs="仿宋"/>
          <w:color w:val="auto"/>
          <w:kern w:val="0"/>
          <w:sz w:val="24"/>
          <w:highlight w:val="none"/>
        </w:rPr>
        <w:t>3</w:t>
      </w:r>
      <w:r>
        <w:rPr>
          <w:rFonts w:ascii="仿宋" w:hAnsi="仿宋" w:eastAsia="仿宋" w:cs="仿宋"/>
          <w:color w:val="auto"/>
          <w:kern w:val="0"/>
          <w:sz w:val="24"/>
          <w:highlight w:val="none"/>
        </w:rPr>
        <w:t xml:space="preserve"> </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59273A70">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13.3.1</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开标一览表（报价表）</w:t>
      </w:r>
    </w:p>
    <w:p w14:paraId="6C2C030A">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落实政府采购政策需满足的资格要求（如有）；</w:t>
      </w:r>
    </w:p>
    <w:p w14:paraId="1F7F07D2">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13.3.</w:t>
      </w:r>
      <w:r>
        <w:rPr>
          <w:rFonts w:hint="eastAsia" w:ascii="仿宋" w:hAnsi="仿宋" w:eastAsia="仿宋" w:cs="仿宋"/>
          <w:color w:val="auto"/>
          <w:sz w:val="24"/>
          <w:highlight w:val="none"/>
          <w:lang w:val="en-US" w:eastAsia="zh-CN"/>
        </w:rPr>
        <w:t>3</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交纳采购代理服务费承诺书。</w:t>
      </w:r>
    </w:p>
    <w:p w14:paraId="798074BC">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1FA5C812">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投标人提供虚假材料投标的，投标无效。</w:t>
      </w:r>
    </w:p>
    <w:p w14:paraId="619EF358">
      <w:pPr>
        <w:spacing w:line="360" w:lineRule="auto"/>
        <w:ind w:firstLine="720" w:firstLineChars="300"/>
        <w:rPr>
          <w:rFonts w:hint="eastAsia" w:ascii="仿宋" w:hAnsi="仿宋" w:eastAsia="仿宋" w:cs="仿宋"/>
          <w:b/>
          <w:color w:val="auto"/>
          <w:sz w:val="24"/>
          <w:highlight w:val="none"/>
        </w:rPr>
      </w:pPr>
      <w:r>
        <w:rPr>
          <w:rFonts w:hint="eastAsia" w:ascii="仿宋" w:hAnsi="仿宋" w:eastAsia="仿宋" w:cs="仿宋"/>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r>
        <w:rPr>
          <w:rFonts w:hint="eastAsia" w:ascii="仿宋" w:hAnsi="仿宋" w:eastAsia="仿宋" w:cs="仿宋"/>
          <w:b/>
          <w:color w:val="auto"/>
          <w:sz w:val="24"/>
          <w:highlight w:val="none"/>
        </w:rPr>
        <w:t>。</w:t>
      </w:r>
    </w:p>
    <w:p w14:paraId="479EBD0E">
      <w:pPr>
        <w:pStyle w:val="30"/>
        <w:snapToGrid w:val="0"/>
        <w:spacing w:before="0"/>
        <w:ind w:firstLine="0" w:firstLineChars="0"/>
        <w:outlineLvl w:val="2"/>
        <w:rPr>
          <w:rFonts w:ascii="仿宋" w:hAnsi="仿宋" w:eastAsia="仿宋" w:cs="仿宋"/>
          <w:b/>
          <w:color w:val="auto"/>
          <w:szCs w:val="24"/>
          <w:highlight w:val="none"/>
        </w:rPr>
      </w:pPr>
      <w:r>
        <w:rPr>
          <w:rFonts w:hint="eastAsia" w:ascii="仿宋" w:hAnsi="仿宋" w:eastAsia="仿宋" w:cs="仿宋"/>
          <w:b/>
          <w:color w:val="auto"/>
          <w:szCs w:val="24"/>
          <w:highlight w:val="none"/>
        </w:rPr>
        <w:t>14</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50538E20">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rPr>
        <w:t>4</w:t>
      </w:r>
      <w:r>
        <w:rPr>
          <w:rFonts w:hint="eastAsia" w:ascii="仿宋" w:hAnsi="仿宋" w:eastAsia="仿宋" w:cs="仿宋"/>
          <w:color w:val="auto"/>
          <w:kern w:val="0"/>
          <w:sz w:val="24"/>
          <w:highlight w:val="none"/>
          <w:lang w:val="zh-CN"/>
        </w:rPr>
        <w:t>.1</w:t>
      </w:r>
      <w:r>
        <w:rPr>
          <w:rFonts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B362E1D">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rPr>
        <w:t>4</w:t>
      </w:r>
      <w:r>
        <w:rPr>
          <w:rFonts w:hint="eastAsia" w:ascii="仿宋" w:hAnsi="仿宋" w:eastAsia="仿宋" w:cs="仿宋"/>
          <w:color w:val="auto"/>
          <w:kern w:val="0"/>
          <w:sz w:val="24"/>
          <w:highlight w:val="none"/>
          <w:lang w:val="zh-CN"/>
        </w:rPr>
        <w:t>.2</w:t>
      </w:r>
      <w:r>
        <w:rPr>
          <w:rFonts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lang w:val="zh-CN"/>
        </w:rPr>
        <w:t>投标人进行电子投标应安装客户端软件—“政采云电子交易客户端”，并按照招标文件和电子交易平台的要求编制并加密投标文件。投标人未按规定加密的投标文件，电子交易平台将拒收并提示。</w:t>
      </w:r>
    </w:p>
    <w:p w14:paraId="4BEF4D4B">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rPr>
        <w:t>4</w:t>
      </w:r>
      <w:r>
        <w:rPr>
          <w:rFonts w:hint="eastAsia" w:ascii="仿宋" w:hAnsi="仿宋" w:eastAsia="仿宋" w:cs="仿宋"/>
          <w:color w:val="auto"/>
          <w:kern w:val="0"/>
          <w:sz w:val="24"/>
          <w:highlight w:val="none"/>
          <w:lang w:val="zh-CN"/>
        </w:rPr>
        <w:t>.3</w:t>
      </w:r>
      <w:r>
        <w:rPr>
          <w:rFonts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lang w:val="zh-CN"/>
        </w:rPr>
        <w:t>使用“政采云电子交易客户端”需要提前申领CA数字证书，申领流程请自行前往“浙江政府采购网-下载专区-电子交易客户端-CA驱动和申领流程”进行查阅。</w:t>
      </w:r>
    </w:p>
    <w:p w14:paraId="20723158">
      <w:pPr>
        <w:snapToGrid w:val="0"/>
        <w:spacing w:line="360" w:lineRule="auto"/>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15.</w:t>
      </w:r>
      <w:r>
        <w:rPr>
          <w:rFonts w:ascii="仿宋" w:hAnsi="仿宋" w:eastAsia="仿宋" w:cs="仿宋"/>
          <w:b/>
          <w:color w:val="auto"/>
          <w:sz w:val="24"/>
          <w:highlight w:val="none"/>
        </w:rPr>
        <w:t xml:space="preserve"> </w:t>
      </w:r>
      <w:r>
        <w:rPr>
          <w:rFonts w:hint="eastAsia" w:ascii="仿宋" w:hAnsi="仿宋" w:eastAsia="仿宋" w:cs="仿宋"/>
          <w:b/>
          <w:color w:val="auto"/>
          <w:sz w:val="24"/>
          <w:highlight w:val="none"/>
        </w:rPr>
        <w:t>投标文件的签署、盖章</w:t>
      </w:r>
    </w:p>
    <w:p w14:paraId="026B4A18">
      <w:pPr>
        <w:pStyle w:val="30"/>
        <w:snapToGrid w:val="0"/>
        <w:spacing w:before="0"/>
        <w:ind w:firstLine="480"/>
        <w:rPr>
          <w:rFonts w:ascii="仿宋" w:hAnsi="仿宋" w:eastAsia="仿宋" w:cs="仿宋"/>
          <w:b/>
          <w:color w:val="auto"/>
          <w:szCs w:val="24"/>
          <w:highlight w:val="none"/>
        </w:rPr>
      </w:pPr>
      <w:r>
        <w:rPr>
          <w:rFonts w:hint="eastAsia" w:ascii="仿宋" w:hAnsi="仿宋" w:eastAsia="仿宋" w:cs="仿宋"/>
          <w:color w:val="auto"/>
          <w:szCs w:val="24"/>
          <w:highlight w:val="none"/>
        </w:rPr>
        <w:t>15.1</w:t>
      </w:r>
      <w:r>
        <w:rPr>
          <w:rFonts w:ascii="仿宋" w:hAnsi="仿宋" w:eastAsia="仿宋" w:cs="仿宋"/>
          <w:color w:val="auto"/>
          <w:szCs w:val="24"/>
          <w:highlight w:val="none"/>
        </w:rPr>
        <w:t xml:space="preserve"> </w:t>
      </w:r>
      <w:r>
        <w:rPr>
          <w:rFonts w:hint="eastAsia" w:ascii="仿宋" w:hAnsi="仿宋" w:eastAsia="仿宋" w:cs="仿宋"/>
          <w:color w:val="auto"/>
          <w:szCs w:val="24"/>
          <w:highlight w:val="none"/>
        </w:rPr>
        <w:t>投标文件按照招标文件第六部分格式要求进行签署、盖章。</w:t>
      </w:r>
      <w:r>
        <w:rPr>
          <w:rFonts w:hint="eastAsia" w:ascii="仿宋" w:hAnsi="仿宋" w:eastAsia="仿宋" w:cs="仿宋"/>
          <w:b/>
          <w:color w:val="auto"/>
          <w:szCs w:val="24"/>
          <w:highlight w:val="none"/>
        </w:rPr>
        <w:t>▲投标人的投标文件未按照招标文件要求签署、盖章的，其投标无效</w:t>
      </w:r>
      <w:r>
        <w:rPr>
          <w:rFonts w:hint="eastAsia" w:ascii="仿宋" w:hAnsi="仿宋" w:eastAsia="仿宋" w:cs="仿宋"/>
          <w:color w:val="auto"/>
          <w:szCs w:val="24"/>
          <w:highlight w:val="none"/>
        </w:rPr>
        <w:t>。</w:t>
      </w:r>
    </w:p>
    <w:p w14:paraId="4CB17981">
      <w:pPr>
        <w:pStyle w:val="30"/>
        <w:snapToGrid w:val="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15.2</w:t>
      </w:r>
      <w:r>
        <w:rPr>
          <w:rFonts w:ascii="仿宋" w:hAnsi="仿宋" w:eastAsia="仿宋" w:cs="仿宋"/>
          <w:color w:val="auto"/>
          <w:szCs w:val="24"/>
          <w:highlight w:val="none"/>
        </w:rPr>
        <w:t xml:space="preserve"> </w:t>
      </w:r>
      <w:r>
        <w:rPr>
          <w:rFonts w:hint="eastAsia" w:ascii="仿宋" w:hAnsi="仿宋" w:eastAsia="仿宋" w:cs="仿宋"/>
          <w:color w:val="auto"/>
          <w:szCs w:val="24"/>
          <w:highlight w:val="none"/>
        </w:rPr>
        <w:t>为确保网上操作合法、有效和安全，投标人应当在投标截止时间前完成在“政府采购云平台”的身份认证，确保在电子投标过程中能够对相关数据电文进行加密和使用电子签名。</w:t>
      </w:r>
    </w:p>
    <w:p w14:paraId="7DC580E1">
      <w:pPr>
        <w:pStyle w:val="30"/>
        <w:snapToGrid w:val="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15.3</w:t>
      </w:r>
      <w:r>
        <w:rPr>
          <w:rFonts w:ascii="仿宋" w:hAnsi="仿宋" w:eastAsia="仿宋" w:cs="仿宋"/>
          <w:color w:val="auto"/>
          <w:szCs w:val="24"/>
          <w:highlight w:val="none"/>
        </w:rPr>
        <w:t xml:space="preserve"> </w:t>
      </w:r>
      <w:r>
        <w:rPr>
          <w:rFonts w:hint="eastAsia" w:ascii="仿宋" w:hAnsi="仿宋" w:eastAsia="仿宋" w:cs="仿宋"/>
          <w:color w:val="auto"/>
          <w:szCs w:val="24"/>
          <w:highlight w:val="none"/>
        </w:rPr>
        <w:t>招标文件对投标文件签署、盖章的要求适用于电子签名。</w:t>
      </w:r>
    </w:p>
    <w:p w14:paraId="1FF21834">
      <w:pPr>
        <w:pStyle w:val="30"/>
        <w:spacing w:before="0"/>
        <w:ind w:firstLine="0" w:firstLineChars="0"/>
        <w:outlineLvl w:val="2"/>
        <w:rPr>
          <w:rFonts w:ascii="仿宋" w:hAnsi="仿宋" w:eastAsia="仿宋" w:cs="仿宋"/>
          <w:b/>
          <w:color w:val="auto"/>
          <w:szCs w:val="24"/>
          <w:highlight w:val="none"/>
        </w:rPr>
      </w:pPr>
      <w:r>
        <w:rPr>
          <w:rFonts w:hint="eastAsia" w:ascii="仿宋" w:hAnsi="仿宋" w:eastAsia="仿宋" w:cs="仿宋"/>
          <w:b/>
          <w:color w:val="auto"/>
          <w:szCs w:val="24"/>
          <w:highlight w:val="none"/>
        </w:rPr>
        <w:t>16. 投标文件的提交、补充、修改、撤回</w:t>
      </w:r>
    </w:p>
    <w:p w14:paraId="07CEB925">
      <w:pPr>
        <w:pStyle w:val="30"/>
        <w:spacing w:before="0"/>
        <w:ind w:firstLine="480"/>
        <w:outlineLvl w:val="2"/>
        <w:rPr>
          <w:rFonts w:ascii="仿宋" w:hAnsi="仿宋" w:eastAsia="仿宋" w:cs="仿宋"/>
          <w:b/>
          <w:color w:val="auto"/>
          <w:szCs w:val="24"/>
          <w:highlight w:val="none"/>
        </w:rPr>
      </w:pPr>
      <w:r>
        <w:rPr>
          <w:rFonts w:hint="eastAsia" w:ascii="仿宋" w:hAnsi="仿宋" w:eastAsia="仿宋" w:cs="仿宋"/>
          <w:color w:val="auto"/>
          <w:szCs w:val="24"/>
          <w:highlight w:val="none"/>
        </w:rPr>
        <w:t>16.1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D965838">
      <w:pPr>
        <w:pStyle w:val="3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16.2</w:t>
      </w:r>
      <w:r>
        <w:rPr>
          <w:rFonts w:ascii="仿宋" w:hAnsi="仿宋" w:eastAsia="仿宋" w:cs="仿宋"/>
          <w:color w:val="auto"/>
          <w:szCs w:val="24"/>
          <w:highlight w:val="none"/>
        </w:rPr>
        <w:t xml:space="preserve"> </w:t>
      </w:r>
      <w:r>
        <w:rPr>
          <w:rFonts w:hint="eastAsia" w:ascii="仿宋" w:hAnsi="仿宋" w:eastAsia="仿宋" w:cs="仿宋"/>
          <w:color w:val="auto"/>
          <w:szCs w:val="24"/>
          <w:highlight w:val="none"/>
        </w:rPr>
        <w:t>电子交易平台收到投标文件，将妥善保存并即时向供应商发出确认回执通知。在投标截止时间前，除供应商补充、修改或者撤回投标文件外，任何单位和个人不得解密或提取投标文件。</w:t>
      </w:r>
    </w:p>
    <w:p w14:paraId="0746FE86">
      <w:pPr>
        <w:pStyle w:val="3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16.3</w:t>
      </w:r>
      <w:r>
        <w:rPr>
          <w:rFonts w:ascii="仿宋" w:hAnsi="仿宋" w:eastAsia="仿宋" w:cs="仿宋"/>
          <w:color w:val="auto"/>
          <w:szCs w:val="24"/>
          <w:highlight w:val="none"/>
        </w:rPr>
        <w:t xml:space="preserve"> </w:t>
      </w:r>
      <w:r>
        <w:rPr>
          <w:rFonts w:hint="eastAsia" w:ascii="仿宋" w:hAnsi="仿宋" w:eastAsia="仿宋" w:cs="仿宋"/>
          <w:color w:val="auto"/>
          <w:szCs w:val="24"/>
          <w:highlight w:val="none"/>
        </w:rPr>
        <w:t>采购人、采购机构可以视情况延长投标文件提交的截止时间。在上述情况下，采购机构与投标人以前在投标截止期方面的全部权利、责任和义务，将适用于延长至新的投标截止期。</w:t>
      </w:r>
    </w:p>
    <w:p w14:paraId="3B6ABEF3">
      <w:pPr>
        <w:pStyle w:val="15"/>
        <w:spacing w:line="360" w:lineRule="auto"/>
        <w:outlineLvl w:val="2"/>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17.</w:t>
      </w:r>
      <w:r>
        <w:rPr>
          <w:rFonts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rPr>
        <w:t>备份投标文件</w:t>
      </w:r>
    </w:p>
    <w:p w14:paraId="225B7ECA">
      <w:pPr>
        <w:pStyle w:val="15"/>
        <w:spacing w:line="360" w:lineRule="auto"/>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17.1</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但采购人、采购机构不强制或变相强制投标人提交备份投标文件。</w:t>
      </w:r>
    </w:p>
    <w:p w14:paraId="1903B992">
      <w:pPr>
        <w:pStyle w:val="15"/>
        <w:spacing w:line="360" w:lineRule="auto"/>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17.2</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备份投标文件须在“政采云投标客户端”制作生成，并储存在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szCs w:val="24"/>
          <w:highlight w:val="none"/>
        </w:rPr>
        <w:t>不符合上述制作、存储、密封规定的备份投标文件将被视为无效或者被拒绝接收。</w:t>
      </w:r>
    </w:p>
    <w:p w14:paraId="3DB92FE1">
      <w:pPr>
        <w:pStyle w:val="15"/>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17.3</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直接提交备份投标文件的，投标人应于投标截止时间前在招标公告中载明的开标地点将备份投标文件提交给采购机构，采购机构将拒绝接受逾期送达的备份投标文件。</w:t>
      </w:r>
    </w:p>
    <w:p w14:paraId="58D4DAE5">
      <w:pPr>
        <w:pStyle w:val="15"/>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17.4</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505966E4">
      <w:pPr>
        <w:pStyle w:val="15"/>
        <w:spacing w:line="360" w:lineRule="auto"/>
        <w:ind w:firstLine="479" w:firstLineChars="199"/>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17.5</w:t>
      </w:r>
      <w:r>
        <w:rPr>
          <w:rFonts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rPr>
        <w:t>投标人仅提交备份投标文件，没有在电子交易平台传输递交投标文件的，投标无效。</w:t>
      </w:r>
    </w:p>
    <w:p w14:paraId="723CEE9C">
      <w:pPr>
        <w:pStyle w:val="30"/>
        <w:spacing w:before="0"/>
        <w:ind w:firstLine="0" w:firstLineChars="0"/>
        <w:outlineLvl w:val="2"/>
        <w:rPr>
          <w:rFonts w:ascii="仿宋" w:hAnsi="仿宋" w:eastAsia="仿宋" w:cs="仿宋"/>
          <w:b/>
          <w:color w:val="auto"/>
          <w:szCs w:val="24"/>
          <w:highlight w:val="none"/>
        </w:rPr>
      </w:pPr>
      <w:r>
        <w:rPr>
          <w:rFonts w:hint="eastAsia" w:ascii="仿宋" w:hAnsi="仿宋" w:eastAsia="仿宋" w:cs="仿宋"/>
          <w:b/>
          <w:color w:val="auto"/>
          <w:szCs w:val="24"/>
          <w:highlight w:val="none"/>
        </w:rPr>
        <w:t>18.</w:t>
      </w:r>
      <w:r>
        <w:rPr>
          <w:rFonts w:ascii="仿宋" w:hAnsi="仿宋" w:eastAsia="仿宋" w:cs="仿宋"/>
          <w:b/>
          <w:color w:val="auto"/>
          <w:szCs w:val="24"/>
          <w:highlight w:val="none"/>
        </w:rPr>
        <w:t xml:space="preserve"> </w:t>
      </w:r>
      <w:r>
        <w:rPr>
          <w:rFonts w:hint="eastAsia" w:ascii="仿宋" w:hAnsi="仿宋" w:eastAsia="仿宋" w:cs="仿宋"/>
          <w:b/>
          <w:color w:val="auto"/>
          <w:szCs w:val="24"/>
          <w:highlight w:val="none"/>
        </w:rPr>
        <w:t>投标文件的无效处理</w:t>
      </w:r>
    </w:p>
    <w:p w14:paraId="20E96670">
      <w:pPr>
        <w:pStyle w:val="13"/>
        <w:spacing w:line="360" w:lineRule="auto"/>
        <w:ind w:firstLine="360" w:firstLineChars="150"/>
        <w:rPr>
          <w:rFonts w:ascii="仿宋" w:hAnsi="仿宋" w:eastAsia="仿宋" w:cs="仿宋"/>
          <w:color w:val="auto"/>
          <w:highlight w:val="none"/>
        </w:rPr>
      </w:pPr>
      <w:r>
        <w:rPr>
          <w:rFonts w:hint="eastAsia" w:ascii="仿宋" w:hAnsi="仿宋" w:eastAsia="仿宋" w:cs="仿宋"/>
          <w:color w:val="auto"/>
          <w:highlight w:val="none"/>
        </w:rPr>
        <w:t>有招标文件第四部分无效标情形之一的，投标无效。</w:t>
      </w:r>
    </w:p>
    <w:p w14:paraId="29015973">
      <w:pPr>
        <w:pStyle w:val="30"/>
        <w:spacing w:before="0"/>
        <w:ind w:firstLine="0" w:firstLineChars="0"/>
        <w:outlineLvl w:val="2"/>
        <w:rPr>
          <w:rFonts w:ascii="仿宋" w:hAnsi="仿宋" w:eastAsia="仿宋" w:cs="仿宋"/>
          <w:b/>
          <w:color w:val="auto"/>
          <w:szCs w:val="24"/>
          <w:highlight w:val="none"/>
        </w:rPr>
      </w:pPr>
      <w:r>
        <w:rPr>
          <w:rFonts w:hint="eastAsia" w:ascii="仿宋" w:hAnsi="仿宋" w:eastAsia="仿宋" w:cs="仿宋"/>
          <w:b/>
          <w:color w:val="auto"/>
          <w:szCs w:val="24"/>
          <w:highlight w:val="none"/>
        </w:rPr>
        <w:t>19.</w:t>
      </w:r>
      <w:r>
        <w:rPr>
          <w:rFonts w:ascii="仿宋" w:hAnsi="仿宋" w:eastAsia="仿宋" w:cs="仿宋"/>
          <w:b/>
          <w:color w:val="auto"/>
          <w:szCs w:val="24"/>
          <w:highlight w:val="none"/>
        </w:rPr>
        <w:t xml:space="preserve"> </w:t>
      </w:r>
      <w:r>
        <w:rPr>
          <w:rFonts w:hint="eastAsia" w:ascii="仿宋" w:hAnsi="仿宋" w:eastAsia="仿宋" w:cs="仿宋"/>
          <w:b/>
          <w:color w:val="auto"/>
          <w:szCs w:val="24"/>
          <w:highlight w:val="none"/>
        </w:rPr>
        <w:t>投标有效期</w:t>
      </w:r>
    </w:p>
    <w:p w14:paraId="3882E702">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19.1</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投标有效期为从提交投标文件的截止之日起90天。▲</w:t>
      </w:r>
      <w:r>
        <w:rPr>
          <w:rFonts w:hint="eastAsia" w:ascii="仿宋" w:hAnsi="仿宋" w:eastAsia="仿宋" w:cs="仿宋"/>
          <w:b/>
          <w:color w:val="auto"/>
          <w:sz w:val="24"/>
          <w:highlight w:val="none"/>
        </w:rPr>
        <w:t>投标人的投标文件中承诺的投标有效期少于招标文件中载明的投标有效期的，投标无效。</w:t>
      </w:r>
    </w:p>
    <w:p w14:paraId="2F5CA9DC">
      <w:pPr>
        <w:pStyle w:val="3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19.2</w:t>
      </w:r>
      <w:r>
        <w:rPr>
          <w:rFonts w:ascii="仿宋" w:hAnsi="仿宋" w:eastAsia="仿宋" w:cs="仿宋"/>
          <w:color w:val="auto"/>
          <w:szCs w:val="24"/>
          <w:highlight w:val="none"/>
        </w:rPr>
        <w:t xml:space="preserve"> </w:t>
      </w:r>
      <w:r>
        <w:rPr>
          <w:rFonts w:hint="eastAsia" w:ascii="仿宋" w:hAnsi="仿宋" w:eastAsia="仿宋" w:cs="仿宋"/>
          <w:color w:val="auto"/>
          <w:szCs w:val="24"/>
          <w:highlight w:val="none"/>
        </w:rPr>
        <w:t>投标文件合格投递后，自投标截止日期起，在投标有效期内有效。</w:t>
      </w:r>
    </w:p>
    <w:p w14:paraId="427240A8">
      <w:pPr>
        <w:pStyle w:val="3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19.3</w:t>
      </w:r>
      <w:r>
        <w:rPr>
          <w:rFonts w:ascii="仿宋" w:hAnsi="仿宋" w:eastAsia="仿宋" w:cs="仿宋"/>
          <w:color w:val="auto"/>
          <w:szCs w:val="24"/>
          <w:highlight w:val="none"/>
        </w:rPr>
        <w:t xml:space="preserve"> </w:t>
      </w:r>
      <w:r>
        <w:rPr>
          <w:rFonts w:hint="eastAsia" w:ascii="仿宋" w:hAnsi="仿宋" w:eastAsia="仿宋" w:cs="仿宋"/>
          <w:color w:val="auto"/>
          <w:szCs w:val="24"/>
          <w:highlight w:val="none"/>
        </w:rPr>
        <w:t>在原定投标有效期满之前，如果出现特殊情况，采购机构可以以书面形式通知投标人延长投标有效期。投标人同意延长的，不得要求或被允许修改其投标文件，投标人拒绝延长的，其投标无效。</w:t>
      </w:r>
    </w:p>
    <w:p w14:paraId="2D432630">
      <w:pPr>
        <w:spacing w:line="360" w:lineRule="auto"/>
        <w:jc w:val="center"/>
        <w:outlineLvl w:val="1"/>
        <w:rPr>
          <w:rFonts w:ascii="仿宋" w:hAnsi="仿宋" w:eastAsia="仿宋" w:cs="仿宋"/>
          <w:b/>
          <w:color w:val="auto"/>
          <w:sz w:val="24"/>
          <w:highlight w:val="none"/>
        </w:rPr>
      </w:pPr>
      <w:bookmarkStart w:id="13" w:name="_Toc28201"/>
      <w:bookmarkStart w:id="14" w:name="_Toc32206"/>
      <w:r>
        <w:rPr>
          <w:rFonts w:hint="eastAsia" w:ascii="仿宋" w:hAnsi="仿宋" w:eastAsia="仿宋" w:cs="仿宋"/>
          <w:b/>
          <w:color w:val="auto"/>
          <w:sz w:val="24"/>
          <w:highlight w:val="none"/>
        </w:rPr>
        <w:t>四、开标、资格审查与信用信息查询</w:t>
      </w:r>
      <w:bookmarkEnd w:id="13"/>
      <w:bookmarkEnd w:id="14"/>
    </w:p>
    <w:p w14:paraId="0DF54C0C">
      <w:pPr>
        <w:pStyle w:val="31"/>
        <w:spacing w:before="0" w:line="360" w:lineRule="auto"/>
        <w:ind w:left="0" w:firstLine="241" w:firstLineChars="100"/>
        <w:contextualSpacing/>
        <w:outlineLvl w:val="2"/>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20.</w:t>
      </w:r>
      <w:r>
        <w:rPr>
          <w:rFonts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rPr>
        <w:t>开标</w:t>
      </w:r>
      <w:r>
        <w:rPr>
          <w:rFonts w:hint="eastAsia" w:ascii="仿宋" w:hAnsi="仿宋" w:eastAsia="仿宋" w:cs="仿宋"/>
          <w:color w:val="auto"/>
          <w:sz w:val="24"/>
          <w:szCs w:val="24"/>
          <w:highlight w:val="none"/>
        </w:rPr>
        <w:t xml:space="preserve"> </w:t>
      </w:r>
    </w:p>
    <w:p w14:paraId="7A05F12A">
      <w:pPr>
        <w:pStyle w:val="31"/>
        <w:spacing w:before="0" w:line="360" w:lineRule="auto"/>
        <w:ind w:left="0" w:firstLine="480" w:firstLineChars="200"/>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20.1</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采购机构按照招标文件规定的时间通过电子交易平台组织开标，所有投标人均应当准时在线参加。投标人不足3家的，不得开标。</w:t>
      </w:r>
    </w:p>
    <w:p w14:paraId="34E7BDE9">
      <w:pPr>
        <w:pStyle w:val="31"/>
        <w:spacing w:before="0" w:line="360" w:lineRule="auto"/>
        <w:ind w:left="0" w:firstLine="480" w:firstLineChars="200"/>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20.2</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开标时，电子交易平台按开标时间自动提取所有投标文件。采购机构依托电子交易平台发起开始解密指令，投标人按照平台提示和招标文件的规定在半小时内完成在线解密。</w:t>
      </w:r>
    </w:p>
    <w:p w14:paraId="0602FBDB">
      <w:pPr>
        <w:pStyle w:val="31"/>
        <w:spacing w:before="0" w:line="360" w:lineRule="auto"/>
        <w:ind w:left="0" w:firstLine="480" w:firstLineChars="200"/>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20.3</w:t>
      </w:r>
      <w:r>
        <w:rPr>
          <w:rFonts w:ascii="仿宋" w:hAnsi="仿宋" w:eastAsia="仿宋" w:cs="仿宋"/>
          <w:color w:val="auto"/>
          <w:sz w:val="24"/>
          <w:szCs w:val="24"/>
          <w:highlight w:val="none"/>
        </w:rPr>
        <w:t xml:space="preserve"> </w:t>
      </w:r>
      <w:r>
        <w:rPr>
          <w:rFonts w:hint="eastAsia" w:ascii="仿宋" w:hAnsi="仿宋" w:eastAsia="仿宋" w:cs="仿宋"/>
          <w:b/>
          <w:color w:val="auto"/>
          <w:sz w:val="24"/>
          <w:szCs w:val="24"/>
          <w:highlight w:val="none"/>
        </w:rPr>
        <w:t>投标文件未按时解密，投标人提供了备份投标文件的，以备份投标文件作为依据，否则视为投标文件撤回。投标文件已按时解密的，备份投标文件自动失效。</w:t>
      </w:r>
    </w:p>
    <w:p w14:paraId="5683EC37">
      <w:pPr>
        <w:pStyle w:val="31"/>
        <w:spacing w:before="0" w:line="360" w:lineRule="auto"/>
        <w:ind w:left="0" w:firstLine="241" w:firstLineChars="100"/>
        <w:contextualSpacing/>
        <w:outlineLvl w:val="2"/>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21． 资格审查</w:t>
      </w:r>
    </w:p>
    <w:p w14:paraId="0BDA842C">
      <w:pPr>
        <w:pStyle w:val="3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21.1</w:t>
      </w:r>
      <w:r>
        <w:rPr>
          <w:rFonts w:ascii="仿宋" w:hAnsi="仿宋" w:eastAsia="仿宋" w:cs="仿宋"/>
          <w:color w:val="auto"/>
          <w:kern w:val="0"/>
          <w:szCs w:val="24"/>
          <w:highlight w:val="none"/>
        </w:rPr>
        <w:t xml:space="preserve"> </w:t>
      </w:r>
      <w:r>
        <w:rPr>
          <w:rFonts w:hint="eastAsia" w:ascii="仿宋" w:hAnsi="仿宋" w:eastAsia="仿宋" w:cs="仿宋"/>
          <w:color w:val="auto"/>
          <w:kern w:val="0"/>
          <w:szCs w:val="24"/>
          <w:highlight w:val="none"/>
        </w:rPr>
        <w:t>开标后，采购人或采购机构将依法对投标人的资格进行审查。</w:t>
      </w:r>
    </w:p>
    <w:p w14:paraId="66F8DBE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rPr>
        <w:t>21.2</w:t>
      </w:r>
      <w:r>
        <w:rPr>
          <w:rFonts w:ascii="仿宋" w:hAnsi="仿宋" w:eastAsia="仿宋" w:cs="仿宋"/>
          <w:color w:val="auto"/>
          <w:kern w:val="0"/>
          <w:sz w:val="24"/>
          <w:highlight w:val="none"/>
        </w:rPr>
        <w:t xml:space="preserve"> </w:t>
      </w:r>
      <w:r>
        <w:rPr>
          <w:rFonts w:hint="eastAsia" w:ascii="仿宋" w:hAnsi="仿宋" w:eastAsia="仿宋" w:cs="仿宋"/>
          <w:color w:val="auto"/>
          <w:sz w:val="24"/>
          <w:highlight w:val="none"/>
        </w:rPr>
        <w:t>采购人或采购机构依据法律法规和招标文件的规定，对投标人的基本资格条件、特定资格条件进行审查。</w:t>
      </w:r>
    </w:p>
    <w:p w14:paraId="5AFB127A">
      <w:pPr>
        <w:pStyle w:val="30"/>
        <w:spacing w:before="0"/>
        <w:ind w:firstLine="480"/>
        <w:rPr>
          <w:rFonts w:ascii="仿宋" w:hAnsi="仿宋" w:eastAsia="仿宋" w:cs="仿宋"/>
          <w:color w:val="auto"/>
          <w:szCs w:val="24"/>
          <w:highlight w:val="none"/>
        </w:rPr>
      </w:pPr>
      <w:r>
        <w:rPr>
          <w:rFonts w:hint="eastAsia" w:ascii="仿宋" w:hAnsi="仿宋" w:eastAsia="仿宋" w:cs="仿宋"/>
          <w:color w:val="auto"/>
          <w:kern w:val="0"/>
          <w:szCs w:val="24"/>
          <w:highlight w:val="none"/>
        </w:rPr>
        <w:t>21.3</w:t>
      </w:r>
      <w:r>
        <w:rPr>
          <w:rFonts w:ascii="仿宋" w:hAnsi="仿宋" w:eastAsia="仿宋" w:cs="仿宋"/>
          <w:color w:val="auto"/>
          <w:kern w:val="0"/>
          <w:szCs w:val="24"/>
          <w:highlight w:val="none"/>
        </w:rPr>
        <w:t xml:space="preserve"> </w:t>
      </w:r>
      <w:r>
        <w:rPr>
          <w:rFonts w:hint="eastAsia" w:ascii="仿宋" w:hAnsi="仿宋" w:eastAsia="仿宋" w:cs="仿宋"/>
          <w:color w:val="auto"/>
          <w:kern w:val="0"/>
          <w:szCs w:val="24"/>
          <w:highlight w:val="none"/>
        </w:rPr>
        <w:t>投标人未按照招标文件要求提供与</w:t>
      </w:r>
      <w:r>
        <w:rPr>
          <w:rFonts w:hint="eastAsia" w:ascii="仿宋" w:hAnsi="仿宋" w:eastAsia="仿宋" w:cs="仿宋"/>
          <w:color w:val="auto"/>
          <w:szCs w:val="24"/>
          <w:highlight w:val="none"/>
        </w:rPr>
        <w:t>基本资格条件、特定资格条件相应的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szCs w:val="24"/>
          <w:highlight w:val="none"/>
        </w:rPr>
        <w:t>投标人不具备招标文件中规定的资格要求，其投标无效。</w:t>
      </w:r>
    </w:p>
    <w:p w14:paraId="0632DF05">
      <w:pPr>
        <w:pStyle w:val="30"/>
        <w:spacing w:before="0"/>
        <w:ind w:firstLine="480"/>
        <w:rPr>
          <w:rFonts w:ascii="仿宋" w:hAnsi="仿宋" w:eastAsia="仿宋" w:cs="仿宋"/>
          <w:color w:val="auto"/>
          <w:szCs w:val="24"/>
          <w:highlight w:val="none"/>
        </w:rPr>
      </w:pPr>
      <w:r>
        <w:rPr>
          <w:rFonts w:hint="eastAsia" w:ascii="仿宋" w:hAnsi="仿宋" w:eastAsia="仿宋" w:cs="仿宋"/>
          <w:color w:val="auto"/>
          <w:kern w:val="0"/>
          <w:szCs w:val="24"/>
          <w:highlight w:val="none"/>
        </w:rPr>
        <w:t>21.</w:t>
      </w:r>
      <w:r>
        <w:rPr>
          <w:rFonts w:hint="eastAsia" w:ascii="仿宋" w:hAnsi="仿宋" w:eastAsia="仿宋" w:cs="仿宋"/>
          <w:color w:val="auto"/>
          <w:szCs w:val="24"/>
          <w:highlight w:val="none"/>
        </w:rPr>
        <w:t>4</w:t>
      </w:r>
      <w:r>
        <w:rPr>
          <w:rFonts w:ascii="仿宋" w:hAnsi="仿宋" w:eastAsia="仿宋" w:cs="仿宋"/>
          <w:color w:val="auto"/>
          <w:szCs w:val="24"/>
          <w:highlight w:val="none"/>
        </w:rPr>
        <w:t xml:space="preserve"> </w:t>
      </w:r>
      <w:r>
        <w:rPr>
          <w:rFonts w:hint="eastAsia" w:ascii="仿宋" w:hAnsi="仿宋" w:eastAsia="仿宋" w:cs="仿宋"/>
          <w:color w:val="auto"/>
          <w:szCs w:val="24"/>
          <w:highlight w:val="none"/>
        </w:rPr>
        <w:t>对未通过资格审查的投标人，采购人或采购机构告知其未通过的原因。</w:t>
      </w:r>
    </w:p>
    <w:p w14:paraId="5E6ECB59">
      <w:pPr>
        <w:pStyle w:val="30"/>
        <w:spacing w:before="0"/>
        <w:ind w:firstLine="480"/>
        <w:rPr>
          <w:rFonts w:ascii="仿宋" w:hAnsi="仿宋" w:eastAsia="仿宋" w:cs="仿宋"/>
          <w:color w:val="auto"/>
          <w:szCs w:val="24"/>
          <w:highlight w:val="none"/>
        </w:rPr>
      </w:pPr>
      <w:r>
        <w:rPr>
          <w:rFonts w:hint="eastAsia" w:ascii="仿宋" w:hAnsi="仿宋" w:eastAsia="仿宋" w:cs="仿宋"/>
          <w:color w:val="auto"/>
          <w:kern w:val="0"/>
          <w:szCs w:val="24"/>
          <w:highlight w:val="none"/>
        </w:rPr>
        <w:t>21.</w:t>
      </w:r>
      <w:r>
        <w:rPr>
          <w:rFonts w:hint="eastAsia" w:ascii="仿宋" w:hAnsi="仿宋" w:eastAsia="仿宋" w:cs="仿宋"/>
          <w:color w:val="auto"/>
          <w:szCs w:val="24"/>
          <w:highlight w:val="none"/>
        </w:rPr>
        <w:t>5</w:t>
      </w:r>
      <w:r>
        <w:rPr>
          <w:rFonts w:ascii="仿宋" w:hAnsi="仿宋" w:eastAsia="仿宋" w:cs="仿宋"/>
          <w:color w:val="auto"/>
          <w:szCs w:val="24"/>
          <w:highlight w:val="none"/>
        </w:rPr>
        <w:t xml:space="preserve"> </w:t>
      </w:r>
      <w:r>
        <w:rPr>
          <w:rFonts w:hint="eastAsia" w:ascii="仿宋" w:hAnsi="仿宋" w:eastAsia="仿宋" w:cs="仿宋"/>
          <w:color w:val="auto"/>
          <w:szCs w:val="24"/>
          <w:highlight w:val="none"/>
        </w:rPr>
        <w:t>合格投标人不足3家的，不再评标。</w:t>
      </w:r>
    </w:p>
    <w:p w14:paraId="4198EAFC">
      <w:pPr>
        <w:pStyle w:val="30"/>
        <w:spacing w:before="0"/>
        <w:ind w:firstLine="0" w:firstLineChars="0"/>
        <w:outlineLvl w:val="2"/>
        <w:rPr>
          <w:rFonts w:ascii="仿宋" w:hAnsi="仿宋" w:eastAsia="仿宋" w:cs="仿宋"/>
          <w:b/>
          <w:color w:val="auto"/>
          <w:szCs w:val="24"/>
          <w:highlight w:val="none"/>
        </w:rPr>
      </w:pPr>
      <w:r>
        <w:rPr>
          <w:rFonts w:hint="eastAsia" w:ascii="仿宋" w:hAnsi="仿宋" w:eastAsia="仿宋" w:cs="仿宋"/>
          <w:b/>
          <w:color w:val="auto"/>
          <w:szCs w:val="24"/>
          <w:highlight w:val="none"/>
        </w:rPr>
        <w:t>22． 信用信息查询</w:t>
      </w:r>
    </w:p>
    <w:p w14:paraId="19ACF41E">
      <w:pPr>
        <w:pStyle w:val="30"/>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22.1</w:t>
      </w:r>
      <w:r>
        <w:rPr>
          <w:rFonts w:ascii="仿宋" w:hAnsi="仿宋" w:eastAsia="仿宋" w:cs="仿宋"/>
          <w:color w:val="auto"/>
          <w:kern w:val="0"/>
          <w:szCs w:val="24"/>
          <w:highlight w:val="none"/>
        </w:rPr>
        <w:t xml:space="preserve"> </w:t>
      </w:r>
      <w:r>
        <w:rPr>
          <w:rFonts w:hint="eastAsia" w:ascii="仿宋" w:hAnsi="仿宋" w:eastAsia="仿宋" w:cs="仿宋"/>
          <w:color w:val="auto"/>
          <w:kern w:val="0"/>
          <w:szCs w:val="24"/>
          <w:highlight w:val="none"/>
        </w:rPr>
        <w:t>信用信息查询渠道及截止时间：采购机构将通过“信用中国”网站(www.creditchina.gov.cn)、中国政府采购网(www.ccgp.gov.cn)渠道查询投标人投标截止时间当天的信用记录。</w:t>
      </w:r>
    </w:p>
    <w:p w14:paraId="17BBF304">
      <w:pPr>
        <w:pStyle w:val="30"/>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22.2</w:t>
      </w:r>
      <w:r>
        <w:rPr>
          <w:rFonts w:ascii="仿宋" w:hAnsi="仿宋" w:eastAsia="仿宋" w:cs="仿宋"/>
          <w:color w:val="auto"/>
          <w:kern w:val="0"/>
          <w:szCs w:val="24"/>
          <w:highlight w:val="none"/>
        </w:rPr>
        <w:t xml:space="preserve"> </w:t>
      </w:r>
      <w:r>
        <w:rPr>
          <w:rFonts w:hint="eastAsia" w:ascii="仿宋" w:hAnsi="仿宋" w:eastAsia="仿宋" w:cs="仿宋"/>
          <w:color w:val="auto"/>
          <w:kern w:val="0"/>
          <w:szCs w:val="24"/>
          <w:highlight w:val="none"/>
        </w:rPr>
        <w:t>信用信息查询记录和证据留存的具体方式：现场查询的投标人的信用记录、查询结果经确认后将与采购文件一起存档。</w:t>
      </w:r>
    </w:p>
    <w:p w14:paraId="190357BD">
      <w:pPr>
        <w:pStyle w:val="30"/>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22.3</w:t>
      </w:r>
      <w:r>
        <w:rPr>
          <w:rFonts w:ascii="仿宋" w:hAnsi="仿宋" w:eastAsia="仿宋" w:cs="仿宋"/>
          <w:color w:val="auto"/>
          <w:kern w:val="0"/>
          <w:szCs w:val="24"/>
          <w:highlight w:val="none"/>
        </w:rPr>
        <w:t xml:space="preserve"> </w:t>
      </w:r>
      <w:r>
        <w:rPr>
          <w:rFonts w:hint="eastAsia" w:ascii="仿宋" w:hAnsi="仿宋" w:eastAsia="仿宋" w:cs="仿宋"/>
          <w:color w:val="auto"/>
          <w:kern w:val="0"/>
          <w:szCs w:val="24"/>
          <w:highlight w:val="none"/>
        </w:rPr>
        <w:t>信用信息的使用规则：经查询列入失信被执行人名单、重大税收违法案件当事人名单、政府采购严重违法失信行为记录名单的投标人将被拒绝参与政府采购活动。</w:t>
      </w:r>
    </w:p>
    <w:p w14:paraId="2E5A55E5">
      <w:pPr>
        <w:pStyle w:val="30"/>
        <w:spacing w:before="0"/>
        <w:ind w:firstLine="480"/>
        <w:rPr>
          <w:rFonts w:ascii="仿宋" w:hAnsi="仿宋" w:eastAsia="仿宋" w:cs="仿宋"/>
          <w:color w:val="auto"/>
          <w:szCs w:val="24"/>
          <w:highlight w:val="none"/>
        </w:rPr>
      </w:pPr>
      <w:r>
        <w:rPr>
          <w:rFonts w:hint="eastAsia" w:ascii="仿宋" w:hAnsi="仿宋" w:eastAsia="仿宋" w:cs="仿宋"/>
          <w:color w:val="auto"/>
          <w:kern w:val="0"/>
          <w:szCs w:val="24"/>
          <w:highlight w:val="none"/>
        </w:rPr>
        <w:t>22.4</w:t>
      </w:r>
      <w:r>
        <w:rPr>
          <w:rFonts w:ascii="仿宋" w:hAnsi="仿宋" w:eastAsia="仿宋" w:cs="仿宋"/>
          <w:color w:val="auto"/>
          <w:kern w:val="0"/>
          <w:szCs w:val="24"/>
          <w:highlight w:val="none"/>
        </w:rPr>
        <w:t xml:space="preserve"> </w:t>
      </w:r>
      <w:r>
        <w:rPr>
          <w:rFonts w:hint="eastAsia" w:ascii="仿宋" w:hAnsi="仿宋" w:eastAsia="仿宋" w:cs="仿宋"/>
          <w:color w:val="auto"/>
          <w:kern w:val="0"/>
          <w:szCs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szCs w:val="24"/>
          <w:highlight w:val="none"/>
        </w:rPr>
        <w:t>。</w:t>
      </w:r>
    </w:p>
    <w:p w14:paraId="2C218E53">
      <w:pPr>
        <w:spacing w:line="360" w:lineRule="auto"/>
        <w:jc w:val="center"/>
        <w:outlineLvl w:val="1"/>
        <w:rPr>
          <w:rFonts w:ascii="仿宋" w:hAnsi="仿宋" w:eastAsia="仿宋" w:cs="仿宋"/>
          <w:b/>
          <w:color w:val="auto"/>
          <w:sz w:val="24"/>
          <w:highlight w:val="none"/>
        </w:rPr>
      </w:pPr>
      <w:bookmarkStart w:id="15" w:name="_Toc23221"/>
      <w:bookmarkStart w:id="16" w:name="_Toc5781"/>
      <w:r>
        <w:rPr>
          <w:rFonts w:hint="eastAsia" w:ascii="仿宋" w:hAnsi="仿宋" w:eastAsia="仿宋" w:cs="仿宋"/>
          <w:b/>
          <w:color w:val="auto"/>
          <w:sz w:val="24"/>
          <w:highlight w:val="none"/>
        </w:rPr>
        <w:t>五、评标</w:t>
      </w:r>
      <w:bookmarkEnd w:id="15"/>
      <w:bookmarkEnd w:id="16"/>
    </w:p>
    <w:p w14:paraId="50CBD07F">
      <w:pPr>
        <w:spacing w:line="360" w:lineRule="auto"/>
        <w:ind w:firstLine="240" w:firstLineChars="100"/>
        <w:rPr>
          <w:rFonts w:ascii="仿宋" w:hAnsi="仿宋" w:eastAsia="仿宋" w:cs="仿宋"/>
          <w:b/>
          <w:color w:val="auto"/>
          <w:sz w:val="24"/>
          <w:highlight w:val="none"/>
        </w:rPr>
      </w:pPr>
      <w:r>
        <w:rPr>
          <w:rFonts w:hint="eastAsia" w:ascii="仿宋" w:hAnsi="仿宋" w:eastAsia="仿宋" w:cs="仿宋"/>
          <w:color w:val="auto"/>
          <w:sz w:val="24"/>
          <w:highlight w:val="none"/>
        </w:rPr>
        <w:t>23. 评标委员会将根据招标文件和有关规定，履行评标工作职责，并按照评标方法及评分标准，全面衡量各供应商对招标文件的响应情况。对实质上响应招标文件的投标人，按照评审因素的量化指标排出推荐中标的投标人的先后顺序，并按顺序提出授标建议。详见招标文件《第四章 评标方法》。</w:t>
      </w:r>
    </w:p>
    <w:p w14:paraId="4690E8E1">
      <w:pPr>
        <w:spacing w:line="360" w:lineRule="auto"/>
        <w:jc w:val="center"/>
        <w:outlineLvl w:val="1"/>
        <w:rPr>
          <w:rFonts w:ascii="仿宋" w:hAnsi="仿宋" w:eastAsia="仿宋" w:cs="仿宋"/>
          <w:b/>
          <w:color w:val="auto"/>
          <w:sz w:val="24"/>
          <w:highlight w:val="none"/>
        </w:rPr>
      </w:pPr>
      <w:bookmarkStart w:id="17" w:name="_Toc26334"/>
      <w:bookmarkStart w:id="18" w:name="_Toc12951"/>
      <w:r>
        <w:rPr>
          <w:rFonts w:hint="eastAsia" w:ascii="仿宋" w:hAnsi="仿宋" w:eastAsia="仿宋" w:cs="仿宋"/>
          <w:b/>
          <w:color w:val="auto"/>
          <w:sz w:val="24"/>
          <w:highlight w:val="none"/>
        </w:rPr>
        <w:t>六、定 标</w:t>
      </w:r>
      <w:bookmarkEnd w:id="17"/>
      <w:bookmarkEnd w:id="18"/>
    </w:p>
    <w:p w14:paraId="06539BA3">
      <w:pPr>
        <w:pStyle w:val="13"/>
        <w:spacing w:line="360" w:lineRule="auto"/>
        <w:ind w:left="479" w:hanging="479" w:hangingChars="199"/>
        <w:outlineLvl w:val="2"/>
        <w:rPr>
          <w:rFonts w:ascii="仿宋" w:hAnsi="仿宋" w:eastAsia="仿宋" w:cs="仿宋"/>
          <w:b/>
          <w:color w:val="auto"/>
          <w:highlight w:val="none"/>
        </w:rPr>
      </w:pPr>
      <w:r>
        <w:rPr>
          <w:rFonts w:hint="eastAsia" w:ascii="仿宋" w:hAnsi="仿宋" w:eastAsia="仿宋" w:cs="仿宋"/>
          <w:b/>
          <w:color w:val="auto"/>
          <w:highlight w:val="none"/>
        </w:rPr>
        <w:t>24. 确定中标供应商</w:t>
      </w:r>
    </w:p>
    <w:p w14:paraId="66DE0158">
      <w:pPr>
        <w:pStyle w:val="30"/>
        <w:snapToGrid w:val="0"/>
        <w:spacing w:before="0"/>
        <w:ind w:firstLine="480"/>
        <w:rPr>
          <w:rFonts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3FAC5FF4">
      <w:pPr>
        <w:pStyle w:val="30"/>
        <w:snapToGrid w:val="0"/>
        <w:spacing w:before="0"/>
        <w:ind w:firstLine="0" w:firstLineChars="0"/>
        <w:outlineLvl w:val="2"/>
        <w:rPr>
          <w:rFonts w:ascii="仿宋" w:hAnsi="仿宋" w:eastAsia="仿宋" w:cs="仿宋"/>
          <w:b/>
          <w:color w:val="auto"/>
          <w:szCs w:val="24"/>
          <w:highlight w:val="none"/>
        </w:rPr>
      </w:pPr>
      <w:r>
        <w:rPr>
          <w:rFonts w:hint="eastAsia" w:ascii="仿宋" w:hAnsi="仿宋" w:eastAsia="仿宋" w:cs="仿宋"/>
          <w:b/>
          <w:color w:val="auto"/>
          <w:szCs w:val="24"/>
          <w:highlight w:val="none"/>
        </w:rPr>
        <w:t>25. 中标通知与中标结果公告</w:t>
      </w:r>
    </w:p>
    <w:p w14:paraId="40CCA73B">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25.1</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自中标人确定之日起2个工作日内，采购机构通过电子交易平台向中标人发出中标通知书，同时编制发布采购结果公告。采购机构也可以以纸质形式进行中标通知。</w:t>
      </w:r>
    </w:p>
    <w:p w14:paraId="58C9E7AA">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25.2</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4956B2F2">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25.3</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公告期限为1个工作日。</w:t>
      </w:r>
    </w:p>
    <w:p w14:paraId="6D97041A">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25.4</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由于中标、中标单位原因导致重新采购的，应当承担支付代理费和专家评审费等费用在内的赔偿责任。</w:t>
      </w:r>
    </w:p>
    <w:p w14:paraId="319908E2">
      <w:pPr>
        <w:spacing w:line="360" w:lineRule="auto"/>
        <w:jc w:val="center"/>
        <w:outlineLvl w:val="1"/>
        <w:rPr>
          <w:rFonts w:ascii="仿宋" w:hAnsi="仿宋" w:eastAsia="仿宋" w:cs="仿宋"/>
          <w:b/>
          <w:color w:val="auto"/>
          <w:sz w:val="24"/>
          <w:highlight w:val="none"/>
        </w:rPr>
      </w:pPr>
      <w:bookmarkStart w:id="19" w:name="_Toc25113"/>
      <w:bookmarkStart w:id="20" w:name="_Toc28559"/>
      <w:r>
        <w:rPr>
          <w:rFonts w:hint="eastAsia" w:ascii="仿宋" w:hAnsi="仿宋" w:eastAsia="仿宋" w:cs="仿宋"/>
          <w:b/>
          <w:color w:val="auto"/>
          <w:sz w:val="24"/>
          <w:highlight w:val="none"/>
        </w:rPr>
        <w:t>七、合同授予</w:t>
      </w:r>
      <w:bookmarkEnd w:id="19"/>
      <w:bookmarkEnd w:id="20"/>
    </w:p>
    <w:p w14:paraId="2DF27E9A">
      <w:pPr>
        <w:pStyle w:val="13"/>
        <w:spacing w:line="360" w:lineRule="auto"/>
        <w:ind w:left="479" w:hanging="479" w:hangingChars="199"/>
        <w:outlineLvl w:val="2"/>
        <w:rPr>
          <w:rFonts w:ascii="仿宋" w:hAnsi="仿宋" w:eastAsia="仿宋" w:cs="仿宋"/>
          <w:b/>
          <w:color w:val="auto"/>
          <w:highlight w:val="none"/>
        </w:rPr>
      </w:pPr>
      <w:r>
        <w:rPr>
          <w:rFonts w:hint="eastAsia" w:ascii="仿宋" w:hAnsi="仿宋" w:eastAsia="仿宋" w:cs="仿宋"/>
          <w:b/>
          <w:color w:val="auto"/>
          <w:highlight w:val="none"/>
        </w:rPr>
        <w:t xml:space="preserve">26. </w:t>
      </w:r>
      <w:r>
        <w:rPr>
          <w:rFonts w:hint="eastAsia" w:ascii="仿宋" w:hAnsi="仿宋" w:eastAsia="仿宋" w:cs="仿宋"/>
          <w:color w:val="auto"/>
          <w:highlight w:val="none"/>
        </w:rPr>
        <w:t>合同主要条款详见第五部分拟签订的合同文本。</w:t>
      </w:r>
    </w:p>
    <w:p w14:paraId="1A43F8E3">
      <w:pPr>
        <w:pStyle w:val="13"/>
        <w:spacing w:line="360" w:lineRule="auto"/>
        <w:ind w:left="479" w:hanging="479" w:hangingChars="199"/>
        <w:outlineLvl w:val="2"/>
        <w:rPr>
          <w:rFonts w:ascii="仿宋" w:hAnsi="仿宋" w:eastAsia="仿宋" w:cs="仿宋"/>
          <w:b/>
          <w:color w:val="auto"/>
          <w:highlight w:val="none"/>
        </w:rPr>
      </w:pPr>
      <w:r>
        <w:rPr>
          <w:rFonts w:hint="eastAsia" w:ascii="仿宋" w:hAnsi="仿宋" w:eastAsia="仿宋" w:cs="仿宋"/>
          <w:b/>
          <w:color w:val="auto"/>
          <w:highlight w:val="none"/>
        </w:rPr>
        <w:t>27. 合同的签订</w:t>
      </w:r>
    </w:p>
    <w:p w14:paraId="091D8970">
      <w:pPr>
        <w:widowControl/>
        <w:shd w:val="clear" w:color="auto" w:fill="FFFFFF"/>
        <w:spacing w:line="360" w:lineRule="auto"/>
        <w:ind w:firstLine="48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27.1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8DD1858">
      <w:pPr>
        <w:pStyle w:val="30"/>
        <w:snapToGrid w:val="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lang w:val="zh-CN"/>
        </w:rPr>
        <w:t>2</w:t>
      </w:r>
      <w:r>
        <w:rPr>
          <w:rFonts w:hint="eastAsia" w:ascii="仿宋" w:hAnsi="仿宋" w:eastAsia="仿宋" w:cs="仿宋"/>
          <w:color w:val="auto"/>
          <w:kern w:val="0"/>
          <w:szCs w:val="24"/>
          <w:highlight w:val="none"/>
        </w:rPr>
        <w:t>7</w:t>
      </w:r>
      <w:r>
        <w:rPr>
          <w:rFonts w:hint="eastAsia" w:ascii="仿宋" w:hAnsi="仿宋" w:eastAsia="仿宋" w:cs="仿宋"/>
          <w:color w:val="auto"/>
          <w:kern w:val="0"/>
          <w:szCs w:val="24"/>
          <w:highlight w:val="none"/>
          <w:lang w:val="zh-CN"/>
        </w:rPr>
        <w:t>.2</w:t>
      </w:r>
      <w:r>
        <w:rPr>
          <w:rFonts w:ascii="仿宋" w:hAnsi="仿宋" w:eastAsia="仿宋" w:cs="仿宋"/>
          <w:color w:val="auto"/>
          <w:kern w:val="0"/>
          <w:szCs w:val="24"/>
          <w:highlight w:val="none"/>
          <w:lang w:val="zh-CN"/>
        </w:rPr>
        <w:t xml:space="preserve"> </w:t>
      </w:r>
      <w:r>
        <w:rPr>
          <w:rFonts w:hint="eastAsia" w:ascii="仿宋" w:hAnsi="仿宋" w:eastAsia="仿宋" w:cs="仿宋"/>
          <w:color w:val="auto"/>
          <w:kern w:val="0"/>
          <w:szCs w:val="24"/>
          <w:highlight w:val="none"/>
          <w:lang w:val="zh-CN"/>
        </w:rPr>
        <w:t>中标人按规定的日期、时间、地点，由法定代表人或其授权代表与采购人代表签订合同。如中标人为联合体的，由联合体成员各方法定代表人或其授权代表与采购人代表签订合同。</w:t>
      </w:r>
    </w:p>
    <w:p w14:paraId="66CB911E">
      <w:pPr>
        <w:pStyle w:val="30"/>
        <w:snapToGrid w:val="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27.3</w:t>
      </w:r>
      <w:r>
        <w:rPr>
          <w:rFonts w:ascii="仿宋" w:hAnsi="仿宋" w:eastAsia="仿宋" w:cs="仿宋"/>
          <w:color w:val="auto"/>
          <w:szCs w:val="24"/>
          <w:highlight w:val="none"/>
        </w:rPr>
        <w:t xml:space="preserve"> </w:t>
      </w:r>
      <w:r>
        <w:rPr>
          <w:rFonts w:hint="eastAsia" w:ascii="仿宋" w:hAnsi="仿宋" w:eastAsia="仿宋" w:cs="仿宋"/>
          <w:color w:val="auto"/>
          <w:szCs w:val="24"/>
          <w:highlight w:val="none"/>
        </w:rPr>
        <w:t>如签订合同并生效后，供应商无故拒绝或延期，除按照合同条款处理外，列入不良行为记录一次，并给予通报。</w:t>
      </w:r>
    </w:p>
    <w:p w14:paraId="4A8720FE">
      <w:pPr>
        <w:pStyle w:val="30"/>
        <w:snapToGrid w:val="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27.4</w:t>
      </w:r>
      <w:r>
        <w:rPr>
          <w:rFonts w:ascii="仿宋" w:hAnsi="仿宋" w:eastAsia="仿宋" w:cs="仿宋"/>
          <w:color w:val="auto"/>
          <w:szCs w:val="24"/>
          <w:highlight w:val="none"/>
        </w:rPr>
        <w:t xml:space="preserve"> </w:t>
      </w:r>
      <w:r>
        <w:rPr>
          <w:rFonts w:hint="eastAsia" w:ascii="仿宋" w:hAnsi="仿宋" w:eastAsia="仿宋" w:cs="仿宋"/>
          <w:color w:val="auto"/>
          <w:szCs w:val="24"/>
          <w:highlight w:val="none"/>
        </w:rPr>
        <w:t>中标供应商拒绝与采购人签订合同的，采购人可以按照评审报告推荐的中标或者成交候选人名单排序，确定下一候选人为中标供应商，也可以重新开展政府采购活动。</w:t>
      </w:r>
    </w:p>
    <w:p w14:paraId="47374762">
      <w:pPr>
        <w:pStyle w:val="30"/>
        <w:snapToGrid w:val="0"/>
        <w:spacing w:before="0" w:after="12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27.5</w:t>
      </w:r>
      <w:r>
        <w:rPr>
          <w:rFonts w:ascii="仿宋" w:hAnsi="仿宋" w:eastAsia="仿宋" w:cs="仿宋"/>
          <w:color w:val="auto"/>
          <w:szCs w:val="24"/>
          <w:highlight w:val="none"/>
        </w:rPr>
        <w:t xml:space="preserve"> </w:t>
      </w:r>
      <w:r>
        <w:rPr>
          <w:rFonts w:hint="eastAsia" w:ascii="仿宋" w:hAnsi="仿宋" w:eastAsia="仿宋" w:cs="仿宋"/>
          <w:color w:val="auto"/>
          <w:szCs w:val="24"/>
          <w:highlight w:val="none"/>
        </w:rPr>
        <w:t>采购合同由采购人与中标供应商根据招标文件、投标文件等内容通过政府采购电子交易平台在线签订，自动备案。</w:t>
      </w:r>
    </w:p>
    <w:p w14:paraId="5A42EAD7">
      <w:pPr>
        <w:pStyle w:val="13"/>
        <w:spacing w:line="360" w:lineRule="auto"/>
        <w:ind w:left="479" w:hanging="479" w:hangingChars="199"/>
        <w:outlineLvl w:val="2"/>
        <w:rPr>
          <w:rFonts w:ascii="仿宋" w:hAnsi="仿宋" w:eastAsia="仿宋" w:cs="仿宋"/>
          <w:b/>
          <w:color w:val="auto"/>
          <w:highlight w:val="none"/>
        </w:rPr>
      </w:pPr>
      <w:r>
        <w:rPr>
          <w:rFonts w:hint="eastAsia" w:ascii="仿宋" w:hAnsi="仿宋" w:eastAsia="仿宋" w:cs="仿宋"/>
          <w:b/>
          <w:color w:val="auto"/>
          <w:highlight w:val="none"/>
        </w:rPr>
        <w:t>28. 履约保证金</w:t>
      </w:r>
    </w:p>
    <w:p w14:paraId="053DD8DD">
      <w:pPr>
        <w:tabs>
          <w:tab w:val="left" w:pos="0"/>
        </w:tabs>
        <w:spacing w:line="360" w:lineRule="auto"/>
        <w:ind w:firstLine="482"/>
        <w:rPr>
          <w:rFonts w:ascii="仿宋" w:hAnsi="仿宋" w:eastAsia="仿宋" w:cs="仿宋"/>
          <w:b/>
          <w:color w:val="auto"/>
          <w:sz w:val="24"/>
          <w:highlight w:val="none"/>
        </w:rPr>
      </w:pPr>
      <w:r>
        <w:rPr>
          <w:rFonts w:hint="eastAsia" w:ascii="仿宋" w:hAnsi="仿宋" w:eastAsia="仿宋" w:cs="仿宋"/>
          <w:color w:val="auto"/>
          <w:kern w:val="0"/>
          <w:sz w:val="24"/>
          <w:highlight w:val="none"/>
        </w:rPr>
        <w:t>28.1</w:t>
      </w:r>
      <w:r>
        <w:rPr>
          <w:rFonts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r>
        <w:rPr>
          <w:rFonts w:hint="eastAsia" w:ascii="仿宋" w:hAnsi="仿宋" w:eastAsia="仿宋" w:cs="仿宋"/>
          <w:b/>
          <w:color w:val="auto"/>
          <w:sz w:val="24"/>
          <w:highlight w:val="none"/>
        </w:rPr>
        <w:t>。</w:t>
      </w:r>
    </w:p>
    <w:p w14:paraId="363CCC17">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28.2</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4CD80BF9">
      <w:pPr>
        <w:pStyle w:val="13"/>
        <w:spacing w:line="360" w:lineRule="auto"/>
        <w:ind w:left="479" w:hanging="479" w:hangingChars="199"/>
        <w:outlineLvl w:val="2"/>
        <w:rPr>
          <w:rFonts w:hint="eastAsia" w:ascii="仿宋" w:hAnsi="仿宋" w:eastAsia="仿宋" w:cs="仿宋"/>
          <w:b/>
          <w:color w:val="auto"/>
          <w:highlight w:val="none"/>
        </w:rPr>
      </w:pPr>
      <w:r>
        <w:rPr>
          <w:rFonts w:hint="eastAsia" w:ascii="仿宋" w:hAnsi="仿宋" w:eastAsia="仿宋" w:cs="仿宋"/>
          <w:b/>
          <w:color w:val="auto"/>
          <w:highlight w:val="none"/>
          <w:lang w:val="en-US"/>
        </w:rPr>
        <w:t>2</w:t>
      </w:r>
      <w:r>
        <w:rPr>
          <w:rFonts w:hint="eastAsia" w:ascii="仿宋" w:hAnsi="仿宋" w:eastAsia="仿宋" w:cs="仿宋"/>
          <w:b/>
          <w:color w:val="auto"/>
          <w:highlight w:val="none"/>
          <w:lang w:val="en-US" w:eastAsia="zh-CN"/>
        </w:rPr>
        <w:t>9</w:t>
      </w:r>
      <w:r>
        <w:rPr>
          <w:rFonts w:hint="eastAsia" w:ascii="仿宋" w:hAnsi="仿宋" w:eastAsia="仿宋" w:cs="仿宋"/>
          <w:b/>
          <w:color w:val="auto"/>
          <w:highlight w:val="none"/>
          <w:lang w:val="en-US"/>
        </w:rPr>
        <w:t>.预付款</w:t>
      </w:r>
    </w:p>
    <w:p w14:paraId="2D07CA91">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14:paraId="5DDC988E">
      <w:pPr>
        <w:spacing w:line="360" w:lineRule="auto"/>
        <w:jc w:val="center"/>
        <w:outlineLvl w:val="1"/>
        <w:rPr>
          <w:rFonts w:ascii="仿宋" w:hAnsi="仿宋" w:eastAsia="仿宋" w:cs="仿宋"/>
          <w:b/>
          <w:color w:val="auto"/>
          <w:sz w:val="24"/>
          <w:highlight w:val="none"/>
        </w:rPr>
      </w:pPr>
      <w:bookmarkStart w:id="21" w:name="_Toc21306"/>
      <w:bookmarkStart w:id="22" w:name="_Toc14422"/>
      <w:r>
        <w:rPr>
          <w:rFonts w:hint="eastAsia" w:ascii="仿宋" w:hAnsi="仿宋" w:eastAsia="仿宋" w:cs="仿宋"/>
          <w:b/>
          <w:color w:val="auto"/>
          <w:sz w:val="24"/>
          <w:highlight w:val="none"/>
        </w:rPr>
        <w:t>八、电子交易活动的中止</w:t>
      </w:r>
      <w:bookmarkEnd w:id="21"/>
      <w:bookmarkEnd w:id="22"/>
    </w:p>
    <w:p w14:paraId="627CD611">
      <w:pPr>
        <w:pStyle w:val="30"/>
        <w:snapToGrid w:val="0"/>
        <w:spacing w:before="0"/>
        <w:ind w:firstLine="0" w:firstLineChars="0"/>
        <w:outlineLvl w:val="2"/>
        <w:rPr>
          <w:rFonts w:ascii="仿宋" w:hAnsi="仿宋" w:eastAsia="仿宋" w:cs="仿宋"/>
          <w:color w:val="auto"/>
          <w:szCs w:val="24"/>
          <w:highlight w:val="none"/>
        </w:rPr>
      </w:pPr>
      <w:r>
        <w:rPr>
          <w:rFonts w:hint="eastAsia" w:ascii="仿宋" w:hAnsi="仿宋" w:eastAsia="仿宋" w:cs="仿宋"/>
          <w:b/>
          <w:bCs/>
          <w:color w:val="auto"/>
          <w:szCs w:val="24"/>
          <w:highlight w:val="none"/>
          <w:lang w:val="en-US" w:eastAsia="zh-CN"/>
        </w:rPr>
        <w:t>30</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szCs w:val="24"/>
          <w:highlight w:val="none"/>
        </w:rPr>
        <w:t>采购过程中出现以下情形，导致电子交易平台无法正常运行，或者无法保证电子交易的公平、公正和安全时，采购机构可中止电子交易活动：</w:t>
      </w:r>
    </w:p>
    <w:p w14:paraId="6A1095F2">
      <w:pPr>
        <w:pStyle w:val="30"/>
        <w:snapToGrid w:val="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30</w:t>
      </w:r>
      <w:r>
        <w:rPr>
          <w:rFonts w:hint="eastAsia" w:ascii="仿宋" w:hAnsi="仿宋" w:eastAsia="仿宋" w:cs="仿宋"/>
          <w:color w:val="auto"/>
          <w:szCs w:val="24"/>
          <w:highlight w:val="none"/>
        </w:rPr>
        <w:t>.1</w:t>
      </w:r>
      <w:r>
        <w:rPr>
          <w:rFonts w:ascii="仿宋" w:hAnsi="仿宋" w:eastAsia="仿宋" w:cs="仿宋"/>
          <w:color w:val="auto"/>
          <w:szCs w:val="24"/>
          <w:highlight w:val="none"/>
        </w:rPr>
        <w:t xml:space="preserve"> </w:t>
      </w:r>
      <w:r>
        <w:rPr>
          <w:rFonts w:hint="eastAsia" w:ascii="仿宋" w:hAnsi="仿宋" w:eastAsia="仿宋" w:cs="仿宋"/>
          <w:color w:val="auto"/>
          <w:szCs w:val="24"/>
          <w:highlight w:val="none"/>
        </w:rPr>
        <w:t xml:space="preserve">电子交易平台发生故障而无法登录访问的； </w:t>
      </w:r>
    </w:p>
    <w:p w14:paraId="71241AF2">
      <w:pPr>
        <w:pStyle w:val="30"/>
        <w:snapToGrid w:val="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30</w:t>
      </w:r>
      <w:r>
        <w:rPr>
          <w:rFonts w:hint="eastAsia" w:ascii="仿宋" w:hAnsi="仿宋" w:eastAsia="仿宋" w:cs="仿宋"/>
          <w:color w:val="auto"/>
          <w:szCs w:val="24"/>
          <w:highlight w:val="none"/>
        </w:rPr>
        <w:t>.2</w:t>
      </w:r>
      <w:r>
        <w:rPr>
          <w:rFonts w:ascii="仿宋" w:hAnsi="仿宋" w:eastAsia="仿宋" w:cs="仿宋"/>
          <w:color w:val="auto"/>
          <w:szCs w:val="24"/>
          <w:highlight w:val="none"/>
        </w:rPr>
        <w:t xml:space="preserve"> </w:t>
      </w:r>
      <w:r>
        <w:rPr>
          <w:rFonts w:hint="eastAsia" w:ascii="仿宋" w:hAnsi="仿宋" w:eastAsia="仿宋" w:cs="仿宋"/>
          <w:color w:val="auto"/>
          <w:szCs w:val="24"/>
          <w:highlight w:val="none"/>
        </w:rPr>
        <w:t>电子交易平台应用或数据库出现错误，不能进行正常操作的；</w:t>
      </w:r>
    </w:p>
    <w:p w14:paraId="0BDF826C">
      <w:pPr>
        <w:pStyle w:val="30"/>
        <w:snapToGrid w:val="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30</w:t>
      </w:r>
      <w:r>
        <w:rPr>
          <w:rFonts w:hint="eastAsia" w:ascii="仿宋" w:hAnsi="仿宋" w:eastAsia="仿宋" w:cs="仿宋"/>
          <w:color w:val="auto"/>
          <w:szCs w:val="24"/>
          <w:highlight w:val="none"/>
        </w:rPr>
        <w:t>.3</w:t>
      </w:r>
      <w:r>
        <w:rPr>
          <w:rFonts w:ascii="仿宋" w:hAnsi="仿宋" w:eastAsia="仿宋" w:cs="仿宋"/>
          <w:color w:val="auto"/>
          <w:szCs w:val="24"/>
          <w:highlight w:val="none"/>
        </w:rPr>
        <w:t xml:space="preserve"> </w:t>
      </w:r>
      <w:r>
        <w:rPr>
          <w:rFonts w:hint="eastAsia" w:ascii="仿宋" w:hAnsi="仿宋" w:eastAsia="仿宋" w:cs="仿宋"/>
          <w:color w:val="auto"/>
          <w:szCs w:val="24"/>
          <w:highlight w:val="none"/>
        </w:rPr>
        <w:t>电子交易平台发现严重安全漏洞，有潜在泄密危险的；</w:t>
      </w:r>
    </w:p>
    <w:p w14:paraId="179B4050">
      <w:pPr>
        <w:pStyle w:val="30"/>
        <w:snapToGrid w:val="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30</w:t>
      </w:r>
      <w:r>
        <w:rPr>
          <w:rFonts w:hint="eastAsia" w:ascii="仿宋" w:hAnsi="仿宋" w:eastAsia="仿宋" w:cs="仿宋"/>
          <w:color w:val="auto"/>
          <w:szCs w:val="24"/>
          <w:highlight w:val="none"/>
        </w:rPr>
        <w:t>.4</w:t>
      </w:r>
      <w:r>
        <w:rPr>
          <w:rFonts w:ascii="仿宋" w:hAnsi="仿宋" w:eastAsia="仿宋" w:cs="仿宋"/>
          <w:color w:val="auto"/>
          <w:szCs w:val="24"/>
          <w:highlight w:val="none"/>
        </w:rPr>
        <w:t xml:space="preserve"> </w:t>
      </w:r>
      <w:r>
        <w:rPr>
          <w:rFonts w:hint="eastAsia" w:ascii="仿宋" w:hAnsi="仿宋" w:eastAsia="仿宋" w:cs="仿宋"/>
          <w:color w:val="auto"/>
          <w:szCs w:val="24"/>
          <w:highlight w:val="none"/>
        </w:rPr>
        <w:t xml:space="preserve">病毒发作导致不能进行正常操作的； </w:t>
      </w:r>
    </w:p>
    <w:p w14:paraId="2DDEA4C8">
      <w:pPr>
        <w:pStyle w:val="30"/>
        <w:snapToGrid w:val="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30</w:t>
      </w:r>
      <w:r>
        <w:rPr>
          <w:rFonts w:hint="eastAsia" w:ascii="仿宋" w:hAnsi="仿宋" w:eastAsia="仿宋" w:cs="仿宋"/>
          <w:color w:val="auto"/>
          <w:szCs w:val="24"/>
          <w:highlight w:val="none"/>
        </w:rPr>
        <w:t>.5</w:t>
      </w:r>
      <w:r>
        <w:rPr>
          <w:rFonts w:ascii="仿宋" w:hAnsi="仿宋" w:eastAsia="仿宋" w:cs="仿宋"/>
          <w:color w:val="auto"/>
          <w:szCs w:val="24"/>
          <w:highlight w:val="none"/>
        </w:rPr>
        <w:t xml:space="preserve"> </w:t>
      </w:r>
      <w:r>
        <w:rPr>
          <w:rFonts w:hint="eastAsia" w:ascii="仿宋" w:hAnsi="仿宋" w:eastAsia="仿宋" w:cs="仿宋"/>
          <w:color w:val="auto"/>
          <w:szCs w:val="24"/>
          <w:highlight w:val="none"/>
        </w:rPr>
        <w:t>其他无法保证电子交易的公平、公正和安全的情况。</w:t>
      </w:r>
    </w:p>
    <w:p w14:paraId="038F03D1">
      <w:pPr>
        <w:pStyle w:val="30"/>
        <w:snapToGrid w:val="0"/>
        <w:spacing w:before="0"/>
        <w:ind w:firstLine="420" w:firstLineChars="0"/>
        <w:rPr>
          <w:rFonts w:ascii="仿宋" w:hAnsi="仿宋" w:eastAsia="仿宋" w:cs="仿宋"/>
          <w:color w:val="auto"/>
          <w:szCs w:val="24"/>
          <w:highlight w:val="none"/>
        </w:rPr>
      </w:pPr>
      <w:r>
        <w:rPr>
          <w:rFonts w:hint="eastAsia" w:ascii="仿宋" w:hAnsi="仿宋" w:eastAsia="仿宋" w:cs="仿宋"/>
          <w:color w:val="auto"/>
          <w:szCs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4885EAC1">
      <w:pPr>
        <w:spacing w:line="360" w:lineRule="auto"/>
        <w:jc w:val="center"/>
        <w:outlineLvl w:val="1"/>
        <w:rPr>
          <w:rFonts w:ascii="仿宋" w:hAnsi="仿宋" w:eastAsia="仿宋" w:cs="仿宋"/>
          <w:b/>
          <w:color w:val="auto"/>
          <w:sz w:val="24"/>
          <w:highlight w:val="none"/>
        </w:rPr>
      </w:pPr>
      <w:bookmarkStart w:id="23" w:name="_Toc31039"/>
      <w:bookmarkStart w:id="24" w:name="_Toc24372"/>
      <w:r>
        <w:rPr>
          <w:rFonts w:hint="eastAsia" w:ascii="仿宋" w:hAnsi="仿宋" w:eastAsia="仿宋" w:cs="仿宋"/>
          <w:b/>
          <w:color w:val="auto"/>
          <w:sz w:val="24"/>
          <w:highlight w:val="none"/>
        </w:rPr>
        <w:t>九、验收</w:t>
      </w:r>
      <w:bookmarkEnd w:id="23"/>
      <w:bookmarkEnd w:id="24"/>
    </w:p>
    <w:p w14:paraId="58BD2381">
      <w:pPr>
        <w:pStyle w:val="13"/>
        <w:spacing w:line="360" w:lineRule="auto"/>
        <w:ind w:firstLine="482"/>
        <w:outlineLvl w:val="2"/>
        <w:rPr>
          <w:rFonts w:ascii="仿宋" w:hAnsi="仿宋" w:eastAsia="仿宋" w:cs="仿宋"/>
          <w:b/>
          <w:color w:val="auto"/>
          <w:highlight w:val="none"/>
        </w:rPr>
      </w:pPr>
      <w:r>
        <w:rPr>
          <w:rFonts w:hint="eastAsia" w:ascii="仿宋" w:hAnsi="仿宋" w:eastAsia="仿宋" w:cs="仿宋"/>
          <w:b/>
          <w:color w:val="auto"/>
          <w:highlight w:val="none"/>
        </w:rPr>
        <w:t>3</w:t>
      </w:r>
      <w:r>
        <w:rPr>
          <w:rFonts w:hint="eastAsia" w:ascii="仿宋" w:hAnsi="仿宋" w:eastAsia="仿宋" w:cs="仿宋"/>
          <w:b/>
          <w:color w:val="auto"/>
          <w:highlight w:val="none"/>
          <w:lang w:val="en-US" w:eastAsia="zh-CN"/>
        </w:rPr>
        <w:t>1</w:t>
      </w:r>
      <w:r>
        <w:rPr>
          <w:rFonts w:hint="eastAsia" w:ascii="仿宋" w:hAnsi="仿宋" w:eastAsia="仿宋" w:cs="仿宋"/>
          <w:b/>
          <w:color w:val="auto"/>
          <w:highlight w:val="none"/>
        </w:rPr>
        <w:t>.</w:t>
      </w:r>
      <w:r>
        <w:rPr>
          <w:rFonts w:ascii="仿宋" w:hAnsi="仿宋" w:eastAsia="仿宋" w:cs="仿宋"/>
          <w:b/>
          <w:color w:val="auto"/>
          <w:highlight w:val="none"/>
        </w:rPr>
        <w:t xml:space="preserve"> </w:t>
      </w:r>
      <w:r>
        <w:rPr>
          <w:rFonts w:hint="eastAsia" w:ascii="仿宋" w:hAnsi="仿宋" w:eastAsia="仿宋" w:cs="仿宋"/>
          <w:b/>
          <w:color w:val="auto"/>
          <w:highlight w:val="none"/>
        </w:rPr>
        <w:t>验收</w:t>
      </w:r>
    </w:p>
    <w:p w14:paraId="64C078D3">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.1</w:t>
      </w:r>
      <w:r>
        <w:rPr>
          <w:rFonts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rPr>
        <w:t>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881879A">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.2</w:t>
      </w:r>
      <w:r>
        <w:rPr>
          <w:rFonts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rPr>
        <w:t>采购人可以邀请参加本项目的其他投标人或者第三方机构参与验收。参与验收的投标人或者第三方机构的意见作为验收书的参考资料一并存档。</w:t>
      </w:r>
    </w:p>
    <w:p w14:paraId="67A656B8">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.3</w:t>
      </w:r>
      <w:r>
        <w:rPr>
          <w:rFonts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F643C60">
      <w:pPr>
        <w:tabs>
          <w:tab w:val="left" w:pos="0"/>
        </w:tabs>
        <w:spacing w:line="360" w:lineRule="auto"/>
        <w:ind w:firstLine="480"/>
        <w:rPr>
          <w:rFonts w:ascii="仿宋" w:hAnsi="仿宋" w:eastAsia="仿宋" w:cs="宋体"/>
          <w:color w:val="auto"/>
          <w:sz w:val="18"/>
          <w:szCs w:val="18"/>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.4</w:t>
      </w:r>
      <w:r>
        <w:rPr>
          <w:rFonts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rPr>
          <w:rFonts w:hint="eastAsia" w:ascii="仿宋" w:hAnsi="仿宋" w:eastAsia="仿宋" w:cs="宋体"/>
          <w:color w:val="auto"/>
          <w:kern w:val="0"/>
          <w:sz w:val="24"/>
          <w:highlight w:val="none"/>
        </w:rPr>
        <w:t>。</w:t>
      </w:r>
    </w:p>
    <w:p w14:paraId="0857405E">
      <w:pPr>
        <w:rPr>
          <w:rFonts w:ascii="仿宋" w:eastAsia="仿宋"/>
          <w:color w:val="auto"/>
          <w:highlight w:val="none"/>
        </w:rPr>
      </w:pPr>
      <w:bookmarkStart w:id="25" w:name="_Hlt68072990"/>
      <w:bookmarkEnd w:id="25"/>
      <w:bookmarkStart w:id="26" w:name="_Hlt74714665"/>
      <w:bookmarkEnd w:id="26"/>
      <w:bookmarkStart w:id="27" w:name="_Hlt68057669"/>
      <w:bookmarkEnd w:id="27"/>
      <w:bookmarkStart w:id="28" w:name="_Hlt74730295"/>
      <w:bookmarkEnd w:id="28"/>
      <w:bookmarkStart w:id="29" w:name="_Hlt75236101"/>
      <w:bookmarkEnd w:id="29"/>
      <w:bookmarkStart w:id="30" w:name="_Hlt68403820"/>
      <w:bookmarkEnd w:id="30"/>
      <w:bookmarkStart w:id="31" w:name="_Hlt68072998"/>
      <w:bookmarkEnd w:id="31"/>
      <w:bookmarkStart w:id="32" w:name="_Hlt74729768"/>
      <w:bookmarkEnd w:id="32"/>
      <w:bookmarkStart w:id="33" w:name="_Hlt68073093"/>
      <w:bookmarkEnd w:id="33"/>
      <w:bookmarkStart w:id="34" w:name="_Hlt75236011"/>
      <w:bookmarkEnd w:id="34"/>
      <w:bookmarkStart w:id="35" w:name="_Hlt75236290"/>
      <w:bookmarkEnd w:id="35"/>
      <w:bookmarkStart w:id="36" w:name="_Hlt74707468"/>
      <w:bookmarkEnd w:id="36"/>
      <w:r>
        <w:rPr>
          <w:rFonts w:hint="eastAsia" w:ascii="仿宋" w:hAnsi="仿宋" w:eastAsia="仿宋" w:cs="宋体"/>
          <w:color w:val="auto"/>
          <w:kern w:val="0"/>
          <w:sz w:val="24"/>
          <w:highlight w:val="none"/>
        </w:rPr>
        <w:t>3</w:t>
      </w:r>
      <w:r>
        <w:rPr>
          <w:rFonts w:hint="eastAsia" w:ascii="仿宋" w:hAnsi="仿宋" w:eastAsia="仿宋" w:cs="宋体"/>
          <w:color w:val="auto"/>
          <w:kern w:val="0"/>
          <w:sz w:val="24"/>
          <w:highlight w:val="none"/>
          <w:lang w:val="en-US" w:eastAsia="zh-CN"/>
        </w:rPr>
        <w:t>1</w:t>
      </w:r>
      <w:r>
        <w:rPr>
          <w:rFonts w:hint="eastAsia" w:ascii="仿宋" w:hAnsi="仿宋" w:eastAsia="仿宋" w:cs="宋体"/>
          <w:color w:val="auto"/>
          <w:kern w:val="0"/>
          <w:sz w:val="24"/>
          <w:highlight w:val="none"/>
        </w:rPr>
        <w:t>.5</w:t>
      </w:r>
      <w:r>
        <w:rPr>
          <w:rFonts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rPr>
        <w:t>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r>
        <w:rPr>
          <w:rFonts w:hint="eastAsia" w:ascii="仿宋" w:hAnsi="仿宋" w:eastAsia="仿宋" w:cs="宋体"/>
          <w:color w:val="auto"/>
          <w:kern w:val="0"/>
          <w:sz w:val="24"/>
          <w:highlight w:val="none"/>
          <w:lang w:eastAsia="zh-CN"/>
        </w:rPr>
        <w:t>。</w:t>
      </w:r>
      <w:r>
        <w:rPr>
          <w:rFonts w:ascii="仿宋" w:eastAsia="仿宋"/>
          <w:color w:val="auto"/>
          <w:highlight w:val="none"/>
        </w:rPr>
        <w:br w:type="page"/>
      </w:r>
    </w:p>
    <w:p w14:paraId="2AC183B9">
      <w:pPr>
        <w:pStyle w:val="2"/>
        <w:rPr>
          <w:color w:val="auto"/>
          <w:highlight w:val="none"/>
        </w:rPr>
      </w:pPr>
    </w:p>
    <w:p w14:paraId="1D53B9D4">
      <w:pPr>
        <w:spacing w:line="360" w:lineRule="auto"/>
        <w:jc w:val="center"/>
        <w:outlineLvl w:val="0"/>
        <w:rPr>
          <w:rFonts w:ascii="仿宋" w:hAnsi="仿宋" w:eastAsia="仿宋" w:cs="宋体"/>
          <w:b/>
          <w:color w:val="auto"/>
          <w:sz w:val="36"/>
          <w:szCs w:val="36"/>
          <w:highlight w:val="none"/>
        </w:rPr>
      </w:pPr>
      <w:bookmarkStart w:id="37" w:name="_Toc15093"/>
      <w:bookmarkStart w:id="38" w:name="_Toc25663"/>
      <w:r>
        <w:rPr>
          <w:rFonts w:hint="eastAsia" w:ascii="仿宋" w:hAnsi="仿宋" w:eastAsia="仿宋" w:cs="宋体"/>
          <w:b/>
          <w:color w:val="auto"/>
          <w:sz w:val="36"/>
          <w:szCs w:val="36"/>
          <w:highlight w:val="none"/>
        </w:rPr>
        <w:t>第三部分</w:t>
      </w:r>
      <w:r>
        <w:rPr>
          <w:rFonts w:ascii="仿宋" w:hAnsi="仿宋" w:eastAsia="仿宋" w:cs="宋体"/>
          <w:b/>
          <w:color w:val="auto"/>
          <w:sz w:val="36"/>
          <w:szCs w:val="36"/>
          <w:highlight w:val="none"/>
        </w:rPr>
        <w:t xml:space="preserve"> </w:t>
      </w:r>
      <w:r>
        <w:rPr>
          <w:rFonts w:hint="eastAsia" w:ascii="仿宋" w:hAnsi="仿宋" w:eastAsia="仿宋" w:cs="宋体"/>
          <w:b/>
          <w:color w:val="auto"/>
          <w:sz w:val="36"/>
          <w:szCs w:val="36"/>
          <w:highlight w:val="none"/>
        </w:rPr>
        <w:t>采购需求</w:t>
      </w:r>
      <w:bookmarkEnd w:id="37"/>
      <w:bookmarkEnd w:id="38"/>
    </w:p>
    <w:p w14:paraId="14927E00">
      <w:pPr>
        <w:pStyle w:val="4"/>
        <w:keepNext/>
        <w:keepLines/>
        <w:pageBreakBefore w:val="0"/>
        <w:widowControl w:val="0"/>
        <w:tabs>
          <w:tab w:val="left" w:pos="2985"/>
          <w:tab w:val="clear" w:pos="432"/>
        </w:tabs>
        <w:kinsoku/>
        <w:wordWrap/>
        <w:overflowPunct/>
        <w:topLinePunct w:val="0"/>
        <w:autoSpaceDE/>
        <w:autoSpaceDN/>
        <w:bidi w:val="0"/>
        <w:adjustRightInd/>
        <w:snapToGrid/>
        <w:spacing w:before="40" w:after="0" w:afterLines="50" w:line="420" w:lineRule="exact"/>
        <w:ind w:left="431" w:hanging="431"/>
        <w:textAlignment w:val="auto"/>
        <w:rPr>
          <w:rFonts w:hint="default" w:ascii="仿宋" w:eastAsia="仿宋" w:cs="仿宋"/>
          <w:bCs w:val="0"/>
          <w:color w:val="auto"/>
          <w:sz w:val="28"/>
          <w:szCs w:val="28"/>
          <w:highlight w:val="none"/>
          <w:lang w:val="en-US" w:eastAsia="zh-CN"/>
        </w:rPr>
      </w:pPr>
      <w:r>
        <w:rPr>
          <w:rFonts w:hint="eastAsia" w:ascii="仿宋" w:eastAsia="仿宋" w:cs="仿宋"/>
          <w:bCs w:val="0"/>
          <w:color w:val="auto"/>
          <w:sz w:val="28"/>
          <w:szCs w:val="28"/>
          <w:highlight w:val="none"/>
          <w:lang w:val="en-US" w:eastAsia="zh-CN"/>
        </w:rPr>
        <w:t>项目概况</w:t>
      </w:r>
    </w:p>
    <w:p w14:paraId="51E2592D">
      <w:pPr>
        <w:pStyle w:val="10"/>
        <w:keepNext w:val="0"/>
        <w:keepLines w:val="0"/>
        <w:pageBreakBefore w:val="0"/>
        <w:widowControl/>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为落实省美丽浙江建设领导小组《浙江省2024年空气质量改善攻坚行动方案》、美丽杭州建设领导小组《2024年环境空气质量持续改善重点任务(治气“十条”)》《杭州市2024年空气质量改善攻坚行动方案》等文件要求，围绕环境空气质量改善提升目标，针对目前拱墅区大气污染管控薄弱环节，增设多种污染管控设备，建设多污染协同管控工程。结合融合研判、靶向溯源，对污染问题精准管控，对PM2.5、O3等污染物质开展协同管控，解决拱墅区大气污染问题，建设强有力的监测溯源及管控工程，打造样板，改善区域环境，提升居民生活质量。</w:t>
      </w:r>
    </w:p>
    <w:p w14:paraId="672E91E0">
      <w:pPr>
        <w:rPr>
          <w:rFonts w:hint="eastAsia" w:ascii="仿宋" w:hAnsi="仿宋" w:eastAsia="仿宋" w:cs="仿宋"/>
          <w:snapToGrid/>
          <w:color w:val="auto"/>
          <w:kern w:val="2"/>
          <w:sz w:val="24"/>
          <w:szCs w:val="24"/>
          <w:highlight w:val="none"/>
          <w:lang w:val="en-US" w:eastAsia="zh-CN"/>
        </w:rPr>
      </w:pPr>
    </w:p>
    <w:p w14:paraId="3E0088B4">
      <w:pPr>
        <w:jc w:val="center"/>
        <w:outlineLvl w:val="1"/>
        <w:rPr>
          <w:rFonts w:hint="default" w:eastAsia="仿宋"/>
          <w:b/>
          <w:bCs/>
          <w:color w:val="auto"/>
          <w:sz w:val="30"/>
          <w:szCs w:val="30"/>
          <w:highlight w:val="none"/>
          <w:lang w:val="en-US" w:eastAsia="zh-CN"/>
        </w:rPr>
      </w:pPr>
      <w:r>
        <w:rPr>
          <w:rFonts w:hint="eastAsia" w:ascii="仿宋" w:hAnsi="仿宋" w:eastAsia="仿宋" w:cs="仿宋"/>
          <w:b/>
          <w:bCs/>
          <w:snapToGrid/>
          <w:color w:val="auto"/>
          <w:kern w:val="2"/>
          <w:sz w:val="30"/>
          <w:szCs w:val="30"/>
          <w:highlight w:val="none"/>
          <w:lang w:val="en-US" w:eastAsia="zh-CN"/>
        </w:rPr>
        <w:t>标项一</w:t>
      </w:r>
      <w:r>
        <w:rPr>
          <w:rFonts w:hint="eastAsia" w:ascii="仿宋" w:hAnsi="仿宋" w:eastAsia="仿宋" w:cs="仿宋"/>
          <w:b/>
          <w:bCs/>
          <w:snapToGrid/>
          <w:color w:val="auto"/>
          <w:kern w:val="2"/>
          <w:sz w:val="30"/>
          <w:szCs w:val="30"/>
          <w:highlight w:val="none"/>
          <w:u w:val="none"/>
          <w:lang w:val="en-US" w:eastAsia="zh-CN"/>
        </w:rPr>
        <w:t xml:space="preserve"> “清净”拱墅多污染协同管控工程建设</w:t>
      </w:r>
    </w:p>
    <w:p w14:paraId="36D14018">
      <w:pPr>
        <w:pStyle w:val="4"/>
        <w:keepNext/>
        <w:keepLines/>
        <w:pageBreakBefore w:val="0"/>
        <w:widowControl w:val="0"/>
        <w:tabs>
          <w:tab w:val="left" w:pos="2985"/>
          <w:tab w:val="clear" w:pos="432"/>
        </w:tabs>
        <w:kinsoku/>
        <w:wordWrap/>
        <w:overflowPunct/>
        <w:topLinePunct w:val="0"/>
        <w:autoSpaceDE/>
        <w:autoSpaceDN/>
        <w:bidi w:val="0"/>
        <w:adjustRightInd/>
        <w:snapToGrid/>
        <w:spacing w:before="40" w:after="0" w:afterLines="50" w:line="420" w:lineRule="exact"/>
        <w:ind w:left="431" w:hanging="431"/>
        <w:textAlignment w:val="auto"/>
        <w:rPr>
          <w:rFonts w:hint="eastAsia" w:ascii="仿宋" w:eastAsia="仿宋" w:cs="仿宋"/>
          <w:bCs/>
          <w:color w:val="auto"/>
          <w:sz w:val="28"/>
          <w:szCs w:val="28"/>
          <w:highlight w:val="none"/>
          <w:lang w:val="en-US" w:eastAsia="zh-CN"/>
        </w:rPr>
      </w:pPr>
      <w:r>
        <w:rPr>
          <w:rFonts w:hint="eastAsia" w:ascii="仿宋" w:eastAsia="仿宋" w:cs="仿宋"/>
          <w:bCs/>
          <w:color w:val="auto"/>
          <w:sz w:val="28"/>
          <w:szCs w:val="28"/>
          <w:highlight w:val="none"/>
          <w:lang w:val="en-US" w:eastAsia="zh-CN"/>
        </w:rPr>
        <w:t>一、采购内容</w:t>
      </w:r>
    </w:p>
    <w:p w14:paraId="244D31F1">
      <w:pPr>
        <w:keepNext w:val="0"/>
        <w:keepLines w:val="0"/>
        <w:pageBreakBefore w:val="0"/>
        <w:widowControl w:val="0"/>
        <w:kinsoku/>
        <w:wordWrap/>
        <w:overflowPunct/>
        <w:topLinePunct w:val="0"/>
        <w:autoSpaceDE/>
        <w:autoSpaceDN/>
        <w:bidi w:val="0"/>
        <w:adjustRightInd w:val="0"/>
        <w:snapToGrid/>
        <w:spacing w:line="420" w:lineRule="exact"/>
        <w:ind w:firstLine="641"/>
        <w:textAlignment w:val="auto"/>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在重点区域建设“清净”系列工程，推进污染溯源能力建设，提升多污染协同管控工作成效。通过引入颗粒物激光雷达监测、3D微气象调控系统，开展“清净”街区系列打造，对区域污染特征及情况进行科学研判分析，明确污染管控重点，加强污染源发现和处置能力，改善区域环境，提升居民生活质量。</w:t>
      </w:r>
    </w:p>
    <w:p w14:paraId="18E0AF93">
      <w:pPr>
        <w:rPr>
          <w:rFonts w:hint="eastAsia"/>
          <w:color w:val="auto"/>
          <w:highlight w:val="none"/>
        </w:rPr>
      </w:pPr>
    </w:p>
    <w:p w14:paraId="3B55E264">
      <w:pPr>
        <w:pStyle w:val="4"/>
        <w:keepNext/>
        <w:keepLines/>
        <w:pageBreakBefore w:val="0"/>
        <w:widowControl w:val="0"/>
        <w:tabs>
          <w:tab w:val="left" w:pos="2985"/>
          <w:tab w:val="clear" w:pos="432"/>
        </w:tabs>
        <w:kinsoku/>
        <w:wordWrap/>
        <w:overflowPunct/>
        <w:topLinePunct w:val="0"/>
        <w:autoSpaceDE/>
        <w:autoSpaceDN/>
        <w:bidi w:val="0"/>
        <w:adjustRightInd/>
        <w:snapToGrid/>
        <w:spacing w:before="40" w:after="0" w:afterLines="50" w:line="420" w:lineRule="exact"/>
        <w:ind w:left="431" w:hanging="431"/>
        <w:textAlignment w:val="auto"/>
        <w:rPr>
          <w:rFonts w:hint="eastAsia" w:ascii="仿宋" w:eastAsia="仿宋" w:cs="仿宋"/>
          <w:bCs/>
          <w:color w:val="auto"/>
          <w:sz w:val="28"/>
          <w:szCs w:val="28"/>
          <w:highlight w:val="none"/>
          <w:lang w:val="en-US" w:eastAsia="zh-CN"/>
        </w:rPr>
      </w:pPr>
      <w:r>
        <w:rPr>
          <w:rFonts w:hint="eastAsia" w:ascii="仿宋" w:eastAsia="仿宋" w:cs="仿宋"/>
          <w:bCs/>
          <w:color w:val="auto"/>
          <w:sz w:val="28"/>
          <w:szCs w:val="28"/>
          <w:highlight w:val="none"/>
          <w:lang w:val="en-US" w:eastAsia="zh-CN"/>
        </w:rPr>
        <w:t>二、技术要求</w:t>
      </w:r>
    </w:p>
    <w:p w14:paraId="6660AD0F">
      <w:pPr>
        <w:pStyle w:val="6"/>
        <w:keepNext/>
        <w:keepLines/>
        <w:pageBreakBefore w:val="0"/>
        <w:widowControl w:val="0"/>
        <w:kinsoku/>
        <w:wordWrap/>
        <w:overflowPunct/>
        <w:topLinePunct w:val="0"/>
        <w:autoSpaceDE/>
        <w:autoSpaceDN/>
        <w:bidi w:val="0"/>
        <w:adjustRightInd w:val="0"/>
        <w:snapToGrid/>
        <w:spacing w:before="40" w:after="50" w:line="400" w:lineRule="exact"/>
        <w:ind w:left="876" w:leftChars="176" w:hanging="506" w:hangingChars="210"/>
        <w:textAlignment w:val="auto"/>
        <w:outlineLvl w:val="3"/>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1.“清净”街区建设研判</w:t>
      </w:r>
    </w:p>
    <w:p w14:paraId="3528A609">
      <w:pPr>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充分运用信息化技术手段，对拱墅区空气质量进行分析总结，包括各点位月度污染情况规律等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在重点区域</w:t>
      </w:r>
      <w:r>
        <w:rPr>
          <w:rFonts w:hint="eastAsia" w:ascii="仿宋" w:hAnsi="仿宋" w:eastAsia="仿宋" w:cs="仿宋"/>
          <w:color w:val="auto"/>
          <w:sz w:val="24"/>
          <w:szCs w:val="24"/>
          <w:highlight w:val="none"/>
          <w:lang w:val="en-US" w:eastAsia="zh-CN"/>
        </w:rPr>
        <w:t>布设</w:t>
      </w:r>
      <w:r>
        <w:rPr>
          <w:rFonts w:hint="eastAsia" w:ascii="仿宋" w:hAnsi="仿宋" w:eastAsia="仿宋" w:cs="仿宋"/>
          <w:color w:val="auto"/>
          <w:sz w:val="24"/>
          <w:szCs w:val="24"/>
          <w:highlight w:val="none"/>
        </w:rPr>
        <w:t>1台颗粒物激光雷达，进行扫描监测及垂直监测，快速锁定周边主要污染源</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通过扫描“清净”建设区域内污染物实时浓度分布情况</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基于此研判结果提出科学建议，并进行为期2年的运维。</w:t>
      </w:r>
    </w:p>
    <w:p w14:paraId="031932DB">
      <w:pPr>
        <w:pStyle w:val="6"/>
        <w:keepNext/>
        <w:keepLines/>
        <w:pageBreakBefore w:val="0"/>
        <w:widowControl w:val="0"/>
        <w:kinsoku/>
        <w:wordWrap/>
        <w:overflowPunct/>
        <w:topLinePunct w:val="0"/>
        <w:autoSpaceDE/>
        <w:autoSpaceDN/>
        <w:bidi w:val="0"/>
        <w:adjustRightInd w:val="0"/>
        <w:snapToGrid/>
        <w:spacing w:before="40" w:after="50" w:line="400" w:lineRule="exact"/>
        <w:ind w:left="874" w:leftChars="176" w:hanging="504" w:hangingChars="209"/>
        <w:textAlignment w:val="auto"/>
        <w:outlineLvl w:val="3"/>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2.清新空气建筑群建设</w:t>
      </w:r>
    </w:p>
    <w:p w14:paraId="51FDD734">
      <w:pPr>
        <w:spacing w:line="400" w:lineRule="exact"/>
        <w:ind w:firstLine="6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结合</w:t>
      </w:r>
      <w:r>
        <w:rPr>
          <w:rFonts w:hint="eastAsia" w:ascii="仿宋" w:hAnsi="仿宋" w:eastAsia="仿宋" w:cs="仿宋"/>
          <w:color w:val="auto"/>
          <w:sz w:val="24"/>
          <w:szCs w:val="24"/>
          <w:highlight w:val="none"/>
          <w:lang w:val="en-US" w:eastAsia="zh-CN"/>
        </w:rPr>
        <w:t>监测</w:t>
      </w:r>
      <w:r>
        <w:rPr>
          <w:rFonts w:hint="eastAsia" w:ascii="仿宋" w:hAnsi="仿宋" w:eastAsia="仿宋" w:cs="仿宋"/>
          <w:color w:val="auto"/>
          <w:sz w:val="24"/>
          <w:szCs w:val="24"/>
          <w:highlight w:val="none"/>
        </w:rPr>
        <w:t>分析结果</w:t>
      </w:r>
      <w:r>
        <w:rPr>
          <w:rFonts w:hint="eastAsia" w:ascii="仿宋" w:hAnsi="仿宋" w:eastAsia="仿宋" w:cs="仿宋"/>
          <w:color w:val="auto"/>
          <w:sz w:val="24"/>
          <w:szCs w:val="24"/>
          <w:highlight w:val="none"/>
          <w:lang w:eastAsia="zh-CN"/>
        </w:rPr>
        <w:t>，在</w:t>
      </w:r>
      <w:r>
        <w:rPr>
          <w:rFonts w:hint="eastAsia" w:ascii="仿宋" w:hAnsi="仿宋" w:eastAsia="仿宋" w:cs="仿宋"/>
          <w:color w:val="auto"/>
          <w:sz w:val="24"/>
          <w:szCs w:val="24"/>
          <w:highlight w:val="none"/>
          <w:lang w:val="en-US" w:eastAsia="zh-CN"/>
        </w:rPr>
        <w:t>拱墅区</w:t>
      </w:r>
      <w:r>
        <w:rPr>
          <w:rFonts w:hint="eastAsia" w:ascii="仿宋" w:hAnsi="仿宋" w:eastAsia="仿宋" w:cs="仿宋"/>
          <w:color w:val="auto"/>
          <w:sz w:val="24"/>
          <w:szCs w:val="24"/>
          <w:highlight w:val="none"/>
        </w:rPr>
        <w:t>选取</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个点位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安装3D微气象调控系统，建设清新</w:t>
      </w:r>
      <w:r>
        <w:rPr>
          <w:rFonts w:hint="eastAsia" w:ascii="仿宋" w:hAnsi="仿宋" w:eastAsia="仿宋" w:cs="仿宋"/>
          <w:color w:val="auto"/>
          <w:sz w:val="24"/>
          <w:szCs w:val="24"/>
          <w:highlight w:val="none"/>
          <w:lang w:val="en-US" w:eastAsia="zh-CN"/>
        </w:rPr>
        <w:t>建筑点位，集中</w:t>
      </w:r>
      <w:r>
        <w:rPr>
          <w:rFonts w:hint="eastAsia" w:ascii="仿宋" w:hAnsi="仿宋" w:eastAsia="仿宋" w:cs="仿宋"/>
          <w:color w:val="auto"/>
          <w:sz w:val="24"/>
          <w:szCs w:val="24"/>
          <w:highlight w:val="none"/>
        </w:rPr>
        <w:t>打造“清新”空气建筑群，精准调控改善微环境气象条件，在建筑群内形成污染阻隔幕布，</w:t>
      </w:r>
      <w:r>
        <w:rPr>
          <w:rFonts w:hint="eastAsia" w:ascii="仿宋" w:hAnsi="仿宋" w:eastAsia="仿宋" w:cs="仿宋"/>
          <w:color w:val="auto"/>
          <w:sz w:val="24"/>
          <w:szCs w:val="24"/>
          <w:highlight w:val="none"/>
          <w:lang w:val="en-US" w:eastAsia="zh-CN"/>
        </w:rPr>
        <w:t>沉降污染物质</w:t>
      </w:r>
      <w:r>
        <w:rPr>
          <w:rFonts w:hint="eastAsia" w:ascii="仿宋" w:hAnsi="仿宋" w:eastAsia="仿宋" w:cs="仿宋"/>
          <w:color w:val="auto"/>
          <w:sz w:val="24"/>
          <w:szCs w:val="24"/>
          <w:highlight w:val="none"/>
        </w:rPr>
        <w:t>。工程建设后，分析空气质量变化，及时</w:t>
      </w:r>
      <w:r>
        <w:rPr>
          <w:rFonts w:hint="eastAsia" w:ascii="仿宋" w:hAnsi="仿宋" w:eastAsia="仿宋" w:cs="仿宋"/>
          <w:color w:val="auto"/>
          <w:sz w:val="24"/>
          <w:szCs w:val="24"/>
          <w:highlight w:val="none"/>
          <w:lang w:val="en-US" w:eastAsia="zh-CN"/>
        </w:rPr>
        <w:t>对</w:t>
      </w:r>
      <w:r>
        <w:rPr>
          <w:rFonts w:hint="eastAsia" w:ascii="仿宋" w:hAnsi="仿宋" w:eastAsia="仿宋" w:cs="仿宋"/>
          <w:color w:val="auto"/>
          <w:sz w:val="24"/>
          <w:szCs w:val="24"/>
          <w:highlight w:val="none"/>
        </w:rPr>
        <w:t>污染情况及建设效果研判，为提升大气污染防治成效提供科学依据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并进行为期2年的运维</w:t>
      </w:r>
      <w:r>
        <w:rPr>
          <w:rFonts w:hint="eastAsia" w:ascii="仿宋" w:hAnsi="仿宋" w:eastAsia="仿宋" w:cs="仿宋"/>
          <w:color w:val="auto"/>
          <w:sz w:val="24"/>
          <w:szCs w:val="24"/>
          <w:highlight w:val="none"/>
        </w:rPr>
        <w:t>。</w:t>
      </w:r>
    </w:p>
    <w:p w14:paraId="338D3452">
      <w:pPr>
        <w:pStyle w:val="4"/>
        <w:keepNext/>
        <w:keepLines/>
        <w:pageBreakBefore w:val="0"/>
        <w:widowControl w:val="0"/>
        <w:tabs>
          <w:tab w:val="left" w:pos="2985"/>
          <w:tab w:val="clear" w:pos="432"/>
        </w:tabs>
        <w:kinsoku/>
        <w:wordWrap/>
        <w:overflowPunct/>
        <w:topLinePunct w:val="0"/>
        <w:autoSpaceDE/>
        <w:autoSpaceDN/>
        <w:bidi w:val="0"/>
        <w:adjustRightInd/>
        <w:snapToGrid/>
        <w:spacing w:before="40" w:after="0" w:afterLines="50" w:line="420" w:lineRule="exact"/>
        <w:ind w:left="431" w:hanging="431"/>
        <w:textAlignment w:val="auto"/>
        <w:rPr>
          <w:rFonts w:hint="default" w:ascii="仿宋" w:eastAsia="仿宋" w:cs="仿宋"/>
          <w:bCs/>
          <w:color w:val="auto"/>
          <w:sz w:val="28"/>
          <w:szCs w:val="28"/>
          <w:highlight w:val="none"/>
          <w:lang w:val="en-US" w:eastAsia="zh-CN"/>
        </w:rPr>
      </w:pPr>
      <w:r>
        <w:rPr>
          <w:rFonts w:hint="eastAsia" w:ascii="仿宋" w:eastAsia="仿宋" w:cs="仿宋"/>
          <w:bCs/>
          <w:color w:val="auto"/>
          <w:sz w:val="28"/>
          <w:szCs w:val="28"/>
          <w:highlight w:val="none"/>
          <w:lang w:val="en-US" w:eastAsia="zh-CN"/>
        </w:rPr>
        <w:t>三、设备参数要求</w:t>
      </w:r>
    </w:p>
    <w:p w14:paraId="24FD97FE">
      <w:pPr>
        <w:pStyle w:val="5"/>
        <w:pageBreakBefore w:val="0"/>
        <w:kinsoku/>
        <w:wordWrap/>
        <w:overflowPunct/>
        <w:topLinePunct w:val="0"/>
        <w:autoSpaceDE/>
        <w:autoSpaceDN/>
        <w:bidi w:val="0"/>
        <w:spacing w:before="140" w:after="140" w:line="400" w:lineRule="exact"/>
        <w:ind w:left="901"/>
        <w:textAlignment w:val="auto"/>
        <w:outlineLvl w:val="2"/>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3D微气象调控系统</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5套</w:t>
      </w:r>
      <w:r>
        <w:rPr>
          <w:rFonts w:hint="eastAsia" w:ascii="仿宋" w:hAnsi="仿宋" w:eastAsia="仿宋" w:cs="仿宋"/>
          <w:b/>
          <w:bCs/>
          <w:color w:val="auto"/>
          <w:sz w:val="24"/>
          <w:szCs w:val="24"/>
          <w:highlight w:val="none"/>
          <w:lang w:eastAsia="zh-CN"/>
        </w:rPr>
        <w:t>）</w:t>
      </w:r>
    </w:p>
    <w:p w14:paraId="3CB88EB5">
      <w:pPr>
        <w:pageBreakBefore w:val="0"/>
        <w:kinsoku/>
        <w:wordWrap/>
        <w:overflowPunct/>
        <w:topLinePunct w:val="0"/>
        <w:autoSpaceDE/>
        <w:autoSpaceDN/>
        <w:bidi w:val="0"/>
        <w:spacing w:line="400" w:lineRule="exact"/>
        <w:ind w:firstLine="64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包含</w:t>
      </w:r>
      <w:r>
        <w:rPr>
          <w:rFonts w:hint="eastAsia" w:ascii="仿宋" w:hAnsi="仿宋" w:eastAsia="仿宋" w:cs="仿宋"/>
          <w:color w:val="auto"/>
          <w:sz w:val="24"/>
          <w:szCs w:val="24"/>
          <w:highlight w:val="none"/>
          <w:lang w:val="en-US" w:eastAsia="zh-CN"/>
        </w:rPr>
        <w:t>微气象调控系统主机、高精密喷雾喷头系统、水处理装置及配套管线系统等</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具体要求如下。</w:t>
      </w:r>
    </w:p>
    <w:p w14:paraId="3433D2FC">
      <w:pPr>
        <w:pageBreakBefore w:val="0"/>
        <w:numPr>
          <w:ilvl w:val="0"/>
          <w:numId w:val="0"/>
        </w:numPr>
        <w:kinsoku/>
        <w:wordWrap/>
        <w:overflowPunct/>
        <w:topLinePunct w:val="0"/>
        <w:autoSpaceDE/>
        <w:autoSpaceDN/>
        <w:bidi w:val="0"/>
        <w:spacing w:line="400" w:lineRule="exact"/>
        <w:ind w:firstLine="643" w:firstLine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kern w:val="2"/>
          <w:sz w:val="24"/>
          <w:szCs w:val="24"/>
          <w:highlight w:val="none"/>
          <w:lang w:val="en-US" w:eastAsia="zh-CN" w:bidi="ar-SA"/>
        </w:rPr>
        <w:t>1、</w:t>
      </w:r>
      <w:r>
        <w:rPr>
          <w:rFonts w:hint="eastAsia" w:ascii="仿宋" w:hAnsi="仿宋" w:eastAsia="仿宋" w:cs="仿宋"/>
          <w:b/>
          <w:bCs/>
          <w:color w:val="auto"/>
          <w:sz w:val="24"/>
          <w:szCs w:val="24"/>
          <w:highlight w:val="none"/>
          <w:lang w:val="en-US" w:eastAsia="zh-CN"/>
        </w:rPr>
        <w:t>微气象调控系统主机</w:t>
      </w:r>
    </w:p>
    <w:p w14:paraId="3EA29E22">
      <w:pPr>
        <w:pageBreakBefore w:val="0"/>
        <w:numPr>
          <w:ilvl w:val="0"/>
          <w:numId w:val="3"/>
        </w:numPr>
        <w:kinsoku/>
        <w:wordWrap/>
        <w:overflowPunct/>
        <w:topLinePunct w:val="0"/>
        <w:autoSpaceDE/>
        <w:autoSpaceDN/>
        <w:bidi w:val="0"/>
        <w:spacing w:line="400" w:lineRule="exact"/>
        <w:ind w:firstLine="6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时间段控制：支持定时开关</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支持</w:t>
      </w:r>
      <w:r>
        <w:rPr>
          <w:rFonts w:hint="eastAsia" w:ascii="仿宋" w:hAnsi="仿宋" w:eastAsia="仿宋" w:cs="仿宋"/>
          <w:color w:val="auto"/>
          <w:sz w:val="24"/>
          <w:szCs w:val="24"/>
          <w:highlight w:val="none"/>
        </w:rPr>
        <w:t>手机APP</w:t>
      </w:r>
      <w:r>
        <w:rPr>
          <w:rFonts w:hint="eastAsia" w:ascii="仿宋" w:hAnsi="仿宋" w:eastAsia="仿宋" w:cs="仿宋"/>
          <w:color w:val="auto"/>
          <w:sz w:val="24"/>
          <w:szCs w:val="24"/>
          <w:highlight w:val="none"/>
          <w:lang w:val="en-US" w:eastAsia="zh-CN"/>
        </w:rPr>
        <w:t>远程控制</w:t>
      </w:r>
    </w:p>
    <w:p w14:paraId="287B19DF">
      <w:pPr>
        <w:pageBreakBefore w:val="0"/>
        <w:numPr>
          <w:ilvl w:val="0"/>
          <w:numId w:val="3"/>
        </w:numPr>
        <w:kinsoku/>
        <w:wordWrap/>
        <w:overflowPunct/>
        <w:topLinePunct w:val="0"/>
        <w:autoSpaceDE/>
        <w:autoSpaceDN/>
        <w:bidi w:val="0"/>
        <w:spacing w:line="400" w:lineRule="exact"/>
        <w:ind w:firstLine="6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时间隔离：0</w:t>
      </w:r>
      <w:r>
        <w:rPr>
          <w:rFonts w:hint="eastAsia" w:ascii="仿宋" w:hAnsi="仿宋" w:eastAsia="仿宋" w:cs="仿宋"/>
          <w:color w:val="auto"/>
          <w:sz w:val="24"/>
          <w:szCs w:val="24"/>
          <w:highlight w:val="none"/>
          <w:lang w:val="en-US" w:eastAsia="zh-CN"/>
        </w:rPr>
        <w:t>s</w:t>
      </w:r>
      <w:r>
        <w:rPr>
          <w:rFonts w:hint="eastAsia" w:ascii="仿宋" w:hAnsi="仿宋" w:eastAsia="仿宋" w:cs="仿宋"/>
          <w:color w:val="auto"/>
          <w:sz w:val="24"/>
          <w:szCs w:val="24"/>
          <w:highlight w:val="none"/>
        </w:rPr>
        <w:t>-99</w:t>
      </w:r>
      <w:r>
        <w:rPr>
          <w:rFonts w:hint="eastAsia" w:ascii="仿宋" w:hAnsi="仿宋" w:eastAsia="仿宋" w:cs="仿宋"/>
          <w:color w:val="auto"/>
          <w:sz w:val="24"/>
          <w:szCs w:val="24"/>
          <w:highlight w:val="none"/>
          <w:lang w:val="en-US" w:eastAsia="zh-CN"/>
        </w:rPr>
        <w:t>s</w:t>
      </w:r>
    </w:p>
    <w:p w14:paraId="55069A97">
      <w:pPr>
        <w:pageBreakBefore w:val="0"/>
        <w:numPr>
          <w:ilvl w:val="0"/>
          <w:numId w:val="3"/>
        </w:numPr>
        <w:kinsoku/>
        <w:wordWrap/>
        <w:overflowPunct/>
        <w:topLinePunct w:val="0"/>
        <w:autoSpaceDE/>
        <w:autoSpaceDN/>
        <w:bidi w:val="0"/>
        <w:spacing w:line="400" w:lineRule="exact"/>
        <w:ind w:firstLine="6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水泵类：高压柱塞泵</w:t>
      </w:r>
    </w:p>
    <w:p w14:paraId="234288F5">
      <w:pPr>
        <w:pageBreakBefore w:val="0"/>
        <w:numPr>
          <w:ilvl w:val="0"/>
          <w:numId w:val="3"/>
        </w:numPr>
        <w:kinsoku/>
        <w:wordWrap/>
        <w:overflowPunct/>
        <w:topLinePunct w:val="0"/>
        <w:autoSpaceDE/>
        <w:autoSpaceDN/>
        <w:bidi w:val="0"/>
        <w:spacing w:line="400" w:lineRule="exact"/>
        <w:ind w:firstLine="6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压力控制：变频恒压控制</w:t>
      </w:r>
    </w:p>
    <w:p w14:paraId="1CE28DB1">
      <w:pPr>
        <w:pageBreakBefore w:val="0"/>
        <w:numPr>
          <w:ilvl w:val="0"/>
          <w:numId w:val="3"/>
        </w:numPr>
        <w:kinsoku/>
        <w:wordWrap/>
        <w:overflowPunct/>
        <w:topLinePunct w:val="0"/>
        <w:autoSpaceDE/>
        <w:autoSpaceDN/>
        <w:bidi w:val="0"/>
        <w:spacing w:line="400" w:lineRule="exact"/>
        <w:ind w:firstLine="6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设定压力范围：6</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7M</w:t>
      </w:r>
      <w:r>
        <w:rPr>
          <w:rFonts w:hint="eastAsia" w:ascii="仿宋" w:hAnsi="仿宋" w:eastAsia="仿宋" w:cs="仿宋"/>
          <w:color w:val="auto"/>
          <w:sz w:val="24"/>
          <w:szCs w:val="24"/>
          <w:highlight w:val="none"/>
          <w:lang w:val="en-US" w:eastAsia="zh-CN"/>
        </w:rPr>
        <w:t>P</w:t>
      </w:r>
      <w:r>
        <w:rPr>
          <w:rFonts w:hint="eastAsia" w:ascii="仿宋" w:hAnsi="仿宋" w:eastAsia="仿宋" w:cs="仿宋"/>
          <w:color w:val="auto"/>
          <w:sz w:val="24"/>
          <w:szCs w:val="24"/>
          <w:highlight w:val="none"/>
        </w:rPr>
        <w:t>a</w:t>
      </w:r>
    </w:p>
    <w:p w14:paraId="0060B8DA">
      <w:pPr>
        <w:pageBreakBefore w:val="0"/>
        <w:numPr>
          <w:ilvl w:val="0"/>
          <w:numId w:val="3"/>
        </w:numPr>
        <w:kinsoku/>
        <w:wordWrap/>
        <w:overflowPunct/>
        <w:topLinePunct w:val="0"/>
        <w:autoSpaceDE/>
        <w:autoSpaceDN/>
        <w:bidi w:val="0"/>
        <w:spacing w:line="400" w:lineRule="exact"/>
        <w:ind w:firstLine="6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频率范围：8-40H</w:t>
      </w:r>
      <w:r>
        <w:rPr>
          <w:rFonts w:hint="eastAsia" w:ascii="仿宋" w:hAnsi="仿宋" w:eastAsia="仿宋" w:cs="仿宋"/>
          <w:color w:val="auto"/>
          <w:sz w:val="24"/>
          <w:szCs w:val="24"/>
          <w:highlight w:val="none"/>
          <w:lang w:val="en-US" w:eastAsia="zh-CN"/>
        </w:rPr>
        <w:t>z</w:t>
      </w:r>
    </w:p>
    <w:p w14:paraId="365EB038">
      <w:pPr>
        <w:pageBreakBefore w:val="0"/>
        <w:numPr>
          <w:ilvl w:val="0"/>
          <w:numId w:val="3"/>
        </w:numPr>
        <w:kinsoku/>
        <w:wordWrap/>
        <w:overflowPunct/>
        <w:topLinePunct w:val="0"/>
        <w:autoSpaceDE/>
        <w:autoSpaceDN/>
        <w:bidi w:val="0"/>
        <w:spacing w:line="400" w:lineRule="exact"/>
        <w:ind w:firstLine="6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★所用电缆和电线的绝缘应适合试验电压： 对工作在电压高于50Va.c或120Vd.c的电缆和电线，要经受至少2000Va.c的持续5 min的耐压试验。对于PELV电路，应承受至少500Va.c的持续5min的耐压试验(提供</w:t>
      </w:r>
      <w:r>
        <w:rPr>
          <w:rFonts w:hint="eastAsia" w:ascii="仿宋" w:hAnsi="仿宋" w:eastAsia="仿宋" w:cs="仿宋"/>
          <w:color w:val="auto"/>
          <w:sz w:val="24"/>
          <w:szCs w:val="24"/>
          <w:highlight w:val="none"/>
          <w:lang w:val="en-US" w:eastAsia="zh-CN"/>
        </w:rPr>
        <w:t>CMA或CNAS机构出具的检测报告</w:t>
      </w:r>
      <w:r>
        <w:rPr>
          <w:rFonts w:hint="eastAsia" w:ascii="仿宋" w:hAnsi="仿宋" w:eastAsia="仿宋" w:cs="仿宋"/>
          <w:color w:val="auto"/>
          <w:sz w:val="24"/>
          <w:szCs w:val="24"/>
          <w:highlight w:val="none"/>
        </w:rPr>
        <w:t>并加盖公章)。</w:t>
      </w:r>
    </w:p>
    <w:p w14:paraId="25438121">
      <w:pPr>
        <w:pageBreakBefore w:val="0"/>
        <w:numPr>
          <w:ilvl w:val="0"/>
          <w:numId w:val="3"/>
        </w:numPr>
        <w:kinsoku/>
        <w:wordWrap/>
        <w:overflowPunct/>
        <w:topLinePunct w:val="0"/>
        <w:autoSpaceDE/>
        <w:autoSpaceDN/>
        <w:bidi w:val="0"/>
        <w:spacing w:line="400" w:lineRule="exact"/>
        <w:ind w:firstLine="6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★电动机的外壳防护等级至少为lP23。电动机尺寸遵照GB/T 4772系列标准。(提供</w:t>
      </w:r>
      <w:r>
        <w:rPr>
          <w:rFonts w:hint="eastAsia" w:ascii="仿宋" w:hAnsi="仿宋" w:eastAsia="仿宋" w:cs="仿宋"/>
          <w:color w:val="auto"/>
          <w:sz w:val="24"/>
          <w:szCs w:val="24"/>
          <w:highlight w:val="none"/>
          <w:lang w:val="en-US" w:eastAsia="zh-CN"/>
        </w:rPr>
        <w:t>CMA或CNAS机构出具的检测报告</w:t>
      </w:r>
      <w:r>
        <w:rPr>
          <w:rFonts w:hint="eastAsia" w:ascii="仿宋" w:hAnsi="仿宋" w:eastAsia="仿宋" w:cs="仿宋"/>
          <w:color w:val="auto"/>
          <w:sz w:val="24"/>
          <w:szCs w:val="24"/>
          <w:highlight w:val="none"/>
        </w:rPr>
        <w:t>并加盖公章)。</w:t>
      </w:r>
    </w:p>
    <w:p w14:paraId="6275B548">
      <w:pPr>
        <w:pageBreakBefore w:val="0"/>
        <w:numPr>
          <w:ilvl w:val="0"/>
          <w:numId w:val="3"/>
        </w:numPr>
        <w:kinsoku/>
        <w:wordWrap/>
        <w:overflowPunct/>
        <w:topLinePunct w:val="0"/>
        <w:autoSpaceDE/>
        <w:autoSpaceDN/>
        <w:bidi w:val="0"/>
        <w:spacing w:line="400" w:lineRule="exact"/>
        <w:ind w:firstLine="64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★最大试验电压具有两倍的电气设备额定电源电压值或1000V，取其中的较大者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最大试验电压应施加在动力电路导线和保护联结电路之间</w:t>
      </w:r>
      <w:r>
        <w:rPr>
          <w:rFonts w:hint="eastAsia" w:ascii="仿宋" w:hAnsi="仿宋" w:eastAsia="仿宋" w:cs="仿宋"/>
          <w:color w:val="auto"/>
          <w:sz w:val="24"/>
          <w:szCs w:val="24"/>
          <w:highlight w:val="none"/>
        </w:rPr>
        <w:t>近似1s时间</w:t>
      </w:r>
      <w:r>
        <w:rPr>
          <w:rFonts w:hint="eastAsia" w:ascii="仿宋" w:hAnsi="仿宋" w:eastAsia="仿宋" w:cs="仿宋"/>
          <w:color w:val="auto"/>
          <w:sz w:val="24"/>
          <w:szCs w:val="24"/>
          <w:highlight w:val="none"/>
        </w:rPr>
        <w:t>。 (提供</w:t>
      </w:r>
      <w:r>
        <w:rPr>
          <w:rFonts w:hint="eastAsia" w:ascii="仿宋" w:hAnsi="仿宋" w:eastAsia="仿宋" w:cs="仿宋"/>
          <w:color w:val="auto"/>
          <w:sz w:val="24"/>
          <w:szCs w:val="24"/>
          <w:highlight w:val="none"/>
          <w:lang w:val="en-US" w:eastAsia="zh-CN"/>
        </w:rPr>
        <w:t>CMA或CNAS机构出具的检测报告</w:t>
      </w:r>
      <w:r>
        <w:rPr>
          <w:rFonts w:hint="eastAsia" w:ascii="仿宋" w:hAnsi="仿宋" w:eastAsia="仿宋" w:cs="仿宋"/>
          <w:color w:val="auto"/>
          <w:sz w:val="24"/>
          <w:szCs w:val="24"/>
          <w:highlight w:val="none"/>
        </w:rPr>
        <w:t>并加盖公章) 。</w:t>
      </w:r>
    </w:p>
    <w:p w14:paraId="7898E8DD">
      <w:pPr>
        <w:pageBreakBefore w:val="0"/>
        <w:kinsoku/>
        <w:wordWrap/>
        <w:overflowPunct/>
        <w:topLinePunct w:val="0"/>
        <w:autoSpaceDE/>
        <w:autoSpaceDN/>
        <w:bidi w:val="0"/>
        <w:spacing w:line="400" w:lineRule="exact"/>
        <w:ind w:firstLine="643"/>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水处理系统</w:t>
      </w:r>
    </w:p>
    <w:p w14:paraId="5D02EF76">
      <w:pPr>
        <w:pageBreakBefore w:val="0"/>
        <w:numPr>
          <w:ilvl w:val="0"/>
          <w:numId w:val="4"/>
        </w:numPr>
        <w:kinsoku/>
        <w:wordWrap/>
        <w:overflowPunct/>
        <w:topLinePunct w:val="0"/>
        <w:autoSpaceDE/>
        <w:autoSpaceDN/>
        <w:bidi w:val="0"/>
        <w:spacing w:line="400" w:lineRule="exact"/>
        <w:ind w:firstLine="6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产水浊度：＜0.1NTU</w:t>
      </w:r>
    </w:p>
    <w:p w14:paraId="2E7AB6EC">
      <w:pPr>
        <w:pageBreakBefore w:val="0"/>
        <w:numPr>
          <w:ilvl w:val="0"/>
          <w:numId w:val="4"/>
        </w:numPr>
        <w:kinsoku/>
        <w:wordWrap/>
        <w:overflowPunct/>
        <w:topLinePunct w:val="0"/>
        <w:autoSpaceDE/>
        <w:autoSpaceDN/>
        <w:bidi w:val="0"/>
        <w:spacing w:line="400" w:lineRule="exact"/>
        <w:ind w:firstLine="6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污染密度指数＜1</w:t>
      </w:r>
    </w:p>
    <w:p w14:paraId="1562E58F">
      <w:pPr>
        <w:pageBreakBefore w:val="0"/>
        <w:numPr>
          <w:ilvl w:val="0"/>
          <w:numId w:val="4"/>
        </w:numPr>
        <w:kinsoku/>
        <w:wordWrap/>
        <w:overflowPunct/>
        <w:topLinePunct w:val="0"/>
        <w:autoSpaceDE/>
        <w:autoSpaceDN/>
        <w:bidi w:val="0"/>
        <w:spacing w:line="400" w:lineRule="exact"/>
        <w:ind w:firstLine="6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悬浮物微粒＞0.2μm100%去除</w:t>
      </w:r>
    </w:p>
    <w:p w14:paraId="17351FCC">
      <w:pPr>
        <w:pageBreakBefore w:val="0"/>
        <w:numPr>
          <w:ilvl w:val="0"/>
          <w:numId w:val="4"/>
        </w:numPr>
        <w:kinsoku/>
        <w:wordWrap/>
        <w:overflowPunct/>
        <w:topLinePunct w:val="0"/>
        <w:autoSpaceDE/>
        <w:autoSpaceDN/>
        <w:bidi w:val="0"/>
        <w:spacing w:line="400" w:lineRule="exact"/>
        <w:ind w:firstLine="6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微生物、病原体99.99%去除</w:t>
      </w:r>
    </w:p>
    <w:p w14:paraId="56EF5C33">
      <w:pPr>
        <w:pageBreakBefore w:val="0"/>
        <w:numPr>
          <w:ilvl w:val="0"/>
          <w:numId w:val="4"/>
        </w:numPr>
        <w:kinsoku/>
        <w:wordWrap/>
        <w:overflowPunct/>
        <w:topLinePunct w:val="0"/>
        <w:autoSpaceDE/>
        <w:autoSpaceDN/>
        <w:bidi w:val="0"/>
        <w:spacing w:line="400" w:lineRule="exact"/>
        <w:ind w:firstLine="6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超滤膜进水浊度≤15NTU</w:t>
      </w:r>
    </w:p>
    <w:p w14:paraId="09796B72">
      <w:pPr>
        <w:pageBreakBefore w:val="0"/>
        <w:kinsoku/>
        <w:wordWrap/>
        <w:overflowPunct/>
        <w:topLinePunct w:val="0"/>
        <w:autoSpaceDE/>
        <w:autoSpaceDN/>
        <w:bidi w:val="0"/>
        <w:spacing w:line="400" w:lineRule="exact"/>
        <w:ind w:firstLine="643"/>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高精密喷头系统</w:t>
      </w:r>
    </w:p>
    <w:p w14:paraId="3E502B77">
      <w:pPr>
        <w:pageBreakBefore w:val="0"/>
        <w:numPr>
          <w:ilvl w:val="0"/>
          <w:numId w:val="5"/>
        </w:numPr>
        <w:kinsoku/>
        <w:wordWrap/>
        <w:overflowPunct/>
        <w:topLinePunct w:val="0"/>
        <w:autoSpaceDE/>
        <w:autoSpaceDN/>
        <w:bidi w:val="0"/>
        <w:spacing w:line="400" w:lineRule="exact"/>
        <w:ind w:firstLine="6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基体材质：SUS304不锈钢</w:t>
      </w:r>
    </w:p>
    <w:p w14:paraId="5F45DDC7">
      <w:pPr>
        <w:pageBreakBefore w:val="0"/>
        <w:numPr>
          <w:ilvl w:val="0"/>
          <w:numId w:val="5"/>
        </w:numPr>
        <w:kinsoku/>
        <w:wordWrap/>
        <w:overflowPunct/>
        <w:topLinePunct w:val="0"/>
        <w:autoSpaceDE/>
        <w:autoSpaceDN/>
        <w:bidi w:val="0"/>
        <w:spacing w:line="400" w:lineRule="exact"/>
        <w:ind w:firstLine="6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喷口孔径：0.15mm</w:t>
      </w:r>
    </w:p>
    <w:p w14:paraId="0852C863">
      <w:pPr>
        <w:pageBreakBefore w:val="0"/>
        <w:numPr>
          <w:ilvl w:val="0"/>
          <w:numId w:val="5"/>
        </w:numPr>
        <w:kinsoku/>
        <w:wordWrap/>
        <w:overflowPunct/>
        <w:topLinePunct w:val="0"/>
        <w:autoSpaceDE/>
        <w:autoSpaceDN/>
        <w:bidi w:val="0"/>
        <w:spacing w:line="400" w:lineRule="exact"/>
        <w:ind w:firstLine="6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雾化方式：纯物理雾化，撞击式</w:t>
      </w:r>
    </w:p>
    <w:p w14:paraId="6FA17457">
      <w:pPr>
        <w:pageBreakBefore w:val="0"/>
        <w:numPr>
          <w:ilvl w:val="0"/>
          <w:numId w:val="5"/>
        </w:numPr>
        <w:kinsoku/>
        <w:wordWrap/>
        <w:overflowPunct/>
        <w:topLinePunct w:val="0"/>
        <w:autoSpaceDE/>
        <w:autoSpaceDN/>
        <w:bidi w:val="0"/>
        <w:spacing w:line="400" w:lineRule="exact"/>
        <w:ind w:firstLine="6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雾化颗粒粒径：大于80%&lt;2μm</w:t>
      </w:r>
    </w:p>
    <w:p w14:paraId="2BB34981">
      <w:pPr>
        <w:pageBreakBefore w:val="0"/>
        <w:numPr>
          <w:ilvl w:val="0"/>
          <w:numId w:val="5"/>
        </w:numPr>
        <w:kinsoku/>
        <w:wordWrap/>
        <w:overflowPunct/>
        <w:topLinePunct w:val="0"/>
        <w:autoSpaceDE/>
        <w:autoSpaceDN/>
        <w:bidi w:val="0"/>
        <w:spacing w:line="400" w:lineRule="exact"/>
        <w:ind w:firstLine="6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工作流量：</w:t>
      </w:r>
      <w:r>
        <w:rPr>
          <w:rFonts w:hint="eastAsia" w:ascii="仿宋" w:hAnsi="仿宋" w:eastAsia="仿宋" w:cs="仿宋"/>
          <w:color w:val="auto"/>
          <w:sz w:val="24"/>
          <w:szCs w:val="24"/>
          <w:highlight w:val="none"/>
          <w:lang w:val="en-US" w:eastAsia="zh-CN"/>
        </w:rPr>
        <w:t>不小于</w:t>
      </w:r>
      <w:r>
        <w:rPr>
          <w:rFonts w:hint="eastAsia" w:ascii="仿宋" w:hAnsi="仿宋" w:eastAsia="仿宋" w:cs="仿宋"/>
          <w:color w:val="auto"/>
          <w:sz w:val="24"/>
          <w:szCs w:val="24"/>
          <w:highlight w:val="none"/>
        </w:rPr>
        <w:t>0.05kg/30秒</w:t>
      </w:r>
    </w:p>
    <w:p w14:paraId="09212FD6">
      <w:pPr>
        <w:pageBreakBefore w:val="0"/>
        <w:numPr>
          <w:ilvl w:val="0"/>
          <w:numId w:val="5"/>
        </w:numPr>
        <w:kinsoku/>
        <w:wordWrap/>
        <w:overflowPunct/>
        <w:topLinePunct w:val="0"/>
        <w:autoSpaceDE/>
        <w:autoSpaceDN/>
        <w:bidi w:val="0"/>
        <w:spacing w:line="400" w:lineRule="exact"/>
        <w:ind w:firstLine="6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连接方式：快接式连接，自带高压密封</w:t>
      </w:r>
    </w:p>
    <w:p w14:paraId="0823CE39">
      <w:pPr>
        <w:pageBreakBefore w:val="0"/>
        <w:kinsoku/>
        <w:wordWrap/>
        <w:overflowPunct/>
        <w:topLinePunct w:val="0"/>
        <w:autoSpaceDE/>
        <w:autoSpaceDN/>
        <w:bidi w:val="0"/>
        <w:spacing w:line="400" w:lineRule="exact"/>
        <w:ind w:firstLine="643"/>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管线接头及阀接系统</w:t>
      </w:r>
    </w:p>
    <w:p w14:paraId="189CAD10">
      <w:pPr>
        <w:pageBreakBefore w:val="0"/>
        <w:numPr>
          <w:ilvl w:val="0"/>
          <w:numId w:val="6"/>
        </w:numPr>
        <w:kinsoku/>
        <w:wordWrap/>
        <w:overflowPunct/>
        <w:topLinePunct w:val="0"/>
        <w:autoSpaceDE/>
        <w:autoSpaceDN/>
        <w:bidi w:val="0"/>
        <w:spacing w:line="400" w:lineRule="exact"/>
        <w:ind w:firstLine="6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材质：SUS304不锈钢管</w:t>
      </w:r>
    </w:p>
    <w:p w14:paraId="67ABB45D">
      <w:pPr>
        <w:pageBreakBefore w:val="0"/>
        <w:numPr>
          <w:ilvl w:val="0"/>
          <w:numId w:val="6"/>
        </w:numPr>
        <w:kinsoku/>
        <w:wordWrap/>
        <w:overflowPunct/>
        <w:topLinePunct w:val="0"/>
        <w:autoSpaceDE/>
        <w:autoSpaceDN/>
        <w:bidi w:val="0"/>
        <w:spacing w:line="400" w:lineRule="exact"/>
        <w:ind w:firstLine="6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耐压级别：&gt;15Mpa</w:t>
      </w:r>
    </w:p>
    <w:p w14:paraId="162E0238">
      <w:pPr>
        <w:pageBreakBefore w:val="0"/>
        <w:numPr>
          <w:ilvl w:val="0"/>
          <w:numId w:val="6"/>
        </w:numPr>
        <w:kinsoku/>
        <w:wordWrap/>
        <w:overflowPunct/>
        <w:topLinePunct w:val="0"/>
        <w:autoSpaceDE/>
        <w:autoSpaceDN/>
        <w:bidi w:val="0"/>
        <w:spacing w:line="400" w:lineRule="exact"/>
        <w:ind w:firstLine="6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规格：Φ9.52</w:t>
      </w:r>
    </w:p>
    <w:p w14:paraId="016BD3ED">
      <w:pPr>
        <w:pageBreakBefore w:val="0"/>
        <w:numPr>
          <w:ilvl w:val="0"/>
          <w:numId w:val="6"/>
        </w:numPr>
        <w:kinsoku/>
        <w:wordWrap/>
        <w:overflowPunct/>
        <w:topLinePunct w:val="0"/>
        <w:autoSpaceDE/>
        <w:autoSpaceDN/>
        <w:bidi w:val="0"/>
        <w:spacing w:line="400" w:lineRule="exact"/>
        <w:ind w:firstLine="64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连接方式：内卡扣式活接，高压内置环密封。</w:t>
      </w:r>
    </w:p>
    <w:p w14:paraId="6497F3D4">
      <w:pPr>
        <w:pStyle w:val="5"/>
        <w:pageBreakBefore w:val="0"/>
        <w:kinsoku/>
        <w:wordWrap/>
        <w:overflowPunct/>
        <w:topLinePunct w:val="0"/>
        <w:autoSpaceDE/>
        <w:autoSpaceDN/>
        <w:bidi w:val="0"/>
        <w:spacing w:before="140" w:after="140" w:line="400" w:lineRule="exact"/>
        <w:ind w:left="901"/>
        <w:textAlignment w:val="auto"/>
        <w:outlineLvl w:val="2"/>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lang w:eastAsia="zh-CN"/>
        </w:rPr>
        <w:t>颗粒物激光雷达（</w:t>
      </w:r>
      <w:r>
        <w:rPr>
          <w:rFonts w:hint="eastAsia" w:ascii="仿宋" w:hAnsi="仿宋" w:eastAsia="仿宋" w:cs="仿宋"/>
          <w:color w:val="auto"/>
          <w:sz w:val="24"/>
          <w:szCs w:val="24"/>
          <w:highlight w:val="none"/>
          <w:lang w:val="en-US" w:eastAsia="zh-CN"/>
        </w:rPr>
        <w:t>1套</w:t>
      </w:r>
      <w:r>
        <w:rPr>
          <w:rFonts w:hint="eastAsia" w:ascii="仿宋" w:hAnsi="仿宋" w:eastAsia="仿宋" w:cs="仿宋"/>
          <w:color w:val="auto"/>
          <w:sz w:val="24"/>
          <w:szCs w:val="24"/>
          <w:highlight w:val="none"/>
          <w:lang w:eastAsia="zh-CN"/>
        </w:rPr>
        <w:t>）</w:t>
      </w:r>
    </w:p>
    <w:p w14:paraId="1C47EE47">
      <w:pPr>
        <w:pageBreakBefore w:val="0"/>
        <w:numPr>
          <w:ilvl w:val="0"/>
          <w:numId w:val="7"/>
        </w:numPr>
        <w:kinsoku/>
        <w:wordWrap/>
        <w:overflowPunct/>
        <w:topLinePunct w:val="0"/>
        <w:autoSpaceDE/>
        <w:autoSpaceDN/>
        <w:bidi w:val="0"/>
        <w:spacing w:line="400" w:lineRule="exact"/>
        <w:ind w:left="0" w:leftChars="0" w:firstLine="638" w:firstLineChars="26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波长：</w:t>
      </w:r>
      <w:r>
        <w:rPr>
          <w:rFonts w:hint="eastAsia" w:ascii="仿宋" w:hAnsi="仿宋" w:eastAsia="仿宋" w:cs="仿宋"/>
          <w:color w:val="auto"/>
          <w:sz w:val="24"/>
          <w:highlight w:val="none"/>
          <w:lang w:val="en-US" w:eastAsia="zh-CN"/>
        </w:rPr>
        <w:t>支持</w:t>
      </w:r>
      <w:r>
        <w:rPr>
          <w:rFonts w:hint="eastAsia" w:ascii="仿宋" w:hAnsi="仿宋" w:eastAsia="仿宋" w:cs="仿宋"/>
          <w:color w:val="auto"/>
          <w:sz w:val="24"/>
          <w:highlight w:val="none"/>
        </w:rPr>
        <w:t>1064nm</w:t>
      </w:r>
      <w:r>
        <w:rPr>
          <w:rFonts w:hint="eastAsia" w:ascii="仿宋" w:hAnsi="仿宋" w:eastAsia="仿宋" w:cs="仿宋"/>
          <w:color w:val="auto"/>
          <w:sz w:val="24"/>
          <w:highlight w:val="none"/>
          <w:lang w:val="en-US" w:eastAsia="zh-CN"/>
        </w:rPr>
        <w:t>不可见光</w:t>
      </w:r>
    </w:p>
    <w:p w14:paraId="5F7AB262">
      <w:pPr>
        <w:pageBreakBefore w:val="0"/>
        <w:numPr>
          <w:ilvl w:val="0"/>
          <w:numId w:val="7"/>
        </w:numPr>
        <w:kinsoku/>
        <w:wordWrap/>
        <w:overflowPunct/>
        <w:topLinePunct w:val="0"/>
        <w:autoSpaceDE/>
        <w:autoSpaceDN/>
        <w:bidi w:val="0"/>
        <w:spacing w:line="400" w:lineRule="exact"/>
        <w:ind w:left="0" w:leftChars="0" w:firstLine="638" w:firstLineChars="26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探测盲区：≤</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0m。</w:t>
      </w:r>
    </w:p>
    <w:p w14:paraId="3969F58A">
      <w:pPr>
        <w:pageBreakBefore w:val="0"/>
        <w:numPr>
          <w:ilvl w:val="0"/>
          <w:numId w:val="7"/>
        </w:numPr>
        <w:kinsoku/>
        <w:wordWrap/>
        <w:overflowPunct/>
        <w:topLinePunct w:val="0"/>
        <w:autoSpaceDE/>
        <w:autoSpaceDN/>
        <w:bidi w:val="0"/>
        <w:spacing w:line="400" w:lineRule="exact"/>
        <w:ind w:left="0" w:leftChars="0" w:firstLine="638" w:firstLineChars="26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最大</w:t>
      </w:r>
      <w:r>
        <w:rPr>
          <w:rFonts w:hint="eastAsia" w:ascii="仿宋" w:hAnsi="仿宋" w:eastAsia="仿宋" w:cs="仿宋"/>
          <w:color w:val="auto"/>
          <w:sz w:val="24"/>
          <w:szCs w:val="24"/>
          <w:highlight w:val="none"/>
        </w:rPr>
        <w:t>探测距离：≥</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km。</w:t>
      </w:r>
    </w:p>
    <w:p w14:paraId="5AEEA690">
      <w:pPr>
        <w:pageBreakBefore w:val="0"/>
        <w:numPr>
          <w:ilvl w:val="0"/>
          <w:numId w:val="7"/>
        </w:numPr>
        <w:kinsoku/>
        <w:wordWrap/>
        <w:overflowPunct/>
        <w:topLinePunct w:val="0"/>
        <w:autoSpaceDE/>
        <w:autoSpaceDN/>
        <w:bidi w:val="0"/>
        <w:spacing w:line="400" w:lineRule="exact"/>
        <w:ind w:left="0" w:leftChars="0" w:firstLine="638" w:firstLineChars="266"/>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时间分辨率：1s及倍数可调</w:t>
      </w:r>
    </w:p>
    <w:p w14:paraId="11670909">
      <w:pPr>
        <w:pageBreakBefore w:val="0"/>
        <w:numPr>
          <w:ilvl w:val="0"/>
          <w:numId w:val="7"/>
        </w:numPr>
        <w:kinsoku/>
        <w:wordWrap/>
        <w:overflowPunct/>
        <w:topLinePunct w:val="0"/>
        <w:autoSpaceDE/>
        <w:autoSpaceDN/>
        <w:bidi w:val="0"/>
        <w:spacing w:line="400" w:lineRule="exact"/>
        <w:ind w:left="0" w:leftChars="0" w:firstLine="638" w:firstLineChars="26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★激光能量密度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＞0.5mJ/cm</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提供CMA或CNAS机构出具的检测报告并加盖公章</w:t>
      </w:r>
      <w:r>
        <w:rPr>
          <w:rFonts w:hint="eastAsia" w:ascii="仿宋" w:hAnsi="仿宋" w:eastAsia="仿宋" w:cs="仿宋"/>
          <w:color w:val="auto"/>
          <w:sz w:val="24"/>
          <w:szCs w:val="24"/>
          <w:highlight w:val="none"/>
        </w:rPr>
        <w:t>）</w:t>
      </w:r>
    </w:p>
    <w:p w14:paraId="3CBEC7FC">
      <w:pPr>
        <w:pageBreakBefore w:val="0"/>
        <w:numPr>
          <w:ilvl w:val="0"/>
          <w:numId w:val="7"/>
        </w:numPr>
        <w:kinsoku/>
        <w:wordWrap/>
        <w:overflowPunct/>
        <w:topLinePunct w:val="0"/>
        <w:autoSpaceDE/>
        <w:autoSpaceDN/>
        <w:bidi w:val="0"/>
        <w:spacing w:line="400" w:lineRule="exact"/>
        <w:ind w:left="0" w:leftChars="0" w:firstLine="638" w:firstLineChars="266"/>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功率稳定性：RMS≤1%@8h。（</w:t>
      </w:r>
      <w:r>
        <w:rPr>
          <w:rFonts w:hint="eastAsia" w:ascii="仿宋" w:hAnsi="仿宋" w:eastAsia="仿宋" w:cs="仿宋"/>
          <w:color w:val="auto"/>
          <w:sz w:val="24"/>
          <w:szCs w:val="24"/>
          <w:highlight w:val="none"/>
        </w:rPr>
        <w:t>提供</w:t>
      </w:r>
      <w:r>
        <w:rPr>
          <w:rFonts w:hint="eastAsia" w:ascii="仿宋" w:hAnsi="仿宋" w:eastAsia="仿宋" w:cs="仿宋"/>
          <w:color w:val="auto"/>
          <w:sz w:val="24"/>
          <w:szCs w:val="24"/>
          <w:highlight w:val="none"/>
          <w:lang w:eastAsia="zh-CN"/>
        </w:rPr>
        <w:t>CMA或CNAS机构出具的检测报告</w:t>
      </w:r>
      <w:r>
        <w:rPr>
          <w:rFonts w:hint="eastAsia" w:ascii="仿宋" w:hAnsi="仿宋" w:eastAsia="仿宋" w:cs="仿宋"/>
          <w:color w:val="auto"/>
          <w:sz w:val="24"/>
          <w:szCs w:val="24"/>
          <w:highlight w:val="none"/>
        </w:rPr>
        <w:t>并加盖公章</w:t>
      </w:r>
      <w:r>
        <w:rPr>
          <w:rFonts w:hint="eastAsia" w:ascii="仿宋" w:hAnsi="仿宋" w:eastAsia="仿宋" w:cs="仿宋"/>
          <w:color w:val="auto"/>
          <w:sz w:val="24"/>
          <w:szCs w:val="24"/>
          <w:highlight w:val="none"/>
          <w:lang w:val="en-US" w:eastAsia="zh-CN"/>
        </w:rPr>
        <w:t>）</w:t>
      </w:r>
    </w:p>
    <w:p w14:paraId="6CFC654C">
      <w:pPr>
        <w:pageBreakBefore w:val="0"/>
        <w:numPr>
          <w:ilvl w:val="0"/>
          <w:numId w:val="7"/>
        </w:numPr>
        <w:kinsoku/>
        <w:wordWrap/>
        <w:overflowPunct/>
        <w:topLinePunct w:val="0"/>
        <w:autoSpaceDE/>
        <w:autoSpaceDN/>
        <w:bidi w:val="0"/>
        <w:spacing w:line="400" w:lineRule="exact"/>
        <w:ind w:left="0" w:leftChars="0" w:firstLine="638" w:firstLineChars="266"/>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采样频率：50MHZ。</w:t>
      </w:r>
    </w:p>
    <w:p w14:paraId="4CB0591C">
      <w:pPr>
        <w:pageBreakBefore w:val="0"/>
        <w:numPr>
          <w:ilvl w:val="0"/>
          <w:numId w:val="7"/>
        </w:numPr>
        <w:kinsoku/>
        <w:wordWrap/>
        <w:overflowPunct/>
        <w:topLinePunct w:val="0"/>
        <w:autoSpaceDE/>
        <w:autoSpaceDN/>
        <w:bidi w:val="0"/>
        <w:spacing w:line="400" w:lineRule="exact"/>
        <w:ind w:left="0" w:leftChars="0" w:firstLine="638" w:firstLineChars="26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激光器：固体激光器、风冷（</w:t>
      </w:r>
      <w:r>
        <w:rPr>
          <w:rFonts w:hint="eastAsia" w:ascii="仿宋" w:hAnsi="仿宋" w:eastAsia="仿宋" w:cs="仿宋"/>
          <w:color w:val="auto"/>
          <w:sz w:val="24"/>
          <w:szCs w:val="24"/>
          <w:highlight w:val="none"/>
        </w:rPr>
        <w:t>提供</w:t>
      </w:r>
      <w:r>
        <w:rPr>
          <w:rFonts w:hint="eastAsia" w:ascii="仿宋" w:hAnsi="仿宋" w:eastAsia="仿宋" w:cs="仿宋"/>
          <w:color w:val="auto"/>
          <w:sz w:val="24"/>
          <w:szCs w:val="24"/>
          <w:highlight w:val="none"/>
          <w:lang w:eastAsia="zh-CN"/>
        </w:rPr>
        <w:t>CMA或CNAS机构出具的检测报告</w:t>
      </w:r>
      <w:r>
        <w:rPr>
          <w:rFonts w:hint="eastAsia" w:ascii="仿宋" w:hAnsi="仿宋" w:eastAsia="仿宋" w:cs="仿宋"/>
          <w:color w:val="auto"/>
          <w:sz w:val="24"/>
          <w:szCs w:val="24"/>
          <w:highlight w:val="none"/>
        </w:rPr>
        <w:t>并加盖公章</w:t>
      </w:r>
      <w:r>
        <w:rPr>
          <w:rFonts w:hint="eastAsia" w:ascii="仿宋" w:hAnsi="仿宋" w:eastAsia="仿宋" w:cs="仿宋"/>
          <w:color w:val="auto"/>
          <w:sz w:val="24"/>
          <w:szCs w:val="24"/>
          <w:highlight w:val="none"/>
          <w:lang w:val="en-US" w:eastAsia="zh-CN"/>
        </w:rPr>
        <w:t>）</w:t>
      </w:r>
    </w:p>
    <w:p w14:paraId="02C54C38">
      <w:pPr>
        <w:pageBreakBefore w:val="0"/>
        <w:numPr>
          <w:ilvl w:val="0"/>
          <w:numId w:val="7"/>
        </w:numPr>
        <w:kinsoku/>
        <w:wordWrap/>
        <w:overflowPunct/>
        <w:topLinePunct w:val="0"/>
        <w:autoSpaceDE/>
        <w:autoSpaceDN/>
        <w:bidi w:val="0"/>
        <w:spacing w:line="400" w:lineRule="exact"/>
        <w:ind w:left="0" w:leftChars="0" w:firstLine="638" w:firstLineChars="26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激光谱宽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光谱谱线半高全宽小于0.2nm</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提供CMA或CNAS机构出具的检测报告并加盖公章</w:t>
      </w:r>
      <w:r>
        <w:rPr>
          <w:rFonts w:hint="eastAsia" w:ascii="仿宋" w:hAnsi="仿宋" w:eastAsia="仿宋" w:cs="仿宋"/>
          <w:color w:val="auto"/>
          <w:sz w:val="24"/>
          <w:szCs w:val="24"/>
          <w:highlight w:val="none"/>
        </w:rPr>
        <w:t>）</w:t>
      </w:r>
    </w:p>
    <w:p w14:paraId="0E664938">
      <w:pPr>
        <w:pageBreakBefore w:val="0"/>
        <w:numPr>
          <w:ilvl w:val="0"/>
          <w:numId w:val="7"/>
        </w:numPr>
        <w:kinsoku/>
        <w:wordWrap/>
        <w:overflowPunct/>
        <w:topLinePunct w:val="0"/>
        <w:autoSpaceDE/>
        <w:autoSpaceDN/>
        <w:bidi w:val="0"/>
        <w:spacing w:line="400" w:lineRule="exact"/>
        <w:ind w:left="0" w:leftChars="0" w:firstLine="638" w:firstLineChars="26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远程</w:t>
      </w:r>
      <w:r>
        <w:rPr>
          <w:rFonts w:hint="eastAsia" w:ascii="仿宋" w:hAnsi="仿宋" w:eastAsia="仿宋" w:cs="仿宋"/>
          <w:color w:val="auto"/>
          <w:sz w:val="24"/>
          <w:highlight w:val="none"/>
        </w:rPr>
        <w:t>校准：雷达光路发射系统前端装有电动调整架，可实现远程调整激光雷达光束指向。（</w:t>
      </w:r>
      <w:r>
        <w:rPr>
          <w:rFonts w:hint="eastAsia" w:ascii="仿宋" w:hAnsi="仿宋" w:eastAsia="仿宋" w:cs="仿宋"/>
          <w:color w:val="auto"/>
          <w:sz w:val="24"/>
          <w:szCs w:val="24"/>
          <w:highlight w:val="none"/>
        </w:rPr>
        <w:t>提供</w:t>
      </w:r>
      <w:r>
        <w:rPr>
          <w:rFonts w:hint="eastAsia" w:ascii="仿宋" w:hAnsi="仿宋" w:eastAsia="仿宋" w:cs="仿宋"/>
          <w:color w:val="auto"/>
          <w:sz w:val="24"/>
          <w:szCs w:val="24"/>
          <w:highlight w:val="none"/>
          <w:lang w:eastAsia="zh-CN"/>
        </w:rPr>
        <w:t>CMA或CNAS机构出具的检测报告</w:t>
      </w:r>
      <w:r>
        <w:rPr>
          <w:rFonts w:hint="eastAsia" w:ascii="仿宋" w:hAnsi="仿宋" w:eastAsia="仿宋" w:cs="仿宋"/>
          <w:color w:val="auto"/>
          <w:sz w:val="24"/>
          <w:szCs w:val="24"/>
          <w:highlight w:val="none"/>
        </w:rPr>
        <w:t>并加盖公章</w:t>
      </w:r>
      <w:r>
        <w:rPr>
          <w:rFonts w:hint="eastAsia" w:ascii="仿宋" w:hAnsi="仿宋" w:eastAsia="仿宋" w:cs="仿宋"/>
          <w:color w:val="auto"/>
          <w:sz w:val="24"/>
          <w:highlight w:val="none"/>
        </w:rPr>
        <w:t>）</w:t>
      </w:r>
    </w:p>
    <w:p w14:paraId="4E2AB9B6">
      <w:pPr>
        <w:pageBreakBefore w:val="0"/>
        <w:numPr>
          <w:ilvl w:val="0"/>
          <w:numId w:val="7"/>
        </w:numPr>
        <w:kinsoku/>
        <w:wordWrap/>
        <w:overflowPunct/>
        <w:topLinePunct w:val="0"/>
        <w:autoSpaceDE/>
        <w:autoSpaceDN/>
        <w:bidi w:val="0"/>
        <w:spacing w:line="400" w:lineRule="exact"/>
        <w:ind w:left="0" w:leftChars="0" w:firstLine="638" w:firstLineChars="26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扫描周期</w:t>
      </w: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6mi</w:t>
      </w:r>
      <w:r>
        <w:rPr>
          <w:rFonts w:hint="eastAsia" w:ascii="仿宋" w:hAnsi="仿宋" w:eastAsia="仿宋" w:cs="仿宋"/>
          <w:color w:val="auto"/>
          <w:sz w:val="24"/>
          <w:szCs w:val="24"/>
          <w:highlight w:val="none"/>
        </w:rPr>
        <w:t>m</w:t>
      </w: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rPr>
        <w:t>提供</w:t>
      </w:r>
      <w:r>
        <w:rPr>
          <w:rFonts w:hint="eastAsia" w:ascii="仿宋" w:hAnsi="仿宋" w:eastAsia="仿宋" w:cs="仿宋"/>
          <w:color w:val="auto"/>
          <w:sz w:val="24"/>
          <w:szCs w:val="24"/>
          <w:highlight w:val="none"/>
          <w:lang w:eastAsia="zh-CN"/>
        </w:rPr>
        <w:t>CMA或CNAS机构出具的检测报告</w:t>
      </w:r>
      <w:r>
        <w:rPr>
          <w:rFonts w:hint="eastAsia" w:ascii="仿宋" w:hAnsi="仿宋" w:eastAsia="仿宋" w:cs="仿宋"/>
          <w:color w:val="auto"/>
          <w:sz w:val="24"/>
          <w:szCs w:val="24"/>
          <w:highlight w:val="none"/>
        </w:rPr>
        <w:t>加盖公章</w:t>
      </w:r>
      <w:r>
        <w:rPr>
          <w:rFonts w:hint="eastAsia" w:ascii="仿宋" w:hAnsi="仿宋" w:eastAsia="仿宋" w:cs="仿宋"/>
          <w:color w:val="auto"/>
          <w:sz w:val="24"/>
          <w:highlight w:val="none"/>
        </w:rPr>
        <w:t>）</w:t>
      </w:r>
    </w:p>
    <w:p w14:paraId="3A038DC8">
      <w:pPr>
        <w:pageBreakBefore w:val="0"/>
        <w:numPr>
          <w:ilvl w:val="0"/>
          <w:numId w:val="7"/>
        </w:numPr>
        <w:kinsoku/>
        <w:wordWrap/>
        <w:overflowPunct/>
        <w:topLinePunct w:val="0"/>
        <w:autoSpaceDE/>
        <w:autoSpaceDN/>
        <w:bidi w:val="0"/>
        <w:spacing w:line="400" w:lineRule="exact"/>
        <w:ind w:left="0" w:leftChars="0" w:firstLine="638" w:firstLineChars="266"/>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噪声：</w:t>
      </w:r>
      <w:r>
        <w:rPr>
          <w:rFonts w:hint="eastAsia" w:ascii="仿宋" w:hAnsi="仿宋" w:eastAsia="仿宋" w:cs="仿宋"/>
          <w:color w:val="auto"/>
          <w:sz w:val="24"/>
          <w:highlight w:val="none"/>
        </w:rPr>
        <w:t>雷达1米处噪声不能高于 65dB(A)。（</w:t>
      </w:r>
      <w:r>
        <w:rPr>
          <w:rFonts w:hint="eastAsia" w:ascii="仿宋" w:hAnsi="仿宋" w:eastAsia="仿宋" w:cs="仿宋"/>
          <w:color w:val="auto"/>
          <w:sz w:val="24"/>
          <w:szCs w:val="24"/>
          <w:highlight w:val="none"/>
          <w:lang w:eastAsia="zh-CN"/>
        </w:rPr>
        <w:t>提供CMA或CNAS机构出具的检测报告并加盖公章</w:t>
      </w:r>
      <w:r>
        <w:rPr>
          <w:rFonts w:hint="eastAsia" w:ascii="仿宋" w:hAnsi="仿宋" w:eastAsia="仿宋" w:cs="仿宋"/>
          <w:color w:val="auto"/>
          <w:sz w:val="24"/>
          <w:highlight w:val="none"/>
        </w:rPr>
        <w:t>）</w:t>
      </w:r>
    </w:p>
    <w:p w14:paraId="6CE8A2E8">
      <w:pPr>
        <w:numPr>
          <w:ilvl w:val="0"/>
          <w:numId w:val="7"/>
        </w:numPr>
        <w:spacing w:line="400" w:lineRule="exact"/>
        <w:ind w:firstLine="638" w:firstLineChars="266"/>
        <w:rPr>
          <w:rFonts w:hint="eastAsia" w:ascii="仿宋" w:hAnsi="仿宋" w:eastAsia="仿宋" w:cs="仿宋"/>
          <w:color w:val="auto"/>
          <w:sz w:val="24"/>
          <w:highlight w:val="none"/>
        </w:rPr>
      </w:pPr>
      <w:r>
        <w:rPr>
          <w:rFonts w:hint="eastAsia" w:ascii="仿宋" w:hAnsi="仿宋" w:eastAsia="仿宋" w:cs="仿宋"/>
          <w:color w:val="auto"/>
          <w:sz w:val="24"/>
          <w:highlight w:val="none"/>
        </w:rPr>
        <w:t>防护等级：≥IP6</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w:t>
      </w:r>
    </w:p>
    <w:p w14:paraId="644D401C">
      <w:pPr>
        <w:pageBreakBefore w:val="0"/>
        <w:numPr>
          <w:ilvl w:val="0"/>
          <w:numId w:val="7"/>
        </w:numPr>
        <w:kinsoku/>
        <w:wordWrap/>
        <w:overflowPunct/>
        <w:topLinePunct w:val="0"/>
        <w:autoSpaceDE/>
        <w:autoSpaceDN/>
        <w:bidi w:val="0"/>
        <w:spacing w:line="400" w:lineRule="exact"/>
        <w:ind w:left="0" w:leftChars="0" w:firstLine="638" w:firstLineChars="26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★摄像功能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可实时查看窗口外的视频情况，摄像功能系统与雷达主机一体化设计。（</w:t>
      </w:r>
      <w:r>
        <w:rPr>
          <w:rFonts w:hint="eastAsia" w:ascii="仿宋" w:hAnsi="仿宋" w:eastAsia="仿宋" w:cs="仿宋"/>
          <w:color w:val="auto"/>
          <w:sz w:val="24"/>
          <w:szCs w:val="24"/>
          <w:highlight w:val="none"/>
          <w:lang w:eastAsia="zh-CN"/>
        </w:rPr>
        <w:t>提供CMA或CNAS机构出具的检测报告并加盖公章</w:t>
      </w:r>
      <w:r>
        <w:rPr>
          <w:rFonts w:hint="eastAsia" w:ascii="仿宋" w:hAnsi="仿宋" w:eastAsia="仿宋" w:cs="仿宋"/>
          <w:color w:val="auto"/>
          <w:sz w:val="24"/>
          <w:szCs w:val="24"/>
          <w:highlight w:val="none"/>
        </w:rPr>
        <w:t>）</w:t>
      </w:r>
    </w:p>
    <w:p w14:paraId="6364B329">
      <w:pPr>
        <w:pageBreakBefore w:val="0"/>
        <w:numPr>
          <w:ilvl w:val="0"/>
          <w:numId w:val="7"/>
        </w:numPr>
        <w:kinsoku/>
        <w:wordWrap/>
        <w:overflowPunct/>
        <w:topLinePunct w:val="0"/>
        <w:autoSpaceDE/>
        <w:autoSpaceDN/>
        <w:bidi w:val="0"/>
        <w:spacing w:line="400" w:lineRule="exact"/>
        <w:ind w:left="0" w:leftChars="0" w:firstLine="638" w:firstLineChars="266"/>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数据产品：实时显示时间、经纬度、PM2.5、PM10、消光系数、退偏比</w:t>
      </w:r>
    </w:p>
    <w:p w14:paraId="76F5BD61">
      <w:pPr>
        <w:pageBreakBefore w:val="0"/>
        <w:numPr>
          <w:ilvl w:val="0"/>
          <w:numId w:val="7"/>
        </w:numPr>
        <w:kinsoku/>
        <w:wordWrap/>
        <w:overflowPunct/>
        <w:topLinePunct w:val="0"/>
        <w:autoSpaceDE/>
        <w:autoSpaceDN/>
        <w:bidi w:val="0"/>
        <w:spacing w:line="400" w:lineRule="exact"/>
        <w:ind w:left="0" w:leftChars="0" w:firstLine="638" w:firstLineChars="26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软件</w:t>
      </w:r>
      <w:r>
        <w:rPr>
          <w:rFonts w:hint="eastAsia" w:ascii="仿宋" w:hAnsi="仿宋" w:eastAsia="仿宋" w:cs="仿宋"/>
          <w:color w:val="auto"/>
          <w:sz w:val="24"/>
          <w:szCs w:val="24"/>
          <w:highlight w:val="none"/>
          <w:lang w:val="en-US" w:eastAsia="zh-CN"/>
        </w:rPr>
        <w:t>支持</w:t>
      </w:r>
      <w:r>
        <w:rPr>
          <w:rFonts w:hint="eastAsia" w:ascii="仿宋" w:hAnsi="仿宋" w:eastAsia="仿宋" w:cs="仿宋"/>
          <w:color w:val="auto"/>
          <w:sz w:val="24"/>
          <w:szCs w:val="24"/>
          <w:highlight w:val="none"/>
        </w:rPr>
        <w:t>可以选择合适的几何因子矫正配置文件，对近端数据进行矫正和质量提升。</w:t>
      </w:r>
    </w:p>
    <w:p w14:paraId="48DF29E3">
      <w:pPr>
        <w:pageBreakBefore w:val="0"/>
        <w:numPr>
          <w:ilvl w:val="0"/>
          <w:numId w:val="7"/>
        </w:numPr>
        <w:kinsoku/>
        <w:wordWrap/>
        <w:overflowPunct/>
        <w:topLinePunct w:val="0"/>
        <w:autoSpaceDE/>
        <w:autoSpaceDN/>
        <w:bidi w:val="0"/>
        <w:spacing w:line="400" w:lineRule="exact"/>
        <w:ind w:left="0" w:leftChars="0" w:firstLine="638" w:firstLineChars="26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★软件</w:t>
      </w:r>
      <w:r>
        <w:rPr>
          <w:rFonts w:hint="eastAsia" w:ascii="仿宋" w:hAnsi="仿宋" w:eastAsia="仿宋" w:cs="仿宋"/>
          <w:color w:val="auto"/>
          <w:sz w:val="24"/>
          <w:szCs w:val="24"/>
          <w:highlight w:val="none"/>
          <w:lang w:val="en-US" w:eastAsia="zh-CN"/>
        </w:rPr>
        <w:t>支持</w:t>
      </w:r>
      <w:r>
        <w:rPr>
          <w:rFonts w:hint="eastAsia" w:ascii="仿宋" w:hAnsi="仿宋" w:eastAsia="仿宋" w:cs="仿宋"/>
          <w:color w:val="auto"/>
          <w:sz w:val="24"/>
          <w:szCs w:val="24"/>
          <w:highlight w:val="none"/>
        </w:rPr>
        <w:t>通过调用 USA 标准大气模式文件，对激光雷达分子模式进行矫正。（</w:t>
      </w:r>
      <w:r>
        <w:rPr>
          <w:rFonts w:hint="eastAsia" w:ascii="仿宋" w:hAnsi="仿宋" w:eastAsia="仿宋" w:cs="仿宋"/>
          <w:color w:val="auto"/>
          <w:sz w:val="24"/>
          <w:szCs w:val="24"/>
          <w:highlight w:val="none"/>
          <w:lang w:eastAsia="zh-CN"/>
        </w:rPr>
        <w:t>提供CMA或CNAS机构出具的检测报告并加盖公章）</w:t>
      </w:r>
    </w:p>
    <w:p w14:paraId="1515511D">
      <w:pPr>
        <w:pageBreakBefore w:val="0"/>
        <w:numPr>
          <w:ilvl w:val="0"/>
          <w:numId w:val="7"/>
        </w:numPr>
        <w:kinsoku/>
        <w:wordWrap/>
        <w:overflowPunct/>
        <w:topLinePunct w:val="0"/>
        <w:autoSpaceDE/>
        <w:autoSpaceDN/>
        <w:bidi w:val="0"/>
        <w:spacing w:line="400" w:lineRule="exact"/>
        <w:ind w:left="0" w:leftChars="0" w:firstLine="638" w:firstLineChars="26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★软件</w:t>
      </w:r>
      <w:r>
        <w:rPr>
          <w:rFonts w:hint="eastAsia" w:ascii="仿宋" w:hAnsi="仿宋" w:eastAsia="仿宋" w:cs="仿宋"/>
          <w:color w:val="auto"/>
          <w:sz w:val="24"/>
          <w:szCs w:val="24"/>
          <w:highlight w:val="none"/>
          <w:lang w:val="en-US" w:eastAsia="zh-CN"/>
        </w:rPr>
        <w:t>支持</w:t>
      </w:r>
      <w:r>
        <w:rPr>
          <w:rFonts w:hint="eastAsia" w:ascii="仿宋" w:hAnsi="仿宋" w:eastAsia="仿宋" w:cs="仿宋"/>
          <w:color w:val="auto"/>
          <w:sz w:val="24"/>
          <w:szCs w:val="24"/>
          <w:highlight w:val="none"/>
        </w:rPr>
        <w:t>通过调用气溶胶消光后向散射系数，对雷达气溶胶消光后向散射比进行矫正</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提供CMA或CNAS机构出具的检测报告并加盖公章</w:t>
      </w:r>
      <w:r>
        <w:rPr>
          <w:rFonts w:hint="eastAsia" w:ascii="仿宋" w:hAnsi="仿宋" w:eastAsia="仿宋" w:cs="仿宋"/>
          <w:color w:val="auto"/>
          <w:sz w:val="24"/>
          <w:szCs w:val="24"/>
          <w:highlight w:val="none"/>
        </w:rPr>
        <w:t>）</w:t>
      </w:r>
    </w:p>
    <w:p w14:paraId="2F1BC4D0">
      <w:pPr>
        <w:pageBreakBefore w:val="0"/>
        <w:numPr>
          <w:ilvl w:val="0"/>
          <w:numId w:val="7"/>
        </w:numPr>
        <w:kinsoku/>
        <w:wordWrap/>
        <w:overflowPunct/>
        <w:topLinePunct w:val="0"/>
        <w:autoSpaceDE/>
        <w:autoSpaceDN/>
        <w:bidi w:val="0"/>
        <w:spacing w:line="400" w:lineRule="exact"/>
        <w:ind w:left="0" w:leftChars="0" w:firstLine="638" w:firstLineChars="26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软件支持</w:t>
      </w:r>
      <w:r>
        <w:rPr>
          <w:rFonts w:hint="eastAsia" w:ascii="仿宋" w:hAnsi="仿宋" w:eastAsia="仿宋" w:cs="仿宋"/>
          <w:color w:val="auto"/>
          <w:sz w:val="24"/>
          <w:szCs w:val="24"/>
          <w:highlight w:val="none"/>
        </w:rPr>
        <w:t>通过设置消光系数色度范围展示颗粒物的浓度显示效果达到最优状态。</w:t>
      </w:r>
    </w:p>
    <w:p w14:paraId="614028C6">
      <w:pPr>
        <w:pageBreakBefore w:val="0"/>
        <w:numPr>
          <w:ilvl w:val="0"/>
          <w:numId w:val="7"/>
        </w:numPr>
        <w:kinsoku/>
        <w:wordWrap/>
        <w:overflowPunct/>
        <w:topLinePunct w:val="0"/>
        <w:autoSpaceDE/>
        <w:autoSpaceDN/>
        <w:bidi w:val="0"/>
        <w:spacing w:line="400" w:lineRule="exact"/>
        <w:ind w:left="0" w:leftChars="0" w:firstLine="638" w:firstLineChars="26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软件支持</w:t>
      </w:r>
      <w:r>
        <w:rPr>
          <w:rFonts w:hint="eastAsia" w:ascii="仿宋" w:hAnsi="仿宋" w:eastAsia="仿宋" w:cs="仿宋"/>
          <w:color w:val="auto"/>
          <w:sz w:val="24"/>
          <w:szCs w:val="24"/>
          <w:highlight w:val="none"/>
        </w:rPr>
        <w:t>通过鼠标点击能够实时显示具体高度、时间、数值、当前地理位置等信息。</w:t>
      </w:r>
    </w:p>
    <w:p w14:paraId="28475FC3">
      <w:pPr>
        <w:pageBreakBefore w:val="0"/>
        <w:numPr>
          <w:ilvl w:val="0"/>
          <w:numId w:val="7"/>
        </w:numPr>
        <w:kinsoku/>
        <w:wordWrap/>
        <w:overflowPunct/>
        <w:topLinePunct w:val="0"/>
        <w:autoSpaceDE/>
        <w:autoSpaceDN/>
        <w:bidi w:val="0"/>
        <w:spacing w:line="400" w:lineRule="exact"/>
        <w:ind w:left="0" w:leftChars="0" w:firstLine="638" w:firstLineChars="26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水平扫描数据地图可以显示地理位置信息，显示国控点、省控点、污染源信息，图谱能够看加距离信息。（</w:t>
      </w:r>
      <w:r>
        <w:rPr>
          <w:rFonts w:hint="eastAsia" w:ascii="仿宋" w:hAnsi="仿宋" w:eastAsia="仿宋" w:cs="仿宋"/>
          <w:color w:val="auto"/>
          <w:sz w:val="24"/>
          <w:szCs w:val="24"/>
          <w:highlight w:val="none"/>
          <w:lang w:eastAsia="zh-CN"/>
        </w:rPr>
        <w:t>提供CMA或CNAS机构出具的检测报告并加盖公章</w:t>
      </w:r>
      <w:r>
        <w:rPr>
          <w:rFonts w:hint="eastAsia" w:ascii="仿宋" w:hAnsi="仿宋" w:eastAsia="仿宋" w:cs="仿宋"/>
          <w:color w:val="auto"/>
          <w:sz w:val="24"/>
          <w:szCs w:val="24"/>
          <w:highlight w:val="none"/>
        </w:rPr>
        <w:t>）</w:t>
      </w:r>
    </w:p>
    <w:p w14:paraId="4188AD45">
      <w:pPr>
        <w:pageBreakBefore w:val="0"/>
        <w:numPr>
          <w:ilvl w:val="0"/>
          <w:numId w:val="7"/>
        </w:numPr>
        <w:kinsoku/>
        <w:wordWrap/>
        <w:overflowPunct/>
        <w:topLinePunct w:val="0"/>
        <w:autoSpaceDE/>
        <w:autoSpaceDN/>
        <w:bidi w:val="0"/>
        <w:spacing w:line="400" w:lineRule="exact"/>
        <w:ind w:left="0" w:leftChars="0" w:firstLine="638" w:firstLineChars="26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绝缘电阻：</w:t>
      </w:r>
      <w:r>
        <w:rPr>
          <w:rFonts w:hint="eastAsia" w:ascii="仿宋" w:hAnsi="仿宋" w:eastAsia="仿宋" w:cs="仿宋"/>
          <w:color w:val="auto"/>
          <w:sz w:val="24"/>
          <w:szCs w:val="24"/>
          <w:highlight w:val="none"/>
        </w:rPr>
        <w:t>激光雷达输入端与机壳金属部分间的绝缘电阻不小于 20M</w:t>
      </w:r>
      <w:r>
        <w:rPr>
          <w:rFonts w:hint="eastAsia" w:ascii="仿宋" w:hAnsi="仿宋" w:eastAsia="仿宋" w:cs="仿宋"/>
          <w:color w:val="auto"/>
          <w:sz w:val="24"/>
          <w:szCs w:val="24"/>
          <w:highlight w:val="none"/>
          <w:lang w:val="en-US" w:eastAsia="zh-CN"/>
        </w:rPr>
        <w:t>Ω</w:t>
      </w:r>
      <w:r>
        <w:rPr>
          <w:rFonts w:hint="eastAsia" w:ascii="仿宋" w:hAnsi="仿宋" w:eastAsia="仿宋" w:cs="仿宋"/>
          <w:color w:val="auto"/>
          <w:sz w:val="24"/>
          <w:szCs w:val="24"/>
          <w:highlight w:val="none"/>
        </w:rPr>
        <w:t>。</w:t>
      </w:r>
    </w:p>
    <w:p w14:paraId="51477D05">
      <w:pPr>
        <w:pageBreakBefore w:val="0"/>
        <w:numPr>
          <w:ilvl w:val="0"/>
          <w:numId w:val="7"/>
        </w:numPr>
        <w:kinsoku/>
        <w:wordWrap/>
        <w:overflowPunct/>
        <w:topLinePunct w:val="0"/>
        <w:autoSpaceDE/>
        <w:autoSpaceDN/>
        <w:bidi w:val="0"/>
        <w:spacing w:line="400" w:lineRule="exact"/>
        <w:ind w:left="0" w:leftChars="0" w:firstLine="638" w:firstLineChars="266"/>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抗电强度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激光雷达电源插头与壳体之间施加50Hz、1500V正弦波交流电压，持续1min试验，应无击穿或闪络现象。（</w:t>
      </w:r>
      <w:r>
        <w:rPr>
          <w:rFonts w:hint="eastAsia" w:ascii="仿宋" w:hAnsi="仿宋" w:eastAsia="仿宋" w:cs="仿宋"/>
          <w:color w:val="auto"/>
          <w:sz w:val="24"/>
          <w:szCs w:val="24"/>
          <w:highlight w:val="none"/>
          <w:lang w:eastAsia="zh-CN"/>
        </w:rPr>
        <w:t>提供CMA或CNAS机构出具的检测报告并加盖公章</w:t>
      </w:r>
      <w:r>
        <w:rPr>
          <w:rFonts w:hint="eastAsia" w:ascii="仿宋" w:hAnsi="仿宋" w:eastAsia="仿宋" w:cs="仿宋"/>
          <w:color w:val="auto"/>
          <w:sz w:val="24"/>
          <w:szCs w:val="24"/>
          <w:highlight w:val="none"/>
        </w:rPr>
        <w:t>）</w:t>
      </w:r>
    </w:p>
    <w:p w14:paraId="39A4BC9F">
      <w:pPr>
        <w:pageBreakBefore w:val="0"/>
        <w:numPr>
          <w:ilvl w:val="0"/>
          <w:numId w:val="7"/>
        </w:numPr>
        <w:kinsoku/>
        <w:wordWrap/>
        <w:overflowPunct/>
        <w:topLinePunct w:val="0"/>
        <w:autoSpaceDE/>
        <w:autoSpaceDN/>
        <w:bidi w:val="0"/>
        <w:spacing w:line="400" w:lineRule="exact"/>
        <w:ind w:left="0" w:leftChars="0" w:firstLine="638" w:firstLineChars="266"/>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default" w:ascii="仿宋" w:hAnsi="仿宋" w:eastAsia="仿宋" w:cs="仿宋"/>
          <w:color w:val="auto"/>
          <w:sz w:val="24"/>
          <w:szCs w:val="24"/>
          <w:highlight w:val="none"/>
          <w:lang w:val="en-US" w:eastAsia="zh-CN"/>
        </w:rPr>
        <w:t>机械防护外壳</w:t>
      </w:r>
      <w:r>
        <w:rPr>
          <w:rFonts w:hint="eastAsia" w:ascii="仿宋" w:hAnsi="仿宋" w:eastAsia="仿宋" w:cs="仿宋"/>
          <w:color w:val="auto"/>
          <w:sz w:val="24"/>
          <w:szCs w:val="24"/>
          <w:highlight w:val="none"/>
          <w:lang w:val="en-US" w:eastAsia="zh-CN"/>
        </w:rPr>
        <w:t>：激光雷达外壳应当具有足够的机械强度。对设备外壳施加 250N的恒定作用力，时间5s，外壳不应损坏</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提供CMA或CNAS机构出具的检测报告并加盖公章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w:t>
      </w:r>
    </w:p>
    <w:p w14:paraId="75F07ED3">
      <w:pPr>
        <w:pageBreakBefore w:val="0"/>
        <w:numPr>
          <w:ilvl w:val="0"/>
          <w:numId w:val="7"/>
        </w:numPr>
        <w:kinsoku/>
        <w:wordWrap/>
        <w:overflowPunct/>
        <w:topLinePunct w:val="0"/>
        <w:autoSpaceDE/>
        <w:autoSpaceDN/>
        <w:bidi w:val="0"/>
        <w:spacing w:line="400" w:lineRule="exact"/>
        <w:ind w:left="0" w:leftChars="0" w:firstLine="638" w:firstLineChars="266"/>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kg。</w:t>
      </w:r>
    </w:p>
    <w:p w14:paraId="47202966">
      <w:pPr>
        <w:pStyle w:val="2"/>
        <w:rPr>
          <w:rFonts w:hint="eastAsia"/>
          <w:color w:val="auto"/>
          <w:highlight w:val="none"/>
        </w:rPr>
      </w:pPr>
    </w:p>
    <w:p w14:paraId="2D870F0F">
      <w:pPr>
        <w:pageBreakBefore w:val="0"/>
        <w:kinsoku/>
        <w:wordWrap/>
        <w:overflowPunct/>
        <w:topLinePunct w:val="0"/>
        <w:autoSpaceDE/>
        <w:autoSpaceDN/>
        <w:bidi w:val="0"/>
        <w:spacing w:line="400" w:lineRule="exact"/>
        <w:ind w:firstLine="643"/>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（三）</w:t>
      </w:r>
      <w:r>
        <w:rPr>
          <w:rFonts w:hint="eastAsia" w:ascii="仿宋" w:hAnsi="仿宋" w:eastAsia="仿宋" w:cs="仿宋"/>
          <w:b/>
          <w:bCs/>
          <w:color w:val="auto"/>
          <w:sz w:val="24"/>
          <w:szCs w:val="24"/>
          <w:highlight w:val="none"/>
        </w:rPr>
        <w:t>其他必要的仪器设备</w:t>
      </w:r>
    </w:p>
    <w:p w14:paraId="4C3849C5">
      <w:pPr>
        <w:pageBreakBefore w:val="0"/>
        <w:kinsoku/>
        <w:wordWrap/>
        <w:overflowPunct/>
        <w:topLinePunct w:val="0"/>
        <w:autoSpaceDE/>
        <w:autoSpaceDN/>
        <w:bidi w:val="0"/>
        <w:spacing w:line="400" w:lineRule="exact"/>
        <w:ind w:firstLine="6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针对环境空气质量波动及检测的便捷性，投标人需要配备便携式VOCs监测仪（PID及FID）、便携式PM</w:t>
      </w:r>
      <w:r>
        <w:rPr>
          <w:rFonts w:hint="eastAsia" w:ascii="仿宋" w:hAnsi="仿宋" w:eastAsia="仿宋" w:cs="仿宋"/>
          <w:color w:val="auto"/>
          <w:sz w:val="24"/>
          <w:szCs w:val="24"/>
          <w:highlight w:val="none"/>
          <w:vertAlign w:val="subscript"/>
        </w:rPr>
        <w:t>2.5</w:t>
      </w:r>
      <w:r>
        <w:rPr>
          <w:rFonts w:hint="eastAsia" w:ascii="仿宋" w:hAnsi="仿宋" w:eastAsia="仿宋" w:cs="仿宋"/>
          <w:color w:val="auto"/>
          <w:sz w:val="24"/>
          <w:szCs w:val="24"/>
          <w:highlight w:val="none"/>
        </w:rPr>
        <w:t>监测仪、便携式PM</w:t>
      </w:r>
      <w:r>
        <w:rPr>
          <w:rFonts w:hint="eastAsia" w:ascii="仿宋" w:hAnsi="仿宋" w:eastAsia="仿宋" w:cs="仿宋"/>
          <w:color w:val="auto"/>
          <w:sz w:val="24"/>
          <w:szCs w:val="24"/>
          <w:highlight w:val="none"/>
          <w:vertAlign w:val="subscript"/>
        </w:rPr>
        <w:t>10</w:t>
      </w:r>
      <w:r>
        <w:rPr>
          <w:rFonts w:hint="eastAsia" w:ascii="仿宋" w:hAnsi="仿宋" w:eastAsia="仿宋" w:cs="仿宋"/>
          <w:color w:val="auto"/>
          <w:sz w:val="24"/>
          <w:szCs w:val="24"/>
          <w:highlight w:val="none"/>
        </w:rPr>
        <w:t>监测仪、便携式TSP监测仪、低空移动多参数走航监测设备（SO</w:t>
      </w:r>
      <w:r>
        <w:rPr>
          <w:rFonts w:hint="eastAsia" w:ascii="仿宋" w:hAnsi="仿宋" w:eastAsia="仿宋" w:cs="仿宋"/>
          <w:color w:val="auto"/>
          <w:sz w:val="24"/>
          <w:szCs w:val="24"/>
          <w:highlight w:val="none"/>
          <w:vertAlign w:val="subscript"/>
        </w:rPr>
        <w:t>2</w:t>
      </w:r>
      <w:r>
        <w:rPr>
          <w:rFonts w:hint="eastAsia" w:ascii="仿宋" w:hAnsi="仿宋" w:eastAsia="仿宋" w:cs="仿宋"/>
          <w:color w:val="auto"/>
          <w:sz w:val="24"/>
          <w:szCs w:val="24"/>
          <w:highlight w:val="none"/>
        </w:rPr>
        <w:t>、颗粒物、O</w:t>
      </w:r>
      <w:r>
        <w:rPr>
          <w:rFonts w:hint="eastAsia" w:ascii="仿宋" w:hAnsi="仿宋" w:eastAsia="仿宋" w:cs="仿宋"/>
          <w:color w:val="auto"/>
          <w:sz w:val="24"/>
          <w:szCs w:val="24"/>
          <w:highlight w:val="none"/>
          <w:vertAlign w:val="subscript"/>
        </w:rPr>
        <w:t>3</w:t>
      </w:r>
      <w:r>
        <w:rPr>
          <w:rFonts w:hint="eastAsia" w:ascii="仿宋" w:hAnsi="仿宋" w:eastAsia="仿宋" w:cs="仿宋"/>
          <w:color w:val="auto"/>
          <w:sz w:val="24"/>
          <w:szCs w:val="24"/>
          <w:highlight w:val="none"/>
        </w:rPr>
        <w:t>+NO</w:t>
      </w:r>
      <w:r>
        <w:rPr>
          <w:rFonts w:hint="eastAsia" w:ascii="仿宋" w:hAnsi="仿宋" w:eastAsia="仿宋" w:cs="仿宋"/>
          <w:color w:val="auto"/>
          <w:sz w:val="24"/>
          <w:szCs w:val="24"/>
          <w:highlight w:val="none"/>
          <w:vertAlign w:val="subscript"/>
        </w:rPr>
        <w:t>2</w:t>
      </w:r>
      <w:r>
        <w:rPr>
          <w:rFonts w:hint="eastAsia" w:ascii="仿宋" w:hAnsi="仿宋" w:eastAsia="仿宋" w:cs="仿宋"/>
          <w:color w:val="auto"/>
          <w:sz w:val="24"/>
          <w:szCs w:val="24"/>
          <w:highlight w:val="none"/>
        </w:rPr>
        <w:t>、VOCs）及巡查无人机等，以确保项目保质保量实施。仪器设备技术参数见下表：</w:t>
      </w:r>
    </w:p>
    <w:tbl>
      <w:tblPr>
        <w:tblStyle w:val="23"/>
        <w:tblW w:w="8735" w:type="dxa"/>
        <w:tblInd w:w="0" w:type="dxa"/>
        <w:tblLayout w:type="fixed"/>
        <w:tblCellMar>
          <w:top w:w="0" w:type="dxa"/>
          <w:left w:w="108" w:type="dxa"/>
          <w:bottom w:w="0" w:type="dxa"/>
          <w:right w:w="108" w:type="dxa"/>
        </w:tblCellMar>
      </w:tblPr>
      <w:tblGrid>
        <w:gridCol w:w="1835"/>
        <w:gridCol w:w="6900"/>
      </w:tblGrid>
      <w:tr w14:paraId="4408D690">
        <w:tblPrEx>
          <w:tblCellMar>
            <w:top w:w="0" w:type="dxa"/>
            <w:left w:w="108" w:type="dxa"/>
            <w:bottom w:w="0" w:type="dxa"/>
            <w:right w:w="108" w:type="dxa"/>
          </w:tblCellMar>
        </w:tblPrEx>
        <w:trPr>
          <w:tblHeader/>
        </w:trPr>
        <w:tc>
          <w:tcPr>
            <w:tcW w:w="1835" w:type="dxa"/>
            <w:tcBorders>
              <w:top w:val="single" w:color="auto" w:sz="4" w:space="0"/>
              <w:left w:val="single" w:color="auto" w:sz="4" w:space="0"/>
              <w:bottom w:val="single" w:color="auto" w:sz="4" w:space="0"/>
              <w:right w:val="single" w:color="auto" w:sz="4" w:space="0"/>
            </w:tcBorders>
            <w:noWrap w:val="0"/>
            <w:vAlign w:val="center"/>
          </w:tcPr>
          <w:p w14:paraId="7C9B5CDF">
            <w:pPr>
              <w:pageBreakBefore w:val="0"/>
              <w:widowControl/>
              <w:kinsoku/>
              <w:wordWrap/>
              <w:overflowPunct/>
              <w:topLinePunct w:val="0"/>
              <w:autoSpaceDE/>
              <w:autoSpaceDN/>
              <w:bidi w:val="0"/>
              <w:adjustRightInd w:val="0"/>
              <w:snapToGrid w:val="0"/>
              <w:spacing w:line="400" w:lineRule="exact"/>
              <w:ind w:firstLine="0" w:firstLine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设备名称</w:t>
            </w:r>
          </w:p>
        </w:tc>
        <w:tc>
          <w:tcPr>
            <w:tcW w:w="6900" w:type="dxa"/>
            <w:tcBorders>
              <w:top w:val="single" w:color="auto" w:sz="4" w:space="0"/>
              <w:left w:val="nil"/>
              <w:bottom w:val="single" w:color="auto" w:sz="4" w:space="0"/>
              <w:right w:val="single" w:color="auto" w:sz="4" w:space="0"/>
            </w:tcBorders>
            <w:noWrap w:val="0"/>
            <w:vAlign w:val="center"/>
          </w:tcPr>
          <w:p w14:paraId="0DE0DBAE">
            <w:pPr>
              <w:pageBreakBefore w:val="0"/>
              <w:widowControl/>
              <w:kinsoku/>
              <w:wordWrap/>
              <w:overflowPunct/>
              <w:topLinePunct w:val="0"/>
              <w:autoSpaceDE/>
              <w:autoSpaceDN/>
              <w:bidi w:val="0"/>
              <w:adjustRightInd w:val="0"/>
              <w:snapToGrid w:val="0"/>
              <w:spacing w:line="400" w:lineRule="exact"/>
              <w:ind w:firstLine="562"/>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技术参数、性能、配置等要求</w:t>
            </w:r>
          </w:p>
        </w:tc>
      </w:tr>
      <w:tr w14:paraId="3649DC8A">
        <w:tblPrEx>
          <w:tblCellMar>
            <w:top w:w="0" w:type="dxa"/>
            <w:left w:w="108" w:type="dxa"/>
            <w:bottom w:w="0" w:type="dxa"/>
            <w:right w:w="108" w:type="dxa"/>
          </w:tblCellMar>
        </w:tblPrEx>
        <w:tc>
          <w:tcPr>
            <w:tcW w:w="1835" w:type="dxa"/>
            <w:tcBorders>
              <w:top w:val="nil"/>
              <w:left w:val="single" w:color="auto" w:sz="4" w:space="0"/>
              <w:bottom w:val="single" w:color="auto" w:sz="4" w:space="0"/>
              <w:right w:val="single" w:color="auto" w:sz="4" w:space="0"/>
            </w:tcBorders>
            <w:noWrap w:val="0"/>
            <w:vAlign w:val="center"/>
          </w:tcPr>
          <w:p w14:paraId="39CD3830">
            <w:pPr>
              <w:pageBreakBefore w:val="0"/>
              <w:widowControl/>
              <w:kinsoku/>
              <w:wordWrap/>
              <w:overflowPunct/>
              <w:topLinePunct w:val="0"/>
              <w:autoSpaceDE/>
              <w:autoSpaceDN/>
              <w:bidi w:val="0"/>
              <w:adjustRightInd w:val="0"/>
              <w:snapToGrid w:val="0"/>
              <w:spacing w:line="400" w:lineRule="exact"/>
              <w:ind w:firstLine="0" w:firstLineChars="0"/>
              <w:jc w:val="left"/>
              <w:textAlignment w:val="auto"/>
              <w:rPr>
                <w:rFonts w:hint="eastAsia" w:ascii="仿宋" w:hAnsi="仿宋" w:eastAsia="仿宋" w:cs="仿宋"/>
                <w:color w:val="auto"/>
                <w:sz w:val="24"/>
                <w:szCs w:val="24"/>
                <w:highlight w:val="none"/>
              </w:rPr>
            </w:pPr>
          </w:p>
          <w:p w14:paraId="4EE8AB8A">
            <w:pPr>
              <w:pageBreakBefore w:val="0"/>
              <w:widowControl/>
              <w:kinsoku/>
              <w:wordWrap/>
              <w:overflowPunct/>
              <w:topLinePunct w:val="0"/>
              <w:autoSpaceDE/>
              <w:autoSpaceDN/>
              <w:bidi w:val="0"/>
              <w:adjustRightInd w:val="0"/>
              <w:snapToGrid w:val="0"/>
              <w:spacing w:line="400" w:lineRule="exact"/>
              <w:ind w:firstLine="0" w:firstLineChars="0"/>
              <w:jc w:val="left"/>
              <w:textAlignment w:val="auto"/>
              <w:rPr>
                <w:rFonts w:hint="eastAsia" w:ascii="仿宋" w:hAnsi="仿宋" w:eastAsia="仿宋" w:cs="仿宋"/>
                <w:color w:val="auto"/>
                <w:kern w:val="24"/>
                <w:sz w:val="24"/>
                <w:szCs w:val="24"/>
                <w:highlight w:val="none"/>
              </w:rPr>
            </w:pPr>
            <w:r>
              <w:rPr>
                <w:rFonts w:hint="eastAsia" w:ascii="仿宋" w:hAnsi="仿宋" w:eastAsia="仿宋" w:cs="仿宋"/>
                <w:color w:val="auto"/>
                <w:sz w:val="24"/>
                <w:szCs w:val="24"/>
                <w:highlight w:val="none"/>
              </w:rPr>
              <w:t>便携式VOCs监测仪（PID）</w:t>
            </w:r>
          </w:p>
        </w:tc>
        <w:tc>
          <w:tcPr>
            <w:tcW w:w="6900" w:type="dxa"/>
            <w:tcBorders>
              <w:top w:val="nil"/>
              <w:left w:val="nil"/>
              <w:bottom w:val="single" w:color="auto" w:sz="4" w:space="0"/>
              <w:right w:val="single" w:color="auto" w:sz="4" w:space="0"/>
            </w:tcBorders>
            <w:noWrap w:val="0"/>
            <w:vAlign w:val="center"/>
          </w:tcPr>
          <w:p w14:paraId="7E178B03">
            <w:pPr>
              <w:pageBreakBefore w:val="0"/>
              <w:kinsoku/>
              <w:wordWrap/>
              <w:overflowPunct/>
              <w:topLinePunct w:val="0"/>
              <w:autoSpaceDE/>
              <w:autoSpaceDN/>
              <w:bidi w:val="0"/>
              <w:adjustRightInd w:val="0"/>
              <w:snapToGrid w:val="0"/>
              <w:spacing w:line="400" w:lineRule="exact"/>
              <w:ind w:left="0" w:leftChars="0" w:firstLine="2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测量范围：0.5 ppm～5000 ppm</w:t>
            </w:r>
          </w:p>
          <w:p w14:paraId="5787BBCE">
            <w:pPr>
              <w:pageBreakBefore w:val="0"/>
              <w:kinsoku/>
              <w:wordWrap/>
              <w:overflowPunct/>
              <w:topLinePunct w:val="0"/>
              <w:autoSpaceDE/>
              <w:autoSpaceDN/>
              <w:bidi w:val="0"/>
              <w:adjustRightInd w:val="0"/>
              <w:snapToGrid w:val="0"/>
              <w:spacing w:line="400" w:lineRule="exact"/>
              <w:ind w:left="0" w:leftChars="0" w:firstLine="2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分辨率：0.5 ppm</w:t>
            </w:r>
          </w:p>
          <w:p w14:paraId="408CE9BA">
            <w:pPr>
              <w:pageBreakBefore w:val="0"/>
              <w:kinsoku/>
              <w:wordWrap/>
              <w:overflowPunct/>
              <w:topLinePunct w:val="0"/>
              <w:autoSpaceDE/>
              <w:autoSpaceDN/>
              <w:bidi w:val="0"/>
              <w:adjustRightInd w:val="0"/>
              <w:snapToGrid w:val="0"/>
              <w:spacing w:line="400" w:lineRule="exact"/>
              <w:ind w:left="0" w:leftChars="0" w:firstLine="2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响应时间：（T90）2s</w:t>
            </w:r>
          </w:p>
          <w:p w14:paraId="63E3379D">
            <w:pPr>
              <w:pageBreakBefore w:val="0"/>
              <w:kinsoku/>
              <w:wordWrap/>
              <w:overflowPunct/>
              <w:topLinePunct w:val="0"/>
              <w:autoSpaceDE/>
              <w:autoSpaceDN/>
              <w:bidi w:val="0"/>
              <w:adjustRightInd w:val="0"/>
              <w:snapToGrid w:val="0"/>
              <w:spacing w:line="400" w:lineRule="exact"/>
              <w:ind w:left="0" w:leftChars="0" w:firstLine="2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检测精度：10~2000 ppm异丁烯标定点的±5%</w:t>
            </w:r>
          </w:p>
        </w:tc>
      </w:tr>
      <w:tr w14:paraId="5FA6A8B6">
        <w:tblPrEx>
          <w:tblCellMar>
            <w:top w:w="0" w:type="dxa"/>
            <w:left w:w="108" w:type="dxa"/>
            <w:bottom w:w="0" w:type="dxa"/>
            <w:right w:w="108" w:type="dxa"/>
          </w:tblCellMar>
        </w:tblPrEx>
        <w:tc>
          <w:tcPr>
            <w:tcW w:w="1835" w:type="dxa"/>
            <w:tcBorders>
              <w:top w:val="nil"/>
              <w:left w:val="single" w:color="auto" w:sz="4" w:space="0"/>
              <w:bottom w:val="single" w:color="auto" w:sz="4" w:space="0"/>
              <w:right w:val="single" w:color="auto" w:sz="4" w:space="0"/>
            </w:tcBorders>
            <w:noWrap w:val="0"/>
            <w:vAlign w:val="center"/>
          </w:tcPr>
          <w:p w14:paraId="645F8556">
            <w:pPr>
              <w:pageBreakBefore w:val="0"/>
              <w:widowControl/>
              <w:kinsoku/>
              <w:wordWrap/>
              <w:overflowPunct/>
              <w:topLinePunct w:val="0"/>
              <w:autoSpaceDE/>
              <w:autoSpaceDN/>
              <w:bidi w:val="0"/>
              <w:adjustRightInd w:val="0"/>
              <w:snapToGrid w:val="0"/>
              <w:spacing w:line="400" w:lineRule="exact"/>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便携式VOCs监测仪（FID）</w:t>
            </w:r>
          </w:p>
        </w:tc>
        <w:tc>
          <w:tcPr>
            <w:tcW w:w="6900" w:type="dxa"/>
            <w:tcBorders>
              <w:top w:val="nil"/>
              <w:left w:val="nil"/>
              <w:bottom w:val="single" w:color="auto" w:sz="4" w:space="0"/>
              <w:right w:val="single" w:color="auto" w:sz="4" w:space="0"/>
            </w:tcBorders>
            <w:noWrap w:val="0"/>
            <w:vAlign w:val="center"/>
          </w:tcPr>
          <w:p w14:paraId="0E555DA0">
            <w:pPr>
              <w:pageBreakBefore w:val="0"/>
              <w:kinsoku/>
              <w:wordWrap/>
              <w:overflowPunct/>
              <w:topLinePunct w:val="0"/>
              <w:autoSpaceDE/>
              <w:autoSpaceDN/>
              <w:bidi w:val="0"/>
              <w:adjustRightInd w:val="0"/>
              <w:snapToGrid w:val="0"/>
              <w:spacing w:line="400" w:lineRule="exact"/>
              <w:ind w:left="0" w:leftChars="0" w:firstLine="2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重复性：RSD≤2%</w:t>
            </w:r>
          </w:p>
          <w:p w14:paraId="616403C9">
            <w:pPr>
              <w:pageBreakBefore w:val="0"/>
              <w:kinsoku/>
              <w:wordWrap/>
              <w:overflowPunct/>
              <w:topLinePunct w:val="0"/>
              <w:autoSpaceDE/>
              <w:autoSpaceDN/>
              <w:bidi w:val="0"/>
              <w:adjustRightInd w:val="0"/>
              <w:snapToGrid w:val="0"/>
              <w:spacing w:line="400" w:lineRule="exact"/>
              <w:ind w:left="0" w:leftChars="0" w:firstLine="2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测量范围：0~20000ppm</w:t>
            </w:r>
          </w:p>
          <w:p w14:paraId="0BEDF3C7">
            <w:pPr>
              <w:pageBreakBefore w:val="0"/>
              <w:kinsoku/>
              <w:wordWrap/>
              <w:overflowPunct/>
              <w:topLinePunct w:val="0"/>
              <w:autoSpaceDE/>
              <w:autoSpaceDN/>
              <w:bidi w:val="0"/>
              <w:adjustRightInd w:val="0"/>
              <w:snapToGrid w:val="0"/>
              <w:spacing w:line="400" w:lineRule="exact"/>
              <w:ind w:left="0" w:leftChars="0" w:firstLine="2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分析周期：≤2min</w:t>
            </w:r>
          </w:p>
        </w:tc>
      </w:tr>
      <w:tr w14:paraId="0A961024">
        <w:tblPrEx>
          <w:tblCellMar>
            <w:top w:w="0" w:type="dxa"/>
            <w:left w:w="108" w:type="dxa"/>
            <w:bottom w:w="0" w:type="dxa"/>
            <w:right w:w="108" w:type="dxa"/>
          </w:tblCellMar>
        </w:tblPrEx>
        <w:tc>
          <w:tcPr>
            <w:tcW w:w="1835" w:type="dxa"/>
            <w:tcBorders>
              <w:top w:val="nil"/>
              <w:left w:val="single" w:color="auto" w:sz="4" w:space="0"/>
              <w:bottom w:val="single" w:color="auto" w:sz="4" w:space="0"/>
              <w:right w:val="single" w:color="auto" w:sz="4" w:space="0"/>
            </w:tcBorders>
            <w:noWrap w:val="0"/>
            <w:vAlign w:val="center"/>
          </w:tcPr>
          <w:p w14:paraId="3EE02E3B">
            <w:pPr>
              <w:pageBreakBefore w:val="0"/>
              <w:widowControl/>
              <w:kinsoku/>
              <w:wordWrap/>
              <w:overflowPunct/>
              <w:topLinePunct w:val="0"/>
              <w:autoSpaceDE/>
              <w:autoSpaceDN/>
              <w:bidi w:val="0"/>
              <w:adjustRightInd w:val="0"/>
              <w:snapToGrid w:val="0"/>
              <w:spacing w:line="400" w:lineRule="exact"/>
              <w:ind w:firstLine="560"/>
              <w:jc w:val="left"/>
              <w:textAlignment w:val="auto"/>
              <w:rPr>
                <w:rFonts w:hint="eastAsia" w:ascii="仿宋" w:hAnsi="仿宋" w:eastAsia="仿宋" w:cs="仿宋"/>
                <w:color w:val="auto"/>
                <w:sz w:val="24"/>
                <w:szCs w:val="24"/>
                <w:highlight w:val="none"/>
              </w:rPr>
            </w:pPr>
          </w:p>
          <w:p w14:paraId="347277EE">
            <w:pPr>
              <w:pageBreakBefore w:val="0"/>
              <w:widowControl/>
              <w:kinsoku/>
              <w:wordWrap/>
              <w:overflowPunct/>
              <w:topLinePunct w:val="0"/>
              <w:autoSpaceDE/>
              <w:autoSpaceDN/>
              <w:bidi w:val="0"/>
              <w:adjustRightInd w:val="0"/>
              <w:snapToGrid w:val="0"/>
              <w:spacing w:line="400" w:lineRule="exact"/>
              <w:ind w:firstLine="0" w:firstLineChars="0"/>
              <w:jc w:val="left"/>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便携式PM</w:t>
            </w:r>
            <w:r>
              <w:rPr>
                <w:rFonts w:hint="eastAsia" w:ascii="仿宋" w:hAnsi="仿宋" w:eastAsia="仿宋" w:cs="仿宋"/>
                <w:color w:val="auto"/>
                <w:sz w:val="24"/>
                <w:szCs w:val="24"/>
                <w:highlight w:val="none"/>
                <w:vertAlign w:val="subscript"/>
              </w:rPr>
              <w:t>2.5</w:t>
            </w:r>
            <w:r>
              <w:rPr>
                <w:rFonts w:hint="eastAsia" w:ascii="仿宋" w:hAnsi="仿宋" w:eastAsia="仿宋" w:cs="仿宋"/>
                <w:color w:val="auto"/>
                <w:sz w:val="24"/>
                <w:szCs w:val="24"/>
                <w:highlight w:val="none"/>
              </w:rPr>
              <w:t>监测仪</w:t>
            </w:r>
          </w:p>
        </w:tc>
        <w:tc>
          <w:tcPr>
            <w:tcW w:w="6900" w:type="dxa"/>
            <w:tcBorders>
              <w:top w:val="nil"/>
              <w:left w:val="nil"/>
              <w:bottom w:val="single" w:color="auto" w:sz="4" w:space="0"/>
              <w:right w:val="single" w:color="auto" w:sz="4" w:space="0"/>
            </w:tcBorders>
            <w:noWrap w:val="0"/>
            <w:vAlign w:val="center"/>
          </w:tcPr>
          <w:p w14:paraId="4428AA99">
            <w:pPr>
              <w:pageBreakBefore w:val="0"/>
              <w:kinsoku/>
              <w:wordWrap/>
              <w:overflowPunct/>
              <w:topLinePunct w:val="0"/>
              <w:autoSpaceDE/>
              <w:autoSpaceDN/>
              <w:bidi w:val="0"/>
              <w:snapToGrid w:val="0"/>
              <w:spacing w:line="400" w:lineRule="exact"/>
              <w:ind w:left="0" w:leftChars="0" w:firstLine="2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测量范围：0~1000ug/m</w:t>
            </w:r>
            <w:r>
              <w:rPr>
                <w:rFonts w:hint="eastAsia" w:ascii="仿宋" w:hAnsi="仿宋" w:eastAsia="仿宋" w:cs="仿宋"/>
                <w:color w:val="auto"/>
                <w:sz w:val="24"/>
                <w:szCs w:val="24"/>
                <w:highlight w:val="none"/>
                <w:vertAlign w:val="superscript"/>
              </w:rPr>
              <w:t>3</w:t>
            </w:r>
          </w:p>
          <w:p w14:paraId="7D3B9A10">
            <w:pPr>
              <w:pageBreakBefore w:val="0"/>
              <w:kinsoku/>
              <w:wordWrap/>
              <w:overflowPunct/>
              <w:topLinePunct w:val="0"/>
              <w:autoSpaceDE/>
              <w:autoSpaceDN/>
              <w:bidi w:val="0"/>
              <w:adjustRightInd w:val="0"/>
              <w:snapToGrid w:val="0"/>
              <w:spacing w:line="400" w:lineRule="exact"/>
              <w:ind w:left="0" w:leftChars="0" w:firstLine="2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理论分辨率：1μg/m</w:t>
            </w:r>
            <w:r>
              <w:rPr>
                <w:rFonts w:hint="eastAsia" w:ascii="仿宋" w:hAnsi="仿宋" w:eastAsia="仿宋" w:cs="仿宋"/>
                <w:color w:val="auto"/>
                <w:sz w:val="24"/>
                <w:szCs w:val="24"/>
                <w:highlight w:val="none"/>
                <w:vertAlign w:val="superscript"/>
              </w:rPr>
              <w:t>3</w:t>
            </w:r>
          </w:p>
          <w:p w14:paraId="2FF3ED64">
            <w:pPr>
              <w:pageBreakBefore w:val="0"/>
              <w:kinsoku/>
              <w:wordWrap/>
              <w:overflowPunct/>
              <w:topLinePunct w:val="0"/>
              <w:autoSpaceDE/>
              <w:autoSpaceDN/>
              <w:bidi w:val="0"/>
              <w:snapToGrid w:val="0"/>
              <w:spacing w:line="400" w:lineRule="exact"/>
              <w:ind w:left="0" w:leftChars="0" w:firstLine="2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响应时间：&lt;10s</w:t>
            </w:r>
          </w:p>
          <w:p w14:paraId="4B93EFFA">
            <w:pPr>
              <w:pageBreakBefore w:val="0"/>
              <w:kinsoku/>
              <w:wordWrap/>
              <w:overflowPunct/>
              <w:topLinePunct w:val="0"/>
              <w:autoSpaceDE/>
              <w:autoSpaceDN/>
              <w:bidi w:val="0"/>
              <w:snapToGrid w:val="0"/>
              <w:spacing w:line="400" w:lineRule="exact"/>
              <w:ind w:left="0" w:leftChars="0" w:firstLine="2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检测 PM</w:t>
            </w:r>
            <w:r>
              <w:rPr>
                <w:rFonts w:hint="eastAsia" w:ascii="仿宋" w:hAnsi="仿宋" w:eastAsia="仿宋" w:cs="仿宋"/>
                <w:color w:val="auto"/>
                <w:sz w:val="24"/>
                <w:szCs w:val="24"/>
                <w:highlight w:val="none"/>
                <w:vertAlign w:val="subscript"/>
              </w:rPr>
              <w:t>2.5</w:t>
            </w:r>
            <w:r>
              <w:rPr>
                <w:rFonts w:hint="eastAsia" w:ascii="仿宋" w:hAnsi="仿宋" w:eastAsia="仿宋" w:cs="仿宋"/>
                <w:color w:val="auto"/>
                <w:sz w:val="24"/>
                <w:szCs w:val="24"/>
                <w:highlight w:val="none"/>
              </w:rPr>
              <w:t>（粒径0.3~2.5μm）</w:t>
            </w:r>
          </w:p>
        </w:tc>
      </w:tr>
      <w:tr w14:paraId="718CE8F1">
        <w:tblPrEx>
          <w:tblCellMar>
            <w:top w:w="0" w:type="dxa"/>
            <w:left w:w="108" w:type="dxa"/>
            <w:bottom w:w="0" w:type="dxa"/>
            <w:right w:w="108" w:type="dxa"/>
          </w:tblCellMar>
        </w:tblPrEx>
        <w:tc>
          <w:tcPr>
            <w:tcW w:w="1835" w:type="dxa"/>
            <w:tcBorders>
              <w:top w:val="nil"/>
              <w:left w:val="single" w:color="auto" w:sz="4" w:space="0"/>
              <w:bottom w:val="single" w:color="auto" w:sz="4" w:space="0"/>
              <w:right w:val="single" w:color="auto" w:sz="4" w:space="0"/>
            </w:tcBorders>
            <w:noWrap w:val="0"/>
            <w:vAlign w:val="center"/>
          </w:tcPr>
          <w:p w14:paraId="1D5B4A76">
            <w:pPr>
              <w:pageBreakBefore w:val="0"/>
              <w:widowControl/>
              <w:kinsoku/>
              <w:wordWrap/>
              <w:overflowPunct/>
              <w:topLinePunct w:val="0"/>
              <w:autoSpaceDE/>
              <w:autoSpaceDN/>
              <w:bidi w:val="0"/>
              <w:adjustRightInd w:val="0"/>
              <w:snapToGrid w:val="0"/>
              <w:spacing w:line="400" w:lineRule="exact"/>
              <w:ind w:firstLine="0" w:firstLineChars="0"/>
              <w:jc w:val="left"/>
              <w:textAlignment w:val="auto"/>
              <w:rPr>
                <w:rFonts w:hint="eastAsia" w:ascii="仿宋" w:hAnsi="仿宋" w:eastAsia="仿宋" w:cs="仿宋"/>
                <w:color w:val="auto"/>
                <w:kern w:val="24"/>
                <w:sz w:val="24"/>
                <w:szCs w:val="24"/>
                <w:highlight w:val="none"/>
              </w:rPr>
            </w:pPr>
            <w:r>
              <w:rPr>
                <w:rFonts w:hint="eastAsia" w:ascii="仿宋" w:hAnsi="仿宋" w:eastAsia="仿宋" w:cs="仿宋"/>
                <w:color w:val="auto"/>
                <w:sz w:val="24"/>
                <w:szCs w:val="24"/>
                <w:highlight w:val="none"/>
              </w:rPr>
              <w:t>便携式PM</w:t>
            </w:r>
            <w:r>
              <w:rPr>
                <w:rFonts w:hint="eastAsia" w:ascii="仿宋" w:hAnsi="仿宋" w:eastAsia="仿宋" w:cs="仿宋"/>
                <w:color w:val="auto"/>
                <w:sz w:val="24"/>
                <w:szCs w:val="24"/>
                <w:highlight w:val="none"/>
                <w:vertAlign w:val="subscript"/>
              </w:rPr>
              <w:t>10</w:t>
            </w:r>
            <w:r>
              <w:rPr>
                <w:rFonts w:hint="eastAsia" w:ascii="仿宋" w:hAnsi="仿宋" w:eastAsia="仿宋" w:cs="仿宋"/>
                <w:color w:val="auto"/>
                <w:sz w:val="24"/>
                <w:szCs w:val="24"/>
                <w:highlight w:val="none"/>
              </w:rPr>
              <w:t>监测仪</w:t>
            </w:r>
          </w:p>
        </w:tc>
        <w:tc>
          <w:tcPr>
            <w:tcW w:w="6900" w:type="dxa"/>
            <w:tcBorders>
              <w:top w:val="nil"/>
              <w:left w:val="nil"/>
              <w:bottom w:val="single" w:color="auto" w:sz="4" w:space="0"/>
              <w:right w:val="single" w:color="auto" w:sz="4" w:space="0"/>
            </w:tcBorders>
            <w:noWrap w:val="0"/>
            <w:vAlign w:val="center"/>
          </w:tcPr>
          <w:p w14:paraId="32F67CC6">
            <w:pPr>
              <w:pageBreakBefore w:val="0"/>
              <w:kinsoku/>
              <w:wordWrap/>
              <w:overflowPunct/>
              <w:topLinePunct w:val="0"/>
              <w:autoSpaceDE/>
              <w:autoSpaceDN/>
              <w:bidi w:val="0"/>
              <w:adjustRightInd w:val="0"/>
              <w:snapToGrid w:val="0"/>
              <w:spacing w:line="400" w:lineRule="exact"/>
              <w:ind w:left="0" w:leftChars="0" w:firstLine="2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测量范围：0~1000ug/m</w:t>
            </w:r>
            <w:r>
              <w:rPr>
                <w:rFonts w:hint="eastAsia" w:ascii="仿宋" w:hAnsi="仿宋" w:eastAsia="仿宋" w:cs="仿宋"/>
                <w:color w:val="auto"/>
                <w:sz w:val="24"/>
                <w:szCs w:val="24"/>
                <w:highlight w:val="none"/>
                <w:vertAlign w:val="superscript"/>
              </w:rPr>
              <w:t>3</w:t>
            </w:r>
          </w:p>
          <w:p w14:paraId="0CF79291">
            <w:pPr>
              <w:pageBreakBefore w:val="0"/>
              <w:kinsoku/>
              <w:wordWrap/>
              <w:overflowPunct/>
              <w:topLinePunct w:val="0"/>
              <w:autoSpaceDE/>
              <w:autoSpaceDN/>
              <w:bidi w:val="0"/>
              <w:adjustRightInd w:val="0"/>
              <w:snapToGrid w:val="0"/>
              <w:spacing w:line="400" w:lineRule="exact"/>
              <w:ind w:left="0" w:leftChars="0" w:firstLine="2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理论分辨率：1μg/m</w:t>
            </w:r>
            <w:r>
              <w:rPr>
                <w:rFonts w:hint="eastAsia" w:ascii="仿宋" w:hAnsi="仿宋" w:eastAsia="仿宋" w:cs="仿宋"/>
                <w:color w:val="auto"/>
                <w:sz w:val="24"/>
                <w:szCs w:val="24"/>
                <w:highlight w:val="none"/>
                <w:vertAlign w:val="superscript"/>
              </w:rPr>
              <w:t>3</w:t>
            </w:r>
          </w:p>
          <w:p w14:paraId="53BD4A0F">
            <w:pPr>
              <w:pageBreakBefore w:val="0"/>
              <w:kinsoku/>
              <w:wordWrap/>
              <w:overflowPunct/>
              <w:topLinePunct w:val="0"/>
              <w:autoSpaceDE/>
              <w:autoSpaceDN/>
              <w:bidi w:val="0"/>
              <w:adjustRightInd w:val="0"/>
              <w:snapToGrid w:val="0"/>
              <w:spacing w:line="400" w:lineRule="exact"/>
              <w:ind w:left="0" w:leftChars="0" w:firstLine="2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响应时间：&lt;10s</w:t>
            </w:r>
          </w:p>
          <w:p w14:paraId="40370F9C">
            <w:pPr>
              <w:pageBreakBefore w:val="0"/>
              <w:kinsoku/>
              <w:wordWrap/>
              <w:overflowPunct/>
              <w:topLinePunct w:val="0"/>
              <w:autoSpaceDE/>
              <w:autoSpaceDN/>
              <w:bidi w:val="0"/>
              <w:adjustRightInd w:val="0"/>
              <w:snapToGrid w:val="0"/>
              <w:spacing w:line="400" w:lineRule="exact"/>
              <w:ind w:left="0" w:leftChars="0" w:firstLine="2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重复性：&lt;2%FS</w:t>
            </w:r>
          </w:p>
        </w:tc>
      </w:tr>
      <w:tr w14:paraId="0AF080A9">
        <w:tblPrEx>
          <w:tblCellMar>
            <w:top w:w="0" w:type="dxa"/>
            <w:left w:w="108" w:type="dxa"/>
            <w:bottom w:w="0" w:type="dxa"/>
            <w:right w:w="108" w:type="dxa"/>
          </w:tblCellMar>
        </w:tblPrEx>
        <w:tc>
          <w:tcPr>
            <w:tcW w:w="1835" w:type="dxa"/>
            <w:tcBorders>
              <w:top w:val="nil"/>
              <w:left w:val="single" w:color="auto" w:sz="4" w:space="0"/>
              <w:bottom w:val="single" w:color="auto" w:sz="4" w:space="0"/>
              <w:right w:val="single" w:color="auto" w:sz="4" w:space="0"/>
            </w:tcBorders>
            <w:noWrap w:val="0"/>
            <w:vAlign w:val="center"/>
          </w:tcPr>
          <w:p w14:paraId="05F6383F">
            <w:pPr>
              <w:pageBreakBefore w:val="0"/>
              <w:widowControl/>
              <w:kinsoku/>
              <w:wordWrap/>
              <w:overflowPunct/>
              <w:topLinePunct w:val="0"/>
              <w:autoSpaceDE/>
              <w:autoSpaceDN/>
              <w:bidi w:val="0"/>
              <w:adjustRightInd w:val="0"/>
              <w:snapToGrid w:val="0"/>
              <w:spacing w:line="400" w:lineRule="exact"/>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便携式TSP监测仪</w:t>
            </w:r>
          </w:p>
        </w:tc>
        <w:tc>
          <w:tcPr>
            <w:tcW w:w="6900" w:type="dxa"/>
            <w:tcBorders>
              <w:top w:val="nil"/>
              <w:left w:val="nil"/>
              <w:bottom w:val="single" w:color="auto" w:sz="4" w:space="0"/>
              <w:right w:val="single" w:color="auto" w:sz="4" w:space="0"/>
            </w:tcBorders>
            <w:noWrap w:val="0"/>
            <w:vAlign w:val="center"/>
          </w:tcPr>
          <w:p w14:paraId="254A47E3">
            <w:pPr>
              <w:pageBreakBefore w:val="0"/>
              <w:kinsoku/>
              <w:wordWrap/>
              <w:overflowPunct/>
              <w:topLinePunct w:val="0"/>
              <w:autoSpaceDE/>
              <w:autoSpaceDN/>
              <w:bidi w:val="0"/>
              <w:adjustRightInd w:val="0"/>
              <w:snapToGrid w:val="0"/>
              <w:spacing w:line="400" w:lineRule="exact"/>
              <w:ind w:left="0" w:leftChars="0" w:firstLine="2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测量范围：0.001～10.000mg/m</w:t>
            </w:r>
            <w:r>
              <w:rPr>
                <w:rFonts w:hint="eastAsia" w:ascii="仿宋" w:hAnsi="仿宋" w:eastAsia="仿宋" w:cs="仿宋"/>
                <w:color w:val="auto"/>
                <w:sz w:val="24"/>
                <w:szCs w:val="24"/>
                <w:highlight w:val="none"/>
                <w:vertAlign w:val="superscript"/>
              </w:rPr>
              <w:t>3</w:t>
            </w:r>
            <w:r>
              <w:rPr>
                <w:rFonts w:hint="eastAsia" w:ascii="仿宋" w:hAnsi="仿宋" w:eastAsia="仿宋" w:cs="仿宋"/>
                <w:color w:val="auto"/>
                <w:sz w:val="24"/>
                <w:szCs w:val="24"/>
                <w:highlight w:val="none"/>
              </w:rPr>
              <w:t>（对于标准颗粒）</w:t>
            </w:r>
          </w:p>
          <w:p w14:paraId="169124C5">
            <w:pPr>
              <w:pageBreakBefore w:val="0"/>
              <w:kinsoku/>
              <w:wordWrap/>
              <w:overflowPunct/>
              <w:topLinePunct w:val="0"/>
              <w:autoSpaceDE/>
              <w:autoSpaceDN/>
              <w:bidi w:val="0"/>
              <w:adjustRightInd w:val="0"/>
              <w:snapToGrid w:val="0"/>
              <w:spacing w:line="400" w:lineRule="exact"/>
              <w:ind w:left="0" w:leftChars="0" w:firstLine="2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测量精度：±10%（对于标准颗粒）</w:t>
            </w:r>
          </w:p>
          <w:p w14:paraId="436A20E1">
            <w:pPr>
              <w:pageBreakBefore w:val="0"/>
              <w:kinsoku/>
              <w:wordWrap/>
              <w:overflowPunct/>
              <w:topLinePunct w:val="0"/>
              <w:autoSpaceDE/>
              <w:autoSpaceDN/>
              <w:bidi w:val="0"/>
              <w:adjustRightInd w:val="0"/>
              <w:snapToGrid w:val="0"/>
              <w:spacing w:line="400" w:lineRule="exact"/>
              <w:ind w:left="0" w:leftChars="0" w:firstLine="2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定时测量：可手动设定任意时间</w:t>
            </w:r>
          </w:p>
          <w:p w14:paraId="1EF94E8F">
            <w:pPr>
              <w:pageBreakBefore w:val="0"/>
              <w:kinsoku/>
              <w:wordWrap/>
              <w:overflowPunct/>
              <w:topLinePunct w:val="0"/>
              <w:autoSpaceDE/>
              <w:autoSpaceDN/>
              <w:bidi w:val="0"/>
              <w:adjustRightInd w:val="0"/>
              <w:snapToGrid w:val="0"/>
              <w:spacing w:line="400" w:lineRule="exact"/>
              <w:ind w:left="0" w:leftChars="0" w:firstLine="2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自动校正：自动灵敏度校正</w:t>
            </w:r>
          </w:p>
        </w:tc>
      </w:tr>
      <w:tr w14:paraId="60935496">
        <w:tblPrEx>
          <w:tblCellMar>
            <w:top w:w="0" w:type="dxa"/>
            <w:left w:w="108" w:type="dxa"/>
            <w:bottom w:w="0" w:type="dxa"/>
            <w:right w:w="108" w:type="dxa"/>
          </w:tblCellMar>
        </w:tblPrEx>
        <w:tc>
          <w:tcPr>
            <w:tcW w:w="1835" w:type="dxa"/>
            <w:tcBorders>
              <w:top w:val="single" w:color="auto" w:sz="4" w:space="0"/>
              <w:left w:val="single" w:color="auto" w:sz="4" w:space="0"/>
              <w:bottom w:val="single" w:color="auto" w:sz="4" w:space="0"/>
              <w:right w:val="single" w:color="auto" w:sz="4" w:space="0"/>
            </w:tcBorders>
            <w:noWrap w:val="0"/>
            <w:vAlign w:val="center"/>
          </w:tcPr>
          <w:p w14:paraId="7CAFB067">
            <w:pPr>
              <w:pageBreakBefore w:val="0"/>
              <w:widowControl/>
              <w:kinsoku/>
              <w:wordWrap/>
              <w:overflowPunct/>
              <w:topLinePunct w:val="0"/>
              <w:autoSpaceDE/>
              <w:autoSpaceDN/>
              <w:bidi w:val="0"/>
              <w:adjustRightInd w:val="0"/>
              <w:snapToGrid w:val="0"/>
              <w:spacing w:line="400" w:lineRule="exact"/>
              <w:ind w:firstLine="0" w:firstLineChars="0"/>
              <w:jc w:val="left"/>
              <w:textAlignment w:val="auto"/>
              <w:rPr>
                <w:rFonts w:hint="eastAsia" w:ascii="仿宋" w:hAnsi="仿宋" w:eastAsia="仿宋" w:cs="仿宋"/>
                <w:color w:val="auto"/>
                <w:sz w:val="24"/>
                <w:szCs w:val="24"/>
                <w:highlight w:val="none"/>
              </w:rPr>
            </w:pPr>
          </w:p>
          <w:p w14:paraId="4273B90A">
            <w:pPr>
              <w:pageBreakBefore w:val="0"/>
              <w:widowControl/>
              <w:kinsoku/>
              <w:wordWrap/>
              <w:overflowPunct/>
              <w:topLinePunct w:val="0"/>
              <w:autoSpaceDE/>
              <w:autoSpaceDN/>
              <w:bidi w:val="0"/>
              <w:adjustRightInd w:val="0"/>
              <w:snapToGrid w:val="0"/>
              <w:spacing w:line="400" w:lineRule="exact"/>
              <w:ind w:firstLine="0" w:firstLineChars="0"/>
              <w:jc w:val="left"/>
              <w:textAlignment w:val="auto"/>
              <w:rPr>
                <w:rFonts w:hint="eastAsia" w:ascii="仿宋" w:hAnsi="仿宋" w:eastAsia="仿宋" w:cs="仿宋"/>
                <w:color w:val="auto"/>
                <w:sz w:val="24"/>
                <w:szCs w:val="24"/>
                <w:highlight w:val="none"/>
              </w:rPr>
            </w:pPr>
          </w:p>
          <w:p w14:paraId="4061B2E7">
            <w:pPr>
              <w:pageBreakBefore w:val="0"/>
              <w:widowControl/>
              <w:kinsoku/>
              <w:wordWrap/>
              <w:overflowPunct/>
              <w:topLinePunct w:val="0"/>
              <w:autoSpaceDE/>
              <w:autoSpaceDN/>
              <w:bidi w:val="0"/>
              <w:adjustRightInd w:val="0"/>
              <w:snapToGrid w:val="0"/>
              <w:spacing w:line="400" w:lineRule="exact"/>
              <w:ind w:firstLine="0" w:firstLineChars="0"/>
              <w:jc w:val="left"/>
              <w:textAlignment w:val="auto"/>
              <w:rPr>
                <w:rFonts w:hint="eastAsia" w:ascii="仿宋" w:hAnsi="仿宋" w:eastAsia="仿宋" w:cs="仿宋"/>
                <w:color w:val="auto"/>
                <w:sz w:val="24"/>
                <w:szCs w:val="24"/>
                <w:highlight w:val="none"/>
              </w:rPr>
            </w:pPr>
          </w:p>
          <w:p w14:paraId="1D704D7A">
            <w:pPr>
              <w:rPr>
                <w:color w:val="auto"/>
                <w:highlight w:val="none"/>
              </w:rPr>
            </w:pPr>
          </w:p>
          <w:p w14:paraId="319AEB15">
            <w:pPr>
              <w:rPr>
                <w:color w:val="auto"/>
                <w:highlight w:val="none"/>
              </w:rPr>
            </w:pPr>
          </w:p>
          <w:p w14:paraId="3E0DCFF5">
            <w:pPr>
              <w:rPr>
                <w:color w:val="auto"/>
                <w:highlight w:val="none"/>
              </w:rPr>
            </w:pPr>
          </w:p>
          <w:p w14:paraId="6583013A">
            <w:pPr>
              <w:rPr>
                <w:color w:val="auto"/>
                <w:highlight w:val="none"/>
              </w:rPr>
            </w:pPr>
          </w:p>
          <w:p w14:paraId="1B5F2F9B">
            <w:pPr>
              <w:rPr>
                <w:color w:val="auto"/>
                <w:highlight w:val="none"/>
              </w:rPr>
            </w:pPr>
          </w:p>
          <w:p w14:paraId="63DF9E31">
            <w:pPr>
              <w:rPr>
                <w:color w:val="auto"/>
                <w:highlight w:val="none"/>
              </w:rPr>
            </w:pPr>
          </w:p>
          <w:p w14:paraId="7F56E6B0">
            <w:pPr>
              <w:rPr>
                <w:color w:val="auto"/>
                <w:highlight w:val="none"/>
              </w:rPr>
            </w:pPr>
          </w:p>
          <w:p w14:paraId="75614EA8">
            <w:pPr>
              <w:rPr>
                <w:color w:val="auto"/>
                <w:highlight w:val="none"/>
              </w:rPr>
            </w:pPr>
          </w:p>
          <w:p w14:paraId="2B0AD31A">
            <w:pPr>
              <w:rPr>
                <w:color w:val="auto"/>
                <w:highlight w:val="none"/>
              </w:rPr>
            </w:pPr>
          </w:p>
          <w:p w14:paraId="3F145EC7">
            <w:pPr>
              <w:rPr>
                <w:color w:val="auto"/>
                <w:highlight w:val="none"/>
              </w:rPr>
            </w:pPr>
          </w:p>
          <w:p w14:paraId="4D612262">
            <w:pPr>
              <w:rPr>
                <w:color w:val="auto"/>
                <w:highlight w:val="none"/>
              </w:rPr>
            </w:pPr>
          </w:p>
          <w:p w14:paraId="4BA41F29">
            <w:pPr>
              <w:pageBreakBefore w:val="0"/>
              <w:widowControl/>
              <w:kinsoku/>
              <w:wordWrap/>
              <w:overflowPunct/>
              <w:topLinePunct w:val="0"/>
              <w:autoSpaceDE/>
              <w:autoSpaceDN/>
              <w:bidi w:val="0"/>
              <w:adjustRightInd w:val="0"/>
              <w:snapToGrid w:val="0"/>
              <w:spacing w:line="400" w:lineRule="exact"/>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低空移动多参数</w:t>
            </w:r>
            <w:r>
              <w:rPr>
                <w:rFonts w:hint="eastAsia" w:ascii="仿宋" w:hAnsi="仿宋" w:eastAsia="仿宋" w:cs="仿宋"/>
                <w:color w:val="auto"/>
                <w:kern w:val="0"/>
                <w:sz w:val="24"/>
                <w:szCs w:val="24"/>
                <w:highlight w:val="none"/>
                <w:lang w:bidi="ar"/>
              </w:rPr>
              <w:t>（SO</w:t>
            </w:r>
            <w:r>
              <w:rPr>
                <w:rFonts w:hint="eastAsia" w:ascii="仿宋" w:hAnsi="仿宋" w:eastAsia="仿宋" w:cs="仿宋"/>
                <w:color w:val="auto"/>
                <w:kern w:val="0"/>
                <w:sz w:val="24"/>
                <w:szCs w:val="24"/>
                <w:highlight w:val="none"/>
                <w:vertAlign w:val="subscript"/>
                <w:lang w:bidi="ar"/>
              </w:rPr>
              <w:t>2</w:t>
            </w:r>
            <w:r>
              <w:rPr>
                <w:rFonts w:hint="eastAsia" w:ascii="仿宋" w:hAnsi="仿宋" w:eastAsia="仿宋" w:cs="仿宋"/>
                <w:color w:val="auto"/>
                <w:kern w:val="0"/>
                <w:sz w:val="24"/>
                <w:szCs w:val="24"/>
                <w:highlight w:val="none"/>
                <w:lang w:bidi="ar"/>
              </w:rPr>
              <w:t>、颗粒物、O</w:t>
            </w:r>
            <w:r>
              <w:rPr>
                <w:rFonts w:hint="eastAsia" w:ascii="仿宋" w:hAnsi="仿宋" w:eastAsia="仿宋" w:cs="仿宋"/>
                <w:color w:val="auto"/>
                <w:kern w:val="0"/>
                <w:sz w:val="24"/>
                <w:szCs w:val="24"/>
                <w:highlight w:val="none"/>
                <w:vertAlign w:val="subscript"/>
                <w:lang w:bidi="ar"/>
              </w:rPr>
              <w:t>3</w:t>
            </w:r>
            <w:r>
              <w:rPr>
                <w:rFonts w:hint="eastAsia" w:ascii="仿宋" w:hAnsi="仿宋" w:eastAsia="仿宋" w:cs="仿宋"/>
                <w:color w:val="auto"/>
                <w:kern w:val="0"/>
                <w:sz w:val="24"/>
                <w:szCs w:val="24"/>
                <w:highlight w:val="none"/>
                <w:lang w:bidi="ar"/>
              </w:rPr>
              <w:t>+NO</w:t>
            </w:r>
            <w:r>
              <w:rPr>
                <w:rFonts w:hint="eastAsia" w:ascii="仿宋" w:hAnsi="仿宋" w:eastAsia="仿宋" w:cs="仿宋"/>
                <w:color w:val="auto"/>
                <w:kern w:val="0"/>
                <w:sz w:val="24"/>
                <w:szCs w:val="24"/>
                <w:highlight w:val="none"/>
                <w:vertAlign w:val="subscript"/>
                <w:lang w:bidi="ar"/>
              </w:rPr>
              <w:t>2</w:t>
            </w:r>
            <w:r>
              <w:rPr>
                <w:rFonts w:hint="eastAsia" w:ascii="仿宋" w:hAnsi="仿宋" w:eastAsia="仿宋" w:cs="仿宋"/>
                <w:color w:val="auto"/>
                <w:kern w:val="0"/>
                <w:sz w:val="24"/>
                <w:szCs w:val="24"/>
                <w:highlight w:val="none"/>
                <w:lang w:bidi="ar"/>
              </w:rPr>
              <w:t>、VOCs）</w:t>
            </w:r>
            <w:r>
              <w:rPr>
                <w:rFonts w:hint="eastAsia" w:ascii="仿宋" w:hAnsi="仿宋" w:eastAsia="仿宋" w:cs="仿宋"/>
                <w:color w:val="auto"/>
                <w:sz w:val="24"/>
                <w:szCs w:val="24"/>
                <w:highlight w:val="none"/>
              </w:rPr>
              <w:t>测量设备</w:t>
            </w:r>
          </w:p>
        </w:tc>
        <w:tc>
          <w:tcPr>
            <w:tcW w:w="6900" w:type="dxa"/>
            <w:tcBorders>
              <w:top w:val="single" w:color="auto" w:sz="4" w:space="0"/>
              <w:left w:val="single" w:color="auto" w:sz="4" w:space="0"/>
              <w:bottom w:val="single" w:color="auto" w:sz="4" w:space="0"/>
              <w:right w:val="single" w:color="auto" w:sz="4" w:space="0"/>
            </w:tcBorders>
            <w:noWrap w:val="0"/>
            <w:vAlign w:val="center"/>
          </w:tcPr>
          <w:p w14:paraId="11A2ADCF">
            <w:pPr>
              <w:pageBreakBefore w:val="0"/>
              <w:kinsoku/>
              <w:wordWrap/>
              <w:overflowPunct/>
              <w:topLinePunct w:val="0"/>
              <w:autoSpaceDE/>
              <w:autoSpaceDN/>
              <w:bidi w:val="0"/>
              <w:adjustRightInd w:val="0"/>
              <w:snapToGrid w:val="0"/>
              <w:spacing w:line="400" w:lineRule="exact"/>
              <w:ind w:left="0" w:leftChars="0" w:firstLine="2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（1）高量程SO</w:t>
            </w:r>
            <w:r>
              <w:rPr>
                <w:rFonts w:hint="eastAsia" w:ascii="仿宋" w:hAnsi="仿宋" w:eastAsia="仿宋" w:cs="仿宋"/>
                <w:color w:val="auto"/>
                <w:sz w:val="24"/>
                <w:szCs w:val="24"/>
                <w:highlight w:val="none"/>
                <w:vertAlign w:val="subscript"/>
              </w:rPr>
              <w:t>2</w:t>
            </w:r>
            <w:r>
              <w:rPr>
                <w:rFonts w:hint="eastAsia" w:ascii="仿宋" w:hAnsi="仿宋" w:eastAsia="仿宋" w:cs="仿宋"/>
                <w:color w:val="auto"/>
                <w:sz w:val="24"/>
                <w:szCs w:val="24"/>
                <w:highlight w:val="none"/>
              </w:rPr>
              <w:t>检测模块</w:t>
            </w:r>
          </w:p>
          <w:p w14:paraId="06726DEB">
            <w:pPr>
              <w:pageBreakBefore w:val="0"/>
              <w:kinsoku/>
              <w:wordWrap/>
              <w:overflowPunct/>
              <w:topLinePunct w:val="0"/>
              <w:autoSpaceDE/>
              <w:autoSpaceDN/>
              <w:bidi w:val="0"/>
              <w:adjustRightInd w:val="0"/>
              <w:snapToGrid w:val="0"/>
              <w:spacing w:line="400" w:lineRule="exact"/>
              <w:ind w:left="0" w:leftChars="0" w:firstLine="2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量程：0~100ppm</w:t>
            </w:r>
          </w:p>
          <w:p w14:paraId="6FDA9A78">
            <w:pPr>
              <w:pageBreakBefore w:val="0"/>
              <w:kinsoku/>
              <w:wordWrap/>
              <w:overflowPunct/>
              <w:topLinePunct w:val="0"/>
              <w:autoSpaceDE/>
              <w:autoSpaceDN/>
              <w:bidi w:val="0"/>
              <w:adjustRightInd w:val="0"/>
              <w:snapToGrid w:val="0"/>
              <w:spacing w:line="400" w:lineRule="exact"/>
              <w:ind w:left="0" w:leftChars="0" w:firstLine="2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理论分辨率：6ppb</w:t>
            </w:r>
          </w:p>
          <w:p w14:paraId="1C3E42FE">
            <w:pPr>
              <w:pageBreakBefore w:val="0"/>
              <w:kinsoku/>
              <w:wordWrap/>
              <w:overflowPunct/>
              <w:topLinePunct w:val="0"/>
              <w:autoSpaceDE/>
              <w:autoSpaceDN/>
              <w:bidi w:val="0"/>
              <w:adjustRightInd w:val="0"/>
              <w:snapToGrid w:val="0"/>
              <w:spacing w:line="400" w:lineRule="exact"/>
              <w:ind w:left="0" w:leftChars="0" w:firstLine="2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响应时间：＜40s（0~2ppm）</w:t>
            </w:r>
          </w:p>
          <w:p w14:paraId="5E8A674D">
            <w:pPr>
              <w:pageBreakBefore w:val="0"/>
              <w:kinsoku/>
              <w:wordWrap/>
              <w:overflowPunct/>
              <w:topLinePunct w:val="0"/>
              <w:autoSpaceDE/>
              <w:autoSpaceDN/>
              <w:bidi w:val="0"/>
              <w:adjustRightInd w:val="0"/>
              <w:snapToGrid w:val="0"/>
              <w:spacing w:line="400" w:lineRule="exact"/>
              <w:ind w:left="0" w:leftChars="0" w:firstLine="2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内置专属数据处理芯片，具有环境补偿算法与个体差异补偿算法</w:t>
            </w:r>
          </w:p>
          <w:p w14:paraId="031EC7A6">
            <w:pPr>
              <w:pageBreakBefore w:val="0"/>
              <w:kinsoku/>
              <w:wordWrap/>
              <w:overflowPunct/>
              <w:topLinePunct w:val="0"/>
              <w:autoSpaceDE/>
              <w:autoSpaceDN/>
              <w:bidi w:val="0"/>
              <w:adjustRightInd w:val="0"/>
              <w:snapToGrid w:val="0"/>
              <w:spacing w:line="400" w:lineRule="exact"/>
              <w:ind w:left="0" w:leftChars="0" w:firstLine="2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（2）可吸入颗粒物检测模块</w:t>
            </w:r>
          </w:p>
          <w:p w14:paraId="5E710429">
            <w:pPr>
              <w:pageBreakBefore w:val="0"/>
              <w:kinsoku/>
              <w:wordWrap/>
              <w:overflowPunct/>
              <w:topLinePunct w:val="0"/>
              <w:autoSpaceDE/>
              <w:autoSpaceDN/>
              <w:bidi w:val="0"/>
              <w:adjustRightInd w:val="0"/>
              <w:snapToGrid w:val="0"/>
              <w:spacing w:line="400" w:lineRule="exact"/>
              <w:ind w:left="0" w:leftChars="0" w:firstLine="2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量程：0~1000μg/m</w:t>
            </w:r>
            <w:r>
              <w:rPr>
                <w:rFonts w:hint="eastAsia" w:ascii="仿宋" w:hAnsi="仿宋" w:eastAsia="仿宋" w:cs="仿宋"/>
                <w:color w:val="auto"/>
                <w:sz w:val="24"/>
                <w:szCs w:val="24"/>
                <w:highlight w:val="none"/>
                <w:vertAlign w:val="superscript"/>
              </w:rPr>
              <w:t>3</w:t>
            </w:r>
          </w:p>
          <w:p w14:paraId="6D90EDFF">
            <w:pPr>
              <w:pageBreakBefore w:val="0"/>
              <w:kinsoku/>
              <w:wordWrap/>
              <w:overflowPunct/>
              <w:topLinePunct w:val="0"/>
              <w:autoSpaceDE/>
              <w:autoSpaceDN/>
              <w:bidi w:val="0"/>
              <w:adjustRightInd w:val="0"/>
              <w:snapToGrid w:val="0"/>
              <w:spacing w:line="400" w:lineRule="exact"/>
              <w:ind w:left="0" w:leftChars="0" w:firstLine="2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理论分辨率：1μg/m</w:t>
            </w:r>
            <w:r>
              <w:rPr>
                <w:rFonts w:hint="eastAsia" w:ascii="仿宋" w:hAnsi="仿宋" w:eastAsia="仿宋" w:cs="仿宋"/>
                <w:color w:val="auto"/>
                <w:sz w:val="24"/>
                <w:szCs w:val="24"/>
                <w:highlight w:val="none"/>
                <w:vertAlign w:val="superscript"/>
              </w:rPr>
              <w:t>3</w:t>
            </w:r>
          </w:p>
          <w:p w14:paraId="69C240A6">
            <w:pPr>
              <w:pageBreakBefore w:val="0"/>
              <w:kinsoku/>
              <w:wordWrap/>
              <w:overflowPunct/>
              <w:topLinePunct w:val="0"/>
              <w:autoSpaceDE/>
              <w:autoSpaceDN/>
              <w:bidi w:val="0"/>
              <w:adjustRightInd w:val="0"/>
              <w:snapToGrid w:val="0"/>
              <w:spacing w:line="400" w:lineRule="exact"/>
              <w:ind w:left="0" w:leftChars="0" w:firstLine="2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响应时间：＜10s</w:t>
            </w:r>
          </w:p>
          <w:p w14:paraId="6E41D194">
            <w:pPr>
              <w:pageBreakBefore w:val="0"/>
              <w:kinsoku/>
              <w:wordWrap/>
              <w:overflowPunct/>
              <w:topLinePunct w:val="0"/>
              <w:autoSpaceDE/>
              <w:autoSpaceDN/>
              <w:bidi w:val="0"/>
              <w:adjustRightInd w:val="0"/>
              <w:snapToGrid w:val="0"/>
              <w:spacing w:line="400" w:lineRule="exact"/>
              <w:ind w:left="0" w:leftChars="0" w:firstLine="2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检测</w:t>
            </w:r>
            <w:r>
              <w:rPr>
                <w:rFonts w:hint="eastAsia" w:ascii="仿宋" w:hAnsi="仿宋" w:eastAsia="仿宋" w:cs="仿宋"/>
                <w:color w:val="auto"/>
                <w:sz w:val="24"/>
                <w:highlight w:val="none"/>
                <w:lang w:val="en-US" w:eastAsia="zh-CN"/>
              </w:rPr>
              <w:t>PM</w:t>
            </w:r>
            <w:r>
              <w:rPr>
                <w:rFonts w:hint="eastAsia" w:ascii="仿宋" w:hAnsi="仿宋" w:eastAsia="仿宋" w:cs="仿宋"/>
                <w:color w:val="auto"/>
                <w:sz w:val="24"/>
                <w:highlight w:val="none"/>
                <w:vertAlign w:val="subscript"/>
                <w:lang w:val="en-US" w:eastAsia="zh-CN"/>
              </w:rPr>
              <w:t>1.0</w:t>
            </w:r>
            <w:r>
              <w:rPr>
                <w:rFonts w:hint="eastAsia" w:ascii="仿宋" w:hAnsi="仿宋" w:eastAsia="仿宋" w:cs="仿宋"/>
                <w:color w:val="auto"/>
                <w:sz w:val="24"/>
                <w:highlight w:val="none"/>
                <w:lang w:val="en-US" w:eastAsia="zh-CN"/>
              </w:rPr>
              <w:t>（粒径0.3~1μm）</w:t>
            </w:r>
            <w:r>
              <w:rPr>
                <w:rFonts w:hint="eastAsia" w:ascii="仿宋" w:hAnsi="仿宋" w:eastAsia="仿宋" w:cs="仿宋"/>
                <w:color w:val="auto"/>
                <w:sz w:val="24"/>
                <w:szCs w:val="24"/>
                <w:highlight w:val="none"/>
              </w:rPr>
              <w:t>、PM</w:t>
            </w:r>
            <w:r>
              <w:rPr>
                <w:rFonts w:hint="eastAsia" w:ascii="仿宋" w:hAnsi="仿宋" w:eastAsia="仿宋" w:cs="仿宋"/>
                <w:color w:val="auto"/>
                <w:sz w:val="24"/>
                <w:szCs w:val="24"/>
                <w:highlight w:val="none"/>
                <w:vertAlign w:val="subscript"/>
              </w:rPr>
              <w:t>2.5</w:t>
            </w:r>
            <w:r>
              <w:rPr>
                <w:rFonts w:hint="eastAsia" w:ascii="仿宋" w:hAnsi="仿宋" w:eastAsia="仿宋" w:cs="仿宋"/>
                <w:color w:val="auto"/>
                <w:sz w:val="24"/>
                <w:szCs w:val="24"/>
                <w:highlight w:val="none"/>
              </w:rPr>
              <w:t>（粒径0.3~2.5μm）、PM</w:t>
            </w:r>
            <w:r>
              <w:rPr>
                <w:rFonts w:hint="eastAsia" w:ascii="仿宋" w:hAnsi="仿宋" w:eastAsia="仿宋" w:cs="仿宋"/>
                <w:color w:val="auto"/>
                <w:sz w:val="24"/>
                <w:szCs w:val="24"/>
                <w:highlight w:val="none"/>
                <w:vertAlign w:val="subscript"/>
              </w:rPr>
              <w:t>10</w:t>
            </w:r>
            <w:r>
              <w:rPr>
                <w:rFonts w:hint="eastAsia" w:ascii="仿宋" w:hAnsi="仿宋" w:eastAsia="仿宋" w:cs="仿宋"/>
                <w:color w:val="auto"/>
                <w:sz w:val="24"/>
                <w:szCs w:val="24"/>
                <w:highlight w:val="none"/>
              </w:rPr>
              <w:t>(粒径0.3~10μm）三种数值</w:t>
            </w:r>
          </w:p>
          <w:p w14:paraId="15420E7E">
            <w:pPr>
              <w:pageBreakBefore w:val="0"/>
              <w:kinsoku/>
              <w:wordWrap/>
              <w:overflowPunct/>
              <w:topLinePunct w:val="0"/>
              <w:autoSpaceDE/>
              <w:autoSpaceDN/>
              <w:bidi w:val="0"/>
              <w:adjustRightInd w:val="0"/>
              <w:snapToGrid w:val="0"/>
              <w:spacing w:line="400" w:lineRule="exact"/>
              <w:ind w:left="0" w:leftChars="0" w:firstLine="2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（3）高精度O</w:t>
            </w:r>
            <w:r>
              <w:rPr>
                <w:rFonts w:hint="eastAsia" w:ascii="仿宋" w:hAnsi="仿宋" w:eastAsia="仿宋" w:cs="仿宋"/>
                <w:color w:val="auto"/>
                <w:sz w:val="24"/>
                <w:szCs w:val="24"/>
                <w:highlight w:val="none"/>
                <w:vertAlign w:val="subscript"/>
              </w:rPr>
              <w:t>3</w:t>
            </w:r>
            <w:r>
              <w:rPr>
                <w:rFonts w:hint="eastAsia" w:ascii="仿宋" w:hAnsi="仿宋" w:eastAsia="仿宋" w:cs="仿宋"/>
                <w:color w:val="auto"/>
                <w:sz w:val="24"/>
                <w:szCs w:val="24"/>
                <w:highlight w:val="none"/>
              </w:rPr>
              <w:t>+NO</w:t>
            </w:r>
            <w:r>
              <w:rPr>
                <w:rFonts w:hint="eastAsia" w:ascii="仿宋" w:hAnsi="仿宋" w:eastAsia="仿宋" w:cs="仿宋"/>
                <w:color w:val="auto"/>
                <w:sz w:val="24"/>
                <w:szCs w:val="24"/>
                <w:highlight w:val="none"/>
                <w:vertAlign w:val="subscript"/>
              </w:rPr>
              <w:t>2</w:t>
            </w:r>
            <w:r>
              <w:rPr>
                <w:rFonts w:hint="eastAsia" w:ascii="仿宋" w:hAnsi="仿宋" w:eastAsia="仿宋" w:cs="仿宋"/>
                <w:color w:val="auto"/>
                <w:sz w:val="24"/>
                <w:szCs w:val="24"/>
                <w:highlight w:val="none"/>
              </w:rPr>
              <w:t>检测模块</w:t>
            </w:r>
          </w:p>
          <w:p w14:paraId="5AA125C1">
            <w:pPr>
              <w:pageBreakBefore w:val="0"/>
              <w:kinsoku/>
              <w:wordWrap/>
              <w:overflowPunct/>
              <w:topLinePunct w:val="0"/>
              <w:autoSpaceDE/>
              <w:autoSpaceDN/>
              <w:bidi w:val="0"/>
              <w:spacing w:line="400" w:lineRule="exact"/>
              <w:ind w:left="0" w:leftChars="0" w:firstLine="2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量程：0~10ppm</w:t>
            </w:r>
          </w:p>
          <w:p w14:paraId="7712CF08">
            <w:pPr>
              <w:pageBreakBefore w:val="0"/>
              <w:kinsoku/>
              <w:wordWrap/>
              <w:overflowPunct/>
              <w:topLinePunct w:val="0"/>
              <w:autoSpaceDE/>
              <w:autoSpaceDN/>
              <w:bidi w:val="0"/>
              <w:adjustRightInd w:val="0"/>
              <w:snapToGrid w:val="0"/>
              <w:spacing w:line="400" w:lineRule="exact"/>
              <w:ind w:left="0" w:leftChars="0" w:firstLine="2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理论分辨率：0.5ppb</w:t>
            </w:r>
          </w:p>
          <w:p w14:paraId="4358A8C5">
            <w:pPr>
              <w:pageBreakBefore w:val="0"/>
              <w:kinsoku/>
              <w:wordWrap/>
              <w:overflowPunct/>
              <w:topLinePunct w:val="0"/>
              <w:autoSpaceDE/>
              <w:autoSpaceDN/>
              <w:bidi w:val="0"/>
              <w:adjustRightInd w:val="0"/>
              <w:snapToGrid w:val="0"/>
              <w:spacing w:line="400" w:lineRule="exact"/>
              <w:ind w:left="0" w:leftChars="0" w:firstLine="2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响应时间：＜45s（0~1ppm）</w:t>
            </w:r>
          </w:p>
          <w:p w14:paraId="428CF6AC">
            <w:pPr>
              <w:pageBreakBefore w:val="0"/>
              <w:kinsoku/>
              <w:wordWrap/>
              <w:overflowPunct/>
              <w:topLinePunct w:val="0"/>
              <w:autoSpaceDE/>
              <w:autoSpaceDN/>
              <w:bidi w:val="0"/>
              <w:adjustRightInd w:val="0"/>
              <w:snapToGrid w:val="0"/>
              <w:spacing w:line="400" w:lineRule="exact"/>
              <w:ind w:left="0" w:leftChars="0" w:firstLine="2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内置专属数据处理芯片，具有环境补偿算法与个体差异补偿算法</w:t>
            </w:r>
          </w:p>
          <w:p w14:paraId="2840F401">
            <w:pPr>
              <w:pageBreakBefore w:val="0"/>
              <w:kinsoku/>
              <w:wordWrap/>
              <w:overflowPunct/>
              <w:topLinePunct w:val="0"/>
              <w:autoSpaceDE/>
              <w:autoSpaceDN/>
              <w:bidi w:val="0"/>
              <w:spacing w:line="400" w:lineRule="exact"/>
              <w:ind w:left="0" w:leftChars="0" w:firstLine="2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（4）高量程挥发性有机物（VOCs）检测模块</w:t>
            </w:r>
          </w:p>
          <w:p w14:paraId="6C781A84">
            <w:pPr>
              <w:pageBreakBefore w:val="0"/>
              <w:kinsoku/>
              <w:wordWrap/>
              <w:overflowPunct/>
              <w:topLinePunct w:val="0"/>
              <w:autoSpaceDE/>
              <w:autoSpaceDN/>
              <w:bidi w:val="0"/>
              <w:adjustRightInd w:val="0"/>
              <w:snapToGrid w:val="0"/>
              <w:spacing w:line="400" w:lineRule="exact"/>
              <w:ind w:left="0" w:leftChars="0" w:firstLine="2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量程：0~50ppm（异丁烯）</w:t>
            </w:r>
          </w:p>
          <w:p w14:paraId="2CD2D587">
            <w:pPr>
              <w:pageBreakBefore w:val="0"/>
              <w:kinsoku/>
              <w:wordWrap/>
              <w:overflowPunct/>
              <w:topLinePunct w:val="0"/>
              <w:autoSpaceDE/>
              <w:autoSpaceDN/>
              <w:bidi w:val="0"/>
              <w:adjustRightInd w:val="0"/>
              <w:snapToGrid w:val="0"/>
              <w:spacing w:line="400" w:lineRule="exact"/>
              <w:ind w:left="0" w:leftChars="0" w:firstLine="2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理论分辨率：3.8ppb</w:t>
            </w:r>
          </w:p>
          <w:p w14:paraId="328E98C1">
            <w:pPr>
              <w:pageBreakBefore w:val="0"/>
              <w:kinsoku/>
              <w:wordWrap/>
              <w:overflowPunct/>
              <w:topLinePunct w:val="0"/>
              <w:autoSpaceDE/>
              <w:autoSpaceDN/>
              <w:bidi w:val="0"/>
              <w:adjustRightInd w:val="0"/>
              <w:snapToGrid w:val="0"/>
              <w:spacing w:line="400" w:lineRule="exact"/>
              <w:ind w:left="0" w:leftChars="0" w:firstLine="2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响应时间：＜3s（扩散模式）</w:t>
            </w:r>
          </w:p>
          <w:p w14:paraId="16D70A7F">
            <w:pPr>
              <w:pageBreakBefore w:val="0"/>
              <w:kinsoku/>
              <w:wordWrap/>
              <w:overflowPunct/>
              <w:topLinePunct w:val="0"/>
              <w:autoSpaceDE/>
              <w:autoSpaceDN/>
              <w:bidi w:val="0"/>
              <w:adjustRightInd w:val="0"/>
              <w:snapToGrid w:val="0"/>
              <w:spacing w:line="400" w:lineRule="exact"/>
              <w:ind w:left="0" w:leftChars="0" w:firstLine="2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目标气体：电离势能＜10.6eV的挥发性有机物（VOCs）</w:t>
            </w:r>
          </w:p>
          <w:p w14:paraId="1B243946">
            <w:pPr>
              <w:pageBreakBefore w:val="0"/>
              <w:kinsoku/>
              <w:wordWrap/>
              <w:overflowPunct/>
              <w:topLinePunct w:val="0"/>
              <w:autoSpaceDE/>
              <w:autoSpaceDN/>
              <w:bidi w:val="0"/>
              <w:adjustRightInd w:val="0"/>
              <w:snapToGrid w:val="0"/>
              <w:spacing w:line="400" w:lineRule="exact"/>
              <w:ind w:left="0" w:leftChars="0" w:firstLine="2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内置专属数据处理芯片</w:t>
            </w:r>
          </w:p>
        </w:tc>
      </w:tr>
      <w:tr w14:paraId="6791D843">
        <w:tblPrEx>
          <w:tblCellMar>
            <w:top w:w="0" w:type="dxa"/>
            <w:left w:w="108" w:type="dxa"/>
            <w:bottom w:w="0" w:type="dxa"/>
            <w:right w:w="108" w:type="dxa"/>
          </w:tblCellMar>
        </w:tblPrEx>
        <w:tc>
          <w:tcPr>
            <w:tcW w:w="1835" w:type="dxa"/>
            <w:tcBorders>
              <w:top w:val="single" w:color="auto" w:sz="4" w:space="0"/>
              <w:left w:val="single" w:color="auto" w:sz="4" w:space="0"/>
              <w:bottom w:val="single" w:color="auto" w:sz="4" w:space="0"/>
              <w:right w:val="single" w:color="auto" w:sz="4" w:space="0"/>
            </w:tcBorders>
            <w:noWrap w:val="0"/>
            <w:vAlign w:val="center"/>
          </w:tcPr>
          <w:p w14:paraId="2B2E2618">
            <w:pPr>
              <w:pStyle w:val="22"/>
              <w:pageBreakBefore w:val="0"/>
              <w:widowControl/>
              <w:tabs>
                <w:tab w:val="left" w:pos="945"/>
                <w:tab w:val="left" w:pos="1155"/>
              </w:tabs>
              <w:kinsoku/>
              <w:wordWrap/>
              <w:overflowPunct/>
              <w:topLinePunct w:val="0"/>
              <w:autoSpaceDE/>
              <w:autoSpaceDN/>
              <w:bidi w:val="0"/>
              <w:adjustRightInd w:val="0"/>
              <w:snapToGrid w:val="0"/>
              <w:spacing w:after="0" w:line="400" w:lineRule="exact"/>
              <w:ind w:left="0" w:leftChars="0" w:firstLine="0" w:firstLineChars="0"/>
              <w:jc w:val="left"/>
              <w:textAlignment w:val="auto"/>
              <w:rPr>
                <w:rFonts w:hint="eastAsia" w:ascii="仿宋" w:hAnsi="仿宋" w:eastAsia="仿宋" w:cs="仿宋"/>
                <w:color w:val="auto"/>
                <w:kern w:val="0"/>
                <w:sz w:val="24"/>
                <w:szCs w:val="24"/>
                <w:highlight w:val="none"/>
              </w:rPr>
            </w:pPr>
          </w:p>
          <w:p w14:paraId="56A2511D">
            <w:pPr>
              <w:pStyle w:val="22"/>
              <w:pageBreakBefore w:val="0"/>
              <w:widowControl/>
              <w:tabs>
                <w:tab w:val="left" w:pos="945"/>
                <w:tab w:val="left" w:pos="1155"/>
              </w:tabs>
              <w:kinsoku/>
              <w:wordWrap/>
              <w:overflowPunct/>
              <w:topLinePunct w:val="0"/>
              <w:autoSpaceDE/>
              <w:autoSpaceDN/>
              <w:bidi w:val="0"/>
              <w:adjustRightInd w:val="0"/>
              <w:snapToGrid w:val="0"/>
              <w:spacing w:after="0" w:line="400" w:lineRule="exact"/>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巡查无人机</w:t>
            </w:r>
          </w:p>
        </w:tc>
        <w:tc>
          <w:tcPr>
            <w:tcW w:w="6900" w:type="dxa"/>
            <w:tcBorders>
              <w:top w:val="single" w:color="auto" w:sz="4" w:space="0"/>
              <w:left w:val="single" w:color="auto" w:sz="4" w:space="0"/>
              <w:bottom w:val="single" w:color="auto" w:sz="4" w:space="0"/>
              <w:right w:val="single" w:color="auto" w:sz="4" w:space="0"/>
            </w:tcBorders>
            <w:noWrap w:val="0"/>
            <w:vAlign w:val="center"/>
          </w:tcPr>
          <w:p w14:paraId="1A66523A">
            <w:pPr>
              <w:pageBreakBefore w:val="0"/>
              <w:kinsoku/>
              <w:wordWrap/>
              <w:overflowPunct/>
              <w:topLinePunct w:val="0"/>
              <w:autoSpaceDE/>
              <w:autoSpaceDN/>
              <w:bidi w:val="0"/>
              <w:adjustRightInd w:val="0"/>
              <w:snapToGrid w:val="0"/>
              <w:spacing w:line="400" w:lineRule="exact"/>
              <w:ind w:left="0" w:leftChars="0" w:firstLine="2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最大可承受风速：5级风</w:t>
            </w:r>
          </w:p>
          <w:p w14:paraId="2ED2E429">
            <w:pPr>
              <w:pageBreakBefore w:val="0"/>
              <w:kinsoku/>
              <w:wordWrap/>
              <w:overflowPunct/>
              <w:topLinePunct w:val="0"/>
              <w:autoSpaceDE/>
              <w:autoSpaceDN/>
              <w:bidi w:val="0"/>
              <w:adjustRightInd w:val="0"/>
              <w:snapToGrid w:val="0"/>
              <w:spacing w:line="400" w:lineRule="exact"/>
              <w:ind w:left="0" w:leftChars="0" w:firstLine="2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感应系统前方</w:t>
            </w:r>
          </w:p>
          <w:p w14:paraId="55E9B545">
            <w:pPr>
              <w:pageBreakBefore w:val="0"/>
              <w:kinsoku/>
              <w:wordWrap/>
              <w:overflowPunct/>
              <w:topLinePunct w:val="0"/>
              <w:autoSpaceDE/>
              <w:autoSpaceDN/>
              <w:bidi w:val="0"/>
              <w:adjustRightInd w:val="0"/>
              <w:snapToGrid w:val="0"/>
              <w:spacing w:line="400" w:lineRule="exact"/>
              <w:ind w:left="0" w:leftChars="0" w:firstLine="2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精确测距范围：0.35至22.0m</w:t>
            </w:r>
          </w:p>
          <w:p w14:paraId="0A166435">
            <w:pPr>
              <w:pageBreakBefore w:val="0"/>
              <w:kinsoku/>
              <w:wordWrap/>
              <w:overflowPunct/>
              <w:topLinePunct w:val="0"/>
              <w:autoSpaceDE/>
              <w:autoSpaceDN/>
              <w:bidi w:val="0"/>
              <w:adjustRightInd w:val="0"/>
              <w:snapToGrid w:val="0"/>
              <w:spacing w:line="400" w:lineRule="exact"/>
              <w:ind w:left="0" w:leftChars="0" w:firstLine="2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可探测范围：0.35至44m</w:t>
            </w:r>
          </w:p>
          <w:p w14:paraId="00B16653">
            <w:pPr>
              <w:pageBreakBefore w:val="0"/>
              <w:kinsoku/>
              <w:wordWrap/>
              <w:overflowPunct/>
              <w:topLinePunct w:val="0"/>
              <w:autoSpaceDE/>
              <w:autoSpaceDN/>
              <w:bidi w:val="0"/>
              <w:adjustRightInd w:val="0"/>
              <w:snapToGrid w:val="0"/>
              <w:spacing w:line="400" w:lineRule="exact"/>
              <w:ind w:left="0" w:leftChars="0" w:firstLine="2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视角(FOV)：水平71°，垂直56°</w:t>
            </w:r>
          </w:p>
          <w:p w14:paraId="63E389F6">
            <w:pPr>
              <w:pageBreakBefore w:val="0"/>
              <w:kinsoku/>
              <w:wordWrap/>
              <w:overflowPunct/>
              <w:topLinePunct w:val="0"/>
              <w:autoSpaceDE/>
              <w:autoSpaceDN/>
              <w:bidi w:val="0"/>
              <w:adjustRightInd w:val="0"/>
              <w:snapToGrid w:val="0"/>
              <w:spacing w:line="400" w:lineRule="exact"/>
              <w:ind w:left="0" w:leftChars="0" w:firstLine="2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感应系统后方</w:t>
            </w:r>
          </w:p>
          <w:p w14:paraId="053593E2">
            <w:pPr>
              <w:pageBreakBefore w:val="0"/>
              <w:kinsoku/>
              <w:wordWrap/>
              <w:overflowPunct/>
              <w:topLinePunct w:val="0"/>
              <w:autoSpaceDE/>
              <w:autoSpaceDN/>
              <w:bidi w:val="0"/>
              <w:adjustRightInd w:val="0"/>
              <w:snapToGrid w:val="0"/>
              <w:spacing w:line="400" w:lineRule="exact"/>
              <w:ind w:left="0" w:leftChars="0" w:firstLine="2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精确测距范围：0.37至23.6m</w:t>
            </w:r>
          </w:p>
          <w:p w14:paraId="370206E8">
            <w:pPr>
              <w:pageBreakBefore w:val="0"/>
              <w:kinsoku/>
              <w:wordWrap/>
              <w:overflowPunct/>
              <w:topLinePunct w:val="0"/>
              <w:autoSpaceDE/>
              <w:autoSpaceDN/>
              <w:bidi w:val="0"/>
              <w:adjustRightInd w:val="0"/>
              <w:snapToGrid w:val="0"/>
              <w:spacing w:line="400" w:lineRule="exact"/>
              <w:ind w:left="0" w:leftChars="0" w:firstLine="2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可探测范围：0.37至47.2m</w:t>
            </w:r>
          </w:p>
          <w:p w14:paraId="28FB5000">
            <w:pPr>
              <w:pageBreakBefore w:val="0"/>
              <w:kinsoku/>
              <w:wordWrap/>
              <w:overflowPunct/>
              <w:topLinePunct w:val="0"/>
              <w:autoSpaceDE/>
              <w:autoSpaceDN/>
              <w:bidi w:val="0"/>
              <w:adjustRightInd w:val="0"/>
              <w:snapToGrid w:val="0"/>
              <w:spacing w:line="400" w:lineRule="exact"/>
              <w:ind w:left="0" w:leftChars="0" w:firstLine="2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视角(FOV)：水平</w:t>
            </w:r>
            <w:r>
              <w:rPr>
                <w:rFonts w:hint="eastAsia" w:ascii="仿宋" w:hAnsi="仿宋" w:eastAsia="仿宋" w:cs="仿宋"/>
                <w:color w:val="auto"/>
                <w:sz w:val="24"/>
                <w:szCs w:val="24"/>
                <w:highlight w:val="none"/>
                <w:lang w:val="en-US" w:eastAsia="zh-CN"/>
              </w:rPr>
              <w:t>57</w:t>
            </w:r>
            <w:r>
              <w:rPr>
                <w:rFonts w:hint="eastAsia" w:ascii="仿宋" w:hAnsi="仿宋" w:eastAsia="仿宋" w:cs="仿宋"/>
                <w:color w:val="auto"/>
                <w:sz w:val="24"/>
                <w:szCs w:val="24"/>
                <w:highlight w:val="none"/>
              </w:rPr>
              <w:t>°，垂直</w:t>
            </w:r>
            <w:r>
              <w:rPr>
                <w:rFonts w:hint="eastAsia" w:ascii="仿宋" w:hAnsi="仿宋" w:eastAsia="仿宋" w:cs="仿宋"/>
                <w:color w:val="auto"/>
                <w:sz w:val="24"/>
                <w:szCs w:val="24"/>
                <w:highlight w:val="none"/>
                <w:lang w:val="en-US" w:eastAsia="zh-CN"/>
              </w:rPr>
              <w:t>44</w:t>
            </w:r>
            <w:r>
              <w:rPr>
                <w:rFonts w:hint="eastAsia" w:ascii="仿宋" w:hAnsi="仿宋" w:eastAsia="仿宋" w:cs="仿宋"/>
                <w:color w:val="auto"/>
                <w:sz w:val="24"/>
                <w:szCs w:val="24"/>
                <w:highlight w:val="none"/>
              </w:rPr>
              <w:t>°</w:t>
            </w:r>
          </w:p>
          <w:p w14:paraId="3AAE7161">
            <w:pPr>
              <w:pageBreakBefore w:val="0"/>
              <w:kinsoku/>
              <w:wordWrap/>
              <w:overflowPunct/>
              <w:topLinePunct w:val="0"/>
              <w:autoSpaceDE/>
              <w:autoSpaceDN/>
              <w:bidi w:val="0"/>
              <w:adjustRightInd w:val="0"/>
              <w:snapToGrid w:val="0"/>
              <w:spacing w:line="400" w:lineRule="exact"/>
              <w:ind w:left="0" w:leftChars="0" w:firstLine="2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感应系统下方</w:t>
            </w:r>
          </w:p>
          <w:p w14:paraId="3D4CDA4C">
            <w:pPr>
              <w:pageBreakBefore w:val="0"/>
              <w:kinsoku/>
              <w:wordWrap/>
              <w:overflowPunct/>
              <w:topLinePunct w:val="0"/>
              <w:autoSpaceDE/>
              <w:autoSpaceDN/>
              <w:bidi w:val="0"/>
              <w:adjustRightInd w:val="0"/>
              <w:snapToGrid w:val="0"/>
              <w:spacing w:line="400" w:lineRule="exact"/>
              <w:ind w:left="0" w:leftChars="0" w:firstLine="2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ToF有效测量高度：0.1至8m</w:t>
            </w:r>
          </w:p>
          <w:p w14:paraId="5B5F1726">
            <w:pPr>
              <w:pageBreakBefore w:val="0"/>
              <w:kinsoku/>
              <w:wordWrap/>
              <w:overflowPunct/>
              <w:topLinePunct w:val="0"/>
              <w:autoSpaceDE/>
              <w:autoSpaceDN/>
              <w:bidi w:val="0"/>
              <w:adjustRightInd w:val="0"/>
              <w:snapToGrid w:val="0"/>
              <w:spacing w:line="400" w:lineRule="exact"/>
              <w:ind w:left="0" w:leftChars="0" w:firstLine="2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精确悬停范围：0.5至30m</w:t>
            </w:r>
          </w:p>
          <w:p w14:paraId="67EE1058">
            <w:pPr>
              <w:pageBreakBefore w:val="0"/>
              <w:kinsoku/>
              <w:wordWrap/>
              <w:overflowPunct/>
              <w:topLinePunct w:val="0"/>
              <w:autoSpaceDE/>
              <w:autoSpaceDN/>
              <w:bidi w:val="0"/>
              <w:adjustRightInd w:val="0"/>
              <w:snapToGrid w:val="0"/>
              <w:spacing w:line="400" w:lineRule="exact"/>
              <w:ind w:left="0" w:leftChars="0" w:firstLine="2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视觉悬停范围：0.5至60m</w:t>
            </w:r>
          </w:p>
        </w:tc>
      </w:tr>
    </w:tbl>
    <w:p w14:paraId="072B5C7C">
      <w:pPr>
        <w:pStyle w:val="4"/>
        <w:tabs>
          <w:tab w:val="left" w:pos="2985"/>
          <w:tab w:val="clear" w:pos="432"/>
        </w:tabs>
        <w:spacing w:before="120" w:line="420" w:lineRule="exact"/>
        <w:rPr>
          <w:rFonts w:hint="eastAsia" w:ascii="仿宋" w:eastAsia="仿宋" w:cs="仿宋"/>
          <w:bCs/>
          <w:color w:val="auto"/>
          <w:sz w:val="28"/>
          <w:szCs w:val="28"/>
          <w:highlight w:val="none"/>
          <w:lang w:val="en-US" w:eastAsia="zh-CN"/>
        </w:rPr>
      </w:pPr>
      <w:r>
        <w:rPr>
          <w:rFonts w:hint="eastAsia" w:ascii="仿宋" w:eastAsia="仿宋" w:cs="仿宋"/>
          <w:bCs/>
          <w:color w:val="auto"/>
          <w:sz w:val="28"/>
          <w:szCs w:val="28"/>
          <w:highlight w:val="none"/>
          <w:lang w:val="en-US" w:eastAsia="zh-CN"/>
        </w:rPr>
        <w:t>三、商务条款要求：</w:t>
      </w:r>
    </w:p>
    <w:tbl>
      <w:tblPr>
        <w:tblStyle w:val="23"/>
        <w:tblW w:w="9619" w:type="dxa"/>
        <w:jc w:val="center"/>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7775"/>
      </w:tblGrid>
      <w:tr w14:paraId="28C7F486">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1844" w:type="dxa"/>
            <w:noWrap w:val="0"/>
            <w:vAlign w:val="center"/>
          </w:tcPr>
          <w:p w14:paraId="78225992">
            <w:pPr>
              <w:spacing w:line="42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szCs w:val="24"/>
                <w:highlight w:val="none"/>
              </w:rPr>
              <w:t>供货要求</w:t>
            </w:r>
          </w:p>
        </w:tc>
        <w:tc>
          <w:tcPr>
            <w:tcW w:w="7775" w:type="dxa"/>
            <w:noWrap w:val="0"/>
            <w:vAlign w:val="center"/>
          </w:tcPr>
          <w:p w14:paraId="0C157860">
            <w:pPr>
              <w:spacing w:line="4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1.供应商所供的货物必须为全新的，符合国家标准的合格产品。</w:t>
            </w:r>
          </w:p>
          <w:p w14:paraId="0A7FB105">
            <w:pPr>
              <w:spacing w:line="4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2.所供货物不会侵犯任何第三方知识产权。</w:t>
            </w:r>
          </w:p>
          <w:p w14:paraId="2E030B68">
            <w:pPr>
              <w:spacing w:line="4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3.送货地址：甲方指定地点。</w:t>
            </w:r>
          </w:p>
          <w:p w14:paraId="3202183D">
            <w:pPr>
              <w:spacing w:line="420" w:lineRule="exact"/>
              <w:rPr>
                <w:rFonts w:hint="eastAsia" w:ascii="仿宋" w:hAnsi="仿宋" w:eastAsia="仿宋" w:cs="仿宋"/>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4.</w:t>
            </w:r>
            <w:r>
              <w:rPr>
                <w:rFonts w:hint="eastAsia" w:ascii="仿宋" w:hAnsi="仿宋" w:eastAsia="仿宋" w:cs="仿宋"/>
                <w:b/>
                <w:bCs/>
                <w:color w:val="auto"/>
                <w:sz w:val="24"/>
                <w:highlight w:val="none"/>
              </w:rPr>
              <w:t>签订合同且</w:t>
            </w:r>
            <w:r>
              <w:rPr>
                <w:rFonts w:hint="eastAsia" w:ascii="仿宋" w:hAnsi="仿宋" w:eastAsia="仿宋" w:cs="仿宋"/>
                <w:b/>
                <w:bCs/>
                <w:color w:val="auto"/>
                <w:sz w:val="24"/>
                <w:highlight w:val="none"/>
                <w:lang w:val="en-US" w:eastAsia="zh-CN"/>
              </w:rPr>
              <w:t>完全</w:t>
            </w:r>
            <w:r>
              <w:rPr>
                <w:rFonts w:hint="eastAsia" w:ascii="仿宋" w:hAnsi="仿宋" w:eastAsia="仿宋" w:cs="仿宋"/>
                <w:b/>
                <w:bCs/>
                <w:color w:val="auto"/>
                <w:sz w:val="24"/>
                <w:highlight w:val="none"/>
              </w:rPr>
              <w:t>具备施工条件后</w:t>
            </w:r>
            <w:r>
              <w:rPr>
                <w:rFonts w:hint="eastAsia" w:ascii="仿宋" w:hAnsi="仿宋" w:eastAsia="仿宋" w:cs="仿宋"/>
                <w:b/>
                <w:bCs/>
                <w:color w:val="auto"/>
                <w:sz w:val="24"/>
                <w:highlight w:val="none"/>
                <w:lang w:val="en-US" w:eastAsia="zh-CN"/>
              </w:rPr>
              <w:t>3</w:t>
            </w:r>
            <w:r>
              <w:rPr>
                <w:rFonts w:hint="eastAsia" w:ascii="仿宋" w:hAnsi="仿宋" w:eastAsia="仿宋" w:cs="仿宋"/>
                <w:b/>
                <w:bCs/>
                <w:color w:val="auto"/>
                <w:sz w:val="24"/>
                <w:highlight w:val="none"/>
              </w:rPr>
              <w:t>个月内完成3D微气象调控系统</w:t>
            </w:r>
            <w:r>
              <w:rPr>
                <w:rFonts w:hint="eastAsia" w:ascii="仿宋" w:hAnsi="仿宋" w:eastAsia="仿宋" w:cs="仿宋"/>
                <w:b/>
                <w:bCs/>
                <w:color w:val="auto"/>
                <w:sz w:val="24"/>
                <w:highlight w:val="none"/>
              </w:rPr>
              <w:t>及颗粒物激光雷达设备安装、调试，布局应科学合理，统一规划。安装完成后需尽快完成调试，确保设备正常运行。</w:t>
            </w:r>
          </w:p>
        </w:tc>
      </w:tr>
      <w:tr w14:paraId="38578E9E">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1844" w:type="dxa"/>
            <w:noWrap w:val="0"/>
            <w:vAlign w:val="center"/>
          </w:tcPr>
          <w:p w14:paraId="234E0D7B">
            <w:pPr>
              <w:spacing w:line="420" w:lineRule="exact"/>
              <w:jc w:val="center"/>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质保要求</w:t>
            </w:r>
          </w:p>
        </w:tc>
        <w:tc>
          <w:tcPr>
            <w:tcW w:w="7775" w:type="dxa"/>
            <w:noWrap w:val="0"/>
            <w:vAlign w:val="center"/>
          </w:tcPr>
          <w:p w14:paraId="67D74F1C">
            <w:pPr>
              <w:tabs>
                <w:tab w:val="left" w:pos="1680"/>
              </w:tabs>
              <w:spacing w:line="40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▲项目整体质保</w:t>
            </w:r>
            <w:r>
              <w:rPr>
                <w:rFonts w:hint="eastAsia" w:ascii="仿宋" w:hAnsi="仿宋" w:eastAsia="仿宋" w:cs="仿宋"/>
                <w:b/>
                <w:color w:val="auto"/>
                <w:sz w:val="24"/>
                <w:highlight w:val="none"/>
                <w:lang w:val="en-US" w:eastAsia="zh-CN"/>
              </w:rPr>
              <w:t>壹</w:t>
            </w:r>
            <w:r>
              <w:rPr>
                <w:rFonts w:hint="eastAsia" w:ascii="仿宋" w:hAnsi="仿宋" w:eastAsia="仿宋" w:cs="仿宋"/>
                <w:b/>
                <w:color w:val="auto"/>
                <w:sz w:val="24"/>
                <w:highlight w:val="none"/>
              </w:rPr>
              <w:t>年（从供货验收合格交付使用之日起</w:t>
            </w:r>
            <w:r>
              <w:rPr>
                <w:rFonts w:hint="eastAsia" w:ascii="仿宋" w:hAnsi="仿宋" w:eastAsia="仿宋" w:cs="仿宋"/>
                <w:b/>
                <w:color w:val="auto"/>
                <w:sz w:val="24"/>
                <w:highlight w:val="none"/>
                <w:lang w:val="en-US" w:eastAsia="zh-CN"/>
              </w:rPr>
              <w:t>计算</w:t>
            </w:r>
            <w:r>
              <w:rPr>
                <w:rFonts w:hint="eastAsia" w:ascii="仿宋" w:hAnsi="仿宋" w:eastAsia="仿宋" w:cs="仿宋"/>
                <w:b/>
                <w:color w:val="auto"/>
                <w:sz w:val="24"/>
                <w:highlight w:val="none"/>
              </w:rPr>
              <w:t>）。</w:t>
            </w:r>
          </w:p>
          <w:p w14:paraId="424A397D">
            <w:pPr>
              <w:spacing w:line="4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在质保期内，供应商应对货物出现的质量及安全问题负责处理解决并承担一切费用。</w:t>
            </w:r>
          </w:p>
        </w:tc>
      </w:tr>
      <w:tr w14:paraId="20CBA701">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844" w:type="dxa"/>
            <w:noWrap w:val="0"/>
            <w:vAlign w:val="center"/>
          </w:tcPr>
          <w:p w14:paraId="06B7DCC9">
            <w:pPr>
              <w:spacing w:line="42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▲报价要求</w:t>
            </w:r>
          </w:p>
        </w:tc>
        <w:tc>
          <w:tcPr>
            <w:tcW w:w="7775" w:type="dxa"/>
            <w:noWrap w:val="0"/>
            <w:vAlign w:val="center"/>
          </w:tcPr>
          <w:p w14:paraId="4A475164">
            <w:pPr>
              <w:spacing w:line="420" w:lineRule="exact"/>
              <w:rPr>
                <w:rFonts w:hint="eastAsia" w:ascii="仿宋" w:hAnsi="仿宋" w:eastAsia="仿宋" w:cs="仿宋"/>
                <w:color w:val="auto"/>
                <w:sz w:val="24"/>
                <w:highlight w:val="none"/>
              </w:rPr>
            </w:pPr>
            <w:r>
              <w:rPr>
                <w:rFonts w:hint="eastAsia" w:ascii="仿宋" w:hAnsi="仿宋" w:eastAsia="仿宋" w:cs="仿宋"/>
                <w:b/>
                <w:color w:val="auto"/>
                <w:sz w:val="24"/>
                <w:highlight w:val="none"/>
              </w:rPr>
              <w:t>本项目采用总价合同，本项目投标总价包括但不仅限于项目清单中设备的采购运输安装、调试集成费用、</w:t>
            </w:r>
            <w:r>
              <w:rPr>
                <w:rFonts w:hint="eastAsia" w:ascii="仿宋" w:hAnsi="仿宋" w:eastAsia="仿宋" w:cs="仿宋"/>
                <w:b/>
                <w:color w:val="auto"/>
                <w:sz w:val="24"/>
                <w:highlight w:val="none"/>
                <w:lang w:val="en-US" w:eastAsia="zh-CN"/>
              </w:rPr>
              <w:t>运维服务费、</w:t>
            </w:r>
            <w:r>
              <w:rPr>
                <w:rFonts w:hint="eastAsia" w:ascii="仿宋" w:hAnsi="仿宋" w:eastAsia="仿宋" w:cs="仿宋"/>
                <w:b/>
                <w:color w:val="auto"/>
                <w:sz w:val="24"/>
                <w:highlight w:val="none"/>
              </w:rPr>
              <w:t>培训费及招标代理费等。</w:t>
            </w:r>
            <w:r>
              <w:rPr>
                <w:rFonts w:hint="eastAsia" w:ascii="仿宋" w:hAnsi="仿宋" w:eastAsia="仿宋" w:cs="仿宋"/>
                <w:b/>
                <w:color w:val="auto"/>
                <w:sz w:val="24"/>
                <w:highlight w:val="none"/>
                <w:lang w:val="en-US" w:eastAsia="zh-CN"/>
              </w:rPr>
              <w:t>投标人</w:t>
            </w:r>
            <w:r>
              <w:rPr>
                <w:rFonts w:hint="eastAsia" w:ascii="仿宋" w:hAnsi="仿宋" w:eastAsia="仿宋" w:cs="仿宋"/>
                <w:b/>
                <w:color w:val="auto"/>
                <w:sz w:val="24"/>
                <w:highlight w:val="none"/>
              </w:rPr>
              <w:t>应充分考虑采购的产品的运输、安装及集成测试培训等工作时各环节所发生的费用，并计入投标报价中。</w:t>
            </w:r>
          </w:p>
        </w:tc>
      </w:tr>
      <w:tr w14:paraId="6EBB235D">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844" w:type="dxa"/>
            <w:noWrap w:val="0"/>
            <w:vAlign w:val="center"/>
          </w:tcPr>
          <w:p w14:paraId="0EA965D9">
            <w:pPr>
              <w:spacing w:line="42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▲付款方式</w:t>
            </w:r>
          </w:p>
        </w:tc>
        <w:tc>
          <w:tcPr>
            <w:tcW w:w="7775" w:type="dxa"/>
            <w:noWrap w:val="0"/>
            <w:vAlign w:val="center"/>
          </w:tcPr>
          <w:p w14:paraId="38A0BFB7">
            <w:pPr>
              <w:spacing w:line="4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1.合同生效，采购人具备支付条件后</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个工作日内向中标单位支付合同总价</w:t>
            </w:r>
            <w:r>
              <w:rPr>
                <w:rFonts w:hint="eastAsia" w:ascii="仿宋" w:hAnsi="仿宋" w:eastAsia="仿宋" w:cs="仿宋"/>
                <w:color w:val="auto"/>
                <w:sz w:val="24"/>
                <w:highlight w:val="none"/>
                <w:lang w:val="en-US" w:eastAsia="zh-CN"/>
              </w:rPr>
              <w:t>45</w:t>
            </w:r>
            <w:r>
              <w:rPr>
                <w:rFonts w:hint="eastAsia" w:ascii="仿宋" w:hAnsi="仿宋" w:eastAsia="仿宋" w:cs="仿宋"/>
                <w:color w:val="auto"/>
                <w:sz w:val="24"/>
                <w:highlight w:val="none"/>
              </w:rPr>
              <w:t>%的预付款；</w:t>
            </w:r>
          </w:p>
          <w:p w14:paraId="2FAB0048">
            <w:pPr>
              <w:spacing w:line="42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2.所有设备</w:t>
            </w:r>
            <w:r>
              <w:rPr>
                <w:rFonts w:hint="eastAsia" w:ascii="仿宋" w:hAnsi="仿宋" w:eastAsia="仿宋" w:cs="仿宋"/>
                <w:color w:val="auto"/>
                <w:sz w:val="24"/>
                <w:highlight w:val="none"/>
                <w:lang w:val="en-US" w:eastAsia="zh-CN"/>
              </w:rPr>
              <w:t>到货安装完毕</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且采购人具备支付条件后5</w:t>
            </w:r>
            <w:r>
              <w:rPr>
                <w:rFonts w:hint="eastAsia" w:ascii="仿宋" w:hAnsi="仿宋" w:eastAsia="仿宋" w:cs="仿宋"/>
                <w:color w:val="auto"/>
                <w:sz w:val="24"/>
                <w:highlight w:val="none"/>
              </w:rPr>
              <w:t>个工作日内支付</w:t>
            </w:r>
            <w:r>
              <w:rPr>
                <w:rFonts w:hint="eastAsia" w:ascii="仿宋" w:hAnsi="仿宋" w:eastAsia="仿宋" w:cs="仿宋"/>
                <w:color w:val="auto"/>
                <w:sz w:val="24"/>
                <w:highlight w:val="none"/>
                <w:lang w:val="en-US" w:eastAsia="zh-CN"/>
              </w:rPr>
              <w:t>合同总价的2</w:t>
            </w: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eastAsia="zh-CN"/>
              </w:rPr>
              <w:t>；</w:t>
            </w:r>
          </w:p>
          <w:p w14:paraId="0ECCFAB1">
            <w:pPr>
              <w:spacing w:line="42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3.设备完成1年运维后，且采购人具备支付条件后5</w:t>
            </w:r>
            <w:r>
              <w:rPr>
                <w:rFonts w:hint="eastAsia" w:ascii="仿宋" w:hAnsi="仿宋" w:eastAsia="仿宋" w:cs="仿宋"/>
                <w:color w:val="auto"/>
                <w:sz w:val="24"/>
                <w:highlight w:val="none"/>
              </w:rPr>
              <w:t>个工作日内支付</w:t>
            </w:r>
            <w:r>
              <w:rPr>
                <w:rFonts w:hint="eastAsia" w:ascii="仿宋" w:hAnsi="仿宋" w:eastAsia="仿宋" w:cs="仿宋"/>
                <w:color w:val="auto"/>
                <w:sz w:val="24"/>
                <w:highlight w:val="none"/>
                <w:lang w:val="en-US" w:eastAsia="zh-CN"/>
              </w:rPr>
              <w:t>合同总价的25</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p>
          <w:p w14:paraId="093B6C0A">
            <w:pPr>
              <w:spacing w:line="420" w:lineRule="exact"/>
              <w:rPr>
                <w:rFonts w:hint="default"/>
                <w:color w:val="auto"/>
                <w:highlight w:val="none"/>
                <w:lang w:val="en-US" w:eastAsia="zh-CN"/>
              </w:rPr>
            </w:pPr>
            <w:r>
              <w:rPr>
                <w:rFonts w:hint="eastAsia" w:ascii="仿宋" w:hAnsi="仿宋" w:eastAsia="仿宋" w:cs="仿宋"/>
                <w:color w:val="auto"/>
                <w:sz w:val="24"/>
                <w:highlight w:val="none"/>
                <w:lang w:val="en-US" w:eastAsia="zh-CN"/>
              </w:rPr>
              <w:t>4.设备完成2年运维后，且采购人具备支付条件后5</w:t>
            </w:r>
            <w:r>
              <w:rPr>
                <w:rFonts w:hint="eastAsia" w:ascii="仿宋" w:hAnsi="仿宋" w:eastAsia="仿宋" w:cs="仿宋"/>
                <w:color w:val="auto"/>
                <w:sz w:val="24"/>
                <w:highlight w:val="none"/>
              </w:rPr>
              <w:t>个工作日</w:t>
            </w:r>
            <w:r>
              <w:rPr>
                <w:rFonts w:hint="eastAsia" w:ascii="仿宋" w:hAnsi="仿宋" w:eastAsia="仿宋" w:cs="仿宋"/>
                <w:color w:val="auto"/>
                <w:sz w:val="24"/>
                <w:highlight w:val="none"/>
                <w:lang w:val="en-US" w:eastAsia="zh-CN"/>
              </w:rPr>
              <w:t>内支付剩余10%合同款项。</w:t>
            </w:r>
          </w:p>
          <w:p w14:paraId="32968E4B">
            <w:pPr>
              <w:spacing w:line="4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注：付款前，中标供应商须提供符合要求的财务发票，否则采购单位有权不予支付，且不承担违约责任，但中标供应商仍须履行本合同。</w:t>
            </w:r>
          </w:p>
          <w:p w14:paraId="7F1E5C84">
            <w:pPr>
              <w:spacing w:line="4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（最终解释权归甲方）</w:t>
            </w:r>
          </w:p>
        </w:tc>
      </w:tr>
      <w:tr w14:paraId="694C75FE">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844" w:type="dxa"/>
            <w:noWrap w:val="0"/>
            <w:vAlign w:val="center"/>
          </w:tcPr>
          <w:p w14:paraId="06DB2972">
            <w:pPr>
              <w:spacing w:line="42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szCs w:val="24"/>
                <w:highlight w:val="none"/>
                <w:lang w:val="en-US" w:eastAsia="zh-CN"/>
              </w:rPr>
              <w:t>运维服务要求</w:t>
            </w:r>
          </w:p>
        </w:tc>
        <w:tc>
          <w:tcPr>
            <w:tcW w:w="7775" w:type="dxa"/>
            <w:noWrap w:val="0"/>
            <w:vAlign w:val="center"/>
          </w:tcPr>
          <w:p w14:paraId="0FF65525">
            <w:pPr>
              <w:numPr>
                <w:ilvl w:val="0"/>
                <w:numId w:val="0"/>
              </w:numPr>
              <w:spacing w:line="42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1.</w:t>
            </w:r>
            <w:r>
              <w:rPr>
                <w:rFonts w:hint="eastAsia" w:ascii="仿宋" w:hAnsi="仿宋" w:eastAsia="仿宋" w:cs="仿宋"/>
                <w:color w:val="auto"/>
                <w:sz w:val="24"/>
                <w:szCs w:val="24"/>
                <w:highlight w:val="none"/>
                <w:lang w:val="en-US" w:eastAsia="zh-CN"/>
              </w:rPr>
              <w:t>中标供应商须对提供的3D微气象调控系统及</w:t>
            </w:r>
            <w:r>
              <w:rPr>
                <w:rFonts w:hint="eastAsia" w:ascii="仿宋" w:hAnsi="仿宋" w:eastAsia="仿宋" w:cs="仿宋"/>
                <w:color w:val="auto"/>
                <w:sz w:val="24"/>
                <w:highlight w:val="none"/>
              </w:rPr>
              <w:t>颗粒物激光雷达设备</w:t>
            </w:r>
            <w:r>
              <w:rPr>
                <w:rFonts w:hint="eastAsia" w:ascii="仿宋" w:hAnsi="仿宋" w:eastAsia="仿宋" w:cs="仿宋"/>
                <w:color w:val="auto"/>
                <w:sz w:val="24"/>
                <w:szCs w:val="24"/>
                <w:highlight w:val="none"/>
                <w:lang w:val="en-US" w:eastAsia="zh-CN"/>
              </w:rPr>
              <w:t>提供为期2年的运维服务。</w:t>
            </w:r>
          </w:p>
          <w:p w14:paraId="20C68EDD">
            <w:pPr>
              <w:widowControl w:val="0"/>
              <w:spacing w:before="120" w:beforeLines="50" w:after="120" w:afterLines="50" w:line="360" w:lineRule="exac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2.运维期内</w:t>
            </w:r>
            <w:r>
              <w:rPr>
                <w:rFonts w:hint="eastAsia" w:ascii="仿宋" w:hAnsi="仿宋" w:eastAsia="仿宋" w:cs="仿宋"/>
                <w:bCs/>
                <w:color w:val="auto"/>
                <w:sz w:val="24"/>
                <w:szCs w:val="24"/>
                <w:highlight w:val="none"/>
                <w:lang w:eastAsia="zh-CN"/>
              </w:rPr>
              <w:t>中标</w:t>
            </w:r>
            <w:r>
              <w:rPr>
                <w:rFonts w:hint="eastAsia" w:ascii="仿宋" w:hAnsi="仿宋" w:eastAsia="仿宋" w:cs="仿宋"/>
                <w:bCs/>
                <w:color w:val="auto"/>
                <w:sz w:val="24"/>
                <w:szCs w:val="24"/>
                <w:highlight w:val="none"/>
                <w:lang w:val="en-US" w:eastAsia="zh-CN"/>
              </w:rPr>
              <w:t>供应商</w:t>
            </w:r>
            <w:r>
              <w:rPr>
                <w:rFonts w:hint="eastAsia" w:ascii="仿宋" w:hAnsi="仿宋" w:eastAsia="仿宋" w:cs="仿宋"/>
                <w:bCs/>
                <w:color w:val="auto"/>
                <w:sz w:val="24"/>
                <w:szCs w:val="24"/>
                <w:highlight w:val="none"/>
                <w:lang w:eastAsia="zh-CN"/>
              </w:rPr>
              <w:t>应提供7*24小时的服务响应。中标</w:t>
            </w:r>
            <w:r>
              <w:rPr>
                <w:rFonts w:hint="eastAsia" w:ascii="仿宋" w:hAnsi="仿宋" w:eastAsia="仿宋" w:cs="仿宋"/>
                <w:bCs/>
                <w:color w:val="auto"/>
                <w:sz w:val="24"/>
                <w:szCs w:val="24"/>
                <w:highlight w:val="none"/>
                <w:lang w:val="en-US" w:eastAsia="zh-CN"/>
              </w:rPr>
              <w:t>供应商</w:t>
            </w:r>
            <w:r>
              <w:rPr>
                <w:rFonts w:hint="eastAsia" w:ascii="仿宋" w:hAnsi="仿宋" w:eastAsia="仿宋" w:cs="仿宋"/>
                <w:bCs/>
                <w:color w:val="auto"/>
                <w:sz w:val="24"/>
                <w:szCs w:val="24"/>
                <w:highlight w:val="none"/>
                <w:lang w:eastAsia="zh-CN"/>
              </w:rPr>
              <w:t>应确保设备的正常使用，在接到用户故障处理要求后，项目</w:t>
            </w:r>
            <w:r>
              <w:rPr>
                <w:rFonts w:hint="eastAsia" w:ascii="仿宋" w:hAnsi="仿宋" w:eastAsia="仿宋" w:cs="仿宋"/>
                <w:bCs/>
                <w:color w:val="auto"/>
                <w:sz w:val="24"/>
                <w:szCs w:val="24"/>
                <w:highlight w:val="none"/>
                <w:lang w:val="en-US" w:eastAsia="zh-CN"/>
              </w:rPr>
              <w:t>负责人</w:t>
            </w:r>
            <w:r>
              <w:rPr>
                <w:rFonts w:hint="eastAsia" w:ascii="仿宋" w:hAnsi="仿宋" w:eastAsia="仿宋" w:cs="仿宋"/>
                <w:bCs/>
                <w:color w:val="auto"/>
                <w:sz w:val="24"/>
                <w:szCs w:val="24"/>
                <w:highlight w:val="none"/>
                <w:lang w:eastAsia="zh-CN"/>
              </w:rPr>
              <w:t>即刻响应，如无法解决问题，供应商应承诺提供专业工程师2小时内到现场并提出解决方案，4小时之内解决故障问题，若短期无法修复的，应及时提供相应备用设备并负责安装调试。</w:t>
            </w:r>
          </w:p>
          <w:p w14:paraId="3700CCA7">
            <w:pPr>
              <w:widowControl w:val="0"/>
              <w:spacing w:before="120" w:beforeLines="50" w:after="120" w:afterLines="50" w:line="360" w:lineRule="exac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.完整准确地表述原厂家的标准售后服务承诺（范围、标准及期限等）、供应商可能增加的服务承诺等。</w:t>
            </w:r>
          </w:p>
          <w:p w14:paraId="4FEB5C4B">
            <w:pPr>
              <w:numPr>
                <w:ilvl w:val="0"/>
                <w:numId w:val="0"/>
              </w:numPr>
              <w:spacing w:line="420" w:lineRule="exact"/>
              <w:rPr>
                <w:rFonts w:hint="eastAsia" w:ascii="仿宋" w:hAnsi="仿宋" w:eastAsia="仿宋" w:cs="仿宋"/>
                <w:color w:val="auto"/>
                <w:sz w:val="24"/>
                <w:highlight w:val="none"/>
              </w:rPr>
            </w:pP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lang w:eastAsia="zh-CN"/>
              </w:rPr>
              <w:t>.中标</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bCs/>
                <w:color w:val="auto"/>
                <w:sz w:val="24"/>
                <w:szCs w:val="24"/>
                <w:highlight w:val="none"/>
                <w:lang w:eastAsia="zh-CN"/>
              </w:rPr>
              <w:t>在质保期满后向业主提供如质保期内的售后服务，经双方协商后收取相应费用。</w:t>
            </w:r>
          </w:p>
        </w:tc>
      </w:tr>
      <w:tr w14:paraId="24FDADAF">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844" w:type="dxa"/>
            <w:noWrap w:val="0"/>
            <w:vAlign w:val="center"/>
          </w:tcPr>
          <w:p w14:paraId="0C5C712E">
            <w:pPr>
              <w:spacing w:line="420" w:lineRule="exact"/>
              <w:jc w:val="center"/>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服务团队人员要求</w:t>
            </w:r>
          </w:p>
        </w:tc>
        <w:tc>
          <w:tcPr>
            <w:tcW w:w="7775" w:type="dxa"/>
            <w:noWrap w:val="0"/>
            <w:vAlign w:val="center"/>
          </w:tcPr>
          <w:p w14:paraId="7BE4D805">
            <w:pPr>
              <w:numPr>
                <w:ilvl w:val="0"/>
                <w:numId w:val="0"/>
              </w:numPr>
              <w:spacing w:line="420" w:lineRule="exac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管理团队。明确1名项目负责人，负责项目的统筹协调工作，具有高级及以上职称（</w:t>
            </w:r>
            <w:r>
              <w:rPr>
                <w:rFonts w:hint="eastAsia" w:ascii="仿宋" w:hAnsi="仿宋" w:eastAsia="仿宋" w:cs="仿宋"/>
                <w:i w:val="0"/>
                <w:iCs w:val="0"/>
                <w:color w:val="auto"/>
                <w:kern w:val="0"/>
                <w:sz w:val="24"/>
                <w:szCs w:val="24"/>
                <w:highlight w:val="none"/>
                <w:u w:val="none"/>
                <w:lang w:val="en-US" w:eastAsia="zh-CN" w:bidi="ar"/>
              </w:rPr>
              <w:t>环境类专业</w:t>
            </w:r>
            <w:r>
              <w:rPr>
                <w:rFonts w:hint="eastAsia" w:ascii="仿宋" w:hAnsi="仿宋" w:eastAsia="仿宋" w:cs="仿宋"/>
                <w:bCs/>
                <w:color w:val="auto"/>
                <w:sz w:val="24"/>
                <w:szCs w:val="24"/>
                <w:highlight w:val="none"/>
                <w:lang w:val="en-US" w:eastAsia="zh-CN"/>
              </w:rPr>
              <w:t>）且</w:t>
            </w:r>
            <w:r>
              <w:rPr>
                <w:rFonts w:hint="eastAsia" w:ascii="仿宋" w:hAnsi="仿宋" w:eastAsia="仿宋" w:cs="仿宋"/>
                <w:bCs w:val="0"/>
                <w:color w:val="auto"/>
                <w:kern w:val="2"/>
                <w:sz w:val="24"/>
                <w:szCs w:val="24"/>
                <w:highlight w:val="none"/>
                <w:lang w:val="en-US" w:eastAsia="zh-CN" w:bidi="ar-SA"/>
              </w:rPr>
              <w:t>作为课题负责人承担过大气污染治理相关科研课题</w:t>
            </w:r>
            <w:r>
              <w:rPr>
                <w:rFonts w:hint="eastAsia" w:ascii="仿宋" w:hAnsi="仿宋" w:eastAsia="仿宋" w:cs="仿宋"/>
                <w:bCs/>
                <w:color w:val="auto"/>
                <w:sz w:val="24"/>
                <w:szCs w:val="24"/>
                <w:highlight w:val="none"/>
                <w:lang w:val="en-US" w:eastAsia="zh-CN"/>
              </w:rPr>
              <w:t>。其余团队服务人员也应该具备环境类专业证书。所有人员要求必须投标供应商正式工作人员。</w:t>
            </w:r>
          </w:p>
        </w:tc>
      </w:tr>
      <w:tr w14:paraId="16192E6F">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844" w:type="dxa"/>
            <w:noWrap w:val="0"/>
            <w:vAlign w:val="center"/>
          </w:tcPr>
          <w:p w14:paraId="1CA972B9">
            <w:pPr>
              <w:spacing w:line="420" w:lineRule="exact"/>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成果要求</w:t>
            </w:r>
          </w:p>
        </w:tc>
        <w:tc>
          <w:tcPr>
            <w:tcW w:w="7775" w:type="dxa"/>
            <w:noWrap w:val="0"/>
            <w:vAlign w:val="center"/>
          </w:tcPr>
          <w:p w14:paraId="6E0D147F">
            <w:pPr>
              <w:numPr>
                <w:ilvl w:val="0"/>
                <w:numId w:val="0"/>
              </w:numPr>
              <w:spacing w:line="420" w:lineRule="exac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1.布设1台颗粒物激光雷达，进行扫描监测及垂直监测，并提供2年运维。</w:t>
            </w:r>
          </w:p>
          <w:p w14:paraId="23FF20BA">
            <w:pP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2.通过污染研判，在重点区域建设“清净”系列工程，共选取5个点位安装微气象调控控制系统，提供2年运维服务；</w:t>
            </w:r>
          </w:p>
        </w:tc>
      </w:tr>
      <w:tr w14:paraId="14154B4D">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844" w:type="dxa"/>
            <w:noWrap w:val="0"/>
            <w:vAlign w:val="center"/>
          </w:tcPr>
          <w:p w14:paraId="580C455D">
            <w:pPr>
              <w:widowControl w:val="0"/>
              <w:spacing w:line="400" w:lineRule="exact"/>
              <w:jc w:val="center"/>
              <w:rPr>
                <w:rFonts w:hint="eastAsia" w:ascii="仿宋" w:hAnsi="仿宋" w:eastAsia="仿宋" w:cs="仿宋"/>
                <w:b/>
                <w:bCs/>
                <w:color w:val="auto"/>
                <w:kern w:val="2"/>
                <w:sz w:val="24"/>
                <w:szCs w:val="24"/>
                <w:highlight w:val="none"/>
                <w:lang w:val="en-US" w:eastAsia="zh-CN" w:bidi="ar-SA"/>
              </w:rPr>
            </w:pPr>
            <w:r>
              <w:rPr>
                <w:rFonts w:ascii="仿宋" w:hAnsi="仿宋" w:eastAsia="仿宋" w:cs="Arial"/>
                <w:b/>
                <w:bCs/>
                <w:color w:val="auto"/>
                <w:sz w:val="24"/>
                <w:szCs w:val="24"/>
                <w:highlight w:val="none"/>
              </w:rPr>
              <w:t>安装</w:t>
            </w:r>
          </w:p>
        </w:tc>
        <w:tc>
          <w:tcPr>
            <w:tcW w:w="7775" w:type="dxa"/>
            <w:noWrap w:val="0"/>
            <w:vAlign w:val="center"/>
          </w:tcPr>
          <w:p w14:paraId="7E4F2EBF">
            <w:pPr>
              <w:widowControl w:val="0"/>
              <w:spacing w:line="400" w:lineRule="exact"/>
              <w:rPr>
                <w:rFonts w:ascii="仿宋" w:hAnsi="仿宋" w:eastAsia="仿宋"/>
                <w:color w:val="auto"/>
                <w:sz w:val="24"/>
                <w:szCs w:val="24"/>
                <w:highlight w:val="none"/>
                <w:lang w:eastAsia="zh-CN"/>
              </w:rPr>
            </w:pPr>
            <w:r>
              <w:rPr>
                <w:rFonts w:hint="eastAsia" w:ascii="仿宋" w:hAnsi="仿宋" w:eastAsia="仿宋"/>
                <w:color w:val="auto"/>
                <w:sz w:val="24"/>
                <w:szCs w:val="24"/>
                <w:highlight w:val="none"/>
                <w:lang w:eastAsia="zh-CN"/>
              </w:rPr>
              <w:t>1.</w:t>
            </w:r>
            <w:r>
              <w:rPr>
                <w:rFonts w:ascii="仿宋" w:hAnsi="仿宋" w:eastAsia="仿宋"/>
                <w:color w:val="auto"/>
                <w:sz w:val="24"/>
                <w:szCs w:val="24"/>
                <w:highlight w:val="none"/>
                <w:lang w:eastAsia="zh-CN"/>
              </w:rPr>
              <w:t>安装标准：符合国家安全技术标准</w:t>
            </w:r>
            <w:r>
              <w:rPr>
                <w:rFonts w:hint="eastAsia" w:ascii="仿宋" w:hAnsi="仿宋" w:eastAsia="仿宋"/>
                <w:color w:val="auto"/>
                <w:sz w:val="24"/>
                <w:szCs w:val="24"/>
                <w:highlight w:val="none"/>
                <w:lang w:eastAsia="zh-CN"/>
              </w:rPr>
              <w:t>。</w:t>
            </w:r>
          </w:p>
          <w:p w14:paraId="21DC29D2">
            <w:pPr>
              <w:widowControl w:val="0"/>
              <w:spacing w:line="400" w:lineRule="exact"/>
              <w:rPr>
                <w:rFonts w:ascii="仿宋" w:hAnsi="仿宋" w:eastAsia="仿宋"/>
                <w:color w:val="auto"/>
                <w:sz w:val="24"/>
                <w:szCs w:val="24"/>
                <w:highlight w:val="none"/>
                <w:lang w:eastAsia="zh-CN"/>
              </w:rPr>
            </w:pPr>
            <w:r>
              <w:rPr>
                <w:rFonts w:hint="eastAsia" w:ascii="仿宋" w:hAnsi="仿宋" w:eastAsia="仿宋"/>
                <w:color w:val="auto"/>
                <w:sz w:val="24"/>
                <w:szCs w:val="24"/>
                <w:highlight w:val="none"/>
                <w:lang w:eastAsia="zh-CN"/>
              </w:rPr>
              <w:t>2.</w:t>
            </w:r>
            <w:r>
              <w:rPr>
                <w:rFonts w:ascii="仿宋" w:hAnsi="仿宋" w:eastAsia="仿宋"/>
                <w:color w:val="auto"/>
                <w:sz w:val="24"/>
                <w:szCs w:val="24"/>
                <w:highlight w:val="none"/>
                <w:lang w:eastAsia="zh-CN"/>
              </w:rPr>
              <w:t>安装过程中发生的费用由</w:t>
            </w:r>
            <w:r>
              <w:rPr>
                <w:rFonts w:hint="eastAsia" w:ascii="仿宋" w:hAnsi="仿宋" w:eastAsia="仿宋"/>
                <w:color w:val="auto"/>
                <w:sz w:val="24"/>
                <w:szCs w:val="24"/>
                <w:highlight w:val="none"/>
                <w:lang w:val="en-US" w:eastAsia="zh-CN"/>
              </w:rPr>
              <w:t>中标供应商</w:t>
            </w:r>
            <w:r>
              <w:rPr>
                <w:rFonts w:ascii="仿宋" w:hAnsi="仿宋" w:eastAsia="仿宋"/>
                <w:color w:val="auto"/>
                <w:sz w:val="24"/>
                <w:szCs w:val="24"/>
                <w:highlight w:val="none"/>
                <w:lang w:eastAsia="zh-CN"/>
              </w:rPr>
              <w:t>负责。</w:t>
            </w:r>
            <w:r>
              <w:rPr>
                <w:rFonts w:hint="eastAsia" w:ascii="仿宋" w:hAnsi="仿宋" w:eastAsia="仿宋" w:cs="仿宋"/>
                <w:bCs/>
                <w:color w:val="auto"/>
                <w:sz w:val="24"/>
                <w:szCs w:val="24"/>
                <w:highlight w:val="none"/>
                <w:lang w:val="en-US" w:eastAsia="zh-CN"/>
              </w:rPr>
              <w:t>投标人</w:t>
            </w:r>
            <w:r>
              <w:rPr>
                <w:rFonts w:ascii="仿宋" w:hAnsi="仿宋" w:eastAsia="仿宋"/>
                <w:color w:val="auto"/>
                <w:sz w:val="24"/>
                <w:szCs w:val="24"/>
                <w:highlight w:val="none"/>
                <w:lang w:eastAsia="zh-CN"/>
              </w:rPr>
              <w:t>应在《</w:t>
            </w:r>
            <w:r>
              <w:rPr>
                <w:rFonts w:hint="eastAsia" w:ascii="仿宋" w:hAnsi="仿宋" w:eastAsia="仿宋"/>
                <w:color w:val="auto"/>
                <w:sz w:val="24"/>
                <w:szCs w:val="24"/>
                <w:highlight w:val="none"/>
                <w:lang w:eastAsia="zh-CN"/>
              </w:rPr>
              <w:t>商务技术</w:t>
            </w:r>
            <w:r>
              <w:rPr>
                <w:rFonts w:ascii="仿宋" w:hAnsi="仿宋" w:eastAsia="仿宋"/>
                <w:color w:val="auto"/>
                <w:sz w:val="24"/>
                <w:szCs w:val="24"/>
                <w:highlight w:val="none"/>
                <w:lang w:eastAsia="zh-CN"/>
              </w:rPr>
              <w:t>文件》中提供其安装调试计划和对安装场地和环境的要求。</w:t>
            </w:r>
          </w:p>
          <w:p w14:paraId="5C813BAE">
            <w:pPr>
              <w:widowControl w:val="0"/>
              <w:spacing w:line="400" w:lineRule="exact"/>
              <w:rPr>
                <w:rFonts w:hint="eastAsia" w:eastAsia="仿宋"/>
                <w:color w:val="auto"/>
                <w:kern w:val="2"/>
                <w:sz w:val="24"/>
                <w:szCs w:val="24"/>
                <w:highlight w:val="none"/>
                <w:lang w:val="en-US" w:eastAsia="zh-CN" w:bidi="ar-SA"/>
              </w:rPr>
            </w:pPr>
            <w:r>
              <w:rPr>
                <w:rFonts w:hint="eastAsia" w:ascii="仿宋" w:hAnsi="仿宋" w:eastAsia="仿宋"/>
                <w:color w:val="auto"/>
                <w:sz w:val="24"/>
                <w:szCs w:val="24"/>
                <w:highlight w:val="none"/>
                <w:lang w:eastAsia="zh-CN"/>
              </w:rPr>
              <w:t>3.</w:t>
            </w:r>
            <w:r>
              <w:rPr>
                <w:rFonts w:ascii="仿宋" w:hAnsi="仿宋" w:eastAsia="仿宋"/>
                <w:color w:val="auto"/>
                <w:sz w:val="24"/>
                <w:szCs w:val="24"/>
                <w:highlight w:val="none"/>
                <w:lang w:eastAsia="zh-CN"/>
              </w:rPr>
              <w:t>本项目所有货物的安装涉及的所有工作及配件辅材均由</w:t>
            </w:r>
            <w:r>
              <w:rPr>
                <w:rFonts w:hint="eastAsia" w:ascii="仿宋" w:hAnsi="仿宋" w:eastAsia="仿宋"/>
                <w:color w:val="auto"/>
                <w:sz w:val="24"/>
                <w:szCs w:val="24"/>
                <w:highlight w:val="none"/>
                <w:lang w:val="en-US" w:eastAsia="zh-CN"/>
              </w:rPr>
              <w:t>中标供应商</w:t>
            </w:r>
            <w:r>
              <w:rPr>
                <w:rFonts w:ascii="仿宋" w:hAnsi="仿宋" w:eastAsia="仿宋"/>
                <w:color w:val="auto"/>
                <w:sz w:val="24"/>
                <w:szCs w:val="24"/>
                <w:highlight w:val="none"/>
                <w:lang w:eastAsia="zh-CN"/>
              </w:rPr>
              <w:t>负责，费用计入投标总价。</w:t>
            </w:r>
          </w:p>
        </w:tc>
      </w:tr>
      <w:tr w14:paraId="0B0F7B25">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844" w:type="dxa"/>
            <w:noWrap w:val="0"/>
            <w:vAlign w:val="center"/>
          </w:tcPr>
          <w:p w14:paraId="2CD9D8BC">
            <w:pPr>
              <w:widowControl w:val="0"/>
              <w:spacing w:line="400" w:lineRule="exact"/>
              <w:jc w:val="center"/>
              <w:rPr>
                <w:rFonts w:hint="eastAsia" w:ascii="仿宋" w:hAnsi="仿宋" w:eastAsia="仿宋" w:cs="仿宋"/>
                <w:b/>
                <w:bCs/>
                <w:color w:val="auto"/>
                <w:kern w:val="2"/>
                <w:sz w:val="24"/>
                <w:szCs w:val="24"/>
                <w:highlight w:val="none"/>
                <w:lang w:val="en-US" w:eastAsia="zh-CN" w:bidi="ar-SA"/>
              </w:rPr>
            </w:pPr>
            <w:r>
              <w:rPr>
                <w:rFonts w:ascii="仿宋" w:hAnsi="仿宋" w:eastAsia="仿宋" w:cs="Arial"/>
                <w:b/>
                <w:bCs/>
                <w:color w:val="auto"/>
                <w:sz w:val="24"/>
                <w:szCs w:val="24"/>
                <w:highlight w:val="none"/>
              </w:rPr>
              <w:t>培训</w:t>
            </w:r>
          </w:p>
        </w:tc>
        <w:tc>
          <w:tcPr>
            <w:tcW w:w="7775" w:type="dxa"/>
            <w:noWrap w:val="0"/>
            <w:vAlign w:val="center"/>
          </w:tcPr>
          <w:p w14:paraId="0A8C99B8">
            <w:pPr>
              <w:widowControl w:val="0"/>
              <w:spacing w:line="400" w:lineRule="exact"/>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lang w:eastAsia="zh-CN"/>
              </w:rPr>
              <w:t>培训内容包括产品的功能、操作、日常维护、一般故障处理等内容。培训涉及的所有费用由成交人承担。</w:t>
            </w:r>
          </w:p>
          <w:p w14:paraId="3AD6EF8D">
            <w:pPr>
              <w:widowControl w:val="0"/>
              <w:spacing w:line="40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b w:val="0"/>
                <w:bCs/>
                <w:color w:val="auto"/>
                <w:sz w:val="24"/>
                <w:szCs w:val="24"/>
                <w:highlight w:val="none"/>
                <w:lang w:eastAsia="zh-CN"/>
              </w:rPr>
              <w:t>备注：以上</w:t>
            </w:r>
            <w:r>
              <w:rPr>
                <w:rFonts w:ascii="仿宋" w:hAnsi="仿宋" w:eastAsia="仿宋"/>
                <w:b w:val="0"/>
                <w:bCs/>
                <w:color w:val="auto"/>
                <w:sz w:val="24"/>
                <w:szCs w:val="24"/>
                <w:highlight w:val="none"/>
                <w:lang w:eastAsia="zh-CN"/>
              </w:rPr>
              <w:t>培训涉及的所有费用由</w:t>
            </w:r>
            <w:r>
              <w:rPr>
                <w:rFonts w:hint="eastAsia" w:ascii="仿宋" w:hAnsi="仿宋" w:eastAsia="仿宋"/>
                <w:b w:val="0"/>
                <w:bCs/>
                <w:color w:val="auto"/>
                <w:sz w:val="24"/>
                <w:szCs w:val="24"/>
                <w:highlight w:val="none"/>
                <w:lang w:val="en-US" w:eastAsia="zh-CN"/>
              </w:rPr>
              <w:t>中标单位</w:t>
            </w:r>
            <w:r>
              <w:rPr>
                <w:rFonts w:ascii="仿宋" w:hAnsi="仿宋" w:eastAsia="仿宋"/>
                <w:b w:val="0"/>
                <w:bCs/>
                <w:color w:val="auto"/>
                <w:sz w:val="24"/>
                <w:szCs w:val="24"/>
                <w:highlight w:val="none"/>
                <w:lang w:eastAsia="zh-CN"/>
              </w:rPr>
              <w:t>承担</w:t>
            </w:r>
            <w:r>
              <w:rPr>
                <w:rFonts w:hint="eastAsia" w:ascii="仿宋" w:hAnsi="仿宋" w:eastAsia="仿宋"/>
                <w:b w:val="0"/>
                <w:bCs/>
                <w:color w:val="auto"/>
                <w:sz w:val="24"/>
                <w:szCs w:val="24"/>
                <w:highlight w:val="none"/>
                <w:lang w:eastAsia="zh-CN"/>
              </w:rPr>
              <w:t>，具体培训方案请在投标文件中明确说明。</w:t>
            </w:r>
          </w:p>
        </w:tc>
      </w:tr>
      <w:tr w14:paraId="7FC84DC6">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844" w:type="dxa"/>
            <w:noWrap w:val="0"/>
            <w:vAlign w:val="center"/>
          </w:tcPr>
          <w:p w14:paraId="0468EC5F">
            <w:pPr>
              <w:widowControl w:val="0"/>
              <w:spacing w:before="240" w:beforeLines="100" w:after="240" w:afterLines="100" w:line="360" w:lineRule="exact"/>
              <w:jc w:val="center"/>
              <w:rPr>
                <w:rFonts w:ascii="仿宋" w:hAnsi="仿宋" w:eastAsia="仿宋" w:cs="Arial"/>
                <w:b/>
                <w:bCs/>
                <w:color w:val="auto"/>
                <w:sz w:val="24"/>
                <w:szCs w:val="24"/>
                <w:highlight w:val="none"/>
              </w:rPr>
            </w:pPr>
            <w:r>
              <w:rPr>
                <w:rFonts w:hint="eastAsia" w:ascii="仿宋" w:hAnsi="仿宋" w:eastAsia="仿宋" w:cs="仿宋"/>
                <w:b/>
                <w:bCs/>
                <w:color w:val="auto"/>
                <w:sz w:val="24"/>
                <w:szCs w:val="24"/>
                <w:highlight w:val="none"/>
                <w:lang w:eastAsia="zh-CN"/>
              </w:rPr>
              <w:t>保密及廉政要求</w:t>
            </w:r>
          </w:p>
        </w:tc>
        <w:tc>
          <w:tcPr>
            <w:tcW w:w="7775" w:type="dxa"/>
            <w:noWrap w:val="0"/>
            <w:vAlign w:val="center"/>
          </w:tcPr>
          <w:p w14:paraId="2BBB1529">
            <w:pPr>
              <w:widowControl w:val="0"/>
              <w:spacing w:before="120" w:beforeLines="50" w:after="120" w:afterLines="50" w:line="360" w:lineRule="exact"/>
              <w:rPr>
                <w:rFonts w:hint="eastAsia" w:ascii="仿宋" w:hAnsi="仿宋" w:eastAsia="仿宋" w:cs="仿宋"/>
                <w:bCs/>
                <w:color w:val="auto"/>
                <w:sz w:val="24"/>
                <w:szCs w:val="24"/>
                <w:highlight w:val="none"/>
                <w:lang w:eastAsia="zh-CN"/>
              </w:rPr>
            </w:pPr>
            <w:r>
              <w:rPr>
                <w:rFonts w:hint="eastAsia" w:ascii="仿宋" w:hAnsi="仿宋" w:eastAsia="仿宋" w:cs="仿宋"/>
                <w:color w:val="auto"/>
                <w:sz w:val="24"/>
                <w:szCs w:val="24"/>
                <w:highlight w:val="none"/>
                <w:lang w:val="en-US" w:eastAsia="zh-CN"/>
              </w:rPr>
              <w:t>中标供应商</w:t>
            </w:r>
            <w:r>
              <w:rPr>
                <w:rFonts w:hint="eastAsia" w:ascii="仿宋" w:hAnsi="仿宋" w:eastAsia="仿宋" w:cs="仿宋"/>
                <w:color w:val="auto"/>
                <w:sz w:val="24"/>
                <w:szCs w:val="24"/>
                <w:highlight w:val="none"/>
                <w:lang w:eastAsia="zh-CN"/>
              </w:rPr>
              <w:t>在项目实施过程中按照国家保密法律法规以及甲方的要求,做好有关保密工作。应保证项目实施过程中的有关信息、文件等对第三方保密，非经甲方同意，不得公开或向第三方提供</w:t>
            </w:r>
            <w:r>
              <w:rPr>
                <w:rFonts w:hint="eastAsia" w:ascii="仿宋" w:hAnsi="仿宋" w:eastAsia="仿宋" w:cs="仿宋"/>
                <w:bCs/>
                <w:color w:val="auto"/>
                <w:sz w:val="24"/>
                <w:szCs w:val="24"/>
                <w:highlight w:val="none"/>
                <w:lang w:eastAsia="zh-CN"/>
              </w:rPr>
              <w:t>。</w:t>
            </w:r>
          </w:p>
          <w:p w14:paraId="56E187E0">
            <w:pPr>
              <w:widowControl w:val="0"/>
              <w:spacing w:before="120" w:beforeLines="50" w:after="120" w:afterLines="50" w:line="360" w:lineRule="exact"/>
              <w:rPr>
                <w:rFonts w:hint="eastAsia" w:ascii="仿宋" w:hAnsi="仿宋" w:eastAsia="仿宋"/>
                <w:b/>
                <w:color w:val="auto"/>
                <w:sz w:val="24"/>
                <w:szCs w:val="24"/>
                <w:highlight w:val="none"/>
                <w:lang w:eastAsia="zh-CN"/>
              </w:rPr>
            </w:pPr>
            <w:r>
              <w:rPr>
                <w:rFonts w:hint="eastAsia" w:ascii="仿宋" w:hAnsi="仿宋" w:eastAsia="仿宋" w:cs="仿宋"/>
                <w:bCs/>
                <w:color w:val="auto"/>
                <w:sz w:val="24"/>
                <w:szCs w:val="24"/>
                <w:highlight w:val="none"/>
                <w:lang w:eastAsia="zh-CN"/>
              </w:rPr>
              <w:t>合同乙方与合同甲方相关人员保持正常业务关系，按照有关法律法规和程序规定开展业务，严格执行项目廉政管理规定，不得以任何方式向采购单位相关人员行贿、给予不当利益，并签订廉政承诺书。</w:t>
            </w:r>
            <w:r>
              <w:rPr>
                <w:rFonts w:hint="eastAsia" w:ascii="仿宋" w:hAnsi="仿宋" w:eastAsia="仿宋" w:cs="仿宋"/>
                <w:bCs/>
                <w:color w:val="auto"/>
                <w:sz w:val="24"/>
                <w:szCs w:val="24"/>
                <w:highlight w:val="none"/>
              </w:rPr>
              <w:t>廉政承诺书将作为服务合同的附件。</w:t>
            </w:r>
          </w:p>
        </w:tc>
      </w:tr>
      <w:tr w14:paraId="2F38F56D">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844" w:type="dxa"/>
            <w:noWrap w:val="0"/>
            <w:vAlign w:val="center"/>
          </w:tcPr>
          <w:p w14:paraId="7F6386C5">
            <w:pPr>
              <w:widowControl w:val="0"/>
              <w:spacing w:before="240" w:beforeLines="100" w:after="240" w:afterLines="100" w:line="360" w:lineRule="exact"/>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技术文档要求</w:t>
            </w:r>
          </w:p>
        </w:tc>
        <w:tc>
          <w:tcPr>
            <w:tcW w:w="7775" w:type="dxa"/>
            <w:noWrap w:val="0"/>
            <w:vAlign w:val="center"/>
          </w:tcPr>
          <w:p w14:paraId="763A616E">
            <w:pPr>
              <w:widowControl w:val="0"/>
              <w:spacing w:before="120" w:beforeLines="50" w:after="120" w:afterLines="50" w:line="360" w:lineRule="exac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对建设过程管理和成果产物的要求：</w:t>
            </w:r>
          </w:p>
          <w:p w14:paraId="2059AA3B">
            <w:pPr>
              <w:widowControl w:val="0"/>
              <w:spacing w:before="120" w:beforeLines="50" w:after="120" w:afterLines="50" w:line="360" w:lineRule="exac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文档的提交应覆盖以下内容，电子文档是成果不可分割的部分。要求如下文档：</w:t>
            </w:r>
          </w:p>
          <w:p w14:paraId="232EAA94">
            <w:pPr>
              <w:widowControl w:val="0"/>
              <w:spacing w:before="120" w:beforeLines="50" w:after="120" w:afterLines="50" w:line="360" w:lineRule="exac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●过程性文档</w:t>
            </w:r>
          </w:p>
          <w:p w14:paraId="54A10E79">
            <w:pPr>
              <w:widowControl w:val="0"/>
              <w:spacing w:before="120" w:beforeLines="50" w:after="120" w:afterLines="50" w:line="360" w:lineRule="exac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项目实施过程中产生的流程性文档，不限于如：现场勘察记录、需求调研记录及分析、实施方案报审单、开工申请、设备/材料报审表、货物检验签收单、软件/设备安装调试测试记录、培训记录、初验申请单、试运行申请、终验申请、项目总结报告等等。</w:t>
            </w:r>
          </w:p>
          <w:p w14:paraId="49B31C19">
            <w:pPr>
              <w:widowControl w:val="0"/>
              <w:spacing w:before="120" w:beforeLines="50" w:after="120" w:afterLines="50" w:line="360" w:lineRule="exac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●成果性文档</w:t>
            </w:r>
          </w:p>
          <w:p w14:paraId="60BB18FF">
            <w:pPr>
              <w:widowControl w:val="0"/>
              <w:spacing w:before="120" w:beforeLines="50" w:after="120" w:afterLines="50" w:line="360" w:lineRule="exac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项目实施过程中产生的成果性文档，不限于如：项目实施方案、测试方案及计划，测试记录、用户手册、</w:t>
            </w:r>
            <w:r>
              <w:rPr>
                <w:rFonts w:hint="eastAsia" w:ascii="仿宋" w:hAnsi="仿宋" w:eastAsia="仿宋" w:cs="仿宋"/>
                <w:bCs/>
                <w:color w:val="auto"/>
                <w:sz w:val="24"/>
                <w:szCs w:val="24"/>
                <w:highlight w:val="none"/>
                <w:lang w:val="en-US" w:eastAsia="zh-CN"/>
              </w:rPr>
              <w:t>运维</w:t>
            </w:r>
            <w:r>
              <w:rPr>
                <w:rFonts w:hint="eastAsia" w:ascii="仿宋" w:hAnsi="仿宋" w:eastAsia="仿宋" w:cs="仿宋"/>
                <w:bCs/>
                <w:color w:val="auto"/>
                <w:sz w:val="24"/>
                <w:szCs w:val="24"/>
                <w:highlight w:val="none"/>
                <w:lang w:eastAsia="zh-CN"/>
              </w:rPr>
              <w:t>管理维护手册等等。</w:t>
            </w:r>
          </w:p>
          <w:p w14:paraId="11232878">
            <w:pPr>
              <w:widowControl w:val="0"/>
              <w:spacing w:before="120" w:beforeLines="50" w:after="120" w:afterLines="50" w:line="360" w:lineRule="exac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●设备/软件随机资料</w:t>
            </w:r>
          </w:p>
          <w:p w14:paraId="7D917238">
            <w:pPr>
              <w:widowControl w:val="0"/>
              <w:spacing w:before="120" w:beforeLines="50" w:after="120" w:afterLines="50" w:line="360" w:lineRule="exac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设备/软件随机自带的光盘、资料文档等等。</w:t>
            </w:r>
          </w:p>
          <w:p w14:paraId="305D2F7D">
            <w:pPr>
              <w:widowControl w:val="0"/>
              <w:spacing w:before="120" w:beforeLines="50" w:after="120" w:afterLines="50" w:line="36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●其他需要提交的材料。</w:t>
            </w:r>
          </w:p>
          <w:p w14:paraId="721A8F86">
            <w:pPr>
              <w:widowControl w:val="0"/>
              <w:spacing w:before="120" w:beforeLines="50" w:after="120" w:afterLines="50" w:line="360" w:lineRule="exac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以上仅供参考，中标方在项目过程中应按照用户单位要求提供相应文档资料</w:t>
            </w:r>
          </w:p>
        </w:tc>
      </w:tr>
      <w:tr w14:paraId="0CE10CEA">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844" w:type="dxa"/>
            <w:noWrap w:val="0"/>
            <w:vAlign w:val="center"/>
          </w:tcPr>
          <w:p w14:paraId="794C04AE">
            <w:pPr>
              <w:spacing w:line="36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履约验收</w:t>
            </w:r>
          </w:p>
        </w:tc>
        <w:tc>
          <w:tcPr>
            <w:tcW w:w="7775" w:type="dxa"/>
            <w:noWrap w:val="0"/>
            <w:vAlign w:val="center"/>
          </w:tcPr>
          <w:p w14:paraId="4D4ECE82">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1、本合同验收由采购人组织实施，中标人应派专业的技术人员协助进行验收。</w:t>
            </w:r>
          </w:p>
          <w:p w14:paraId="41BD7D1F">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2、▲验收标准：合格（符合采购文件要求、投标承诺以及国家、行业有关技术规范和标准）。</w:t>
            </w:r>
          </w:p>
          <w:p w14:paraId="3429FB6F">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bCs/>
                <w:color w:val="auto"/>
                <w:sz w:val="24"/>
                <w:szCs w:val="24"/>
                <w:highlight w:val="none"/>
                <w:lang w:eastAsia="zh-CN"/>
              </w:rPr>
              <w:t>3.验收费用根据“杭州市政府采购履约验收暂行办法”第二十条规定，首次验收过程中产生的，由甲方承担；属于首次验收不合格，重新验收过程中产生的由乙方承担。</w:t>
            </w:r>
          </w:p>
        </w:tc>
      </w:tr>
    </w:tbl>
    <w:p w14:paraId="470711D4">
      <w:pPr>
        <w:spacing w:line="360" w:lineRule="auto"/>
        <w:jc w:val="center"/>
        <w:outlineLvl w:val="9"/>
        <w:rPr>
          <w:rFonts w:hint="eastAsia" w:ascii="仿宋" w:hAnsi="仿宋" w:eastAsia="仿宋" w:cs="仿宋"/>
          <w:b/>
          <w:color w:val="auto"/>
          <w:sz w:val="30"/>
          <w:szCs w:val="30"/>
          <w:highlight w:val="none"/>
          <w:lang w:val="en-US" w:eastAsia="zh-CN"/>
        </w:rPr>
      </w:pPr>
    </w:p>
    <w:p w14:paraId="373F4884">
      <w:pPr>
        <w:spacing w:line="360" w:lineRule="auto"/>
        <w:jc w:val="center"/>
        <w:outlineLvl w:val="1"/>
        <w:rPr>
          <w:rFonts w:hint="eastAsia" w:ascii="仿宋" w:hAnsi="仿宋" w:eastAsia="仿宋" w:cs="仿宋"/>
          <w:b w:val="0"/>
          <w:bCs/>
          <w:color w:val="auto"/>
          <w:sz w:val="30"/>
          <w:szCs w:val="30"/>
          <w:highlight w:val="none"/>
          <w:lang w:val="en-US" w:eastAsia="zh-CN"/>
        </w:rPr>
      </w:pPr>
      <w:r>
        <w:rPr>
          <w:rFonts w:hint="eastAsia" w:ascii="仿宋" w:hAnsi="仿宋" w:eastAsia="仿宋" w:cs="仿宋"/>
          <w:b/>
          <w:color w:val="auto"/>
          <w:sz w:val="30"/>
          <w:szCs w:val="30"/>
          <w:highlight w:val="none"/>
          <w:lang w:val="en-US" w:eastAsia="zh-CN"/>
        </w:rPr>
        <w:t>标项二</w:t>
      </w:r>
      <w:r>
        <w:rPr>
          <w:rFonts w:hint="eastAsia" w:ascii="仿宋" w:hAnsi="仿宋" w:eastAsia="仿宋" w:cs="仿宋"/>
          <w:b/>
          <w:color w:val="auto"/>
          <w:sz w:val="30"/>
          <w:szCs w:val="30"/>
          <w:highlight w:val="none"/>
          <w:u w:val="none"/>
          <w:lang w:val="en-US" w:eastAsia="zh-CN"/>
        </w:rPr>
        <w:t>“清净”拱墅环境空气污染源治理服务</w:t>
      </w:r>
    </w:p>
    <w:p w14:paraId="070A37C8">
      <w:pPr>
        <w:pStyle w:val="4"/>
        <w:keepNext/>
        <w:keepLines/>
        <w:pageBreakBefore w:val="0"/>
        <w:widowControl w:val="0"/>
        <w:tabs>
          <w:tab w:val="left" w:pos="2985"/>
          <w:tab w:val="clear" w:pos="432"/>
        </w:tabs>
        <w:kinsoku/>
        <w:wordWrap/>
        <w:overflowPunct/>
        <w:topLinePunct w:val="0"/>
        <w:autoSpaceDE/>
        <w:autoSpaceDN/>
        <w:bidi w:val="0"/>
        <w:adjustRightInd/>
        <w:snapToGrid/>
        <w:spacing w:before="40" w:after="0" w:afterLines="50" w:line="420" w:lineRule="exact"/>
        <w:ind w:left="431" w:hanging="431"/>
        <w:textAlignment w:val="auto"/>
        <w:rPr>
          <w:rFonts w:hint="eastAsia" w:ascii="仿宋" w:eastAsia="仿宋" w:cs="仿宋"/>
          <w:bCs/>
          <w:color w:val="auto"/>
          <w:sz w:val="28"/>
          <w:szCs w:val="28"/>
          <w:highlight w:val="none"/>
          <w:lang w:val="en-US" w:eastAsia="zh-CN"/>
        </w:rPr>
      </w:pPr>
      <w:r>
        <w:rPr>
          <w:rFonts w:hint="eastAsia" w:ascii="仿宋" w:eastAsia="仿宋" w:cs="仿宋"/>
          <w:bCs/>
          <w:color w:val="auto"/>
          <w:sz w:val="28"/>
          <w:szCs w:val="28"/>
          <w:highlight w:val="none"/>
          <w:lang w:val="en-US" w:eastAsia="zh-CN"/>
        </w:rPr>
        <w:t>一、服务内容</w:t>
      </w:r>
    </w:p>
    <w:p w14:paraId="2D485537">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全面排查分析我区空气质量影响情况，聚焦扬尘及油烟治理。详细采购内容如下：</w:t>
      </w:r>
    </w:p>
    <w:p w14:paraId="5AED42D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针对市政道路扬尘、小区道路浮尘、屋面积尘等污染源，提供为期三年的大气扬尘治理服务。项目实施后，需对拱墅区的环境空气质量进行调研评估，监测PM</w:t>
      </w:r>
      <w:r>
        <w:rPr>
          <w:rFonts w:hint="eastAsia" w:ascii="仿宋" w:hAnsi="仿宋" w:eastAsia="仿宋" w:cs="仿宋"/>
          <w:snapToGrid/>
          <w:color w:val="auto"/>
          <w:kern w:val="2"/>
          <w:sz w:val="24"/>
          <w:szCs w:val="24"/>
          <w:highlight w:val="none"/>
          <w:vertAlign w:val="subscript"/>
          <w:lang w:val="en-US" w:eastAsia="zh-CN" w:bidi="ar-SA"/>
        </w:rPr>
        <w:t>2.5</w:t>
      </w:r>
      <w:r>
        <w:rPr>
          <w:rFonts w:hint="eastAsia" w:ascii="仿宋" w:hAnsi="仿宋" w:eastAsia="仿宋" w:cs="仿宋"/>
          <w:snapToGrid/>
          <w:color w:val="auto"/>
          <w:kern w:val="2"/>
          <w:sz w:val="24"/>
          <w:szCs w:val="24"/>
          <w:highlight w:val="none"/>
          <w:lang w:val="en-US" w:eastAsia="zh-CN" w:bidi="ar-SA"/>
        </w:rPr>
        <w:t>浓度等关键指标，制定具有针对性的扬尘治理方案，并定期出具数据分析报告。要求提供治理设备的日常运维服务，涵盖硬件故障排查、软件升级等，确保服务及配套设备始终处于最佳运行状态，保障项目的长期稳定运行。</w:t>
      </w:r>
    </w:p>
    <w:p w14:paraId="313AAC54">
      <w:pPr>
        <w:pStyle w:val="2"/>
        <w:keepNext w:val="0"/>
        <w:keepLines w:val="0"/>
        <w:pageBreakBefore w:val="0"/>
        <w:widowControl w:val="0"/>
        <w:kinsoku/>
        <w:wordWrap/>
        <w:overflowPunct/>
        <w:topLinePunct w:val="0"/>
        <w:autoSpaceDE/>
        <w:autoSpaceDN/>
        <w:bidi w:val="0"/>
        <w:snapToGrid/>
        <w:spacing w:line="360" w:lineRule="auto"/>
        <w:textAlignment w:val="auto"/>
        <w:rPr>
          <w:rFonts w:hint="default"/>
          <w:color w:val="auto"/>
          <w:highlight w:val="none"/>
          <w:lang w:val="en-US" w:eastAsia="zh-CN"/>
        </w:rPr>
      </w:pPr>
      <w:r>
        <w:rPr>
          <w:rFonts w:hint="eastAsia" w:ascii="仿宋" w:hAnsi="仿宋" w:eastAsia="仿宋" w:cs="仿宋"/>
          <w:snapToGrid/>
          <w:color w:val="auto"/>
          <w:kern w:val="2"/>
          <w:sz w:val="24"/>
          <w:szCs w:val="24"/>
          <w:highlight w:val="none"/>
          <w:lang w:val="en-US" w:eastAsia="zh-CN" w:bidi="ar-SA"/>
        </w:rPr>
        <w:t>针对重点街区居民区餐饮油烟等污染源，提供为期三年的油烟净化服务。选择符合条件的住户并制定油烟净化方案，净化居民区餐饮油烟，提升空气质量。</w:t>
      </w:r>
    </w:p>
    <w:p w14:paraId="699FCD44">
      <w:pPr>
        <w:pStyle w:val="4"/>
        <w:keepNext/>
        <w:keepLines/>
        <w:pageBreakBefore w:val="0"/>
        <w:widowControl w:val="0"/>
        <w:tabs>
          <w:tab w:val="left" w:pos="2985"/>
          <w:tab w:val="clear" w:pos="432"/>
        </w:tabs>
        <w:kinsoku/>
        <w:wordWrap/>
        <w:overflowPunct/>
        <w:topLinePunct w:val="0"/>
        <w:autoSpaceDE/>
        <w:autoSpaceDN/>
        <w:bidi w:val="0"/>
        <w:adjustRightInd/>
        <w:snapToGrid/>
        <w:spacing w:before="40" w:after="0" w:afterLines="50" w:line="420" w:lineRule="exact"/>
        <w:ind w:left="431" w:hanging="431"/>
        <w:textAlignment w:val="auto"/>
        <w:rPr>
          <w:rFonts w:hint="eastAsia" w:ascii="仿宋" w:eastAsia="仿宋" w:cs="仿宋"/>
          <w:bCs/>
          <w:color w:val="auto"/>
          <w:sz w:val="28"/>
          <w:szCs w:val="28"/>
          <w:highlight w:val="none"/>
          <w:lang w:val="en-US" w:eastAsia="zh-CN"/>
        </w:rPr>
      </w:pPr>
      <w:r>
        <w:rPr>
          <w:rFonts w:hint="eastAsia" w:ascii="仿宋" w:eastAsia="仿宋" w:cs="仿宋"/>
          <w:bCs/>
          <w:color w:val="auto"/>
          <w:sz w:val="28"/>
          <w:szCs w:val="28"/>
          <w:highlight w:val="none"/>
          <w:lang w:val="en-US" w:eastAsia="zh-CN"/>
        </w:rPr>
        <w:t>二、服务要求</w:t>
      </w:r>
    </w:p>
    <w:p w14:paraId="4FE3B87A">
      <w:pPr>
        <w:tabs>
          <w:tab w:val="left" w:pos="0"/>
        </w:tabs>
        <w:spacing w:line="360" w:lineRule="auto"/>
        <w:ind w:firstLine="482"/>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项目服务期内，中标人提供专业设备和技术协助采购人开展大气污染源治理相关工作。采购项目及技术要求具体如下表：</w:t>
      </w:r>
    </w:p>
    <w:p w14:paraId="1CC8C9B7">
      <w:pPr>
        <w:pStyle w:val="11"/>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表 </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SEQ 表 \* ARABIC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 xml:space="preserve">  采购项目详细技术要求</w:t>
      </w:r>
    </w:p>
    <w:tbl>
      <w:tblPr>
        <w:tblStyle w:val="24"/>
        <w:tblW w:w="8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428"/>
        <w:gridCol w:w="6772"/>
      </w:tblGrid>
      <w:tr w14:paraId="379BE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72" w:type="dxa"/>
            <w:noWrap w:val="0"/>
            <w:vAlign w:val="center"/>
          </w:tcPr>
          <w:p w14:paraId="3AB3972A">
            <w:pPr>
              <w:keepNext w:val="0"/>
              <w:keepLines w:val="0"/>
              <w:pageBreakBefore w:val="0"/>
              <w:widowControl w:val="0"/>
              <w:kinsoku/>
              <w:wordWrap/>
              <w:overflowPunct/>
              <w:topLinePunct w:val="0"/>
              <w:bidi w:val="0"/>
              <w:adjustRightInd w:val="0"/>
              <w:snapToGrid w:val="0"/>
              <w:spacing w:line="36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1428" w:type="dxa"/>
            <w:noWrap w:val="0"/>
            <w:vAlign w:val="center"/>
          </w:tcPr>
          <w:p w14:paraId="2D1C18AA">
            <w:pPr>
              <w:keepNext w:val="0"/>
              <w:keepLines w:val="0"/>
              <w:pageBreakBefore w:val="0"/>
              <w:widowControl w:val="0"/>
              <w:kinsoku/>
              <w:wordWrap/>
              <w:overflowPunct/>
              <w:topLinePunct w:val="0"/>
              <w:bidi w:val="0"/>
              <w:adjustRightInd w:val="0"/>
              <w:snapToGrid w:val="0"/>
              <w:spacing w:line="36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w:t>
            </w:r>
          </w:p>
        </w:tc>
        <w:tc>
          <w:tcPr>
            <w:tcW w:w="6772" w:type="dxa"/>
            <w:noWrap w:val="0"/>
            <w:vAlign w:val="center"/>
          </w:tcPr>
          <w:p w14:paraId="3A839505">
            <w:pPr>
              <w:keepNext w:val="0"/>
              <w:keepLines w:val="0"/>
              <w:pageBreakBefore w:val="0"/>
              <w:widowControl w:val="0"/>
              <w:kinsoku/>
              <w:wordWrap/>
              <w:overflowPunct/>
              <w:topLinePunct w:val="0"/>
              <w:bidi w:val="0"/>
              <w:adjustRightInd w:val="0"/>
              <w:snapToGrid w:val="0"/>
              <w:spacing w:line="36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详细技术要求</w:t>
            </w:r>
          </w:p>
        </w:tc>
      </w:tr>
      <w:tr w14:paraId="786B2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2" w:type="dxa"/>
            <w:vMerge w:val="restart"/>
            <w:noWrap w:val="0"/>
            <w:vAlign w:val="center"/>
          </w:tcPr>
          <w:p w14:paraId="405B440F">
            <w:pPr>
              <w:keepNext w:val="0"/>
              <w:keepLines w:val="0"/>
              <w:pageBreakBefore w:val="0"/>
              <w:widowControl w:val="0"/>
              <w:kinsoku/>
              <w:wordWrap/>
              <w:overflowPunct/>
              <w:topLinePunct w:val="0"/>
              <w:bidi w:val="0"/>
              <w:adjustRightInd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p w14:paraId="6F4DB45A">
            <w:pPr>
              <w:keepNext w:val="0"/>
              <w:keepLines w:val="0"/>
              <w:pageBreakBefore w:val="0"/>
              <w:widowControl w:val="0"/>
              <w:kinsoku/>
              <w:wordWrap/>
              <w:overflowPunct/>
              <w:topLinePunct w:val="0"/>
              <w:bidi w:val="0"/>
              <w:adjustRightInd w:val="0"/>
              <w:snapToGrid w:val="0"/>
              <w:spacing w:line="360" w:lineRule="exact"/>
              <w:jc w:val="center"/>
              <w:textAlignment w:val="auto"/>
              <w:rPr>
                <w:rFonts w:hint="eastAsia" w:ascii="仿宋" w:hAnsi="仿宋" w:eastAsia="仿宋" w:cs="仿宋"/>
                <w:color w:val="auto"/>
                <w:sz w:val="24"/>
                <w:szCs w:val="24"/>
                <w:highlight w:val="none"/>
              </w:rPr>
            </w:pPr>
          </w:p>
        </w:tc>
        <w:tc>
          <w:tcPr>
            <w:tcW w:w="1428" w:type="dxa"/>
            <w:vMerge w:val="restart"/>
            <w:noWrap w:val="0"/>
            <w:vAlign w:val="center"/>
          </w:tcPr>
          <w:p w14:paraId="393FA8F8">
            <w:pPr>
              <w:keepNext w:val="0"/>
              <w:keepLines w:val="0"/>
              <w:pageBreakBefore w:val="0"/>
              <w:widowControl w:val="0"/>
              <w:kinsoku/>
              <w:wordWrap/>
              <w:overflowPunct/>
              <w:topLinePunct w:val="0"/>
              <w:bidi w:val="0"/>
              <w:adjustRightInd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户外</w:t>
            </w:r>
            <w:r>
              <w:rPr>
                <w:rFonts w:hint="eastAsia" w:ascii="仿宋" w:hAnsi="仿宋" w:eastAsia="仿宋" w:cs="仿宋"/>
                <w:color w:val="auto"/>
                <w:sz w:val="24"/>
                <w:szCs w:val="24"/>
                <w:highlight w:val="none"/>
                <w:lang w:val="en-US" w:eastAsia="zh-CN"/>
              </w:rPr>
              <w:t>扬尘</w:t>
            </w:r>
            <w:r>
              <w:rPr>
                <w:rFonts w:hint="eastAsia" w:ascii="仿宋" w:hAnsi="仿宋" w:eastAsia="仿宋" w:cs="仿宋"/>
                <w:color w:val="auto"/>
                <w:sz w:val="24"/>
                <w:szCs w:val="24"/>
                <w:highlight w:val="none"/>
              </w:rPr>
              <w:t>治理服务</w:t>
            </w:r>
          </w:p>
        </w:tc>
        <w:tc>
          <w:tcPr>
            <w:tcW w:w="6772" w:type="dxa"/>
            <w:noWrap w:val="0"/>
            <w:vAlign w:val="center"/>
          </w:tcPr>
          <w:p w14:paraId="6DCB5194">
            <w:pPr>
              <w:keepNext w:val="0"/>
              <w:keepLines w:val="0"/>
              <w:pageBreakBefore w:val="0"/>
              <w:widowControl w:val="0"/>
              <w:kinsoku/>
              <w:wordWrap/>
              <w:overflowPunct/>
              <w:topLinePunct w:val="0"/>
              <w:bidi w:val="0"/>
              <w:adjustRightInd w:val="0"/>
              <w:snapToGrid w:val="0"/>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根据拱墅区环境空气质量现状，</w:t>
            </w:r>
            <w:r>
              <w:rPr>
                <w:rFonts w:hint="eastAsia" w:ascii="仿宋" w:hAnsi="仿宋" w:eastAsia="仿宋" w:cs="仿宋"/>
                <w:color w:val="auto"/>
                <w:sz w:val="24"/>
                <w:szCs w:val="24"/>
                <w:highlight w:val="none"/>
              </w:rPr>
              <w:t>安装</w:t>
            </w:r>
            <w:r>
              <w:rPr>
                <w:rFonts w:hint="eastAsia" w:ascii="仿宋" w:hAnsi="仿宋" w:eastAsia="仿宋" w:cs="仿宋"/>
                <w:b/>
                <w:bCs/>
                <w:color w:val="auto"/>
                <w:sz w:val="24"/>
                <w:szCs w:val="24"/>
                <w:highlight w:val="none"/>
                <w:lang w:val="en-US" w:eastAsia="zh-CN"/>
              </w:rPr>
              <w:t>户外高风量扬尘治理装置。</w:t>
            </w:r>
          </w:p>
          <w:p w14:paraId="698D2F60">
            <w:pPr>
              <w:keepNext w:val="0"/>
              <w:keepLines w:val="0"/>
              <w:pageBreakBefore w:val="0"/>
              <w:widowControl w:val="0"/>
              <w:kinsoku/>
              <w:wordWrap/>
              <w:overflowPunct/>
              <w:topLinePunct w:val="0"/>
              <w:bidi w:val="0"/>
              <w:adjustRightInd w:val="0"/>
              <w:snapToGrid w:val="0"/>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1、处理能力要求</w:t>
            </w:r>
          </w:p>
          <w:p w14:paraId="3B52E7B3">
            <w:pPr>
              <w:keepNext w:val="0"/>
              <w:keepLines w:val="0"/>
              <w:pageBreakBefore w:val="0"/>
              <w:widowControl w:val="0"/>
              <w:kinsoku/>
              <w:wordWrap/>
              <w:overflowPunct/>
              <w:topLinePunct w:val="0"/>
              <w:bidi w:val="0"/>
              <w:adjustRightInd w:val="0"/>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w:t>
            </w:r>
            <w:r>
              <w:rPr>
                <w:rFonts w:hint="eastAsia" w:ascii="仿宋" w:hAnsi="仿宋" w:eastAsia="仿宋" w:cs="仿宋"/>
                <w:color w:val="auto"/>
                <w:sz w:val="24"/>
                <w:szCs w:val="24"/>
                <w:highlight w:val="none"/>
                <w:lang w:val="en-US" w:eastAsia="zh-CN"/>
              </w:rPr>
              <w:t>个</w:t>
            </w:r>
            <w:r>
              <w:rPr>
                <w:rFonts w:hint="eastAsia" w:ascii="仿宋" w:hAnsi="仿宋" w:eastAsia="仿宋" w:cs="仿宋"/>
                <w:color w:val="auto"/>
                <w:sz w:val="24"/>
                <w:szCs w:val="24"/>
                <w:highlight w:val="none"/>
              </w:rPr>
              <w:t>处理能力不小于400立方米/小时。</w:t>
            </w:r>
          </w:p>
          <w:p w14:paraId="270CC7DC">
            <w:pPr>
              <w:pStyle w:val="27"/>
              <w:keepNext w:val="0"/>
              <w:keepLines w:val="0"/>
              <w:pageBreakBefore w:val="0"/>
              <w:widowControl w:val="0"/>
              <w:kinsoku/>
              <w:wordWrap/>
              <w:overflowPunct/>
              <w:topLinePunct w:val="0"/>
              <w:bidi w:val="0"/>
              <w:adjustRightInd w:val="0"/>
              <w:spacing w:line="360" w:lineRule="exact"/>
              <w:ind w:firstLine="0" w:firstLineChars="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2、重量要求</w:t>
            </w:r>
          </w:p>
          <w:p w14:paraId="4ED87890">
            <w:pPr>
              <w:pStyle w:val="27"/>
              <w:keepNext w:val="0"/>
              <w:keepLines w:val="0"/>
              <w:pageBreakBefore w:val="0"/>
              <w:widowControl w:val="0"/>
              <w:kinsoku/>
              <w:wordWrap/>
              <w:overflowPunct/>
              <w:topLinePunct w:val="0"/>
              <w:bidi w:val="0"/>
              <w:adjustRightInd w:val="0"/>
              <w:spacing w:line="360" w:lineRule="exact"/>
              <w:ind w:firstLine="42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单套重量不大于2kg。</w:t>
            </w:r>
          </w:p>
          <w:p w14:paraId="3D6D8081">
            <w:pPr>
              <w:pStyle w:val="27"/>
              <w:keepNext w:val="0"/>
              <w:keepLines w:val="0"/>
              <w:pageBreakBefore w:val="0"/>
              <w:widowControl w:val="0"/>
              <w:kinsoku/>
              <w:wordWrap/>
              <w:overflowPunct/>
              <w:topLinePunct w:val="0"/>
              <w:bidi w:val="0"/>
              <w:adjustRightInd w:val="0"/>
              <w:spacing w:line="360" w:lineRule="exact"/>
              <w:ind w:firstLine="0" w:firstLineChars="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3、过滤材料要求</w:t>
            </w:r>
          </w:p>
          <w:p w14:paraId="23000906">
            <w:pPr>
              <w:pStyle w:val="27"/>
              <w:keepNext w:val="0"/>
              <w:keepLines w:val="0"/>
              <w:pageBreakBefore w:val="0"/>
              <w:widowControl w:val="0"/>
              <w:kinsoku/>
              <w:wordWrap/>
              <w:overflowPunct/>
              <w:topLinePunct w:val="0"/>
              <w:bidi w:val="0"/>
              <w:adjustRightInd w:val="0"/>
              <w:spacing w:line="360" w:lineRule="exact"/>
              <w:ind w:firstLine="42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kern w:val="2"/>
                <w:sz w:val="24"/>
                <w:szCs w:val="24"/>
                <w:highlight w:val="none"/>
              </w:rPr>
              <w:t>所选用带有过滤材料的治理装置根据GB/T-13554-2020《高效空气过滤器》中规定的效率试验方法检测得到的过滤效率级别不低于35或过滤效率不低于99.95%，</w:t>
            </w:r>
            <w:r>
              <w:rPr>
                <w:rFonts w:hint="eastAsia" w:ascii="仿宋" w:hAnsi="仿宋" w:eastAsia="仿宋" w:cs="仿宋"/>
                <w:b/>
                <w:bCs/>
                <w:color w:val="auto"/>
                <w:kern w:val="2"/>
                <w:sz w:val="24"/>
                <w:szCs w:val="24"/>
                <w:highlight w:val="none"/>
              </w:rPr>
              <w:t>并提供</w:t>
            </w:r>
            <w:r>
              <w:rPr>
                <w:rFonts w:hint="default" w:ascii="仿宋" w:hAnsi="仿宋" w:eastAsia="仿宋" w:cs="仿宋"/>
                <w:b/>
                <w:bCs/>
                <w:color w:val="auto"/>
                <w:kern w:val="2"/>
                <w:sz w:val="24"/>
                <w:szCs w:val="24"/>
                <w:highlight w:val="none"/>
                <w:lang w:val="en-US"/>
              </w:rPr>
              <w:t>CMA或CNAS机构出具的</w:t>
            </w:r>
            <w:r>
              <w:rPr>
                <w:rFonts w:hint="eastAsia" w:ascii="仿宋" w:hAnsi="仿宋" w:eastAsia="仿宋" w:cs="仿宋"/>
                <w:b/>
                <w:bCs/>
                <w:color w:val="auto"/>
                <w:kern w:val="2"/>
                <w:sz w:val="24"/>
                <w:szCs w:val="24"/>
                <w:highlight w:val="none"/>
              </w:rPr>
              <w:t>检测报告</w:t>
            </w:r>
            <w:r>
              <w:rPr>
                <w:rFonts w:hint="eastAsia" w:ascii="仿宋" w:hAnsi="仿宋" w:eastAsia="仿宋" w:cs="仿宋"/>
                <w:b/>
                <w:bCs/>
                <w:color w:val="auto"/>
                <w:kern w:val="2"/>
                <w:sz w:val="24"/>
                <w:szCs w:val="24"/>
                <w:highlight w:val="none"/>
                <w:lang w:eastAsia="zh-CN"/>
              </w:rPr>
              <w:t>（</w:t>
            </w:r>
            <w:r>
              <w:rPr>
                <w:rFonts w:hint="eastAsia" w:ascii="仿宋" w:hAnsi="仿宋" w:eastAsia="仿宋" w:cs="仿宋"/>
                <w:b/>
                <w:bCs/>
                <w:color w:val="auto"/>
                <w:kern w:val="2"/>
                <w:sz w:val="24"/>
                <w:szCs w:val="24"/>
                <w:highlight w:val="none"/>
                <w:lang w:val="en-US" w:eastAsia="zh-CN"/>
              </w:rPr>
              <w:t>需加盖公章）</w:t>
            </w:r>
            <w:r>
              <w:rPr>
                <w:rFonts w:hint="eastAsia" w:ascii="仿宋" w:hAnsi="仿宋" w:eastAsia="仿宋" w:cs="仿宋"/>
                <w:color w:val="auto"/>
                <w:kern w:val="2"/>
                <w:sz w:val="24"/>
                <w:szCs w:val="24"/>
                <w:highlight w:val="none"/>
              </w:rPr>
              <w:t>。</w:t>
            </w:r>
          </w:p>
          <w:p w14:paraId="561F4083">
            <w:pPr>
              <w:pStyle w:val="27"/>
              <w:keepNext w:val="0"/>
              <w:keepLines w:val="0"/>
              <w:pageBreakBefore w:val="0"/>
              <w:widowControl w:val="0"/>
              <w:kinsoku/>
              <w:wordWrap/>
              <w:overflowPunct/>
              <w:topLinePunct w:val="0"/>
              <w:bidi w:val="0"/>
              <w:adjustRightInd w:val="0"/>
              <w:spacing w:line="360" w:lineRule="exact"/>
              <w:ind w:firstLine="0" w:firstLineChars="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4、控制模块要求</w:t>
            </w:r>
          </w:p>
          <w:p w14:paraId="2E281696">
            <w:pPr>
              <w:pStyle w:val="27"/>
              <w:keepNext w:val="0"/>
              <w:keepLines w:val="0"/>
              <w:pageBreakBefore w:val="0"/>
              <w:widowControl w:val="0"/>
              <w:kinsoku/>
              <w:wordWrap/>
              <w:overflowPunct/>
              <w:topLinePunct w:val="0"/>
              <w:bidi w:val="0"/>
              <w:adjustRightInd w:val="0"/>
              <w:spacing w:line="360" w:lineRule="exact"/>
              <w:ind w:firstLine="42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配备智能雨量感应控制模块，设备可自动感应降雨信息，实现雨天设备停止运行要求。</w:t>
            </w:r>
          </w:p>
          <w:p w14:paraId="4FBF70C5">
            <w:pPr>
              <w:pStyle w:val="27"/>
              <w:keepNext w:val="0"/>
              <w:keepLines w:val="0"/>
              <w:pageBreakBefore w:val="0"/>
              <w:widowControl w:val="0"/>
              <w:kinsoku/>
              <w:wordWrap/>
              <w:overflowPunct/>
              <w:topLinePunct w:val="0"/>
              <w:bidi w:val="0"/>
              <w:adjustRightInd w:val="0"/>
              <w:spacing w:line="360" w:lineRule="exact"/>
              <w:ind w:firstLine="0" w:firstLineChars="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5、感知模块要求</w:t>
            </w:r>
          </w:p>
          <w:p w14:paraId="3CD0A908">
            <w:pPr>
              <w:pStyle w:val="27"/>
              <w:keepNext w:val="0"/>
              <w:keepLines w:val="0"/>
              <w:pageBreakBefore w:val="0"/>
              <w:widowControl w:val="0"/>
              <w:kinsoku/>
              <w:wordWrap/>
              <w:overflowPunct/>
              <w:topLinePunct w:val="0"/>
              <w:bidi w:val="0"/>
              <w:adjustRightInd w:val="0"/>
              <w:spacing w:line="360" w:lineRule="exact"/>
              <w:ind w:firstLine="42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配备</w:t>
            </w:r>
            <w:r>
              <w:rPr>
                <w:rFonts w:hint="eastAsia" w:ascii="仿宋" w:hAnsi="仿宋" w:eastAsia="仿宋" w:cs="仿宋"/>
                <w:color w:val="auto"/>
                <w:sz w:val="24"/>
                <w:szCs w:val="24"/>
                <w:highlight w:val="none"/>
              </w:rPr>
              <w:t>PM</w:t>
            </w:r>
            <w:r>
              <w:rPr>
                <w:rFonts w:hint="eastAsia" w:ascii="仿宋" w:hAnsi="仿宋" w:eastAsia="仿宋" w:cs="仿宋"/>
                <w:color w:val="auto"/>
                <w:sz w:val="24"/>
                <w:szCs w:val="24"/>
                <w:highlight w:val="none"/>
                <w:vertAlign w:val="subscript"/>
              </w:rPr>
              <w:t>2.5</w:t>
            </w:r>
            <w:r>
              <w:rPr>
                <w:rFonts w:hint="eastAsia" w:ascii="仿宋" w:hAnsi="仿宋" w:eastAsia="仿宋" w:cs="仿宋"/>
                <w:color w:val="auto"/>
                <w:kern w:val="2"/>
                <w:sz w:val="24"/>
                <w:szCs w:val="24"/>
                <w:highlight w:val="none"/>
              </w:rPr>
              <w:t>物联网4G感知模块，每个模块配备1个进口及1个出口</w:t>
            </w:r>
            <w:r>
              <w:rPr>
                <w:rFonts w:hint="eastAsia" w:ascii="仿宋" w:hAnsi="仿宋" w:eastAsia="仿宋" w:cs="仿宋"/>
                <w:color w:val="auto"/>
                <w:sz w:val="24"/>
                <w:szCs w:val="24"/>
                <w:highlight w:val="none"/>
              </w:rPr>
              <w:t>PM</w:t>
            </w:r>
            <w:r>
              <w:rPr>
                <w:rFonts w:hint="eastAsia" w:ascii="仿宋" w:hAnsi="仿宋" w:eastAsia="仿宋" w:cs="仿宋"/>
                <w:color w:val="auto"/>
                <w:sz w:val="24"/>
                <w:szCs w:val="24"/>
                <w:highlight w:val="none"/>
                <w:vertAlign w:val="subscript"/>
              </w:rPr>
              <w:t>2.5</w:t>
            </w:r>
            <w:r>
              <w:rPr>
                <w:rFonts w:hint="eastAsia" w:ascii="仿宋" w:hAnsi="仿宋" w:eastAsia="仿宋" w:cs="仿宋"/>
                <w:color w:val="auto"/>
                <w:kern w:val="2"/>
                <w:sz w:val="24"/>
                <w:szCs w:val="24"/>
                <w:highlight w:val="none"/>
              </w:rPr>
              <w:t>传感器和1个4G传输模块。</w:t>
            </w:r>
          </w:p>
          <w:p w14:paraId="2C76F0D8">
            <w:pPr>
              <w:pStyle w:val="27"/>
              <w:keepNext w:val="0"/>
              <w:keepLines w:val="0"/>
              <w:pageBreakBefore w:val="0"/>
              <w:widowControl w:val="0"/>
              <w:kinsoku/>
              <w:wordWrap/>
              <w:overflowPunct/>
              <w:topLinePunct w:val="0"/>
              <w:bidi w:val="0"/>
              <w:adjustRightInd w:val="0"/>
              <w:spacing w:line="360" w:lineRule="exact"/>
              <w:ind w:firstLine="42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①</w:t>
            </w:r>
            <w:r>
              <w:rPr>
                <w:rFonts w:hint="eastAsia" w:ascii="仿宋" w:hAnsi="仿宋" w:eastAsia="仿宋" w:cs="仿宋"/>
                <w:color w:val="auto"/>
                <w:sz w:val="24"/>
                <w:szCs w:val="24"/>
                <w:highlight w:val="none"/>
              </w:rPr>
              <w:t>PM</w:t>
            </w:r>
            <w:r>
              <w:rPr>
                <w:rFonts w:hint="eastAsia" w:ascii="仿宋" w:hAnsi="仿宋" w:eastAsia="仿宋" w:cs="仿宋"/>
                <w:color w:val="auto"/>
                <w:sz w:val="24"/>
                <w:szCs w:val="24"/>
                <w:highlight w:val="none"/>
                <w:vertAlign w:val="subscript"/>
              </w:rPr>
              <w:t>2.5</w:t>
            </w:r>
            <w:r>
              <w:rPr>
                <w:rFonts w:hint="eastAsia" w:ascii="仿宋" w:hAnsi="仿宋" w:eastAsia="仿宋" w:cs="仿宋"/>
                <w:color w:val="auto"/>
                <w:kern w:val="2"/>
                <w:sz w:val="24"/>
                <w:szCs w:val="24"/>
                <w:highlight w:val="none"/>
              </w:rPr>
              <w:t>传感器要求</w:t>
            </w:r>
          </w:p>
          <w:p w14:paraId="3BE53E9F">
            <w:pPr>
              <w:pStyle w:val="27"/>
              <w:keepNext w:val="0"/>
              <w:keepLines w:val="0"/>
              <w:pageBreakBefore w:val="0"/>
              <w:widowControl w:val="0"/>
              <w:kinsoku/>
              <w:wordWrap/>
              <w:overflowPunct/>
              <w:topLinePunct w:val="0"/>
              <w:bidi w:val="0"/>
              <w:adjustRightInd w:val="0"/>
              <w:spacing w:line="360" w:lineRule="exact"/>
              <w:ind w:firstLine="42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量程范围：不少于1-1000μg/m</w:t>
            </w:r>
            <w:r>
              <w:rPr>
                <w:rFonts w:hint="eastAsia" w:ascii="仿宋" w:hAnsi="仿宋" w:eastAsia="仿宋" w:cs="仿宋"/>
                <w:color w:val="auto"/>
                <w:kern w:val="2"/>
                <w:sz w:val="24"/>
                <w:szCs w:val="24"/>
                <w:highlight w:val="none"/>
                <w:vertAlign w:val="superscript"/>
              </w:rPr>
              <w:t>3</w:t>
            </w:r>
            <w:r>
              <w:rPr>
                <w:rFonts w:hint="eastAsia" w:ascii="仿宋" w:hAnsi="仿宋" w:eastAsia="仿宋" w:cs="仿宋"/>
                <w:color w:val="auto"/>
                <w:kern w:val="2"/>
                <w:sz w:val="24"/>
                <w:szCs w:val="24"/>
                <w:highlight w:val="none"/>
              </w:rPr>
              <w:t>；</w:t>
            </w:r>
          </w:p>
          <w:p w14:paraId="3DBB3CE0">
            <w:pPr>
              <w:pStyle w:val="27"/>
              <w:keepNext w:val="0"/>
              <w:keepLines w:val="0"/>
              <w:pageBreakBefore w:val="0"/>
              <w:widowControl w:val="0"/>
              <w:kinsoku/>
              <w:wordWrap/>
              <w:overflowPunct/>
              <w:topLinePunct w:val="0"/>
              <w:bidi w:val="0"/>
              <w:adjustRightInd w:val="0"/>
              <w:spacing w:line="360" w:lineRule="exact"/>
              <w:ind w:firstLine="42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示值误差：量程为0-100ug/m</w:t>
            </w:r>
            <w:r>
              <w:rPr>
                <w:rFonts w:hint="eastAsia" w:ascii="仿宋" w:hAnsi="仿宋" w:eastAsia="仿宋" w:cs="仿宋"/>
                <w:color w:val="auto"/>
                <w:kern w:val="2"/>
                <w:sz w:val="24"/>
                <w:szCs w:val="24"/>
                <w:highlight w:val="none"/>
                <w:vertAlign w:val="superscript"/>
              </w:rPr>
              <w:t>3</w:t>
            </w:r>
            <w:r>
              <w:rPr>
                <w:rFonts w:hint="eastAsia" w:ascii="仿宋" w:hAnsi="仿宋" w:eastAsia="仿宋" w:cs="仿宋"/>
                <w:color w:val="auto"/>
                <w:kern w:val="2"/>
                <w:sz w:val="24"/>
                <w:szCs w:val="24"/>
                <w:highlight w:val="none"/>
              </w:rPr>
              <w:t>时，不超过±10ug/m</w:t>
            </w:r>
            <w:r>
              <w:rPr>
                <w:rFonts w:hint="eastAsia" w:ascii="仿宋" w:hAnsi="仿宋" w:eastAsia="仿宋" w:cs="仿宋"/>
                <w:color w:val="auto"/>
                <w:kern w:val="2"/>
                <w:sz w:val="24"/>
                <w:szCs w:val="24"/>
                <w:highlight w:val="none"/>
                <w:vertAlign w:val="superscript"/>
              </w:rPr>
              <w:t>3</w:t>
            </w:r>
            <w:r>
              <w:rPr>
                <w:rFonts w:hint="eastAsia" w:ascii="仿宋" w:hAnsi="仿宋" w:eastAsia="仿宋" w:cs="仿宋"/>
                <w:color w:val="auto"/>
                <w:kern w:val="2"/>
                <w:sz w:val="24"/>
                <w:szCs w:val="24"/>
                <w:highlight w:val="none"/>
              </w:rPr>
              <w:t>；量程为100-1000 ug/m</w:t>
            </w:r>
            <w:r>
              <w:rPr>
                <w:rFonts w:hint="eastAsia" w:ascii="仿宋" w:hAnsi="仿宋" w:eastAsia="仿宋" w:cs="仿宋"/>
                <w:color w:val="auto"/>
                <w:kern w:val="2"/>
                <w:sz w:val="24"/>
                <w:szCs w:val="24"/>
                <w:highlight w:val="none"/>
                <w:vertAlign w:val="superscript"/>
              </w:rPr>
              <w:t>3</w:t>
            </w:r>
            <w:r>
              <w:rPr>
                <w:rFonts w:hint="eastAsia" w:ascii="仿宋" w:hAnsi="仿宋" w:eastAsia="仿宋" w:cs="仿宋"/>
                <w:color w:val="auto"/>
                <w:kern w:val="2"/>
                <w:sz w:val="24"/>
                <w:szCs w:val="24"/>
                <w:highlight w:val="none"/>
              </w:rPr>
              <w:t>时，不超过±10%。</w:t>
            </w:r>
          </w:p>
          <w:p w14:paraId="669BFC1B">
            <w:pPr>
              <w:pStyle w:val="27"/>
              <w:keepNext w:val="0"/>
              <w:keepLines w:val="0"/>
              <w:pageBreakBefore w:val="0"/>
              <w:widowControl w:val="0"/>
              <w:kinsoku/>
              <w:wordWrap/>
              <w:overflowPunct/>
              <w:topLinePunct w:val="0"/>
              <w:bidi w:val="0"/>
              <w:adjustRightInd w:val="0"/>
              <w:spacing w:line="360" w:lineRule="exact"/>
              <w:ind w:firstLine="42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②4G传输要求</w:t>
            </w:r>
          </w:p>
          <w:p w14:paraId="2A2BAB9C">
            <w:pPr>
              <w:pStyle w:val="27"/>
              <w:keepNext w:val="0"/>
              <w:keepLines w:val="0"/>
              <w:pageBreakBefore w:val="0"/>
              <w:widowControl w:val="0"/>
              <w:kinsoku/>
              <w:wordWrap/>
              <w:overflowPunct/>
              <w:topLinePunct w:val="0"/>
              <w:bidi w:val="0"/>
              <w:adjustRightInd w:val="0"/>
              <w:spacing w:line="360" w:lineRule="exact"/>
              <w:ind w:firstLine="42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数据传输频率不低于10秒/条。</w:t>
            </w:r>
          </w:p>
          <w:p w14:paraId="24D36FF7">
            <w:pPr>
              <w:pStyle w:val="27"/>
              <w:keepNext w:val="0"/>
              <w:keepLines w:val="0"/>
              <w:pageBreakBefore w:val="0"/>
              <w:widowControl w:val="0"/>
              <w:kinsoku/>
              <w:wordWrap/>
              <w:overflowPunct/>
              <w:topLinePunct w:val="0"/>
              <w:bidi w:val="0"/>
              <w:adjustRightInd w:val="0"/>
              <w:spacing w:line="360" w:lineRule="exact"/>
              <w:ind w:firstLine="0" w:firstLineChars="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6、安装要求</w:t>
            </w:r>
          </w:p>
          <w:p w14:paraId="3EA37DD4">
            <w:pPr>
              <w:pStyle w:val="27"/>
              <w:keepNext w:val="0"/>
              <w:keepLines w:val="0"/>
              <w:pageBreakBefore w:val="0"/>
              <w:widowControl w:val="0"/>
              <w:kinsoku/>
              <w:wordWrap/>
              <w:overflowPunct/>
              <w:topLinePunct w:val="0"/>
              <w:bidi w:val="0"/>
              <w:adjustRightInd w:val="0"/>
              <w:spacing w:line="360" w:lineRule="exact"/>
              <w:ind w:firstLine="42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安装场景需包括路灯、电线杆、树木等固定式物体。</w:t>
            </w:r>
          </w:p>
          <w:p w14:paraId="78DD9FD8">
            <w:pPr>
              <w:pStyle w:val="27"/>
              <w:keepNext w:val="0"/>
              <w:keepLines w:val="0"/>
              <w:pageBreakBefore w:val="0"/>
              <w:widowControl w:val="0"/>
              <w:numPr>
                <w:ilvl w:val="0"/>
                <w:numId w:val="0"/>
              </w:numPr>
              <w:kinsoku/>
              <w:wordWrap/>
              <w:overflowPunct/>
              <w:topLinePunct w:val="0"/>
              <w:bidi w:val="0"/>
              <w:adjustRightInd w:val="0"/>
              <w:spacing w:line="360" w:lineRule="exact"/>
              <w:ind w:firstLine="0" w:firstLineChars="0"/>
              <w:jc w:val="both"/>
              <w:textAlignment w:val="auto"/>
              <w:rPr>
                <w:rFonts w:hint="eastAsia" w:ascii="仿宋" w:hAnsi="仿宋" w:eastAsia="仿宋" w:cs="仿宋"/>
                <w:color w:val="auto"/>
                <w:kern w:val="2"/>
                <w:sz w:val="24"/>
                <w:szCs w:val="24"/>
                <w:highlight w:val="none"/>
              </w:rPr>
            </w:pPr>
            <w:r>
              <w:rPr>
                <w:rFonts w:hint="default" w:ascii="仿宋" w:hAnsi="仿宋" w:eastAsia="仿宋" w:cs="仿宋"/>
                <w:color w:val="auto"/>
                <w:kern w:val="2"/>
                <w:sz w:val="24"/>
                <w:szCs w:val="24"/>
                <w:highlight w:val="none"/>
                <w:lang w:val="en-US" w:eastAsia="zh-CN" w:bidi="ar-SA"/>
              </w:rPr>
              <w:t>7、</w:t>
            </w:r>
            <w:r>
              <w:rPr>
                <w:rFonts w:hint="eastAsia" w:ascii="仿宋" w:hAnsi="仿宋" w:eastAsia="仿宋" w:cs="仿宋"/>
                <w:color w:val="auto"/>
                <w:kern w:val="2"/>
                <w:sz w:val="24"/>
                <w:szCs w:val="24"/>
                <w:highlight w:val="none"/>
              </w:rPr>
              <w:t>★配套软件要求</w:t>
            </w:r>
          </w:p>
          <w:p w14:paraId="58EF303E">
            <w:pPr>
              <w:pStyle w:val="27"/>
              <w:keepNext w:val="0"/>
              <w:keepLines w:val="0"/>
              <w:pageBreakBefore w:val="0"/>
              <w:widowControl w:val="0"/>
              <w:kinsoku/>
              <w:wordWrap/>
              <w:overflowPunct/>
              <w:topLinePunct w:val="0"/>
              <w:bidi w:val="0"/>
              <w:adjustRightInd w:val="0"/>
              <w:spacing w:line="3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设备移动端需包括设备运行状态查看功能、实时数据对比功能、</w:t>
            </w:r>
            <w:r>
              <w:rPr>
                <w:rFonts w:hint="eastAsia" w:ascii="仿宋" w:hAnsi="仿宋" w:eastAsia="仿宋" w:cs="仿宋"/>
                <w:color w:val="auto"/>
                <w:kern w:val="2"/>
                <w:sz w:val="24"/>
                <w:szCs w:val="24"/>
                <w:highlight w:val="none"/>
              </w:rPr>
              <w:t>数据曲线查看功能、PM</w:t>
            </w:r>
            <w:r>
              <w:rPr>
                <w:rFonts w:hint="eastAsia" w:ascii="仿宋" w:hAnsi="仿宋" w:eastAsia="仿宋" w:cs="仿宋"/>
                <w:color w:val="auto"/>
                <w:kern w:val="2"/>
                <w:sz w:val="24"/>
                <w:szCs w:val="24"/>
                <w:highlight w:val="none"/>
                <w:vertAlign w:val="subscript"/>
              </w:rPr>
              <w:t>2.5</w:t>
            </w:r>
            <w:r>
              <w:rPr>
                <w:rFonts w:hint="eastAsia" w:ascii="仿宋" w:hAnsi="仿宋" w:eastAsia="仿宋" w:cs="仿宋"/>
                <w:color w:val="auto"/>
                <w:kern w:val="2"/>
                <w:sz w:val="24"/>
                <w:szCs w:val="24"/>
                <w:highlight w:val="none"/>
              </w:rPr>
              <w:t>实时去除效率计算功能、累计</w:t>
            </w:r>
            <w:r>
              <w:rPr>
                <w:rFonts w:hint="eastAsia" w:ascii="仿宋" w:hAnsi="仿宋" w:eastAsia="仿宋" w:cs="仿宋"/>
                <w:color w:val="auto"/>
                <w:kern w:val="2"/>
                <w:sz w:val="24"/>
                <w:szCs w:val="24"/>
                <w:highlight w:val="none"/>
              </w:rPr>
              <w:t>PM</w:t>
            </w:r>
            <w:r>
              <w:rPr>
                <w:rFonts w:hint="eastAsia" w:ascii="仿宋" w:hAnsi="仿宋" w:eastAsia="仿宋" w:cs="仿宋"/>
                <w:color w:val="auto"/>
                <w:kern w:val="2"/>
                <w:sz w:val="24"/>
                <w:szCs w:val="24"/>
                <w:highlight w:val="none"/>
                <w:vertAlign w:val="subscript"/>
              </w:rPr>
              <w:t>2.5</w:t>
            </w:r>
            <w:r>
              <w:rPr>
                <w:rFonts w:hint="eastAsia" w:ascii="仿宋" w:hAnsi="仿宋" w:eastAsia="仿宋" w:cs="仿宋"/>
                <w:color w:val="auto"/>
                <w:kern w:val="2"/>
                <w:sz w:val="24"/>
                <w:szCs w:val="24"/>
                <w:highlight w:val="none"/>
              </w:rPr>
              <w:t>去除量统计功能、区域和局部实时风速风向查看等功能。</w:t>
            </w:r>
          </w:p>
        </w:tc>
      </w:tr>
      <w:tr w14:paraId="3BCF4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572" w:type="dxa"/>
            <w:vMerge w:val="continue"/>
            <w:noWrap w:val="0"/>
            <w:vAlign w:val="center"/>
          </w:tcPr>
          <w:p w14:paraId="5F95961C">
            <w:pPr>
              <w:pStyle w:val="27"/>
              <w:keepNext w:val="0"/>
              <w:keepLines w:val="0"/>
              <w:pageBreakBefore w:val="0"/>
              <w:widowControl w:val="0"/>
              <w:kinsoku/>
              <w:wordWrap/>
              <w:overflowPunct/>
              <w:topLinePunct w:val="0"/>
              <w:bidi w:val="0"/>
              <w:adjustRightInd w:val="0"/>
              <w:spacing w:line="360" w:lineRule="exact"/>
              <w:ind w:firstLine="0" w:firstLineChars="0"/>
              <w:jc w:val="both"/>
              <w:textAlignment w:val="auto"/>
              <w:rPr>
                <w:rFonts w:hint="eastAsia" w:ascii="仿宋" w:hAnsi="仿宋" w:eastAsia="仿宋" w:cs="仿宋"/>
                <w:color w:val="auto"/>
                <w:sz w:val="24"/>
                <w:szCs w:val="24"/>
                <w:highlight w:val="none"/>
              </w:rPr>
            </w:pPr>
          </w:p>
        </w:tc>
        <w:tc>
          <w:tcPr>
            <w:tcW w:w="1428" w:type="dxa"/>
            <w:vMerge w:val="continue"/>
            <w:noWrap w:val="0"/>
            <w:vAlign w:val="center"/>
          </w:tcPr>
          <w:p w14:paraId="4CA99152">
            <w:pPr>
              <w:pStyle w:val="27"/>
              <w:keepNext w:val="0"/>
              <w:keepLines w:val="0"/>
              <w:pageBreakBefore w:val="0"/>
              <w:widowControl w:val="0"/>
              <w:kinsoku/>
              <w:wordWrap/>
              <w:overflowPunct/>
              <w:topLinePunct w:val="0"/>
              <w:bidi w:val="0"/>
              <w:adjustRightInd w:val="0"/>
              <w:spacing w:line="360" w:lineRule="exact"/>
              <w:ind w:firstLine="0" w:firstLineChars="0"/>
              <w:jc w:val="both"/>
              <w:textAlignment w:val="auto"/>
              <w:rPr>
                <w:rFonts w:hint="eastAsia" w:ascii="仿宋" w:hAnsi="仿宋" w:eastAsia="仿宋" w:cs="仿宋"/>
                <w:color w:val="auto"/>
                <w:sz w:val="24"/>
                <w:szCs w:val="24"/>
                <w:highlight w:val="none"/>
              </w:rPr>
            </w:pPr>
          </w:p>
        </w:tc>
        <w:tc>
          <w:tcPr>
            <w:tcW w:w="6772" w:type="dxa"/>
            <w:noWrap w:val="0"/>
            <w:vAlign w:val="top"/>
          </w:tcPr>
          <w:p w14:paraId="2104EFD6">
            <w:pPr>
              <w:keepNext w:val="0"/>
              <w:keepLines w:val="0"/>
              <w:pageBreakBefore w:val="0"/>
              <w:widowControl w:val="0"/>
              <w:kinsoku/>
              <w:wordWrap/>
              <w:overflowPunct/>
              <w:topLinePunct w:val="0"/>
              <w:bidi w:val="0"/>
              <w:adjustRightInd w:val="0"/>
              <w:snapToGrid w:val="0"/>
              <w:spacing w:line="36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根据拱墅区环境空气质量现状，</w:t>
            </w:r>
            <w:r>
              <w:rPr>
                <w:rFonts w:hint="eastAsia" w:ascii="仿宋" w:hAnsi="仿宋" w:eastAsia="仿宋" w:cs="仿宋"/>
                <w:color w:val="auto"/>
                <w:sz w:val="24"/>
                <w:szCs w:val="24"/>
                <w:highlight w:val="none"/>
              </w:rPr>
              <w:t>安装</w:t>
            </w:r>
            <w:r>
              <w:rPr>
                <w:rFonts w:hint="eastAsia" w:ascii="仿宋" w:hAnsi="仿宋" w:eastAsia="仿宋" w:cs="仿宋"/>
                <w:b/>
                <w:bCs/>
                <w:color w:val="auto"/>
                <w:sz w:val="24"/>
                <w:szCs w:val="24"/>
                <w:highlight w:val="none"/>
                <w:lang w:val="en-US" w:eastAsia="zh-CN"/>
              </w:rPr>
              <w:t>户外超静音扬尘治理装置。</w:t>
            </w:r>
          </w:p>
          <w:p w14:paraId="7ED2CEA7">
            <w:pPr>
              <w:keepNext w:val="0"/>
              <w:keepLines w:val="0"/>
              <w:pageBreakBefore w:val="0"/>
              <w:widowControl w:val="0"/>
              <w:kinsoku/>
              <w:wordWrap/>
              <w:overflowPunct/>
              <w:topLinePunct w:val="0"/>
              <w:bidi w:val="0"/>
              <w:adjustRightInd w:val="0"/>
              <w:snapToGrid w:val="0"/>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1、处理能力要求</w:t>
            </w:r>
          </w:p>
          <w:p w14:paraId="74EE404A">
            <w:pPr>
              <w:keepNext w:val="0"/>
              <w:keepLines w:val="0"/>
              <w:pageBreakBefore w:val="0"/>
              <w:widowControl w:val="0"/>
              <w:kinsoku/>
              <w:wordWrap/>
              <w:overflowPunct/>
              <w:topLinePunct w:val="0"/>
              <w:bidi w:val="0"/>
              <w:adjustRightInd w:val="0"/>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w:t>
            </w:r>
            <w:r>
              <w:rPr>
                <w:rFonts w:hint="eastAsia" w:ascii="仿宋" w:hAnsi="仿宋" w:eastAsia="仿宋" w:cs="仿宋"/>
                <w:color w:val="auto"/>
                <w:sz w:val="24"/>
                <w:szCs w:val="24"/>
                <w:highlight w:val="none"/>
                <w:lang w:val="en-US" w:eastAsia="zh-CN"/>
              </w:rPr>
              <w:t>个</w:t>
            </w:r>
            <w:r>
              <w:rPr>
                <w:rFonts w:hint="eastAsia" w:ascii="仿宋" w:hAnsi="仿宋" w:eastAsia="仿宋" w:cs="仿宋"/>
                <w:color w:val="auto"/>
                <w:sz w:val="24"/>
                <w:szCs w:val="24"/>
                <w:highlight w:val="none"/>
              </w:rPr>
              <w:t>处理能力不小于130立方米/小时。</w:t>
            </w:r>
          </w:p>
          <w:p w14:paraId="03A47A2D">
            <w:pPr>
              <w:pStyle w:val="27"/>
              <w:keepNext w:val="0"/>
              <w:keepLines w:val="0"/>
              <w:pageBreakBefore w:val="0"/>
              <w:widowControl w:val="0"/>
              <w:kinsoku/>
              <w:wordWrap/>
              <w:overflowPunct/>
              <w:topLinePunct w:val="0"/>
              <w:bidi w:val="0"/>
              <w:adjustRightInd w:val="0"/>
              <w:spacing w:line="360" w:lineRule="exact"/>
              <w:ind w:firstLine="0" w:firstLineChars="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2、分贝要求</w:t>
            </w:r>
          </w:p>
          <w:p w14:paraId="30FA351C">
            <w:pPr>
              <w:pStyle w:val="27"/>
              <w:keepNext w:val="0"/>
              <w:keepLines w:val="0"/>
              <w:pageBreakBefore w:val="0"/>
              <w:widowControl w:val="0"/>
              <w:kinsoku/>
              <w:wordWrap/>
              <w:overflowPunct/>
              <w:topLinePunct w:val="0"/>
              <w:bidi w:val="0"/>
              <w:adjustRightInd w:val="0"/>
              <w:spacing w:line="360" w:lineRule="exact"/>
              <w:ind w:firstLine="42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单套运行噪声不大于45dB。</w:t>
            </w:r>
          </w:p>
          <w:p w14:paraId="0A920588">
            <w:pPr>
              <w:pStyle w:val="27"/>
              <w:keepNext w:val="0"/>
              <w:keepLines w:val="0"/>
              <w:pageBreakBefore w:val="0"/>
              <w:widowControl w:val="0"/>
              <w:kinsoku/>
              <w:wordWrap/>
              <w:overflowPunct/>
              <w:topLinePunct w:val="0"/>
              <w:bidi w:val="0"/>
              <w:adjustRightInd w:val="0"/>
              <w:spacing w:line="360" w:lineRule="exact"/>
              <w:ind w:firstLine="0" w:firstLineChars="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3、重量要求</w:t>
            </w:r>
          </w:p>
          <w:p w14:paraId="3DB64425">
            <w:pPr>
              <w:pStyle w:val="27"/>
              <w:keepNext w:val="0"/>
              <w:keepLines w:val="0"/>
              <w:pageBreakBefore w:val="0"/>
              <w:widowControl w:val="0"/>
              <w:kinsoku/>
              <w:wordWrap/>
              <w:overflowPunct/>
              <w:topLinePunct w:val="0"/>
              <w:bidi w:val="0"/>
              <w:adjustRightInd w:val="0"/>
              <w:spacing w:line="360" w:lineRule="exact"/>
              <w:ind w:firstLine="42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单套重量不大于2kg。</w:t>
            </w:r>
          </w:p>
          <w:p w14:paraId="74CEE65A">
            <w:pPr>
              <w:pStyle w:val="27"/>
              <w:keepNext w:val="0"/>
              <w:keepLines w:val="0"/>
              <w:pageBreakBefore w:val="0"/>
              <w:widowControl w:val="0"/>
              <w:kinsoku/>
              <w:wordWrap/>
              <w:overflowPunct/>
              <w:topLinePunct w:val="0"/>
              <w:bidi w:val="0"/>
              <w:adjustRightInd w:val="0"/>
              <w:spacing w:line="360" w:lineRule="exact"/>
              <w:ind w:firstLine="0" w:firstLineChars="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4、过滤材料要求</w:t>
            </w:r>
          </w:p>
          <w:p w14:paraId="5EF25188">
            <w:pPr>
              <w:pStyle w:val="27"/>
              <w:keepNext w:val="0"/>
              <w:keepLines w:val="0"/>
              <w:pageBreakBefore w:val="0"/>
              <w:widowControl w:val="0"/>
              <w:kinsoku/>
              <w:wordWrap/>
              <w:overflowPunct/>
              <w:topLinePunct w:val="0"/>
              <w:bidi w:val="0"/>
              <w:adjustRightInd w:val="0"/>
              <w:spacing w:line="360" w:lineRule="exact"/>
              <w:ind w:firstLine="42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kern w:val="2"/>
                <w:sz w:val="24"/>
                <w:szCs w:val="24"/>
                <w:highlight w:val="none"/>
              </w:rPr>
              <w:t>所选用带有过滤材料的净化装置根据GB/T-13554-2020《高效空气过滤器》中规定的效率试验方法检测得到的过滤效率级别不低于35或过滤效率不低于99.95%，</w:t>
            </w:r>
            <w:r>
              <w:rPr>
                <w:rFonts w:hint="eastAsia" w:ascii="仿宋" w:hAnsi="仿宋" w:eastAsia="仿宋" w:cs="仿宋"/>
                <w:b/>
                <w:bCs/>
                <w:color w:val="auto"/>
                <w:kern w:val="2"/>
                <w:sz w:val="24"/>
                <w:szCs w:val="24"/>
                <w:highlight w:val="none"/>
              </w:rPr>
              <w:t>并提供</w:t>
            </w:r>
            <w:r>
              <w:rPr>
                <w:rFonts w:hint="default" w:ascii="仿宋" w:hAnsi="仿宋" w:eastAsia="仿宋" w:cs="仿宋"/>
                <w:b/>
                <w:bCs/>
                <w:color w:val="auto"/>
                <w:kern w:val="2"/>
                <w:sz w:val="24"/>
                <w:szCs w:val="24"/>
                <w:highlight w:val="none"/>
                <w:lang w:val="en-US"/>
              </w:rPr>
              <w:t>CMA或CNAS机构出具的</w:t>
            </w:r>
            <w:r>
              <w:rPr>
                <w:rFonts w:hint="eastAsia" w:ascii="仿宋" w:hAnsi="仿宋" w:eastAsia="仿宋" w:cs="仿宋"/>
                <w:b/>
                <w:bCs/>
                <w:color w:val="auto"/>
                <w:kern w:val="2"/>
                <w:sz w:val="24"/>
                <w:szCs w:val="24"/>
                <w:highlight w:val="none"/>
              </w:rPr>
              <w:t>检测报告</w:t>
            </w:r>
            <w:r>
              <w:rPr>
                <w:rFonts w:hint="eastAsia" w:ascii="仿宋" w:hAnsi="仿宋" w:eastAsia="仿宋" w:cs="仿宋"/>
                <w:b/>
                <w:bCs/>
                <w:color w:val="auto"/>
                <w:kern w:val="2"/>
                <w:sz w:val="24"/>
                <w:szCs w:val="24"/>
                <w:highlight w:val="none"/>
                <w:lang w:eastAsia="zh-CN"/>
              </w:rPr>
              <w:t>（</w:t>
            </w:r>
            <w:r>
              <w:rPr>
                <w:rFonts w:hint="eastAsia" w:ascii="仿宋" w:hAnsi="仿宋" w:eastAsia="仿宋" w:cs="仿宋"/>
                <w:b/>
                <w:bCs/>
                <w:color w:val="auto"/>
                <w:kern w:val="2"/>
                <w:sz w:val="24"/>
                <w:szCs w:val="24"/>
                <w:highlight w:val="none"/>
                <w:lang w:val="en-US" w:eastAsia="zh-CN"/>
              </w:rPr>
              <w:t>需加盖公章）</w:t>
            </w:r>
            <w:r>
              <w:rPr>
                <w:rFonts w:hint="eastAsia" w:ascii="仿宋" w:hAnsi="仿宋" w:eastAsia="仿宋" w:cs="仿宋"/>
                <w:color w:val="auto"/>
                <w:kern w:val="2"/>
                <w:sz w:val="24"/>
                <w:szCs w:val="24"/>
                <w:highlight w:val="none"/>
              </w:rPr>
              <w:t>。</w:t>
            </w:r>
          </w:p>
          <w:p w14:paraId="1ACA2E25">
            <w:pPr>
              <w:pStyle w:val="27"/>
              <w:keepNext w:val="0"/>
              <w:keepLines w:val="0"/>
              <w:pageBreakBefore w:val="0"/>
              <w:widowControl w:val="0"/>
              <w:kinsoku/>
              <w:wordWrap/>
              <w:overflowPunct/>
              <w:topLinePunct w:val="0"/>
              <w:bidi w:val="0"/>
              <w:adjustRightInd w:val="0"/>
              <w:spacing w:line="360" w:lineRule="exact"/>
              <w:ind w:firstLine="0" w:firstLineChars="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5、控制模块要求</w:t>
            </w:r>
          </w:p>
          <w:p w14:paraId="001D47BF">
            <w:pPr>
              <w:pStyle w:val="27"/>
              <w:keepNext w:val="0"/>
              <w:keepLines w:val="0"/>
              <w:pageBreakBefore w:val="0"/>
              <w:widowControl w:val="0"/>
              <w:kinsoku/>
              <w:wordWrap/>
              <w:overflowPunct/>
              <w:topLinePunct w:val="0"/>
              <w:bidi w:val="0"/>
              <w:adjustRightInd w:val="0"/>
              <w:spacing w:line="360" w:lineRule="exact"/>
              <w:ind w:firstLine="42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配备智能雨量感应控制模块，设备可自动感应降雨信息，实现雨天设备停止运行要求。</w:t>
            </w:r>
          </w:p>
          <w:p w14:paraId="19A1E158">
            <w:pPr>
              <w:pStyle w:val="27"/>
              <w:keepNext w:val="0"/>
              <w:keepLines w:val="0"/>
              <w:pageBreakBefore w:val="0"/>
              <w:widowControl w:val="0"/>
              <w:kinsoku/>
              <w:wordWrap/>
              <w:overflowPunct/>
              <w:topLinePunct w:val="0"/>
              <w:bidi w:val="0"/>
              <w:adjustRightInd w:val="0"/>
              <w:spacing w:line="360" w:lineRule="exact"/>
              <w:ind w:firstLine="0" w:firstLineChars="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6、感知模块要求</w:t>
            </w:r>
          </w:p>
          <w:p w14:paraId="78021E9D">
            <w:pPr>
              <w:pStyle w:val="27"/>
              <w:keepNext w:val="0"/>
              <w:keepLines w:val="0"/>
              <w:pageBreakBefore w:val="0"/>
              <w:widowControl w:val="0"/>
              <w:kinsoku/>
              <w:wordWrap/>
              <w:overflowPunct/>
              <w:topLinePunct w:val="0"/>
              <w:bidi w:val="0"/>
              <w:adjustRightInd w:val="0"/>
              <w:spacing w:line="360" w:lineRule="exact"/>
              <w:ind w:firstLine="42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配备</w:t>
            </w:r>
            <w:r>
              <w:rPr>
                <w:rFonts w:hint="eastAsia" w:ascii="仿宋" w:hAnsi="仿宋" w:eastAsia="仿宋" w:cs="仿宋"/>
                <w:color w:val="auto"/>
                <w:sz w:val="24"/>
                <w:szCs w:val="24"/>
                <w:highlight w:val="none"/>
              </w:rPr>
              <w:t>PM</w:t>
            </w:r>
            <w:r>
              <w:rPr>
                <w:rFonts w:hint="eastAsia" w:ascii="仿宋" w:hAnsi="仿宋" w:eastAsia="仿宋" w:cs="仿宋"/>
                <w:color w:val="auto"/>
                <w:sz w:val="24"/>
                <w:szCs w:val="24"/>
                <w:highlight w:val="none"/>
                <w:vertAlign w:val="subscript"/>
              </w:rPr>
              <w:t>2.5</w:t>
            </w:r>
            <w:r>
              <w:rPr>
                <w:rFonts w:hint="eastAsia" w:ascii="仿宋" w:hAnsi="仿宋" w:eastAsia="仿宋" w:cs="仿宋"/>
                <w:color w:val="auto"/>
                <w:kern w:val="2"/>
                <w:sz w:val="24"/>
                <w:szCs w:val="24"/>
                <w:highlight w:val="none"/>
              </w:rPr>
              <w:t>物联网4G感知模块，每个模块配备1个进口及1个出口</w:t>
            </w:r>
            <w:r>
              <w:rPr>
                <w:rFonts w:hint="eastAsia" w:ascii="仿宋" w:hAnsi="仿宋" w:eastAsia="仿宋" w:cs="仿宋"/>
                <w:color w:val="auto"/>
                <w:sz w:val="24"/>
                <w:szCs w:val="24"/>
                <w:highlight w:val="none"/>
              </w:rPr>
              <w:t>PM</w:t>
            </w:r>
            <w:r>
              <w:rPr>
                <w:rFonts w:hint="eastAsia" w:ascii="仿宋" w:hAnsi="仿宋" w:eastAsia="仿宋" w:cs="仿宋"/>
                <w:color w:val="auto"/>
                <w:sz w:val="24"/>
                <w:szCs w:val="24"/>
                <w:highlight w:val="none"/>
                <w:vertAlign w:val="subscript"/>
              </w:rPr>
              <w:t>2.5</w:t>
            </w:r>
            <w:r>
              <w:rPr>
                <w:rFonts w:hint="eastAsia" w:ascii="仿宋" w:hAnsi="仿宋" w:eastAsia="仿宋" w:cs="仿宋"/>
                <w:color w:val="auto"/>
                <w:kern w:val="2"/>
                <w:sz w:val="24"/>
                <w:szCs w:val="24"/>
                <w:highlight w:val="none"/>
              </w:rPr>
              <w:t>传感器和1个4G传输模块。</w:t>
            </w:r>
          </w:p>
          <w:p w14:paraId="078785B4">
            <w:pPr>
              <w:pStyle w:val="27"/>
              <w:keepNext w:val="0"/>
              <w:keepLines w:val="0"/>
              <w:pageBreakBefore w:val="0"/>
              <w:widowControl w:val="0"/>
              <w:kinsoku/>
              <w:wordWrap/>
              <w:overflowPunct/>
              <w:topLinePunct w:val="0"/>
              <w:bidi w:val="0"/>
              <w:adjustRightInd w:val="0"/>
              <w:spacing w:line="360" w:lineRule="exact"/>
              <w:ind w:firstLine="42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①</w:t>
            </w:r>
            <w:r>
              <w:rPr>
                <w:rFonts w:hint="eastAsia" w:ascii="仿宋" w:hAnsi="仿宋" w:eastAsia="仿宋" w:cs="仿宋"/>
                <w:color w:val="auto"/>
                <w:sz w:val="24"/>
                <w:szCs w:val="24"/>
                <w:highlight w:val="none"/>
              </w:rPr>
              <w:t>PM</w:t>
            </w:r>
            <w:r>
              <w:rPr>
                <w:rFonts w:hint="eastAsia" w:ascii="仿宋" w:hAnsi="仿宋" w:eastAsia="仿宋" w:cs="仿宋"/>
                <w:color w:val="auto"/>
                <w:sz w:val="24"/>
                <w:szCs w:val="24"/>
                <w:highlight w:val="none"/>
                <w:vertAlign w:val="subscript"/>
              </w:rPr>
              <w:t>2.5</w:t>
            </w:r>
            <w:r>
              <w:rPr>
                <w:rFonts w:hint="eastAsia" w:ascii="仿宋" w:hAnsi="仿宋" w:eastAsia="仿宋" w:cs="仿宋"/>
                <w:color w:val="auto"/>
                <w:kern w:val="2"/>
                <w:sz w:val="24"/>
                <w:szCs w:val="24"/>
                <w:highlight w:val="none"/>
              </w:rPr>
              <w:t>传感器要求</w:t>
            </w:r>
          </w:p>
          <w:p w14:paraId="01908527">
            <w:pPr>
              <w:pStyle w:val="27"/>
              <w:keepNext w:val="0"/>
              <w:keepLines w:val="0"/>
              <w:pageBreakBefore w:val="0"/>
              <w:widowControl w:val="0"/>
              <w:kinsoku/>
              <w:wordWrap/>
              <w:overflowPunct/>
              <w:topLinePunct w:val="0"/>
              <w:bidi w:val="0"/>
              <w:adjustRightInd w:val="0"/>
              <w:spacing w:line="360" w:lineRule="exact"/>
              <w:ind w:firstLine="42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量程范围：不少于1-1000μg/m</w:t>
            </w:r>
            <w:r>
              <w:rPr>
                <w:rFonts w:hint="eastAsia" w:ascii="仿宋" w:hAnsi="仿宋" w:eastAsia="仿宋" w:cs="仿宋"/>
                <w:color w:val="auto"/>
                <w:kern w:val="2"/>
                <w:sz w:val="24"/>
                <w:szCs w:val="24"/>
                <w:highlight w:val="none"/>
                <w:vertAlign w:val="superscript"/>
              </w:rPr>
              <w:t>3</w:t>
            </w:r>
            <w:r>
              <w:rPr>
                <w:rFonts w:hint="eastAsia" w:ascii="仿宋" w:hAnsi="仿宋" w:eastAsia="仿宋" w:cs="仿宋"/>
                <w:color w:val="auto"/>
                <w:kern w:val="2"/>
                <w:sz w:val="24"/>
                <w:szCs w:val="24"/>
                <w:highlight w:val="none"/>
              </w:rPr>
              <w:t>；</w:t>
            </w:r>
          </w:p>
          <w:p w14:paraId="41F776C2">
            <w:pPr>
              <w:pStyle w:val="27"/>
              <w:keepNext w:val="0"/>
              <w:keepLines w:val="0"/>
              <w:pageBreakBefore w:val="0"/>
              <w:widowControl w:val="0"/>
              <w:kinsoku/>
              <w:wordWrap/>
              <w:overflowPunct/>
              <w:topLinePunct w:val="0"/>
              <w:bidi w:val="0"/>
              <w:adjustRightInd w:val="0"/>
              <w:spacing w:line="360" w:lineRule="exact"/>
              <w:ind w:firstLine="42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示值误差：量程为0-100ug/m</w:t>
            </w:r>
            <w:r>
              <w:rPr>
                <w:rFonts w:hint="eastAsia" w:ascii="仿宋" w:hAnsi="仿宋" w:eastAsia="仿宋" w:cs="仿宋"/>
                <w:color w:val="auto"/>
                <w:kern w:val="2"/>
                <w:sz w:val="24"/>
                <w:szCs w:val="24"/>
                <w:highlight w:val="none"/>
                <w:vertAlign w:val="superscript"/>
              </w:rPr>
              <w:t>3</w:t>
            </w:r>
            <w:r>
              <w:rPr>
                <w:rFonts w:hint="eastAsia" w:ascii="仿宋" w:hAnsi="仿宋" w:eastAsia="仿宋" w:cs="仿宋"/>
                <w:color w:val="auto"/>
                <w:kern w:val="2"/>
                <w:sz w:val="24"/>
                <w:szCs w:val="24"/>
                <w:highlight w:val="none"/>
              </w:rPr>
              <w:t>时，不超过±10ug/m</w:t>
            </w:r>
            <w:r>
              <w:rPr>
                <w:rFonts w:hint="eastAsia" w:ascii="仿宋" w:hAnsi="仿宋" w:eastAsia="仿宋" w:cs="仿宋"/>
                <w:color w:val="auto"/>
                <w:kern w:val="2"/>
                <w:sz w:val="24"/>
                <w:szCs w:val="24"/>
                <w:highlight w:val="none"/>
                <w:vertAlign w:val="superscript"/>
              </w:rPr>
              <w:t>3</w:t>
            </w:r>
            <w:r>
              <w:rPr>
                <w:rFonts w:hint="eastAsia" w:ascii="仿宋" w:hAnsi="仿宋" w:eastAsia="仿宋" w:cs="仿宋"/>
                <w:color w:val="auto"/>
                <w:kern w:val="2"/>
                <w:sz w:val="24"/>
                <w:szCs w:val="24"/>
                <w:highlight w:val="none"/>
              </w:rPr>
              <w:t>；量程为100-1000 ug/m</w:t>
            </w:r>
            <w:r>
              <w:rPr>
                <w:rFonts w:hint="eastAsia" w:ascii="仿宋" w:hAnsi="仿宋" w:eastAsia="仿宋" w:cs="仿宋"/>
                <w:color w:val="auto"/>
                <w:kern w:val="2"/>
                <w:sz w:val="24"/>
                <w:szCs w:val="24"/>
                <w:highlight w:val="none"/>
                <w:vertAlign w:val="superscript"/>
              </w:rPr>
              <w:t>3</w:t>
            </w:r>
            <w:r>
              <w:rPr>
                <w:rFonts w:hint="eastAsia" w:ascii="仿宋" w:hAnsi="仿宋" w:eastAsia="仿宋" w:cs="仿宋"/>
                <w:color w:val="auto"/>
                <w:kern w:val="2"/>
                <w:sz w:val="24"/>
                <w:szCs w:val="24"/>
                <w:highlight w:val="none"/>
              </w:rPr>
              <w:t>时，不超过±10%。</w:t>
            </w:r>
          </w:p>
          <w:p w14:paraId="7BECCCF2">
            <w:pPr>
              <w:pStyle w:val="27"/>
              <w:keepNext w:val="0"/>
              <w:keepLines w:val="0"/>
              <w:pageBreakBefore w:val="0"/>
              <w:widowControl w:val="0"/>
              <w:kinsoku/>
              <w:wordWrap/>
              <w:overflowPunct/>
              <w:topLinePunct w:val="0"/>
              <w:bidi w:val="0"/>
              <w:adjustRightInd w:val="0"/>
              <w:spacing w:line="360" w:lineRule="exact"/>
              <w:ind w:firstLine="42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②4G传输要求</w:t>
            </w:r>
          </w:p>
          <w:p w14:paraId="7668B771">
            <w:pPr>
              <w:pStyle w:val="27"/>
              <w:keepNext w:val="0"/>
              <w:keepLines w:val="0"/>
              <w:pageBreakBefore w:val="0"/>
              <w:widowControl w:val="0"/>
              <w:kinsoku/>
              <w:wordWrap/>
              <w:overflowPunct/>
              <w:topLinePunct w:val="0"/>
              <w:bidi w:val="0"/>
              <w:adjustRightInd w:val="0"/>
              <w:spacing w:line="360" w:lineRule="exact"/>
              <w:ind w:firstLine="42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数据传输频率不低于10秒/条。</w:t>
            </w:r>
          </w:p>
          <w:p w14:paraId="5BA1223B">
            <w:pPr>
              <w:pStyle w:val="27"/>
              <w:keepNext w:val="0"/>
              <w:keepLines w:val="0"/>
              <w:pageBreakBefore w:val="0"/>
              <w:widowControl w:val="0"/>
              <w:kinsoku/>
              <w:wordWrap/>
              <w:overflowPunct/>
              <w:topLinePunct w:val="0"/>
              <w:bidi w:val="0"/>
              <w:adjustRightInd w:val="0"/>
              <w:spacing w:line="360" w:lineRule="exact"/>
              <w:ind w:firstLine="0" w:firstLineChars="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7、安装要求</w:t>
            </w:r>
          </w:p>
          <w:p w14:paraId="240330D8">
            <w:pPr>
              <w:pStyle w:val="27"/>
              <w:keepNext w:val="0"/>
              <w:keepLines w:val="0"/>
              <w:pageBreakBefore w:val="0"/>
              <w:widowControl w:val="0"/>
              <w:kinsoku/>
              <w:wordWrap/>
              <w:overflowPunct/>
              <w:topLinePunct w:val="0"/>
              <w:bidi w:val="0"/>
              <w:adjustRightInd w:val="0"/>
              <w:spacing w:line="360" w:lineRule="exact"/>
              <w:ind w:firstLine="42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安装场景需包括路灯、电线杆、树木等固定式物体。</w:t>
            </w:r>
          </w:p>
          <w:p w14:paraId="0EB78DA9">
            <w:pPr>
              <w:pStyle w:val="27"/>
              <w:keepNext w:val="0"/>
              <w:keepLines w:val="0"/>
              <w:pageBreakBefore w:val="0"/>
              <w:widowControl w:val="0"/>
              <w:numPr>
                <w:ilvl w:val="0"/>
                <w:numId w:val="0"/>
              </w:numPr>
              <w:kinsoku/>
              <w:wordWrap/>
              <w:overflowPunct/>
              <w:topLinePunct w:val="0"/>
              <w:bidi w:val="0"/>
              <w:adjustRightInd w:val="0"/>
              <w:spacing w:line="360" w:lineRule="exact"/>
              <w:ind w:firstLine="0" w:firstLineChars="0"/>
              <w:jc w:val="both"/>
              <w:textAlignment w:val="auto"/>
              <w:rPr>
                <w:rFonts w:hint="eastAsia" w:ascii="仿宋" w:hAnsi="仿宋" w:eastAsia="仿宋" w:cs="仿宋"/>
                <w:color w:val="auto"/>
                <w:sz w:val="24"/>
                <w:szCs w:val="24"/>
                <w:highlight w:val="none"/>
              </w:rPr>
            </w:pPr>
            <w:r>
              <w:rPr>
                <w:rFonts w:hint="default" w:ascii="仿宋" w:hAnsi="仿宋" w:eastAsia="仿宋" w:cs="仿宋"/>
                <w:color w:val="auto"/>
                <w:sz w:val="24"/>
                <w:szCs w:val="24"/>
                <w:highlight w:val="none"/>
                <w:lang w:val="en-US" w:eastAsia="zh-CN" w:bidi="ar-SA"/>
              </w:rPr>
              <w:t>8、</w:t>
            </w:r>
            <w:r>
              <w:rPr>
                <w:rFonts w:hint="eastAsia" w:ascii="仿宋" w:hAnsi="仿宋" w:eastAsia="仿宋" w:cs="仿宋"/>
                <w:color w:val="auto"/>
                <w:sz w:val="24"/>
                <w:szCs w:val="24"/>
                <w:highlight w:val="none"/>
              </w:rPr>
              <w:t>★</w:t>
            </w:r>
            <w:r>
              <w:rPr>
                <w:rFonts w:hint="eastAsia" w:ascii="仿宋" w:hAnsi="仿宋" w:eastAsia="仿宋" w:cs="仿宋"/>
                <w:color w:val="auto"/>
                <w:kern w:val="2"/>
                <w:sz w:val="24"/>
                <w:szCs w:val="24"/>
                <w:highlight w:val="none"/>
              </w:rPr>
              <w:t>配套软件要求</w:t>
            </w:r>
          </w:p>
          <w:p w14:paraId="6573E73D">
            <w:pPr>
              <w:pStyle w:val="27"/>
              <w:keepNext w:val="0"/>
              <w:keepLines w:val="0"/>
              <w:pageBreakBefore w:val="0"/>
              <w:widowControl w:val="0"/>
              <w:kinsoku/>
              <w:wordWrap/>
              <w:overflowPunct/>
              <w:topLinePunct w:val="0"/>
              <w:bidi w:val="0"/>
              <w:adjustRightInd w:val="0"/>
              <w:spacing w:line="3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设备移动端需包括设备运行状态查看功能、实时数据对比功能、</w:t>
            </w:r>
            <w:r>
              <w:rPr>
                <w:rFonts w:hint="eastAsia" w:ascii="仿宋" w:hAnsi="仿宋" w:eastAsia="仿宋" w:cs="仿宋"/>
                <w:color w:val="auto"/>
                <w:kern w:val="2"/>
                <w:sz w:val="24"/>
                <w:szCs w:val="24"/>
                <w:highlight w:val="none"/>
              </w:rPr>
              <w:t>数据曲线查看功能、PM</w:t>
            </w:r>
            <w:r>
              <w:rPr>
                <w:rFonts w:hint="eastAsia" w:ascii="仿宋" w:hAnsi="仿宋" w:eastAsia="仿宋" w:cs="仿宋"/>
                <w:color w:val="auto"/>
                <w:kern w:val="2"/>
                <w:sz w:val="24"/>
                <w:szCs w:val="24"/>
                <w:highlight w:val="none"/>
                <w:vertAlign w:val="subscript"/>
              </w:rPr>
              <w:t>2.5</w:t>
            </w:r>
            <w:r>
              <w:rPr>
                <w:rFonts w:hint="eastAsia" w:ascii="仿宋" w:hAnsi="仿宋" w:eastAsia="仿宋" w:cs="仿宋"/>
                <w:color w:val="auto"/>
                <w:kern w:val="2"/>
                <w:sz w:val="24"/>
                <w:szCs w:val="24"/>
                <w:highlight w:val="none"/>
              </w:rPr>
              <w:t>实时去除效率计算功能、累计</w:t>
            </w:r>
            <w:r>
              <w:rPr>
                <w:rFonts w:hint="eastAsia" w:ascii="仿宋" w:hAnsi="仿宋" w:eastAsia="仿宋" w:cs="仿宋"/>
                <w:color w:val="auto"/>
                <w:kern w:val="2"/>
                <w:sz w:val="24"/>
                <w:szCs w:val="24"/>
                <w:highlight w:val="none"/>
              </w:rPr>
              <w:t>PM</w:t>
            </w:r>
            <w:r>
              <w:rPr>
                <w:rFonts w:hint="eastAsia" w:ascii="仿宋" w:hAnsi="仿宋" w:eastAsia="仿宋" w:cs="仿宋"/>
                <w:color w:val="auto"/>
                <w:kern w:val="2"/>
                <w:sz w:val="24"/>
                <w:szCs w:val="24"/>
                <w:highlight w:val="none"/>
                <w:vertAlign w:val="subscript"/>
              </w:rPr>
              <w:t>2.5</w:t>
            </w:r>
            <w:r>
              <w:rPr>
                <w:rFonts w:hint="eastAsia" w:ascii="仿宋" w:hAnsi="仿宋" w:eastAsia="仿宋" w:cs="仿宋"/>
                <w:color w:val="auto"/>
                <w:kern w:val="2"/>
                <w:sz w:val="24"/>
                <w:szCs w:val="24"/>
                <w:highlight w:val="none"/>
              </w:rPr>
              <w:t>去除量统计功能、区域和局部实时风速风向查看等功能。</w:t>
            </w:r>
          </w:p>
        </w:tc>
      </w:tr>
      <w:tr w14:paraId="0C4C4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vMerge w:val="continue"/>
            <w:noWrap w:val="0"/>
            <w:vAlign w:val="center"/>
          </w:tcPr>
          <w:p w14:paraId="42AE5505">
            <w:pPr>
              <w:keepNext w:val="0"/>
              <w:keepLines w:val="0"/>
              <w:pageBreakBefore w:val="0"/>
              <w:widowControl w:val="0"/>
              <w:kinsoku/>
              <w:wordWrap/>
              <w:overflowPunct/>
              <w:topLinePunct w:val="0"/>
              <w:bidi w:val="0"/>
              <w:adjustRightInd w:val="0"/>
              <w:snapToGrid w:val="0"/>
              <w:spacing w:line="360" w:lineRule="exact"/>
              <w:jc w:val="center"/>
              <w:textAlignment w:val="auto"/>
              <w:rPr>
                <w:rFonts w:hint="eastAsia" w:ascii="仿宋" w:hAnsi="仿宋" w:eastAsia="仿宋" w:cs="仿宋"/>
                <w:color w:val="auto"/>
                <w:sz w:val="24"/>
                <w:szCs w:val="24"/>
                <w:highlight w:val="none"/>
              </w:rPr>
            </w:pPr>
          </w:p>
        </w:tc>
        <w:tc>
          <w:tcPr>
            <w:tcW w:w="1428" w:type="dxa"/>
            <w:vMerge w:val="continue"/>
            <w:noWrap w:val="0"/>
            <w:vAlign w:val="center"/>
          </w:tcPr>
          <w:p w14:paraId="702478DE">
            <w:pPr>
              <w:keepNext w:val="0"/>
              <w:keepLines w:val="0"/>
              <w:pageBreakBefore w:val="0"/>
              <w:widowControl w:val="0"/>
              <w:kinsoku/>
              <w:wordWrap/>
              <w:overflowPunct/>
              <w:topLinePunct w:val="0"/>
              <w:bidi w:val="0"/>
              <w:adjustRightInd w:val="0"/>
              <w:snapToGrid w:val="0"/>
              <w:spacing w:line="360" w:lineRule="exact"/>
              <w:jc w:val="center"/>
              <w:textAlignment w:val="auto"/>
              <w:rPr>
                <w:rFonts w:hint="eastAsia" w:ascii="仿宋" w:hAnsi="仿宋" w:eastAsia="仿宋" w:cs="仿宋"/>
                <w:color w:val="auto"/>
                <w:sz w:val="24"/>
                <w:szCs w:val="24"/>
                <w:highlight w:val="none"/>
              </w:rPr>
            </w:pPr>
          </w:p>
        </w:tc>
        <w:tc>
          <w:tcPr>
            <w:tcW w:w="6772" w:type="dxa"/>
            <w:noWrap w:val="0"/>
            <w:vAlign w:val="center"/>
          </w:tcPr>
          <w:p w14:paraId="5E9C6406">
            <w:pPr>
              <w:keepNext w:val="0"/>
              <w:keepLines w:val="0"/>
              <w:pageBreakBefore w:val="0"/>
              <w:widowControl w:val="0"/>
              <w:kinsoku/>
              <w:wordWrap/>
              <w:overflowPunct/>
              <w:topLinePunct w:val="0"/>
              <w:bidi w:val="0"/>
              <w:adjustRightInd w:val="0"/>
              <w:snapToGrid w:val="0"/>
              <w:spacing w:line="360" w:lineRule="exact"/>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en-US" w:eastAsia="zh-CN"/>
              </w:rPr>
              <w:t>根据拱墅区环境空气质量现状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安装</w:t>
            </w:r>
            <w:r>
              <w:rPr>
                <w:rFonts w:hint="eastAsia" w:ascii="仿宋" w:hAnsi="仿宋" w:eastAsia="仿宋" w:cs="仿宋"/>
                <w:b/>
                <w:bCs/>
                <w:color w:val="auto"/>
                <w:sz w:val="24"/>
                <w:szCs w:val="24"/>
                <w:highlight w:val="none"/>
                <w:lang w:val="en-US" w:eastAsia="zh-CN"/>
              </w:rPr>
              <w:t>屋顶固定式扬尘治理装置。</w:t>
            </w:r>
          </w:p>
          <w:p w14:paraId="140EF414">
            <w:pPr>
              <w:keepNext w:val="0"/>
              <w:keepLines w:val="0"/>
              <w:pageBreakBefore w:val="0"/>
              <w:widowControl w:val="0"/>
              <w:kinsoku/>
              <w:wordWrap/>
              <w:overflowPunct/>
              <w:topLinePunct w:val="0"/>
              <w:bidi w:val="0"/>
              <w:adjustRightInd w:val="0"/>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1、处理能力要求</w:t>
            </w:r>
          </w:p>
          <w:p w14:paraId="02E9E3A8">
            <w:pPr>
              <w:keepNext w:val="0"/>
              <w:keepLines w:val="0"/>
              <w:pageBreakBefore w:val="0"/>
              <w:widowControl w:val="0"/>
              <w:kinsoku/>
              <w:wordWrap/>
              <w:overflowPunct/>
              <w:topLinePunct w:val="0"/>
              <w:bidi w:val="0"/>
              <w:adjustRightInd w:val="0"/>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w:t>
            </w:r>
            <w:r>
              <w:rPr>
                <w:rFonts w:hint="eastAsia" w:ascii="仿宋" w:hAnsi="仿宋" w:eastAsia="仿宋" w:cs="仿宋"/>
                <w:color w:val="auto"/>
                <w:sz w:val="24"/>
                <w:szCs w:val="24"/>
                <w:highlight w:val="none"/>
                <w:lang w:val="en-US" w:eastAsia="zh-CN"/>
              </w:rPr>
              <w:t>组</w:t>
            </w:r>
            <w:r>
              <w:rPr>
                <w:rFonts w:hint="eastAsia" w:ascii="仿宋" w:hAnsi="仿宋" w:eastAsia="仿宋" w:cs="仿宋"/>
                <w:color w:val="auto"/>
                <w:sz w:val="24"/>
                <w:szCs w:val="24"/>
                <w:highlight w:val="none"/>
              </w:rPr>
              <w:t>处理能力不小于</w:t>
            </w:r>
            <w:r>
              <w:rPr>
                <w:rFonts w:hint="eastAsia" w:ascii="仿宋" w:hAnsi="仿宋" w:eastAsia="仿宋" w:cs="仿宋"/>
                <w:color w:val="auto"/>
                <w:sz w:val="24"/>
                <w:szCs w:val="24"/>
                <w:highlight w:val="none"/>
                <w:lang w:val="en-US" w:eastAsia="zh-CN"/>
              </w:rPr>
              <w:t>1600</w:t>
            </w:r>
            <w:r>
              <w:rPr>
                <w:rFonts w:hint="eastAsia" w:ascii="仿宋" w:hAnsi="仿宋" w:eastAsia="仿宋" w:cs="仿宋"/>
                <w:color w:val="auto"/>
                <w:sz w:val="24"/>
                <w:szCs w:val="24"/>
                <w:highlight w:val="none"/>
              </w:rPr>
              <w:t>立方米/小时。</w:t>
            </w:r>
          </w:p>
          <w:p w14:paraId="1EC144CA">
            <w:pPr>
              <w:keepNext w:val="0"/>
              <w:keepLines w:val="0"/>
              <w:pageBreakBefore w:val="0"/>
              <w:widowControl w:val="0"/>
              <w:kinsoku/>
              <w:wordWrap/>
              <w:overflowPunct/>
              <w:topLinePunct w:val="0"/>
              <w:bidi w:val="0"/>
              <w:adjustRightInd w:val="0"/>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、过滤材料要求</w:t>
            </w:r>
          </w:p>
          <w:p w14:paraId="03FD3948">
            <w:pPr>
              <w:keepNext w:val="0"/>
              <w:keepLines w:val="0"/>
              <w:pageBreakBefore w:val="0"/>
              <w:widowControl w:val="0"/>
              <w:kinsoku/>
              <w:wordWrap/>
              <w:overflowPunct/>
              <w:topLinePunct w:val="0"/>
              <w:bidi w:val="0"/>
              <w:adjustRightInd w:val="0"/>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★所选用带有过滤材料的净化装置根据GB/T-13554-2020《高效空气过滤器》中规定的效率试验方法检测得到的过滤效率级别不低于35或过滤效率不低于99.95%，</w:t>
            </w:r>
            <w:r>
              <w:rPr>
                <w:rFonts w:hint="eastAsia" w:ascii="仿宋" w:hAnsi="仿宋" w:eastAsia="仿宋" w:cs="仿宋"/>
                <w:b/>
                <w:bCs/>
                <w:color w:val="auto"/>
                <w:sz w:val="24"/>
                <w:szCs w:val="24"/>
                <w:highlight w:val="none"/>
              </w:rPr>
              <w:t>并提供</w:t>
            </w:r>
            <w:r>
              <w:rPr>
                <w:rFonts w:hint="default" w:ascii="仿宋" w:hAnsi="仿宋" w:eastAsia="仿宋" w:cs="仿宋"/>
                <w:b/>
                <w:bCs/>
                <w:color w:val="auto"/>
                <w:sz w:val="24"/>
                <w:szCs w:val="24"/>
                <w:highlight w:val="none"/>
                <w:lang w:val="en-US"/>
              </w:rPr>
              <w:t>CMA或CNAS机构出具的</w:t>
            </w:r>
            <w:r>
              <w:rPr>
                <w:rFonts w:hint="eastAsia" w:ascii="仿宋" w:hAnsi="仿宋" w:eastAsia="仿宋" w:cs="仿宋"/>
                <w:b/>
                <w:bCs/>
                <w:color w:val="auto"/>
                <w:sz w:val="24"/>
                <w:szCs w:val="24"/>
                <w:highlight w:val="none"/>
              </w:rPr>
              <w:t>检测报告</w:t>
            </w:r>
            <w:r>
              <w:rPr>
                <w:rFonts w:hint="eastAsia" w:ascii="仿宋" w:hAnsi="仿宋" w:eastAsia="仿宋" w:cs="仿宋"/>
                <w:b/>
                <w:bCs/>
                <w:color w:val="auto"/>
                <w:kern w:val="2"/>
                <w:sz w:val="24"/>
                <w:szCs w:val="24"/>
                <w:highlight w:val="none"/>
                <w:lang w:eastAsia="zh-CN"/>
              </w:rPr>
              <w:t>（</w:t>
            </w:r>
            <w:r>
              <w:rPr>
                <w:rFonts w:hint="eastAsia" w:ascii="仿宋" w:hAnsi="仿宋" w:eastAsia="仿宋" w:cs="仿宋"/>
                <w:b/>
                <w:bCs/>
                <w:color w:val="auto"/>
                <w:kern w:val="2"/>
                <w:sz w:val="24"/>
                <w:szCs w:val="24"/>
                <w:highlight w:val="none"/>
                <w:lang w:val="en-US" w:eastAsia="zh-CN"/>
              </w:rPr>
              <w:t>需加盖公章）</w:t>
            </w:r>
            <w:r>
              <w:rPr>
                <w:rFonts w:hint="eastAsia" w:ascii="仿宋" w:hAnsi="仿宋" w:eastAsia="仿宋" w:cs="仿宋"/>
                <w:color w:val="auto"/>
                <w:sz w:val="24"/>
                <w:szCs w:val="24"/>
                <w:highlight w:val="none"/>
              </w:rPr>
              <w:t>。</w:t>
            </w:r>
          </w:p>
          <w:p w14:paraId="7564EF9C">
            <w:pPr>
              <w:keepNext w:val="0"/>
              <w:keepLines w:val="0"/>
              <w:pageBreakBefore w:val="0"/>
              <w:widowControl w:val="0"/>
              <w:kinsoku/>
              <w:wordWrap/>
              <w:overflowPunct/>
              <w:topLinePunct w:val="0"/>
              <w:bidi w:val="0"/>
              <w:adjustRightInd w:val="0"/>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、控制模块要求</w:t>
            </w:r>
          </w:p>
          <w:p w14:paraId="03D639CF">
            <w:pPr>
              <w:keepNext w:val="0"/>
              <w:keepLines w:val="0"/>
              <w:pageBreakBefore w:val="0"/>
              <w:widowControl w:val="0"/>
              <w:kinsoku/>
              <w:wordWrap/>
              <w:overflowPunct/>
              <w:topLinePunct w:val="0"/>
              <w:bidi w:val="0"/>
              <w:adjustRightInd w:val="0"/>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配备智能远程控制模块，设备可一键启停，支持远程监控设备工作状态。</w:t>
            </w:r>
          </w:p>
          <w:p w14:paraId="3CCDDC61">
            <w:pPr>
              <w:keepNext w:val="0"/>
              <w:keepLines w:val="0"/>
              <w:pageBreakBefore w:val="0"/>
              <w:widowControl w:val="0"/>
              <w:kinsoku/>
              <w:wordWrap/>
              <w:overflowPunct/>
              <w:topLinePunct w:val="0"/>
              <w:bidi w:val="0"/>
              <w:adjustRightInd w:val="0"/>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、感知模块要求</w:t>
            </w:r>
          </w:p>
          <w:p w14:paraId="403B3F74">
            <w:pPr>
              <w:keepNext w:val="0"/>
              <w:keepLines w:val="0"/>
              <w:pageBreakBefore w:val="0"/>
              <w:widowControl w:val="0"/>
              <w:kinsoku/>
              <w:wordWrap/>
              <w:overflowPunct/>
              <w:topLinePunct w:val="0"/>
              <w:bidi w:val="0"/>
              <w:adjustRightInd w:val="0"/>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配备</w:t>
            </w:r>
            <w:r>
              <w:rPr>
                <w:rFonts w:hint="eastAsia" w:ascii="仿宋" w:hAnsi="仿宋" w:eastAsia="仿宋" w:cs="仿宋"/>
                <w:color w:val="auto"/>
                <w:kern w:val="0"/>
                <w:sz w:val="24"/>
                <w:szCs w:val="24"/>
                <w:highlight w:val="none"/>
              </w:rPr>
              <w:t>PM</w:t>
            </w:r>
            <w:r>
              <w:rPr>
                <w:rFonts w:hint="eastAsia" w:ascii="仿宋" w:hAnsi="仿宋" w:eastAsia="仿宋" w:cs="仿宋"/>
                <w:color w:val="auto"/>
                <w:kern w:val="0"/>
                <w:sz w:val="24"/>
                <w:szCs w:val="24"/>
                <w:highlight w:val="none"/>
                <w:vertAlign w:val="subscript"/>
              </w:rPr>
              <w:t>2.5</w:t>
            </w:r>
            <w:r>
              <w:rPr>
                <w:rFonts w:hint="eastAsia" w:ascii="仿宋" w:hAnsi="仿宋" w:eastAsia="仿宋" w:cs="仿宋"/>
                <w:color w:val="auto"/>
                <w:sz w:val="24"/>
                <w:szCs w:val="24"/>
                <w:highlight w:val="none"/>
              </w:rPr>
              <w:t>物联网4G感知模块，每个模块配备1个进口及1个出口</w:t>
            </w:r>
            <w:r>
              <w:rPr>
                <w:rFonts w:hint="eastAsia" w:ascii="仿宋" w:hAnsi="仿宋" w:eastAsia="仿宋" w:cs="仿宋"/>
                <w:color w:val="auto"/>
                <w:kern w:val="0"/>
                <w:sz w:val="24"/>
                <w:szCs w:val="24"/>
                <w:highlight w:val="none"/>
              </w:rPr>
              <w:t>PM</w:t>
            </w:r>
            <w:r>
              <w:rPr>
                <w:rFonts w:hint="eastAsia" w:ascii="仿宋" w:hAnsi="仿宋" w:eastAsia="仿宋" w:cs="仿宋"/>
                <w:color w:val="auto"/>
                <w:kern w:val="0"/>
                <w:sz w:val="24"/>
                <w:szCs w:val="24"/>
                <w:highlight w:val="none"/>
                <w:vertAlign w:val="subscript"/>
              </w:rPr>
              <w:t>2.5</w:t>
            </w:r>
            <w:r>
              <w:rPr>
                <w:rFonts w:hint="eastAsia" w:ascii="仿宋" w:hAnsi="仿宋" w:eastAsia="仿宋" w:cs="仿宋"/>
                <w:color w:val="auto"/>
                <w:sz w:val="24"/>
                <w:szCs w:val="24"/>
                <w:highlight w:val="none"/>
              </w:rPr>
              <w:t>传感器和1个4G传输模块。</w:t>
            </w:r>
          </w:p>
          <w:p w14:paraId="20567CAF">
            <w:pPr>
              <w:keepNext w:val="0"/>
              <w:keepLines w:val="0"/>
              <w:pageBreakBefore w:val="0"/>
              <w:widowControl w:val="0"/>
              <w:kinsoku/>
              <w:wordWrap/>
              <w:overflowPunct/>
              <w:topLinePunct w:val="0"/>
              <w:bidi w:val="0"/>
              <w:adjustRightInd w:val="0"/>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w:t>
            </w:r>
            <w:r>
              <w:rPr>
                <w:rFonts w:hint="eastAsia" w:ascii="仿宋" w:hAnsi="仿宋" w:eastAsia="仿宋" w:cs="仿宋"/>
                <w:color w:val="auto"/>
                <w:kern w:val="0"/>
                <w:sz w:val="24"/>
                <w:szCs w:val="24"/>
                <w:highlight w:val="none"/>
              </w:rPr>
              <w:t>PM</w:t>
            </w:r>
            <w:r>
              <w:rPr>
                <w:rFonts w:hint="eastAsia" w:ascii="仿宋" w:hAnsi="仿宋" w:eastAsia="仿宋" w:cs="仿宋"/>
                <w:color w:val="auto"/>
                <w:kern w:val="0"/>
                <w:sz w:val="24"/>
                <w:szCs w:val="24"/>
                <w:highlight w:val="none"/>
                <w:vertAlign w:val="subscript"/>
              </w:rPr>
              <w:t>2.5</w:t>
            </w:r>
            <w:r>
              <w:rPr>
                <w:rFonts w:hint="eastAsia" w:ascii="仿宋" w:hAnsi="仿宋" w:eastAsia="仿宋" w:cs="仿宋"/>
                <w:color w:val="auto"/>
                <w:sz w:val="24"/>
                <w:szCs w:val="24"/>
                <w:highlight w:val="none"/>
              </w:rPr>
              <w:t>传感器要求</w:t>
            </w:r>
          </w:p>
          <w:p w14:paraId="2E7B2404">
            <w:pPr>
              <w:keepNext w:val="0"/>
              <w:keepLines w:val="0"/>
              <w:pageBreakBefore w:val="0"/>
              <w:widowControl w:val="0"/>
              <w:kinsoku/>
              <w:wordWrap/>
              <w:overflowPunct/>
              <w:topLinePunct w:val="0"/>
              <w:bidi w:val="0"/>
              <w:adjustRightInd w:val="0"/>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量程范围：不少于1-1000μg/m</w:t>
            </w:r>
            <w:r>
              <w:rPr>
                <w:rFonts w:hint="eastAsia" w:ascii="仿宋" w:hAnsi="仿宋" w:eastAsia="仿宋" w:cs="仿宋"/>
                <w:color w:val="auto"/>
                <w:sz w:val="24"/>
                <w:szCs w:val="24"/>
                <w:highlight w:val="none"/>
                <w:vertAlign w:val="superscript"/>
              </w:rPr>
              <w:t>3</w:t>
            </w:r>
            <w:r>
              <w:rPr>
                <w:rFonts w:hint="eastAsia" w:ascii="仿宋" w:hAnsi="仿宋" w:eastAsia="仿宋" w:cs="仿宋"/>
                <w:color w:val="auto"/>
                <w:sz w:val="24"/>
                <w:szCs w:val="24"/>
                <w:highlight w:val="none"/>
              </w:rPr>
              <w:t>；</w:t>
            </w:r>
          </w:p>
          <w:p w14:paraId="773BAEC2">
            <w:pPr>
              <w:keepNext w:val="0"/>
              <w:keepLines w:val="0"/>
              <w:pageBreakBefore w:val="0"/>
              <w:widowControl w:val="0"/>
              <w:kinsoku/>
              <w:wordWrap/>
              <w:overflowPunct/>
              <w:topLinePunct w:val="0"/>
              <w:bidi w:val="0"/>
              <w:adjustRightInd w:val="0"/>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示值误差：量程为0-100ug/m</w:t>
            </w:r>
            <w:r>
              <w:rPr>
                <w:rFonts w:hint="eastAsia" w:ascii="仿宋" w:hAnsi="仿宋" w:eastAsia="仿宋" w:cs="仿宋"/>
                <w:color w:val="auto"/>
                <w:sz w:val="24"/>
                <w:szCs w:val="24"/>
                <w:highlight w:val="none"/>
                <w:vertAlign w:val="superscript"/>
              </w:rPr>
              <w:t>3</w:t>
            </w:r>
            <w:r>
              <w:rPr>
                <w:rFonts w:hint="eastAsia" w:ascii="仿宋" w:hAnsi="仿宋" w:eastAsia="仿宋" w:cs="仿宋"/>
                <w:color w:val="auto"/>
                <w:sz w:val="24"/>
                <w:szCs w:val="24"/>
                <w:highlight w:val="none"/>
              </w:rPr>
              <w:t>时，不超过±10ug/m</w:t>
            </w:r>
            <w:r>
              <w:rPr>
                <w:rFonts w:hint="eastAsia" w:ascii="仿宋" w:hAnsi="仿宋" w:eastAsia="仿宋" w:cs="仿宋"/>
                <w:color w:val="auto"/>
                <w:sz w:val="24"/>
                <w:szCs w:val="24"/>
                <w:highlight w:val="none"/>
                <w:vertAlign w:val="superscript"/>
              </w:rPr>
              <w:t>3</w:t>
            </w:r>
            <w:r>
              <w:rPr>
                <w:rFonts w:hint="eastAsia" w:ascii="仿宋" w:hAnsi="仿宋" w:eastAsia="仿宋" w:cs="仿宋"/>
                <w:color w:val="auto"/>
                <w:sz w:val="24"/>
                <w:szCs w:val="24"/>
                <w:highlight w:val="none"/>
              </w:rPr>
              <w:t>；量程为100-1000 ug/m</w:t>
            </w:r>
            <w:r>
              <w:rPr>
                <w:rFonts w:hint="eastAsia" w:ascii="仿宋" w:hAnsi="仿宋" w:eastAsia="仿宋" w:cs="仿宋"/>
                <w:color w:val="auto"/>
                <w:sz w:val="24"/>
                <w:szCs w:val="24"/>
                <w:highlight w:val="none"/>
                <w:vertAlign w:val="superscript"/>
              </w:rPr>
              <w:t>3</w:t>
            </w:r>
            <w:r>
              <w:rPr>
                <w:rFonts w:hint="eastAsia" w:ascii="仿宋" w:hAnsi="仿宋" w:eastAsia="仿宋" w:cs="仿宋"/>
                <w:color w:val="auto"/>
                <w:sz w:val="24"/>
                <w:szCs w:val="24"/>
                <w:highlight w:val="none"/>
              </w:rPr>
              <w:t>时，不超过±10%。</w:t>
            </w:r>
          </w:p>
          <w:p w14:paraId="25E98C99">
            <w:pPr>
              <w:keepNext w:val="0"/>
              <w:keepLines w:val="0"/>
              <w:pageBreakBefore w:val="0"/>
              <w:widowControl w:val="0"/>
              <w:kinsoku/>
              <w:wordWrap/>
              <w:overflowPunct/>
              <w:topLinePunct w:val="0"/>
              <w:bidi w:val="0"/>
              <w:adjustRightInd w:val="0"/>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②4G传输要求</w:t>
            </w:r>
          </w:p>
          <w:p w14:paraId="5F6CC5F4">
            <w:pPr>
              <w:keepNext w:val="0"/>
              <w:keepLines w:val="0"/>
              <w:pageBreakBefore w:val="0"/>
              <w:widowControl w:val="0"/>
              <w:kinsoku/>
              <w:wordWrap/>
              <w:overflowPunct/>
              <w:topLinePunct w:val="0"/>
              <w:bidi w:val="0"/>
              <w:adjustRightInd w:val="0"/>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数据传输频率不低于10秒/条。</w:t>
            </w:r>
          </w:p>
          <w:p w14:paraId="7A140558">
            <w:pPr>
              <w:keepNext w:val="0"/>
              <w:keepLines w:val="0"/>
              <w:pageBreakBefore w:val="0"/>
              <w:widowControl w:val="0"/>
              <w:kinsoku/>
              <w:wordWrap/>
              <w:overflowPunct/>
              <w:topLinePunct w:val="0"/>
              <w:bidi w:val="0"/>
              <w:adjustRightInd w:val="0"/>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、安装要求</w:t>
            </w:r>
          </w:p>
          <w:p w14:paraId="42A59261">
            <w:pPr>
              <w:keepNext w:val="0"/>
              <w:keepLines w:val="0"/>
              <w:pageBreakBefore w:val="0"/>
              <w:widowControl w:val="0"/>
              <w:kinsoku/>
              <w:wordWrap/>
              <w:overflowPunct/>
              <w:topLinePunct w:val="0"/>
              <w:bidi w:val="0"/>
              <w:adjustRightInd w:val="0"/>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安装场景需包括屋顶、围墙等位置。</w:t>
            </w:r>
          </w:p>
          <w:p w14:paraId="11C4B991">
            <w:pPr>
              <w:pStyle w:val="27"/>
              <w:keepNext w:val="0"/>
              <w:keepLines w:val="0"/>
              <w:pageBreakBefore w:val="0"/>
              <w:widowControl w:val="0"/>
              <w:kinsoku/>
              <w:wordWrap/>
              <w:overflowPunct/>
              <w:topLinePunct w:val="0"/>
              <w:bidi w:val="0"/>
              <w:adjustRightInd w:val="0"/>
              <w:spacing w:line="360" w:lineRule="exact"/>
              <w:ind w:firstLine="42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rPr>
              <w:t>配套软件要求</w:t>
            </w:r>
          </w:p>
          <w:p w14:paraId="06E85A47">
            <w:pPr>
              <w:pStyle w:val="27"/>
              <w:keepNext w:val="0"/>
              <w:keepLines w:val="0"/>
              <w:pageBreakBefore w:val="0"/>
              <w:widowControl w:val="0"/>
              <w:kinsoku/>
              <w:wordWrap/>
              <w:overflowPunct/>
              <w:topLinePunct w:val="0"/>
              <w:bidi w:val="0"/>
              <w:adjustRightInd w:val="0"/>
              <w:spacing w:line="360" w:lineRule="exact"/>
              <w:ind w:firstLine="42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设备移动端需包括远程控制功能、设备运行状态查看功能、实时数据对比功能、</w:t>
            </w:r>
            <w:r>
              <w:rPr>
                <w:rFonts w:hint="eastAsia" w:ascii="仿宋" w:hAnsi="仿宋" w:eastAsia="仿宋" w:cs="仿宋"/>
                <w:color w:val="auto"/>
                <w:kern w:val="2"/>
                <w:sz w:val="24"/>
                <w:szCs w:val="24"/>
                <w:highlight w:val="none"/>
              </w:rPr>
              <w:t>数据曲线查看功能、PM</w:t>
            </w:r>
            <w:r>
              <w:rPr>
                <w:rFonts w:hint="eastAsia" w:ascii="仿宋" w:hAnsi="仿宋" w:eastAsia="仿宋" w:cs="仿宋"/>
                <w:color w:val="auto"/>
                <w:kern w:val="2"/>
                <w:sz w:val="24"/>
                <w:szCs w:val="24"/>
                <w:highlight w:val="none"/>
                <w:vertAlign w:val="subscript"/>
              </w:rPr>
              <w:t>2.5</w:t>
            </w:r>
            <w:r>
              <w:rPr>
                <w:rFonts w:hint="eastAsia" w:ascii="仿宋" w:hAnsi="仿宋" w:eastAsia="仿宋" w:cs="仿宋"/>
                <w:color w:val="auto"/>
                <w:kern w:val="2"/>
                <w:sz w:val="24"/>
                <w:szCs w:val="24"/>
                <w:highlight w:val="none"/>
              </w:rPr>
              <w:t>实时去除效率计算功能、累计</w:t>
            </w:r>
            <w:r>
              <w:rPr>
                <w:rFonts w:hint="eastAsia" w:ascii="仿宋" w:hAnsi="仿宋" w:eastAsia="仿宋" w:cs="仿宋"/>
                <w:color w:val="auto"/>
                <w:kern w:val="2"/>
                <w:sz w:val="24"/>
                <w:szCs w:val="24"/>
                <w:highlight w:val="none"/>
              </w:rPr>
              <w:t>PM</w:t>
            </w:r>
            <w:r>
              <w:rPr>
                <w:rFonts w:hint="eastAsia" w:ascii="仿宋" w:hAnsi="仿宋" w:eastAsia="仿宋" w:cs="仿宋"/>
                <w:color w:val="auto"/>
                <w:kern w:val="2"/>
                <w:sz w:val="24"/>
                <w:szCs w:val="24"/>
                <w:highlight w:val="none"/>
                <w:vertAlign w:val="subscript"/>
              </w:rPr>
              <w:t>2.5</w:t>
            </w:r>
            <w:r>
              <w:rPr>
                <w:rFonts w:hint="eastAsia" w:ascii="仿宋" w:hAnsi="仿宋" w:eastAsia="仿宋" w:cs="仿宋"/>
                <w:color w:val="auto"/>
                <w:kern w:val="2"/>
                <w:sz w:val="24"/>
                <w:szCs w:val="24"/>
                <w:highlight w:val="none"/>
              </w:rPr>
              <w:t>去除量统计功能、区域和局部实时风速风向查看等功能。</w:t>
            </w:r>
          </w:p>
        </w:tc>
      </w:tr>
      <w:tr w14:paraId="006BF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vMerge w:val="continue"/>
            <w:noWrap w:val="0"/>
            <w:vAlign w:val="center"/>
          </w:tcPr>
          <w:p w14:paraId="0FF6DB26">
            <w:pPr>
              <w:keepNext w:val="0"/>
              <w:keepLines w:val="0"/>
              <w:pageBreakBefore w:val="0"/>
              <w:widowControl w:val="0"/>
              <w:kinsoku/>
              <w:wordWrap/>
              <w:overflowPunct/>
              <w:topLinePunct w:val="0"/>
              <w:bidi w:val="0"/>
              <w:adjustRightInd w:val="0"/>
              <w:snapToGrid w:val="0"/>
              <w:spacing w:line="360" w:lineRule="exact"/>
              <w:jc w:val="center"/>
              <w:textAlignment w:val="auto"/>
              <w:rPr>
                <w:rFonts w:hint="eastAsia" w:ascii="仿宋" w:hAnsi="仿宋" w:eastAsia="仿宋" w:cs="仿宋"/>
                <w:color w:val="auto"/>
                <w:sz w:val="24"/>
                <w:szCs w:val="24"/>
                <w:highlight w:val="none"/>
              </w:rPr>
            </w:pPr>
          </w:p>
        </w:tc>
        <w:tc>
          <w:tcPr>
            <w:tcW w:w="1428" w:type="dxa"/>
            <w:vMerge w:val="continue"/>
            <w:noWrap w:val="0"/>
            <w:vAlign w:val="center"/>
          </w:tcPr>
          <w:p w14:paraId="655EDA83">
            <w:pPr>
              <w:keepNext w:val="0"/>
              <w:keepLines w:val="0"/>
              <w:pageBreakBefore w:val="0"/>
              <w:widowControl w:val="0"/>
              <w:kinsoku/>
              <w:wordWrap/>
              <w:overflowPunct/>
              <w:topLinePunct w:val="0"/>
              <w:bidi w:val="0"/>
              <w:adjustRightInd w:val="0"/>
              <w:snapToGrid w:val="0"/>
              <w:spacing w:line="360" w:lineRule="exact"/>
              <w:jc w:val="center"/>
              <w:textAlignment w:val="auto"/>
              <w:rPr>
                <w:rFonts w:hint="eastAsia" w:ascii="仿宋" w:hAnsi="仿宋" w:eastAsia="仿宋" w:cs="仿宋"/>
                <w:color w:val="auto"/>
                <w:sz w:val="24"/>
                <w:szCs w:val="24"/>
                <w:highlight w:val="none"/>
              </w:rPr>
            </w:pPr>
          </w:p>
        </w:tc>
        <w:tc>
          <w:tcPr>
            <w:tcW w:w="6772" w:type="dxa"/>
            <w:noWrap w:val="0"/>
            <w:vAlign w:val="center"/>
          </w:tcPr>
          <w:p w14:paraId="1E55E7AE">
            <w:pPr>
              <w:keepNext w:val="0"/>
              <w:keepLines w:val="0"/>
              <w:pageBreakBefore w:val="0"/>
              <w:widowControl w:val="0"/>
              <w:kinsoku/>
              <w:wordWrap/>
              <w:overflowPunct/>
              <w:topLinePunct w:val="0"/>
              <w:bidi w:val="0"/>
              <w:adjustRightInd w:val="0"/>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其他要求：根据</w:t>
            </w:r>
            <w:r>
              <w:rPr>
                <w:rFonts w:hint="eastAsia" w:ascii="仿宋" w:hAnsi="仿宋" w:eastAsia="仿宋" w:cs="仿宋"/>
                <w:color w:val="auto"/>
                <w:sz w:val="24"/>
                <w:szCs w:val="24"/>
                <w:highlight w:val="none"/>
                <w:lang w:val="en-US" w:eastAsia="zh-CN"/>
              </w:rPr>
              <w:t>拱墅区环境空气质量现状</w:t>
            </w:r>
            <w:r>
              <w:rPr>
                <w:rFonts w:hint="eastAsia" w:ascii="仿宋" w:hAnsi="仿宋" w:eastAsia="仿宋" w:cs="仿宋"/>
                <w:color w:val="auto"/>
                <w:sz w:val="24"/>
                <w:szCs w:val="24"/>
                <w:highlight w:val="none"/>
              </w:rPr>
              <w:t>，在总风量</w:t>
            </w:r>
            <w:r>
              <w:rPr>
                <w:rFonts w:hint="eastAsia" w:ascii="仿宋" w:hAnsi="仿宋" w:eastAsia="仿宋" w:cs="仿宋"/>
                <w:color w:val="auto"/>
                <w:kern w:val="0"/>
                <w:sz w:val="24"/>
                <w:szCs w:val="24"/>
                <w:highlight w:val="none"/>
              </w:rPr>
              <w:t>不低于100000立方米/小时</w:t>
            </w:r>
            <w:r>
              <w:rPr>
                <w:rFonts w:hint="eastAsia" w:ascii="仿宋" w:hAnsi="仿宋" w:eastAsia="仿宋" w:cs="仿宋"/>
                <w:color w:val="auto"/>
                <w:sz w:val="24"/>
                <w:szCs w:val="24"/>
                <w:highlight w:val="none"/>
              </w:rPr>
              <w:t>的情况下，上述设备类型及数量可根据实际情况进行调整。</w:t>
            </w:r>
          </w:p>
        </w:tc>
      </w:tr>
      <w:tr w14:paraId="787F6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noWrap w:val="0"/>
            <w:vAlign w:val="center"/>
          </w:tcPr>
          <w:p w14:paraId="3154075F">
            <w:pPr>
              <w:keepNext w:val="0"/>
              <w:keepLines w:val="0"/>
              <w:pageBreakBefore w:val="0"/>
              <w:widowControl w:val="0"/>
              <w:kinsoku/>
              <w:wordWrap/>
              <w:overflowPunct/>
              <w:topLinePunct w:val="0"/>
              <w:bidi w:val="0"/>
              <w:adjustRightInd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428" w:type="dxa"/>
            <w:noWrap w:val="0"/>
            <w:vAlign w:val="center"/>
          </w:tcPr>
          <w:p w14:paraId="1ABC559B">
            <w:pPr>
              <w:keepNext w:val="0"/>
              <w:keepLines w:val="0"/>
              <w:pageBreakBefore w:val="0"/>
              <w:widowControl w:val="0"/>
              <w:kinsoku/>
              <w:wordWrap/>
              <w:overflowPunct/>
              <w:topLinePunct w:val="0"/>
              <w:bidi w:val="0"/>
              <w:adjustRightInd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车载移动式</w:t>
            </w:r>
            <w:r>
              <w:rPr>
                <w:rFonts w:hint="eastAsia" w:ascii="仿宋" w:hAnsi="仿宋" w:eastAsia="仿宋" w:cs="仿宋"/>
                <w:color w:val="auto"/>
                <w:sz w:val="24"/>
                <w:szCs w:val="24"/>
                <w:highlight w:val="none"/>
                <w:lang w:val="en-US" w:eastAsia="zh-CN"/>
              </w:rPr>
              <w:t>扬尘</w:t>
            </w:r>
            <w:r>
              <w:rPr>
                <w:rFonts w:hint="eastAsia" w:ascii="仿宋" w:hAnsi="仿宋" w:eastAsia="仿宋" w:cs="仿宋"/>
                <w:color w:val="auto"/>
                <w:sz w:val="24"/>
                <w:szCs w:val="24"/>
                <w:highlight w:val="none"/>
              </w:rPr>
              <w:t>治理服务</w:t>
            </w:r>
          </w:p>
        </w:tc>
        <w:tc>
          <w:tcPr>
            <w:tcW w:w="6772" w:type="dxa"/>
            <w:noWrap w:val="0"/>
            <w:vAlign w:val="center"/>
          </w:tcPr>
          <w:p w14:paraId="4422028A">
            <w:pPr>
              <w:pStyle w:val="2"/>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在服务期内提供</w:t>
            </w:r>
            <w:r>
              <w:rPr>
                <w:rFonts w:hint="eastAsia" w:ascii="仿宋" w:hAnsi="仿宋" w:eastAsia="仿宋" w:cs="仿宋"/>
                <w:b/>
                <w:bCs/>
                <w:color w:val="auto"/>
                <w:sz w:val="24"/>
                <w:szCs w:val="24"/>
                <w:highlight w:val="none"/>
              </w:rPr>
              <w:t>2套车载移动式</w:t>
            </w:r>
            <w:r>
              <w:rPr>
                <w:rFonts w:hint="eastAsia" w:ascii="仿宋" w:hAnsi="仿宋" w:eastAsia="仿宋" w:cs="仿宋"/>
                <w:b/>
                <w:bCs/>
                <w:color w:val="auto"/>
                <w:sz w:val="24"/>
                <w:szCs w:val="24"/>
                <w:highlight w:val="none"/>
                <w:lang w:val="en-US" w:eastAsia="zh-CN"/>
              </w:rPr>
              <w:t>扬尘</w:t>
            </w:r>
            <w:r>
              <w:rPr>
                <w:rFonts w:hint="eastAsia" w:ascii="仿宋" w:hAnsi="仿宋" w:eastAsia="仿宋" w:cs="仿宋"/>
                <w:b/>
                <w:bCs/>
                <w:color w:val="auto"/>
                <w:sz w:val="24"/>
                <w:szCs w:val="24"/>
                <w:highlight w:val="none"/>
              </w:rPr>
              <w:t>治理装置</w:t>
            </w:r>
          </w:p>
          <w:p w14:paraId="03800DC1">
            <w:pPr>
              <w:pStyle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1.处理能力要求</w:t>
            </w:r>
          </w:p>
          <w:p w14:paraId="11F2E4C7">
            <w:pPr>
              <w:pStyle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w:t>
            </w:r>
            <w:r>
              <w:rPr>
                <w:rFonts w:hint="eastAsia" w:ascii="仿宋" w:hAnsi="仿宋" w:eastAsia="仿宋" w:cs="仿宋"/>
                <w:color w:val="auto"/>
                <w:sz w:val="24"/>
                <w:szCs w:val="24"/>
                <w:highlight w:val="none"/>
                <w:lang w:val="en-US" w:eastAsia="zh-CN"/>
              </w:rPr>
              <w:t>组</w:t>
            </w:r>
            <w:r>
              <w:rPr>
                <w:rFonts w:hint="eastAsia" w:ascii="仿宋" w:hAnsi="仿宋" w:eastAsia="仿宋" w:cs="仿宋"/>
                <w:color w:val="auto"/>
                <w:sz w:val="24"/>
                <w:szCs w:val="24"/>
                <w:highlight w:val="none"/>
              </w:rPr>
              <w:t>处理能力不小于10000立方米/小时，风压不小于7</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rPr>
              <w:t>Pa。</w:t>
            </w:r>
          </w:p>
          <w:p w14:paraId="590027C7">
            <w:pPr>
              <w:pStyle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2.续航要求</w:t>
            </w:r>
          </w:p>
          <w:p w14:paraId="3DF18279">
            <w:pPr>
              <w:pStyle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配备移动电源不小于300万毫安。</w:t>
            </w:r>
          </w:p>
          <w:p w14:paraId="1EB1116F">
            <w:pPr>
              <w:pStyle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3.过滤材料要求</w:t>
            </w:r>
          </w:p>
          <w:p w14:paraId="4AF55D5B">
            <w:pPr>
              <w:pStyle w:val="2"/>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★所选用带有过滤材料的净化装置根据GB/T-13554-2020《高效空气过滤器》中规定的效率试验方法检测得到的过滤效率级别不低于35或过滤效率不低于99.95%，</w:t>
            </w:r>
            <w:r>
              <w:rPr>
                <w:rFonts w:hint="eastAsia" w:ascii="仿宋" w:hAnsi="仿宋" w:eastAsia="仿宋" w:cs="仿宋"/>
                <w:b/>
                <w:bCs/>
                <w:color w:val="auto"/>
                <w:sz w:val="24"/>
                <w:szCs w:val="24"/>
                <w:highlight w:val="none"/>
              </w:rPr>
              <w:t>并提供</w:t>
            </w:r>
            <w:r>
              <w:rPr>
                <w:rFonts w:hint="default" w:ascii="仿宋" w:hAnsi="仿宋" w:eastAsia="仿宋" w:cs="仿宋"/>
                <w:b/>
                <w:bCs/>
                <w:color w:val="auto"/>
                <w:sz w:val="24"/>
                <w:szCs w:val="24"/>
                <w:highlight w:val="none"/>
                <w:lang w:val="en-US"/>
              </w:rPr>
              <w:t>CMA或CNAS机构出具的</w:t>
            </w:r>
            <w:r>
              <w:rPr>
                <w:rFonts w:hint="eastAsia" w:ascii="仿宋" w:hAnsi="仿宋" w:eastAsia="仿宋" w:cs="仿宋"/>
                <w:b/>
                <w:bCs/>
                <w:color w:val="auto"/>
                <w:sz w:val="24"/>
                <w:szCs w:val="24"/>
                <w:highlight w:val="none"/>
                <w:lang w:val="en-US" w:eastAsia="zh-CN"/>
              </w:rPr>
              <w:t>机构出具的检测报告（需加盖公章）</w:t>
            </w:r>
            <w:r>
              <w:rPr>
                <w:rFonts w:hint="eastAsia" w:ascii="仿宋" w:hAnsi="仿宋" w:eastAsia="仿宋" w:cs="仿宋"/>
                <w:b/>
                <w:bCs/>
                <w:color w:val="auto"/>
                <w:sz w:val="24"/>
                <w:szCs w:val="24"/>
                <w:highlight w:val="none"/>
              </w:rPr>
              <w:t>。</w:t>
            </w:r>
          </w:p>
          <w:p w14:paraId="6EA478B7">
            <w:pPr>
              <w:pStyle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4.配套软件要求</w:t>
            </w:r>
          </w:p>
          <w:p w14:paraId="30D321F0">
            <w:pPr>
              <w:pStyle w:val="2"/>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支持实时查看PM</w:t>
            </w:r>
            <w:r>
              <w:rPr>
                <w:rFonts w:hint="eastAsia" w:ascii="仿宋" w:hAnsi="仿宋" w:eastAsia="仿宋" w:cs="仿宋"/>
                <w:b/>
                <w:bCs/>
                <w:color w:val="auto"/>
                <w:kern w:val="2"/>
                <w:sz w:val="24"/>
                <w:szCs w:val="24"/>
                <w:highlight w:val="none"/>
                <w:vertAlign w:val="subscript"/>
              </w:rPr>
              <w:t>2.5</w:t>
            </w:r>
            <w:r>
              <w:rPr>
                <w:rFonts w:hint="eastAsia" w:ascii="仿宋" w:hAnsi="仿宋" w:eastAsia="仿宋" w:cs="仿宋"/>
                <w:b/>
                <w:bCs/>
                <w:color w:val="auto"/>
                <w:kern w:val="2"/>
                <w:sz w:val="24"/>
                <w:szCs w:val="24"/>
                <w:highlight w:val="none"/>
              </w:rPr>
              <w:t>浓度数据等功能。</w:t>
            </w:r>
          </w:p>
          <w:p w14:paraId="271218CA">
            <w:pPr>
              <w:pStyle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5.其它要求</w:t>
            </w:r>
          </w:p>
          <w:p w14:paraId="097F7275">
            <w:pPr>
              <w:pStyle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★设备无需外接电源，采用走航式移动治理方式，提供服务的移动载体需为新能源货车</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lang w:val="en-US" w:eastAsia="zh-CN"/>
              </w:rPr>
              <w:t>使用时长每年不少于50小时</w:t>
            </w:r>
            <w:r>
              <w:rPr>
                <w:rFonts w:hint="eastAsia" w:ascii="仿宋" w:hAnsi="仿宋" w:eastAsia="仿宋" w:cs="仿宋"/>
                <w:color w:val="auto"/>
                <w:sz w:val="24"/>
                <w:szCs w:val="24"/>
                <w:highlight w:val="none"/>
              </w:rPr>
              <w:t>。</w:t>
            </w:r>
          </w:p>
          <w:p w14:paraId="0B2B7530">
            <w:pPr>
              <w:pStyle w:val="2"/>
              <w:rPr>
                <w:rFonts w:hint="eastAsia" w:ascii="仿宋" w:hAnsi="仿宋" w:eastAsia="仿宋" w:cs="仿宋"/>
                <w:color w:val="auto"/>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Cs w:val="24"/>
                <w:highlight w:val="none"/>
              </w:rPr>
              <w:t>需提供服务车辆的有效行驶证复印件（加盖公章），证明车辆合法性及归属</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如车辆非投标人自有</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需提供与车辆所有者签署的有效租赁协议，明确租赁期限覆盖项目服务期。若车辆为第三方所有，需补充“唯一性授权书”，声明该车辆在项目期间不得为其他竞品或项目服务。</w:t>
            </w:r>
          </w:p>
          <w:p w14:paraId="2D9AC716">
            <w:pPr>
              <w:pStyle w:val="2"/>
              <w:rPr>
                <w:rFonts w:hint="default" w:eastAsia="仿宋"/>
                <w:color w:val="auto"/>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需提供驾驶员驾驶证复印件。</w:t>
            </w:r>
          </w:p>
        </w:tc>
      </w:tr>
      <w:tr w14:paraId="188DF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noWrap w:val="0"/>
            <w:vAlign w:val="center"/>
          </w:tcPr>
          <w:p w14:paraId="3B78E1FF">
            <w:pPr>
              <w:keepNext w:val="0"/>
              <w:keepLines w:val="0"/>
              <w:pageBreakBefore w:val="0"/>
              <w:widowControl w:val="0"/>
              <w:kinsoku/>
              <w:wordWrap/>
              <w:overflowPunct/>
              <w:topLinePunct w:val="0"/>
              <w:bidi w:val="0"/>
              <w:adjustRightInd w:val="0"/>
              <w:snapToGrid w:val="0"/>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428" w:type="dxa"/>
            <w:noWrap w:val="0"/>
            <w:vAlign w:val="center"/>
          </w:tcPr>
          <w:p w14:paraId="27A04334">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餐饮油烟净化服务</w:t>
            </w:r>
          </w:p>
        </w:tc>
        <w:tc>
          <w:tcPr>
            <w:tcW w:w="6772" w:type="dxa"/>
            <w:noWrap w:val="0"/>
            <w:vAlign w:val="center"/>
          </w:tcPr>
          <w:p w14:paraId="3E1D4DD6">
            <w:pPr>
              <w:pStyle w:val="2"/>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rPr>
              <w:t>在服务期内提供</w:t>
            </w:r>
            <w:r>
              <w:rPr>
                <w:rFonts w:hint="eastAsia" w:ascii="仿宋" w:hAnsi="仿宋" w:eastAsia="仿宋" w:cs="仿宋"/>
                <w:b/>
                <w:bCs/>
                <w:color w:val="auto"/>
                <w:sz w:val="24"/>
                <w:szCs w:val="24"/>
                <w:highlight w:val="none"/>
                <w:lang w:val="en-US" w:eastAsia="zh-CN"/>
              </w:rPr>
              <w:t>120</w:t>
            </w:r>
            <w:r>
              <w:rPr>
                <w:rFonts w:hint="eastAsia" w:ascii="仿宋" w:hAnsi="仿宋" w:eastAsia="仿宋" w:cs="仿宋"/>
                <w:b/>
                <w:bCs/>
                <w:color w:val="auto"/>
                <w:sz w:val="24"/>
                <w:szCs w:val="24"/>
                <w:highlight w:val="none"/>
              </w:rPr>
              <w:t>套</w:t>
            </w:r>
            <w:r>
              <w:rPr>
                <w:rFonts w:hint="eastAsia" w:ascii="仿宋" w:hAnsi="仿宋" w:eastAsia="仿宋" w:cs="仿宋"/>
                <w:b/>
                <w:bCs/>
                <w:color w:val="auto"/>
                <w:sz w:val="24"/>
                <w:szCs w:val="24"/>
                <w:highlight w:val="none"/>
                <w:lang w:val="en-US" w:eastAsia="zh-CN"/>
              </w:rPr>
              <w:t>复合式静电式餐饮油烟净化装置。1套集中式静电式油烟净化装置。</w:t>
            </w:r>
          </w:p>
          <w:p w14:paraId="2F8A89B2">
            <w:pPr>
              <w:pStyle w:val="3"/>
              <w:ind w:firstLine="482" w:firstLineChars="200"/>
              <w:rPr>
                <w:rFonts w:hint="default"/>
                <w:color w:val="auto"/>
                <w:highlight w:val="none"/>
                <w:lang w:val="en-US" w:eastAsia="zh-CN"/>
              </w:rPr>
            </w:pPr>
            <w:r>
              <w:rPr>
                <w:rFonts w:hint="eastAsia" w:ascii="仿宋" w:hAnsi="仿宋" w:eastAsia="仿宋" w:cs="仿宋"/>
                <w:b/>
                <w:bCs/>
                <w:color w:val="auto"/>
                <w:sz w:val="24"/>
                <w:szCs w:val="24"/>
                <w:highlight w:val="none"/>
                <w:lang w:val="en-US" w:eastAsia="zh-CN"/>
              </w:rPr>
              <w:t>1、复合式静电式餐饮油烟净化装置</w:t>
            </w:r>
          </w:p>
          <w:p w14:paraId="6CCCC86F">
            <w:pPr>
              <w:keepNext w:val="0"/>
              <w:keepLines w:val="0"/>
              <w:pageBreakBefore w:val="0"/>
              <w:widowControl/>
              <w:numPr>
                <w:ilvl w:val="0"/>
                <w:numId w:val="8"/>
              </w:numPr>
              <w:kinsoku/>
              <w:wordWrap/>
              <w:overflowPunct/>
              <w:topLinePunct w:val="0"/>
              <w:autoSpaceDE/>
              <w:autoSpaceDN/>
              <w:bidi w:val="0"/>
              <w:adjustRightInd/>
              <w:snapToGrid/>
              <w:spacing w:line="400" w:lineRule="exact"/>
              <w:ind w:left="0" w:leftChars="0" w:firstLine="640" w:firstLineChars="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材质需使用201优质不锈钢</w:t>
            </w:r>
          </w:p>
          <w:p w14:paraId="699CB9A9">
            <w:pPr>
              <w:keepNext w:val="0"/>
              <w:keepLines w:val="0"/>
              <w:pageBreakBefore w:val="0"/>
              <w:widowControl/>
              <w:numPr>
                <w:ilvl w:val="0"/>
                <w:numId w:val="8"/>
              </w:numPr>
              <w:kinsoku/>
              <w:wordWrap/>
              <w:overflowPunct/>
              <w:topLinePunct w:val="0"/>
              <w:autoSpaceDE/>
              <w:autoSpaceDN/>
              <w:bidi w:val="0"/>
              <w:adjustRightInd/>
              <w:snapToGrid/>
              <w:spacing w:line="400" w:lineRule="exact"/>
              <w:ind w:left="0" w:leftChars="0" w:firstLine="640" w:firstLineChars="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净化器处理风量不小于2000 m</w:t>
            </w:r>
            <w:r>
              <w:rPr>
                <w:rFonts w:hint="eastAsia" w:ascii="仿宋" w:hAnsi="仿宋" w:eastAsia="仿宋" w:cs="仿宋"/>
                <w:color w:val="auto"/>
                <w:sz w:val="24"/>
                <w:highlight w:val="none"/>
                <w:vertAlign w:val="superscript"/>
                <w:lang w:val="en-US" w:eastAsia="zh-CN"/>
              </w:rPr>
              <w:t>3</w:t>
            </w:r>
            <w:r>
              <w:rPr>
                <w:rFonts w:hint="eastAsia" w:ascii="仿宋" w:hAnsi="仿宋" w:eastAsia="仿宋" w:cs="仿宋"/>
                <w:color w:val="auto"/>
                <w:sz w:val="24"/>
                <w:highlight w:val="none"/>
                <w:lang w:val="en-US" w:eastAsia="zh-CN"/>
              </w:rPr>
              <w:t>/h</w:t>
            </w:r>
          </w:p>
          <w:p w14:paraId="6FC81968">
            <w:pPr>
              <w:keepNext w:val="0"/>
              <w:keepLines w:val="0"/>
              <w:pageBreakBefore w:val="0"/>
              <w:widowControl/>
              <w:numPr>
                <w:ilvl w:val="0"/>
                <w:numId w:val="8"/>
              </w:numPr>
              <w:kinsoku/>
              <w:wordWrap/>
              <w:overflowPunct/>
              <w:topLinePunct w:val="0"/>
              <w:autoSpaceDE/>
              <w:autoSpaceDN/>
              <w:bidi w:val="0"/>
              <w:adjustRightInd/>
              <w:snapToGrid/>
              <w:spacing w:line="400" w:lineRule="exact"/>
              <w:ind w:left="0" w:leftChars="0" w:firstLine="640" w:firstLineChars="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设备需自带显示模块</w:t>
            </w:r>
          </w:p>
          <w:p w14:paraId="386B2F12">
            <w:pPr>
              <w:keepNext w:val="0"/>
              <w:keepLines w:val="0"/>
              <w:pageBreakBefore w:val="0"/>
              <w:widowControl/>
              <w:numPr>
                <w:ilvl w:val="0"/>
                <w:numId w:val="8"/>
              </w:numPr>
              <w:kinsoku/>
              <w:wordWrap/>
              <w:overflowPunct/>
              <w:topLinePunct w:val="0"/>
              <w:autoSpaceDE/>
              <w:autoSpaceDN/>
              <w:bidi w:val="0"/>
              <w:adjustRightInd/>
              <w:snapToGrid/>
              <w:spacing w:line="400" w:lineRule="exact"/>
              <w:ind w:left="0" w:leftChars="0" w:firstLine="640" w:firstLineChars="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需具备机械式碰撞，高压静电场吸附，紫外线照射分解三种方式复合去除油烟的油烟净化设备</w:t>
            </w:r>
          </w:p>
          <w:p w14:paraId="0EC8626D">
            <w:pPr>
              <w:numPr>
                <w:ilvl w:val="0"/>
                <w:numId w:val="8"/>
              </w:numPr>
              <w:spacing w:line="400" w:lineRule="exact"/>
              <w:ind w:firstLine="64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净化器高压电源符合CCAEPI-RG-Q-041检测标准的要求。</w:t>
            </w:r>
          </w:p>
          <w:p w14:paraId="7F66B129">
            <w:pPr>
              <w:numPr>
                <w:ilvl w:val="0"/>
                <w:numId w:val="0"/>
              </w:numPr>
              <w:spacing w:line="400" w:lineRule="exact"/>
              <w:ind w:left="640" w:leftChars="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额定风量下</w:t>
            </w:r>
            <w:r>
              <w:rPr>
                <w:rFonts w:hint="eastAsia" w:ascii="仿宋" w:hAnsi="仿宋" w:eastAsia="仿宋" w:cs="仿宋"/>
                <w:color w:val="auto"/>
                <w:sz w:val="24"/>
                <w:highlight w:val="none"/>
              </w:rPr>
              <w:t>净化效率要求不低于</w:t>
            </w:r>
            <w:r>
              <w:rPr>
                <w:rFonts w:hint="eastAsia" w:ascii="仿宋" w:hAnsi="仿宋" w:eastAsia="仿宋" w:cs="仿宋"/>
                <w:color w:val="auto"/>
                <w:sz w:val="24"/>
                <w:highlight w:val="none"/>
                <w:lang w:val="en-US" w:eastAsia="zh-CN"/>
              </w:rPr>
              <w:t>90</w:t>
            </w: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rPr>
              <w:t xml:space="preserve"> (提供</w:t>
            </w:r>
            <w:r>
              <w:rPr>
                <w:rFonts w:hint="eastAsia" w:ascii="仿宋" w:hAnsi="仿宋" w:eastAsia="仿宋" w:cs="仿宋"/>
                <w:color w:val="auto"/>
                <w:sz w:val="24"/>
                <w:szCs w:val="24"/>
                <w:highlight w:val="none"/>
                <w:lang w:val="en-US" w:eastAsia="zh-CN"/>
              </w:rPr>
              <w:t>CMA或CNAS机构出具的</w:t>
            </w:r>
            <w:r>
              <w:rPr>
                <w:rFonts w:hint="eastAsia" w:ascii="仿宋" w:hAnsi="仿宋" w:eastAsia="仿宋" w:cs="仿宋"/>
                <w:color w:val="auto"/>
                <w:sz w:val="24"/>
                <w:szCs w:val="24"/>
                <w:highlight w:val="none"/>
              </w:rPr>
              <w:t>检测报告并加盖公章)</w:t>
            </w:r>
          </w:p>
          <w:p w14:paraId="44B82C51">
            <w:pPr>
              <w:pStyle w:val="2"/>
              <w:rPr>
                <w:rFonts w:hint="default" w:ascii="仿宋" w:hAnsi="仿宋" w:eastAsia="仿宋" w:cs="仿宋"/>
                <w:b/>
                <w:bCs/>
                <w:color w:val="auto"/>
                <w:sz w:val="24"/>
                <w:szCs w:val="24"/>
                <w:highlight w:val="none"/>
                <w:lang w:val="en-US" w:eastAsia="zh-CN"/>
              </w:rPr>
            </w:pPr>
            <w:r>
              <w:rPr>
                <w:rFonts w:hint="eastAsia"/>
                <w:color w:val="auto"/>
                <w:highlight w:val="none"/>
                <w:lang w:val="en-US" w:eastAsia="zh-CN"/>
              </w:rPr>
              <w:t>2</w:t>
            </w:r>
            <w:r>
              <w:rPr>
                <w:rFonts w:hint="default"/>
                <w:color w:val="auto"/>
                <w:highlight w:val="none"/>
                <w:lang w:val="en-US" w:eastAsia="zh-CN"/>
              </w:rPr>
              <w:t>、</w:t>
            </w:r>
            <w:r>
              <w:rPr>
                <w:rFonts w:hint="eastAsia" w:ascii="仿宋" w:hAnsi="仿宋" w:eastAsia="仿宋" w:cs="仿宋"/>
                <w:b/>
                <w:bCs/>
                <w:color w:val="auto"/>
                <w:sz w:val="24"/>
                <w:szCs w:val="24"/>
                <w:highlight w:val="none"/>
                <w:lang w:val="en-US" w:eastAsia="zh-CN"/>
              </w:rPr>
              <w:t>集中式</w:t>
            </w:r>
            <w:r>
              <w:rPr>
                <w:rFonts w:hint="default" w:ascii="仿宋" w:hAnsi="仿宋" w:eastAsia="仿宋" w:cs="仿宋"/>
                <w:b/>
                <w:bCs/>
                <w:color w:val="auto"/>
                <w:sz w:val="24"/>
                <w:szCs w:val="24"/>
                <w:highlight w:val="none"/>
                <w:lang w:val="en-US" w:eastAsia="zh-CN"/>
              </w:rPr>
              <w:t>静电式餐饮油烟净化装置</w:t>
            </w:r>
          </w:p>
          <w:p w14:paraId="0D8FE3CC">
            <w:pPr>
              <w:numPr>
                <w:ilvl w:val="0"/>
                <w:numId w:val="9"/>
              </w:numPr>
              <w:spacing w:line="400" w:lineRule="exact"/>
              <w:ind w:left="0" w:firstLine="64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静电油烟净化器净化功能段采用不锈钢或铝合金材质</w:t>
            </w:r>
          </w:p>
          <w:p w14:paraId="4D47C4BE">
            <w:pPr>
              <w:numPr>
                <w:ilvl w:val="0"/>
                <w:numId w:val="9"/>
              </w:numPr>
              <w:spacing w:line="400" w:lineRule="exact"/>
              <w:ind w:left="0" w:firstLine="64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额定风量下</w:t>
            </w:r>
            <w:r>
              <w:rPr>
                <w:rFonts w:hint="eastAsia" w:ascii="仿宋" w:hAnsi="仿宋" w:eastAsia="仿宋" w:cs="仿宋"/>
                <w:color w:val="auto"/>
                <w:sz w:val="24"/>
                <w:highlight w:val="none"/>
              </w:rPr>
              <w:t>净化效率要求不低于</w:t>
            </w:r>
            <w:r>
              <w:rPr>
                <w:rFonts w:hint="eastAsia" w:ascii="仿宋" w:hAnsi="仿宋" w:eastAsia="仿宋" w:cs="仿宋"/>
                <w:color w:val="auto"/>
                <w:sz w:val="24"/>
                <w:highlight w:val="none"/>
                <w:lang w:val="en-US" w:eastAsia="zh-CN"/>
              </w:rPr>
              <w:t>95</w:t>
            </w: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rPr>
              <w:t xml:space="preserve"> (提供</w:t>
            </w:r>
            <w:r>
              <w:rPr>
                <w:rFonts w:hint="eastAsia" w:ascii="仿宋" w:hAnsi="仿宋" w:eastAsia="仿宋" w:cs="仿宋"/>
                <w:color w:val="auto"/>
                <w:sz w:val="24"/>
                <w:szCs w:val="24"/>
                <w:highlight w:val="none"/>
                <w:lang w:val="en-US" w:eastAsia="zh-CN"/>
              </w:rPr>
              <w:t>CMA或CNAS机构出具的</w:t>
            </w:r>
            <w:r>
              <w:rPr>
                <w:rFonts w:hint="eastAsia" w:ascii="仿宋" w:hAnsi="仿宋" w:eastAsia="仿宋" w:cs="仿宋"/>
                <w:color w:val="auto"/>
                <w:sz w:val="24"/>
                <w:szCs w:val="24"/>
                <w:highlight w:val="none"/>
              </w:rPr>
              <w:t>检测报告并加盖公章)</w:t>
            </w:r>
          </w:p>
          <w:p w14:paraId="7E8CA8F9">
            <w:pPr>
              <w:numPr>
                <w:ilvl w:val="0"/>
                <w:numId w:val="9"/>
              </w:numPr>
              <w:spacing w:line="400" w:lineRule="exact"/>
              <w:ind w:left="0" w:firstLine="64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 净化功能段模块需采用不锈钢板式油烟净化原理。设备机门需安装开门断电安全保护功能。</w:t>
            </w:r>
          </w:p>
          <w:p w14:paraId="37AC6A83">
            <w:pPr>
              <w:numPr>
                <w:ilvl w:val="0"/>
                <w:numId w:val="9"/>
              </w:numPr>
              <w:spacing w:line="400" w:lineRule="exact"/>
              <w:ind w:left="0" w:firstLine="64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静电油烟净化器须带定时提醒清洗装置，可以人工设定清洗间隔时间，超过清洗时间后净化器会报警提示并自动断电保护。</w:t>
            </w:r>
          </w:p>
          <w:p w14:paraId="09C9FD54">
            <w:pPr>
              <w:numPr>
                <w:ilvl w:val="0"/>
                <w:numId w:val="9"/>
              </w:numPr>
              <w:spacing w:line="400" w:lineRule="exact"/>
              <w:ind w:left="0" w:firstLine="64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静电油烟净化器供电电源具有灭弧功能和持续拉弧断电功能。</w:t>
            </w:r>
          </w:p>
          <w:p w14:paraId="40DFFB6B">
            <w:pPr>
              <w:numPr>
                <w:ilvl w:val="0"/>
                <w:numId w:val="9"/>
              </w:numPr>
              <w:spacing w:line="400" w:lineRule="exact"/>
              <w:ind w:left="0" w:firstLine="64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静电油烟净化器须具有清洗断电保护功能。</w:t>
            </w:r>
          </w:p>
          <w:p w14:paraId="2CB4ED6C">
            <w:pPr>
              <w:numPr>
                <w:ilvl w:val="0"/>
                <w:numId w:val="9"/>
              </w:numPr>
              <w:spacing w:line="400" w:lineRule="exact"/>
              <w:ind w:left="0" w:firstLine="64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电源必须具有短路保护功能。</w:t>
            </w:r>
          </w:p>
          <w:p w14:paraId="547882C4">
            <w:pPr>
              <w:numPr>
                <w:ilvl w:val="0"/>
                <w:numId w:val="9"/>
              </w:numPr>
              <w:spacing w:line="400" w:lineRule="exact"/>
              <w:ind w:left="0" w:firstLine="64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电源必须具有断路保护功能。</w:t>
            </w:r>
          </w:p>
          <w:p w14:paraId="4326FA8F">
            <w:pPr>
              <w:numPr>
                <w:ilvl w:val="0"/>
                <w:numId w:val="9"/>
              </w:numPr>
              <w:spacing w:line="400" w:lineRule="exact"/>
              <w:ind w:left="0" w:firstLine="64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高压变压器必须带有过热保护装置，防止过高温升损坏电源和带来引燃收集的厨房油污的火灾隐患。</w:t>
            </w:r>
          </w:p>
          <w:p w14:paraId="68B6C055">
            <w:pPr>
              <w:numPr>
                <w:ilvl w:val="0"/>
                <w:numId w:val="9"/>
              </w:numPr>
              <w:spacing w:line="400" w:lineRule="exact"/>
              <w:ind w:left="0" w:firstLine="64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设备自带电控柜，满足远程BA控制监控端口，高压电源部分带液晶数显功能。</w:t>
            </w:r>
          </w:p>
          <w:p w14:paraId="76ACD49C">
            <w:pPr>
              <w:numPr>
                <w:ilvl w:val="0"/>
                <w:numId w:val="9"/>
              </w:numPr>
              <w:spacing w:line="400" w:lineRule="exact"/>
              <w:ind w:left="0" w:firstLine="64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系统风机风量</w:t>
            </w:r>
            <w:r>
              <w:rPr>
                <w:rFonts w:hint="eastAsia" w:ascii="仿宋" w:hAnsi="仿宋" w:eastAsia="仿宋" w:cs="仿宋"/>
                <w:color w:val="auto"/>
                <w:sz w:val="24"/>
                <w:highlight w:val="none"/>
                <w:lang w:val="en-US" w:eastAsia="zh-CN"/>
              </w:rPr>
              <w:t>不小于50</w:t>
            </w:r>
            <w:r>
              <w:rPr>
                <w:rFonts w:hint="eastAsia" w:ascii="仿宋" w:hAnsi="仿宋" w:eastAsia="仿宋" w:cs="仿宋"/>
                <w:color w:val="auto"/>
                <w:sz w:val="24"/>
                <w:highlight w:val="none"/>
              </w:rPr>
              <w:t>00m</w:t>
            </w:r>
            <w:r>
              <w:rPr>
                <w:rFonts w:hint="eastAsia" w:ascii="仿宋" w:hAnsi="仿宋" w:eastAsia="仿宋" w:cs="仿宋"/>
                <w:color w:val="auto"/>
                <w:sz w:val="24"/>
                <w:highlight w:val="none"/>
                <w:vertAlign w:val="superscript"/>
              </w:rPr>
              <w:t>3</w:t>
            </w:r>
            <w:r>
              <w:rPr>
                <w:rFonts w:hint="eastAsia" w:ascii="仿宋" w:hAnsi="仿宋" w:eastAsia="仿宋" w:cs="仿宋"/>
                <w:color w:val="auto"/>
                <w:sz w:val="24"/>
                <w:highlight w:val="none"/>
              </w:rPr>
              <w:t>/h。</w:t>
            </w:r>
          </w:p>
          <w:p w14:paraId="7E07055C">
            <w:pPr>
              <w:numPr>
                <w:ilvl w:val="0"/>
                <w:numId w:val="9"/>
              </w:numPr>
              <w:spacing w:line="400" w:lineRule="exact"/>
              <w:ind w:firstLine="640"/>
              <w:rPr>
                <w:rFonts w:hint="default"/>
                <w:color w:val="auto"/>
                <w:highlight w:val="none"/>
                <w:lang w:val="en-US" w:eastAsia="zh-CN"/>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额定风量下油烟排放浓度≤1mg/m</w:t>
            </w:r>
            <w:r>
              <w:rPr>
                <w:rFonts w:hint="eastAsia" w:ascii="仿宋" w:hAnsi="仿宋" w:eastAsia="仿宋" w:cs="仿宋"/>
                <w:color w:val="auto"/>
                <w:sz w:val="24"/>
                <w:highlight w:val="none"/>
                <w:vertAlign w:val="superscript"/>
                <w:lang w:val="en-US" w:eastAsia="zh-CN"/>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szCs w:val="24"/>
                <w:highlight w:val="none"/>
              </w:rPr>
              <w:t xml:space="preserve"> (提供</w:t>
            </w:r>
            <w:r>
              <w:rPr>
                <w:rFonts w:hint="eastAsia" w:ascii="仿宋" w:hAnsi="仿宋" w:eastAsia="仿宋" w:cs="仿宋"/>
                <w:color w:val="auto"/>
                <w:sz w:val="24"/>
                <w:szCs w:val="24"/>
                <w:highlight w:val="none"/>
                <w:lang w:val="en-US" w:eastAsia="zh-CN"/>
              </w:rPr>
              <w:t>CMA或CNAS机构出具的</w:t>
            </w:r>
            <w:r>
              <w:rPr>
                <w:rFonts w:hint="eastAsia" w:ascii="仿宋" w:hAnsi="仿宋" w:eastAsia="仿宋" w:cs="仿宋"/>
                <w:color w:val="auto"/>
                <w:sz w:val="24"/>
                <w:szCs w:val="24"/>
                <w:highlight w:val="none"/>
              </w:rPr>
              <w:t>测报告并加盖公章)</w:t>
            </w:r>
          </w:p>
          <w:p w14:paraId="6A809CF7">
            <w:pPr>
              <w:pStyle w:val="2"/>
              <w:rPr>
                <w:rFonts w:hint="eastAsia" w:ascii="仿宋" w:hAnsi="仿宋" w:eastAsia="仿宋" w:cs="仿宋"/>
                <w:color w:val="auto"/>
                <w:sz w:val="24"/>
                <w:szCs w:val="24"/>
                <w:highlight w:val="none"/>
              </w:rPr>
            </w:pPr>
          </w:p>
        </w:tc>
      </w:tr>
    </w:tbl>
    <w:p w14:paraId="75096B87">
      <w:pPr>
        <w:pStyle w:val="4"/>
        <w:keepNext/>
        <w:keepLines/>
        <w:pageBreakBefore w:val="0"/>
        <w:widowControl w:val="0"/>
        <w:tabs>
          <w:tab w:val="left" w:pos="2985"/>
          <w:tab w:val="clear" w:pos="432"/>
        </w:tabs>
        <w:kinsoku/>
        <w:wordWrap/>
        <w:overflowPunct/>
        <w:topLinePunct w:val="0"/>
        <w:autoSpaceDE/>
        <w:autoSpaceDN/>
        <w:bidi w:val="0"/>
        <w:adjustRightInd/>
        <w:snapToGrid/>
        <w:spacing w:before="40" w:after="0" w:afterLines="50" w:line="420" w:lineRule="exact"/>
        <w:ind w:left="431" w:hanging="431"/>
        <w:textAlignment w:val="auto"/>
        <w:rPr>
          <w:rFonts w:hint="eastAsia" w:ascii="仿宋" w:hAnsi="仿宋" w:eastAsia="仿宋" w:cs="仿宋"/>
          <w:b/>
          <w:color w:val="auto"/>
          <w:sz w:val="24"/>
          <w:szCs w:val="24"/>
          <w:highlight w:val="none"/>
          <w:lang w:val="en-US"/>
        </w:rPr>
      </w:pPr>
      <w:r>
        <w:rPr>
          <w:rFonts w:hint="eastAsia" w:ascii="仿宋" w:eastAsia="仿宋" w:cs="仿宋"/>
          <w:bCs/>
          <w:color w:val="auto"/>
          <w:sz w:val="28"/>
          <w:szCs w:val="28"/>
          <w:highlight w:val="none"/>
          <w:lang w:val="en-US" w:eastAsia="zh-CN"/>
        </w:rPr>
        <w:t>三、运</w:t>
      </w:r>
      <w:r>
        <w:rPr>
          <w:rFonts w:hint="eastAsia" w:ascii="仿宋" w:hAnsi="仿宋" w:eastAsia="仿宋" w:cs="仿宋"/>
          <w:b/>
          <w:color w:val="auto"/>
          <w:sz w:val="28"/>
          <w:szCs w:val="28"/>
          <w:highlight w:val="none"/>
          <w:lang w:val="en-US"/>
        </w:rPr>
        <w:t>维服务要求</w:t>
      </w:r>
    </w:p>
    <w:p w14:paraId="6CA8AE51">
      <w:pPr>
        <w:pStyle w:val="27"/>
        <w:numPr>
          <w:ilvl w:val="0"/>
          <w:numId w:val="10"/>
        </w:num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基本要求</w:t>
      </w:r>
    </w:p>
    <w:p w14:paraId="587FF0E2">
      <w:pPr>
        <w:pStyle w:val="2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定期检查设备运行状态，包括线上和线下，记录运行数据，确保设备处于良好运行状态（排除台风天、雨天等不可抗力因素以及第三方造成的停电或破坏情况。）；定期对设备进行现场维护，检查设备的关键部件和系统并更换过滤耗材，确保设备正常运行；每</w:t>
      </w:r>
      <w:r>
        <w:rPr>
          <w:rFonts w:hint="eastAsia" w:ascii="仿宋" w:hAnsi="仿宋" w:eastAsia="仿宋" w:cs="仿宋"/>
          <w:color w:val="auto"/>
          <w:sz w:val="24"/>
          <w:szCs w:val="24"/>
          <w:highlight w:val="none"/>
          <w:lang w:val="en-US" w:eastAsia="zh-CN"/>
        </w:rPr>
        <w:t>月</w:t>
      </w:r>
      <w:r>
        <w:rPr>
          <w:rFonts w:hint="eastAsia" w:ascii="仿宋" w:hAnsi="仿宋" w:eastAsia="仿宋" w:cs="仿宋"/>
          <w:color w:val="auto"/>
          <w:sz w:val="24"/>
          <w:szCs w:val="24"/>
          <w:highlight w:val="none"/>
        </w:rPr>
        <w:t>提交设备运行状态记录，每个季度提交所有治理设施运行情况报告。</w:t>
      </w:r>
    </w:p>
    <w:p w14:paraId="29ADAAC6">
      <w:pPr>
        <w:pStyle w:val="2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2、★响应时间</w:t>
      </w:r>
    </w:p>
    <w:p w14:paraId="789B9A63">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运维服务需在2小时内响应，4小时内到达现场。需提供响应承诺文件以及投标单位（或其分子公司、办事处等所在地距离服务地点的证明。）</w:t>
      </w:r>
    </w:p>
    <w:p w14:paraId="10843FF3">
      <w:pPr>
        <w:pStyle w:val="2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3、设备运行率不低于70%、设备全年平均处理效率不低于50%（以户外高风量</w:t>
      </w:r>
      <w:r>
        <w:rPr>
          <w:rFonts w:hint="eastAsia" w:ascii="仿宋" w:hAnsi="仿宋" w:eastAsia="仿宋" w:cs="仿宋"/>
          <w:color w:val="auto"/>
          <w:sz w:val="24"/>
          <w:szCs w:val="24"/>
          <w:highlight w:val="none"/>
          <w:lang w:val="en-US" w:eastAsia="zh-CN"/>
        </w:rPr>
        <w:t>扬尘</w:t>
      </w:r>
      <w:r>
        <w:rPr>
          <w:rFonts w:hint="eastAsia" w:ascii="仿宋" w:hAnsi="仿宋" w:eastAsia="仿宋" w:cs="仿宋"/>
          <w:color w:val="auto"/>
          <w:sz w:val="24"/>
          <w:szCs w:val="24"/>
          <w:highlight w:val="none"/>
        </w:rPr>
        <w:t>治理装置、户外超静音</w:t>
      </w:r>
      <w:r>
        <w:rPr>
          <w:rFonts w:hint="eastAsia" w:ascii="仿宋" w:hAnsi="仿宋" w:eastAsia="仿宋" w:cs="仿宋"/>
          <w:color w:val="auto"/>
          <w:sz w:val="24"/>
          <w:szCs w:val="24"/>
          <w:highlight w:val="none"/>
          <w:lang w:val="en-US" w:eastAsia="zh-CN"/>
        </w:rPr>
        <w:t>扬尘</w:t>
      </w:r>
      <w:r>
        <w:rPr>
          <w:rFonts w:hint="eastAsia" w:ascii="仿宋" w:hAnsi="仿宋" w:eastAsia="仿宋" w:cs="仿宋"/>
          <w:color w:val="auto"/>
          <w:sz w:val="24"/>
          <w:szCs w:val="24"/>
          <w:highlight w:val="none"/>
        </w:rPr>
        <w:t>治理装置及屋顶固定式</w:t>
      </w:r>
      <w:r>
        <w:rPr>
          <w:rFonts w:hint="eastAsia" w:ascii="仿宋" w:hAnsi="仿宋" w:eastAsia="仿宋" w:cs="仿宋"/>
          <w:color w:val="auto"/>
          <w:sz w:val="24"/>
          <w:szCs w:val="24"/>
          <w:highlight w:val="none"/>
          <w:lang w:val="en-US" w:eastAsia="zh-CN"/>
        </w:rPr>
        <w:t>扬尘治理</w:t>
      </w:r>
      <w:r>
        <w:rPr>
          <w:rFonts w:hint="eastAsia" w:ascii="仿宋" w:hAnsi="仿宋" w:eastAsia="仿宋" w:cs="仿宋"/>
          <w:color w:val="auto"/>
          <w:sz w:val="24"/>
          <w:szCs w:val="24"/>
          <w:highlight w:val="none"/>
        </w:rPr>
        <w:t>装置中感知模块上传数据计）</w:t>
      </w:r>
    </w:p>
    <w:p w14:paraId="30DC1353">
      <w:pPr>
        <w:pStyle w:val="2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注：排除台风天、雨天等不可抗力因素以及第三方造成的停电或破坏。</w:t>
      </w:r>
    </w:p>
    <w:p w14:paraId="0B70DC76">
      <w:pPr>
        <w:pStyle w:val="4"/>
        <w:keepNext/>
        <w:keepLines/>
        <w:pageBreakBefore w:val="0"/>
        <w:widowControl w:val="0"/>
        <w:tabs>
          <w:tab w:val="left" w:pos="2985"/>
          <w:tab w:val="clear" w:pos="432"/>
        </w:tabs>
        <w:kinsoku/>
        <w:wordWrap/>
        <w:overflowPunct/>
        <w:topLinePunct w:val="0"/>
        <w:autoSpaceDE/>
        <w:autoSpaceDN/>
        <w:bidi w:val="0"/>
        <w:adjustRightInd/>
        <w:snapToGrid/>
        <w:spacing w:before="40" w:after="0" w:afterLines="50" w:line="420" w:lineRule="exact"/>
        <w:ind w:left="431" w:hanging="431"/>
        <w:textAlignment w:val="auto"/>
        <w:rPr>
          <w:rFonts w:hint="eastAsia" w:ascii="仿宋" w:eastAsia="仿宋" w:cs="仿宋"/>
          <w:bCs/>
          <w:color w:val="auto"/>
          <w:sz w:val="28"/>
          <w:szCs w:val="28"/>
          <w:highlight w:val="none"/>
          <w:lang w:val="en-US" w:eastAsia="zh-CN"/>
        </w:rPr>
      </w:pPr>
      <w:r>
        <w:rPr>
          <w:rFonts w:hint="eastAsia" w:ascii="仿宋" w:eastAsia="仿宋" w:cs="仿宋"/>
          <w:bCs/>
          <w:color w:val="auto"/>
          <w:sz w:val="28"/>
          <w:szCs w:val="28"/>
          <w:highlight w:val="none"/>
          <w:lang w:val="en-US" w:eastAsia="zh-CN"/>
        </w:rPr>
        <w:t>四、团队人员要求</w:t>
      </w:r>
    </w:p>
    <w:p w14:paraId="6C48E1E5">
      <w:pPr>
        <w:pStyle w:val="2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按照项目需求配备项目组人员，其中项目负责人1人，项目组成员不少于</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人，包括技术人员4人、开发人员4人和运维人员2人；其中开发及运维人员不得兼任。</w:t>
      </w:r>
    </w:p>
    <w:tbl>
      <w:tblPr>
        <w:tblStyle w:val="23"/>
        <w:tblW w:w="8476" w:type="dxa"/>
        <w:tblInd w:w="15"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491"/>
        <w:gridCol w:w="948"/>
        <w:gridCol w:w="1335"/>
        <w:gridCol w:w="2851"/>
        <w:gridCol w:w="2851"/>
      </w:tblGrid>
      <w:tr w14:paraId="53539C6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20" w:hRule="atLeast"/>
        </w:trPr>
        <w:tc>
          <w:tcPr>
            <w:tcW w:w="49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EE643C6">
            <w:pPr>
              <w:widowControl/>
              <w:spacing w:line="4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序号</w:t>
            </w:r>
          </w:p>
        </w:tc>
        <w:tc>
          <w:tcPr>
            <w:tcW w:w="948"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31FDB03">
            <w:pPr>
              <w:widowControl/>
              <w:spacing w:line="4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岗位</w:t>
            </w:r>
          </w:p>
        </w:tc>
        <w:tc>
          <w:tcPr>
            <w:tcW w:w="133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ADD4F5A">
            <w:pPr>
              <w:widowControl/>
              <w:spacing w:line="4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数量</w:t>
            </w:r>
          </w:p>
        </w:tc>
        <w:tc>
          <w:tcPr>
            <w:tcW w:w="285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6509856">
            <w:pPr>
              <w:widowControl/>
              <w:spacing w:line="4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岗位职责</w:t>
            </w:r>
          </w:p>
        </w:tc>
        <w:tc>
          <w:tcPr>
            <w:tcW w:w="285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E770C36">
            <w:pPr>
              <w:widowControl/>
              <w:spacing w:line="440" w:lineRule="atLeast"/>
              <w:jc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人员要求</w:t>
            </w:r>
          </w:p>
        </w:tc>
      </w:tr>
      <w:tr w14:paraId="62DC94B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40" w:hRule="atLeast"/>
        </w:trPr>
        <w:tc>
          <w:tcPr>
            <w:tcW w:w="49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912166E">
            <w:pPr>
              <w:widowControl/>
              <w:spacing w:line="4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c>
          <w:tcPr>
            <w:tcW w:w="948"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6B7850C">
            <w:pPr>
              <w:widowControl/>
              <w:spacing w:line="4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项目负责人</w:t>
            </w:r>
          </w:p>
        </w:tc>
        <w:tc>
          <w:tcPr>
            <w:tcW w:w="133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BC998AB">
            <w:pPr>
              <w:widowControl/>
              <w:spacing w:line="4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c>
          <w:tcPr>
            <w:tcW w:w="285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513699F">
            <w:pPr>
              <w:widowControl/>
              <w:spacing w:line="440" w:lineRule="atLeast"/>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负责与相关部门、单位进行对接、协调、沟通、汇报等工作</w:t>
            </w:r>
          </w:p>
        </w:tc>
        <w:tc>
          <w:tcPr>
            <w:tcW w:w="285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E5402F5">
            <w:pPr>
              <w:widowControl/>
              <w:spacing w:line="440" w:lineRule="atLeast"/>
              <w:jc w:val="left"/>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具备人社部门颁发的环境类</w:t>
            </w:r>
            <w:r>
              <w:rPr>
                <w:rFonts w:hint="eastAsia" w:ascii="仿宋" w:hAnsi="仿宋" w:eastAsia="仿宋" w:cs="仿宋"/>
                <w:color w:val="auto"/>
                <w:sz w:val="24"/>
                <w:highlight w:val="none"/>
                <w:lang w:val="en-US" w:eastAsia="zh-CN"/>
              </w:rPr>
              <w:t>相关专业</w:t>
            </w:r>
            <w:r>
              <w:rPr>
                <w:rFonts w:hint="eastAsia" w:ascii="仿宋" w:hAnsi="仿宋" w:eastAsia="仿宋" w:cs="仿宋"/>
                <w:color w:val="auto"/>
                <w:kern w:val="0"/>
                <w:sz w:val="24"/>
                <w:szCs w:val="24"/>
                <w:highlight w:val="none"/>
                <w:lang w:bidi="ar"/>
              </w:rPr>
              <w:t>高级职称资格证书</w:t>
            </w:r>
          </w:p>
        </w:tc>
      </w:tr>
      <w:tr w14:paraId="74846D8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320" w:hRule="atLeast"/>
        </w:trPr>
        <w:tc>
          <w:tcPr>
            <w:tcW w:w="49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049276F">
            <w:pPr>
              <w:widowControl/>
              <w:spacing w:line="4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w:t>
            </w:r>
          </w:p>
        </w:tc>
        <w:tc>
          <w:tcPr>
            <w:tcW w:w="948"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B507867">
            <w:pPr>
              <w:widowControl/>
              <w:spacing w:line="4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技术人员</w:t>
            </w:r>
          </w:p>
        </w:tc>
        <w:tc>
          <w:tcPr>
            <w:tcW w:w="133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A0C0D0B">
            <w:pPr>
              <w:widowControl/>
              <w:spacing w:line="4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4</w:t>
            </w:r>
          </w:p>
        </w:tc>
        <w:tc>
          <w:tcPr>
            <w:tcW w:w="285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0D6C6B8">
            <w:pPr>
              <w:widowControl/>
              <w:spacing w:line="440" w:lineRule="atLeast"/>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全面负责项目实施质量，保障治理设备的正常运行、数据获取的准确性与有效性、相关问题的及时解决</w:t>
            </w:r>
          </w:p>
        </w:tc>
        <w:tc>
          <w:tcPr>
            <w:tcW w:w="285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11FD7D2">
            <w:pPr>
              <w:widowControl/>
              <w:spacing w:line="440" w:lineRule="atLeast"/>
              <w:jc w:val="left"/>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具备人社部门颁发的环境类</w:t>
            </w:r>
            <w:r>
              <w:rPr>
                <w:rFonts w:hint="eastAsia" w:ascii="仿宋" w:hAnsi="仿宋" w:eastAsia="仿宋" w:cs="仿宋"/>
                <w:color w:val="auto"/>
                <w:sz w:val="24"/>
                <w:highlight w:val="none"/>
                <w:lang w:val="en-US" w:eastAsia="zh-CN"/>
              </w:rPr>
              <w:t>相关专业</w:t>
            </w:r>
            <w:r>
              <w:rPr>
                <w:rFonts w:hint="eastAsia" w:ascii="仿宋" w:hAnsi="仿宋" w:eastAsia="仿宋" w:cs="仿宋"/>
                <w:color w:val="auto"/>
                <w:kern w:val="0"/>
                <w:sz w:val="24"/>
                <w:szCs w:val="24"/>
                <w:highlight w:val="none"/>
                <w:lang w:bidi="ar"/>
              </w:rPr>
              <w:t>高级职称证书</w:t>
            </w:r>
          </w:p>
        </w:tc>
      </w:tr>
      <w:tr w14:paraId="4C29A14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20" w:hRule="atLeast"/>
        </w:trPr>
        <w:tc>
          <w:tcPr>
            <w:tcW w:w="49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1B5844A">
            <w:pPr>
              <w:widowControl/>
              <w:spacing w:line="4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3</w:t>
            </w:r>
          </w:p>
        </w:tc>
        <w:tc>
          <w:tcPr>
            <w:tcW w:w="948"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F95DAFC">
            <w:pPr>
              <w:widowControl/>
              <w:spacing w:line="4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开发人员</w:t>
            </w:r>
          </w:p>
        </w:tc>
        <w:tc>
          <w:tcPr>
            <w:tcW w:w="133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D76BA4C">
            <w:pPr>
              <w:widowControl/>
              <w:spacing w:line="4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w:t>
            </w:r>
          </w:p>
        </w:tc>
        <w:tc>
          <w:tcPr>
            <w:tcW w:w="285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0E31990">
            <w:pPr>
              <w:widowControl/>
              <w:spacing w:line="440" w:lineRule="atLeast"/>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全面负责软件平台的正常运行</w:t>
            </w:r>
          </w:p>
        </w:tc>
        <w:tc>
          <w:tcPr>
            <w:tcW w:w="285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8D12952">
            <w:pPr>
              <w:widowControl/>
              <w:spacing w:line="440" w:lineRule="atLeast"/>
              <w:jc w:val="left"/>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val="en-US" w:eastAsia="zh-CN" w:bidi="ar"/>
              </w:rPr>
              <w:t>具备</w:t>
            </w:r>
            <w:r>
              <w:rPr>
                <w:rFonts w:hint="eastAsia" w:ascii="仿宋" w:hAnsi="仿宋" w:eastAsia="仿宋" w:cs="仿宋"/>
                <w:color w:val="auto"/>
                <w:kern w:val="0"/>
                <w:sz w:val="24"/>
                <w:szCs w:val="24"/>
                <w:highlight w:val="none"/>
                <w:lang w:bidi="ar"/>
              </w:rPr>
              <w:t>计算机科学与技术、软件工程或技术专业</w:t>
            </w:r>
            <w:r>
              <w:rPr>
                <w:rFonts w:hint="eastAsia" w:ascii="仿宋" w:hAnsi="仿宋" w:eastAsia="仿宋" w:cs="仿宋"/>
                <w:color w:val="auto"/>
                <w:kern w:val="0"/>
                <w:sz w:val="24"/>
                <w:szCs w:val="24"/>
                <w:highlight w:val="none"/>
                <w:lang w:eastAsia="zh-CN" w:bidi="ar"/>
              </w:rPr>
              <w:t>的，</w:t>
            </w:r>
            <w:r>
              <w:rPr>
                <w:rFonts w:hint="eastAsia" w:ascii="仿宋" w:hAnsi="仿宋" w:eastAsia="仿宋" w:cs="仿宋"/>
                <w:color w:val="auto"/>
                <w:kern w:val="0"/>
                <w:sz w:val="24"/>
                <w:szCs w:val="24"/>
                <w:highlight w:val="none"/>
                <w:lang w:val="en-US" w:eastAsia="zh-CN" w:bidi="ar"/>
              </w:rPr>
              <w:t>要求</w:t>
            </w:r>
            <w:r>
              <w:rPr>
                <w:rFonts w:hint="eastAsia" w:ascii="仿宋" w:hAnsi="仿宋" w:eastAsia="仿宋" w:cs="仿宋"/>
                <w:color w:val="auto"/>
                <w:kern w:val="0"/>
                <w:sz w:val="24"/>
                <w:szCs w:val="24"/>
                <w:highlight w:val="none"/>
                <w:lang w:bidi="ar"/>
              </w:rPr>
              <w:t>专科及以上学历</w:t>
            </w:r>
          </w:p>
        </w:tc>
      </w:tr>
      <w:tr w14:paraId="32E1013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00" w:hRule="atLeast"/>
        </w:trPr>
        <w:tc>
          <w:tcPr>
            <w:tcW w:w="49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98EF487">
            <w:pPr>
              <w:widowControl/>
              <w:spacing w:line="4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4</w:t>
            </w:r>
          </w:p>
        </w:tc>
        <w:tc>
          <w:tcPr>
            <w:tcW w:w="948"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0265F06">
            <w:pPr>
              <w:widowControl/>
              <w:spacing w:line="4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运维人员</w:t>
            </w:r>
          </w:p>
        </w:tc>
        <w:tc>
          <w:tcPr>
            <w:tcW w:w="133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D802CC6">
            <w:pPr>
              <w:widowControl/>
              <w:spacing w:line="4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85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FC4C86E">
            <w:pPr>
              <w:widowControl/>
              <w:spacing w:line="440" w:lineRule="atLeast"/>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保证耗材更换、故障处理等工作，发现设备问题后于24小时内解决。</w:t>
            </w:r>
          </w:p>
        </w:tc>
        <w:tc>
          <w:tcPr>
            <w:tcW w:w="285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48F9BAD">
            <w:pPr>
              <w:widowControl/>
              <w:spacing w:line="440" w:lineRule="atLeast"/>
              <w:jc w:val="left"/>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val="en-US" w:eastAsia="zh-CN" w:bidi="ar"/>
              </w:rPr>
              <w:t>具备</w:t>
            </w:r>
            <w:r>
              <w:rPr>
                <w:rFonts w:hint="eastAsia" w:ascii="仿宋" w:hAnsi="仿宋" w:eastAsia="仿宋" w:cs="仿宋"/>
                <w:color w:val="auto"/>
                <w:kern w:val="0"/>
                <w:sz w:val="24"/>
                <w:szCs w:val="24"/>
                <w:highlight w:val="none"/>
                <w:lang w:bidi="ar"/>
              </w:rPr>
              <w:t>机械设计与制造、环境工程专业的，要求具有专科及以上学历</w:t>
            </w:r>
          </w:p>
        </w:tc>
      </w:tr>
    </w:tbl>
    <w:p w14:paraId="5E955753">
      <w:pPr>
        <w:rPr>
          <w:rFonts w:hint="eastAsia" w:ascii="仿宋" w:hAnsi="仿宋" w:eastAsia="仿宋" w:cs="仿宋"/>
          <w:color w:val="auto"/>
          <w:sz w:val="24"/>
          <w:szCs w:val="24"/>
          <w:highlight w:val="none"/>
          <w:lang w:val="en-US" w:eastAsia="zh-CN"/>
        </w:rPr>
      </w:pPr>
    </w:p>
    <w:p w14:paraId="130911B7">
      <w:pPr>
        <w:pStyle w:val="4"/>
        <w:keepNext/>
        <w:keepLines/>
        <w:pageBreakBefore w:val="0"/>
        <w:widowControl w:val="0"/>
        <w:tabs>
          <w:tab w:val="left" w:pos="2985"/>
          <w:tab w:val="clear" w:pos="432"/>
        </w:tabs>
        <w:kinsoku/>
        <w:wordWrap/>
        <w:overflowPunct/>
        <w:topLinePunct w:val="0"/>
        <w:autoSpaceDE/>
        <w:autoSpaceDN/>
        <w:bidi w:val="0"/>
        <w:adjustRightInd/>
        <w:snapToGrid/>
        <w:spacing w:before="40" w:after="0" w:afterLines="50" w:line="420" w:lineRule="exact"/>
        <w:ind w:left="431" w:hanging="431"/>
        <w:textAlignment w:val="auto"/>
        <w:rPr>
          <w:rFonts w:hint="default" w:ascii="仿宋" w:eastAsia="仿宋" w:cs="仿宋"/>
          <w:bCs/>
          <w:color w:val="auto"/>
          <w:sz w:val="28"/>
          <w:szCs w:val="28"/>
          <w:highlight w:val="none"/>
          <w:lang w:val="en-US" w:eastAsia="zh-CN"/>
        </w:rPr>
      </w:pPr>
      <w:r>
        <w:rPr>
          <w:rFonts w:hint="eastAsia" w:ascii="仿宋" w:eastAsia="仿宋" w:cs="仿宋"/>
          <w:bCs/>
          <w:color w:val="auto"/>
          <w:sz w:val="28"/>
          <w:szCs w:val="28"/>
          <w:highlight w:val="none"/>
          <w:lang w:val="en-US" w:eastAsia="zh-CN"/>
        </w:rPr>
        <w:t>五、商务条款要求</w:t>
      </w:r>
    </w:p>
    <w:tbl>
      <w:tblPr>
        <w:tblStyle w:val="23"/>
        <w:tblW w:w="9619" w:type="dxa"/>
        <w:jc w:val="center"/>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7775"/>
      </w:tblGrid>
      <w:tr w14:paraId="300BD059">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1844" w:type="dxa"/>
            <w:noWrap w:val="0"/>
            <w:vAlign w:val="center"/>
          </w:tcPr>
          <w:p w14:paraId="4CE659DE">
            <w:pPr>
              <w:spacing w:line="42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w:t>
            </w:r>
            <w:r>
              <w:rPr>
                <w:rFonts w:hint="eastAsia" w:ascii="仿宋" w:hAnsi="仿宋" w:eastAsia="仿宋" w:cs="仿宋"/>
                <w:b/>
                <w:bCs/>
                <w:color w:val="auto"/>
                <w:sz w:val="24"/>
                <w:szCs w:val="24"/>
                <w:highlight w:val="none"/>
                <w:lang w:val="en-US" w:eastAsia="zh-CN"/>
              </w:rPr>
              <w:t>服务期</w:t>
            </w:r>
            <w:r>
              <w:rPr>
                <w:rFonts w:hint="eastAsia" w:ascii="仿宋" w:hAnsi="仿宋" w:eastAsia="仿宋" w:cs="仿宋"/>
                <w:b/>
                <w:bCs/>
                <w:color w:val="auto"/>
                <w:sz w:val="24"/>
                <w:szCs w:val="24"/>
                <w:highlight w:val="none"/>
              </w:rPr>
              <w:t>要求</w:t>
            </w:r>
          </w:p>
        </w:tc>
        <w:tc>
          <w:tcPr>
            <w:tcW w:w="7775" w:type="dxa"/>
            <w:noWrap w:val="0"/>
            <w:vAlign w:val="center"/>
          </w:tcPr>
          <w:p w14:paraId="4B487BF4">
            <w:pPr>
              <w:spacing w:line="420" w:lineRule="exact"/>
              <w:rPr>
                <w:rFonts w:hint="default" w:ascii="仿宋" w:hAnsi="仿宋" w:eastAsia="仿宋" w:cs="仿宋"/>
                <w:color w:val="auto"/>
                <w:sz w:val="24"/>
                <w:highlight w:val="none"/>
                <w:lang w:val="en-US" w:eastAsia="zh-CN"/>
              </w:rPr>
            </w:pPr>
            <w:r>
              <w:rPr>
                <w:rFonts w:hint="eastAsia" w:ascii="仿宋" w:hAnsi="仿宋" w:eastAsia="仿宋" w:cs="仿宋"/>
                <w:b w:val="0"/>
                <w:bCs w:val="0"/>
                <w:color w:val="auto"/>
                <w:sz w:val="24"/>
                <w:highlight w:val="none"/>
              </w:rPr>
              <w:t>合同签订后提交服务方案，经甲方确认后在 30天内完成设备点位的安装和调试，投入使用后进入三年服务期。服务期间提供</w:t>
            </w:r>
            <w:r>
              <w:rPr>
                <w:rFonts w:hint="eastAsia" w:ascii="仿宋" w:hAnsi="仿宋" w:eastAsia="仿宋" w:cs="仿宋"/>
                <w:b w:val="0"/>
                <w:bCs w:val="0"/>
                <w:color w:val="auto"/>
                <w:sz w:val="24"/>
                <w:highlight w:val="none"/>
                <w:lang w:val="en-US" w:eastAsia="zh-CN"/>
              </w:rPr>
              <w:t>扬尘治理服务的</w:t>
            </w:r>
            <w:r>
              <w:rPr>
                <w:rFonts w:hint="eastAsia" w:ascii="仿宋" w:hAnsi="仿宋" w:eastAsia="仿宋" w:cs="仿宋"/>
                <w:b w:val="0"/>
                <w:bCs w:val="0"/>
                <w:color w:val="auto"/>
                <w:sz w:val="24"/>
                <w:highlight w:val="none"/>
              </w:rPr>
              <w:t>季度及年度数据分析报告</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提供油烟净化服务的年度运维报告。</w:t>
            </w:r>
          </w:p>
        </w:tc>
      </w:tr>
      <w:tr w14:paraId="27715584">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844" w:type="dxa"/>
            <w:noWrap w:val="0"/>
            <w:vAlign w:val="center"/>
          </w:tcPr>
          <w:p w14:paraId="5AF22AB2">
            <w:pPr>
              <w:spacing w:line="42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▲报价要求</w:t>
            </w:r>
          </w:p>
        </w:tc>
        <w:tc>
          <w:tcPr>
            <w:tcW w:w="7775" w:type="dxa"/>
            <w:noWrap w:val="0"/>
            <w:vAlign w:val="center"/>
          </w:tcPr>
          <w:p w14:paraId="73914EC4">
            <w:pPr>
              <w:spacing w:line="420" w:lineRule="exact"/>
              <w:rPr>
                <w:rFonts w:hint="eastAsia" w:ascii="仿宋" w:hAnsi="仿宋" w:eastAsia="仿宋" w:cs="仿宋"/>
                <w:color w:val="auto"/>
                <w:sz w:val="24"/>
                <w:highlight w:val="none"/>
              </w:rPr>
            </w:pPr>
            <w:r>
              <w:rPr>
                <w:rFonts w:hint="eastAsia" w:ascii="仿宋" w:hAnsi="仿宋" w:eastAsia="仿宋" w:cs="仿宋"/>
                <w:b/>
                <w:color w:val="auto"/>
                <w:sz w:val="24"/>
                <w:highlight w:val="none"/>
              </w:rPr>
              <w:t>本项目采用总价合同，本项目投标总价包括完成本项目工作所需的人力物力成本、管理费、其他费用、利润、税金</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招标代理费</w:t>
            </w:r>
            <w:r>
              <w:rPr>
                <w:rFonts w:hint="eastAsia" w:ascii="仿宋" w:hAnsi="仿宋" w:eastAsia="仿宋" w:cs="仿宋"/>
                <w:b/>
                <w:color w:val="auto"/>
                <w:sz w:val="24"/>
                <w:highlight w:val="none"/>
              </w:rPr>
              <w:t>等所有费用。</w:t>
            </w:r>
          </w:p>
        </w:tc>
      </w:tr>
      <w:tr w14:paraId="27D7F76A">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844" w:type="dxa"/>
            <w:noWrap w:val="0"/>
            <w:vAlign w:val="center"/>
          </w:tcPr>
          <w:p w14:paraId="058516E8">
            <w:pPr>
              <w:spacing w:line="42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▲付款方式</w:t>
            </w:r>
          </w:p>
        </w:tc>
        <w:tc>
          <w:tcPr>
            <w:tcW w:w="7775" w:type="dxa"/>
            <w:noWrap w:val="0"/>
            <w:vAlign w:val="center"/>
          </w:tcPr>
          <w:p w14:paraId="5358E28D">
            <w:pPr>
              <w:spacing w:line="42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1.合同生效，采购人具备支付条件后</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个工作日内向中标单位支付合同总价</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0%的预付款</w:t>
            </w:r>
            <w:r>
              <w:rPr>
                <w:rFonts w:hint="eastAsia" w:ascii="仿宋" w:hAnsi="仿宋" w:eastAsia="仿宋" w:cs="仿宋"/>
                <w:color w:val="auto"/>
                <w:sz w:val="24"/>
                <w:highlight w:val="none"/>
                <w:lang w:val="en-US" w:eastAsia="zh-CN"/>
              </w:rPr>
              <w:t>。</w:t>
            </w:r>
          </w:p>
          <w:p w14:paraId="5F92BE51">
            <w:pPr>
              <w:spacing w:line="42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w:t>
            </w:r>
            <w:r>
              <w:rPr>
                <w:rFonts w:hint="eastAsia" w:ascii="仿宋" w:hAnsi="仿宋" w:eastAsia="仿宋" w:cs="仿宋"/>
                <w:color w:val="auto"/>
                <w:kern w:val="0"/>
                <w:sz w:val="24"/>
                <w:szCs w:val="24"/>
                <w:highlight w:val="none"/>
              </w:rPr>
              <w:t>提交设备安装、调试、运行报告</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且收到中标单位正规发票后5</w:t>
            </w:r>
            <w:r>
              <w:rPr>
                <w:rFonts w:hint="eastAsia" w:ascii="仿宋" w:hAnsi="仿宋" w:eastAsia="仿宋" w:cs="仿宋"/>
                <w:color w:val="auto"/>
                <w:sz w:val="24"/>
                <w:highlight w:val="none"/>
              </w:rPr>
              <w:t>个工作日内</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支付</w:t>
            </w:r>
            <w:r>
              <w:rPr>
                <w:rFonts w:hint="eastAsia" w:ascii="仿宋" w:hAnsi="仿宋" w:eastAsia="仿宋" w:cs="仿宋"/>
                <w:color w:val="auto"/>
                <w:sz w:val="24"/>
                <w:highlight w:val="none"/>
                <w:lang w:val="en-US" w:eastAsia="zh-CN"/>
              </w:rPr>
              <w:t>合同总价的20</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p>
          <w:p w14:paraId="18380580">
            <w:pPr>
              <w:spacing w:line="42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3.第一年服务期结束，由中标单位提交规范的服务报告后，且收到中标单位正规发票后5</w:t>
            </w:r>
            <w:r>
              <w:rPr>
                <w:rFonts w:hint="eastAsia" w:ascii="仿宋" w:hAnsi="仿宋" w:eastAsia="仿宋" w:cs="仿宋"/>
                <w:color w:val="auto"/>
                <w:sz w:val="24"/>
                <w:highlight w:val="none"/>
              </w:rPr>
              <w:t>个工作日采购人</w:t>
            </w:r>
            <w:r>
              <w:rPr>
                <w:rFonts w:hint="eastAsia" w:ascii="仿宋" w:hAnsi="仿宋" w:eastAsia="仿宋" w:cs="仿宋"/>
                <w:color w:val="auto"/>
                <w:sz w:val="24"/>
                <w:highlight w:val="none"/>
                <w:lang w:val="en-US" w:eastAsia="zh-CN"/>
              </w:rPr>
              <w:t>支付合同款项的10%。</w:t>
            </w:r>
          </w:p>
          <w:p w14:paraId="67C5929A">
            <w:pPr>
              <w:spacing w:line="42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4.第二年服务期结束，由中标单位提交规范的服务报告后，且收到中标单位正规发票后5</w:t>
            </w:r>
            <w:r>
              <w:rPr>
                <w:rFonts w:hint="eastAsia" w:ascii="仿宋" w:hAnsi="仿宋" w:eastAsia="仿宋" w:cs="仿宋"/>
                <w:color w:val="auto"/>
                <w:sz w:val="24"/>
                <w:highlight w:val="none"/>
              </w:rPr>
              <w:t>个工作日采购人</w:t>
            </w:r>
            <w:r>
              <w:rPr>
                <w:rFonts w:hint="eastAsia" w:ascii="仿宋" w:hAnsi="仿宋" w:eastAsia="仿宋" w:cs="仿宋"/>
                <w:color w:val="auto"/>
                <w:sz w:val="24"/>
                <w:highlight w:val="none"/>
                <w:lang w:val="en-US" w:eastAsia="zh-CN"/>
              </w:rPr>
              <w:t>支付合同款项的10%。</w:t>
            </w:r>
          </w:p>
          <w:p w14:paraId="43CA7C26">
            <w:pPr>
              <w:spacing w:line="420" w:lineRule="exact"/>
              <w:rPr>
                <w:rFonts w:hint="default"/>
                <w:color w:val="auto"/>
                <w:highlight w:val="none"/>
                <w:lang w:val="en-US" w:eastAsia="zh-CN"/>
              </w:rPr>
            </w:pPr>
            <w:r>
              <w:rPr>
                <w:rFonts w:hint="eastAsia" w:ascii="仿宋" w:hAnsi="仿宋" w:eastAsia="仿宋" w:cs="仿宋"/>
                <w:color w:val="auto"/>
                <w:sz w:val="24"/>
                <w:highlight w:val="none"/>
                <w:lang w:val="en-US" w:eastAsia="zh-CN"/>
              </w:rPr>
              <w:t>5.第三年服务期结束，通过最终验收，</w:t>
            </w: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lang w:val="en-US" w:eastAsia="zh-CN"/>
              </w:rPr>
              <w:t>根据考核结果在</w:t>
            </w:r>
            <w:r>
              <w:rPr>
                <w:rFonts w:hint="eastAsia" w:ascii="仿宋" w:hAnsi="仿宋" w:eastAsia="仿宋" w:cs="仿宋"/>
                <w:color w:val="auto"/>
                <w:sz w:val="24"/>
                <w:highlight w:val="none"/>
                <w:lang w:val="en-US" w:eastAsia="zh-CN"/>
              </w:rPr>
              <w:t>收到中标单位正规发票后5</w:t>
            </w:r>
            <w:r>
              <w:rPr>
                <w:rFonts w:hint="eastAsia" w:ascii="仿宋" w:hAnsi="仿宋" w:eastAsia="仿宋" w:cs="仿宋"/>
                <w:color w:val="auto"/>
                <w:sz w:val="24"/>
                <w:highlight w:val="none"/>
              </w:rPr>
              <w:t>个工作日</w:t>
            </w:r>
            <w:r>
              <w:rPr>
                <w:rFonts w:hint="eastAsia" w:ascii="仿宋" w:hAnsi="仿宋" w:eastAsia="仿宋" w:cs="仿宋"/>
                <w:color w:val="auto"/>
                <w:sz w:val="24"/>
                <w:highlight w:val="none"/>
                <w:lang w:val="en-US" w:eastAsia="zh-CN"/>
              </w:rPr>
              <w:t>支付剩余合同款项。</w:t>
            </w:r>
          </w:p>
          <w:p w14:paraId="3209F070">
            <w:pPr>
              <w:spacing w:line="4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注：付款前，中标</w:t>
            </w:r>
            <w:r>
              <w:rPr>
                <w:rFonts w:hint="eastAsia" w:ascii="仿宋" w:hAnsi="仿宋" w:eastAsia="仿宋" w:cs="仿宋"/>
                <w:color w:val="auto"/>
                <w:sz w:val="24"/>
                <w:highlight w:val="none"/>
                <w:lang w:val="en-US" w:eastAsia="zh-CN"/>
              </w:rPr>
              <w:t>单位</w:t>
            </w:r>
            <w:r>
              <w:rPr>
                <w:rFonts w:hint="eastAsia" w:ascii="仿宋" w:hAnsi="仿宋" w:eastAsia="仿宋" w:cs="仿宋"/>
                <w:color w:val="auto"/>
                <w:sz w:val="24"/>
                <w:highlight w:val="none"/>
              </w:rPr>
              <w:t>须提供符合要求的财务发票，否则采购单位有权不予支付，且不承担违约责任，但中标供应商仍须履行本合同。</w:t>
            </w:r>
          </w:p>
          <w:p w14:paraId="2955967C">
            <w:pPr>
              <w:spacing w:line="4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（最终解释权归甲方）</w:t>
            </w:r>
          </w:p>
        </w:tc>
      </w:tr>
      <w:tr w14:paraId="20602EA8">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844" w:type="dxa"/>
            <w:noWrap w:val="0"/>
            <w:vAlign w:val="center"/>
          </w:tcPr>
          <w:p w14:paraId="53483F4D">
            <w:pPr>
              <w:widowControl w:val="0"/>
              <w:spacing w:line="400" w:lineRule="exact"/>
              <w:jc w:val="center"/>
              <w:rPr>
                <w:rFonts w:hint="eastAsia" w:ascii="仿宋" w:hAnsi="仿宋" w:eastAsia="仿宋" w:cs="仿宋"/>
                <w:b/>
                <w:bCs/>
                <w:color w:val="auto"/>
                <w:kern w:val="2"/>
                <w:sz w:val="24"/>
                <w:szCs w:val="24"/>
                <w:highlight w:val="none"/>
                <w:lang w:val="en-US" w:eastAsia="zh-CN" w:bidi="ar-SA"/>
              </w:rPr>
            </w:pPr>
            <w:r>
              <w:rPr>
                <w:rFonts w:ascii="仿宋" w:hAnsi="仿宋" w:eastAsia="仿宋" w:cs="Arial"/>
                <w:b/>
                <w:bCs/>
                <w:color w:val="auto"/>
                <w:sz w:val="24"/>
                <w:szCs w:val="24"/>
                <w:highlight w:val="none"/>
              </w:rPr>
              <w:t>安装</w:t>
            </w:r>
          </w:p>
        </w:tc>
        <w:tc>
          <w:tcPr>
            <w:tcW w:w="7775" w:type="dxa"/>
            <w:noWrap w:val="0"/>
            <w:vAlign w:val="center"/>
          </w:tcPr>
          <w:p w14:paraId="2765C4BC">
            <w:pPr>
              <w:widowControl w:val="0"/>
              <w:spacing w:line="400" w:lineRule="exact"/>
              <w:rPr>
                <w:rFonts w:ascii="仿宋" w:hAnsi="仿宋" w:eastAsia="仿宋"/>
                <w:color w:val="auto"/>
                <w:sz w:val="24"/>
                <w:szCs w:val="24"/>
                <w:highlight w:val="none"/>
                <w:lang w:eastAsia="zh-CN"/>
              </w:rPr>
            </w:pPr>
            <w:r>
              <w:rPr>
                <w:rFonts w:hint="eastAsia" w:ascii="仿宋" w:hAnsi="仿宋" w:eastAsia="仿宋"/>
                <w:color w:val="auto"/>
                <w:sz w:val="24"/>
                <w:szCs w:val="24"/>
                <w:highlight w:val="none"/>
                <w:lang w:eastAsia="zh-CN"/>
              </w:rPr>
              <w:t>1.</w:t>
            </w:r>
            <w:r>
              <w:rPr>
                <w:rFonts w:ascii="仿宋" w:hAnsi="仿宋" w:eastAsia="仿宋"/>
                <w:color w:val="auto"/>
                <w:sz w:val="24"/>
                <w:szCs w:val="24"/>
                <w:highlight w:val="none"/>
                <w:lang w:eastAsia="zh-CN"/>
              </w:rPr>
              <w:t>安装标准：符合国家安全技术标准</w:t>
            </w:r>
            <w:r>
              <w:rPr>
                <w:rFonts w:hint="eastAsia" w:ascii="仿宋" w:hAnsi="仿宋" w:eastAsia="仿宋"/>
                <w:color w:val="auto"/>
                <w:sz w:val="24"/>
                <w:szCs w:val="24"/>
                <w:highlight w:val="none"/>
                <w:lang w:eastAsia="zh-CN"/>
              </w:rPr>
              <w:t>。</w:t>
            </w:r>
          </w:p>
          <w:p w14:paraId="7B910B5A">
            <w:pPr>
              <w:widowControl w:val="0"/>
              <w:spacing w:line="400" w:lineRule="exact"/>
              <w:rPr>
                <w:rFonts w:ascii="仿宋" w:hAnsi="仿宋" w:eastAsia="仿宋"/>
                <w:color w:val="auto"/>
                <w:sz w:val="24"/>
                <w:szCs w:val="24"/>
                <w:highlight w:val="none"/>
                <w:lang w:eastAsia="zh-CN"/>
              </w:rPr>
            </w:pPr>
            <w:r>
              <w:rPr>
                <w:rFonts w:hint="eastAsia" w:ascii="仿宋" w:hAnsi="仿宋" w:eastAsia="仿宋"/>
                <w:color w:val="auto"/>
                <w:sz w:val="24"/>
                <w:szCs w:val="24"/>
                <w:highlight w:val="none"/>
                <w:lang w:eastAsia="zh-CN"/>
              </w:rPr>
              <w:t>2.</w:t>
            </w:r>
            <w:r>
              <w:rPr>
                <w:rFonts w:ascii="仿宋" w:hAnsi="仿宋" w:eastAsia="仿宋"/>
                <w:color w:val="auto"/>
                <w:sz w:val="24"/>
                <w:szCs w:val="24"/>
                <w:highlight w:val="none"/>
                <w:lang w:eastAsia="zh-CN"/>
              </w:rPr>
              <w:t>安装过程中发生的费用由</w:t>
            </w:r>
            <w:r>
              <w:rPr>
                <w:rFonts w:hint="eastAsia" w:ascii="仿宋" w:hAnsi="仿宋" w:eastAsia="仿宋"/>
                <w:color w:val="auto"/>
                <w:sz w:val="24"/>
                <w:szCs w:val="24"/>
                <w:highlight w:val="none"/>
                <w:lang w:val="en-US" w:eastAsia="zh-CN"/>
              </w:rPr>
              <w:t>中标供应商</w:t>
            </w:r>
            <w:r>
              <w:rPr>
                <w:rFonts w:ascii="仿宋" w:hAnsi="仿宋" w:eastAsia="仿宋"/>
                <w:color w:val="auto"/>
                <w:sz w:val="24"/>
                <w:szCs w:val="24"/>
                <w:highlight w:val="none"/>
                <w:lang w:eastAsia="zh-CN"/>
              </w:rPr>
              <w:t>负责。</w:t>
            </w:r>
            <w:r>
              <w:rPr>
                <w:rFonts w:hint="eastAsia" w:ascii="仿宋" w:hAnsi="仿宋" w:eastAsia="仿宋" w:cs="仿宋"/>
                <w:bCs/>
                <w:color w:val="auto"/>
                <w:sz w:val="24"/>
                <w:szCs w:val="24"/>
                <w:highlight w:val="none"/>
                <w:lang w:val="en-US" w:eastAsia="zh-CN"/>
              </w:rPr>
              <w:t>投标人</w:t>
            </w:r>
            <w:r>
              <w:rPr>
                <w:rFonts w:ascii="仿宋" w:hAnsi="仿宋" w:eastAsia="仿宋"/>
                <w:color w:val="auto"/>
                <w:sz w:val="24"/>
                <w:szCs w:val="24"/>
                <w:highlight w:val="none"/>
                <w:lang w:eastAsia="zh-CN"/>
              </w:rPr>
              <w:t>应在《</w:t>
            </w:r>
            <w:r>
              <w:rPr>
                <w:rFonts w:hint="eastAsia" w:ascii="仿宋" w:hAnsi="仿宋" w:eastAsia="仿宋"/>
                <w:color w:val="auto"/>
                <w:sz w:val="24"/>
                <w:szCs w:val="24"/>
                <w:highlight w:val="none"/>
                <w:lang w:eastAsia="zh-CN"/>
              </w:rPr>
              <w:t>商务技术</w:t>
            </w:r>
            <w:r>
              <w:rPr>
                <w:rFonts w:ascii="仿宋" w:hAnsi="仿宋" w:eastAsia="仿宋"/>
                <w:color w:val="auto"/>
                <w:sz w:val="24"/>
                <w:szCs w:val="24"/>
                <w:highlight w:val="none"/>
                <w:lang w:eastAsia="zh-CN"/>
              </w:rPr>
              <w:t>文件》中提供其安装调试计划和对安装场地和环境的要求。</w:t>
            </w:r>
          </w:p>
          <w:p w14:paraId="36235E24">
            <w:pPr>
              <w:widowControl w:val="0"/>
              <w:spacing w:line="400" w:lineRule="exact"/>
              <w:rPr>
                <w:rFonts w:hint="eastAsia" w:eastAsia="仿宋"/>
                <w:color w:val="auto"/>
                <w:kern w:val="2"/>
                <w:sz w:val="24"/>
                <w:szCs w:val="24"/>
                <w:highlight w:val="none"/>
                <w:lang w:val="en-US" w:eastAsia="zh-CN" w:bidi="ar-SA"/>
              </w:rPr>
            </w:pPr>
            <w:r>
              <w:rPr>
                <w:rFonts w:hint="eastAsia" w:ascii="仿宋" w:hAnsi="仿宋" w:eastAsia="仿宋"/>
                <w:color w:val="auto"/>
                <w:sz w:val="24"/>
                <w:szCs w:val="24"/>
                <w:highlight w:val="none"/>
                <w:lang w:eastAsia="zh-CN"/>
              </w:rPr>
              <w:t>3.</w:t>
            </w:r>
            <w:r>
              <w:rPr>
                <w:rFonts w:ascii="仿宋" w:hAnsi="仿宋" w:eastAsia="仿宋"/>
                <w:color w:val="auto"/>
                <w:sz w:val="24"/>
                <w:szCs w:val="24"/>
                <w:highlight w:val="none"/>
                <w:lang w:eastAsia="zh-CN"/>
              </w:rPr>
              <w:t>本项目所有货物的安装涉及的所有工作及配件辅材均由</w:t>
            </w:r>
            <w:r>
              <w:rPr>
                <w:rFonts w:hint="eastAsia" w:ascii="仿宋" w:hAnsi="仿宋" w:eastAsia="仿宋"/>
                <w:color w:val="auto"/>
                <w:sz w:val="24"/>
                <w:szCs w:val="24"/>
                <w:highlight w:val="none"/>
                <w:lang w:val="en-US" w:eastAsia="zh-CN"/>
              </w:rPr>
              <w:t>中标供应商</w:t>
            </w:r>
            <w:r>
              <w:rPr>
                <w:rFonts w:ascii="仿宋" w:hAnsi="仿宋" w:eastAsia="仿宋"/>
                <w:color w:val="auto"/>
                <w:sz w:val="24"/>
                <w:szCs w:val="24"/>
                <w:highlight w:val="none"/>
                <w:lang w:eastAsia="zh-CN"/>
              </w:rPr>
              <w:t>负责，费用计入投标总价。</w:t>
            </w:r>
          </w:p>
        </w:tc>
      </w:tr>
      <w:tr w14:paraId="45374BB5">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844" w:type="dxa"/>
            <w:noWrap w:val="0"/>
            <w:vAlign w:val="center"/>
          </w:tcPr>
          <w:p w14:paraId="670F37EC">
            <w:pPr>
              <w:widowControl w:val="0"/>
              <w:spacing w:line="400" w:lineRule="exact"/>
              <w:jc w:val="center"/>
              <w:rPr>
                <w:rFonts w:hint="eastAsia" w:ascii="仿宋" w:hAnsi="仿宋" w:eastAsia="仿宋" w:cs="仿宋"/>
                <w:b/>
                <w:bCs/>
                <w:color w:val="auto"/>
                <w:kern w:val="2"/>
                <w:sz w:val="24"/>
                <w:szCs w:val="24"/>
                <w:highlight w:val="none"/>
                <w:lang w:val="en-US" w:eastAsia="zh-CN" w:bidi="ar-SA"/>
              </w:rPr>
            </w:pPr>
            <w:r>
              <w:rPr>
                <w:rFonts w:ascii="仿宋" w:hAnsi="仿宋" w:eastAsia="仿宋" w:cs="Arial"/>
                <w:b/>
                <w:bCs/>
                <w:color w:val="auto"/>
                <w:sz w:val="24"/>
                <w:szCs w:val="24"/>
                <w:highlight w:val="none"/>
              </w:rPr>
              <w:t>培训</w:t>
            </w:r>
          </w:p>
        </w:tc>
        <w:tc>
          <w:tcPr>
            <w:tcW w:w="7775" w:type="dxa"/>
            <w:noWrap w:val="0"/>
            <w:vAlign w:val="center"/>
          </w:tcPr>
          <w:p w14:paraId="62EB6B30">
            <w:pPr>
              <w:widowControl w:val="0"/>
              <w:spacing w:line="40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b w:val="0"/>
                <w:bCs/>
                <w:color w:val="auto"/>
                <w:sz w:val="24"/>
                <w:szCs w:val="24"/>
                <w:highlight w:val="none"/>
                <w:lang w:eastAsia="zh-CN"/>
              </w:rPr>
              <w:t>按照项目要求提供详细的培训方案，培训方案（设备端、软件端等）包括培训计划、培训内容及培训管理措施等。</w:t>
            </w:r>
          </w:p>
        </w:tc>
      </w:tr>
      <w:tr w14:paraId="19DB136A">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844" w:type="dxa"/>
            <w:noWrap w:val="0"/>
            <w:vAlign w:val="center"/>
          </w:tcPr>
          <w:p w14:paraId="2F5B1F38">
            <w:pPr>
              <w:widowControl w:val="0"/>
              <w:spacing w:before="240" w:beforeLines="100" w:after="240" w:afterLines="100" w:line="360" w:lineRule="exact"/>
              <w:jc w:val="center"/>
              <w:rPr>
                <w:rFonts w:ascii="仿宋" w:hAnsi="仿宋" w:eastAsia="仿宋" w:cs="Arial"/>
                <w:b/>
                <w:bCs/>
                <w:color w:val="auto"/>
                <w:sz w:val="24"/>
                <w:szCs w:val="24"/>
                <w:highlight w:val="none"/>
              </w:rPr>
            </w:pPr>
            <w:r>
              <w:rPr>
                <w:rFonts w:hint="eastAsia" w:ascii="仿宋" w:hAnsi="仿宋" w:eastAsia="仿宋" w:cs="仿宋"/>
                <w:b/>
                <w:bCs/>
                <w:color w:val="auto"/>
                <w:sz w:val="24"/>
                <w:szCs w:val="24"/>
                <w:highlight w:val="none"/>
                <w:lang w:eastAsia="zh-CN"/>
              </w:rPr>
              <w:t>保密及廉政要求</w:t>
            </w:r>
          </w:p>
        </w:tc>
        <w:tc>
          <w:tcPr>
            <w:tcW w:w="7775" w:type="dxa"/>
            <w:noWrap w:val="0"/>
            <w:vAlign w:val="center"/>
          </w:tcPr>
          <w:p w14:paraId="07CFDD3B">
            <w:pPr>
              <w:widowControl w:val="0"/>
              <w:spacing w:before="120" w:beforeLines="50" w:after="120" w:afterLines="50" w:line="360" w:lineRule="exact"/>
              <w:rPr>
                <w:rFonts w:hint="eastAsia" w:ascii="仿宋" w:hAnsi="仿宋" w:eastAsia="仿宋" w:cs="仿宋"/>
                <w:bCs/>
                <w:color w:val="auto"/>
                <w:sz w:val="24"/>
                <w:szCs w:val="24"/>
                <w:highlight w:val="none"/>
                <w:lang w:eastAsia="zh-CN"/>
              </w:rPr>
            </w:pPr>
            <w:r>
              <w:rPr>
                <w:rFonts w:hint="eastAsia" w:ascii="仿宋" w:hAnsi="仿宋" w:eastAsia="仿宋" w:cs="仿宋"/>
                <w:color w:val="auto"/>
                <w:sz w:val="24"/>
                <w:szCs w:val="24"/>
                <w:highlight w:val="none"/>
                <w:lang w:val="en-US" w:eastAsia="zh-CN"/>
              </w:rPr>
              <w:t>中标供应商</w:t>
            </w:r>
            <w:r>
              <w:rPr>
                <w:rFonts w:hint="eastAsia" w:ascii="仿宋" w:hAnsi="仿宋" w:eastAsia="仿宋" w:cs="仿宋"/>
                <w:color w:val="auto"/>
                <w:sz w:val="24"/>
                <w:szCs w:val="24"/>
                <w:highlight w:val="none"/>
                <w:lang w:eastAsia="zh-CN"/>
              </w:rPr>
              <w:t>在项目实施过程中按照国家保密法律法规以及甲方的要求,做好有关保密工作。应保证项目实施过程中的有关信息、文件等对第三方保密，非经甲方同意，不得公开或向第三方提供</w:t>
            </w:r>
            <w:r>
              <w:rPr>
                <w:rFonts w:hint="eastAsia" w:ascii="仿宋" w:hAnsi="仿宋" w:eastAsia="仿宋" w:cs="仿宋"/>
                <w:bCs/>
                <w:color w:val="auto"/>
                <w:sz w:val="24"/>
                <w:szCs w:val="24"/>
                <w:highlight w:val="none"/>
                <w:lang w:eastAsia="zh-CN"/>
              </w:rPr>
              <w:t>。</w:t>
            </w:r>
          </w:p>
          <w:p w14:paraId="49D5CAC8">
            <w:pPr>
              <w:widowControl w:val="0"/>
              <w:spacing w:before="120" w:beforeLines="50" w:after="120" w:afterLines="50" w:line="360" w:lineRule="exact"/>
              <w:rPr>
                <w:rFonts w:hint="eastAsia" w:ascii="仿宋" w:hAnsi="仿宋" w:eastAsia="仿宋"/>
                <w:b/>
                <w:color w:val="auto"/>
                <w:sz w:val="24"/>
                <w:szCs w:val="24"/>
                <w:highlight w:val="none"/>
                <w:lang w:eastAsia="zh-CN"/>
              </w:rPr>
            </w:pPr>
            <w:r>
              <w:rPr>
                <w:rFonts w:hint="eastAsia" w:ascii="仿宋" w:hAnsi="仿宋" w:eastAsia="仿宋" w:cs="仿宋"/>
                <w:bCs/>
                <w:color w:val="auto"/>
                <w:sz w:val="24"/>
                <w:szCs w:val="24"/>
                <w:highlight w:val="none"/>
                <w:lang w:eastAsia="zh-CN"/>
              </w:rPr>
              <w:t>合同乙方与合同甲方相关人员保持正常业务关系，按照有关法律法规和程序规定开展业务，严格执行项目廉政管理规定，不得以任何方式向采购单位相关人员行贿、给予不当利益，并签订廉政承诺书。</w:t>
            </w:r>
            <w:r>
              <w:rPr>
                <w:rFonts w:hint="eastAsia" w:ascii="仿宋" w:hAnsi="仿宋" w:eastAsia="仿宋" w:cs="仿宋"/>
                <w:bCs/>
                <w:color w:val="auto"/>
                <w:sz w:val="24"/>
                <w:szCs w:val="24"/>
                <w:highlight w:val="none"/>
              </w:rPr>
              <w:t>廉政承诺书将作为服务合同的附件。</w:t>
            </w:r>
          </w:p>
        </w:tc>
      </w:tr>
      <w:tr w14:paraId="419B4BD2">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844" w:type="dxa"/>
            <w:noWrap w:val="0"/>
            <w:vAlign w:val="center"/>
          </w:tcPr>
          <w:p w14:paraId="317FA21D">
            <w:pPr>
              <w:widowControl w:val="0"/>
              <w:spacing w:before="240" w:beforeLines="100" w:after="240" w:afterLines="100" w:line="360" w:lineRule="exact"/>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技术文档要求</w:t>
            </w:r>
          </w:p>
        </w:tc>
        <w:tc>
          <w:tcPr>
            <w:tcW w:w="7775" w:type="dxa"/>
            <w:noWrap w:val="0"/>
            <w:vAlign w:val="center"/>
          </w:tcPr>
          <w:p w14:paraId="0A1DF2C4">
            <w:pPr>
              <w:widowControl w:val="0"/>
              <w:spacing w:before="120" w:beforeLines="50" w:after="120" w:afterLines="50" w:line="360" w:lineRule="exac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对建设过程管理和成果产物的要求：</w:t>
            </w:r>
          </w:p>
          <w:p w14:paraId="13F4C7D9">
            <w:pPr>
              <w:widowControl w:val="0"/>
              <w:spacing w:before="120" w:beforeLines="50" w:after="120" w:afterLines="50" w:line="360" w:lineRule="exac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文档的提交应覆盖以下内容，电子文档是成果不可分割的部分。要求如下文档：</w:t>
            </w:r>
          </w:p>
          <w:p w14:paraId="375D115E">
            <w:pPr>
              <w:widowControl w:val="0"/>
              <w:spacing w:before="120" w:beforeLines="50" w:after="120" w:afterLines="50" w:line="360" w:lineRule="exac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●过程性文档</w:t>
            </w:r>
          </w:p>
          <w:p w14:paraId="5838394E">
            <w:pPr>
              <w:widowControl w:val="0"/>
              <w:tabs>
                <w:tab w:val="left" w:pos="4620"/>
              </w:tabs>
              <w:spacing w:before="120" w:beforeLines="50" w:after="120" w:afterLines="50" w:line="360" w:lineRule="exac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项目实施过程中产生的流程性文档，不限于如：现场勘察记录、需求调研记录及分析、实施方案报审单、每个季度提交所有治理设施运行情况报告、项目总结报告等。</w:t>
            </w:r>
          </w:p>
          <w:p w14:paraId="1CC3143F">
            <w:pPr>
              <w:widowControl w:val="0"/>
              <w:spacing w:before="120" w:beforeLines="50" w:after="120" w:afterLines="50" w:line="360" w:lineRule="exac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●成果性文档</w:t>
            </w:r>
          </w:p>
          <w:p w14:paraId="63EA4265">
            <w:pPr>
              <w:widowControl w:val="0"/>
              <w:spacing w:before="120" w:beforeLines="50" w:after="120" w:afterLines="50" w:line="360" w:lineRule="exac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项目实施过程中产生的成果性文档，不限于如：项目实施方案、安装、调试、运行报告，用户手册、运维管理维护手册等等。</w:t>
            </w:r>
          </w:p>
          <w:p w14:paraId="37427BE4">
            <w:pPr>
              <w:widowControl w:val="0"/>
              <w:spacing w:before="120" w:beforeLines="50" w:after="120" w:afterLines="50" w:line="36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●其他需要提交的材料。</w:t>
            </w:r>
          </w:p>
          <w:p w14:paraId="4626B42A">
            <w:pPr>
              <w:widowControl w:val="0"/>
              <w:spacing w:before="120" w:beforeLines="50" w:after="120" w:afterLines="50" w:line="360" w:lineRule="exac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以上仅供参考，中标方在项目过程中应按照用户单位要求提供相应文档资料</w:t>
            </w:r>
          </w:p>
        </w:tc>
      </w:tr>
      <w:tr w14:paraId="11003E6C">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844" w:type="dxa"/>
            <w:noWrap w:val="0"/>
            <w:vAlign w:val="center"/>
          </w:tcPr>
          <w:p w14:paraId="329932D4">
            <w:pPr>
              <w:spacing w:line="36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履约验收</w:t>
            </w:r>
          </w:p>
        </w:tc>
        <w:tc>
          <w:tcPr>
            <w:tcW w:w="7775" w:type="dxa"/>
            <w:noWrap w:val="0"/>
            <w:vAlign w:val="center"/>
          </w:tcPr>
          <w:p w14:paraId="0CA0E704">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1、本合同验收由采购人组织实施，中标人应派专业的技术人员协助进行验收。</w:t>
            </w:r>
          </w:p>
          <w:p w14:paraId="7CFEFC34">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2、▲验收标准：合格（符合采购文件要求、投标承诺以及国家、行业有关技术规范和标准）。</w:t>
            </w:r>
          </w:p>
          <w:p w14:paraId="3608EEB1">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bCs/>
                <w:color w:val="auto"/>
                <w:sz w:val="24"/>
                <w:szCs w:val="24"/>
                <w:highlight w:val="none"/>
                <w:lang w:eastAsia="zh-CN"/>
              </w:rPr>
              <w:t>3.验收费用根据“杭州市政府采购履约验收暂行办法”第二十条规定，首次验收过程中产生的，由甲方承担；属于首次验收不合格，重新验收过程中产生的由乙方承担。</w:t>
            </w:r>
          </w:p>
        </w:tc>
      </w:tr>
    </w:tbl>
    <w:p w14:paraId="460B2E51">
      <w:pPr>
        <w:rPr>
          <w:color w:val="auto"/>
          <w:highlight w:val="none"/>
        </w:rPr>
      </w:pPr>
    </w:p>
    <w:p w14:paraId="316C8A11">
      <w:pPr>
        <w:pStyle w:val="2"/>
        <w:rPr>
          <w:color w:val="auto"/>
          <w:highlight w:val="none"/>
        </w:rPr>
      </w:pPr>
    </w:p>
    <w:p w14:paraId="4204BFFF">
      <w:pPr>
        <w:spacing w:line="240" w:lineRule="auto"/>
        <w:jc w:val="left"/>
        <w:outlineLvl w:val="9"/>
        <w:rPr>
          <w:rFonts w:hint="eastAsia" w:ascii="仿宋" w:hAnsi="仿宋" w:eastAsia="仿宋" w:cs="宋体"/>
          <w:b/>
          <w:color w:val="auto"/>
          <w:sz w:val="36"/>
          <w:szCs w:val="36"/>
          <w:highlight w:val="none"/>
        </w:rPr>
      </w:pPr>
      <w:bookmarkStart w:id="39" w:name="_Toc18364"/>
      <w:r>
        <w:rPr>
          <w:rFonts w:hint="eastAsia" w:ascii="仿宋" w:hAnsi="仿宋" w:eastAsia="仿宋" w:cs="宋体"/>
          <w:b/>
          <w:color w:val="auto"/>
          <w:sz w:val="36"/>
          <w:szCs w:val="36"/>
          <w:highlight w:val="none"/>
        </w:rPr>
        <w:br w:type="page"/>
      </w:r>
    </w:p>
    <w:p w14:paraId="42908B0A">
      <w:pPr>
        <w:spacing w:line="360" w:lineRule="auto"/>
        <w:jc w:val="center"/>
        <w:outlineLvl w:val="0"/>
        <w:rPr>
          <w:rFonts w:ascii="仿宋" w:hAnsi="仿宋" w:eastAsia="仿宋" w:cs="宋体"/>
          <w:b/>
          <w:color w:val="auto"/>
          <w:sz w:val="36"/>
          <w:szCs w:val="36"/>
          <w:highlight w:val="none"/>
        </w:rPr>
      </w:pPr>
      <w:bookmarkStart w:id="40" w:name="_Toc30127"/>
      <w:r>
        <w:rPr>
          <w:rFonts w:hint="eastAsia" w:ascii="仿宋" w:hAnsi="仿宋" w:eastAsia="仿宋" w:cs="宋体"/>
          <w:b/>
          <w:color w:val="auto"/>
          <w:sz w:val="36"/>
          <w:szCs w:val="36"/>
          <w:highlight w:val="none"/>
        </w:rPr>
        <w:t xml:space="preserve">第四部分 </w:t>
      </w:r>
      <w:bookmarkStart w:id="41" w:name="_Toc184310306"/>
      <w:bookmarkEnd w:id="41"/>
      <w:bookmarkStart w:id="42" w:name="_Toc184312101"/>
      <w:bookmarkEnd w:id="42"/>
      <w:bookmarkStart w:id="43" w:name="_Toc184308044"/>
      <w:bookmarkEnd w:id="43"/>
      <w:bookmarkStart w:id="44" w:name="_Toc184308039"/>
      <w:bookmarkEnd w:id="44"/>
      <w:bookmarkStart w:id="45" w:name="_Toc184308105"/>
      <w:bookmarkEnd w:id="45"/>
      <w:bookmarkStart w:id="46" w:name="_Toc184314420"/>
      <w:bookmarkEnd w:id="46"/>
      <w:bookmarkStart w:id="47" w:name="_Toc184313260"/>
      <w:bookmarkEnd w:id="47"/>
      <w:bookmarkStart w:id="48" w:name="_Toc184312115"/>
      <w:bookmarkEnd w:id="48"/>
      <w:bookmarkStart w:id="49" w:name="_Toc184313303"/>
      <w:bookmarkEnd w:id="49"/>
      <w:bookmarkStart w:id="50" w:name="_Toc184310324"/>
      <w:bookmarkEnd w:id="50"/>
      <w:bookmarkStart w:id="51" w:name="_Toc184310292"/>
      <w:bookmarkEnd w:id="51"/>
      <w:bookmarkStart w:id="52" w:name="_Toc184314427"/>
      <w:bookmarkEnd w:id="52"/>
      <w:bookmarkStart w:id="53" w:name="_Toc184312091"/>
      <w:bookmarkEnd w:id="53"/>
      <w:bookmarkStart w:id="54" w:name="_Toc184312089"/>
      <w:bookmarkEnd w:id="54"/>
      <w:bookmarkStart w:id="55" w:name="_Toc184308073"/>
      <w:bookmarkEnd w:id="55"/>
      <w:bookmarkStart w:id="56" w:name="_Toc184313257"/>
      <w:bookmarkEnd w:id="56"/>
      <w:bookmarkStart w:id="57" w:name="_Toc184313254"/>
      <w:bookmarkEnd w:id="57"/>
      <w:bookmarkStart w:id="58" w:name="_Toc184310299"/>
      <w:bookmarkEnd w:id="58"/>
      <w:bookmarkStart w:id="59" w:name="_Toc184308085"/>
      <w:bookmarkEnd w:id="59"/>
      <w:bookmarkStart w:id="60" w:name="_Toc184312088"/>
      <w:bookmarkEnd w:id="60"/>
      <w:bookmarkStart w:id="61" w:name="_Toc184310325"/>
      <w:bookmarkEnd w:id="61"/>
      <w:bookmarkStart w:id="62" w:name="_Toc184314440"/>
      <w:bookmarkEnd w:id="62"/>
      <w:bookmarkStart w:id="63" w:name="_Toc184308049"/>
      <w:bookmarkEnd w:id="63"/>
      <w:bookmarkStart w:id="64" w:name="_Toc184314414"/>
      <w:bookmarkEnd w:id="64"/>
      <w:bookmarkStart w:id="65" w:name="_Toc184308045"/>
      <w:bookmarkEnd w:id="65"/>
      <w:bookmarkStart w:id="66" w:name="_Toc184308098"/>
      <w:bookmarkEnd w:id="66"/>
      <w:bookmarkStart w:id="67" w:name="_Toc184308042"/>
      <w:bookmarkEnd w:id="67"/>
      <w:bookmarkStart w:id="68" w:name="_Toc184314434"/>
      <w:bookmarkEnd w:id="68"/>
      <w:bookmarkStart w:id="69" w:name="_Toc184310297"/>
      <w:bookmarkEnd w:id="69"/>
      <w:bookmarkStart w:id="70" w:name="_Toc184313276"/>
      <w:bookmarkEnd w:id="70"/>
      <w:bookmarkStart w:id="71" w:name="_Toc184312083"/>
      <w:bookmarkEnd w:id="71"/>
      <w:bookmarkStart w:id="72" w:name="_Toc184312132"/>
      <w:bookmarkEnd w:id="72"/>
      <w:bookmarkStart w:id="73" w:name="_Toc184312110"/>
      <w:bookmarkEnd w:id="73"/>
      <w:bookmarkStart w:id="74" w:name="_Toc184312111"/>
      <w:bookmarkEnd w:id="74"/>
      <w:bookmarkStart w:id="75" w:name="_Toc184310317"/>
      <w:bookmarkEnd w:id="75"/>
      <w:bookmarkStart w:id="76" w:name="_Toc184308066"/>
      <w:bookmarkEnd w:id="76"/>
      <w:bookmarkStart w:id="77" w:name="_Toc184313304"/>
      <w:bookmarkEnd w:id="77"/>
      <w:bookmarkStart w:id="78" w:name="_Toc184313263"/>
      <w:bookmarkEnd w:id="78"/>
      <w:bookmarkStart w:id="79" w:name="_Toc184308095"/>
      <w:bookmarkEnd w:id="79"/>
      <w:bookmarkStart w:id="80" w:name="_Toc184312133"/>
      <w:bookmarkEnd w:id="80"/>
      <w:bookmarkStart w:id="81" w:name="_Toc184314426"/>
      <w:bookmarkEnd w:id="81"/>
      <w:bookmarkStart w:id="82" w:name="_Toc184313296"/>
      <w:bookmarkEnd w:id="82"/>
      <w:bookmarkStart w:id="83" w:name="_Toc184308037"/>
      <w:bookmarkEnd w:id="83"/>
      <w:bookmarkStart w:id="84" w:name="_Toc184313262"/>
      <w:bookmarkEnd w:id="84"/>
      <w:bookmarkStart w:id="85" w:name="_Toc184314447"/>
      <w:bookmarkEnd w:id="85"/>
      <w:bookmarkStart w:id="86" w:name="_Toc184313281"/>
      <w:bookmarkEnd w:id="86"/>
      <w:bookmarkStart w:id="87" w:name="_Toc184313286"/>
      <w:bookmarkEnd w:id="87"/>
      <w:bookmarkStart w:id="88" w:name="_Toc184314424"/>
      <w:bookmarkEnd w:id="88"/>
      <w:bookmarkStart w:id="89" w:name="_Toc184313265"/>
      <w:bookmarkEnd w:id="89"/>
      <w:bookmarkStart w:id="90" w:name="_Toc184314465"/>
      <w:bookmarkEnd w:id="90"/>
      <w:bookmarkStart w:id="91" w:name="_Toc184313282"/>
      <w:bookmarkEnd w:id="91"/>
      <w:bookmarkStart w:id="92" w:name="_Toc184313275"/>
      <w:bookmarkEnd w:id="92"/>
      <w:bookmarkStart w:id="93" w:name="_Toc184314462"/>
      <w:bookmarkEnd w:id="93"/>
      <w:bookmarkStart w:id="94" w:name="_Toc184308097"/>
      <w:bookmarkEnd w:id="94"/>
      <w:bookmarkStart w:id="95" w:name="_Toc184312109"/>
      <w:bookmarkEnd w:id="95"/>
      <w:bookmarkStart w:id="96" w:name="_Toc184313285"/>
      <w:bookmarkEnd w:id="96"/>
      <w:bookmarkStart w:id="97" w:name="_Toc184313267"/>
      <w:bookmarkEnd w:id="97"/>
      <w:bookmarkStart w:id="98" w:name="_Toc184313310"/>
      <w:bookmarkEnd w:id="98"/>
      <w:bookmarkStart w:id="99" w:name="_Toc184308070"/>
      <w:bookmarkEnd w:id="99"/>
      <w:bookmarkStart w:id="100" w:name="_Toc184313307"/>
      <w:bookmarkEnd w:id="100"/>
      <w:bookmarkStart w:id="101" w:name="_Toc184312084"/>
      <w:bookmarkEnd w:id="101"/>
      <w:bookmarkStart w:id="102" w:name="_Toc184308067"/>
      <w:bookmarkEnd w:id="102"/>
      <w:bookmarkStart w:id="103" w:name="_Toc184312096"/>
      <w:bookmarkEnd w:id="103"/>
      <w:bookmarkStart w:id="104" w:name="_Toc184314435"/>
      <w:bookmarkEnd w:id="104"/>
      <w:bookmarkStart w:id="105" w:name="_Toc184310310"/>
      <w:bookmarkEnd w:id="105"/>
      <w:bookmarkStart w:id="106" w:name="_Toc184314453"/>
      <w:bookmarkEnd w:id="106"/>
      <w:bookmarkStart w:id="107" w:name="_Toc184310308"/>
      <w:bookmarkEnd w:id="107"/>
      <w:bookmarkStart w:id="108" w:name="_Toc184314450"/>
      <w:bookmarkEnd w:id="108"/>
      <w:bookmarkStart w:id="109" w:name="_Toc184314469"/>
      <w:bookmarkEnd w:id="109"/>
      <w:bookmarkStart w:id="110" w:name="_Toc184310272"/>
      <w:bookmarkEnd w:id="110"/>
      <w:bookmarkStart w:id="111" w:name="_Toc184312076"/>
      <w:bookmarkEnd w:id="111"/>
      <w:bookmarkStart w:id="112" w:name="_Toc184314438"/>
      <w:bookmarkEnd w:id="112"/>
      <w:bookmarkStart w:id="113" w:name="_Toc184314430"/>
      <w:bookmarkEnd w:id="113"/>
      <w:bookmarkStart w:id="114" w:name="_Toc184310298"/>
      <w:bookmarkEnd w:id="114"/>
      <w:bookmarkStart w:id="115" w:name="_Toc184312087"/>
      <w:bookmarkEnd w:id="115"/>
      <w:bookmarkStart w:id="116" w:name="_Toc184312112"/>
      <w:bookmarkEnd w:id="116"/>
      <w:bookmarkStart w:id="117" w:name="_Toc184313292"/>
      <w:bookmarkEnd w:id="117"/>
      <w:bookmarkStart w:id="118" w:name="_Toc184313299"/>
      <w:bookmarkEnd w:id="118"/>
      <w:bookmarkStart w:id="119" w:name="_Toc184312067"/>
      <w:bookmarkEnd w:id="119"/>
      <w:bookmarkStart w:id="120" w:name="_Toc184313240"/>
      <w:bookmarkEnd w:id="120"/>
      <w:bookmarkStart w:id="121" w:name="_Toc184314418"/>
      <w:bookmarkEnd w:id="121"/>
      <w:bookmarkStart w:id="122" w:name="_Toc184314448"/>
      <w:bookmarkEnd w:id="122"/>
      <w:bookmarkStart w:id="123" w:name="_Toc184314478"/>
      <w:bookmarkEnd w:id="123"/>
      <w:bookmarkStart w:id="124" w:name="_Toc184310326"/>
      <w:bookmarkEnd w:id="124"/>
      <w:bookmarkStart w:id="125" w:name="_Toc184312086"/>
      <w:bookmarkEnd w:id="125"/>
      <w:bookmarkStart w:id="126" w:name="_Toc184312113"/>
      <w:bookmarkEnd w:id="126"/>
      <w:bookmarkStart w:id="127" w:name="_Toc184313244"/>
      <w:bookmarkEnd w:id="127"/>
      <w:bookmarkStart w:id="128" w:name="_Toc184310314"/>
      <w:bookmarkEnd w:id="128"/>
      <w:bookmarkStart w:id="129" w:name="_Toc184308058"/>
      <w:bookmarkEnd w:id="129"/>
      <w:bookmarkStart w:id="130" w:name="_Toc184314441"/>
      <w:bookmarkEnd w:id="130"/>
      <w:bookmarkStart w:id="131" w:name="_Toc184313293"/>
      <w:bookmarkEnd w:id="131"/>
      <w:bookmarkStart w:id="132" w:name="_Toc184310280"/>
      <w:bookmarkEnd w:id="132"/>
      <w:bookmarkStart w:id="133" w:name="_Toc184314428"/>
      <w:bookmarkEnd w:id="133"/>
      <w:bookmarkStart w:id="134" w:name="_Toc184314444"/>
      <w:bookmarkEnd w:id="134"/>
      <w:bookmarkStart w:id="135" w:name="_Toc184308038"/>
      <w:bookmarkEnd w:id="135"/>
      <w:bookmarkStart w:id="136" w:name="_Toc184308108"/>
      <w:bookmarkEnd w:id="136"/>
      <w:bookmarkStart w:id="137" w:name="_Toc184308099"/>
      <w:bookmarkEnd w:id="137"/>
      <w:bookmarkStart w:id="138" w:name="_Toc184313242"/>
      <w:bookmarkEnd w:id="138"/>
      <w:bookmarkStart w:id="139" w:name="_Toc184308050"/>
      <w:bookmarkEnd w:id="139"/>
      <w:bookmarkStart w:id="140" w:name="_Toc184308054"/>
      <w:bookmarkEnd w:id="140"/>
      <w:bookmarkStart w:id="141" w:name="_Toc184312125"/>
      <w:bookmarkEnd w:id="141"/>
      <w:bookmarkStart w:id="142" w:name="_Toc184313283"/>
      <w:bookmarkEnd w:id="142"/>
      <w:bookmarkStart w:id="143" w:name="_Toc184312131"/>
      <w:bookmarkEnd w:id="143"/>
      <w:bookmarkStart w:id="144" w:name="_Toc184308040"/>
      <w:bookmarkEnd w:id="144"/>
      <w:bookmarkStart w:id="145" w:name="_Toc184308072"/>
      <w:bookmarkEnd w:id="145"/>
      <w:bookmarkStart w:id="146" w:name="_Toc184310302"/>
      <w:bookmarkEnd w:id="146"/>
      <w:bookmarkStart w:id="147" w:name="_Toc184312135"/>
      <w:bookmarkEnd w:id="147"/>
      <w:bookmarkStart w:id="148" w:name="_Toc184310316"/>
      <w:bookmarkEnd w:id="148"/>
      <w:bookmarkStart w:id="149" w:name="_Toc184314472"/>
      <w:bookmarkEnd w:id="149"/>
      <w:bookmarkStart w:id="150" w:name="_Toc184312139"/>
      <w:bookmarkEnd w:id="150"/>
      <w:bookmarkStart w:id="151" w:name="_Toc184312129"/>
      <w:bookmarkEnd w:id="151"/>
      <w:bookmarkStart w:id="152" w:name="_Toc184312120"/>
      <w:bookmarkEnd w:id="152"/>
      <w:bookmarkStart w:id="153" w:name="_Toc184314445"/>
      <w:bookmarkEnd w:id="153"/>
      <w:bookmarkStart w:id="154" w:name="_Toc184310287"/>
      <w:bookmarkEnd w:id="154"/>
      <w:bookmarkStart w:id="155" w:name="_Toc184312104"/>
      <w:bookmarkEnd w:id="155"/>
      <w:bookmarkStart w:id="156" w:name="_Toc184308107"/>
      <w:bookmarkEnd w:id="156"/>
      <w:bookmarkStart w:id="157" w:name="_Toc184314431"/>
      <w:bookmarkEnd w:id="157"/>
      <w:bookmarkStart w:id="158" w:name="_Toc184308102"/>
      <w:bookmarkEnd w:id="158"/>
      <w:bookmarkStart w:id="159" w:name="_Toc184308068"/>
      <w:bookmarkEnd w:id="159"/>
      <w:bookmarkStart w:id="160" w:name="_Toc184310320"/>
      <w:bookmarkEnd w:id="160"/>
      <w:bookmarkStart w:id="161" w:name="_Toc184313250"/>
      <w:bookmarkEnd w:id="161"/>
      <w:bookmarkStart w:id="162" w:name="_Toc184308057"/>
      <w:bookmarkEnd w:id="162"/>
      <w:bookmarkStart w:id="163" w:name="_Toc184310338"/>
      <w:bookmarkEnd w:id="163"/>
      <w:bookmarkStart w:id="164" w:name="_Toc184313279"/>
      <w:bookmarkEnd w:id="164"/>
      <w:bookmarkStart w:id="165" w:name="_Toc184308071"/>
      <w:bookmarkEnd w:id="165"/>
      <w:bookmarkStart w:id="166" w:name="_Toc184312085"/>
      <w:bookmarkEnd w:id="166"/>
      <w:bookmarkStart w:id="167" w:name="_Toc184310295"/>
      <w:bookmarkEnd w:id="167"/>
      <w:bookmarkStart w:id="168" w:name="_Toc184310274"/>
      <w:bookmarkEnd w:id="168"/>
      <w:bookmarkStart w:id="169" w:name="_Toc184314467"/>
      <w:bookmarkEnd w:id="169"/>
      <w:bookmarkStart w:id="170" w:name="_Toc184308086"/>
      <w:bookmarkEnd w:id="170"/>
      <w:bookmarkStart w:id="171" w:name="_Toc184313280"/>
      <w:bookmarkEnd w:id="171"/>
      <w:bookmarkStart w:id="172" w:name="_Toc184313259"/>
      <w:bookmarkEnd w:id="172"/>
      <w:bookmarkStart w:id="173" w:name="_Toc184308103"/>
      <w:bookmarkEnd w:id="173"/>
      <w:bookmarkStart w:id="174" w:name="_Toc184312102"/>
      <w:bookmarkEnd w:id="174"/>
      <w:bookmarkStart w:id="175" w:name="_Toc184312069"/>
      <w:bookmarkEnd w:id="175"/>
      <w:bookmarkStart w:id="176" w:name="_Toc184310328"/>
      <w:bookmarkEnd w:id="176"/>
      <w:bookmarkStart w:id="177" w:name="_Toc184308080"/>
      <w:bookmarkEnd w:id="177"/>
      <w:bookmarkStart w:id="178" w:name="_Toc184312075"/>
      <w:bookmarkEnd w:id="178"/>
      <w:bookmarkStart w:id="179" w:name="_Toc184308052"/>
      <w:bookmarkEnd w:id="179"/>
      <w:bookmarkStart w:id="180" w:name="_Toc184310290"/>
      <w:bookmarkEnd w:id="180"/>
      <w:bookmarkStart w:id="181" w:name="_Toc184313248"/>
      <w:bookmarkEnd w:id="181"/>
      <w:bookmarkStart w:id="182" w:name="_Toc184312119"/>
      <w:bookmarkEnd w:id="182"/>
      <w:bookmarkStart w:id="183" w:name="_Toc184314452"/>
      <w:bookmarkEnd w:id="183"/>
      <w:bookmarkStart w:id="184" w:name="_Toc184310342"/>
      <w:bookmarkEnd w:id="184"/>
      <w:bookmarkStart w:id="185" w:name="_Toc184310304"/>
      <w:bookmarkEnd w:id="185"/>
      <w:bookmarkStart w:id="186" w:name="_Toc184313284"/>
      <w:bookmarkEnd w:id="186"/>
      <w:bookmarkStart w:id="187" w:name="_Toc184310319"/>
      <w:bookmarkEnd w:id="187"/>
      <w:bookmarkStart w:id="188" w:name="_Toc184312128"/>
      <w:bookmarkEnd w:id="188"/>
      <w:bookmarkStart w:id="189" w:name="_Toc184314423"/>
      <w:bookmarkEnd w:id="189"/>
      <w:bookmarkStart w:id="190" w:name="_Toc184313249"/>
      <w:bookmarkEnd w:id="190"/>
      <w:bookmarkStart w:id="191" w:name="_Toc184313264"/>
      <w:bookmarkEnd w:id="191"/>
      <w:bookmarkStart w:id="192" w:name="_Toc184313266"/>
      <w:bookmarkEnd w:id="192"/>
      <w:bookmarkStart w:id="193" w:name="_Toc184314456"/>
      <w:bookmarkEnd w:id="193"/>
      <w:bookmarkStart w:id="194" w:name="_Toc184314416"/>
      <w:bookmarkEnd w:id="194"/>
      <w:bookmarkStart w:id="195" w:name="_Toc184314432"/>
      <w:bookmarkEnd w:id="195"/>
      <w:bookmarkStart w:id="196" w:name="_Toc184312077"/>
      <w:bookmarkEnd w:id="196"/>
      <w:bookmarkStart w:id="197" w:name="_Toc184314457"/>
      <w:bookmarkEnd w:id="197"/>
      <w:bookmarkStart w:id="198" w:name="_Toc184312093"/>
      <w:bookmarkEnd w:id="198"/>
      <w:bookmarkStart w:id="199" w:name="_Toc184310315"/>
      <w:bookmarkEnd w:id="199"/>
      <w:bookmarkStart w:id="200" w:name="_Toc184308089"/>
      <w:bookmarkEnd w:id="200"/>
      <w:bookmarkStart w:id="201" w:name="_Toc184314463"/>
      <w:bookmarkEnd w:id="201"/>
      <w:bookmarkStart w:id="202" w:name="_Toc184310293"/>
      <w:bookmarkEnd w:id="202"/>
      <w:bookmarkStart w:id="203" w:name="_Toc184310294"/>
      <w:bookmarkEnd w:id="203"/>
      <w:bookmarkStart w:id="204" w:name="_Toc184313287"/>
      <w:bookmarkEnd w:id="204"/>
      <w:bookmarkStart w:id="205" w:name="_Toc184308090"/>
      <w:bookmarkEnd w:id="205"/>
      <w:bookmarkStart w:id="206" w:name="_Toc184308087"/>
      <w:bookmarkEnd w:id="206"/>
      <w:bookmarkStart w:id="207" w:name="_Toc184308063"/>
      <w:bookmarkEnd w:id="207"/>
      <w:bookmarkStart w:id="208" w:name="_Toc184310309"/>
      <w:bookmarkEnd w:id="208"/>
      <w:bookmarkStart w:id="209" w:name="_Toc184312068"/>
      <w:bookmarkEnd w:id="209"/>
      <w:bookmarkStart w:id="210" w:name="_Toc184314415"/>
      <w:bookmarkEnd w:id="210"/>
      <w:bookmarkStart w:id="211" w:name="_Toc184312079"/>
      <w:bookmarkEnd w:id="211"/>
      <w:bookmarkStart w:id="212" w:name="_Toc184313309"/>
      <w:bookmarkEnd w:id="212"/>
      <w:bookmarkStart w:id="213" w:name="_Toc184312094"/>
      <w:bookmarkEnd w:id="213"/>
      <w:bookmarkStart w:id="214" w:name="_Toc184310284"/>
      <w:bookmarkEnd w:id="214"/>
      <w:bookmarkStart w:id="215" w:name="_Toc184313305"/>
      <w:bookmarkEnd w:id="215"/>
      <w:bookmarkStart w:id="216" w:name="_Toc184314417"/>
      <w:bookmarkEnd w:id="216"/>
      <w:bookmarkStart w:id="217" w:name="_Toc184313302"/>
      <w:bookmarkEnd w:id="217"/>
      <w:bookmarkStart w:id="218" w:name="_Toc184314459"/>
      <w:bookmarkEnd w:id="218"/>
      <w:bookmarkStart w:id="219" w:name="_Toc184313301"/>
      <w:bookmarkEnd w:id="219"/>
      <w:bookmarkStart w:id="220" w:name="_Toc184308062"/>
      <w:bookmarkEnd w:id="220"/>
      <w:bookmarkStart w:id="221" w:name="_Toc184312072"/>
      <w:bookmarkEnd w:id="221"/>
      <w:bookmarkStart w:id="222" w:name="_Toc184313295"/>
      <w:bookmarkEnd w:id="222"/>
      <w:bookmarkStart w:id="223" w:name="_Toc184313298"/>
      <w:bookmarkEnd w:id="223"/>
      <w:bookmarkStart w:id="224" w:name="_Toc184310303"/>
      <w:bookmarkEnd w:id="224"/>
      <w:bookmarkStart w:id="225" w:name="_Toc184308078"/>
      <w:bookmarkEnd w:id="225"/>
      <w:bookmarkStart w:id="226" w:name="_Toc184312105"/>
      <w:bookmarkEnd w:id="226"/>
      <w:bookmarkStart w:id="227" w:name="_Toc184313291"/>
      <w:bookmarkEnd w:id="227"/>
      <w:bookmarkStart w:id="228" w:name="_Toc184312122"/>
      <w:bookmarkEnd w:id="228"/>
      <w:bookmarkStart w:id="229" w:name="_Toc184310289"/>
      <w:bookmarkEnd w:id="229"/>
      <w:bookmarkStart w:id="230" w:name="_Toc184313272"/>
      <w:bookmarkEnd w:id="230"/>
      <w:bookmarkStart w:id="231" w:name="_Toc184313241"/>
      <w:bookmarkEnd w:id="231"/>
      <w:bookmarkStart w:id="232" w:name="_Toc184312100"/>
      <w:bookmarkEnd w:id="232"/>
      <w:bookmarkStart w:id="233" w:name="_Toc184314443"/>
      <w:bookmarkEnd w:id="233"/>
      <w:bookmarkStart w:id="234" w:name="_Toc184310283"/>
      <w:bookmarkEnd w:id="234"/>
      <w:bookmarkStart w:id="235" w:name="_Toc184312070"/>
      <w:bookmarkEnd w:id="235"/>
      <w:bookmarkStart w:id="236" w:name="_Toc184308092"/>
      <w:bookmarkEnd w:id="236"/>
      <w:bookmarkStart w:id="237" w:name="_Toc184313297"/>
      <w:bookmarkEnd w:id="237"/>
      <w:bookmarkStart w:id="238" w:name="_Toc184313255"/>
      <w:bookmarkEnd w:id="238"/>
      <w:bookmarkStart w:id="239" w:name="_Toc184308079"/>
      <w:bookmarkEnd w:id="239"/>
      <w:bookmarkStart w:id="240" w:name="_Toc184313246"/>
      <w:bookmarkEnd w:id="240"/>
      <w:bookmarkStart w:id="241" w:name="_Toc184312130"/>
      <w:bookmarkEnd w:id="241"/>
      <w:bookmarkStart w:id="242" w:name="_Toc184314461"/>
      <w:bookmarkEnd w:id="242"/>
      <w:bookmarkStart w:id="243" w:name="_Toc184308094"/>
      <w:bookmarkEnd w:id="243"/>
      <w:bookmarkStart w:id="244" w:name="_Toc184310305"/>
      <w:bookmarkEnd w:id="244"/>
      <w:bookmarkStart w:id="245" w:name="_Toc184310323"/>
      <w:bookmarkEnd w:id="245"/>
      <w:bookmarkStart w:id="246" w:name="_Toc184312080"/>
      <w:bookmarkEnd w:id="246"/>
      <w:bookmarkStart w:id="247" w:name="_Toc184313290"/>
      <w:bookmarkEnd w:id="247"/>
      <w:bookmarkStart w:id="248" w:name="_Toc184314429"/>
      <w:bookmarkEnd w:id="248"/>
      <w:bookmarkStart w:id="249" w:name="_Toc184310276"/>
      <w:bookmarkEnd w:id="249"/>
      <w:bookmarkStart w:id="250" w:name="_Toc184308104"/>
      <w:bookmarkEnd w:id="250"/>
      <w:bookmarkStart w:id="251" w:name="_Toc184308106"/>
      <w:bookmarkEnd w:id="251"/>
      <w:bookmarkStart w:id="252" w:name="_Toc184312098"/>
      <w:bookmarkEnd w:id="252"/>
      <w:bookmarkStart w:id="253" w:name="_Toc184313269"/>
      <w:bookmarkEnd w:id="253"/>
      <w:bookmarkStart w:id="254" w:name="_Toc184314480"/>
      <w:bookmarkEnd w:id="254"/>
      <w:bookmarkStart w:id="255" w:name="_Toc184312127"/>
      <w:bookmarkEnd w:id="255"/>
      <w:bookmarkStart w:id="256" w:name="_Toc184308069"/>
      <w:bookmarkEnd w:id="256"/>
      <w:bookmarkStart w:id="257" w:name="_Toc184313308"/>
      <w:bookmarkEnd w:id="257"/>
      <w:bookmarkStart w:id="258" w:name="_Toc184310334"/>
      <w:bookmarkEnd w:id="258"/>
      <w:bookmarkStart w:id="259" w:name="_Toc184314413"/>
      <w:bookmarkEnd w:id="259"/>
      <w:bookmarkStart w:id="260" w:name="_Toc184308064"/>
      <w:bookmarkEnd w:id="260"/>
      <w:bookmarkStart w:id="261" w:name="_Toc184308091"/>
      <w:bookmarkEnd w:id="261"/>
      <w:bookmarkStart w:id="262" w:name="_Toc184312074"/>
      <w:bookmarkEnd w:id="262"/>
      <w:bookmarkStart w:id="263" w:name="_Toc184313270"/>
      <w:bookmarkEnd w:id="263"/>
      <w:bookmarkStart w:id="264" w:name="_Toc184308077"/>
      <w:bookmarkEnd w:id="264"/>
      <w:bookmarkStart w:id="265" w:name="_Toc184313251"/>
      <w:bookmarkEnd w:id="265"/>
      <w:bookmarkStart w:id="266" w:name="_Toc184308065"/>
      <w:bookmarkEnd w:id="266"/>
      <w:bookmarkStart w:id="267" w:name="_Toc184308036"/>
      <w:bookmarkEnd w:id="267"/>
      <w:bookmarkStart w:id="268" w:name="_Toc184310279"/>
      <w:bookmarkEnd w:id="268"/>
      <w:bookmarkStart w:id="269" w:name="_Toc184312082"/>
      <w:bookmarkEnd w:id="269"/>
      <w:bookmarkStart w:id="270" w:name="_Toc184314458"/>
      <w:bookmarkEnd w:id="270"/>
      <w:bookmarkStart w:id="271" w:name="_Toc184308082"/>
      <w:bookmarkEnd w:id="271"/>
      <w:bookmarkStart w:id="272" w:name="_Toc184308060"/>
      <w:bookmarkEnd w:id="272"/>
      <w:bookmarkStart w:id="273" w:name="_Toc184314419"/>
      <w:bookmarkEnd w:id="273"/>
      <w:bookmarkStart w:id="274" w:name="_Toc184314482"/>
      <w:bookmarkEnd w:id="274"/>
      <w:bookmarkStart w:id="275" w:name="_Toc184312073"/>
      <w:bookmarkEnd w:id="275"/>
      <w:bookmarkStart w:id="276" w:name="_Toc184312103"/>
      <w:bookmarkEnd w:id="276"/>
      <w:bookmarkStart w:id="277" w:name="_Toc184308041"/>
      <w:bookmarkEnd w:id="277"/>
      <w:bookmarkStart w:id="278" w:name="_Toc184312095"/>
      <w:bookmarkEnd w:id="278"/>
      <w:bookmarkStart w:id="279" w:name="_Toc184308083"/>
      <w:bookmarkEnd w:id="279"/>
      <w:bookmarkStart w:id="280" w:name="_Toc184313273"/>
      <w:bookmarkEnd w:id="280"/>
      <w:bookmarkStart w:id="281" w:name="_Toc184310318"/>
      <w:bookmarkEnd w:id="281"/>
      <w:bookmarkStart w:id="282" w:name="_Toc184314474"/>
      <w:bookmarkEnd w:id="282"/>
      <w:bookmarkStart w:id="283" w:name="_Toc184308081"/>
      <w:bookmarkEnd w:id="283"/>
      <w:bookmarkStart w:id="284" w:name="_Toc184314436"/>
      <w:bookmarkEnd w:id="284"/>
      <w:bookmarkStart w:id="285" w:name="_Toc184314473"/>
      <w:bookmarkEnd w:id="285"/>
      <w:bookmarkStart w:id="286" w:name="_Toc184313253"/>
      <w:bookmarkEnd w:id="286"/>
      <w:bookmarkStart w:id="287" w:name="_Toc184314442"/>
      <w:bookmarkEnd w:id="287"/>
      <w:bookmarkStart w:id="288" w:name="_Toc184308046"/>
      <w:bookmarkEnd w:id="288"/>
      <w:bookmarkStart w:id="289" w:name="_Toc184308096"/>
      <w:bookmarkEnd w:id="289"/>
      <w:bookmarkStart w:id="290" w:name="_Toc184310341"/>
      <w:bookmarkEnd w:id="290"/>
      <w:bookmarkStart w:id="291" w:name="_Toc184310343"/>
      <w:bookmarkEnd w:id="291"/>
      <w:bookmarkStart w:id="292" w:name="_Toc184312116"/>
      <w:bookmarkEnd w:id="292"/>
      <w:bookmarkStart w:id="293" w:name="_Toc184314412"/>
      <w:bookmarkEnd w:id="293"/>
      <w:bookmarkStart w:id="294" w:name="_Toc184313268"/>
      <w:bookmarkEnd w:id="294"/>
      <w:bookmarkStart w:id="295" w:name="_Toc184310278"/>
      <w:bookmarkEnd w:id="295"/>
      <w:bookmarkStart w:id="296" w:name="_Toc184310312"/>
      <w:bookmarkEnd w:id="296"/>
      <w:bookmarkStart w:id="297" w:name="_Toc184310333"/>
      <w:bookmarkEnd w:id="297"/>
      <w:bookmarkStart w:id="298" w:name="_Toc184310307"/>
      <w:bookmarkEnd w:id="298"/>
      <w:bookmarkStart w:id="299" w:name="_Toc184314411"/>
      <w:bookmarkEnd w:id="299"/>
      <w:bookmarkStart w:id="300" w:name="_Toc184310300"/>
      <w:bookmarkEnd w:id="300"/>
      <w:bookmarkStart w:id="301" w:name="_Toc184310340"/>
      <w:bookmarkEnd w:id="301"/>
      <w:bookmarkStart w:id="302" w:name="_Toc184314476"/>
      <w:bookmarkEnd w:id="302"/>
      <w:bookmarkStart w:id="303" w:name="_Toc184312114"/>
      <w:bookmarkEnd w:id="303"/>
      <w:bookmarkStart w:id="304" w:name="_Toc184310275"/>
      <w:bookmarkEnd w:id="304"/>
      <w:bookmarkStart w:id="305" w:name="_Toc184314466"/>
      <w:bookmarkEnd w:id="305"/>
      <w:bookmarkStart w:id="306" w:name="_Toc184310344"/>
      <w:bookmarkEnd w:id="306"/>
      <w:bookmarkStart w:id="307" w:name="_Toc184313238"/>
      <w:bookmarkEnd w:id="307"/>
      <w:bookmarkStart w:id="308" w:name="_Toc184310331"/>
      <w:bookmarkEnd w:id="308"/>
      <w:bookmarkStart w:id="309" w:name="_Toc184314475"/>
      <w:bookmarkEnd w:id="309"/>
      <w:bookmarkStart w:id="310" w:name="_Toc184312099"/>
      <w:bookmarkEnd w:id="310"/>
      <w:bookmarkStart w:id="311" w:name="_Toc184308084"/>
      <w:bookmarkEnd w:id="311"/>
      <w:bookmarkStart w:id="312" w:name="_Toc184314437"/>
      <w:bookmarkEnd w:id="312"/>
      <w:bookmarkStart w:id="313" w:name="_Toc184308100"/>
      <w:bookmarkEnd w:id="313"/>
      <w:bookmarkStart w:id="314" w:name="_Toc184313306"/>
      <w:bookmarkEnd w:id="314"/>
      <w:bookmarkStart w:id="315" w:name="_Toc184308047"/>
      <w:bookmarkEnd w:id="315"/>
      <w:bookmarkStart w:id="316" w:name="_Toc184310282"/>
      <w:bookmarkEnd w:id="316"/>
      <w:bookmarkStart w:id="317" w:name="_Toc184313274"/>
      <w:bookmarkEnd w:id="317"/>
      <w:bookmarkStart w:id="318" w:name="_Toc184312124"/>
      <w:bookmarkEnd w:id="318"/>
      <w:bookmarkStart w:id="319" w:name="_Toc184313278"/>
      <w:bookmarkEnd w:id="319"/>
      <w:bookmarkStart w:id="320" w:name="_Toc184310336"/>
      <w:bookmarkEnd w:id="320"/>
      <w:bookmarkStart w:id="321" w:name="_Toc184310322"/>
      <w:bookmarkEnd w:id="321"/>
      <w:bookmarkStart w:id="322" w:name="_Toc184312097"/>
      <w:bookmarkEnd w:id="322"/>
      <w:bookmarkStart w:id="323" w:name="_Toc184313271"/>
      <w:bookmarkEnd w:id="323"/>
      <w:bookmarkStart w:id="324" w:name="_Toc184312134"/>
      <w:bookmarkEnd w:id="324"/>
      <w:bookmarkStart w:id="325" w:name="_Toc184313247"/>
      <w:bookmarkEnd w:id="325"/>
      <w:bookmarkStart w:id="326" w:name="_Toc184308075"/>
      <w:bookmarkEnd w:id="326"/>
      <w:bookmarkStart w:id="327" w:name="_Toc184312137"/>
      <w:bookmarkEnd w:id="327"/>
      <w:bookmarkStart w:id="328" w:name="_Toc184313289"/>
      <w:bookmarkEnd w:id="328"/>
      <w:bookmarkStart w:id="329" w:name="_Toc184308061"/>
      <w:bookmarkEnd w:id="329"/>
      <w:bookmarkStart w:id="330" w:name="_Toc184312081"/>
      <w:bookmarkEnd w:id="330"/>
      <w:bookmarkStart w:id="331" w:name="_Toc184313277"/>
      <w:bookmarkEnd w:id="331"/>
      <w:bookmarkStart w:id="332" w:name="_Toc184310291"/>
      <w:bookmarkEnd w:id="332"/>
      <w:bookmarkStart w:id="333" w:name="_Toc184314425"/>
      <w:bookmarkEnd w:id="333"/>
      <w:bookmarkStart w:id="334" w:name="_Toc184314410"/>
      <w:bookmarkEnd w:id="334"/>
      <w:bookmarkStart w:id="335" w:name="_Toc184314464"/>
      <w:bookmarkEnd w:id="335"/>
      <w:bookmarkStart w:id="336" w:name="_Toc184314422"/>
      <w:bookmarkEnd w:id="336"/>
      <w:bookmarkStart w:id="337" w:name="_Toc184312090"/>
      <w:bookmarkEnd w:id="337"/>
      <w:bookmarkStart w:id="338" w:name="_Toc184308043"/>
      <w:bookmarkEnd w:id="338"/>
      <w:bookmarkStart w:id="339" w:name="_Toc184314439"/>
      <w:bookmarkEnd w:id="339"/>
      <w:bookmarkStart w:id="340" w:name="_Toc184310281"/>
      <w:bookmarkEnd w:id="340"/>
      <w:bookmarkStart w:id="341" w:name="_Toc184313243"/>
      <w:bookmarkEnd w:id="341"/>
      <w:bookmarkStart w:id="342" w:name="_Toc184308056"/>
      <w:bookmarkEnd w:id="342"/>
      <w:bookmarkStart w:id="343" w:name="_Toc184310301"/>
      <w:bookmarkEnd w:id="343"/>
      <w:bookmarkStart w:id="344" w:name="_Toc184314421"/>
      <w:bookmarkEnd w:id="344"/>
      <w:bookmarkStart w:id="345" w:name="_Toc184308055"/>
      <w:bookmarkEnd w:id="345"/>
      <w:bookmarkStart w:id="346" w:name="_Toc184313258"/>
      <w:bookmarkEnd w:id="346"/>
      <w:bookmarkStart w:id="347" w:name="_Toc184314455"/>
      <w:bookmarkEnd w:id="347"/>
      <w:bookmarkStart w:id="348" w:name="_Toc184312118"/>
      <w:bookmarkEnd w:id="348"/>
      <w:bookmarkStart w:id="349" w:name="_Toc184313245"/>
      <w:bookmarkEnd w:id="349"/>
      <w:bookmarkStart w:id="350" w:name="_Toc184310327"/>
      <w:bookmarkEnd w:id="350"/>
      <w:bookmarkStart w:id="351" w:name="_Toc184310329"/>
      <w:bookmarkEnd w:id="351"/>
      <w:bookmarkStart w:id="352" w:name="_Toc184312071"/>
      <w:bookmarkEnd w:id="352"/>
      <w:bookmarkStart w:id="353" w:name="_Toc184310337"/>
      <w:bookmarkEnd w:id="353"/>
      <w:bookmarkStart w:id="354" w:name="_Toc184310321"/>
      <w:bookmarkEnd w:id="354"/>
      <w:bookmarkStart w:id="355" w:name="_Toc184310311"/>
      <w:bookmarkEnd w:id="355"/>
      <w:bookmarkStart w:id="356" w:name="_Toc184313261"/>
      <w:bookmarkEnd w:id="356"/>
      <w:bookmarkStart w:id="357" w:name="_Toc184308101"/>
      <w:bookmarkEnd w:id="357"/>
      <w:bookmarkStart w:id="358" w:name="_Toc184314481"/>
      <w:bookmarkEnd w:id="358"/>
      <w:bookmarkStart w:id="359" w:name="_Toc184308048"/>
      <w:bookmarkEnd w:id="359"/>
      <w:bookmarkStart w:id="360" w:name="_Toc184314460"/>
      <w:bookmarkEnd w:id="360"/>
      <w:bookmarkStart w:id="361" w:name="_Toc184310330"/>
      <w:bookmarkEnd w:id="361"/>
      <w:bookmarkStart w:id="362" w:name="_Toc184310339"/>
      <w:bookmarkEnd w:id="362"/>
      <w:bookmarkStart w:id="363" w:name="_Toc184308059"/>
      <w:bookmarkEnd w:id="363"/>
      <w:bookmarkStart w:id="364" w:name="_Toc184308093"/>
      <w:bookmarkEnd w:id="364"/>
      <w:bookmarkStart w:id="365" w:name="_Toc184308088"/>
      <w:bookmarkEnd w:id="365"/>
      <w:bookmarkStart w:id="366" w:name="_Toc184312106"/>
      <w:bookmarkEnd w:id="366"/>
      <w:bookmarkStart w:id="367" w:name="_Toc184312107"/>
      <w:bookmarkEnd w:id="367"/>
      <w:bookmarkStart w:id="368" w:name="_Toc184314451"/>
      <w:bookmarkEnd w:id="368"/>
      <w:bookmarkStart w:id="369" w:name="_Toc184310286"/>
      <w:bookmarkEnd w:id="369"/>
      <w:bookmarkStart w:id="370" w:name="_Toc184308076"/>
      <w:bookmarkEnd w:id="370"/>
      <w:bookmarkStart w:id="371" w:name="_Toc184310288"/>
      <w:bookmarkEnd w:id="371"/>
      <w:bookmarkStart w:id="372" w:name="_Toc184313252"/>
      <w:bookmarkEnd w:id="372"/>
      <w:bookmarkStart w:id="373" w:name="_Toc184312126"/>
      <w:bookmarkEnd w:id="373"/>
      <w:bookmarkStart w:id="374" w:name="_Toc184314479"/>
      <w:bookmarkEnd w:id="374"/>
      <w:bookmarkStart w:id="375" w:name="_Toc184313239"/>
      <w:bookmarkEnd w:id="375"/>
      <w:bookmarkStart w:id="376" w:name="_Toc184313256"/>
      <w:bookmarkEnd w:id="376"/>
      <w:bookmarkStart w:id="377" w:name="_Toc184312092"/>
      <w:bookmarkEnd w:id="377"/>
      <w:bookmarkStart w:id="378" w:name="_Toc184310332"/>
      <w:bookmarkEnd w:id="378"/>
      <w:bookmarkStart w:id="379" w:name="_Toc184314433"/>
      <w:bookmarkEnd w:id="379"/>
      <w:bookmarkStart w:id="380" w:name="_Toc184310296"/>
      <w:bookmarkEnd w:id="380"/>
      <w:bookmarkStart w:id="381" w:name="_Toc184312138"/>
      <w:bookmarkEnd w:id="381"/>
      <w:bookmarkStart w:id="382" w:name="_Toc184314454"/>
      <w:bookmarkEnd w:id="382"/>
      <w:bookmarkStart w:id="383" w:name="_Toc184312117"/>
      <w:bookmarkEnd w:id="383"/>
      <w:bookmarkStart w:id="384" w:name="_Toc184314446"/>
      <w:bookmarkEnd w:id="384"/>
      <w:bookmarkStart w:id="385" w:name="_Toc184314470"/>
      <w:bookmarkEnd w:id="385"/>
      <w:bookmarkStart w:id="386" w:name="_Toc184312123"/>
      <w:bookmarkEnd w:id="386"/>
      <w:bookmarkStart w:id="387" w:name="_Toc184310313"/>
      <w:bookmarkEnd w:id="387"/>
      <w:bookmarkStart w:id="388" w:name="_Toc184312108"/>
      <w:bookmarkEnd w:id="388"/>
      <w:bookmarkStart w:id="389" w:name="_Toc184310335"/>
      <w:bookmarkEnd w:id="389"/>
      <w:bookmarkStart w:id="390" w:name="_Toc184314471"/>
      <w:bookmarkEnd w:id="390"/>
      <w:bookmarkStart w:id="391" w:name="_Toc184308074"/>
      <w:bookmarkEnd w:id="391"/>
      <w:bookmarkStart w:id="392" w:name="_Toc184313300"/>
      <w:bookmarkEnd w:id="392"/>
      <w:bookmarkStart w:id="393" w:name="_Toc184312136"/>
      <w:bookmarkEnd w:id="393"/>
      <w:bookmarkStart w:id="394" w:name="_Toc184314449"/>
      <w:bookmarkEnd w:id="394"/>
      <w:bookmarkStart w:id="395" w:name="_Toc184313288"/>
      <w:bookmarkEnd w:id="395"/>
      <w:bookmarkStart w:id="396" w:name="_Toc184314468"/>
      <w:bookmarkEnd w:id="396"/>
      <w:bookmarkStart w:id="397" w:name="_Toc184308053"/>
      <w:bookmarkEnd w:id="397"/>
      <w:bookmarkStart w:id="398" w:name="_Toc184312078"/>
      <w:bookmarkEnd w:id="398"/>
      <w:bookmarkStart w:id="399" w:name="_Toc184310277"/>
      <w:bookmarkEnd w:id="399"/>
      <w:bookmarkStart w:id="400" w:name="_Toc184312121"/>
      <w:bookmarkEnd w:id="400"/>
      <w:bookmarkStart w:id="401" w:name="_Toc184314477"/>
      <w:bookmarkEnd w:id="401"/>
      <w:bookmarkStart w:id="402" w:name="_Toc184308051"/>
      <w:bookmarkEnd w:id="402"/>
      <w:bookmarkStart w:id="403" w:name="_Toc184310285"/>
      <w:bookmarkEnd w:id="403"/>
      <w:bookmarkStart w:id="404" w:name="_Toc184310273"/>
      <w:bookmarkEnd w:id="404"/>
      <w:bookmarkStart w:id="405" w:name="_Toc184313294"/>
      <w:bookmarkEnd w:id="405"/>
      <w:r>
        <w:rPr>
          <w:rFonts w:hint="eastAsia" w:ascii="仿宋" w:hAnsi="仿宋" w:eastAsia="仿宋" w:cs="宋体"/>
          <w:b/>
          <w:color w:val="auto"/>
          <w:sz w:val="36"/>
          <w:szCs w:val="36"/>
          <w:highlight w:val="none"/>
        </w:rPr>
        <w:t>评标办法</w:t>
      </w:r>
      <w:bookmarkEnd w:id="39"/>
      <w:bookmarkEnd w:id="40"/>
    </w:p>
    <w:p w14:paraId="3A905558">
      <w:pPr>
        <w:snapToGrid w:val="0"/>
        <w:spacing w:line="360" w:lineRule="auto"/>
        <w:jc w:val="center"/>
        <w:outlineLvl w:val="1"/>
        <w:rPr>
          <w:rFonts w:hint="eastAsia" w:ascii="仿宋" w:hAnsi="仿宋" w:eastAsia="仿宋" w:cs="宋体"/>
          <w:b/>
          <w:color w:val="auto"/>
          <w:sz w:val="32"/>
          <w:szCs w:val="20"/>
          <w:highlight w:val="none"/>
          <w:lang w:eastAsia="zh-CN"/>
        </w:rPr>
      </w:pPr>
      <w:bookmarkStart w:id="432" w:name="_GoBack"/>
      <w:bookmarkEnd w:id="432"/>
      <w:r>
        <w:rPr>
          <w:rFonts w:hint="eastAsia" w:ascii="仿宋" w:hAnsi="仿宋" w:eastAsia="仿宋" w:cs="宋体"/>
          <w:b/>
          <w:color w:val="auto"/>
          <w:sz w:val="32"/>
          <w:szCs w:val="20"/>
          <w:highlight w:val="none"/>
        </w:rPr>
        <w:t>评标办法前附表</w:t>
      </w:r>
      <w:r>
        <w:rPr>
          <w:rFonts w:hint="eastAsia" w:ascii="仿宋" w:hAnsi="仿宋" w:eastAsia="仿宋" w:cs="宋体"/>
          <w:b/>
          <w:color w:val="auto"/>
          <w:sz w:val="32"/>
          <w:szCs w:val="20"/>
          <w:highlight w:val="none"/>
          <w:lang w:eastAsia="zh-CN"/>
        </w:rPr>
        <w:t>（</w:t>
      </w:r>
      <w:r>
        <w:rPr>
          <w:rFonts w:hint="eastAsia" w:ascii="仿宋" w:hAnsi="仿宋" w:eastAsia="仿宋" w:cs="宋体"/>
          <w:b/>
          <w:color w:val="auto"/>
          <w:sz w:val="32"/>
          <w:szCs w:val="20"/>
          <w:highlight w:val="none"/>
          <w:lang w:val="en-US" w:eastAsia="zh-CN"/>
        </w:rPr>
        <w:t>标项一</w:t>
      </w:r>
      <w:r>
        <w:rPr>
          <w:rFonts w:hint="eastAsia" w:ascii="仿宋" w:hAnsi="仿宋" w:eastAsia="仿宋" w:cs="宋体"/>
          <w:b/>
          <w:color w:val="auto"/>
          <w:sz w:val="32"/>
          <w:szCs w:val="20"/>
          <w:highlight w:val="none"/>
          <w:lang w:eastAsia="zh-CN"/>
        </w:rPr>
        <w:t>）</w:t>
      </w:r>
    </w:p>
    <w:tbl>
      <w:tblPr>
        <w:tblStyle w:val="23"/>
        <w:tblW w:w="10007" w:type="dxa"/>
        <w:tblInd w:w="-743"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696"/>
        <w:gridCol w:w="6022"/>
        <w:gridCol w:w="972"/>
        <w:gridCol w:w="939"/>
        <w:gridCol w:w="1378"/>
      </w:tblGrid>
      <w:tr w14:paraId="51A752DC">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blHeader/>
        </w:trPr>
        <w:tc>
          <w:tcPr>
            <w:tcW w:w="696" w:type="dxa"/>
            <w:shd w:val="clear" w:color="auto" w:fill="F1F1F1"/>
            <w:noWrap w:val="0"/>
            <w:vAlign w:val="center"/>
          </w:tcPr>
          <w:p w14:paraId="4F35AAB7">
            <w:pPr>
              <w:snapToGrid w:val="0"/>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6022" w:type="dxa"/>
            <w:shd w:val="clear" w:color="auto" w:fill="F1F1F1"/>
            <w:noWrap w:val="0"/>
            <w:vAlign w:val="center"/>
          </w:tcPr>
          <w:p w14:paraId="0DADE4C0">
            <w:pPr>
              <w:snapToGrid w:val="0"/>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评标标准</w:t>
            </w:r>
          </w:p>
        </w:tc>
        <w:tc>
          <w:tcPr>
            <w:tcW w:w="972" w:type="dxa"/>
            <w:shd w:val="clear" w:color="auto" w:fill="F1F1F1"/>
            <w:noWrap w:val="0"/>
            <w:vAlign w:val="center"/>
          </w:tcPr>
          <w:p w14:paraId="0F7833A0">
            <w:pPr>
              <w:snapToGrid w:val="0"/>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最高分值</w:t>
            </w:r>
          </w:p>
        </w:tc>
        <w:tc>
          <w:tcPr>
            <w:tcW w:w="939" w:type="dxa"/>
            <w:shd w:val="clear" w:color="auto" w:fill="F1F1F1"/>
            <w:noWrap w:val="0"/>
            <w:vAlign w:val="center"/>
          </w:tcPr>
          <w:p w14:paraId="73829370">
            <w:pPr>
              <w:snapToGrid w:val="0"/>
              <w:spacing w:line="3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主观分/客观分属性</w:t>
            </w:r>
          </w:p>
        </w:tc>
        <w:tc>
          <w:tcPr>
            <w:tcW w:w="1378" w:type="dxa"/>
            <w:shd w:val="clear" w:color="auto" w:fill="F1F1F1"/>
            <w:noWrap w:val="0"/>
            <w:vAlign w:val="center"/>
          </w:tcPr>
          <w:p w14:paraId="6A3EA355">
            <w:pPr>
              <w:snapToGrid w:val="0"/>
              <w:spacing w:line="300" w:lineRule="exact"/>
              <w:jc w:val="center"/>
              <w:rPr>
                <w:rFonts w:ascii="仿宋" w:hAnsi="仿宋" w:eastAsia="仿宋" w:cs="仿宋"/>
                <w:color w:val="auto"/>
                <w:sz w:val="24"/>
                <w:highlight w:val="none"/>
              </w:rPr>
            </w:pPr>
            <w:r>
              <w:rPr>
                <w:rFonts w:hint="eastAsia" w:ascii="仿宋" w:hAnsi="仿宋" w:eastAsia="仿宋" w:cs="仿宋"/>
                <w:bCs/>
                <w:color w:val="auto"/>
                <w:sz w:val="24"/>
                <w:highlight w:val="none"/>
              </w:rPr>
              <w:t>投标文件中评标标准相应的商务技术资料目录*</w:t>
            </w:r>
          </w:p>
        </w:tc>
      </w:tr>
      <w:tr w14:paraId="66655F89">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10007" w:type="dxa"/>
            <w:gridSpan w:val="5"/>
            <w:shd w:val="clear" w:color="auto" w:fill="E6E0EC"/>
            <w:noWrap w:val="0"/>
            <w:vAlign w:val="center"/>
          </w:tcPr>
          <w:p w14:paraId="5AACA26B">
            <w:pPr>
              <w:snapToGrid w:val="0"/>
              <w:spacing w:line="300" w:lineRule="exact"/>
              <w:jc w:val="center"/>
              <w:rPr>
                <w:rFonts w:ascii="仿宋" w:hAnsi="仿宋" w:eastAsia="仿宋" w:cs="仿宋"/>
                <w:color w:val="auto"/>
                <w:sz w:val="24"/>
                <w:highlight w:val="none"/>
              </w:rPr>
            </w:pPr>
            <w:r>
              <w:rPr>
                <w:rFonts w:hint="eastAsia" w:ascii="仿宋" w:hAnsi="仿宋" w:eastAsia="仿宋" w:cs="仿宋"/>
                <w:b/>
                <w:bCs/>
                <w:color w:val="auto"/>
                <w:sz w:val="24"/>
                <w:highlight w:val="none"/>
              </w:rPr>
              <w:t>（一）商务技术分（</w:t>
            </w:r>
            <w:r>
              <w:rPr>
                <w:rFonts w:hint="eastAsia" w:ascii="仿宋" w:hAnsi="仿宋" w:eastAsia="仿宋" w:cs="仿宋"/>
                <w:b/>
                <w:bCs/>
                <w:color w:val="auto"/>
                <w:sz w:val="24"/>
                <w:highlight w:val="none"/>
                <w:lang w:val="en-US" w:eastAsia="zh-CN"/>
              </w:rPr>
              <w:t>7</w:t>
            </w:r>
            <w:r>
              <w:rPr>
                <w:rFonts w:hint="eastAsia" w:ascii="仿宋" w:hAnsi="仿宋" w:eastAsia="仿宋" w:cs="仿宋"/>
                <w:b/>
                <w:bCs/>
                <w:color w:val="auto"/>
                <w:sz w:val="24"/>
                <w:highlight w:val="none"/>
              </w:rPr>
              <w:t>0分）</w:t>
            </w:r>
          </w:p>
        </w:tc>
      </w:tr>
      <w:tr w14:paraId="57523EFB">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056861DF">
            <w:pPr>
              <w:widowControl/>
              <w:numPr>
                <w:ilvl w:val="0"/>
                <w:numId w:val="11"/>
              </w:numPr>
              <w:adjustRightInd/>
              <w:snapToGrid w:val="0"/>
              <w:spacing w:line="400" w:lineRule="exact"/>
              <w:jc w:val="center"/>
              <w:rPr>
                <w:rFonts w:ascii="仿宋" w:hAnsi="仿宋" w:eastAsia="仿宋" w:cs="仿宋"/>
                <w:color w:val="auto"/>
                <w:kern w:val="0"/>
                <w:sz w:val="24"/>
                <w:highlight w:val="none"/>
              </w:rPr>
            </w:pPr>
          </w:p>
        </w:tc>
        <w:tc>
          <w:tcPr>
            <w:tcW w:w="6022" w:type="dxa"/>
            <w:noWrap w:val="0"/>
            <w:vAlign w:val="center"/>
          </w:tcPr>
          <w:p w14:paraId="24C1E9F5">
            <w:pPr>
              <w:spacing w:line="4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投标人业绩：</w:t>
            </w:r>
          </w:p>
          <w:p w14:paraId="48144F58">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自202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年1月1日以来（以合同签订时间为准）具有</w:t>
            </w:r>
            <w:r>
              <w:rPr>
                <w:rFonts w:hint="eastAsia" w:ascii="仿宋" w:hAnsi="仿宋" w:eastAsia="仿宋" w:cs="仿宋"/>
                <w:color w:val="auto"/>
                <w:sz w:val="24"/>
                <w:highlight w:val="none"/>
                <w:lang w:val="en-US" w:eastAsia="zh-CN"/>
              </w:rPr>
              <w:t>同类项目建设或采购</w:t>
            </w:r>
            <w:r>
              <w:rPr>
                <w:rFonts w:hint="eastAsia" w:ascii="仿宋" w:hAnsi="仿宋" w:eastAsia="仿宋" w:cs="仿宋"/>
                <w:color w:val="auto"/>
                <w:sz w:val="24"/>
                <w:highlight w:val="none"/>
              </w:rPr>
              <w:t>业绩的（以提供的合同扫描件为准）：每提供1份合同业绩得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分，满分</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p>
          <w:p w14:paraId="1540C63A">
            <w:pPr>
              <w:spacing w:line="400" w:lineRule="exact"/>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证明材料：须提供清晰可辨的合同扫描件加盖电子签章。联合体投标的，联合体各方分别提供与联合体协议中规定的分工内容相应的业绩证明材料，业绩数量以提供材料较少的一方为准。</w:t>
            </w:r>
          </w:p>
        </w:tc>
        <w:tc>
          <w:tcPr>
            <w:tcW w:w="972" w:type="dxa"/>
            <w:noWrap w:val="0"/>
            <w:vAlign w:val="center"/>
          </w:tcPr>
          <w:p w14:paraId="06773A4F">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p>
        </w:tc>
        <w:tc>
          <w:tcPr>
            <w:tcW w:w="939" w:type="dxa"/>
            <w:noWrap w:val="0"/>
            <w:vAlign w:val="center"/>
          </w:tcPr>
          <w:p w14:paraId="7EC1A356">
            <w:pPr>
              <w:snapToGrid w:val="0"/>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c>
          <w:tcPr>
            <w:tcW w:w="1378" w:type="dxa"/>
            <w:noWrap w:val="0"/>
            <w:vAlign w:val="center"/>
          </w:tcPr>
          <w:p w14:paraId="3C90FEAD">
            <w:pPr>
              <w:snapToGrid w:val="0"/>
              <w:spacing w:line="300" w:lineRule="exact"/>
              <w:jc w:val="center"/>
              <w:rPr>
                <w:rFonts w:ascii="仿宋" w:hAnsi="仿宋" w:eastAsia="仿宋" w:cs="仿宋"/>
                <w:color w:val="auto"/>
                <w:sz w:val="24"/>
                <w:highlight w:val="none"/>
              </w:rPr>
            </w:pPr>
          </w:p>
        </w:tc>
      </w:tr>
      <w:tr w14:paraId="22850D42">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794E1963">
            <w:pPr>
              <w:widowControl/>
              <w:numPr>
                <w:ilvl w:val="0"/>
                <w:numId w:val="11"/>
              </w:numPr>
              <w:adjustRightInd/>
              <w:snapToGrid w:val="0"/>
              <w:spacing w:line="400" w:lineRule="exact"/>
              <w:jc w:val="center"/>
              <w:rPr>
                <w:rFonts w:ascii="仿宋" w:hAnsi="仿宋" w:eastAsia="仿宋" w:cs="仿宋"/>
                <w:color w:val="auto"/>
                <w:kern w:val="0"/>
                <w:sz w:val="24"/>
                <w:highlight w:val="none"/>
                <w:lang w:eastAsia="en-US"/>
              </w:rPr>
            </w:pPr>
          </w:p>
        </w:tc>
        <w:tc>
          <w:tcPr>
            <w:tcW w:w="6022" w:type="dxa"/>
            <w:noWrap w:val="0"/>
            <w:vAlign w:val="center"/>
          </w:tcPr>
          <w:p w14:paraId="133DFB17">
            <w:pPr>
              <w:spacing w:line="40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项目负责人情况：</w:t>
            </w:r>
          </w:p>
          <w:p w14:paraId="5AB7331A">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0" w:firstLineChars="0"/>
              <w:jc w:val="left"/>
              <w:textAlignment w:val="auto"/>
              <w:rPr>
                <w:rFonts w:hint="eastAsia" w:ascii="仿宋" w:hAnsi="仿宋" w:eastAsia="仿宋" w:cs="仿宋"/>
                <w:bCs w:val="0"/>
                <w:color w:val="auto"/>
                <w:kern w:val="2"/>
                <w:sz w:val="24"/>
                <w:szCs w:val="24"/>
                <w:highlight w:val="none"/>
                <w:lang w:val="en-US" w:eastAsia="zh-CN" w:bidi="ar-SA"/>
              </w:rPr>
            </w:pPr>
            <w:r>
              <w:rPr>
                <w:rFonts w:hint="eastAsia" w:ascii="Times New Roman" w:hAnsi="Times New Roman" w:eastAsia="仿宋_GB2312" w:cs="Times New Roman"/>
                <w:bCs/>
                <w:color w:val="auto"/>
                <w:kern w:val="2"/>
                <w:sz w:val="24"/>
                <w:szCs w:val="24"/>
                <w:highlight w:val="none"/>
                <w:lang w:val="en-US" w:eastAsia="zh-CN" w:bidi="ar-SA"/>
              </w:rPr>
              <w:t>（1）</w:t>
            </w:r>
            <w:r>
              <w:rPr>
                <w:rFonts w:hint="default" w:ascii="Times New Roman" w:hAnsi="Times New Roman" w:eastAsia="仿宋_GB2312" w:cs="Times New Roman"/>
                <w:bCs/>
                <w:color w:val="auto"/>
                <w:kern w:val="2"/>
                <w:sz w:val="24"/>
                <w:szCs w:val="24"/>
                <w:highlight w:val="none"/>
                <w:lang w:val="en-US" w:eastAsia="zh-CN" w:bidi="ar-SA"/>
              </w:rPr>
              <w:t>项目负责人具有</w:t>
            </w:r>
            <w:r>
              <w:rPr>
                <w:rFonts w:hint="eastAsia" w:ascii="仿宋" w:hAnsi="仿宋" w:eastAsia="仿宋" w:cs="仿宋"/>
                <w:color w:val="auto"/>
                <w:sz w:val="24"/>
                <w:highlight w:val="none"/>
              </w:rPr>
              <w:t>人社部门颁发的</w:t>
            </w:r>
            <w:r>
              <w:rPr>
                <w:rFonts w:hint="default" w:ascii="Times New Roman" w:hAnsi="Times New Roman" w:eastAsia="仿宋_GB2312" w:cs="Times New Roman"/>
                <w:bCs/>
                <w:color w:val="auto"/>
                <w:kern w:val="2"/>
                <w:sz w:val="24"/>
                <w:szCs w:val="24"/>
                <w:highlight w:val="none"/>
                <w:lang w:val="en-US" w:eastAsia="zh-CN" w:bidi="ar-SA"/>
              </w:rPr>
              <w:t>环境</w:t>
            </w:r>
            <w:r>
              <w:rPr>
                <w:rFonts w:hint="eastAsia" w:eastAsia="仿宋_GB2312" w:cs="Times New Roman"/>
                <w:bCs/>
                <w:color w:val="auto"/>
                <w:kern w:val="2"/>
                <w:sz w:val="24"/>
                <w:szCs w:val="24"/>
                <w:highlight w:val="none"/>
                <w:lang w:val="en-US" w:eastAsia="zh-CN" w:bidi="ar-SA"/>
              </w:rPr>
              <w:t>类</w:t>
            </w:r>
            <w:r>
              <w:rPr>
                <w:rFonts w:hint="default" w:ascii="Times New Roman" w:hAnsi="Times New Roman" w:eastAsia="仿宋_GB2312" w:cs="Times New Roman"/>
                <w:bCs/>
                <w:color w:val="auto"/>
                <w:kern w:val="2"/>
                <w:sz w:val="24"/>
                <w:szCs w:val="24"/>
                <w:highlight w:val="none"/>
                <w:lang w:val="en-US" w:eastAsia="zh-CN" w:bidi="ar-SA"/>
              </w:rPr>
              <w:t>相关专业高级</w:t>
            </w:r>
            <w:r>
              <w:rPr>
                <w:rFonts w:hint="eastAsia" w:ascii="Times New Roman" w:hAnsi="Times New Roman" w:eastAsia="仿宋_GB2312" w:cs="Times New Roman"/>
                <w:bCs/>
                <w:color w:val="auto"/>
                <w:kern w:val="2"/>
                <w:sz w:val="24"/>
                <w:szCs w:val="24"/>
                <w:highlight w:val="none"/>
                <w:lang w:val="en-US" w:eastAsia="zh-CN" w:bidi="ar-SA"/>
              </w:rPr>
              <w:t>及以上</w:t>
            </w:r>
            <w:r>
              <w:rPr>
                <w:rFonts w:hint="default" w:ascii="Times New Roman" w:hAnsi="Times New Roman" w:eastAsia="仿宋_GB2312" w:cs="Times New Roman"/>
                <w:bCs/>
                <w:color w:val="auto"/>
                <w:kern w:val="2"/>
                <w:sz w:val="24"/>
                <w:szCs w:val="24"/>
                <w:highlight w:val="none"/>
                <w:lang w:val="en-US" w:eastAsia="zh-CN" w:bidi="ar-SA"/>
              </w:rPr>
              <w:t>职称</w:t>
            </w:r>
            <w:r>
              <w:rPr>
                <w:rFonts w:hint="eastAsia" w:eastAsia="仿宋_GB2312" w:cs="Times New Roman"/>
                <w:bCs/>
                <w:color w:val="auto"/>
                <w:kern w:val="2"/>
                <w:sz w:val="24"/>
                <w:szCs w:val="24"/>
                <w:highlight w:val="none"/>
                <w:lang w:val="en-US" w:eastAsia="zh-CN" w:bidi="ar-SA"/>
              </w:rPr>
              <w:t>证书的</w:t>
            </w:r>
            <w:r>
              <w:rPr>
                <w:rFonts w:hint="eastAsia" w:ascii="仿宋" w:hAnsi="仿宋" w:eastAsia="仿宋" w:cs="仿宋"/>
                <w:bCs w:val="0"/>
                <w:color w:val="auto"/>
                <w:kern w:val="2"/>
                <w:sz w:val="24"/>
                <w:szCs w:val="24"/>
                <w:highlight w:val="none"/>
                <w:lang w:val="en-US" w:eastAsia="zh-CN" w:bidi="ar-SA"/>
              </w:rPr>
              <w:t>得2分。</w:t>
            </w:r>
          </w:p>
          <w:p w14:paraId="50C342C0">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0" w:firstLineChars="0"/>
              <w:jc w:val="left"/>
              <w:textAlignment w:val="auto"/>
              <w:rPr>
                <w:color w:val="auto"/>
                <w:highlight w:val="none"/>
              </w:rPr>
            </w:pPr>
            <w:r>
              <w:rPr>
                <w:rFonts w:hint="eastAsia" w:ascii="仿宋" w:hAnsi="仿宋" w:eastAsia="仿宋" w:cs="仿宋"/>
                <w:bCs w:val="0"/>
                <w:color w:val="auto"/>
                <w:kern w:val="2"/>
                <w:sz w:val="24"/>
                <w:szCs w:val="24"/>
                <w:highlight w:val="none"/>
                <w:lang w:val="en-US" w:eastAsia="zh-CN" w:bidi="ar-SA"/>
              </w:rPr>
              <w:t>（2）</w:t>
            </w:r>
            <w:r>
              <w:rPr>
                <w:rFonts w:hint="eastAsia" w:ascii="仿宋" w:hAnsi="仿宋" w:eastAsia="仿宋" w:cs="仿宋"/>
                <w:bCs w:val="0"/>
                <w:color w:val="auto"/>
                <w:kern w:val="2"/>
                <w:sz w:val="24"/>
                <w:szCs w:val="24"/>
                <w:highlight w:val="none"/>
                <w:lang w:val="en-US" w:eastAsia="zh-CN" w:bidi="ar-SA"/>
              </w:rPr>
              <w:t>项目负责人作为课题负责人承担过市级大气污染治理相关科研课题的得0.5分，承担过省级大气污染治理相关科研课题的得1分，承担过国家级大气污染治理相关科研课题的得2分，本项最多得2分。</w:t>
            </w:r>
          </w:p>
          <w:p w14:paraId="247B2269">
            <w:pPr>
              <w:spacing w:line="400" w:lineRule="exact"/>
              <w:rPr>
                <w:rFonts w:ascii="仿宋" w:hAnsi="仿宋" w:eastAsia="仿宋" w:cs="仿宋"/>
                <w:b/>
                <w:bCs/>
                <w:color w:val="auto"/>
                <w:sz w:val="24"/>
                <w:highlight w:val="none"/>
              </w:rPr>
            </w:pPr>
            <w:r>
              <w:rPr>
                <w:rFonts w:ascii="仿宋" w:hAnsi="仿宋" w:eastAsia="仿宋" w:cs="仿宋"/>
                <w:b/>
                <w:bCs/>
                <w:color w:val="auto"/>
                <w:sz w:val="24"/>
                <w:highlight w:val="none"/>
              </w:rPr>
              <w:t>证明材料：拟派项目负责人必须为投标人社保在册的正式员工，提供相关证明材料复印件、身份证并加盖公章，且同时提供投标单位为该人员缴纳</w:t>
            </w:r>
            <w:r>
              <w:rPr>
                <w:rFonts w:hint="eastAsia" w:ascii="仿宋" w:hAnsi="仿宋" w:eastAsia="仿宋" w:cs="仿宋"/>
                <w:b/>
                <w:bCs/>
                <w:color w:val="auto"/>
                <w:sz w:val="24"/>
                <w:highlight w:val="none"/>
              </w:rPr>
              <w:t>开标前3个月内任意一个月</w:t>
            </w:r>
            <w:r>
              <w:rPr>
                <w:rFonts w:ascii="仿宋" w:hAnsi="仿宋" w:eastAsia="仿宋" w:cs="仿宋"/>
                <w:b/>
                <w:bCs/>
                <w:color w:val="auto"/>
                <w:sz w:val="24"/>
                <w:highlight w:val="none"/>
              </w:rPr>
              <w:t>的社保养老保险缴纳证明，不提供或者不能提供有效证明的不得分。</w:t>
            </w:r>
          </w:p>
        </w:tc>
        <w:tc>
          <w:tcPr>
            <w:tcW w:w="972" w:type="dxa"/>
            <w:noWrap w:val="0"/>
            <w:vAlign w:val="center"/>
          </w:tcPr>
          <w:p w14:paraId="2389A605">
            <w:pPr>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w:t>
            </w:r>
          </w:p>
        </w:tc>
        <w:tc>
          <w:tcPr>
            <w:tcW w:w="939" w:type="dxa"/>
            <w:noWrap w:val="0"/>
            <w:vAlign w:val="center"/>
          </w:tcPr>
          <w:p w14:paraId="572180F0">
            <w:pPr>
              <w:snapToGrid w:val="0"/>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c>
          <w:tcPr>
            <w:tcW w:w="1378" w:type="dxa"/>
            <w:noWrap w:val="0"/>
            <w:vAlign w:val="center"/>
          </w:tcPr>
          <w:p w14:paraId="72BCD079">
            <w:pPr>
              <w:snapToGrid w:val="0"/>
              <w:spacing w:line="300" w:lineRule="exact"/>
              <w:jc w:val="center"/>
              <w:rPr>
                <w:rFonts w:ascii="仿宋" w:hAnsi="仿宋" w:eastAsia="仿宋" w:cs="仿宋"/>
                <w:color w:val="auto"/>
                <w:sz w:val="24"/>
                <w:highlight w:val="none"/>
              </w:rPr>
            </w:pPr>
          </w:p>
        </w:tc>
      </w:tr>
      <w:tr w14:paraId="69777AE0">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49D6041A">
            <w:pPr>
              <w:widowControl/>
              <w:numPr>
                <w:ilvl w:val="0"/>
                <w:numId w:val="11"/>
              </w:numPr>
              <w:adjustRightInd/>
              <w:snapToGrid w:val="0"/>
              <w:spacing w:line="400" w:lineRule="exact"/>
              <w:jc w:val="center"/>
              <w:rPr>
                <w:rFonts w:ascii="仿宋" w:hAnsi="仿宋" w:eastAsia="仿宋" w:cs="仿宋"/>
                <w:color w:val="auto"/>
                <w:kern w:val="0"/>
                <w:sz w:val="24"/>
                <w:highlight w:val="none"/>
                <w:lang w:eastAsia="en-US"/>
              </w:rPr>
            </w:pPr>
          </w:p>
        </w:tc>
        <w:tc>
          <w:tcPr>
            <w:tcW w:w="6022" w:type="dxa"/>
            <w:noWrap w:val="0"/>
            <w:vAlign w:val="center"/>
          </w:tcPr>
          <w:p w14:paraId="72B100A0">
            <w:pPr>
              <w:spacing w:line="40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项目团队人员情况（除项目负责人外）：</w:t>
            </w:r>
          </w:p>
          <w:p w14:paraId="7176B4FA">
            <w:pPr>
              <w:widowControl/>
              <w:numPr>
                <w:ilvl w:val="0"/>
                <w:numId w:val="0"/>
              </w:numPr>
              <w:adjustRightInd/>
              <w:spacing w:line="400" w:lineRule="exact"/>
              <w:jc w:val="left"/>
              <w:rPr>
                <w:rFonts w:hint="eastAsia" w:ascii="仿宋" w:hAnsi="仿宋" w:eastAsia="仿宋" w:cs="仿宋"/>
                <w:bCs w:val="0"/>
                <w:color w:val="auto"/>
                <w:kern w:val="2"/>
                <w:sz w:val="24"/>
                <w:szCs w:val="24"/>
                <w:highlight w:val="none"/>
                <w:lang w:val="en-US" w:eastAsia="zh-CN" w:bidi="ar-SA"/>
              </w:rPr>
            </w:pPr>
            <w:r>
              <w:rPr>
                <w:rFonts w:hint="eastAsia" w:ascii="仿宋" w:hAnsi="仿宋" w:eastAsia="仿宋" w:cs="仿宋"/>
                <w:bCs w:val="0"/>
                <w:color w:val="auto"/>
                <w:kern w:val="2"/>
                <w:sz w:val="24"/>
                <w:szCs w:val="24"/>
                <w:highlight w:val="none"/>
                <w:lang w:val="en-US" w:eastAsia="zh-CN" w:bidi="ar-SA"/>
              </w:rPr>
              <w:t>（1）拟派项目组核心成员具有环境类相关专业高级职称，每人得2分，本项最高得8分。</w:t>
            </w:r>
          </w:p>
          <w:p w14:paraId="00707D9D">
            <w:pPr>
              <w:widowControl/>
              <w:numPr>
                <w:ilvl w:val="0"/>
                <w:numId w:val="0"/>
              </w:numPr>
              <w:adjustRightInd/>
              <w:spacing w:line="400" w:lineRule="exact"/>
              <w:jc w:val="left"/>
              <w:rPr>
                <w:color w:val="auto"/>
                <w:highlight w:val="none"/>
              </w:rPr>
            </w:pPr>
            <w:r>
              <w:rPr>
                <w:rFonts w:hint="eastAsia" w:ascii="仿宋" w:hAnsi="仿宋" w:eastAsia="仿宋" w:cs="仿宋"/>
                <w:bCs w:val="0"/>
                <w:color w:val="auto"/>
                <w:kern w:val="2"/>
                <w:sz w:val="24"/>
                <w:szCs w:val="24"/>
                <w:highlight w:val="none"/>
                <w:lang w:val="en-US" w:eastAsia="zh-CN" w:bidi="ar-SA"/>
              </w:rPr>
              <w:t>（2）拟派项目组成员（项目负责人、项目组核心成员除外）具有环境类相关专业中级职称的，每人得0.5分，本项最高得3分。</w:t>
            </w:r>
          </w:p>
          <w:p w14:paraId="0D97BEC0">
            <w:pPr>
              <w:spacing w:line="400" w:lineRule="exact"/>
              <w:rPr>
                <w:rFonts w:ascii="仿宋" w:hAnsi="仿宋" w:eastAsia="仿宋" w:cs="仿宋"/>
                <w:b/>
                <w:bCs/>
                <w:color w:val="auto"/>
                <w:sz w:val="24"/>
                <w:highlight w:val="none"/>
              </w:rPr>
            </w:pPr>
            <w:r>
              <w:rPr>
                <w:rFonts w:ascii="仿宋" w:hAnsi="仿宋" w:eastAsia="仿宋" w:cs="仿宋"/>
                <w:b/>
                <w:bCs/>
                <w:color w:val="auto"/>
                <w:sz w:val="24"/>
                <w:highlight w:val="none"/>
              </w:rPr>
              <w:t>证明材料：拟派</w:t>
            </w:r>
            <w:r>
              <w:rPr>
                <w:rFonts w:hint="eastAsia" w:ascii="仿宋" w:hAnsi="仿宋" w:eastAsia="仿宋" w:cs="仿宋"/>
                <w:b/>
                <w:bCs/>
                <w:color w:val="auto"/>
                <w:sz w:val="24"/>
                <w:highlight w:val="none"/>
              </w:rPr>
              <w:t>人员</w:t>
            </w:r>
            <w:r>
              <w:rPr>
                <w:rFonts w:ascii="仿宋" w:hAnsi="仿宋" w:eastAsia="仿宋" w:cs="仿宋"/>
                <w:b/>
                <w:bCs/>
                <w:color w:val="auto"/>
                <w:sz w:val="24"/>
                <w:highlight w:val="none"/>
              </w:rPr>
              <w:t>必须为投标人社保在册的正式员工，提供相关证明材料复印件、身份证并加盖公章，且同时提供投标单位为该人员缴纳</w:t>
            </w:r>
            <w:r>
              <w:rPr>
                <w:rFonts w:hint="eastAsia" w:ascii="仿宋" w:hAnsi="仿宋" w:eastAsia="仿宋" w:cs="仿宋"/>
                <w:b/>
                <w:bCs/>
                <w:color w:val="auto"/>
                <w:sz w:val="24"/>
                <w:highlight w:val="none"/>
              </w:rPr>
              <w:t>开标前3个月内任意一个月</w:t>
            </w:r>
            <w:r>
              <w:rPr>
                <w:rFonts w:ascii="仿宋" w:hAnsi="仿宋" w:eastAsia="仿宋" w:cs="仿宋"/>
                <w:b/>
                <w:bCs/>
                <w:color w:val="auto"/>
                <w:sz w:val="24"/>
                <w:highlight w:val="none"/>
              </w:rPr>
              <w:t>的社保养老保险缴纳证明，不提供或者不能提供有效证明的不得分。</w:t>
            </w:r>
          </w:p>
        </w:tc>
        <w:tc>
          <w:tcPr>
            <w:tcW w:w="972" w:type="dxa"/>
            <w:noWrap w:val="0"/>
            <w:vAlign w:val="center"/>
          </w:tcPr>
          <w:p w14:paraId="7B8CCFF7">
            <w:pPr>
              <w:spacing w:line="300" w:lineRule="exact"/>
              <w:jc w:val="center"/>
              <w:rPr>
                <w:rFonts w:ascii="仿宋" w:hAnsi="仿宋" w:eastAsia="仿宋" w:cs="仿宋"/>
                <w:color w:val="auto"/>
                <w:sz w:val="24"/>
                <w:highlight w:val="none"/>
              </w:rPr>
            </w:pPr>
            <w:r>
              <w:rPr>
                <w:rFonts w:hint="default" w:ascii="仿宋" w:hAnsi="仿宋" w:eastAsia="仿宋" w:cs="仿宋"/>
                <w:color w:val="auto"/>
                <w:sz w:val="24"/>
                <w:highlight w:val="none"/>
                <w:lang w:val="en-US" w:eastAsia="zh-CN"/>
              </w:rPr>
              <w:t>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w:t>
            </w:r>
          </w:p>
        </w:tc>
        <w:tc>
          <w:tcPr>
            <w:tcW w:w="939" w:type="dxa"/>
            <w:noWrap w:val="0"/>
            <w:vAlign w:val="center"/>
          </w:tcPr>
          <w:p w14:paraId="6DD66EB9">
            <w:pPr>
              <w:snapToGrid w:val="0"/>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c>
          <w:tcPr>
            <w:tcW w:w="1378" w:type="dxa"/>
            <w:noWrap w:val="0"/>
            <w:vAlign w:val="center"/>
          </w:tcPr>
          <w:p w14:paraId="43CB832A">
            <w:pPr>
              <w:snapToGrid w:val="0"/>
              <w:spacing w:line="300" w:lineRule="exact"/>
              <w:jc w:val="center"/>
              <w:rPr>
                <w:rFonts w:ascii="仿宋" w:hAnsi="仿宋" w:eastAsia="仿宋" w:cs="仿宋"/>
                <w:color w:val="auto"/>
                <w:sz w:val="24"/>
                <w:highlight w:val="none"/>
              </w:rPr>
            </w:pPr>
          </w:p>
        </w:tc>
      </w:tr>
      <w:tr w14:paraId="56A3A029">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0EA0C5A8">
            <w:pPr>
              <w:widowControl/>
              <w:numPr>
                <w:ilvl w:val="0"/>
                <w:numId w:val="11"/>
              </w:numPr>
              <w:adjustRightInd/>
              <w:snapToGrid w:val="0"/>
              <w:spacing w:line="400" w:lineRule="exact"/>
              <w:jc w:val="center"/>
              <w:rPr>
                <w:rFonts w:ascii="仿宋" w:hAnsi="仿宋" w:eastAsia="仿宋" w:cs="仿宋"/>
                <w:color w:val="auto"/>
                <w:kern w:val="0"/>
                <w:sz w:val="24"/>
                <w:highlight w:val="none"/>
                <w:lang w:eastAsia="en-US"/>
              </w:rPr>
            </w:pPr>
          </w:p>
        </w:tc>
        <w:tc>
          <w:tcPr>
            <w:tcW w:w="6022" w:type="dxa"/>
            <w:noWrap w:val="0"/>
            <w:vAlign w:val="center"/>
          </w:tcPr>
          <w:p w14:paraId="15158C94">
            <w:pPr>
              <w:widowControl w:val="0"/>
              <w:spacing w:line="400" w:lineRule="exact"/>
              <w:jc w:val="both"/>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采购需求的响应程度：</w:t>
            </w:r>
          </w:p>
          <w:p w14:paraId="302DE3FC">
            <w:pPr>
              <w:widowControl w:val="0"/>
              <w:spacing w:line="400" w:lineRule="exact"/>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全部满足磋商文件第四部分“采购需求”的得满分，一般技术参数每项负偏离扣1分，带★的重要技术参数每项负偏离扣2分，扣完为止。（其中标注“▲”的为实质性条款，负偏离做无效标处理）</w:t>
            </w:r>
          </w:p>
          <w:p w14:paraId="4738702C">
            <w:pPr>
              <w:widowControl w:val="0"/>
              <w:spacing w:line="400" w:lineRule="exact"/>
              <w:jc w:val="both"/>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bCs/>
                <w:color w:val="auto"/>
                <w:sz w:val="24"/>
                <w:szCs w:val="24"/>
                <w:highlight w:val="none"/>
                <w:lang w:eastAsia="zh-CN"/>
              </w:rPr>
              <w:t>注：根据采购文件第七部分《商务技术偏离表》格式提供。采购文件中技术指标若有要求投标人提供相应佐证材料的，投标人未提供相应佐证材料或者投标人的响应承诺与其佐证材料不一致的，评标委员会将以不利于投标人的内容为准（负偏离）进行评审。负偏离扣分</w:t>
            </w:r>
            <w:r>
              <w:rPr>
                <w:rFonts w:hint="eastAsia" w:ascii="仿宋" w:hAnsi="仿宋" w:eastAsia="仿宋" w:cs="仿宋"/>
                <w:b/>
                <w:bCs/>
                <w:color w:val="auto"/>
                <w:sz w:val="24"/>
                <w:szCs w:val="24"/>
                <w:highlight w:val="none"/>
                <w:lang w:val="en-US" w:eastAsia="zh-CN"/>
              </w:rPr>
              <w:t>20</w:t>
            </w:r>
            <w:r>
              <w:rPr>
                <w:rFonts w:hint="eastAsia" w:ascii="仿宋" w:hAnsi="仿宋" w:eastAsia="仿宋" w:cs="仿宋"/>
                <w:b/>
                <w:bCs/>
                <w:color w:val="auto"/>
                <w:sz w:val="24"/>
                <w:szCs w:val="24"/>
                <w:highlight w:val="none"/>
                <w:lang w:eastAsia="zh-CN"/>
              </w:rPr>
              <w:t>分及以上的，视为采购人不能接受的附加条件。</w:t>
            </w:r>
          </w:p>
        </w:tc>
        <w:tc>
          <w:tcPr>
            <w:tcW w:w="972" w:type="dxa"/>
            <w:noWrap w:val="0"/>
            <w:vAlign w:val="center"/>
          </w:tcPr>
          <w:p w14:paraId="101348C3">
            <w:pPr>
              <w:widowControl w:val="0"/>
              <w:spacing w:line="30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lang w:eastAsia="zh-CN"/>
              </w:rPr>
              <w:t>分</w:t>
            </w:r>
          </w:p>
        </w:tc>
        <w:tc>
          <w:tcPr>
            <w:tcW w:w="939" w:type="dxa"/>
            <w:noWrap w:val="0"/>
            <w:vAlign w:val="center"/>
          </w:tcPr>
          <w:p w14:paraId="6BBCD851">
            <w:pPr>
              <w:widowControl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c>
          <w:tcPr>
            <w:tcW w:w="1378" w:type="dxa"/>
            <w:noWrap w:val="0"/>
            <w:vAlign w:val="center"/>
          </w:tcPr>
          <w:p w14:paraId="6B90AC0F">
            <w:pPr>
              <w:snapToGrid w:val="0"/>
              <w:spacing w:line="300" w:lineRule="exact"/>
              <w:jc w:val="center"/>
              <w:rPr>
                <w:rFonts w:ascii="仿宋" w:hAnsi="仿宋" w:eastAsia="仿宋" w:cs="仿宋"/>
                <w:color w:val="auto"/>
                <w:sz w:val="24"/>
                <w:highlight w:val="none"/>
              </w:rPr>
            </w:pPr>
          </w:p>
        </w:tc>
      </w:tr>
      <w:tr w14:paraId="75B1C164">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23806C6B">
            <w:pPr>
              <w:widowControl/>
              <w:numPr>
                <w:ilvl w:val="0"/>
                <w:numId w:val="11"/>
              </w:numPr>
              <w:adjustRightInd/>
              <w:snapToGrid w:val="0"/>
              <w:spacing w:line="400" w:lineRule="exact"/>
              <w:jc w:val="center"/>
              <w:rPr>
                <w:rFonts w:ascii="仿宋" w:hAnsi="仿宋" w:eastAsia="仿宋" w:cs="仿宋"/>
                <w:color w:val="auto"/>
                <w:kern w:val="0"/>
                <w:sz w:val="24"/>
                <w:highlight w:val="none"/>
                <w:lang w:eastAsia="en-US"/>
              </w:rPr>
            </w:pPr>
          </w:p>
        </w:tc>
        <w:tc>
          <w:tcPr>
            <w:tcW w:w="6022" w:type="dxa"/>
            <w:noWrap w:val="0"/>
            <w:vAlign w:val="center"/>
          </w:tcPr>
          <w:p w14:paraId="50AADABC">
            <w:pPr>
              <w:snapToGrid/>
              <w:spacing w:line="400" w:lineRule="exact"/>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项目背景理解分析：</w:t>
            </w:r>
          </w:p>
          <w:p w14:paraId="07D63CEB">
            <w:pPr>
              <w:spacing w:line="400" w:lineRule="exact"/>
              <w:rPr>
                <w:rFonts w:hint="eastAsia" w:ascii="仿宋" w:hAnsi="仿宋" w:eastAsia="仿宋" w:cs="仿宋"/>
                <w:color w:val="auto"/>
                <w:sz w:val="24"/>
                <w:highlight w:val="none"/>
              </w:rPr>
            </w:pPr>
            <w:r>
              <w:rPr>
                <w:rFonts w:hint="eastAsia" w:ascii="仿宋" w:hAnsi="仿宋" w:eastAsia="仿宋" w:cs="仿宋"/>
                <w:i w:val="0"/>
                <w:iCs w:val="0"/>
                <w:color w:val="auto"/>
                <w:kern w:val="0"/>
                <w:sz w:val="24"/>
                <w:szCs w:val="24"/>
                <w:highlight w:val="none"/>
                <w:u w:val="none"/>
                <w:lang w:val="en-US" w:eastAsia="zh-CN" w:bidi="ar"/>
              </w:rPr>
              <w:t>根据投标人对项目背景的了解情况，特别是对项目建设区域拱墅区①空气质量等观测数据掌握情况分析评价，包括近三年各点位污染态势及特征、年际变化及月度污染情况规律等②</w:t>
            </w:r>
            <w:r>
              <w:rPr>
                <w:rFonts w:hint="eastAsia" w:ascii="仿宋" w:hAnsi="仿宋" w:eastAsia="仿宋" w:cs="仿宋"/>
                <w:color w:val="auto"/>
                <w:sz w:val="24"/>
                <w:highlight w:val="none"/>
              </w:rPr>
              <w:t>主要污染源如全区重点餐饮、各类工地、涉气企业、重点道路和重点点位等</w:t>
            </w:r>
            <w:r>
              <w:rPr>
                <w:rFonts w:hint="eastAsia" w:ascii="仿宋" w:hAnsi="仿宋" w:eastAsia="仿宋" w:cs="仿宋"/>
                <w:color w:val="auto"/>
                <w:sz w:val="24"/>
                <w:highlight w:val="none"/>
                <w:lang w:val="en-US" w:eastAsia="zh-CN"/>
              </w:rPr>
              <w:t>情况的了解</w:t>
            </w:r>
            <w:r>
              <w:rPr>
                <w:rFonts w:hint="eastAsia" w:ascii="仿宋" w:hAnsi="仿宋" w:eastAsia="仿宋" w:cs="仿宋"/>
                <w:i w:val="0"/>
                <w:iCs w:val="0"/>
                <w:color w:val="auto"/>
                <w:kern w:val="0"/>
                <w:sz w:val="24"/>
                <w:szCs w:val="24"/>
                <w:highlight w:val="none"/>
                <w:u w:val="none"/>
                <w:lang w:val="en-US" w:eastAsia="zh-CN" w:bidi="ar"/>
              </w:rPr>
              <w:t>。根据分析的全面性、合理性评价给分</w:t>
            </w: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val="en-US" w:eastAsia="zh-CN"/>
              </w:rPr>
              <w:t>（评分范围：3,2,1,0）</w:t>
            </w:r>
          </w:p>
        </w:tc>
        <w:tc>
          <w:tcPr>
            <w:tcW w:w="972" w:type="dxa"/>
            <w:noWrap w:val="0"/>
            <w:vAlign w:val="center"/>
          </w:tcPr>
          <w:p w14:paraId="61FF0D3C">
            <w:pPr>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p>
        </w:tc>
        <w:tc>
          <w:tcPr>
            <w:tcW w:w="939" w:type="dxa"/>
            <w:noWrap w:val="0"/>
            <w:vAlign w:val="center"/>
          </w:tcPr>
          <w:p w14:paraId="35BFEA23">
            <w:pPr>
              <w:snapToGrid w:val="0"/>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1378" w:type="dxa"/>
            <w:noWrap w:val="0"/>
            <w:vAlign w:val="center"/>
          </w:tcPr>
          <w:p w14:paraId="449BB539">
            <w:pPr>
              <w:snapToGrid w:val="0"/>
              <w:spacing w:line="300" w:lineRule="exact"/>
              <w:jc w:val="center"/>
              <w:rPr>
                <w:rFonts w:ascii="仿宋" w:hAnsi="仿宋" w:eastAsia="仿宋" w:cs="仿宋"/>
                <w:color w:val="auto"/>
                <w:sz w:val="24"/>
                <w:highlight w:val="none"/>
              </w:rPr>
            </w:pPr>
          </w:p>
        </w:tc>
      </w:tr>
      <w:tr w14:paraId="7480EDA4">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00095DAB">
            <w:pPr>
              <w:widowControl/>
              <w:numPr>
                <w:ilvl w:val="0"/>
                <w:numId w:val="11"/>
              </w:numPr>
              <w:adjustRightInd/>
              <w:snapToGrid w:val="0"/>
              <w:spacing w:line="400" w:lineRule="exact"/>
              <w:jc w:val="center"/>
              <w:rPr>
                <w:rFonts w:ascii="仿宋" w:hAnsi="仿宋" w:eastAsia="仿宋" w:cs="仿宋"/>
                <w:color w:val="auto"/>
                <w:kern w:val="0"/>
                <w:sz w:val="24"/>
                <w:highlight w:val="none"/>
                <w:lang w:eastAsia="en-US"/>
              </w:rPr>
            </w:pPr>
          </w:p>
        </w:tc>
        <w:tc>
          <w:tcPr>
            <w:tcW w:w="6022" w:type="dxa"/>
            <w:noWrap w:val="0"/>
            <w:vAlign w:val="center"/>
          </w:tcPr>
          <w:p w14:paraId="186CF988">
            <w:pPr>
              <w:snapToGrid w:val="0"/>
              <w:spacing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项目重点及难点</w:t>
            </w:r>
            <w:r>
              <w:rPr>
                <w:rFonts w:hint="eastAsia" w:ascii="仿宋" w:hAnsi="仿宋" w:eastAsia="仿宋" w:cs="仿宋"/>
                <w:b/>
                <w:bCs/>
                <w:color w:val="auto"/>
                <w:sz w:val="24"/>
                <w:highlight w:val="none"/>
                <w:lang w:val="en-US" w:eastAsia="zh-CN"/>
              </w:rPr>
              <w:t>分析</w:t>
            </w:r>
            <w:r>
              <w:rPr>
                <w:rFonts w:hint="eastAsia" w:ascii="仿宋" w:hAnsi="仿宋" w:eastAsia="仿宋" w:cs="仿宋"/>
                <w:b/>
                <w:bCs/>
                <w:color w:val="auto"/>
                <w:sz w:val="24"/>
                <w:highlight w:val="none"/>
              </w:rPr>
              <w:t>：</w:t>
            </w:r>
          </w:p>
          <w:p w14:paraId="3AB94A57">
            <w:pPr>
              <w:snapToGrid w:val="0"/>
              <w:spacing w:line="40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投标单位基于自身对本项目采购需求理解与分析的结论，对项目实施重点和难点进行阐述，并提出相关解决方案。</w:t>
            </w:r>
            <w:r>
              <w:rPr>
                <w:rFonts w:hint="eastAsia" w:ascii="仿宋" w:hAnsi="仿宋" w:eastAsia="仿宋" w:cs="仿宋"/>
                <w:color w:val="auto"/>
                <w:sz w:val="24"/>
                <w:szCs w:val="24"/>
                <w:highlight w:val="none"/>
                <w:lang w:val="en-US" w:eastAsia="zh-CN"/>
              </w:rPr>
              <w:t>（评分范围：2,1,0）</w:t>
            </w:r>
          </w:p>
        </w:tc>
        <w:tc>
          <w:tcPr>
            <w:tcW w:w="972" w:type="dxa"/>
            <w:noWrap w:val="0"/>
            <w:vAlign w:val="center"/>
          </w:tcPr>
          <w:p w14:paraId="1057E371">
            <w:pPr>
              <w:snapToGrid w:val="0"/>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p>
        </w:tc>
        <w:tc>
          <w:tcPr>
            <w:tcW w:w="939" w:type="dxa"/>
            <w:noWrap w:val="0"/>
            <w:vAlign w:val="center"/>
          </w:tcPr>
          <w:p w14:paraId="6DECED81">
            <w:pPr>
              <w:snapToGrid w:val="0"/>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1378" w:type="dxa"/>
            <w:noWrap w:val="0"/>
            <w:vAlign w:val="center"/>
          </w:tcPr>
          <w:p w14:paraId="5D176869">
            <w:pPr>
              <w:snapToGrid w:val="0"/>
              <w:spacing w:line="300" w:lineRule="exact"/>
              <w:jc w:val="center"/>
              <w:rPr>
                <w:rFonts w:ascii="仿宋" w:hAnsi="仿宋" w:eastAsia="仿宋" w:cs="仿宋"/>
                <w:color w:val="auto"/>
                <w:sz w:val="24"/>
                <w:highlight w:val="none"/>
              </w:rPr>
            </w:pPr>
          </w:p>
        </w:tc>
      </w:tr>
      <w:tr w14:paraId="097978D1">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43F01F35">
            <w:pPr>
              <w:widowControl/>
              <w:numPr>
                <w:ilvl w:val="0"/>
                <w:numId w:val="11"/>
              </w:numPr>
              <w:adjustRightInd/>
              <w:snapToGrid w:val="0"/>
              <w:spacing w:line="400" w:lineRule="exact"/>
              <w:jc w:val="center"/>
              <w:rPr>
                <w:rFonts w:ascii="仿宋" w:hAnsi="仿宋" w:eastAsia="仿宋" w:cs="仿宋"/>
                <w:color w:val="auto"/>
                <w:kern w:val="0"/>
                <w:sz w:val="24"/>
                <w:highlight w:val="none"/>
                <w:lang w:eastAsia="en-US"/>
              </w:rPr>
            </w:pPr>
          </w:p>
        </w:tc>
        <w:tc>
          <w:tcPr>
            <w:tcW w:w="6022" w:type="dxa"/>
            <w:noWrap w:val="0"/>
            <w:vAlign w:val="center"/>
          </w:tcPr>
          <w:p w14:paraId="5985B319">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auto"/>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“清净”街区建设研判方案：</w:t>
            </w:r>
          </w:p>
          <w:p w14:paraId="5081CD1D">
            <w:pPr>
              <w:snapToGrid w:val="0"/>
              <w:spacing w:line="40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结合投标人对拱墅区的重点区域了解情况，制定“清净”街区建设研判方案，至少包括颗粒物激光雷达的点位布设方案、应用方案及运维方案，评分要求如下：</w:t>
            </w:r>
          </w:p>
          <w:p w14:paraId="28306D56">
            <w:pPr>
              <w:snapToGrid w:val="0"/>
              <w:spacing w:line="40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（1）设备点位布设方案：布设点位合理，能全面覆盖拱墅区重点区域，与区域污染特征相匹配。</w:t>
            </w:r>
            <w:r>
              <w:rPr>
                <w:rFonts w:hint="eastAsia" w:ascii="仿宋" w:hAnsi="仿宋" w:eastAsia="仿宋" w:cs="仿宋"/>
                <w:color w:val="auto"/>
                <w:sz w:val="24"/>
                <w:szCs w:val="24"/>
                <w:highlight w:val="none"/>
                <w:lang w:val="en-US" w:eastAsia="zh-CN"/>
              </w:rPr>
              <w:t>（评分范围：2,1,0）</w:t>
            </w:r>
          </w:p>
          <w:p w14:paraId="694B8441">
            <w:pPr>
              <w:snapToGrid w:val="0"/>
              <w:spacing w:line="40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（2）应用方案：能充分运用信息化技术手段，详细分析拱墅区各点位月度污染情况规律，精准锁定周边主要污染源，且基于扫描“清净”建设区域内污染物实时浓度分布情况，提出合理建议。</w:t>
            </w:r>
            <w:r>
              <w:rPr>
                <w:rFonts w:hint="eastAsia" w:ascii="仿宋" w:hAnsi="仿宋" w:eastAsia="仿宋" w:cs="仿宋"/>
                <w:color w:val="auto"/>
                <w:sz w:val="24"/>
                <w:szCs w:val="24"/>
                <w:highlight w:val="none"/>
                <w:lang w:val="en-US" w:eastAsia="zh-CN"/>
              </w:rPr>
              <w:t>（评分范围：3,2,1,0）</w:t>
            </w:r>
          </w:p>
          <w:p w14:paraId="7D6E42C1">
            <w:pPr>
              <w:snapToGrid w:val="0"/>
              <w:spacing w:line="400" w:lineRule="exact"/>
              <w:jc w:val="left"/>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color w:val="auto"/>
                <w:sz w:val="24"/>
                <w:highlight w:val="none"/>
                <w:lang w:val="en-US" w:eastAsia="zh-CN"/>
              </w:rPr>
              <w:t>（3）运维方案：方案完善、合理、可操作行强，具有针对性的视为满足。</w:t>
            </w:r>
            <w:r>
              <w:rPr>
                <w:rFonts w:hint="eastAsia" w:ascii="仿宋" w:hAnsi="仿宋" w:eastAsia="仿宋" w:cs="仿宋"/>
                <w:color w:val="auto"/>
                <w:sz w:val="24"/>
                <w:szCs w:val="24"/>
                <w:highlight w:val="none"/>
                <w:lang w:val="en-US" w:eastAsia="zh-CN"/>
              </w:rPr>
              <w:t>（评分范围：2,1,0）</w:t>
            </w:r>
          </w:p>
        </w:tc>
        <w:tc>
          <w:tcPr>
            <w:tcW w:w="972" w:type="dxa"/>
            <w:noWrap w:val="0"/>
            <w:vAlign w:val="center"/>
          </w:tcPr>
          <w:p w14:paraId="691C63C6">
            <w:pPr>
              <w:snapToGrid w:val="0"/>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分</w:t>
            </w:r>
          </w:p>
        </w:tc>
        <w:tc>
          <w:tcPr>
            <w:tcW w:w="939" w:type="dxa"/>
            <w:noWrap w:val="0"/>
            <w:vAlign w:val="center"/>
          </w:tcPr>
          <w:p w14:paraId="522B1B75">
            <w:pPr>
              <w:snapToGrid w:val="0"/>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1378" w:type="dxa"/>
            <w:noWrap w:val="0"/>
            <w:vAlign w:val="center"/>
          </w:tcPr>
          <w:p w14:paraId="356D41FC">
            <w:pPr>
              <w:snapToGrid w:val="0"/>
              <w:spacing w:line="300" w:lineRule="exact"/>
              <w:jc w:val="center"/>
              <w:rPr>
                <w:rFonts w:ascii="仿宋" w:hAnsi="仿宋" w:eastAsia="仿宋" w:cs="仿宋"/>
                <w:color w:val="auto"/>
                <w:sz w:val="24"/>
                <w:highlight w:val="none"/>
              </w:rPr>
            </w:pPr>
          </w:p>
        </w:tc>
      </w:tr>
      <w:tr w14:paraId="7D5F36D9">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0C135C01">
            <w:pPr>
              <w:widowControl/>
              <w:numPr>
                <w:ilvl w:val="0"/>
                <w:numId w:val="11"/>
              </w:numPr>
              <w:adjustRightInd/>
              <w:snapToGrid w:val="0"/>
              <w:spacing w:line="400" w:lineRule="exact"/>
              <w:jc w:val="center"/>
              <w:rPr>
                <w:rFonts w:ascii="仿宋" w:hAnsi="仿宋" w:eastAsia="仿宋" w:cs="仿宋"/>
                <w:color w:val="auto"/>
                <w:kern w:val="0"/>
                <w:sz w:val="24"/>
                <w:highlight w:val="none"/>
                <w:lang w:eastAsia="en-US"/>
              </w:rPr>
            </w:pPr>
          </w:p>
        </w:tc>
        <w:tc>
          <w:tcPr>
            <w:tcW w:w="6022" w:type="dxa"/>
            <w:noWrap w:val="0"/>
            <w:vAlign w:val="center"/>
          </w:tcPr>
          <w:p w14:paraId="0AF2B98C">
            <w:pPr>
              <w:snapToGrid w:val="0"/>
              <w:spacing w:line="400" w:lineRule="exact"/>
              <w:jc w:val="left"/>
              <w:rPr>
                <w:rFonts w:hint="eastAsia"/>
                <w:color w:val="auto"/>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清新空气建筑群建设方案</w:t>
            </w:r>
          </w:p>
          <w:p w14:paraId="6EB3102B">
            <w:pPr>
              <w:snapToGrid w:val="0"/>
              <w:spacing w:line="40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根据投标人提供的清新空气建筑群建设方案进行评分，至少包括3D微气象调控系统的点位布设方案、作业后效果评估方法及运维方案，评分要求如下：</w:t>
            </w:r>
          </w:p>
          <w:p w14:paraId="7AE6D932">
            <w:pPr>
              <w:snapToGrid w:val="0"/>
              <w:spacing w:line="40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（1）点位布设方案：根据对拱墅区空气质量及污染分布情况的掌握，选取5个点位安装3D微气象调控系统，建设清新建筑点位。合理布设点位，覆盖目标区域关键位置。</w:t>
            </w:r>
            <w:r>
              <w:rPr>
                <w:rFonts w:hint="eastAsia" w:ascii="仿宋" w:hAnsi="仿宋" w:eastAsia="仿宋" w:cs="仿宋"/>
                <w:color w:val="auto"/>
                <w:sz w:val="24"/>
                <w:szCs w:val="24"/>
                <w:highlight w:val="none"/>
                <w:lang w:val="en-US" w:eastAsia="zh-CN"/>
              </w:rPr>
              <w:t>（评分范围：3,2,1,0）</w:t>
            </w:r>
          </w:p>
          <w:p w14:paraId="74E24AE0">
            <w:pPr>
              <w:snapToGrid w:val="0"/>
              <w:spacing w:line="40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（2）根据投标人提供的3D微气象调控系统作业后效果评估方法进行综合评议：提供的方案中内容详细，分析精准，有效推进本项目实施工作。</w:t>
            </w:r>
            <w:r>
              <w:rPr>
                <w:rFonts w:hint="eastAsia" w:ascii="仿宋" w:hAnsi="仿宋" w:eastAsia="仿宋" w:cs="仿宋"/>
                <w:color w:val="auto"/>
                <w:sz w:val="24"/>
                <w:szCs w:val="24"/>
                <w:highlight w:val="none"/>
                <w:lang w:val="en-US" w:eastAsia="zh-CN"/>
              </w:rPr>
              <w:t>（评分范围：3,2,1,0）</w:t>
            </w:r>
          </w:p>
          <w:p w14:paraId="67D87225">
            <w:pPr>
              <w:snapToGrid w:val="0"/>
              <w:spacing w:line="400" w:lineRule="exact"/>
              <w:jc w:val="left"/>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color w:val="auto"/>
                <w:sz w:val="24"/>
                <w:highlight w:val="none"/>
                <w:lang w:val="en-US" w:eastAsia="zh-CN"/>
              </w:rPr>
              <w:t>（3）运维方案：针对工程建设后的情况，制定为期</w:t>
            </w:r>
            <w:r>
              <w:rPr>
                <w:rFonts w:hint="eastAsia" w:ascii="仿宋" w:hAnsi="仿宋" w:eastAsia="仿宋" w:cs="仿宋"/>
                <w:color w:val="auto"/>
                <w:sz w:val="24"/>
                <w:highlight w:val="none"/>
                <w:lang w:val="en-US" w:eastAsia="zh-CN"/>
              </w:rPr>
              <w:t>2年</w:t>
            </w:r>
            <w:r>
              <w:rPr>
                <w:rFonts w:hint="eastAsia" w:ascii="仿宋" w:hAnsi="仿宋" w:eastAsia="仿宋" w:cs="仿宋"/>
                <w:color w:val="auto"/>
                <w:sz w:val="24"/>
                <w:highlight w:val="none"/>
                <w:lang w:val="en-US" w:eastAsia="zh-CN"/>
              </w:rPr>
              <w:t>的运维方案。方案完善、合理、可操作行强，具有针对性的视为满足。</w:t>
            </w:r>
            <w:r>
              <w:rPr>
                <w:rFonts w:hint="eastAsia" w:ascii="仿宋" w:hAnsi="仿宋" w:eastAsia="仿宋" w:cs="仿宋"/>
                <w:color w:val="auto"/>
                <w:sz w:val="24"/>
                <w:szCs w:val="24"/>
                <w:highlight w:val="none"/>
                <w:lang w:val="en-US" w:eastAsia="zh-CN"/>
              </w:rPr>
              <w:t>（评分范围：2,1,0）</w:t>
            </w:r>
          </w:p>
        </w:tc>
        <w:tc>
          <w:tcPr>
            <w:tcW w:w="972" w:type="dxa"/>
            <w:noWrap w:val="0"/>
            <w:vAlign w:val="center"/>
          </w:tcPr>
          <w:p w14:paraId="33215402">
            <w:pPr>
              <w:snapToGrid w:val="0"/>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分</w:t>
            </w:r>
          </w:p>
        </w:tc>
        <w:tc>
          <w:tcPr>
            <w:tcW w:w="939" w:type="dxa"/>
            <w:noWrap w:val="0"/>
            <w:vAlign w:val="center"/>
          </w:tcPr>
          <w:p w14:paraId="7909E9AD">
            <w:pPr>
              <w:snapToGrid w:val="0"/>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1378" w:type="dxa"/>
            <w:noWrap w:val="0"/>
            <w:vAlign w:val="center"/>
          </w:tcPr>
          <w:p w14:paraId="4424430C">
            <w:pPr>
              <w:snapToGrid w:val="0"/>
              <w:spacing w:line="300" w:lineRule="exact"/>
              <w:jc w:val="center"/>
              <w:rPr>
                <w:rFonts w:ascii="仿宋" w:hAnsi="仿宋" w:eastAsia="仿宋" w:cs="仿宋"/>
                <w:color w:val="auto"/>
                <w:sz w:val="24"/>
                <w:highlight w:val="none"/>
              </w:rPr>
            </w:pPr>
          </w:p>
        </w:tc>
      </w:tr>
      <w:tr w14:paraId="42D3DE0D">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32042F98">
            <w:pPr>
              <w:widowControl/>
              <w:numPr>
                <w:ilvl w:val="0"/>
                <w:numId w:val="11"/>
              </w:numPr>
              <w:adjustRightInd/>
              <w:snapToGrid w:val="0"/>
              <w:spacing w:line="400" w:lineRule="exact"/>
              <w:jc w:val="center"/>
              <w:rPr>
                <w:rFonts w:ascii="仿宋" w:hAnsi="仿宋" w:eastAsia="仿宋" w:cs="仿宋"/>
                <w:color w:val="auto"/>
                <w:kern w:val="0"/>
                <w:sz w:val="24"/>
                <w:highlight w:val="none"/>
                <w:lang w:eastAsia="en-US"/>
              </w:rPr>
            </w:pPr>
          </w:p>
        </w:tc>
        <w:tc>
          <w:tcPr>
            <w:tcW w:w="6022" w:type="dxa"/>
            <w:noWrap w:val="0"/>
            <w:vAlign w:val="center"/>
          </w:tcPr>
          <w:p w14:paraId="2F2147E2">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b/>
                <w:bCs/>
                <w:color w:val="auto"/>
                <w:sz w:val="24"/>
                <w:szCs w:val="24"/>
                <w:highlight w:val="none"/>
                <w:lang w:val="zh-TW" w:eastAsia="zh-CN"/>
              </w:rPr>
            </w:pPr>
            <w:r>
              <w:rPr>
                <w:rFonts w:hint="eastAsia" w:ascii="仿宋" w:hAnsi="仿宋" w:eastAsia="仿宋" w:cs="仿宋"/>
                <w:b/>
                <w:bCs/>
                <w:color w:val="auto"/>
                <w:sz w:val="24"/>
                <w:szCs w:val="24"/>
                <w:highlight w:val="none"/>
                <w:lang w:val="zh-TW" w:eastAsia="zh-CN"/>
              </w:rPr>
              <w:t>应急处理措施方案：</w:t>
            </w:r>
          </w:p>
          <w:p w14:paraId="315CDEF3">
            <w:pPr>
              <w:keepNext w:val="0"/>
              <w:keepLines w:val="0"/>
              <w:pageBreakBefore w:val="0"/>
              <w:kinsoku/>
              <w:wordWrap/>
              <w:overflowPunct/>
              <w:topLinePunct w:val="0"/>
              <w:autoSpaceDE/>
              <w:autoSpaceDN/>
              <w:bidi w:val="0"/>
              <w:adjustRightInd/>
              <w:snapToGrid w:val="0"/>
              <w:spacing w:line="400" w:lineRule="exact"/>
              <w:ind w:firstLine="0" w:firstLineChars="0"/>
              <w:jc w:val="left"/>
              <w:textAlignment w:val="auto"/>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color w:val="auto"/>
                <w:sz w:val="24"/>
                <w:szCs w:val="24"/>
                <w:highlight w:val="none"/>
                <w:lang w:val="en-US" w:eastAsia="zh-CN"/>
              </w:rPr>
              <w:t>投标人须结合本项目要求提供应急处理措施方案，方案完善、合理、可操作行强，具有针对性的视为满足。（评分范围：3,2,1,0）</w:t>
            </w:r>
          </w:p>
        </w:tc>
        <w:tc>
          <w:tcPr>
            <w:tcW w:w="972" w:type="dxa"/>
            <w:noWrap w:val="0"/>
            <w:vAlign w:val="center"/>
          </w:tcPr>
          <w:p w14:paraId="75565AC8">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color w:val="auto"/>
                <w:sz w:val="24"/>
                <w:highlight w:val="none"/>
              </w:rPr>
            </w:pPr>
            <w:r>
              <w:rPr>
                <w:rFonts w:hint="eastAsia" w:ascii="仿宋" w:hAnsi="仿宋" w:eastAsia="仿宋" w:cs="仿宋"/>
                <w:b w:val="0"/>
                <w:bCs w:val="0"/>
                <w:color w:val="auto"/>
                <w:kern w:val="2"/>
                <w:sz w:val="24"/>
                <w:szCs w:val="24"/>
                <w:highlight w:val="none"/>
                <w:lang w:val="en-US" w:eastAsia="zh-CN"/>
              </w:rPr>
              <w:t>3</w:t>
            </w:r>
          </w:p>
        </w:tc>
        <w:tc>
          <w:tcPr>
            <w:tcW w:w="939" w:type="dxa"/>
            <w:noWrap w:val="0"/>
            <w:vAlign w:val="center"/>
          </w:tcPr>
          <w:p w14:paraId="391348E6">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主观分</w:t>
            </w:r>
          </w:p>
        </w:tc>
        <w:tc>
          <w:tcPr>
            <w:tcW w:w="1378" w:type="dxa"/>
            <w:noWrap w:val="0"/>
            <w:vAlign w:val="center"/>
          </w:tcPr>
          <w:p w14:paraId="503A40C0">
            <w:pPr>
              <w:snapToGrid w:val="0"/>
              <w:spacing w:line="300" w:lineRule="exact"/>
              <w:jc w:val="center"/>
              <w:rPr>
                <w:rFonts w:ascii="仿宋" w:hAnsi="仿宋" w:eastAsia="仿宋" w:cs="仿宋"/>
                <w:color w:val="auto"/>
                <w:sz w:val="24"/>
                <w:highlight w:val="none"/>
              </w:rPr>
            </w:pPr>
          </w:p>
        </w:tc>
      </w:tr>
      <w:tr w14:paraId="40F27AAF">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31317D7A">
            <w:pPr>
              <w:widowControl/>
              <w:numPr>
                <w:ilvl w:val="0"/>
                <w:numId w:val="11"/>
              </w:numPr>
              <w:adjustRightInd/>
              <w:snapToGrid w:val="0"/>
              <w:spacing w:line="400" w:lineRule="exact"/>
              <w:jc w:val="center"/>
              <w:rPr>
                <w:rFonts w:ascii="仿宋" w:hAnsi="仿宋" w:eastAsia="仿宋" w:cs="仿宋"/>
                <w:color w:val="auto"/>
                <w:kern w:val="0"/>
                <w:sz w:val="24"/>
                <w:highlight w:val="none"/>
                <w:lang w:eastAsia="en-US"/>
              </w:rPr>
            </w:pPr>
          </w:p>
        </w:tc>
        <w:tc>
          <w:tcPr>
            <w:tcW w:w="6022" w:type="dxa"/>
            <w:noWrap w:val="0"/>
            <w:vAlign w:val="center"/>
          </w:tcPr>
          <w:p w14:paraId="0467C3B5">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培训方案：</w:t>
            </w:r>
          </w:p>
          <w:p w14:paraId="54C423A5">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投标人须结合本项目要求提供培训方案，包括培训计划、培训内容及培训管理措施等，方案完善、合理、可操作行强，具有针对性的视为满足。（评分范围：3,2,1,0）</w:t>
            </w:r>
          </w:p>
        </w:tc>
        <w:tc>
          <w:tcPr>
            <w:tcW w:w="972" w:type="dxa"/>
            <w:noWrap w:val="0"/>
            <w:vAlign w:val="center"/>
          </w:tcPr>
          <w:p w14:paraId="1463AF5F">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3</w:t>
            </w:r>
          </w:p>
        </w:tc>
        <w:tc>
          <w:tcPr>
            <w:tcW w:w="939" w:type="dxa"/>
            <w:noWrap w:val="0"/>
            <w:vAlign w:val="center"/>
          </w:tcPr>
          <w:p w14:paraId="292F3CBD">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主观分</w:t>
            </w:r>
          </w:p>
        </w:tc>
        <w:tc>
          <w:tcPr>
            <w:tcW w:w="1378" w:type="dxa"/>
            <w:noWrap w:val="0"/>
            <w:vAlign w:val="center"/>
          </w:tcPr>
          <w:p w14:paraId="7D0AC9F6">
            <w:pPr>
              <w:snapToGrid w:val="0"/>
              <w:spacing w:line="300" w:lineRule="exact"/>
              <w:jc w:val="center"/>
              <w:rPr>
                <w:rFonts w:ascii="仿宋" w:hAnsi="仿宋" w:eastAsia="仿宋" w:cs="仿宋"/>
                <w:color w:val="auto"/>
                <w:sz w:val="24"/>
                <w:highlight w:val="none"/>
              </w:rPr>
            </w:pPr>
          </w:p>
        </w:tc>
      </w:tr>
      <w:tr w14:paraId="5D823D73">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63AEC358">
            <w:pPr>
              <w:widowControl/>
              <w:numPr>
                <w:ilvl w:val="0"/>
                <w:numId w:val="11"/>
              </w:numPr>
              <w:adjustRightInd/>
              <w:snapToGrid w:val="0"/>
              <w:spacing w:line="400" w:lineRule="exact"/>
              <w:jc w:val="center"/>
              <w:rPr>
                <w:rFonts w:ascii="仿宋" w:hAnsi="仿宋" w:eastAsia="仿宋" w:cs="仿宋"/>
                <w:color w:val="auto"/>
                <w:kern w:val="0"/>
                <w:sz w:val="24"/>
                <w:highlight w:val="none"/>
                <w:lang w:eastAsia="en-US"/>
              </w:rPr>
            </w:pPr>
          </w:p>
        </w:tc>
        <w:tc>
          <w:tcPr>
            <w:tcW w:w="6022" w:type="dxa"/>
            <w:noWrap w:val="0"/>
            <w:vAlign w:val="center"/>
          </w:tcPr>
          <w:p w14:paraId="7D09ED79">
            <w:pPr>
              <w:spacing w:line="400" w:lineRule="exact"/>
              <w:jc w:val="both"/>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设备及软件配备：</w:t>
            </w:r>
          </w:p>
          <w:p w14:paraId="5D574EC9">
            <w:pPr>
              <w:spacing w:line="400" w:lineRule="exact"/>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（1）投标人具有VOCs监测仪（PID及FID）、便携式PM2.5监测仪、便携式PM10监测仪、便携式TSP监测仪及巡查无人机，每项设备得0.5分，共3分。</w:t>
            </w:r>
          </w:p>
          <w:p w14:paraId="5D830FEE">
            <w:pPr>
              <w:spacing w:line="400" w:lineRule="exact"/>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w:t>
            </w:r>
            <w:r>
              <w:rPr>
                <w:rFonts w:hint="eastAsia" w:ascii="仿宋" w:hAnsi="仿宋" w:eastAsia="仿宋" w:cs="仿宋"/>
                <w:i w:val="0"/>
                <w:iCs w:val="0"/>
                <w:color w:val="auto"/>
                <w:kern w:val="0"/>
                <w:sz w:val="24"/>
                <w:szCs w:val="24"/>
                <w:highlight w:val="none"/>
                <w:u w:val="none"/>
                <w:lang w:val="en-US" w:eastAsia="zh-CN" w:bidi="ar"/>
              </w:rPr>
              <w:t>投标人具有移动多参数走航监测设备（颗粒物、NOx）的得2分，缺一项参数不得分。</w:t>
            </w:r>
          </w:p>
          <w:p w14:paraId="1CC9A2F3">
            <w:pPr>
              <w:spacing w:line="400" w:lineRule="exact"/>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（3）投标人</w:t>
            </w:r>
            <w:r>
              <w:rPr>
                <w:rFonts w:hint="eastAsia" w:ascii="仿宋" w:hAnsi="仿宋" w:eastAsia="仿宋" w:cs="仿宋"/>
                <w:color w:val="auto"/>
                <w:sz w:val="24"/>
                <w:szCs w:val="24"/>
                <w:highlight w:val="none"/>
                <w:lang w:eastAsia="zh-CN"/>
              </w:rPr>
              <w:t>具有ADMS等空气质量分析模型软件的得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分。</w:t>
            </w:r>
          </w:p>
          <w:p w14:paraId="2D66DCF5">
            <w:pPr>
              <w:spacing w:line="400" w:lineRule="exact"/>
              <w:jc w:val="both"/>
              <w:rPr>
                <w:rFonts w:hint="eastAsia" w:ascii="仿宋" w:hAnsi="仿宋" w:eastAsia="仿宋" w:cs="仿宋"/>
                <w:color w:val="auto"/>
                <w:sz w:val="24"/>
                <w:highlight w:val="none"/>
              </w:rPr>
            </w:pPr>
            <w:r>
              <w:rPr>
                <w:rFonts w:hint="eastAsia" w:ascii="仿宋" w:hAnsi="仿宋" w:eastAsia="仿宋" w:cs="仿宋"/>
                <w:b/>
                <w:bCs/>
                <w:color w:val="auto"/>
                <w:sz w:val="24"/>
                <w:szCs w:val="24"/>
                <w:highlight w:val="none"/>
                <w:lang w:val="en-US" w:eastAsia="zh-CN"/>
              </w:rPr>
              <w:t>证明材料：</w:t>
            </w:r>
            <w:r>
              <w:rPr>
                <w:rFonts w:hint="eastAsia" w:ascii="仿宋" w:hAnsi="仿宋" w:eastAsia="仿宋" w:cs="仿宋"/>
                <w:b/>
                <w:bCs/>
                <w:color w:val="auto"/>
                <w:sz w:val="24"/>
                <w:szCs w:val="24"/>
                <w:highlight w:val="none"/>
                <w:lang w:eastAsia="zh-CN"/>
              </w:rPr>
              <w:t>移动多参数走航监测设备需提供拍摄清晰的照片，仪器设备和软件</w:t>
            </w:r>
            <w:r>
              <w:rPr>
                <w:rFonts w:hint="eastAsia" w:ascii="仿宋" w:hAnsi="仿宋" w:eastAsia="仿宋" w:cs="仿宋"/>
                <w:b/>
                <w:bCs/>
                <w:color w:val="auto"/>
                <w:sz w:val="24"/>
                <w:szCs w:val="24"/>
                <w:highlight w:val="none"/>
                <w:lang w:val="en-US" w:eastAsia="zh-CN"/>
              </w:rPr>
              <w:t>自有的</w:t>
            </w:r>
            <w:r>
              <w:rPr>
                <w:rFonts w:hint="eastAsia" w:ascii="仿宋" w:hAnsi="仿宋" w:eastAsia="仿宋" w:cs="仿宋"/>
                <w:b/>
                <w:bCs/>
                <w:color w:val="auto"/>
                <w:sz w:val="24"/>
                <w:szCs w:val="24"/>
                <w:highlight w:val="none"/>
                <w:lang w:eastAsia="zh-CN"/>
              </w:rPr>
              <w:t>提供购买发票</w:t>
            </w:r>
            <w:r>
              <w:rPr>
                <w:rFonts w:hint="eastAsia" w:ascii="仿宋" w:hAnsi="仿宋" w:eastAsia="仿宋" w:cs="仿宋"/>
                <w:b/>
                <w:bCs/>
                <w:color w:val="auto"/>
                <w:sz w:val="24"/>
                <w:szCs w:val="24"/>
                <w:highlight w:val="none"/>
                <w:lang w:val="en-US" w:eastAsia="zh-CN"/>
              </w:rPr>
              <w:t>、租赁的提供设备租赁合同及租赁方购买发票</w:t>
            </w:r>
            <w:r>
              <w:rPr>
                <w:rFonts w:hint="eastAsia" w:ascii="仿宋" w:hAnsi="仿宋" w:eastAsia="仿宋" w:cs="仿宋"/>
                <w:b/>
                <w:bCs/>
                <w:color w:val="auto"/>
                <w:sz w:val="24"/>
                <w:szCs w:val="24"/>
                <w:highlight w:val="none"/>
                <w:lang w:eastAsia="zh-CN"/>
              </w:rPr>
              <w:t>，不按要求提供不得分。</w:t>
            </w:r>
          </w:p>
        </w:tc>
        <w:tc>
          <w:tcPr>
            <w:tcW w:w="972" w:type="dxa"/>
            <w:noWrap w:val="0"/>
            <w:vAlign w:val="center"/>
          </w:tcPr>
          <w:p w14:paraId="53BF26C9">
            <w:pPr>
              <w:widowControl w:val="0"/>
              <w:snapToGrid w:val="0"/>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6分</w:t>
            </w:r>
          </w:p>
        </w:tc>
        <w:tc>
          <w:tcPr>
            <w:tcW w:w="939" w:type="dxa"/>
            <w:noWrap w:val="0"/>
            <w:vAlign w:val="center"/>
          </w:tcPr>
          <w:p w14:paraId="5B550926">
            <w:pPr>
              <w:widowControl w:val="0"/>
              <w:snapToGrid w:val="0"/>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客观分</w:t>
            </w:r>
          </w:p>
        </w:tc>
        <w:tc>
          <w:tcPr>
            <w:tcW w:w="1378" w:type="dxa"/>
            <w:noWrap w:val="0"/>
            <w:vAlign w:val="center"/>
          </w:tcPr>
          <w:p w14:paraId="2B7745E9">
            <w:pPr>
              <w:snapToGrid w:val="0"/>
              <w:spacing w:line="300" w:lineRule="exact"/>
              <w:jc w:val="center"/>
              <w:rPr>
                <w:rFonts w:ascii="仿宋" w:hAnsi="仿宋" w:eastAsia="仿宋" w:cs="仿宋"/>
                <w:color w:val="auto"/>
                <w:sz w:val="24"/>
                <w:highlight w:val="none"/>
              </w:rPr>
            </w:pPr>
          </w:p>
        </w:tc>
      </w:tr>
      <w:tr w14:paraId="51A922F7">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10007" w:type="dxa"/>
            <w:gridSpan w:val="5"/>
            <w:shd w:val="clear" w:color="auto" w:fill="E6E0EC"/>
            <w:noWrap w:val="0"/>
            <w:vAlign w:val="center"/>
          </w:tcPr>
          <w:p w14:paraId="51A01003">
            <w:pPr>
              <w:snapToGrid w:val="0"/>
              <w:spacing w:line="400" w:lineRule="exact"/>
              <w:jc w:val="center"/>
              <w:rPr>
                <w:rFonts w:ascii="仿宋" w:hAnsi="仿宋" w:eastAsia="仿宋" w:cs="仿宋"/>
                <w:color w:val="auto"/>
                <w:sz w:val="24"/>
                <w:highlight w:val="none"/>
              </w:rPr>
            </w:pPr>
            <w:r>
              <w:rPr>
                <w:rFonts w:hint="eastAsia" w:ascii="仿宋" w:hAnsi="仿宋" w:eastAsia="仿宋" w:cs="仿宋"/>
                <w:b/>
                <w:bCs/>
                <w:color w:val="auto"/>
                <w:sz w:val="24"/>
                <w:highlight w:val="none"/>
              </w:rPr>
              <w:t>（二）价格分（</w:t>
            </w:r>
            <w:r>
              <w:rPr>
                <w:rFonts w:hint="eastAsia" w:ascii="仿宋" w:hAnsi="仿宋" w:eastAsia="仿宋" w:cs="仿宋"/>
                <w:b/>
                <w:bCs/>
                <w:color w:val="auto"/>
                <w:sz w:val="24"/>
                <w:highlight w:val="none"/>
                <w:lang w:val="en-US" w:eastAsia="zh-CN"/>
              </w:rPr>
              <w:t>3</w:t>
            </w:r>
            <w:r>
              <w:rPr>
                <w:rFonts w:hint="eastAsia" w:ascii="仿宋" w:hAnsi="仿宋" w:eastAsia="仿宋" w:cs="仿宋"/>
                <w:b/>
                <w:bCs/>
                <w:color w:val="auto"/>
                <w:sz w:val="24"/>
                <w:highlight w:val="none"/>
              </w:rPr>
              <w:t>0分）</w:t>
            </w:r>
          </w:p>
        </w:tc>
      </w:tr>
      <w:tr w14:paraId="4A65ACDB">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10455247">
            <w:pPr>
              <w:numPr>
                <w:ilvl w:val="0"/>
                <w:numId w:val="11"/>
              </w:numPr>
              <w:snapToGrid w:val="0"/>
              <w:spacing w:line="400" w:lineRule="exact"/>
              <w:ind w:left="425" w:hanging="425"/>
              <w:jc w:val="center"/>
              <w:rPr>
                <w:rFonts w:hint="eastAsia" w:ascii="仿宋" w:hAnsi="仿宋" w:eastAsia="仿宋" w:cs="仿宋"/>
                <w:color w:val="auto"/>
                <w:sz w:val="24"/>
                <w:highlight w:val="none"/>
                <w:lang w:eastAsia="zh-CN"/>
              </w:rPr>
            </w:pPr>
          </w:p>
        </w:tc>
        <w:tc>
          <w:tcPr>
            <w:tcW w:w="6022" w:type="dxa"/>
            <w:noWrap w:val="0"/>
            <w:vAlign w:val="center"/>
          </w:tcPr>
          <w:p w14:paraId="1E4FC49D">
            <w:pPr>
              <w:spacing w:line="40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有效投标报价的最低</w:t>
            </w:r>
            <w:r>
              <w:rPr>
                <w:rFonts w:hint="eastAsia" w:ascii="仿宋" w:hAnsi="仿宋" w:eastAsia="仿宋" w:cs="仿宋"/>
                <w:b/>
                <w:color w:val="auto"/>
                <w:sz w:val="24"/>
                <w:highlight w:val="none"/>
                <w:lang w:val="en-US" w:eastAsia="zh-CN"/>
              </w:rPr>
              <w:t>报价</w:t>
            </w:r>
            <w:r>
              <w:rPr>
                <w:rFonts w:hint="eastAsia" w:ascii="仿宋" w:hAnsi="仿宋" w:eastAsia="仿宋" w:cs="仿宋"/>
                <w:b/>
                <w:color w:val="auto"/>
                <w:sz w:val="24"/>
                <w:highlight w:val="none"/>
              </w:rPr>
              <w:t>作为评标基准价，其最低</w:t>
            </w:r>
            <w:r>
              <w:rPr>
                <w:rFonts w:hint="eastAsia" w:ascii="仿宋" w:hAnsi="仿宋" w:eastAsia="仿宋" w:cs="仿宋"/>
                <w:b/>
                <w:color w:val="auto"/>
                <w:sz w:val="24"/>
                <w:highlight w:val="none"/>
                <w:lang w:val="en-US" w:eastAsia="zh-CN"/>
              </w:rPr>
              <w:t>报价报价</w:t>
            </w:r>
            <w:r>
              <w:rPr>
                <w:rFonts w:hint="eastAsia" w:ascii="仿宋" w:hAnsi="仿宋" w:eastAsia="仿宋" w:cs="仿宋"/>
                <w:b/>
                <w:color w:val="auto"/>
                <w:sz w:val="24"/>
                <w:highlight w:val="none"/>
              </w:rPr>
              <w:t>为满分；按［投标报价得分=（评标基准价/投标</w:t>
            </w:r>
            <w:r>
              <w:rPr>
                <w:rFonts w:hint="eastAsia" w:ascii="仿宋" w:hAnsi="仿宋" w:eastAsia="仿宋" w:cs="仿宋"/>
                <w:b/>
                <w:color w:val="auto"/>
                <w:sz w:val="24"/>
                <w:highlight w:val="none"/>
                <w:lang w:val="en-US" w:eastAsia="zh-CN"/>
              </w:rPr>
              <w:t>报价</w:t>
            </w:r>
            <w:r>
              <w:rPr>
                <w:rFonts w:hint="eastAsia" w:ascii="仿宋" w:hAnsi="仿宋" w:eastAsia="仿宋" w:cs="仿宋"/>
                <w:b/>
                <w:color w:val="auto"/>
                <w:sz w:val="24"/>
                <w:highlight w:val="none"/>
              </w:rPr>
              <w:t>）×</w:t>
            </w:r>
            <w:r>
              <w:rPr>
                <w:rFonts w:hint="eastAsia" w:ascii="仿宋" w:hAnsi="仿宋" w:eastAsia="仿宋" w:cs="仿宋"/>
                <w:b/>
                <w:iCs/>
                <w:color w:val="auto"/>
                <w:sz w:val="24"/>
                <w:highlight w:val="none"/>
                <w:u w:val="single"/>
                <w:lang w:val="en-US" w:eastAsia="zh-CN"/>
              </w:rPr>
              <w:t>3</w:t>
            </w:r>
            <w:r>
              <w:rPr>
                <w:rFonts w:hint="eastAsia" w:ascii="仿宋" w:hAnsi="仿宋" w:eastAsia="仿宋" w:cs="仿宋"/>
                <w:b/>
                <w:iCs/>
                <w:color w:val="auto"/>
                <w:sz w:val="24"/>
                <w:highlight w:val="none"/>
                <w:u w:val="single"/>
              </w:rPr>
              <w:t>0</w:t>
            </w:r>
            <w:r>
              <w:rPr>
                <w:rFonts w:hint="eastAsia" w:ascii="仿宋" w:hAnsi="仿宋" w:eastAsia="仿宋" w:cs="仿宋"/>
                <w:b/>
                <w:color w:val="auto"/>
                <w:sz w:val="24"/>
                <w:highlight w:val="none"/>
              </w:rPr>
              <w:t>］的计算公式计算。</w:t>
            </w:r>
          </w:p>
          <w:p w14:paraId="7C584C65">
            <w:pPr>
              <w:spacing w:line="400" w:lineRule="exact"/>
              <w:rPr>
                <w:rFonts w:ascii="仿宋" w:hAnsi="仿宋" w:eastAsia="仿宋" w:cs="仿宋"/>
                <w:color w:val="auto"/>
                <w:kern w:val="0"/>
                <w:sz w:val="24"/>
                <w:highlight w:val="none"/>
              </w:rPr>
            </w:pPr>
            <w:r>
              <w:rPr>
                <w:rFonts w:hint="eastAsia" w:ascii="仿宋" w:hAnsi="仿宋" w:eastAsia="仿宋" w:cs="仿宋"/>
                <w:color w:val="auto"/>
                <w:sz w:val="24"/>
                <w:highlight w:val="none"/>
              </w:rPr>
              <w:t>备注：评审过程中，不得去掉报价中的最高报价和最低报价。因落实政府采购政策需要进行价格调整的，以调整后的价格计算评标基准价和磋商报价。</w:t>
            </w:r>
          </w:p>
        </w:tc>
        <w:tc>
          <w:tcPr>
            <w:tcW w:w="972" w:type="dxa"/>
            <w:noWrap w:val="0"/>
            <w:vAlign w:val="center"/>
          </w:tcPr>
          <w:p w14:paraId="23B722D9">
            <w:pPr>
              <w:spacing w:line="276" w:lineRule="auto"/>
              <w:jc w:val="center"/>
              <w:rPr>
                <w:rFonts w:ascii="仿宋" w:hAnsi="仿宋" w:eastAsia="仿宋" w:cs="仿宋"/>
                <w:color w:val="auto"/>
                <w:sz w:val="24"/>
                <w:highlight w:val="none"/>
              </w:rPr>
            </w:pPr>
            <w:r>
              <w:rPr>
                <w:rFonts w:hint="eastAsia" w:ascii="仿宋" w:hAnsi="仿宋" w:eastAsia="仿宋" w:cs="仿宋"/>
                <w:b/>
                <w:iCs/>
                <w:color w:val="auto"/>
                <w:sz w:val="24"/>
                <w:highlight w:val="none"/>
                <w:lang w:val="en-US" w:eastAsia="zh-CN"/>
              </w:rPr>
              <w:t>3</w:t>
            </w:r>
            <w:r>
              <w:rPr>
                <w:rFonts w:hint="eastAsia" w:ascii="仿宋" w:hAnsi="仿宋" w:eastAsia="仿宋" w:cs="仿宋"/>
                <w:b/>
                <w:iCs/>
                <w:color w:val="auto"/>
                <w:sz w:val="24"/>
                <w:highlight w:val="none"/>
              </w:rPr>
              <w:t>0</w:t>
            </w:r>
          </w:p>
        </w:tc>
        <w:tc>
          <w:tcPr>
            <w:tcW w:w="939" w:type="dxa"/>
            <w:noWrap w:val="0"/>
            <w:vAlign w:val="center"/>
          </w:tcPr>
          <w:p w14:paraId="3BE577C4">
            <w:pPr>
              <w:snapToGrid w:val="0"/>
              <w:spacing w:line="300" w:lineRule="exact"/>
              <w:jc w:val="center"/>
              <w:rPr>
                <w:rFonts w:ascii="仿宋" w:hAnsi="仿宋" w:eastAsia="仿宋" w:cs="仿宋"/>
                <w:color w:val="auto"/>
                <w:sz w:val="24"/>
                <w:highlight w:val="none"/>
              </w:rPr>
            </w:pPr>
          </w:p>
        </w:tc>
        <w:tc>
          <w:tcPr>
            <w:tcW w:w="1378" w:type="dxa"/>
            <w:noWrap w:val="0"/>
            <w:vAlign w:val="center"/>
          </w:tcPr>
          <w:p w14:paraId="512B1DB0">
            <w:pPr>
              <w:snapToGrid w:val="0"/>
              <w:spacing w:line="300" w:lineRule="exact"/>
              <w:jc w:val="center"/>
              <w:rPr>
                <w:rFonts w:ascii="仿宋" w:hAnsi="仿宋" w:eastAsia="仿宋" w:cs="仿宋"/>
                <w:color w:val="auto"/>
                <w:sz w:val="24"/>
                <w:highlight w:val="none"/>
              </w:rPr>
            </w:pPr>
          </w:p>
        </w:tc>
      </w:tr>
      <w:tr w14:paraId="35E64C23">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8629" w:type="dxa"/>
            <w:gridSpan w:val="4"/>
            <w:noWrap w:val="0"/>
            <w:vAlign w:val="center"/>
          </w:tcPr>
          <w:p w14:paraId="385C013F">
            <w:pPr>
              <w:snapToGrid w:val="0"/>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合计</w:t>
            </w:r>
          </w:p>
        </w:tc>
        <w:tc>
          <w:tcPr>
            <w:tcW w:w="1378" w:type="dxa"/>
            <w:noWrap w:val="0"/>
            <w:vAlign w:val="center"/>
          </w:tcPr>
          <w:p w14:paraId="2BB5837C">
            <w:pPr>
              <w:snapToGrid w:val="0"/>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100分</w:t>
            </w:r>
          </w:p>
        </w:tc>
      </w:tr>
    </w:tbl>
    <w:p w14:paraId="33495EF8">
      <w:pPr>
        <w:pStyle w:val="2"/>
        <w:ind w:left="0" w:leftChars="0" w:firstLine="0" w:firstLineChars="0"/>
        <w:rPr>
          <w:rFonts w:hint="eastAsia" w:ascii="仿宋" w:hAnsi="仿宋" w:eastAsia="仿宋" w:cs="宋体"/>
          <w:b/>
          <w:color w:val="auto"/>
          <w:sz w:val="32"/>
          <w:szCs w:val="20"/>
          <w:highlight w:val="none"/>
        </w:rPr>
      </w:pPr>
    </w:p>
    <w:p w14:paraId="298F4DBE">
      <w:pPr>
        <w:ind w:left="0" w:leftChars="0" w:firstLineChars="0"/>
        <w:rPr>
          <w:rFonts w:hint="eastAsia" w:ascii="仿宋" w:hAnsi="仿宋" w:eastAsia="仿宋" w:cs="宋体"/>
          <w:b/>
          <w:color w:val="auto"/>
          <w:sz w:val="32"/>
          <w:szCs w:val="20"/>
          <w:highlight w:val="none"/>
        </w:rPr>
      </w:pPr>
      <w:r>
        <w:rPr>
          <w:rFonts w:hint="eastAsia" w:ascii="仿宋" w:hAnsi="仿宋" w:eastAsia="仿宋" w:cs="宋体"/>
          <w:b/>
          <w:color w:val="auto"/>
          <w:sz w:val="32"/>
          <w:szCs w:val="20"/>
          <w:highlight w:val="none"/>
        </w:rPr>
        <w:br w:type="page"/>
      </w:r>
    </w:p>
    <w:p w14:paraId="1A3F8C8E">
      <w:pPr>
        <w:pStyle w:val="2"/>
        <w:ind w:left="0" w:leftChars="0" w:firstLine="0" w:firstLineChars="0"/>
        <w:jc w:val="center"/>
        <w:outlineLvl w:val="1"/>
        <w:rPr>
          <w:color w:val="auto"/>
          <w:highlight w:val="none"/>
        </w:rPr>
      </w:pPr>
      <w:r>
        <w:rPr>
          <w:rFonts w:hint="eastAsia" w:ascii="仿宋" w:hAnsi="仿宋" w:eastAsia="仿宋" w:cs="宋体"/>
          <w:b/>
          <w:color w:val="auto"/>
          <w:sz w:val="32"/>
          <w:szCs w:val="20"/>
          <w:highlight w:val="none"/>
        </w:rPr>
        <w:t>评标办法前附表</w:t>
      </w:r>
      <w:r>
        <w:rPr>
          <w:rFonts w:hint="eastAsia" w:ascii="仿宋" w:hAnsi="仿宋" w:eastAsia="仿宋" w:cs="宋体"/>
          <w:b/>
          <w:color w:val="auto"/>
          <w:sz w:val="32"/>
          <w:szCs w:val="20"/>
          <w:highlight w:val="none"/>
          <w:lang w:eastAsia="zh-CN"/>
        </w:rPr>
        <w:t>（</w:t>
      </w:r>
      <w:r>
        <w:rPr>
          <w:rFonts w:hint="eastAsia" w:ascii="仿宋" w:hAnsi="仿宋" w:eastAsia="仿宋" w:cs="宋体"/>
          <w:b/>
          <w:color w:val="auto"/>
          <w:sz w:val="32"/>
          <w:szCs w:val="20"/>
          <w:highlight w:val="none"/>
          <w:lang w:val="en-US" w:eastAsia="zh-CN"/>
        </w:rPr>
        <w:t>标项二</w:t>
      </w:r>
      <w:r>
        <w:rPr>
          <w:rFonts w:hint="eastAsia" w:ascii="仿宋" w:hAnsi="仿宋" w:eastAsia="仿宋" w:cs="宋体"/>
          <w:b/>
          <w:color w:val="auto"/>
          <w:sz w:val="32"/>
          <w:szCs w:val="20"/>
          <w:highlight w:val="none"/>
          <w:lang w:eastAsia="zh-CN"/>
        </w:rPr>
        <w:t>）</w:t>
      </w:r>
    </w:p>
    <w:tbl>
      <w:tblPr>
        <w:tblStyle w:val="23"/>
        <w:tblW w:w="10007" w:type="dxa"/>
        <w:tblInd w:w="-743"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696"/>
        <w:gridCol w:w="6022"/>
        <w:gridCol w:w="972"/>
        <w:gridCol w:w="939"/>
        <w:gridCol w:w="1378"/>
      </w:tblGrid>
      <w:tr w14:paraId="1E9C7A11">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PrEx>
        <w:trPr>
          <w:tblHeader/>
        </w:trPr>
        <w:tc>
          <w:tcPr>
            <w:tcW w:w="696" w:type="dxa"/>
            <w:shd w:val="clear" w:color="auto" w:fill="F1F1F1"/>
            <w:noWrap w:val="0"/>
            <w:vAlign w:val="center"/>
          </w:tcPr>
          <w:p w14:paraId="19C4A5E6">
            <w:pPr>
              <w:snapToGrid w:val="0"/>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6022" w:type="dxa"/>
            <w:shd w:val="clear" w:color="auto" w:fill="F1F1F1"/>
            <w:noWrap w:val="0"/>
            <w:vAlign w:val="center"/>
          </w:tcPr>
          <w:p w14:paraId="602C13A4">
            <w:pPr>
              <w:snapToGrid w:val="0"/>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评标标准</w:t>
            </w:r>
          </w:p>
        </w:tc>
        <w:tc>
          <w:tcPr>
            <w:tcW w:w="972" w:type="dxa"/>
            <w:shd w:val="clear" w:color="auto" w:fill="F1F1F1"/>
            <w:noWrap w:val="0"/>
            <w:vAlign w:val="center"/>
          </w:tcPr>
          <w:p w14:paraId="736CB383">
            <w:pPr>
              <w:snapToGrid w:val="0"/>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最高分值</w:t>
            </w:r>
          </w:p>
        </w:tc>
        <w:tc>
          <w:tcPr>
            <w:tcW w:w="939" w:type="dxa"/>
            <w:shd w:val="clear" w:color="auto" w:fill="F1F1F1"/>
            <w:noWrap w:val="0"/>
            <w:vAlign w:val="center"/>
          </w:tcPr>
          <w:p w14:paraId="45F2898D">
            <w:pPr>
              <w:snapToGrid w:val="0"/>
              <w:spacing w:line="3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主观分/客观分属性</w:t>
            </w:r>
          </w:p>
        </w:tc>
        <w:tc>
          <w:tcPr>
            <w:tcW w:w="1378" w:type="dxa"/>
            <w:shd w:val="clear" w:color="auto" w:fill="F1F1F1"/>
            <w:noWrap w:val="0"/>
            <w:vAlign w:val="center"/>
          </w:tcPr>
          <w:p w14:paraId="4917EA93">
            <w:pPr>
              <w:snapToGrid w:val="0"/>
              <w:spacing w:line="300" w:lineRule="exact"/>
              <w:jc w:val="center"/>
              <w:rPr>
                <w:rFonts w:ascii="仿宋" w:hAnsi="仿宋" w:eastAsia="仿宋" w:cs="仿宋"/>
                <w:color w:val="auto"/>
                <w:sz w:val="24"/>
                <w:highlight w:val="none"/>
              </w:rPr>
            </w:pPr>
            <w:r>
              <w:rPr>
                <w:rFonts w:hint="eastAsia" w:ascii="仿宋" w:hAnsi="仿宋" w:eastAsia="仿宋" w:cs="仿宋"/>
                <w:bCs/>
                <w:color w:val="auto"/>
                <w:sz w:val="24"/>
                <w:highlight w:val="none"/>
              </w:rPr>
              <w:t>投标文件中评标标准相应的商务技术资料目录*</w:t>
            </w:r>
          </w:p>
        </w:tc>
      </w:tr>
      <w:tr w14:paraId="51376F5D">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10007" w:type="dxa"/>
            <w:gridSpan w:val="5"/>
            <w:shd w:val="clear" w:color="auto" w:fill="E6E0EC"/>
            <w:noWrap w:val="0"/>
            <w:vAlign w:val="center"/>
          </w:tcPr>
          <w:p w14:paraId="5FF10133">
            <w:pPr>
              <w:snapToGrid w:val="0"/>
              <w:spacing w:line="300" w:lineRule="exact"/>
              <w:jc w:val="center"/>
              <w:rPr>
                <w:rFonts w:ascii="仿宋" w:hAnsi="仿宋" w:eastAsia="仿宋" w:cs="仿宋"/>
                <w:color w:val="auto"/>
                <w:sz w:val="24"/>
                <w:highlight w:val="none"/>
              </w:rPr>
            </w:pPr>
            <w:r>
              <w:rPr>
                <w:rFonts w:hint="eastAsia" w:ascii="仿宋" w:hAnsi="仿宋" w:eastAsia="仿宋" w:cs="仿宋"/>
                <w:b/>
                <w:bCs/>
                <w:color w:val="auto"/>
                <w:sz w:val="24"/>
                <w:highlight w:val="none"/>
              </w:rPr>
              <w:t>（一）商务技术分（</w:t>
            </w:r>
            <w:r>
              <w:rPr>
                <w:rFonts w:hint="eastAsia" w:ascii="仿宋" w:hAnsi="仿宋" w:eastAsia="仿宋" w:cs="仿宋"/>
                <w:b/>
                <w:bCs/>
                <w:color w:val="auto"/>
                <w:sz w:val="24"/>
                <w:highlight w:val="none"/>
                <w:lang w:val="en-US" w:eastAsia="zh-CN"/>
              </w:rPr>
              <w:t>9</w:t>
            </w:r>
            <w:r>
              <w:rPr>
                <w:rFonts w:hint="eastAsia" w:ascii="仿宋" w:hAnsi="仿宋" w:eastAsia="仿宋" w:cs="仿宋"/>
                <w:b/>
                <w:bCs/>
                <w:color w:val="auto"/>
                <w:sz w:val="24"/>
                <w:highlight w:val="none"/>
              </w:rPr>
              <w:t>0分）</w:t>
            </w:r>
          </w:p>
        </w:tc>
      </w:tr>
      <w:tr w14:paraId="7376F10B">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4A4058C0">
            <w:pPr>
              <w:widowControl/>
              <w:numPr>
                <w:ilvl w:val="0"/>
                <w:numId w:val="12"/>
              </w:numPr>
              <w:adjustRightInd/>
              <w:snapToGrid w:val="0"/>
              <w:spacing w:line="400" w:lineRule="exact"/>
              <w:jc w:val="center"/>
              <w:rPr>
                <w:rFonts w:ascii="仿宋" w:hAnsi="仿宋" w:eastAsia="仿宋" w:cs="仿宋"/>
                <w:color w:val="auto"/>
                <w:kern w:val="0"/>
                <w:sz w:val="24"/>
                <w:highlight w:val="none"/>
              </w:rPr>
            </w:pPr>
          </w:p>
        </w:tc>
        <w:tc>
          <w:tcPr>
            <w:tcW w:w="6022" w:type="dxa"/>
            <w:noWrap w:val="0"/>
            <w:vAlign w:val="center"/>
          </w:tcPr>
          <w:p w14:paraId="4AE80724">
            <w:pPr>
              <w:spacing w:line="4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投标人业绩：</w:t>
            </w:r>
          </w:p>
          <w:p w14:paraId="39203E12">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自202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年1月1日以来（以合同签订时间为准）具有</w:t>
            </w:r>
            <w:r>
              <w:rPr>
                <w:rFonts w:hint="eastAsia" w:ascii="仿宋" w:hAnsi="仿宋" w:eastAsia="仿宋" w:cs="仿宋"/>
                <w:color w:val="auto"/>
                <w:sz w:val="24"/>
                <w:highlight w:val="none"/>
                <w:lang w:val="en-US" w:eastAsia="zh-CN"/>
              </w:rPr>
              <w:t>同类项目建设或采购</w:t>
            </w:r>
            <w:r>
              <w:rPr>
                <w:rFonts w:hint="eastAsia" w:ascii="仿宋" w:hAnsi="仿宋" w:eastAsia="仿宋" w:cs="仿宋"/>
                <w:color w:val="auto"/>
                <w:sz w:val="24"/>
                <w:highlight w:val="none"/>
              </w:rPr>
              <w:t>业绩的（以提供的合同扫描件为准）：每提供1份合同业绩得</w:t>
            </w:r>
            <w:r>
              <w:rPr>
                <w:rFonts w:hint="eastAsia" w:ascii="仿宋" w:hAnsi="仿宋" w:eastAsia="仿宋" w:cs="仿宋"/>
                <w:color w:val="auto"/>
                <w:sz w:val="24"/>
                <w:highlight w:val="none"/>
                <w:lang w:val="en-US" w:eastAsia="zh-CN"/>
              </w:rPr>
              <w:t>0.5</w:t>
            </w:r>
            <w:r>
              <w:rPr>
                <w:rFonts w:hint="eastAsia" w:ascii="仿宋" w:hAnsi="仿宋" w:eastAsia="仿宋" w:cs="仿宋"/>
                <w:color w:val="auto"/>
                <w:sz w:val="24"/>
                <w:highlight w:val="none"/>
              </w:rPr>
              <w:t>分，满分</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w:t>
            </w:r>
          </w:p>
          <w:p w14:paraId="6A411EFE">
            <w:pPr>
              <w:spacing w:line="400" w:lineRule="exact"/>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证明材料：须提供清晰可辨的合同扫描件加盖电子签章。联合体投标的，联合体各方分别提供与联合体协议中规定的分工内容相应的业绩证明材料，业绩数量以提供材料较少的一方为准。</w:t>
            </w:r>
          </w:p>
        </w:tc>
        <w:tc>
          <w:tcPr>
            <w:tcW w:w="972" w:type="dxa"/>
            <w:noWrap w:val="0"/>
            <w:vAlign w:val="center"/>
          </w:tcPr>
          <w:p w14:paraId="17A1345D">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w:t>
            </w:r>
          </w:p>
        </w:tc>
        <w:tc>
          <w:tcPr>
            <w:tcW w:w="939" w:type="dxa"/>
            <w:noWrap w:val="0"/>
            <w:vAlign w:val="center"/>
          </w:tcPr>
          <w:p w14:paraId="15F98865">
            <w:pPr>
              <w:snapToGrid w:val="0"/>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c>
          <w:tcPr>
            <w:tcW w:w="1378" w:type="dxa"/>
            <w:noWrap w:val="0"/>
            <w:vAlign w:val="center"/>
          </w:tcPr>
          <w:p w14:paraId="0EC38A5F">
            <w:pPr>
              <w:snapToGrid w:val="0"/>
              <w:spacing w:line="300" w:lineRule="exact"/>
              <w:jc w:val="center"/>
              <w:rPr>
                <w:rFonts w:ascii="仿宋" w:hAnsi="仿宋" w:eastAsia="仿宋" w:cs="仿宋"/>
                <w:color w:val="auto"/>
                <w:sz w:val="24"/>
                <w:highlight w:val="none"/>
              </w:rPr>
            </w:pPr>
          </w:p>
        </w:tc>
      </w:tr>
      <w:tr w14:paraId="7DEAD429">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467AC90F">
            <w:pPr>
              <w:widowControl/>
              <w:numPr>
                <w:ilvl w:val="0"/>
                <w:numId w:val="12"/>
              </w:numPr>
              <w:adjustRightInd/>
              <w:snapToGrid w:val="0"/>
              <w:spacing w:line="400" w:lineRule="exact"/>
              <w:jc w:val="center"/>
              <w:rPr>
                <w:rFonts w:ascii="仿宋" w:hAnsi="仿宋" w:eastAsia="仿宋" w:cs="仿宋"/>
                <w:color w:val="auto"/>
                <w:kern w:val="0"/>
                <w:sz w:val="24"/>
                <w:highlight w:val="none"/>
                <w:lang w:eastAsia="en-US"/>
              </w:rPr>
            </w:pPr>
          </w:p>
        </w:tc>
        <w:tc>
          <w:tcPr>
            <w:tcW w:w="6022" w:type="dxa"/>
            <w:noWrap w:val="0"/>
            <w:vAlign w:val="center"/>
          </w:tcPr>
          <w:p w14:paraId="20C173A2">
            <w:pPr>
              <w:spacing w:line="40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项目负责人情况：</w:t>
            </w:r>
          </w:p>
          <w:p w14:paraId="1AC4938F">
            <w:pPr>
              <w:spacing w:line="400" w:lineRule="exact"/>
              <w:rPr>
                <w:rFonts w:ascii="仿宋" w:hAnsi="仿宋" w:eastAsia="仿宋" w:cs="仿宋"/>
                <w:color w:val="auto"/>
                <w:sz w:val="24"/>
                <w:highlight w:val="none"/>
              </w:rPr>
            </w:pPr>
            <w:r>
              <w:rPr>
                <w:rFonts w:ascii="仿宋" w:hAnsi="仿宋" w:eastAsia="仿宋" w:cs="仿宋"/>
                <w:color w:val="auto"/>
                <w:sz w:val="24"/>
                <w:highlight w:val="none"/>
              </w:rPr>
              <w:t>拟派项目负责人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具有</w:t>
            </w:r>
            <w:r>
              <w:rPr>
                <w:rFonts w:hint="eastAsia" w:ascii="仿宋" w:hAnsi="仿宋" w:eastAsia="仿宋" w:cs="仿宋"/>
                <w:color w:val="auto"/>
                <w:sz w:val="24"/>
                <w:highlight w:val="none"/>
              </w:rPr>
              <w:t>人社部门颁发的环境类</w:t>
            </w:r>
            <w:r>
              <w:rPr>
                <w:rFonts w:hint="eastAsia" w:ascii="仿宋" w:hAnsi="仿宋" w:eastAsia="仿宋" w:cs="仿宋"/>
                <w:color w:val="auto"/>
                <w:sz w:val="24"/>
                <w:szCs w:val="24"/>
                <w:highlight w:val="none"/>
                <w:lang w:val="en-US" w:eastAsia="zh-CN"/>
              </w:rPr>
              <w:t>相关专业</w:t>
            </w:r>
            <w:r>
              <w:rPr>
                <w:rFonts w:hint="eastAsia" w:ascii="仿宋" w:hAnsi="仿宋" w:eastAsia="仿宋" w:cs="仿宋"/>
                <w:color w:val="auto"/>
                <w:sz w:val="24"/>
                <w:highlight w:val="none"/>
              </w:rPr>
              <w:t>高级</w:t>
            </w:r>
            <w:r>
              <w:rPr>
                <w:rFonts w:hint="eastAsia" w:ascii="仿宋" w:hAnsi="仿宋" w:eastAsia="仿宋" w:cs="仿宋"/>
                <w:color w:val="auto"/>
                <w:sz w:val="24"/>
                <w:highlight w:val="none"/>
                <w:lang w:val="en-US" w:eastAsia="zh-CN"/>
              </w:rPr>
              <w:t>及以上</w:t>
            </w:r>
            <w:r>
              <w:rPr>
                <w:rFonts w:hint="eastAsia" w:ascii="仿宋" w:hAnsi="仿宋" w:eastAsia="仿宋" w:cs="仿宋"/>
                <w:color w:val="auto"/>
                <w:sz w:val="24"/>
                <w:highlight w:val="none"/>
              </w:rPr>
              <w:t>职称证书</w:t>
            </w:r>
            <w:r>
              <w:rPr>
                <w:rFonts w:hint="eastAsia" w:ascii="仿宋" w:hAnsi="仿宋" w:eastAsia="仿宋" w:cs="仿宋"/>
                <w:color w:val="auto"/>
                <w:sz w:val="24"/>
                <w:highlight w:val="none"/>
                <w:lang w:val="en-US" w:eastAsia="zh-CN"/>
              </w:rPr>
              <w:t>的</w:t>
            </w:r>
            <w:r>
              <w:rPr>
                <w:rFonts w:hint="eastAsia" w:ascii="仿宋" w:hAnsi="仿宋" w:eastAsia="仿宋" w:cs="仿宋"/>
                <w:i w:val="0"/>
                <w:iCs w:val="0"/>
                <w:color w:val="auto"/>
                <w:kern w:val="0"/>
                <w:sz w:val="24"/>
                <w:szCs w:val="24"/>
                <w:highlight w:val="none"/>
                <w:u w:val="none"/>
                <w:lang w:val="en-US" w:eastAsia="zh-CN" w:bidi="ar"/>
              </w:rPr>
              <w:t>得2分</w:t>
            </w:r>
            <w:r>
              <w:rPr>
                <w:rFonts w:hint="eastAsia" w:ascii="仿宋" w:hAnsi="仿宋" w:eastAsia="仿宋" w:cs="仿宋"/>
                <w:color w:val="auto"/>
                <w:sz w:val="24"/>
                <w:highlight w:val="none"/>
              </w:rPr>
              <w:t>。</w:t>
            </w:r>
          </w:p>
          <w:p w14:paraId="6E399394">
            <w:pPr>
              <w:spacing w:line="400" w:lineRule="exact"/>
              <w:rPr>
                <w:rFonts w:ascii="仿宋" w:hAnsi="仿宋" w:eastAsia="仿宋" w:cs="仿宋"/>
                <w:b/>
                <w:bCs/>
                <w:color w:val="auto"/>
                <w:sz w:val="24"/>
                <w:highlight w:val="none"/>
              </w:rPr>
            </w:pPr>
            <w:r>
              <w:rPr>
                <w:rFonts w:ascii="仿宋" w:hAnsi="仿宋" w:eastAsia="仿宋" w:cs="仿宋"/>
                <w:b/>
                <w:bCs/>
                <w:color w:val="auto"/>
                <w:sz w:val="24"/>
                <w:highlight w:val="none"/>
              </w:rPr>
              <w:t>证明材料：拟派项目负责人必须为投标人社保在册的正式员工，提供相关证明材料复印件、身份证并加盖公章，且同时提供投标单位为该人员缴纳</w:t>
            </w:r>
            <w:r>
              <w:rPr>
                <w:rFonts w:hint="eastAsia" w:ascii="仿宋" w:hAnsi="仿宋" w:eastAsia="仿宋" w:cs="仿宋"/>
                <w:b/>
                <w:bCs/>
                <w:color w:val="auto"/>
                <w:sz w:val="24"/>
                <w:highlight w:val="none"/>
              </w:rPr>
              <w:t>开标前3个月内任意一个月</w:t>
            </w:r>
            <w:r>
              <w:rPr>
                <w:rFonts w:ascii="仿宋" w:hAnsi="仿宋" w:eastAsia="仿宋" w:cs="仿宋"/>
                <w:b/>
                <w:bCs/>
                <w:color w:val="auto"/>
                <w:sz w:val="24"/>
                <w:highlight w:val="none"/>
              </w:rPr>
              <w:t>的社保养老保险缴纳证明，不提供或者不能提供有效证明的不得分。</w:t>
            </w:r>
          </w:p>
        </w:tc>
        <w:tc>
          <w:tcPr>
            <w:tcW w:w="972" w:type="dxa"/>
            <w:noWrap w:val="0"/>
            <w:vAlign w:val="center"/>
          </w:tcPr>
          <w:p w14:paraId="10F27697">
            <w:pPr>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p>
        </w:tc>
        <w:tc>
          <w:tcPr>
            <w:tcW w:w="939" w:type="dxa"/>
            <w:noWrap w:val="0"/>
            <w:vAlign w:val="center"/>
          </w:tcPr>
          <w:p w14:paraId="099E5CDA">
            <w:pPr>
              <w:snapToGrid w:val="0"/>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c>
          <w:tcPr>
            <w:tcW w:w="1378" w:type="dxa"/>
            <w:noWrap w:val="0"/>
            <w:vAlign w:val="center"/>
          </w:tcPr>
          <w:p w14:paraId="5DECC393">
            <w:pPr>
              <w:snapToGrid w:val="0"/>
              <w:spacing w:line="300" w:lineRule="exact"/>
              <w:jc w:val="center"/>
              <w:rPr>
                <w:rFonts w:ascii="仿宋" w:hAnsi="仿宋" w:eastAsia="仿宋" w:cs="仿宋"/>
                <w:color w:val="auto"/>
                <w:sz w:val="24"/>
                <w:highlight w:val="none"/>
              </w:rPr>
            </w:pPr>
          </w:p>
        </w:tc>
      </w:tr>
      <w:tr w14:paraId="33FA6BC8">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7C2BA811">
            <w:pPr>
              <w:widowControl/>
              <w:numPr>
                <w:ilvl w:val="0"/>
                <w:numId w:val="12"/>
              </w:numPr>
              <w:adjustRightInd/>
              <w:snapToGrid w:val="0"/>
              <w:spacing w:line="400" w:lineRule="exact"/>
              <w:jc w:val="center"/>
              <w:rPr>
                <w:rFonts w:ascii="仿宋" w:hAnsi="仿宋" w:eastAsia="仿宋" w:cs="仿宋"/>
                <w:color w:val="auto"/>
                <w:kern w:val="0"/>
                <w:sz w:val="24"/>
                <w:highlight w:val="none"/>
                <w:lang w:eastAsia="en-US"/>
              </w:rPr>
            </w:pPr>
          </w:p>
        </w:tc>
        <w:tc>
          <w:tcPr>
            <w:tcW w:w="6022" w:type="dxa"/>
            <w:noWrap w:val="0"/>
            <w:vAlign w:val="center"/>
          </w:tcPr>
          <w:p w14:paraId="61682450">
            <w:pPr>
              <w:spacing w:line="40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项目团队人员情况（除项目负责人外）：</w:t>
            </w:r>
          </w:p>
          <w:p w14:paraId="2D2387EB">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（1）项目技术负责人1人，具有人社部门颁发的环境类相关专业高级职称资格证书及注册环保工程师资格证书得3分，仅具有其中一个证书的得1分，不具备不得分，本项最高得3分。</w:t>
            </w:r>
          </w:p>
          <w:p w14:paraId="1406DA33">
            <w:pPr>
              <w:spacing w:line="40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（2）除项目负责人、项目技术负责人外，工作组成员具备高级工程师职称（环境类专业）每人得1分，其余不得分，本项最高得5分。</w:t>
            </w:r>
          </w:p>
          <w:p w14:paraId="1F1A09C4">
            <w:pPr>
              <w:spacing w:line="40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（3）拟投入的项目组开发成员具有专科及以上计算机科学与技术专业的得0.5分，具有专科及以上软件工程或技术专业的得0.5分，本项最高得1分。</w:t>
            </w:r>
          </w:p>
          <w:p w14:paraId="0381C0D9">
            <w:pPr>
              <w:spacing w:line="40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（4）拟投入的项目组运维人员具有专科及以上机械设计与制造专业得0.5分，具有专科及以上环境工程专业的得0.5分，本项最高得1分。</w:t>
            </w:r>
          </w:p>
          <w:p w14:paraId="61FA4217">
            <w:pPr>
              <w:spacing w:line="400" w:lineRule="exact"/>
              <w:rPr>
                <w:rFonts w:ascii="仿宋" w:hAnsi="仿宋" w:eastAsia="仿宋" w:cs="仿宋"/>
                <w:b/>
                <w:bCs/>
                <w:color w:val="auto"/>
                <w:sz w:val="24"/>
                <w:highlight w:val="none"/>
              </w:rPr>
            </w:pPr>
            <w:r>
              <w:rPr>
                <w:rFonts w:ascii="仿宋" w:hAnsi="仿宋" w:eastAsia="仿宋" w:cs="仿宋"/>
                <w:b/>
                <w:bCs/>
                <w:color w:val="auto"/>
                <w:sz w:val="24"/>
                <w:highlight w:val="none"/>
              </w:rPr>
              <w:t>证明材料：拟派</w:t>
            </w:r>
            <w:r>
              <w:rPr>
                <w:rFonts w:hint="eastAsia" w:ascii="仿宋" w:hAnsi="仿宋" w:eastAsia="仿宋" w:cs="仿宋"/>
                <w:b/>
                <w:bCs/>
                <w:color w:val="auto"/>
                <w:sz w:val="24"/>
                <w:highlight w:val="none"/>
              </w:rPr>
              <w:t>人员</w:t>
            </w:r>
            <w:r>
              <w:rPr>
                <w:rFonts w:ascii="仿宋" w:hAnsi="仿宋" w:eastAsia="仿宋" w:cs="仿宋"/>
                <w:b/>
                <w:bCs/>
                <w:color w:val="auto"/>
                <w:sz w:val="24"/>
                <w:highlight w:val="none"/>
              </w:rPr>
              <w:t>必须为投标人社保在册的正式员工，提供相关证明材料复印件、身份证并加盖公章，且同时提供投标单位为该人员缴纳</w:t>
            </w:r>
            <w:r>
              <w:rPr>
                <w:rFonts w:hint="eastAsia" w:ascii="仿宋" w:hAnsi="仿宋" w:eastAsia="仿宋" w:cs="仿宋"/>
                <w:b/>
                <w:bCs/>
                <w:color w:val="auto"/>
                <w:sz w:val="24"/>
                <w:highlight w:val="none"/>
              </w:rPr>
              <w:t>开标前3个月内任意一个月</w:t>
            </w:r>
            <w:r>
              <w:rPr>
                <w:rFonts w:ascii="仿宋" w:hAnsi="仿宋" w:eastAsia="仿宋" w:cs="仿宋"/>
                <w:b/>
                <w:bCs/>
                <w:color w:val="auto"/>
                <w:sz w:val="24"/>
                <w:highlight w:val="none"/>
              </w:rPr>
              <w:t>的社保养老保险缴纳证明，不提供或者不能提供有效证明的不得分。</w:t>
            </w:r>
          </w:p>
        </w:tc>
        <w:tc>
          <w:tcPr>
            <w:tcW w:w="972" w:type="dxa"/>
            <w:noWrap w:val="0"/>
            <w:vAlign w:val="center"/>
          </w:tcPr>
          <w:p w14:paraId="76A492CD">
            <w:pPr>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分</w:t>
            </w:r>
          </w:p>
        </w:tc>
        <w:tc>
          <w:tcPr>
            <w:tcW w:w="939" w:type="dxa"/>
            <w:noWrap w:val="0"/>
            <w:vAlign w:val="center"/>
          </w:tcPr>
          <w:p w14:paraId="75412BCF">
            <w:pPr>
              <w:snapToGrid w:val="0"/>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c>
          <w:tcPr>
            <w:tcW w:w="1378" w:type="dxa"/>
            <w:noWrap w:val="0"/>
            <w:vAlign w:val="center"/>
          </w:tcPr>
          <w:p w14:paraId="02731F06">
            <w:pPr>
              <w:snapToGrid w:val="0"/>
              <w:spacing w:line="300" w:lineRule="exact"/>
              <w:jc w:val="center"/>
              <w:rPr>
                <w:rFonts w:ascii="仿宋" w:hAnsi="仿宋" w:eastAsia="仿宋" w:cs="仿宋"/>
                <w:color w:val="auto"/>
                <w:sz w:val="24"/>
                <w:highlight w:val="none"/>
              </w:rPr>
            </w:pPr>
          </w:p>
        </w:tc>
      </w:tr>
      <w:tr w14:paraId="6F7A612C">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6120C7A8">
            <w:pPr>
              <w:widowControl/>
              <w:numPr>
                <w:ilvl w:val="0"/>
                <w:numId w:val="12"/>
              </w:numPr>
              <w:adjustRightInd/>
              <w:snapToGrid w:val="0"/>
              <w:spacing w:line="400" w:lineRule="exact"/>
              <w:jc w:val="center"/>
              <w:rPr>
                <w:rFonts w:ascii="仿宋" w:hAnsi="仿宋" w:eastAsia="仿宋" w:cs="仿宋"/>
                <w:color w:val="auto"/>
                <w:kern w:val="0"/>
                <w:sz w:val="24"/>
                <w:highlight w:val="none"/>
                <w:lang w:eastAsia="en-US"/>
              </w:rPr>
            </w:pPr>
          </w:p>
        </w:tc>
        <w:tc>
          <w:tcPr>
            <w:tcW w:w="6022" w:type="dxa"/>
            <w:noWrap w:val="0"/>
            <w:vAlign w:val="center"/>
          </w:tcPr>
          <w:p w14:paraId="5A79F62C">
            <w:pPr>
              <w:spacing w:line="400" w:lineRule="exact"/>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val="en-US" w:eastAsia="zh-CN"/>
              </w:rPr>
              <w:t>认证</w:t>
            </w:r>
            <w:r>
              <w:rPr>
                <w:rFonts w:hint="eastAsia" w:ascii="仿宋" w:hAnsi="仿宋" w:eastAsia="仿宋" w:cs="仿宋"/>
                <w:b/>
                <w:bCs/>
                <w:color w:val="auto"/>
                <w:sz w:val="24"/>
                <w:highlight w:val="none"/>
              </w:rPr>
              <w:t>情况</w:t>
            </w:r>
            <w:r>
              <w:rPr>
                <w:rFonts w:hint="eastAsia" w:ascii="仿宋" w:hAnsi="仿宋" w:eastAsia="仿宋" w:cs="仿宋"/>
                <w:b/>
                <w:bCs/>
                <w:color w:val="auto"/>
                <w:sz w:val="24"/>
                <w:highlight w:val="none"/>
                <w:lang w:eastAsia="zh-CN"/>
              </w:rPr>
              <w:t>：</w:t>
            </w:r>
          </w:p>
          <w:p w14:paraId="457C5B4C">
            <w:pPr>
              <w:spacing w:line="400" w:lineRule="exact"/>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投标人具有在有效期内的①质量管理体系认证证书、②环境管理体系认证证书、③职业健康安全管理体系认证</w:t>
            </w:r>
            <w:r>
              <w:rPr>
                <w:rFonts w:hint="eastAsia" w:ascii="仿宋" w:hAnsi="仿宋" w:eastAsia="仿宋" w:cs="仿宋"/>
                <w:b w:val="0"/>
                <w:bCs w:val="0"/>
                <w:color w:val="auto"/>
                <w:sz w:val="24"/>
                <w:highlight w:val="none"/>
                <w:lang w:val="en-US" w:eastAsia="zh-CN"/>
              </w:rPr>
              <w:t>证书</w:t>
            </w:r>
            <w:r>
              <w:rPr>
                <w:rFonts w:hint="eastAsia" w:ascii="仿宋" w:hAnsi="仿宋" w:eastAsia="仿宋" w:cs="仿宋"/>
                <w:b w:val="0"/>
                <w:bCs w:val="0"/>
                <w:color w:val="auto"/>
                <w:sz w:val="24"/>
                <w:highlight w:val="none"/>
              </w:rPr>
              <w:t>，每提供一个得1分，总分3分。</w:t>
            </w:r>
          </w:p>
          <w:p w14:paraId="5CB0A440">
            <w:pPr>
              <w:spacing w:line="400" w:lineRule="exact"/>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rPr>
              <w:t>证明材料：投标文件中提供证书复印件及全国认证认可信息公共服务平台（http://cx.cnca.cn/）查询截图并加盖公章，否则不得分</w:t>
            </w:r>
            <w:r>
              <w:rPr>
                <w:rFonts w:hint="eastAsia" w:ascii="仿宋" w:hAnsi="仿宋" w:eastAsia="仿宋" w:cs="仿宋"/>
                <w:b/>
                <w:bCs/>
                <w:color w:val="auto"/>
                <w:sz w:val="24"/>
                <w:highlight w:val="none"/>
                <w:lang w:eastAsia="zh-CN"/>
              </w:rPr>
              <w:t>。</w:t>
            </w:r>
          </w:p>
        </w:tc>
        <w:tc>
          <w:tcPr>
            <w:tcW w:w="972" w:type="dxa"/>
            <w:noWrap w:val="0"/>
            <w:vAlign w:val="center"/>
          </w:tcPr>
          <w:p w14:paraId="5A960E06">
            <w:pPr>
              <w:spacing w:line="30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3分</w:t>
            </w:r>
          </w:p>
        </w:tc>
        <w:tc>
          <w:tcPr>
            <w:tcW w:w="939" w:type="dxa"/>
            <w:noWrap w:val="0"/>
            <w:vAlign w:val="center"/>
          </w:tcPr>
          <w:p w14:paraId="61E37923">
            <w:pPr>
              <w:snapToGrid w:val="0"/>
              <w:spacing w:line="30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客观分</w:t>
            </w:r>
          </w:p>
        </w:tc>
        <w:tc>
          <w:tcPr>
            <w:tcW w:w="1378" w:type="dxa"/>
            <w:noWrap w:val="0"/>
            <w:vAlign w:val="center"/>
          </w:tcPr>
          <w:p w14:paraId="246FB0EA">
            <w:pPr>
              <w:snapToGrid w:val="0"/>
              <w:spacing w:line="300" w:lineRule="exact"/>
              <w:jc w:val="center"/>
              <w:rPr>
                <w:rFonts w:ascii="仿宋" w:hAnsi="仿宋" w:eastAsia="仿宋" w:cs="仿宋"/>
                <w:color w:val="auto"/>
                <w:sz w:val="24"/>
                <w:highlight w:val="none"/>
              </w:rPr>
            </w:pPr>
          </w:p>
        </w:tc>
      </w:tr>
      <w:tr w14:paraId="26B8616D">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2BA471DA">
            <w:pPr>
              <w:widowControl/>
              <w:numPr>
                <w:ilvl w:val="0"/>
                <w:numId w:val="12"/>
              </w:numPr>
              <w:adjustRightInd/>
              <w:snapToGrid w:val="0"/>
              <w:spacing w:line="400" w:lineRule="exact"/>
              <w:jc w:val="center"/>
              <w:rPr>
                <w:rFonts w:ascii="仿宋" w:hAnsi="仿宋" w:eastAsia="仿宋" w:cs="仿宋"/>
                <w:color w:val="auto"/>
                <w:kern w:val="0"/>
                <w:sz w:val="24"/>
                <w:highlight w:val="none"/>
                <w:lang w:eastAsia="en-US"/>
              </w:rPr>
            </w:pPr>
          </w:p>
        </w:tc>
        <w:tc>
          <w:tcPr>
            <w:tcW w:w="6022" w:type="dxa"/>
            <w:noWrap w:val="0"/>
            <w:vAlign w:val="center"/>
          </w:tcPr>
          <w:p w14:paraId="7E459709">
            <w:pPr>
              <w:widowControl w:val="0"/>
              <w:spacing w:line="400" w:lineRule="exact"/>
              <w:jc w:val="both"/>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采购需求的响应程度：</w:t>
            </w:r>
          </w:p>
          <w:p w14:paraId="3B19E4BB">
            <w:pPr>
              <w:widowControl w:val="0"/>
              <w:spacing w:line="400" w:lineRule="exact"/>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全部满足磋商文件第四部分“采购需求”的得满分，一般技术参数每项负偏离扣1分，带★的重要技术参数每项负偏离扣2分，扣完为止。（其中标注“▲”的为实质性条款，负偏离做无效标处理）</w:t>
            </w:r>
          </w:p>
          <w:p w14:paraId="1D0E3CFF">
            <w:pPr>
              <w:widowControl w:val="0"/>
              <w:spacing w:line="400" w:lineRule="exact"/>
              <w:jc w:val="both"/>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bCs/>
                <w:color w:val="auto"/>
                <w:sz w:val="24"/>
                <w:szCs w:val="24"/>
                <w:highlight w:val="none"/>
                <w:lang w:eastAsia="zh-CN"/>
              </w:rPr>
              <w:t>注：根据采购文件第七部分《商务技术偏离表》格式提供。采购文件中技术指标若有要求投标人提供相应佐证材料的，投标人未提供相应佐证材料或者投标人的响应承诺与其佐证材料不一致的，评标委员会将以不利于投标人的内容为准（负偏离）进行评审。负偏离扣分</w:t>
            </w:r>
            <w:r>
              <w:rPr>
                <w:rFonts w:hint="eastAsia" w:ascii="仿宋" w:hAnsi="仿宋" w:eastAsia="仿宋" w:cs="仿宋"/>
                <w:b/>
                <w:bCs/>
                <w:color w:val="auto"/>
                <w:sz w:val="24"/>
                <w:szCs w:val="24"/>
                <w:highlight w:val="none"/>
                <w:lang w:val="en-US" w:eastAsia="zh-CN"/>
              </w:rPr>
              <w:t>25</w:t>
            </w:r>
            <w:r>
              <w:rPr>
                <w:rFonts w:hint="eastAsia" w:ascii="仿宋" w:hAnsi="仿宋" w:eastAsia="仿宋" w:cs="仿宋"/>
                <w:b/>
                <w:bCs/>
                <w:color w:val="auto"/>
                <w:sz w:val="24"/>
                <w:szCs w:val="24"/>
                <w:highlight w:val="none"/>
                <w:lang w:eastAsia="zh-CN"/>
              </w:rPr>
              <w:t>分及以上的，视为采购人不能接受的附加条件。</w:t>
            </w:r>
          </w:p>
        </w:tc>
        <w:tc>
          <w:tcPr>
            <w:tcW w:w="972" w:type="dxa"/>
            <w:noWrap w:val="0"/>
            <w:vAlign w:val="center"/>
          </w:tcPr>
          <w:p w14:paraId="1A2E0C78">
            <w:pPr>
              <w:widowControl w:val="0"/>
              <w:spacing w:line="30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lang w:eastAsia="zh-CN"/>
              </w:rPr>
              <w:t>分</w:t>
            </w:r>
          </w:p>
        </w:tc>
        <w:tc>
          <w:tcPr>
            <w:tcW w:w="939" w:type="dxa"/>
            <w:noWrap w:val="0"/>
            <w:vAlign w:val="center"/>
          </w:tcPr>
          <w:p w14:paraId="0CE9181C">
            <w:pPr>
              <w:widowControl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c>
          <w:tcPr>
            <w:tcW w:w="1378" w:type="dxa"/>
            <w:noWrap w:val="0"/>
            <w:vAlign w:val="center"/>
          </w:tcPr>
          <w:p w14:paraId="78FA97FC">
            <w:pPr>
              <w:snapToGrid w:val="0"/>
              <w:spacing w:line="300" w:lineRule="exact"/>
              <w:jc w:val="center"/>
              <w:rPr>
                <w:rFonts w:ascii="仿宋" w:hAnsi="仿宋" w:eastAsia="仿宋" w:cs="仿宋"/>
                <w:color w:val="auto"/>
                <w:sz w:val="24"/>
                <w:highlight w:val="none"/>
              </w:rPr>
            </w:pPr>
          </w:p>
        </w:tc>
      </w:tr>
      <w:tr w14:paraId="10954924">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59010CBD">
            <w:pPr>
              <w:widowControl/>
              <w:numPr>
                <w:ilvl w:val="0"/>
                <w:numId w:val="12"/>
              </w:numPr>
              <w:adjustRightInd/>
              <w:snapToGrid w:val="0"/>
              <w:spacing w:line="400" w:lineRule="exact"/>
              <w:jc w:val="center"/>
              <w:rPr>
                <w:rFonts w:ascii="仿宋" w:hAnsi="仿宋" w:eastAsia="仿宋" w:cs="仿宋"/>
                <w:color w:val="auto"/>
                <w:kern w:val="0"/>
                <w:sz w:val="24"/>
                <w:highlight w:val="none"/>
                <w:lang w:eastAsia="en-US"/>
              </w:rPr>
            </w:pPr>
          </w:p>
        </w:tc>
        <w:tc>
          <w:tcPr>
            <w:tcW w:w="6022" w:type="dxa"/>
            <w:noWrap w:val="0"/>
            <w:vAlign w:val="center"/>
          </w:tcPr>
          <w:p w14:paraId="1F2F499C">
            <w:pPr>
              <w:snapToGrid w:val="0"/>
              <w:spacing w:line="400" w:lineRule="exact"/>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项目背景理解分析：</w:t>
            </w:r>
          </w:p>
          <w:p w14:paraId="558EE3D9">
            <w:pPr>
              <w:spacing w:line="400" w:lineRule="exact"/>
              <w:rPr>
                <w:rFonts w:hint="eastAsia" w:ascii="仿宋" w:hAnsi="仿宋" w:eastAsia="仿宋" w:cs="仿宋"/>
                <w:color w:val="auto"/>
                <w:sz w:val="24"/>
                <w:highlight w:val="none"/>
              </w:rPr>
            </w:pPr>
            <w:r>
              <w:rPr>
                <w:rFonts w:hint="eastAsia" w:ascii="仿宋" w:hAnsi="仿宋" w:eastAsia="仿宋" w:cs="仿宋"/>
                <w:i w:val="0"/>
                <w:iCs w:val="0"/>
                <w:color w:val="auto"/>
                <w:kern w:val="0"/>
                <w:sz w:val="24"/>
                <w:szCs w:val="24"/>
                <w:highlight w:val="none"/>
                <w:u w:val="none"/>
                <w:lang w:val="en-US" w:eastAsia="zh-CN" w:bidi="ar"/>
              </w:rPr>
              <w:t>根据投标人对项目背景的了解情况，特别是对项目建设区域拱墅区空气质量等观测数据掌握情况分析评价，包括各点位污染态势及特征、年际变化及月度污染情况规律等。根据分析的全面性、合理性评价给分</w:t>
            </w: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val="en-US" w:eastAsia="zh-CN"/>
              </w:rPr>
              <w:t>（评分范围：3,2,1,0）</w:t>
            </w:r>
          </w:p>
        </w:tc>
        <w:tc>
          <w:tcPr>
            <w:tcW w:w="972" w:type="dxa"/>
            <w:noWrap w:val="0"/>
            <w:vAlign w:val="center"/>
          </w:tcPr>
          <w:p w14:paraId="460E40CA">
            <w:pPr>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3分</w:t>
            </w:r>
          </w:p>
        </w:tc>
        <w:tc>
          <w:tcPr>
            <w:tcW w:w="939" w:type="dxa"/>
            <w:noWrap w:val="0"/>
            <w:vAlign w:val="center"/>
          </w:tcPr>
          <w:p w14:paraId="0ED748C2">
            <w:pPr>
              <w:snapToGrid w:val="0"/>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1378" w:type="dxa"/>
            <w:noWrap w:val="0"/>
            <w:vAlign w:val="center"/>
          </w:tcPr>
          <w:p w14:paraId="6608C92E">
            <w:pPr>
              <w:snapToGrid w:val="0"/>
              <w:spacing w:line="300" w:lineRule="exact"/>
              <w:jc w:val="center"/>
              <w:rPr>
                <w:rFonts w:ascii="仿宋" w:hAnsi="仿宋" w:eastAsia="仿宋" w:cs="仿宋"/>
                <w:color w:val="auto"/>
                <w:sz w:val="24"/>
                <w:highlight w:val="none"/>
              </w:rPr>
            </w:pPr>
          </w:p>
        </w:tc>
      </w:tr>
      <w:tr w14:paraId="7E27B42F">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21F5D64D">
            <w:pPr>
              <w:widowControl/>
              <w:numPr>
                <w:ilvl w:val="0"/>
                <w:numId w:val="12"/>
              </w:numPr>
              <w:adjustRightInd/>
              <w:snapToGrid w:val="0"/>
              <w:spacing w:line="400" w:lineRule="exact"/>
              <w:jc w:val="center"/>
              <w:rPr>
                <w:rFonts w:ascii="仿宋" w:hAnsi="仿宋" w:eastAsia="仿宋" w:cs="仿宋"/>
                <w:color w:val="auto"/>
                <w:kern w:val="0"/>
                <w:sz w:val="24"/>
                <w:highlight w:val="none"/>
                <w:lang w:eastAsia="en-US"/>
              </w:rPr>
            </w:pPr>
          </w:p>
        </w:tc>
        <w:tc>
          <w:tcPr>
            <w:tcW w:w="6022" w:type="dxa"/>
            <w:noWrap w:val="0"/>
            <w:vAlign w:val="center"/>
          </w:tcPr>
          <w:p w14:paraId="68F87B50">
            <w:pPr>
              <w:snapToGrid w:val="0"/>
              <w:spacing w:line="400" w:lineRule="exact"/>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项目目标理解分析：</w:t>
            </w:r>
          </w:p>
          <w:p w14:paraId="69E5BAB5">
            <w:pPr>
              <w:snapToGrid w:val="0"/>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投标人对服务目标的确定，有针对本项目的近期、远期服务目标，目标层次非常清晰、具体，可执行、有独到见解等。</w:t>
            </w:r>
            <w:r>
              <w:rPr>
                <w:rFonts w:hint="eastAsia" w:ascii="仿宋" w:hAnsi="仿宋" w:eastAsia="仿宋" w:cs="仿宋"/>
                <w:color w:val="auto"/>
                <w:sz w:val="24"/>
                <w:szCs w:val="24"/>
                <w:highlight w:val="none"/>
                <w:lang w:val="en-US" w:eastAsia="zh-CN"/>
              </w:rPr>
              <w:t>（评分范围：3,2,1,0）</w:t>
            </w:r>
          </w:p>
        </w:tc>
        <w:tc>
          <w:tcPr>
            <w:tcW w:w="972" w:type="dxa"/>
            <w:noWrap w:val="0"/>
            <w:vAlign w:val="center"/>
          </w:tcPr>
          <w:p w14:paraId="219B244B">
            <w:pPr>
              <w:spacing w:line="30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3分</w:t>
            </w:r>
          </w:p>
        </w:tc>
        <w:tc>
          <w:tcPr>
            <w:tcW w:w="939" w:type="dxa"/>
            <w:noWrap w:val="0"/>
            <w:vAlign w:val="center"/>
          </w:tcPr>
          <w:p w14:paraId="4ED44867">
            <w:pPr>
              <w:snapToGrid w:val="0"/>
              <w:spacing w:line="30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主观分</w:t>
            </w:r>
          </w:p>
        </w:tc>
        <w:tc>
          <w:tcPr>
            <w:tcW w:w="1378" w:type="dxa"/>
            <w:noWrap w:val="0"/>
            <w:vAlign w:val="center"/>
          </w:tcPr>
          <w:p w14:paraId="08A402B4">
            <w:pPr>
              <w:snapToGrid w:val="0"/>
              <w:spacing w:line="300" w:lineRule="exact"/>
              <w:jc w:val="center"/>
              <w:rPr>
                <w:rFonts w:ascii="仿宋" w:hAnsi="仿宋" w:eastAsia="仿宋" w:cs="仿宋"/>
                <w:color w:val="auto"/>
                <w:sz w:val="24"/>
                <w:highlight w:val="none"/>
              </w:rPr>
            </w:pPr>
          </w:p>
        </w:tc>
      </w:tr>
      <w:tr w14:paraId="3559DEA0">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48C3C1D8">
            <w:pPr>
              <w:widowControl/>
              <w:numPr>
                <w:ilvl w:val="0"/>
                <w:numId w:val="12"/>
              </w:numPr>
              <w:adjustRightInd/>
              <w:snapToGrid w:val="0"/>
              <w:spacing w:line="400" w:lineRule="exact"/>
              <w:jc w:val="center"/>
              <w:rPr>
                <w:rFonts w:ascii="仿宋" w:hAnsi="仿宋" w:eastAsia="仿宋" w:cs="仿宋"/>
                <w:color w:val="auto"/>
                <w:kern w:val="0"/>
                <w:sz w:val="24"/>
                <w:highlight w:val="none"/>
                <w:lang w:eastAsia="en-US"/>
              </w:rPr>
            </w:pPr>
          </w:p>
        </w:tc>
        <w:tc>
          <w:tcPr>
            <w:tcW w:w="6022" w:type="dxa"/>
            <w:noWrap w:val="0"/>
            <w:vAlign w:val="center"/>
          </w:tcPr>
          <w:p w14:paraId="7431358D">
            <w:pPr>
              <w:snapToGrid w:val="0"/>
              <w:spacing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项目重点及难点</w:t>
            </w:r>
            <w:r>
              <w:rPr>
                <w:rFonts w:hint="eastAsia" w:ascii="仿宋" w:hAnsi="仿宋" w:eastAsia="仿宋" w:cs="仿宋"/>
                <w:b/>
                <w:bCs/>
                <w:color w:val="auto"/>
                <w:sz w:val="24"/>
                <w:highlight w:val="none"/>
                <w:lang w:val="en-US" w:eastAsia="zh-CN"/>
              </w:rPr>
              <w:t>分析</w:t>
            </w:r>
            <w:r>
              <w:rPr>
                <w:rFonts w:hint="eastAsia" w:ascii="仿宋" w:hAnsi="仿宋" w:eastAsia="仿宋" w:cs="仿宋"/>
                <w:b/>
                <w:bCs/>
                <w:color w:val="auto"/>
                <w:sz w:val="24"/>
                <w:highlight w:val="none"/>
              </w:rPr>
              <w:t>：</w:t>
            </w:r>
          </w:p>
          <w:p w14:paraId="5CE0BD3E">
            <w:pPr>
              <w:snapToGrid w:val="0"/>
              <w:spacing w:line="40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投标单位基于自身对本项目采购需求理解与分析的结论，对项目实施重点和难点进行阐述，并提出相关解决方案</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重点和难点阐述全面，解决方案</w:t>
            </w:r>
            <w:r>
              <w:rPr>
                <w:rFonts w:hint="eastAsia" w:ascii="仿宋" w:hAnsi="仿宋" w:eastAsia="仿宋" w:cs="仿宋"/>
                <w:color w:val="auto"/>
                <w:sz w:val="24"/>
                <w:highlight w:val="none"/>
                <w:lang w:val="en-US" w:eastAsia="zh-CN"/>
              </w:rPr>
              <w:t>合理</w:t>
            </w:r>
            <w:r>
              <w:rPr>
                <w:rFonts w:hint="eastAsia" w:ascii="仿宋" w:hAnsi="仿宋" w:eastAsia="仿宋" w:cs="仿宋"/>
                <w:color w:val="auto"/>
                <w:sz w:val="24"/>
                <w:highlight w:val="none"/>
              </w:rPr>
              <w:t>有效。</w:t>
            </w:r>
            <w:r>
              <w:rPr>
                <w:rFonts w:hint="eastAsia" w:ascii="仿宋" w:hAnsi="仿宋" w:eastAsia="仿宋" w:cs="仿宋"/>
                <w:color w:val="auto"/>
                <w:sz w:val="24"/>
                <w:szCs w:val="24"/>
                <w:highlight w:val="none"/>
                <w:lang w:val="en-US" w:eastAsia="zh-CN"/>
              </w:rPr>
              <w:t>（评分范围：2,1,0）</w:t>
            </w:r>
          </w:p>
        </w:tc>
        <w:tc>
          <w:tcPr>
            <w:tcW w:w="972" w:type="dxa"/>
            <w:noWrap w:val="0"/>
            <w:vAlign w:val="center"/>
          </w:tcPr>
          <w:p w14:paraId="15500F75">
            <w:pPr>
              <w:snapToGrid w:val="0"/>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p>
        </w:tc>
        <w:tc>
          <w:tcPr>
            <w:tcW w:w="939" w:type="dxa"/>
            <w:noWrap w:val="0"/>
            <w:vAlign w:val="center"/>
          </w:tcPr>
          <w:p w14:paraId="4890E8F0">
            <w:pPr>
              <w:snapToGrid w:val="0"/>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1378" w:type="dxa"/>
            <w:noWrap w:val="0"/>
            <w:vAlign w:val="center"/>
          </w:tcPr>
          <w:p w14:paraId="5CF6A54A">
            <w:pPr>
              <w:snapToGrid w:val="0"/>
              <w:spacing w:line="300" w:lineRule="exact"/>
              <w:jc w:val="center"/>
              <w:rPr>
                <w:rFonts w:ascii="仿宋" w:hAnsi="仿宋" w:eastAsia="仿宋" w:cs="仿宋"/>
                <w:color w:val="auto"/>
                <w:sz w:val="24"/>
                <w:highlight w:val="none"/>
              </w:rPr>
            </w:pPr>
          </w:p>
        </w:tc>
      </w:tr>
      <w:tr w14:paraId="7EE06178">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696" w:type="dxa"/>
            <w:noWrap w:val="0"/>
            <w:vAlign w:val="center"/>
          </w:tcPr>
          <w:p w14:paraId="03DE67A1">
            <w:pPr>
              <w:widowControl/>
              <w:numPr>
                <w:ilvl w:val="0"/>
                <w:numId w:val="12"/>
              </w:numPr>
              <w:adjustRightInd/>
              <w:snapToGrid w:val="0"/>
              <w:spacing w:line="400" w:lineRule="exact"/>
              <w:jc w:val="center"/>
              <w:rPr>
                <w:rFonts w:ascii="仿宋" w:hAnsi="仿宋" w:eastAsia="仿宋" w:cs="仿宋"/>
                <w:color w:val="auto"/>
                <w:kern w:val="0"/>
                <w:sz w:val="24"/>
                <w:highlight w:val="none"/>
                <w:lang w:eastAsia="en-US"/>
              </w:rPr>
            </w:pPr>
          </w:p>
        </w:tc>
        <w:tc>
          <w:tcPr>
            <w:tcW w:w="6022" w:type="dxa"/>
            <w:noWrap w:val="0"/>
            <w:vAlign w:val="center"/>
          </w:tcPr>
          <w:p w14:paraId="68A2371D">
            <w:pPr>
              <w:snapToGrid w:val="0"/>
              <w:spacing w:line="400" w:lineRule="exact"/>
              <w:jc w:val="left"/>
              <w:rPr>
                <w:rFonts w:hint="eastAsia" w:ascii="仿宋" w:hAnsi="仿宋" w:eastAsia="仿宋" w:cs="仿宋"/>
                <w:color w:val="auto"/>
                <w:sz w:val="24"/>
                <w:highlight w:val="none"/>
                <w:lang w:val="en-US" w:eastAsia="zh-CN"/>
              </w:rPr>
            </w:pPr>
            <w:r>
              <w:rPr>
                <w:rFonts w:hint="eastAsia" w:ascii="仿宋" w:hAnsi="仿宋" w:eastAsia="仿宋" w:cs="仿宋"/>
                <w:b/>
                <w:bCs/>
                <w:color w:val="auto"/>
                <w:sz w:val="24"/>
                <w:highlight w:val="none"/>
                <w:lang w:val="en-US" w:eastAsia="zh-CN"/>
              </w:rPr>
              <w:t>户外扬尘治理服务方案：</w:t>
            </w:r>
          </w:p>
          <w:p w14:paraId="42C2C0BC">
            <w:pPr>
              <w:snapToGrid w:val="0"/>
              <w:spacing w:line="40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根据项目需求，提供户外扬尘治理服务方案，包括：</w:t>
            </w:r>
          </w:p>
          <w:p w14:paraId="705064E5">
            <w:pPr>
              <w:snapToGrid w:val="0"/>
              <w:spacing w:line="40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（1）户外高风量扬尘治理服务，方案制定详细、合理可行且满足要求。</w:t>
            </w:r>
            <w:r>
              <w:rPr>
                <w:rFonts w:hint="eastAsia" w:ascii="仿宋" w:hAnsi="仿宋" w:eastAsia="仿宋" w:cs="仿宋"/>
                <w:color w:val="auto"/>
                <w:sz w:val="24"/>
                <w:szCs w:val="24"/>
                <w:highlight w:val="none"/>
                <w:lang w:val="en-US" w:eastAsia="zh-CN"/>
              </w:rPr>
              <w:t>（评分范围：3,2,1,0）</w:t>
            </w:r>
          </w:p>
          <w:p w14:paraId="73BB98B9">
            <w:pPr>
              <w:snapToGrid w:val="0"/>
              <w:spacing w:line="40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（2）户外超静音扬尘治理服务，方案制定详细、合理可行且满足要求。</w:t>
            </w:r>
            <w:r>
              <w:rPr>
                <w:rFonts w:hint="eastAsia" w:ascii="仿宋" w:hAnsi="仿宋" w:eastAsia="仿宋" w:cs="仿宋"/>
                <w:color w:val="auto"/>
                <w:sz w:val="24"/>
                <w:szCs w:val="24"/>
                <w:highlight w:val="none"/>
                <w:lang w:val="en-US" w:eastAsia="zh-CN"/>
              </w:rPr>
              <w:t>（评分范围：3,2,1,0）</w:t>
            </w:r>
          </w:p>
          <w:p w14:paraId="25A0C5E8">
            <w:pPr>
              <w:snapToGrid w:val="0"/>
              <w:spacing w:line="40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（3）屋顶固定式扬尘治理服务，方案制定详细、合理可行且满足要求。</w:t>
            </w:r>
            <w:r>
              <w:rPr>
                <w:rFonts w:hint="eastAsia" w:ascii="仿宋" w:hAnsi="仿宋" w:eastAsia="仿宋" w:cs="仿宋"/>
                <w:color w:val="auto"/>
                <w:sz w:val="24"/>
                <w:szCs w:val="24"/>
                <w:highlight w:val="none"/>
                <w:lang w:val="en-US" w:eastAsia="zh-CN"/>
              </w:rPr>
              <w:t>（评分范围：3,2,1,0）</w:t>
            </w:r>
          </w:p>
          <w:p w14:paraId="44AA33C9">
            <w:pPr>
              <w:snapToGrid w:val="0"/>
              <w:spacing w:line="40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（4）设备安装点位选择，布设点位合理，能全面覆盖拱墅区重点区域，与区域污染特征相匹配，方案制定详细、合理可行且满足要求。</w:t>
            </w:r>
            <w:r>
              <w:rPr>
                <w:rFonts w:hint="eastAsia" w:ascii="仿宋" w:hAnsi="仿宋" w:eastAsia="仿宋" w:cs="仿宋"/>
                <w:color w:val="auto"/>
                <w:sz w:val="24"/>
                <w:szCs w:val="24"/>
                <w:highlight w:val="none"/>
                <w:lang w:val="en-US" w:eastAsia="zh-CN"/>
              </w:rPr>
              <w:t>（评分范围：3,2,1,0）</w:t>
            </w:r>
          </w:p>
          <w:p w14:paraId="34D06E9E">
            <w:pPr>
              <w:snapToGrid w:val="0"/>
              <w:spacing w:line="400" w:lineRule="exact"/>
              <w:jc w:val="left"/>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color w:val="auto"/>
                <w:sz w:val="24"/>
                <w:highlight w:val="none"/>
                <w:lang w:val="en-US" w:eastAsia="zh-CN"/>
              </w:rPr>
              <w:t>（5）配套软件服务功能，每个功能模块设置合理，符合采购需求。</w:t>
            </w:r>
            <w:r>
              <w:rPr>
                <w:rFonts w:hint="eastAsia" w:ascii="仿宋" w:hAnsi="仿宋" w:eastAsia="仿宋" w:cs="仿宋"/>
                <w:color w:val="auto"/>
                <w:sz w:val="24"/>
                <w:szCs w:val="24"/>
                <w:highlight w:val="none"/>
                <w:lang w:val="en-US" w:eastAsia="zh-CN"/>
              </w:rPr>
              <w:t>（评分范围：3,2,1,0）</w:t>
            </w:r>
          </w:p>
        </w:tc>
        <w:tc>
          <w:tcPr>
            <w:tcW w:w="972" w:type="dxa"/>
            <w:noWrap w:val="0"/>
            <w:vAlign w:val="center"/>
          </w:tcPr>
          <w:p w14:paraId="77F067B6">
            <w:pPr>
              <w:snapToGrid w:val="0"/>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分</w:t>
            </w:r>
          </w:p>
        </w:tc>
        <w:tc>
          <w:tcPr>
            <w:tcW w:w="939" w:type="dxa"/>
            <w:noWrap w:val="0"/>
            <w:vAlign w:val="center"/>
          </w:tcPr>
          <w:p w14:paraId="29DD11F2">
            <w:pPr>
              <w:snapToGrid w:val="0"/>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1378" w:type="dxa"/>
            <w:noWrap w:val="0"/>
            <w:vAlign w:val="center"/>
          </w:tcPr>
          <w:p w14:paraId="0E7FFAFE">
            <w:pPr>
              <w:snapToGrid w:val="0"/>
              <w:spacing w:line="300" w:lineRule="exact"/>
              <w:jc w:val="center"/>
              <w:rPr>
                <w:rFonts w:ascii="仿宋" w:hAnsi="仿宋" w:eastAsia="仿宋" w:cs="仿宋"/>
                <w:color w:val="auto"/>
                <w:sz w:val="24"/>
                <w:highlight w:val="none"/>
              </w:rPr>
            </w:pPr>
          </w:p>
        </w:tc>
      </w:tr>
      <w:tr w14:paraId="573AF307">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165E1D04">
            <w:pPr>
              <w:widowControl/>
              <w:numPr>
                <w:ilvl w:val="0"/>
                <w:numId w:val="12"/>
              </w:numPr>
              <w:adjustRightInd/>
              <w:snapToGrid w:val="0"/>
              <w:spacing w:line="400" w:lineRule="exact"/>
              <w:jc w:val="center"/>
              <w:rPr>
                <w:rFonts w:ascii="仿宋" w:hAnsi="仿宋" w:eastAsia="仿宋" w:cs="仿宋"/>
                <w:color w:val="auto"/>
                <w:kern w:val="0"/>
                <w:sz w:val="24"/>
                <w:highlight w:val="none"/>
                <w:lang w:eastAsia="en-US"/>
              </w:rPr>
            </w:pPr>
          </w:p>
        </w:tc>
        <w:tc>
          <w:tcPr>
            <w:tcW w:w="6022" w:type="dxa"/>
            <w:noWrap w:val="0"/>
            <w:vAlign w:val="center"/>
          </w:tcPr>
          <w:p w14:paraId="70EFD087">
            <w:pPr>
              <w:snapToGrid w:val="0"/>
              <w:spacing w:line="400" w:lineRule="exact"/>
              <w:jc w:val="left"/>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车载移动式扬尘治理服务方案：</w:t>
            </w:r>
          </w:p>
          <w:p w14:paraId="2566E9D4">
            <w:pPr>
              <w:snapToGrid w:val="0"/>
              <w:spacing w:line="40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根据项目需求，提供车载移动式扬尘治理服务方案，包括；</w:t>
            </w:r>
          </w:p>
          <w:p w14:paraId="133F9823">
            <w:pPr>
              <w:numPr>
                <w:ilvl w:val="0"/>
                <w:numId w:val="0"/>
              </w:numPr>
              <w:snapToGrid w:val="0"/>
              <w:spacing w:line="400" w:lineRule="exact"/>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r>
              <w:rPr>
                <w:rFonts w:hint="eastAsia" w:ascii="仿宋" w:hAnsi="仿宋" w:eastAsia="仿宋" w:cs="仿宋"/>
                <w:color w:val="auto"/>
                <w:sz w:val="24"/>
                <w:highlight w:val="none"/>
                <w:lang w:val="en-US" w:eastAsia="zh-CN"/>
              </w:rPr>
              <w:t>设备功能方案，详细阐述该设备每个按键的功能及操作方法，方案详细、合理可行且满足要求。</w:t>
            </w:r>
            <w:r>
              <w:rPr>
                <w:rFonts w:hint="eastAsia" w:ascii="仿宋" w:hAnsi="仿宋" w:eastAsia="仿宋" w:cs="仿宋"/>
                <w:color w:val="auto"/>
                <w:sz w:val="24"/>
                <w:szCs w:val="24"/>
                <w:highlight w:val="none"/>
                <w:lang w:val="en-US" w:eastAsia="zh-CN"/>
              </w:rPr>
              <w:t>（评分范围：3,2,1,0）</w:t>
            </w:r>
          </w:p>
          <w:p w14:paraId="394AD969">
            <w:pPr>
              <w:numPr>
                <w:ilvl w:val="0"/>
                <w:numId w:val="0"/>
              </w:numPr>
              <w:snapToGrid w:val="0"/>
              <w:spacing w:line="40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color w:val="auto"/>
                <w:sz w:val="24"/>
                <w:highlight w:val="none"/>
                <w:lang w:val="en-US" w:eastAsia="zh-CN"/>
              </w:rPr>
              <w:t>治理区域方案，详细阐述治理的方法及治理的区域，方案制定详细、合理可行且满足要求。</w:t>
            </w:r>
            <w:r>
              <w:rPr>
                <w:rFonts w:hint="eastAsia" w:ascii="仿宋" w:hAnsi="仿宋" w:eastAsia="仿宋" w:cs="仿宋"/>
                <w:color w:val="auto"/>
                <w:sz w:val="24"/>
                <w:szCs w:val="24"/>
                <w:highlight w:val="none"/>
                <w:lang w:val="en-US" w:eastAsia="zh-CN"/>
              </w:rPr>
              <w:t>（评分范围：3,2,1,0）</w:t>
            </w:r>
          </w:p>
          <w:p w14:paraId="688C9C97">
            <w:pPr>
              <w:numPr>
                <w:ilvl w:val="0"/>
                <w:numId w:val="0"/>
              </w:numPr>
              <w:snapToGrid w:val="0"/>
              <w:spacing w:line="400" w:lineRule="exact"/>
              <w:jc w:val="left"/>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color w:val="auto"/>
                <w:sz w:val="24"/>
                <w:highlight w:val="none"/>
                <w:lang w:val="en-US" w:eastAsia="zh-CN"/>
              </w:rPr>
              <w:t>时段的选择，详细阐述该设备使用的时段，方案制定详细、合理可行且满足要求。</w:t>
            </w:r>
            <w:r>
              <w:rPr>
                <w:rFonts w:hint="eastAsia" w:ascii="仿宋" w:hAnsi="仿宋" w:eastAsia="仿宋" w:cs="仿宋"/>
                <w:color w:val="auto"/>
                <w:sz w:val="24"/>
                <w:szCs w:val="24"/>
                <w:highlight w:val="none"/>
                <w:lang w:val="en-US" w:eastAsia="zh-CN"/>
              </w:rPr>
              <w:t>（评分范围：3,2,1,0）</w:t>
            </w:r>
          </w:p>
        </w:tc>
        <w:tc>
          <w:tcPr>
            <w:tcW w:w="972" w:type="dxa"/>
            <w:noWrap w:val="0"/>
            <w:vAlign w:val="center"/>
          </w:tcPr>
          <w:p w14:paraId="1291970D">
            <w:pPr>
              <w:snapToGrid w:val="0"/>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分</w:t>
            </w:r>
          </w:p>
        </w:tc>
        <w:tc>
          <w:tcPr>
            <w:tcW w:w="939" w:type="dxa"/>
            <w:noWrap w:val="0"/>
            <w:vAlign w:val="center"/>
          </w:tcPr>
          <w:p w14:paraId="1872ADA9">
            <w:pPr>
              <w:snapToGrid w:val="0"/>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1378" w:type="dxa"/>
            <w:noWrap w:val="0"/>
            <w:vAlign w:val="center"/>
          </w:tcPr>
          <w:p w14:paraId="515C8898">
            <w:pPr>
              <w:snapToGrid w:val="0"/>
              <w:spacing w:line="300" w:lineRule="exact"/>
              <w:jc w:val="center"/>
              <w:rPr>
                <w:rFonts w:ascii="仿宋" w:hAnsi="仿宋" w:eastAsia="仿宋" w:cs="仿宋"/>
                <w:color w:val="auto"/>
                <w:sz w:val="24"/>
                <w:highlight w:val="none"/>
              </w:rPr>
            </w:pPr>
          </w:p>
        </w:tc>
      </w:tr>
      <w:tr w14:paraId="50779DE3">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00240AEC">
            <w:pPr>
              <w:widowControl/>
              <w:numPr>
                <w:ilvl w:val="0"/>
                <w:numId w:val="12"/>
              </w:numPr>
              <w:adjustRightInd/>
              <w:snapToGrid w:val="0"/>
              <w:spacing w:line="400" w:lineRule="exact"/>
              <w:jc w:val="center"/>
              <w:rPr>
                <w:rFonts w:ascii="仿宋" w:hAnsi="仿宋" w:eastAsia="仿宋" w:cs="仿宋"/>
                <w:color w:val="auto"/>
                <w:kern w:val="0"/>
                <w:sz w:val="24"/>
                <w:highlight w:val="none"/>
                <w:lang w:eastAsia="en-US"/>
              </w:rPr>
            </w:pPr>
          </w:p>
        </w:tc>
        <w:tc>
          <w:tcPr>
            <w:tcW w:w="6022" w:type="dxa"/>
            <w:noWrap w:val="0"/>
            <w:vAlign w:val="center"/>
          </w:tcPr>
          <w:p w14:paraId="440D7417">
            <w:pPr>
              <w:snapToGrid w:val="0"/>
              <w:spacing w:line="400" w:lineRule="exact"/>
              <w:jc w:val="left"/>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餐饮油烟净化服务方案：</w:t>
            </w:r>
          </w:p>
          <w:p w14:paraId="0D82017D">
            <w:pPr>
              <w:snapToGrid w:val="0"/>
              <w:spacing w:line="400" w:lineRule="exact"/>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根据项目需求，提供餐饮油烟净化服务方案，包括：</w:t>
            </w:r>
          </w:p>
          <w:p w14:paraId="59B8B0F7">
            <w:pPr>
              <w:snapToGrid w:val="0"/>
              <w:spacing w:line="400" w:lineRule="exact"/>
              <w:ind w:firstLineChars="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kern w:val="2"/>
                <w:sz w:val="24"/>
                <w:szCs w:val="24"/>
                <w:highlight w:val="none"/>
                <w:lang w:val="en-US" w:eastAsia="zh-CN" w:bidi="ar-SA"/>
              </w:rPr>
              <w:t>（1）</w:t>
            </w:r>
            <w:r>
              <w:rPr>
                <w:rFonts w:hint="eastAsia" w:ascii="仿宋" w:hAnsi="仿宋" w:eastAsia="仿宋" w:cs="仿宋"/>
                <w:b w:val="0"/>
                <w:bCs w:val="0"/>
                <w:color w:val="auto"/>
                <w:sz w:val="24"/>
                <w:highlight w:val="none"/>
                <w:lang w:val="en-US" w:eastAsia="zh-CN"/>
              </w:rPr>
              <w:t>设备功能方案，详细阐述该设备每个按键的功能及操作方法，方案详细、合理可行且满足要求。</w:t>
            </w:r>
            <w:r>
              <w:rPr>
                <w:rFonts w:hint="eastAsia" w:ascii="仿宋" w:hAnsi="仿宋" w:eastAsia="仿宋" w:cs="仿宋"/>
                <w:b w:val="0"/>
                <w:bCs w:val="0"/>
                <w:color w:val="auto"/>
                <w:sz w:val="24"/>
                <w:szCs w:val="24"/>
                <w:highlight w:val="none"/>
                <w:lang w:val="en-US" w:eastAsia="zh-CN"/>
              </w:rPr>
              <w:t>（评分范围：3,2,1,0）</w:t>
            </w:r>
          </w:p>
          <w:p w14:paraId="030C7536">
            <w:pPr>
              <w:snapToGrid w:val="0"/>
              <w:spacing w:line="400" w:lineRule="exact"/>
              <w:ind w:firstLineChars="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pacing w:val="0"/>
                <w:kern w:val="2"/>
                <w:sz w:val="24"/>
                <w:szCs w:val="24"/>
                <w:highlight w:val="none"/>
                <w:lang w:val="en-US" w:eastAsia="zh-CN" w:bidi="ar-SA"/>
              </w:rPr>
              <w:t>（2）</w:t>
            </w:r>
            <w:r>
              <w:rPr>
                <w:rFonts w:hint="eastAsia" w:ascii="仿宋" w:hAnsi="仿宋" w:eastAsia="仿宋" w:cs="仿宋"/>
                <w:b w:val="0"/>
                <w:bCs w:val="0"/>
                <w:color w:val="auto"/>
                <w:sz w:val="24"/>
                <w:highlight w:val="none"/>
                <w:lang w:val="en-US" w:eastAsia="zh-CN"/>
              </w:rPr>
              <w:t>设备安装点位选择方案，布设点位合理，能全面覆盖拱墅区重点区域，与区域污染特征相匹配，方案制定详细、合理可行且满足要求。</w:t>
            </w:r>
            <w:r>
              <w:rPr>
                <w:rFonts w:hint="eastAsia" w:ascii="仿宋" w:hAnsi="仿宋" w:eastAsia="仿宋" w:cs="仿宋"/>
                <w:b w:val="0"/>
                <w:bCs w:val="0"/>
                <w:color w:val="auto"/>
                <w:sz w:val="24"/>
                <w:szCs w:val="24"/>
                <w:highlight w:val="none"/>
                <w:lang w:val="en-US" w:eastAsia="zh-CN"/>
              </w:rPr>
              <w:t>（评分范围：3,2,1,0）</w:t>
            </w:r>
          </w:p>
          <w:p w14:paraId="48E15F02">
            <w:pPr>
              <w:snapToGrid w:val="0"/>
              <w:spacing w:line="400" w:lineRule="exact"/>
              <w:ind w:left="0" w:leftChars="0" w:firstLineChars="0"/>
              <w:jc w:val="left"/>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pacing w:val="0"/>
                <w:kern w:val="2"/>
                <w:sz w:val="24"/>
                <w:szCs w:val="24"/>
                <w:highlight w:val="none"/>
                <w:lang w:val="en-US" w:eastAsia="zh-CN" w:bidi="ar-SA"/>
              </w:rPr>
              <w:t>（3）</w:t>
            </w:r>
            <w:r>
              <w:rPr>
                <w:rFonts w:hint="eastAsia" w:ascii="仿宋" w:hAnsi="仿宋" w:eastAsia="仿宋" w:cs="仿宋"/>
                <w:b w:val="0"/>
                <w:bCs w:val="0"/>
                <w:color w:val="auto"/>
                <w:sz w:val="24"/>
                <w:highlight w:val="none"/>
                <w:lang w:val="en-US" w:eastAsia="zh-CN"/>
              </w:rPr>
              <w:t>设备灵活调控方案，方案制定详细、合理可行且满足要求的。</w:t>
            </w:r>
            <w:r>
              <w:rPr>
                <w:rFonts w:hint="eastAsia" w:ascii="仿宋" w:hAnsi="仿宋" w:eastAsia="仿宋" w:cs="仿宋"/>
                <w:b w:val="0"/>
                <w:bCs w:val="0"/>
                <w:color w:val="auto"/>
                <w:sz w:val="24"/>
                <w:szCs w:val="24"/>
                <w:highlight w:val="none"/>
                <w:lang w:val="en-US" w:eastAsia="zh-CN"/>
              </w:rPr>
              <w:t>（评分范围：3,2,1,0）</w:t>
            </w:r>
          </w:p>
        </w:tc>
        <w:tc>
          <w:tcPr>
            <w:tcW w:w="972" w:type="dxa"/>
            <w:noWrap w:val="0"/>
            <w:vAlign w:val="center"/>
          </w:tcPr>
          <w:p w14:paraId="44E4C977">
            <w:pPr>
              <w:snapToGrid w:val="0"/>
              <w:spacing w:line="30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分</w:t>
            </w:r>
          </w:p>
        </w:tc>
        <w:tc>
          <w:tcPr>
            <w:tcW w:w="939" w:type="dxa"/>
            <w:noWrap w:val="0"/>
            <w:vAlign w:val="center"/>
          </w:tcPr>
          <w:p w14:paraId="7018E656">
            <w:pPr>
              <w:snapToGrid w:val="0"/>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1378" w:type="dxa"/>
            <w:noWrap w:val="0"/>
            <w:vAlign w:val="center"/>
          </w:tcPr>
          <w:p w14:paraId="2C8BAE7D">
            <w:pPr>
              <w:snapToGrid w:val="0"/>
              <w:spacing w:line="300" w:lineRule="exact"/>
              <w:jc w:val="center"/>
              <w:rPr>
                <w:rFonts w:ascii="仿宋" w:hAnsi="仿宋" w:eastAsia="仿宋" w:cs="仿宋"/>
                <w:color w:val="auto"/>
                <w:sz w:val="24"/>
                <w:highlight w:val="none"/>
              </w:rPr>
            </w:pPr>
          </w:p>
        </w:tc>
      </w:tr>
      <w:tr w14:paraId="295ED58C">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21EB442E">
            <w:pPr>
              <w:widowControl/>
              <w:numPr>
                <w:ilvl w:val="0"/>
                <w:numId w:val="12"/>
              </w:numPr>
              <w:adjustRightInd/>
              <w:snapToGrid w:val="0"/>
              <w:spacing w:line="400" w:lineRule="exact"/>
              <w:jc w:val="center"/>
              <w:rPr>
                <w:rFonts w:ascii="仿宋" w:hAnsi="仿宋" w:eastAsia="仿宋" w:cs="仿宋"/>
                <w:color w:val="auto"/>
                <w:kern w:val="0"/>
                <w:sz w:val="24"/>
                <w:highlight w:val="none"/>
                <w:lang w:eastAsia="en-US"/>
              </w:rPr>
            </w:pPr>
          </w:p>
        </w:tc>
        <w:tc>
          <w:tcPr>
            <w:tcW w:w="6022" w:type="dxa"/>
            <w:noWrap w:val="0"/>
            <w:vAlign w:val="center"/>
          </w:tcPr>
          <w:p w14:paraId="7C7DAAA5">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auto"/>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空气质量评估服务方案：</w:t>
            </w:r>
          </w:p>
          <w:p w14:paraId="1C402782">
            <w:pPr>
              <w:snapToGrid w:val="0"/>
              <w:spacing w:line="400" w:lineRule="exact"/>
              <w:jc w:val="left"/>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color w:val="auto"/>
                <w:sz w:val="24"/>
                <w:highlight w:val="none"/>
                <w:lang w:val="en-US" w:eastAsia="zh-CN"/>
              </w:rPr>
              <w:t>供应商提供管控效果评估方案的编制大纲及要素说明，需包括管控效果及空气质量提升成效分析评估方法等。方案思路清晰、重点把握准确、方式方法切实可行。</w:t>
            </w:r>
            <w:r>
              <w:rPr>
                <w:rFonts w:hint="eastAsia" w:ascii="仿宋" w:hAnsi="仿宋" w:eastAsia="仿宋" w:cs="仿宋"/>
                <w:color w:val="auto"/>
                <w:sz w:val="24"/>
                <w:szCs w:val="24"/>
                <w:highlight w:val="none"/>
                <w:lang w:val="en-US" w:eastAsia="zh-CN"/>
              </w:rPr>
              <w:t>（评分范围：2,1,0）</w:t>
            </w:r>
          </w:p>
        </w:tc>
        <w:tc>
          <w:tcPr>
            <w:tcW w:w="972" w:type="dxa"/>
            <w:noWrap w:val="0"/>
            <w:vAlign w:val="center"/>
          </w:tcPr>
          <w:p w14:paraId="674D8912">
            <w:pPr>
              <w:snapToGrid w:val="0"/>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p>
        </w:tc>
        <w:tc>
          <w:tcPr>
            <w:tcW w:w="939" w:type="dxa"/>
            <w:noWrap w:val="0"/>
            <w:vAlign w:val="center"/>
          </w:tcPr>
          <w:p w14:paraId="4A069FE0">
            <w:pPr>
              <w:snapToGrid w:val="0"/>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1378" w:type="dxa"/>
            <w:noWrap w:val="0"/>
            <w:vAlign w:val="center"/>
          </w:tcPr>
          <w:p w14:paraId="23ADC461">
            <w:pPr>
              <w:snapToGrid w:val="0"/>
              <w:spacing w:line="300" w:lineRule="exact"/>
              <w:jc w:val="center"/>
              <w:rPr>
                <w:rFonts w:ascii="仿宋" w:hAnsi="仿宋" w:eastAsia="仿宋" w:cs="仿宋"/>
                <w:color w:val="auto"/>
                <w:sz w:val="24"/>
                <w:highlight w:val="none"/>
              </w:rPr>
            </w:pPr>
          </w:p>
        </w:tc>
      </w:tr>
      <w:tr w14:paraId="0EC36FCE">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046BEEEB">
            <w:pPr>
              <w:widowControl/>
              <w:numPr>
                <w:ilvl w:val="0"/>
                <w:numId w:val="12"/>
              </w:numPr>
              <w:adjustRightInd/>
              <w:snapToGrid w:val="0"/>
              <w:spacing w:line="400" w:lineRule="exact"/>
              <w:jc w:val="center"/>
              <w:rPr>
                <w:rFonts w:ascii="仿宋" w:hAnsi="仿宋" w:eastAsia="仿宋" w:cs="仿宋"/>
                <w:color w:val="auto"/>
                <w:kern w:val="0"/>
                <w:sz w:val="24"/>
                <w:highlight w:val="none"/>
                <w:lang w:eastAsia="en-US"/>
              </w:rPr>
            </w:pPr>
          </w:p>
        </w:tc>
        <w:tc>
          <w:tcPr>
            <w:tcW w:w="6022" w:type="dxa"/>
            <w:noWrap w:val="0"/>
            <w:vAlign w:val="center"/>
          </w:tcPr>
          <w:p w14:paraId="6D9CCB54">
            <w:pPr>
              <w:widowControl w:val="0"/>
              <w:snapToGrid w:val="0"/>
              <w:spacing w:line="400" w:lineRule="exact"/>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项目实施进度安排：</w:t>
            </w:r>
          </w:p>
          <w:p w14:paraId="209CA1DE">
            <w:pPr>
              <w:widowControl w:val="0"/>
              <w:snapToGrid w:val="0"/>
              <w:spacing w:line="400" w:lineRule="exact"/>
              <w:rPr>
                <w:rFonts w:hint="eastAsia" w:ascii="仿宋" w:hAnsi="仿宋" w:eastAsia="仿宋" w:cs="仿宋"/>
                <w:b/>
                <w:bCs/>
                <w:color w:val="auto"/>
                <w:sz w:val="24"/>
                <w:highlight w:val="none"/>
              </w:rPr>
            </w:pPr>
            <w:r>
              <w:rPr>
                <w:rFonts w:hint="eastAsia" w:ascii="仿宋" w:hAnsi="仿宋" w:eastAsia="仿宋" w:cs="仿宋"/>
                <w:color w:val="auto"/>
                <w:sz w:val="24"/>
                <w:szCs w:val="24"/>
                <w:highlight w:val="none"/>
                <w:lang w:eastAsia="zh-CN"/>
              </w:rPr>
              <w:t>投标人结合本项目要求，提供详细的项目实施进度安排包括人员分配和时间进度安排。方案制定详细、合理可行且满足要求。</w:t>
            </w:r>
            <w:r>
              <w:rPr>
                <w:rFonts w:hint="eastAsia" w:ascii="仿宋" w:hAnsi="仿宋" w:eastAsia="仿宋" w:cs="仿宋"/>
                <w:color w:val="auto"/>
                <w:sz w:val="24"/>
                <w:szCs w:val="24"/>
                <w:highlight w:val="none"/>
                <w:lang w:val="en-US" w:eastAsia="zh-CN"/>
              </w:rPr>
              <w:t>（评分范围：2,1,0）</w:t>
            </w:r>
          </w:p>
        </w:tc>
        <w:tc>
          <w:tcPr>
            <w:tcW w:w="972" w:type="dxa"/>
            <w:noWrap w:val="0"/>
            <w:vAlign w:val="center"/>
          </w:tcPr>
          <w:p w14:paraId="7E65B1FE">
            <w:pPr>
              <w:widowControl w:val="0"/>
              <w:snapToGrid w:val="0"/>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分</w:t>
            </w:r>
          </w:p>
        </w:tc>
        <w:tc>
          <w:tcPr>
            <w:tcW w:w="939" w:type="dxa"/>
            <w:noWrap w:val="0"/>
            <w:vAlign w:val="center"/>
          </w:tcPr>
          <w:p w14:paraId="5A3ABB20">
            <w:pPr>
              <w:widowControl w:val="0"/>
              <w:snapToGrid w:val="0"/>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主观分</w:t>
            </w:r>
          </w:p>
        </w:tc>
        <w:tc>
          <w:tcPr>
            <w:tcW w:w="1378" w:type="dxa"/>
            <w:noWrap w:val="0"/>
            <w:vAlign w:val="center"/>
          </w:tcPr>
          <w:p w14:paraId="6FACAB7B">
            <w:pPr>
              <w:snapToGrid w:val="0"/>
              <w:spacing w:line="300" w:lineRule="exact"/>
              <w:jc w:val="center"/>
              <w:rPr>
                <w:rFonts w:ascii="仿宋" w:hAnsi="仿宋" w:eastAsia="仿宋" w:cs="仿宋"/>
                <w:color w:val="auto"/>
                <w:sz w:val="24"/>
                <w:highlight w:val="none"/>
              </w:rPr>
            </w:pPr>
          </w:p>
        </w:tc>
      </w:tr>
      <w:tr w14:paraId="14453AB7">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32F85DBB">
            <w:pPr>
              <w:widowControl/>
              <w:numPr>
                <w:ilvl w:val="0"/>
                <w:numId w:val="12"/>
              </w:numPr>
              <w:adjustRightInd/>
              <w:snapToGrid w:val="0"/>
              <w:spacing w:line="400" w:lineRule="exact"/>
              <w:jc w:val="center"/>
              <w:rPr>
                <w:rFonts w:ascii="仿宋" w:hAnsi="仿宋" w:eastAsia="仿宋" w:cs="仿宋"/>
                <w:color w:val="auto"/>
                <w:kern w:val="0"/>
                <w:sz w:val="24"/>
                <w:highlight w:val="none"/>
                <w:lang w:eastAsia="en-US"/>
              </w:rPr>
            </w:pPr>
          </w:p>
        </w:tc>
        <w:tc>
          <w:tcPr>
            <w:tcW w:w="6022" w:type="dxa"/>
            <w:noWrap w:val="0"/>
            <w:vAlign w:val="center"/>
          </w:tcPr>
          <w:p w14:paraId="14F263AF">
            <w:pPr>
              <w:widowControl w:val="0"/>
              <w:snapToGrid w:val="0"/>
              <w:spacing w:line="4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运维方案：</w:t>
            </w:r>
          </w:p>
          <w:p w14:paraId="6BCCC0AC">
            <w:pPr>
              <w:widowControl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eastAsia="zh-CN"/>
              </w:rPr>
              <w:t>提供详细的运维方案，体现运维服务内容，包括：周期性工作计划、</w:t>
            </w:r>
            <w:r>
              <w:rPr>
                <w:rFonts w:hint="eastAsia" w:ascii="仿宋" w:hAnsi="仿宋" w:eastAsia="仿宋" w:cs="仿宋"/>
                <w:color w:val="auto"/>
                <w:sz w:val="24"/>
                <w:szCs w:val="24"/>
                <w:highlight w:val="none"/>
                <w:lang w:val="en-US" w:eastAsia="zh-CN"/>
              </w:rPr>
              <w:t>设备</w:t>
            </w:r>
            <w:r>
              <w:rPr>
                <w:rFonts w:hint="eastAsia" w:ascii="仿宋" w:hAnsi="仿宋" w:eastAsia="仿宋" w:cs="仿宋"/>
                <w:color w:val="auto"/>
                <w:sz w:val="24"/>
                <w:szCs w:val="24"/>
                <w:highlight w:val="none"/>
                <w:lang w:eastAsia="zh-CN"/>
              </w:rPr>
              <w:t>具体维护操作规程、设备故障维修方案、应急处理方案</w:t>
            </w:r>
            <w:r>
              <w:rPr>
                <w:rFonts w:hint="eastAsia" w:ascii="仿宋" w:hAnsi="仿宋" w:eastAsia="仿宋" w:cs="仿宋"/>
                <w:color w:val="auto"/>
                <w:sz w:val="24"/>
                <w:szCs w:val="24"/>
                <w:highlight w:val="none"/>
                <w:lang w:val="en-US" w:eastAsia="zh-CN"/>
              </w:rPr>
              <w:t>及响应时间承诺</w:t>
            </w:r>
            <w:r>
              <w:rPr>
                <w:rFonts w:hint="eastAsia" w:ascii="仿宋" w:hAnsi="仿宋" w:eastAsia="仿宋" w:cs="仿宋"/>
                <w:color w:val="auto"/>
                <w:sz w:val="24"/>
                <w:szCs w:val="24"/>
                <w:highlight w:val="none"/>
                <w:lang w:eastAsia="zh-CN"/>
              </w:rPr>
              <w:t>。方案合理、可行。</w:t>
            </w:r>
            <w:r>
              <w:rPr>
                <w:rFonts w:hint="eastAsia" w:ascii="仿宋" w:hAnsi="仿宋" w:eastAsia="仿宋" w:cs="仿宋"/>
                <w:color w:val="auto"/>
                <w:sz w:val="24"/>
                <w:szCs w:val="24"/>
                <w:highlight w:val="none"/>
                <w:lang w:val="en-US" w:eastAsia="zh-CN"/>
              </w:rPr>
              <w:t>（评分范围：2,1,0）</w:t>
            </w:r>
          </w:p>
        </w:tc>
        <w:tc>
          <w:tcPr>
            <w:tcW w:w="972" w:type="dxa"/>
            <w:noWrap w:val="0"/>
            <w:vAlign w:val="center"/>
          </w:tcPr>
          <w:p w14:paraId="3A2B00D0">
            <w:pPr>
              <w:widowControl w:val="0"/>
              <w:snapToGrid w:val="0"/>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分</w:t>
            </w:r>
          </w:p>
        </w:tc>
        <w:tc>
          <w:tcPr>
            <w:tcW w:w="939" w:type="dxa"/>
            <w:noWrap w:val="0"/>
            <w:vAlign w:val="center"/>
          </w:tcPr>
          <w:p w14:paraId="6DA90E31">
            <w:pPr>
              <w:widowControl w:val="0"/>
              <w:snapToGrid w:val="0"/>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主观分</w:t>
            </w:r>
          </w:p>
        </w:tc>
        <w:tc>
          <w:tcPr>
            <w:tcW w:w="1378" w:type="dxa"/>
            <w:noWrap w:val="0"/>
            <w:vAlign w:val="center"/>
          </w:tcPr>
          <w:p w14:paraId="6AED5105">
            <w:pPr>
              <w:snapToGrid w:val="0"/>
              <w:spacing w:line="300" w:lineRule="exact"/>
              <w:jc w:val="center"/>
              <w:rPr>
                <w:rFonts w:ascii="仿宋" w:hAnsi="仿宋" w:eastAsia="仿宋" w:cs="仿宋"/>
                <w:color w:val="auto"/>
                <w:sz w:val="24"/>
                <w:highlight w:val="none"/>
              </w:rPr>
            </w:pPr>
          </w:p>
        </w:tc>
      </w:tr>
      <w:tr w14:paraId="51733D4B">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4D77287C">
            <w:pPr>
              <w:widowControl/>
              <w:numPr>
                <w:ilvl w:val="0"/>
                <w:numId w:val="12"/>
              </w:numPr>
              <w:adjustRightInd/>
              <w:snapToGrid w:val="0"/>
              <w:spacing w:line="400" w:lineRule="exact"/>
              <w:jc w:val="center"/>
              <w:rPr>
                <w:rFonts w:ascii="仿宋" w:hAnsi="仿宋" w:eastAsia="仿宋" w:cs="仿宋"/>
                <w:color w:val="auto"/>
                <w:kern w:val="0"/>
                <w:sz w:val="24"/>
                <w:highlight w:val="none"/>
                <w:lang w:eastAsia="en-US"/>
              </w:rPr>
            </w:pPr>
          </w:p>
        </w:tc>
        <w:tc>
          <w:tcPr>
            <w:tcW w:w="6022" w:type="dxa"/>
            <w:noWrap w:val="0"/>
            <w:vAlign w:val="center"/>
          </w:tcPr>
          <w:p w14:paraId="3E79528F">
            <w:pPr>
              <w:spacing w:line="400" w:lineRule="exact"/>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培训方案：</w:t>
            </w:r>
          </w:p>
          <w:p w14:paraId="35103DB4">
            <w:pPr>
              <w:spacing w:line="400" w:lineRule="exact"/>
              <w:jc w:val="both"/>
              <w:rPr>
                <w:rFonts w:ascii="仿宋" w:hAnsi="仿宋" w:eastAsia="仿宋" w:cs="仿宋"/>
                <w:b/>
                <w:bCs/>
                <w:color w:val="auto"/>
                <w:sz w:val="24"/>
                <w:highlight w:val="none"/>
              </w:rPr>
            </w:pPr>
            <w:r>
              <w:rPr>
                <w:rFonts w:hint="eastAsia" w:ascii="仿宋" w:hAnsi="仿宋" w:eastAsia="仿宋" w:cs="仿宋"/>
                <w:color w:val="auto"/>
                <w:sz w:val="24"/>
                <w:szCs w:val="24"/>
                <w:highlight w:val="none"/>
                <w:lang w:eastAsia="zh-CN"/>
              </w:rPr>
              <w:t>对操作人员进行操作培训和维护培训及提供其他形式培训的方案打分。对使用人员进行操作及维修培训，确保能对设备进行操作使用及日常维护保养，能对一般故障进行维修。方案合理、可行。</w:t>
            </w:r>
            <w:r>
              <w:rPr>
                <w:rFonts w:hint="eastAsia" w:ascii="仿宋" w:hAnsi="仿宋" w:eastAsia="仿宋" w:cs="仿宋"/>
                <w:color w:val="auto"/>
                <w:sz w:val="24"/>
                <w:szCs w:val="24"/>
                <w:highlight w:val="none"/>
                <w:lang w:val="en-US" w:eastAsia="zh-CN"/>
              </w:rPr>
              <w:t>（评分范围：2,1,0）</w:t>
            </w:r>
          </w:p>
        </w:tc>
        <w:tc>
          <w:tcPr>
            <w:tcW w:w="972" w:type="dxa"/>
            <w:noWrap w:val="0"/>
            <w:vAlign w:val="center"/>
          </w:tcPr>
          <w:p w14:paraId="0AE921E7">
            <w:pPr>
              <w:widowControl w:val="0"/>
              <w:snapToGrid w:val="0"/>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分</w:t>
            </w:r>
          </w:p>
        </w:tc>
        <w:tc>
          <w:tcPr>
            <w:tcW w:w="939" w:type="dxa"/>
            <w:noWrap w:val="0"/>
            <w:vAlign w:val="center"/>
          </w:tcPr>
          <w:p w14:paraId="7A4F971E">
            <w:pPr>
              <w:widowControl w:val="0"/>
              <w:snapToGrid w:val="0"/>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szCs w:val="24"/>
                <w:highlight w:val="none"/>
              </w:rPr>
              <w:t>主观分</w:t>
            </w:r>
          </w:p>
        </w:tc>
        <w:tc>
          <w:tcPr>
            <w:tcW w:w="1378" w:type="dxa"/>
            <w:noWrap w:val="0"/>
            <w:vAlign w:val="center"/>
          </w:tcPr>
          <w:p w14:paraId="1B6AE342">
            <w:pPr>
              <w:snapToGrid w:val="0"/>
              <w:spacing w:line="300" w:lineRule="exact"/>
              <w:jc w:val="center"/>
              <w:rPr>
                <w:rFonts w:ascii="仿宋" w:hAnsi="仿宋" w:eastAsia="仿宋" w:cs="仿宋"/>
                <w:color w:val="auto"/>
                <w:sz w:val="24"/>
                <w:highlight w:val="none"/>
              </w:rPr>
            </w:pPr>
          </w:p>
        </w:tc>
      </w:tr>
      <w:tr w14:paraId="540A66B8">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10007" w:type="dxa"/>
            <w:gridSpan w:val="5"/>
            <w:shd w:val="clear" w:color="auto" w:fill="E6E0EC"/>
            <w:noWrap w:val="0"/>
            <w:vAlign w:val="center"/>
          </w:tcPr>
          <w:p w14:paraId="288C1F1D">
            <w:pPr>
              <w:snapToGrid w:val="0"/>
              <w:spacing w:line="400" w:lineRule="exact"/>
              <w:jc w:val="center"/>
              <w:rPr>
                <w:rFonts w:ascii="仿宋" w:hAnsi="仿宋" w:eastAsia="仿宋" w:cs="仿宋"/>
                <w:color w:val="auto"/>
                <w:sz w:val="24"/>
                <w:highlight w:val="none"/>
              </w:rPr>
            </w:pPr>
            <w:r>
              <w:rPr>
                <w:rFonts w:hint="eastAsia" w:ascii="仿宋" w:hAnsi="仿宋" w:eastAsia="仿宋" w:cs="仿宋"/>
                <w:b/>
                <w:bCs/>
                <w:color w:val="auto"/>
                <w:sz w:val="24"/>
                <w:highlight w:val="none"/>
              </w:rPr>
              <w:t>（二）价格分（</w:t>
            </w: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rPr>
              <w:t>0分）</w:t>
            </w:r>
          </w:p>
        </w:tc>
      </w:tr>
      <w:tr w14:paraId="3376DF7C">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302A36F5">
            <w:pPr>
              <w:snapToGrid w:val="0"/>
              <w:spacing w:line="40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6</w:t>
            </w:r>
          </w:p>
        </w:tc>
        <w:tc>
          <w:tcPr>
            <w:tcW w:w="6022" w:type="dxa"/>
            <w:noWrap w:val="0"/>
            <w:vAlign w:val="center"/>
          </w:tcPr>
          <w:p w14:paraId="767D9520">
            <w:pPr>
              <w:spacing w:line="40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有效投标报价的最低</w:t>
            </w:r>
            <w:r>
              <w:rPr>
                <w:rFonts w:hint="eastAsia" w:ascii="仿宋" w:hAnsi="仿宋" w:eastAsia="仿宋" w:cs="仿宋"/>
                <w:b/>
                <w:color w:val="auto"/>
                <w:sz w:val="24"/>
                <w:highlight w:val="none"/>
                <w:lang w:val="en-US" w:eastAsia="zh-CN"/>
              </w:rPr>
              <w:t>报价</w:t>
            </w:r>
            <w:r>
              <w:rPr>
                <w:rFonts w:hint="eastAsia" w:ascii="仿宋" w:hAnsi="仿宋" w:eastAsia="仿宋" w:cs="仿宋"/>
                <w:b/>
                <w:color w:val="auto"/>
                <w:sz w:val="24"/>
                <w:highlight w:val="none"/>
              </w:rPr>
              <w:t>作为评标基准价，其最低</w:t>
            </w:r>
            <w:r>
              <w:rPr>
                <w:rFonts w:hint="eastAsia" w:ascii="仿宋" w:hAnsi="仿宋" w:eastAsia="仿宋" w:cs="仿宋"/>
                <w:b/>
                <w:color w:val="auto"/>
                <w:sz w:val="24"/>
                <w:highlight w:val="none"/>
                <w:lang w:val="en-US" w:eastAsia="zh-CN"/>
              </w:rPr>
              <w:t>报价</w:t>
            </w:r>
            <w:r>
              <w:rPr>
                <w:rFonts w:hint="eastAsia" w:ascii="仿宋" w:hAnsi="仿宋" w:eastAsia="仿宋" w:cs="仿宋"/>
                <w:b/>
                <w:color w:val="auto"/>
                <w:sz w:val="24"/>
                <w:highlight w:val="none"/>
              </w:rPr>
              <w:t>为满分；按［投标报价得分=（评标基准价/投标</w:t>
            </w:r>
            <w:r>
              <w:rPr>
                <w:rFonts w:hint="eastAsia" w:ascii="仿宋" w:hAnsi="仿宋" w:eastAsia="仿宋" w:cs="仿宋"/>
                <w:b/>
                <w:color w:val="auto"/>
                <w:sz w:val="24"/>
                <w:highlight w:val="none"/>
                <w:lang w:val="en-US" w:eastAsia="zh-CN"/>
              </w:rPr>
              <w:t>报价</w:t>
            </w:r>
            <w:r>
              <w:rPr>
                <w:rFonts w:hint="eastAsia" w:ascii="仿宋" w:hAnsi="仿宋" w:eastAsia="仿宋" w:cs="仿宋"/>
                <w:b/>
                <w:color w:val="auto"/>
                <w:sz w:val="24"/>
                <w:highlight w:val="none"/>
              </w:rPr>
              <w:t>）×</w:t>
            </w:r>
            <w:r>
              <w:rPr>
                <w:rFonts w:hint="eastAsia" w:ascii="仿宋" w:hAnsi="仿宋" w:eastAsia="仿宋" w:cs="仿宋"/>
                <w:b/>
                <w:iCs/>
                <w:color w:val="auto"/>
                <w:sz w:val="24"/>
                <w:highlight w:val="none"/>
                <w:u w:val="single"/>
                <w:lang w:val="en-US" w:eastAsia="zh-CN"/>
              </w:rPr>
              <w:t>1</w:t>
            </w:r>
            <w:r>
              <w:rPr>
                <w:rFonts w:hint="eastAsia" w:ascii="仿宋" w:hAnsi="仿宋" w:eastAsia="仿宋" w:cs="仿宋"/>
                <w:b/>
                <w:iCs/>
                <w:color w:val="auto"/>
                <w:sz w:val="24"/>
                <w:highlight w:val="none"/>
                <w:u w:val="single"/>
              </w:rPr>
              <w:t>0</w:t>
            </w:r>
            <w:r>
              <w:rPr>
                <w:rFonts w:hint="eastAsia" w:ascii="仿宋" w:hAnsi="仿宋" w:eastAsia="仿宋" w:cs="仿宋"/>
                <w:b/>
                <w:color w:val="auto"/>
                <w:sz w:val="24"/>
                <w:highlight w:val="none"/>
              </w:rPr>
              <w:t>］的计算公式计算。</w:t>
            </w:r>
          </w:p>
          <w:p w14:paraId="103A1D04">
            <w:pPr>
              <w:spacing w:line="400" w:lineRule="exact"/>
              <w:rPr>
                <w:rFonts w:ascii="仿宋" w:hAnsi="仿宋" w:eastAsia="仿宋" w:cs="仿宋"/>
                <w:color w:val="auto"/>
                <w:kern w:val="0"/>
                <w:sz w:val="24"/>
                <w:highlight w:val="none"/>
              </w:rPr>
            </w:pPr>
            <w:r>
              <w:rPr>
                <w:rFonts w:hint="eastAsia" w:ascii="仿宋" w:hAnsi="仿宋" w:eastAsia="仿宋" w:cs="仿宋"/>
                <w:color w:val="auto"/>
                <w:sz w:val="24"/>
                <w:highlight w:val="none"/>
              </w:rPr>
              <w:t>备注：评审过程中，不得去掉报价中的最高报价和最低报价。因落实政府采购政策需要进行价格调整的，以调整后的价格计算评标基准价和磋商报价。</w:t>
            </w:r>
          </w:p>
        </w:tc>
        <w:tc>
          <w:tcPr>
            <w:tcW w:w="972" w:type="dxa"/>
            <w:noWrap w:val="0"/>
            <w:vAlign w:val="center"/>
          </w:tcPr>
          <w:p w14:paraId="2B90A08B">
            <w:pPr>
              <w:spacing w:line="276" w:lineRule="auto"/>
              <w:jc w:val="center"/>
              <w:rPr>
                <w:rFonts w:ascii="仿宋" w:hAnsi="仿宋" w:eastAsia="仿宋" w:cs="仿宋"/>
                <w:color w:val="auto"/>
                <w:sz w:val="24"/>
                <w:highlight w:val="none"/>
              </w:rPr>
            </w:pPr>
            <w:r>
              <w:rPr>
                <w:rFonts w:hint="eastAsia" w:ascii="仿宋" w:hAnsi="仿宋" w:eastAsia="仿宋" w:cs="仿宋"/>
                <w:b/>
                <w:iCs/>
                <w:color w:val="auto"/>
                <w:sz w:val="24"/>
                <w:highlight w:val="none"/>
                <w:lang w:val="en-US" w:eastAsia="zh-CN"/>
              </w:rPr>
              <w:t>1</w:t>
            </w:r>
            <w:r>
              <w:rPr>
                <w:rFonts w:hint="eastAsia" w:ascii="仿宋" w:hAnsi="仿宋" w:eastAsia="仿宋" w:cs="仿宋"/>
                <w:b/>
                <w:iCs/>
                <w:color w:val="auto"/>
                <w:sz w:val="24"/>
                <w:highlight w:val="none"/>
              </w:rPr>
              <w:t>0</w:t>
            </w:r>
          </w:p>
        </w:tc>
        <w:tc>
          <w:tcPr>
            <w:tcW w:w="939" w:type="dxa"/>
            <w:noWrap w:val="0"/>
            <w:vAlign w:val="center"/>
          </w:tcPr>
          <w:p w14:paraId="3481DC42">
            <w:pPr>
              <w:snapToGrid w:val="0"/>
              <w:spacing w:line="300" w:lineRule="exact"/>
              <w:jc w:val="center"/>
              <w:rPr>
                <w:rFonts w:ascii="仿宋" w:hAnsi="仿宋" w:eastAsia="仿宋" w:cs="仿宋"/>
                <w:color w:val="auto"/>
                <w:sz w:val="24"/>
                <w:highlight w:val="none"/>
              </w:rPr>
            </w:pPr>
          </w:p>
        </w:tc>
        <w:tc>
          <w:tcPr>
            <w:tcW w:w="1378" w:type="dxa"/>
            <w:noWrap w:val="0"/>
            <w:vAlign w:val="center"/>
          </w:tcPr>
          <w:p w14:paraId="5FB97BBB">
            <w:pPr>
              <w:snapToGrid w:val="0"/>
              <w:spacing w:line="300" w:lineRule="exact"/>
              <w:jc w:val="center"/>
              <w:rPr>
                <w:rFonts w:ascii="仿宋" w:hAnsi="仿宋" w:eastAsia="仿宋" w:cs="仿宋"/>
                <w:color w:val="auto"/>
                <w:sz w:val="24"/>
                <w:highlight w:val="none"/>
              </w:rPr>
            </w:pPr>
          </w:p>
        </w:tc>
      </w:tr>
      <w:tr w14:paraId="69412EFB">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8629" w:type="dxa"/>
            <w:gridSpan w:val="4"/>
            <w:noWrap w:val="0"/>
            <w:vAlign w:val="center"/>
          </w:tcPr>
          <w:p w14:paraId="156E7AA4">
            <w:pPr>
              <w:snapToGrid w:val="0"/>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合计</w:t>
            </w:r>
          </w:p>
        </w:tc>
        <w:tc>
          <w:tcPr>
            <w:tcW w:w="1378" w:type="dxa"/>
            <w:noWrap w:val="0"/>
            <w:vAlign w:val="center"/>
          </w:tcPr>
          <w:p w14:paraId="5416A304">
            <w:pPr>
              <w:snapToGrid w:val="0"/>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100分</w:t>
            </w:r>
          </w:p>
        </w:tc>
      </w:tr>
    </w:tbl>
    <w:p w14:paraId="736EA64F">
      <w:pPr>
        <w:snapToGrid w:val="0"/>
        <w:spacing w:line="288" w:lineRule="auto"/>
        <w:jc w:val="left"/>
        <w:rPr>
          <w:rFonts w:hint="eastAsia" w:ascii="仿宋" w:hAnsi="仿宋" w:eastAsia="仿宋" w:cs="宋体"/>
          <w:color w:val="auto"/>
          <w:sz w:val="20"/>
          <w:szCs w:val="20"/>
          <w:highlight w:val="none"/>
          <w:shd w:val="clear" w:color="auto" w:fill="FFFFFF"/>
        </w:rPr>
      </w:pPr>
    </w:p>
    <w:p w14:paraId="0E87DB44">
      <w:pPr>
        <w:snapToGrid w:val="0"/>
        <w:spacing w:line="288" w:lineRule="auto"/>
        <w:jc w:val="left"/>
        <w:rPr>
          <w:rFonts w:hint="eastAsia" w:ascii="仿宋" w:hAnsi="仿宋" w:eastAsia="仿宋" w:cs="宋体"/>
          <w:color w:val="auto"/>
          <w:sz w:val="24"/>
          <w:highlight w:val="none"/>
        </w:rPr>
      </w:pPr>
      <w:r>
        <w:rPr>
          <w:rFonts w:hint="eastAsia" w:ascii="仿宋" w:hAnsi="仿宋" w:eastAsia="仿宋" w:cs="宋体"/>
          <w:color w:val="auto"/>
          <w:sz w:val="20"/>
          <w:szCs w:val="20"/>
          <w:highlight w:val="none"/>
          <w:shd w:val="clear" w:color="auto" w:fill="FFFFFF"/>
        </w:rPr>
        <w:t>*</w:t>
      </w:r>
      <w:r>
        <w:rPr>
          <w:rFonts w:hint="eastAsia" w:ascii="仿宋" w:hAnsi="仿宋" w:eastAsia="仿宋" w:cs="宋体"/>
          <w:b/>
          <w:color w:val="auto"/>
          <w:sz w:val="24"/>
          <w:highlight w:val="none"/>
        </w:rPr>
        <w:t>备注：</w:t>
      </w:r>
      <w:r>
        <w:rPr>
          <w:rFonts w:hint="eastAsia" w:ascii="仿宋" w:hAnsi="仿宋" w:eastAsia="仿宋" w:cs="宋体"/>
          <w:color w:val="auto"/>
          <w:sz w:val="24"/>
          <w:highlight w:val="none"/>
        </w:rPr>
        <w:t>投标人编制投标文件（商务技术文件部分）时，建议按此目录（序号和内容）提供评标标准相应的商务技术资料。</w:t>
      </w:r>
    </w:p>
    <w:p w14:paraId="43371B8E">
      <w:pPr>
        <w:snapToGrid w:val="0"/>
        <w:spacing w:line="288"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rPr>
        <w:t>专门面向中小企业采购，不再执行价格评审优惠的扶持政策。</w:t>
      </w:r>
    </w:p>
    <w:p w14:paraId="3EFD7515">
      <w:pPr>
        <w:snapToGrid w:val="0"/>
        <w:spacing w:line="288" w:lineRule="auto"/>
        <w:jc w:val="left"/>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2.投标人中标后须向代理机构提交投标文件中所涉及客观分评审内容的检测报告、认证证书、人员证书等证明文件的原件，以供采购人、采购代理机构对其资料真实性进行审核。如证书可在线查询的，还须提供在线查询网站链接。</w:t>
      </w:r>
    </w:p>
    <w:p w14:paraId="0FE58624">
      <w:pPr>
        <w:pStyle w:val="13"/>
        <w:rPr>
          <w:rFonts w:hint="eastAsia"/>
          <w:color w:val="auto"/>
          <w:highlight w:val="none"/>
        </w:rPr>
      </w:pPr>
    </w:p>
    <w:p w14:paraId="0AC516EB">
      <w:pPr>
        <w:snapToGrid w:val="0"/>
        <w:spacing w:line="360" w:lineRule="auto"/>
        <w:outlineLvl w:val="1"/>
        <w:rPr>
          <w:rFonts w:ascii="仿宋" w:hAnsi="仿宋" w:eastAsia="仿宋" w:cs="宋体"/>
          <w:b/>
          <w:color w:val="auto"/>
          <w:sz w:val="28"/>
          <w:szCs w:val="28"/>
          <w:highlight w:val="none"/>
        </w:rPr>
      </w:pPr>
      <w:r>
        <w:rPr>
          <w:rFonts w:hint="eastAsia" w:ascii="仿宋" w:hAnsi="仿宋" w:eastAsia="仿宋" w:cs="宋体"/>
          <w:b/>
          <w:color w:val="auto"/>
          <w:sz w:val="32"/>
          <w:highlight w:val="none"/>
        </w:rPr>
        <w:t>一、评标方法</w:t>
      </w:r>
    </w:p>
    <w:p w14:paraId="6A933044">
      <w:pPr>
        <w:adjustRightInd/>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1.</w:t>
      </w:r>
      <w:r>
        <w:rPr>
          <w:rFonts w:ascii="仿宋" w:hAnsi="仿宋" w:eastAsia="仿宋" w:cs="宋体"/>
          <w:b/>
          <w:color w:val="auto"/>
          <w:kern w:val="0"/>
          <w:sz w:val="24"/>
          <w:highlight w:val="none"/>
        </w:rPr>
        <w:t xml:space="preserve"> </w:t>
      </w:r>
      <w:r>
        <w:rPr>
          <w:rFonts w:hint="eastAsia" w:ascii="仿宋" w:hAnsi="仿宋" w:eastAsia="仿宋" w:cs="宋体"/>
          <w:b/>
          <w:color w:val="auto"/>
          <w:kern w:val="0"/>
          <w:sz w:val="24"/>
          <w:highlight w:val="none"/>
        </w:rPr>
        <w:t>本项目采用综合评分法。</w:t>
      </w:r>
      <w:r>
        <w:rPr>
          <w:rFonts w:hint="eastAsia" w:ascii="仿宋" w:hAnsi="仿宋" w:eastAsia="仿宋" w:cs="宋体"/>
          <w:color w:val="auto"/>
          <w:kern w:val="0"/>
          <w:sz w:val="24"/>
          <w:highlight w:val="none"/>
        </w:rPr>
        <w:t>综合评分法，是指投标文件满足招标文件全部实质性要求，且按照评审因素的量化指标评审得分最高的投标人为中标候选人的评标方法。</w:t>
      </w:r>
    </w:p>
    <w:p w14:paraId="3B55BFA7">
      <w:pPr>
        <w:adjustRightInd/>
        <w:spacing w:line="360" w:lineRule="auto"/>
        <w:outlineLvl w:val="1"/>
        <w:rPr>
          <w:rFonts w:ascii="仿宋" w:hAnsi="仿宋" w:eastAsia="仿宋" w:cs="宋体"/>
          <w:color w:val="auto"/>
          <w:kern w:val="0"/>
          <w:sz w:val="24"/>
          <w:highlight w:val="none"/>
        </w:rPr>
      </w:pPr>
      <w:r>
        <w:rPr>
          <w:rFonts w:hint="eastAsia" w:ascii="仿宋" w:hAnsi="仿宋" w:eastAsia="仿宋" w:cs="宋体"/>
          <w:b/>
          <w:color w:val="auto"/>
          <w:sz w:val="32"/>
          <w:highlight w:val="none"/>
        </w:rPr>
        <w:t>二、评标标准</w:t>
      </w:r>
    </w:p>
    <w:p w14:paraId="5CC871DC">
      <w:pPr>
        <w:spacing w:line="360" w:lineRule="auto"/>
        <w:ind w:firstLine="472" w:firstLineChars="196"/>
        <w:rPr>
          <w:rFonts w:ascii="仿宋" w:hAnsi="仿宋" w:eastAsia="仿宋" w:cs="宋体"/>
          <w:b/>
          <w:color w:val="auto"/>
          <w:sz w:val="24"/>
          <w:highlight w:val="none"/>
        </w:rPr>
      </w:pPr>
      <w:r>
        <w:rPr>
          <w:rFonts w:hint="eastAsia" w:ascii="仿宋" w:hAnsi="仿宋" w:eastAsia="仿宋" w:cs="宋体"/>
          <w:b/>
          <w:color w:val="auto"/>
          <w:sz w:val="24"/>
          <w:highlight w:val="none"/>
        </w:rPr>
        <w:t>2.</w:t>
      </w:r>
      <w:r>
        <w:rPr>
          <w:rFonts w:hint="eastAsia" w:ascii="仿宋" w:hAnsi="仿宋" w:eastAsia="仿宋" w:cs="宋体"/>
          <w:color w:val="auto"/>
          <w:highlight w:val="none"/>
        </w:rPr>
        <w:t xml:space="preserve"> </w:t>
      </w:r>
      <w:r>
        <w:rPr>
          <w:rFonts w:hint="eastAsia" w:ascii="仿宋" w:hAnsi="仿宋" w:eastAsia="仿宋" w:cs="宋体"/>
          <w:b/>
          <w:color w:val="auto"/>
          <w:sz w:val="24"/>
          <w:highlight w:val="none"/>
        </w:rPr>
        <w:t>评标标准：</w:t>
      </w:r>
      <w:r>
        <w:rPr>
          <w:rFonts w:hint="eastAsia" w:ascii="仿宋" w:hAnsi="仿宋" w:eastAsia="仿宋" w:cs="宋体"/>
          <w:color w:val="auto"/>
          <w:kern w:val="0"/>
          <w:sz w:val="24"/>
          <w:highlight w:val="none"/>
        </w:rPr>
        <w:t>见评标办法前附表。</w:t>
      </w:r>
    </w:p>
    <w:p w14:paraId="5FF01BEF">
      <w:pPr>
        <w:spacing w:line="360" w:lineRule="auto"/>
        <w:outlineLvl w:val="1"/>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三、评标程序</w:t>
      </w:r>
    </w:p>
    <w:p w14:paraId="60E8F794">
      <w:pPr>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3.1</w:t>
      </w:r>
      <w:r>
        <w:rPr>
          <w:rFonts w:ascii="仿宋" w:hAnsi="仿宋" w:eastAsia="仿宋" w:cs="宋体"/>
          <w:b/>
          <w:color w:val="auto"/>
          <w:kern w:val="0"/>
          <w:sz w:val="24"/>
          <w:highlight w:val="none"/>
        </w:rPr>
        <w:t xml:space="preserve"> </w:t>
      </w:r>
      <w:r>
        <w:rPr>
          <w:rFonts w:hint="eastAsia" w:ascii="仿宋" w:hAnsi="仿宋" w:eastAsia="仿宋" w:cs="宋体"/>
          <w:b/>
          <w:color w:val="auto"/>
          <w:kern w:val="0"/>
          <w:sz w:val="24"/>
          <w:highlight w:val="none"/>
        </w:rPr>
        <w:t>符合性审查。</w:t>
      </w:r>
      <w:r>
        <w:rPr>
          <w:rFonts w:hint="eastAsia" w:ascii="仿宋" w:hAnsi="仿宋" w:eastAsia="仿宋"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2CA8E89">
      <w:pPr>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3.2 比较与评价。</w:t>
      </w:r>
      <w:r>
        <w:rPr>
          <w:rFonts w:hint="eastAsia" w:ascii="仿宋" w:hAnsi="仿宋" w:eastAsia="仿宋" w:cs="宋体"/>
          <w:color w:val="auto"/>
          <w:kern w:val="0"/>
          <w:sz w:val="24"/>
          <w:highlight w:val="none"/>
        </w:rPr>
        <w:t>评标委员会应当按照招标文件中规定的评标方法和标准，对符合性审查合格的投标文件进行商务和技术评估，综合比较与评价。</w:t>
      </w:r>
    </w:p>
    <w:p w14:paraId="133C1E0F">
      <w:pPr>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3.3</w:t>
      </w:r>
      <w:r>
        <w:rPr>
          <w:rFonts w:ascii="仿宋" w:hAnsi="仿宋" w:eastAsia="仿宋" w:cs="宋体"/>
          <w:b/>
          <w:color w:val="auto"/>
          <w:kern w:val="0"/>
          <w:sz w:val="24"/>
          <w:highlight w:val="none"/>
        </w:rPr>
        <w:t xml:space="preserve"> </w:t>
      </w:r>
      <w:r>
        <w:rPr>
          <w:rFonts w:hint="eastAsia" w:ascii="仿宋" w:hAnsi="仿宋" w:eastAsia="仿宋" w:cs="宋体"/>
          <w:b/>
          <w:color w:val="auto"/>
          <w:kern w:val="0"/>
          <w:sz w:val="24"/>
          <w:highlight w:val="none"/>
        </w:rPr>
        <w:t>汇总商务技术得分。</w:t>
      </w:r>
      <w:r>
        <w:rPr>
          <w:rFonts w:hint="eastAsia" w:ascii="仿宋" w:hAnsi="仿宋" w:eastAsia="仿宋" w:cs="宋体"/>
          <w:color w:val="auto"/>
          <w:kern w:val="0"/>
          <w:sz w:val="24"/>
          <w:highlight w:val="none"/>
        </w:rPr>
        <w:t>评标委员会各成员应当独立对每个投标人的商务和技术文件进行评价，并汇总商务技术得分情况。</w:t>
      </w:r>
    </w:p>
    <w:p w14:paraId="7BEBD973">
      <w:pPr>
        <w:spacing w:line="360" w:lineRule="auto"/>
        <w:ind w:firstLine="472" w:firstLineChars="196"/>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3.4</w:t>
      </w:r>
      <w:r>
        <w:rPr>
          <w:rFonts w:ascii="仿宋" w:hAnsi="仿宋" w:eastAsia="仿宋" w:cs="宋体"/>
          <w:b/>
          <w:color w:val="auto"/>
          <w:kern w:val="0"/>
          <w:sz w:val="24"/>
          <w:highlight w:val="none"/>
        </w:rPr>
        <w:t xml:space="preserve"> </w:t>
      </w:r>
      <w:r>
        <w:rPr>
          <w:rFonts w:hint="eastAsia" w:ascii="仿宋" w:hAnsi="仿宋" w:eastAsia="仿宋" w:cs="宋体"/>
          <w:b/>
          <w:color w:val="auto"/>
          <w:kern w:val="0"/>
          <w:sz w:val="24"/>
          <w:highlight w:val="none"/>
        </w:rPr>
        <w:t>报价评审。</w:t>
      </w:r>
    </w:p>
    <w:p w14:paraId="22713DBC">
      <w:pPr>
        <w:pStyle w:val="30"/>
        <w:spacing w:before="0"/>
        <w:ind w:firstLine="508" w:firstLineChars="212"/>
        <w:rPr>
          <w:rFonts w:ascii="仿宋" w:hAnsi="仿宋" w:eastAsia="仿宋" w:cs="宋体"/>
          <w:color w:val="auto"/>
          <w:kern w:val="0"/>
          <w:highlight w:val="none"/>
        </w:rPr>
      </w:pPr>
      <w:r>
        <w:rPr>
          <w:rFonts w:hint="eastAsia" w:ascii="仿宋" w:hAnsi="仿宋" w:eastAsia="仿宋" w:cs="宋体"/>
          <w:color w:val="auto"/>
          <w:kern w:val="0"/>
          <w:highlight w:val="none"/>
        </w:rPr>
        <w:t>3.4.1</w:t>
      </w:r>
      <w:r>
        <w:rPr>
          <w:rFonts w:ascii="仿宋" w:hAnsi="仿宋" w:eastAsia="仿宋" w:cs="宋体"/>
          <w:color w:val="auto"/>
          <w:kern w:val="0"/>
          <w:highlight w:val="none"/>
        </w:rPr>
        <w:t xml:space="preserve"> </w:t>
      </w:r>
      <w:r>
        <w:rPr>
          <w:rFonts w:hint="eastAsia" w:ascii="仿宋" w:hAnsi="仿宋" w:eastAsia="仿宋" w:cs="宋体"/>
          <w:color w:val="auto"/>
          <w:kern w:val="0"/>
          <w:highlight w:val="none"/>
        </w:rPr>
        <w:t>投标文件报价出现前后不一致的，按照下列规定修正：</w:t>
      </w:r>
    </w:p>
    <w:p w14:paraId="1913D4EC">
      <w:pPr>
        <w:pStyle w:val="30"/>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3.4.1.1</w:t>
      </w:r>
      <w:r>
        <w:rPr>
          <w:rFonts w:ascii="仿宋" w:hAnsi="仿宋" w:eastAsia="仿宋" w:cs="宋体"/>
          <w:color w:val="auto"/>
          <w:kern w:val="0"/>
          <w:szCs w:val="24"/>
          <w:highlight w:val="none"/>
        </w:rPr>
        <w:t xml:space="preserve"> </w:t>
      </w:r>
      <w:r>
        <w:rPr>
          <w:rFonts w:hint="eastAsia" w:ascii="仿宋" w:hAnsi="仿宋" w:eastAsia="仿宋" w:cs="宋体"/>
          <w:color w:val="auto"/>
          <w:kern w:val="0"/>
          <w:szCs w:val="24"/>
          <w:highlight w:val="none"/>
        </w:rPr>
        <w:t>投标文件中开标一览表(报价表)内容与投标文件中相应内容不一致的，以开标一览表(报价表)为准;</w:t>
      </w:r>
    </w:p>
    <w:p w14:paraId="16B0DFFC">
      <w:pPr>
        <w:pStyle w:val="30"/>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3.4.1.2</w:t>
      </w:r>
      <w:r>
        <w:rPr>
          <w:rFonts w:ascii="仿宋" w:hAnsi="仿宋" w:eastAsia="仿宋" w:cs="宋体"/>
          <w:color w:val="auto"/>
          <w:kern w:val="0"/>
          <w:szCs w:val="24"/>
          <w:highlight w:val="none"/>
        </w:rPr>
        <w:t xml:space="preserve"> </w:t>
      </w:r>
      <w:r>
        <w:rPr>
          <w:rFonts w:hint="eastAsia" w:ascii="仿宋" w:hAnsi="仿宋" w:eastAsia="仿宋" w:cs="宋体"/>
          <w:color w:val="auto"/>
          <w:kern w:val="0"/>
          <w:szCs w:val="24"/>
          <w:highlight w:val="none"/>
        </w:rPr>
        <w:t>大写金额和小写金额不一致的，以大写金额为准;</w:t>
      </w:r>
    </w:p>
    <w:p w14:paraId="7FFBBF18">
      <w:pPr>
        <w:pStyle w:val="30"/>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3.4.1.3</w:t>
      </w:r>
      <w:r>
        <w:rPr>
          <w:rFonts w:ascii="仿宋" w:hAnsi="仿宋" w:eastAsia="仿宋" w:cs="宋体"/>
          <w:color w:val="auto"/>
          <w:kern w:val="0"/>
          <w:szCs w:val="24"/>
          <w:highlight w:val="none"/>
        </w:rPr>
        <w:t xml:space="preserve"> </w:t>
      </w:r>
      <w:r>
        <w:rPr>
          <w:rFonts w:hint="eastAsia" w:ascii="仿宋" w:hAnsi="仿宋" w:eastAsia="仿宋" w:cs="宋体"/>
          <w:color w:val="auto"/>
          <w:kern w:val="0"/>
          <w:szCs w:val="24"/>
          <w:highlight w:val="none"/>
        </w:rPr>
        <w:t>单价金额小数点或者百分比有明显错位的，以开标一览表的总价为准，并修改单价;</w:t>
      </w:r>
    </w:p>
    <w:p w14:paraId="716F4495">
      <w:pPr>
        <w:pStyle w:val="30"/>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3.4.1.4</w:t>
      </w:r>
      <w:r>
        <w:rPr>
          <w:rFonts w:ascii="仿宋" w:hAnsi="仿宋" w:eastAsia="仿宋" w:cs="宋体"/>
          <w:color w:val="auto"/>
          <w:kern w:val="0"/>
          <w:szCs w:val="24"/>
          <w:highlight w:val="none"/>
        </w:rPr>
        <w:t xml:space="preserve"> </w:t>
      </w:r>
      <w:r>
        <w:rPr>
          <w:rFonts w:hint="eastAsia" w:ascii="仿宋" w:hAnsi="仿宋" w:eastAsia="仿宋" w:cs="宋体"/>
          <w:color w:val="auto"/>
          <w:kern w:val="0"/>
          <w:szCs w:val="24"/>
          <w:highlight w:val="none"/>
        </w:rPr>
        <w:t>总价金额与按单价汇总金额不一致的，以单价金额计算结果为准。</w:t>
      </w:r>
    </w:p>
    <w:p w14:paraId="3DEC6EEA">
      <w:pPr>
        <w:pStyle w:val="30"/>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3.4.1.5</w:t>
      </w:r>
      <w:r>
        <w:rPr>
          <w:rFonts w:ascii="仿宋" w:hAnsi="仿宋" w:eastAsia="仿宋" w:cs="宋体"/>
          <w:color w:val="auto"/>
          <w:kern w:val="0"/>
          <w:szCs w:val="24"/>
          <w:highlight w:val="none"/>
        </w:rPr>
        <w:t xml:space="preserve"> </w:t>
      </w:r>
      <w:r>
        <w:rPr>
          <w:rFonts w:hint="eastAsia" w:ascii="仿宋" w:hAnsi="仿宋" w:eastAsia="仿宋" w:cs="宋体"/>
          <w:color w:val="auto"/>
          <w:kern w:val="0"/>
          <w:szCs w:val="24"/>
          <w:highlight w:val="none"/>
        </w:rPr>
        <w:t>同时出现两种以上不一致的，按照3.4.1规定的顺序修正。修正后的报价按照财政部第87号令 《政府采购货物和服务招标投标管理办法》第五十一条第二款的规定经投标人确认后产生约束力。</w:t>
      </w:r>
    </w:p>
    <w:p w14:paraId="4A420069">
      <w:pPr>
        <w:snapToGrid w:val="0"/>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3.4.2</w:t>
      </w:r>
      <w:r>
        <w:rPr>
          <w:rFonts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rPr>
        <w:t>投标文件出现不是唯一的、有选择性投标报价的，投标无效。</w:t>
      </w:r>
    </w:p>
    <w:p w14:paraId="20BB54F4">
      <w:pPr>
        <w:snapToGrid w:val="0"/>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3.4.3</w:t>
      </w:r>
      <w:r>
        <w:rPr>
          <w:rFonts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rPr>
        <w:t>投标报价超过招标文件中规定的预算金额或者最高限价的，投标无效。</w:t>
      </w:r>
    </w:p>
    <w:p w14:paraId="2A8A0A96">
      <w:pPr>
        <w:pStyle w:val="30"/>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3.4.4</w:t>
      </w:r>
      <w:r>
        <w:rPr>
          <w:rFonts w:ascii="仿宋" w:hAnsi="仿宋" w:eastAsia="仿宋" w:cs="宋体"/>
          <w:color w:val="auto"/>
          <w:kern w:val="0"/>
          <w:szCs w:val="24"/>
          <w:highlight w:val="none"/>
        </w:rPr>
        <w:t xml:space="preserve"> </w:t>
      </w:r>
      <w:r>
        <w:rPr>
          <w:rFonts w:hint="eastAsia" w:ascii="仿宋" w:hAnsi="仿宋" w:eastAsia="仿宋" w:cs="宋体"/>
          <w:color w:val="auto"/>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A62711E">
      <w:pPr>
        <w:pStyle w:val="30"/>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3.4.5</w:t>
      </w:r>
      <w:r>
        <w:rPr>
          <w:rFonts w:ascii="仿宋" w:hAnsi="仿宋" w:eastAsia="仿宋" w:cs="宋体"/>
          <w:color w:val="auto"/>
          <w:kern w:val="0"/>
          <w:szCs w:val="24"/>
          <w:highlight w:val="none"/>
        </w:rPr>
        <w:t xml:space="preserve"> </w:t>
      </w:r>
      <w:r>
        <w:rPr>
          <w:rFonts w:hint="eastAsia" w:ascii="仿宋" w:hAnsi="仿宋" w:eastAsia="仿宋" w:cs="宋体"/>
          <w:color w:val="auto"/>
          <w:kern w:val="0"/>
          <w:szCs w:val="24"/>
          <w:highlight w:val="none"/>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E6D3BFD">
      <w:pPr>
        <w:spacing w:line="360" w:lineRule="auto"/>
        <w:ind w:firstLine="482" w:firstLineChars="200"/>
        <w:rPr>
          <w:rFonts w:hint="eastAsia" w:ascii="仿宋" w:hAnsi="仿宋" w:eastAsia="仿宋" w:cs="仿宋"/>
          <w:color w:val="auto"/>
          <w:kern w:val="0"/>
          <w:sz w:val="24"/>
          <w:szCs w:val="24"/>
          <w:highlight w:val="none"/>
        </w:rPr>
      </w:pPr>
      <w:r>
        <w:rPr>
          <w:rFonts w:hint="eastAsia" w:ascii="仿宋" w:hAnsi="仿宋" w:eastAsia="仿宋" w:cs="宋体"/>
          <w:b/>
          <w:color w:val="auto"/>
          <w:kern w:val="0"/>
          <w:sz w:val="24"/>
          <w:highlight w:val="none"/>
        </w:rPr>
        <w:t>3.5</w:t>
      </w:r>
      <w:r>
        <w:rPr>
          <w:rFonts w:ascii="仿宋" w:hAnsi="仿宋" w:eastAsia="仿宋" w:cs="宋体"/>
          <w:b/>
          <w:color w:val="auto"/>
          <w:kern w:val="0"/>
          <w:sz w:val="24"/>
          <w:highlight w:val="none"/>
        </w:rPr>
        <w:t xml:space="preserve"> </w:t>
      </w:r>
      <w:r>
        <w:rPr>
          <w:rFonts w:hint="eastAsia" w:ascii="仿宋" w:hAnsi="仿宋" w:eastAsia="仿宋" w:cs="宋体"/>
          <w:b/>
          <w:color w:val="auto"/>
          <w:kern w:val="0"/>
          <w:sz w:val="24"/>
          <w:highlight w:val="none"/>
        </w:rPr>
        <w:t>排序与推荐。</w:t>
      </w:r>
      <w:r>
        <w:rPr>
          <w:rFonts w:hint="eastAsia" w:ascii="仿宋" w:hAnsi="仿宋" w:eastAsia="仿宋" w:cs="仿宋"/>
          <w:color w:val="auto"/>
          <w:kern w:val="0"/>
          <w:sz w:val="24"/>
          <w:szCs w:val="24"/>
          <w:highlight w:val="none"/>
          <w:lang w:val="en" w:eastAsia="zh-CN" w:bidi="ar-SA"/>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仿宋"/>
          <w:color w:val="auto"/>
          <w:sz w:val="24"/>
          <w:szCs w:val="24"/>
          <w:highlight w:val="none"/>
          <w:lang w:val="en" w:eastAsia="zh-CN"/>
        </w:rPr>
        <w:t>本项目推荐的中标候选人数量：</w:t>
      </w:r>
      <w:r>
        <w:rPr>
          <w:rFonts w:hint="eastAsia" w:ascii="仿宋" w:hAnsi="仿宋" w:eastAsia="仿宋" w:cs="仿宋"/>
          <w:color w:val="auto"/>
          <w:sz w:val="24"/>
          <w:szCs w:val="24"/>
          <w:highlight w:val="none"/>
          <w:u w:val="single"/>
          <w:lang w:val="en-US" w:eastAsia="zh-CN"/>
        </w:rPr>
        <w:t xml:space="preserve">    2名  </w:t>
      </w:r>
      <w:r>
        <w:rPr>
          <w:rFonts w:hint="eastAsia" w:ascii="仿宋" w:hAnsi="仿宋" w:eastAsia="仿宋" w:cs="仿宋"/>
          <w:color w:val="auto"/>
          <w:kern w:val="0"/>
          <w:sz w:val="24"/>
          <w:szCs w:val="24"/>
          <w:highlight w:val="none"/>
        </w:rPr>
        <w:t>。</w:t>
      </w:r>
    </w:p>
    <w:p w14:paraId="724A4B49">
      <w:pPr>
        <w:spacing w:line="360" w:lineRule="auto"/>
        <w:ind w:firstLine="480" w:firstLineChars="200"/>
        <w:rPr>
          <w:rFonts w:ascii="仿宋" w:hAnsi="仿宋" w:eastAsia="仿宋" w:cs="宋体"/>
          <w:b/>
          <w:color w:val="auto"/>
          <w:kern w:val="0"/>
          <w:sz w:val="24"/>
          <w:highlight w:val="none"/>
        </w:rPr>
      </w:pPr>
      <w:r>
        <w:rPr>
          <w:rFonts w:hint="eastAsia" w:ascii="仿宋" w:hAnsi="仿宋" w:eastAsia="仿宋"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7AEC5E5">
      <w:pPr>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3.6</w:t>
      </w:r>
      <w:r>
        <w:rPr>
          <w:rFonts w:ascii="仿宋" w:hAnsi="仿宋" w:eastAsia="仿宋" w:cs="宋体"/>
          <w:b/>
          <w:color w:val="auto"/>
          <w:kern w:val="0"/>
          <w:sz w:val="24"/>
          <w:highlight w:val="none"/>
        </w:rPr>
        <w:t xml:space="preserve"> </w:t>
      </w:r>
      <w:r>
        <w:rPr>
          <w:rFonts w:hint="eastAsia" w:ascii="仿宋" w:hAnsi="仿宋" w:eastAsia="仿宋" w:cs="宋体"/>
          <w:b/>
          <w:color w:val="auto"/>
          <w:kern w:val="0"/>
          <w:sz w:val="24"/>
          <w:highlight w:val="none"/>
        </w:rPr>
        <w:t>编写评标报告。</w:t>
      </w:r>
      <w:r>
        <w:rPr>
          <w:rFonts w:hint="eastAsia" w:ascii="仿宋" w:hAnsi="仿宋" w:eastAsia="仿宋"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88C5366">
      <w:pPr>
        <w:widowControl/>
        <w:shd w:val="clear" w:color="auto" w:fill="FFFFFF"/>
        <w:adjustRightInd/>
        <w:spacing w:after="225" w:line="315" w:lineRule="atLeast"/>
        <w:jc w:val="left"/>
        <w:outlineLvl w:val="1"/>
        <w:rPr>
          <w:rFonts w:ascii="仿宋" w:hAnsi="仿宋" w:eastAsia="仿宋" w:cs="宋体"/>
          <w:b/>
          <w:color w:val="auto"/>
          <w:sz w:val="32"/>
          <w:highlight w:val="none"/>
        </w:rPr>
      </w:pPr>
      <w:r>
        <w:rPr>
          <w:rFonts w:hint="eastAsia" w:ascii="仿宋" w:hAnsi="仿宋" w:eastAsia="仿宋" w:cs="宋体"/>
          <w:b/>
          <w:color w:val="auto"/>
          <w:sz w:val="32"/>
          <w:highlight w:val="none"/>
        </w:rPr>
        <w:t>四、评标中的其他事项</w:t>
      </w:r>
    </w:p>
    <w:p w14:paraId="3AA2A7C0">
      <w:pPr>
        <w:pStyle w:val="30"/>
        <w:spacing w:before="0"/>
        <w:ind w:firstLine="472" w:firstLineChars="196"/>
        <w:rPr>
          <w:rFonts w:ascii="仿宋" w:hAnsi="仿宋" w:eastAsia="仿宋" w:cs="宋体"/>
          <w:color w:val="auto"/>
          <w:kern w:val="0"/>
          <w:szCs w:val="24"/>
          <w:highlight w:val="none"/>
        </w:rPr>
      </w:pPr>
      <w:r>
        <w:rPr>
          <w:rFonts w:hint="eastAsia" w:ascii="仿宋" w:hAnsi="仿宋" w:eastAsia="仿宋" w:cs="宋体"/>
          <w:b/>
          <w:color w:val="auto"/>
          <w:kern w:val="0"/>
          <w:szCs w:val="24"/>
          <w:highlight w:val="none"/>
        </w:rPr>
        <w:t>4.1</w:t>
      </w:r>
      <w:r>
        <w:rPr>
          <w:rFonts w:ascii="仿宋" w:hAnsi="仿宋" w:eastAsia="仿宋" w:cs="宋体"/>
          <w:b/>
          <w:color w:val="auto"/>
          <w:kern w:val="0"/>
          <w:szCs w:val="24"/>
          <w:highlight w:val="none"/>
        </w:rPr>
        <w:t xml:space="preserve"> </w:t>
      </w:r>
      <w:r>
        <w:rPr>
          <w:rFonts w:hint="eastAsia" w:ascii="仿宋" w:hAnsi="仿宋" w:eastAsia="仿宋" w:cs="宋体"/>
          <w:b/>
          <w:color w:val="auto"/>
          <w:kern w:val="0"/>
          <w:szCs w:val="24"/>
          <w:highlight w:val="none"/>
        </w:rPr>
        <w:t>投标人澄清、说明或者补正。</w:t>
      </w:r>
      <w:r>
        <w:rPr>
          <w:rFonts w:hint="eastAsia" w:ascii="仿宋" w:hAnsi="仿宋" w:eastAsia="仿宋"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6140D67">
      <w:pPr>
        <w:pStyle w:val="13"/>
        <w:spacing w:line="360" w:lineRule="auto"/>
        <w:ind w:left="954" w:leftChars="226" w:hanging="479" w:firstLineChars="0"/>
        <w:rPr>
          <w:rFonts w:ascii="仿宋" w:hAnsi="仿宋" w:eastAsia="仿宋" w:cs="宋体"/>
          <w:color w:val="auto"/>
          <w:szCs w:val="21"/>
          <w:highlight w:val="none"/>
        </w:rPr>
      </w:pPr>
      <w:r>
        <w:rPr>
          <w:rFonts w:hint="eastAsia" w:ascii="仿宋" w:hAnsi="仿宋" w:eastAsia="仿宋" w:cs="宋体"/>
          <w:b/>
          <w:color w:val="auto"/>
          <w:kern w:val="0"/>
          <w:highlight w:val="none"/>
        </w:rPr>
        <w:t>4.2</w:t>
      </w:r>
      <w:r>
        <w:rPr>
          <w:rFonts w:ascii="仿宋" w:hAnsi="仿宋" w:eastAsia="仿宋" w:cs="宋体"/>
          <w:b/>
          <w:color w:val="auto"/>
          <w:kern w:val="0"/>
          <w:highlight w:val="none"/>
        </w:rPr>
        <w:t xml:space="preserve"> </w:t>
      </w:r>
      <w:r>
        <w:rPr>
          <w:rFonts w:hint="eastAsia" w:ascii="仿宋" w:hAnsi="仿宋" w:eastAsia="仿宋" w:cs="宋体"/>
          <w:b/>
          <w:color w:val="auto"/>
          <w:kern w:val="0"/>
          <w:highlight w:val="none"/>
        </w:rPr>
        <w:t>投标无效。</w:t>
      </w:r>
      <w:r>
        <w:rPr>
          <w:rFonts w:hint="eastAsia" w:ascii="仿宋" w:hAnsi="仿宋" w:eastAsia="仿宋" w:cs="宋体"/>
          <w:color w:val="auto"/>
          <w:szCs w:val="21"/>
          <w:highlight w:val="none"/>
        </w:rPr>
        <w:t>有下列情形之一的，投标无效：</w:t>
      </w:r>
    </w:p>
    <w:p w14:paraId="381454FF">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4.2.1</w:t>
      </w:r>
      <w:r>
        <w:rPr>
          <w:rFonts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rPr>
        <w:t>投标人不具备招标文件中规定的资格要求的（投标人未提供有效的资格文件的，视为投标人不具备招标文件中规定的资格要求）；</w:t>
      </w:r>
    </w:p>
    <w:p w14:paraId="477F48F7">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4.2.2</w:t>
      </w:r>
      <w:r>
        <w:rPr>
          <w:rFonts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rPr>
        <w:t>投标文件未按照招标文件要求签署、盖章的；</w:t>
      </w:r>
    </w:p>
    <w:p w14:paraId="6E38E1C1">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4.2.3</w:t>
      </w:r>
      <w:r>
        <w:rPr>
          <w:rFonts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rPr>
        <w:t>采购人拟采购的产品属于政府强制采购的节能产品品目清单范围的，投标人相应的投标产品未获得国家确定的认证机构出具的、处于有效期之内的节能产品认证证书的；</w:t>
      </w:r>
    </w:p>
    <w:p w14:paraId="5237CE0A">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4.2.4</w:t>
      </w:r>
      <w:r>
        <w:rPr>
          <w:rFonts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rPr>
        <w:t>投标文件含有采购人不能接受的附加条件的；</w:t>
      </w:r>
    </w:p>
    <w:p w14:paraId="250D8949">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4.2.5</w:t>
      </w:r>
      <w:r>
        <w:rPr>
          <w:rFonts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rPr>
        <w:t>投标文件中承诺的投标有效期少于招标文件中载明的投标有效期的；</w:t>
      </w:r>
    </w:p>
    <w:p w14:paraId="03E789EE">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4.2.6</w:t>
      </w:r>
      <w:r>
        <w:rPr>
          <w:rFonts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rPr>
        <w:t>投标文件出现不是唯一的、有选择性投标报价的;</w:t>
      </w:r>
    </w:p>
    <w:p w14:paraId="3E5EF27B">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4.2.7</w:t>
      </w:r>
      <w:r>
        <w:rPr>
          <w:rFonts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rPr>
        <w:t>投标报价超过招标文件中规定的预算金额或者最高限价的；</w:t>
      </w:r>
    </w:p>
    <w:p w14:paraId="77C4AE6B">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4.2.8</w:t>
      </w:r>
      <w:r>
        <w:rPr>
          <w:rFonts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p>
    <w:p w14:paraId="31EC13BA">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en-US" w:eastAsia="zh-CN"/>
        </w:rPr>
        <w:t xml:space="preserve">4.2.9 </w:t>
      </w:r>
      <w:r>
        <w:rPr>
          <w:rFonts w:hint="eastAsia" w:ascii="仿宋" w:hAnsi="仿宋" w:eastAsia="仿宋" w:cs="宋体"/>
          <w:color w:val="auto"/>
          <w:kern w:val="0"/>
          <w:sz w:val="24"/>
          <w:highlight w:val="none"/>
        </w:rPr>
        <w:t>《中小企业声明函》</w:t>
      </w:r>
      <w:r>
        <w:rPr>
          <w:rFonts w:hint="eastAsia" w:ascii="仿宋" w:hAnsi="仿宋" w:eastAsia="仿宋" w:cs="宋体"/>
          <w:color w:val="auto"/>
          <w:kern w:val="0"/>
          <w:sz w:val="24"/>
          <w:highlight w:val="none"/>
          <w:lang w:val="en-US" w:eastAsia="zh-CN"/>
        </w:rPr>
        <w:t>因</w:t>
      </w:r>
      <w:r>
        <w:rPr>
          <w:rFonts w:hint="eastAsia" w:ascii="仿宋" w:hAnsi="仿宋" w:eastAsia="仿宋" w:cs="宋体"/>
          <w:color w:val="auto"/>
          <w:kern w:val="0"/>
          <w:sz w:val="24"/>
          <w:highlight w:val="none"/>
          <w:lang w:eastAsia="zh-CN"/>
        </w:rPr>
        <w:t>填写</w:t>
      </w:r>
      <w:r>
        <w:rPr>
          <w:rFonts w:hint="eastAsia" w:ascii="仿宋" w:hAnsi="仿宋" w:eastAsia="仿宋" w:cs="宋体"/>
          <w:color w:val="auto"/>
          <w:kern w:val="0"/>
          <w:sz w:val="24"/>
          <w:highlight w:val="none"/>
          <w:lang w:val="en-US" w:eastAsia="zh-CN"/>
        </w:rPr>
        <w:t>内容</w:t>
      </w:r>
      <w:r>
        <w:rPr>
          <w:rFonts w:hint="eastAsia" w:ascii="仿宋" w:hAnsi="仿宋" w:eastAsia="仿宋" w:cs="宋体"/>
          <w:color w:val="auto"/>
          <w:kern w:val="0"/>
          <w:sz w:val="24"/>
          <w:highlight w:val="none"/>
          <w:lang w:eastAsia="zh-CN"/>
        </w:rPr>
        <w:t>错误，</w:t>
      </w:r>
      <w:r>
        <w:rPr>
          <w:rFonts w:hint="eastAsia" w:ascii="仿宋" w:hAnsi="仿宋" w:eastAsia="仿宋" w:cs="宋体"/>
          <w:color w:val="auto"/>
          <w:kern w:val="0"/>
          <w:sz w:val="24"/>
          <w:highlight w:val="none"/>
          <w:lang w:val="en-US" w:eastAsia="zh-CN"/>
        </w:rPr>
        <w:t>而</w:t>
      </w:r>
      <w:r>
        <w:rPr>
          <w:rFonts w:hint="eastAsia" w:ascii="仿宋" w:hAnsi="仿宋" w:eastAsia="仿宋" w:cs="宋体"/>
          <w:color w:val="auto"/>
          <w:kern w:val="0"/>
          <w:sz w:val="24"/>
          <w:highlight w:val="none"/>
          <w:lang w:eastAsia="zh-CN"/>
        </w:rPr>
        <w:t>导致该企业享受本不能享受的中小企业扶持政策的</w:t>
      </w:r>
      <w:r>
        <w:rPr>
          <w:rFonts w:hint="eastAsia" w:ascii="仿宋" w:hAnsi="仿宋" w:eastAsia="仿宋" w:cs="宋体"/>
          <w:color w:val="auto"/>
          <w:kern w:val="0"/>
          <w:sz w:val="24"/>
          <w:highlight w:val="none"/>
        </w:rPr>
        <w:t>;</w:t>
      </w:r>
    </w:p>
    <w:p w14:paraId="215A7F39">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w:t>
      </w:r>
      <w:r>
        <w:rPr>
          <w:rFonts w:hint="eastAsia" w:ascii="仿宋" w:hAnsi="仿宋" w:eastAsia="仿宋" w:cs="宋体"/>
          <w:color w:val="auto"/>
          <w:kern w:val="0"/>
          <w:sz w:val="24"/>
          <w:highlight w:val="none"/>
          <w:lang w:val="en-US" w:eastAsia="zh-CN"/>
        </w:rPr>
        <w:t>10</w:t>
      </w:r>
      <w:r>
        <w:rPr>
          <w:rFonts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rPr>
        <w:t>投标人对根据修正原则修正后的报价不确认的；</w:t>
      </w:r>
    </w:p>
    <w:p w14:paraId="722DCFF7">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4.2.1</w:t>
      </w:r>
      <w:r>
        <w:rPr>
          <w:rFonts w:hint="eastAsia" w:ascii="仿宋" w:hAnsi="仿宋" w:eastAsia="仿宋" w:cs="宋体"/>
          <w:color w:val="auto"/>
          <w:kern w:val="0"/>
          <w:sz w:val="24"/>
          <w:highlight w:val="none"/>
          <w:lang w:val="en-US" w:eastAsia="zh-CN"/>
        </w:rPr>
        <w:t>1</w:t>
      </w:r>
      <w:r>
        <w:rPr>
          <w:rFonts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rPr>
        <w:t>投标人提供虚假材料投标的；</w:t>
      </w:r>
    </w:p>
    <w:p w14:paraId="041D3CEC">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4.2.1</w:t>
      </w:r>
      <w:r>
        <w:rPr>
          <w:rFonts w:hint="eastAsia" w:ascii="仿宋" w:hAnsi="仿宋" w:eastAsia="仿宋" w:cs="宋体"/>
          <w:color w:val="auto"/>
          <w:kern w:val="0"/>
          <w:sz w:val="24"/>
          <w:highlight w:val="none"/>
          <w:lang w:val="en-US" w:eastAsia="zh-CN"/>
        </w:rPr>
        <w:t>2</w:t>
      </w:r>
      <w:r>
        <w:rPr>
          <w:rFonts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rPr>
        <w:t>投标人有恶意串通、妨碍其他投标人的竞争行为、损害采购人或者其他投标人的合法权益情形的；</w:t>
      </w:r>
    </w:p>
    <w:p w14:paraId="295A230C">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4.2.1</w:t>
      </w:r>
      <w:r>
        <w:rPr>
          <w:rFonts w:hint="eastAsia" w:ascii="仿宋" w:hAnsi="仿宋" w:eastAsia="仿宋" w:cs="宋体"/>
          <w:color w:val="auto"/>
          <w:kern w:val="0"/>
          <w:sz w:val="24"/>
          <w:highlight w:val="none"/>
          <w:lang w:val="en-US" w:eastAsia="zh-CN"/>
        </w:rPr>
        <w:t>3</w:t>
      </w:r>
      <w:r>
        <w:rPr>
          <w:rFonts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rPr>
        <w:t>投标人仅提交备份投标文件，未在电子交易平台传输递交投标文件的，投标无效；</w:t>
      </w:r>
    </w:p>
    <w:p w14:paraId="3D3F6991">
      <w:pPr>
        <w:spacing w:line="360" w:lineRule="auto"/>
        <w:ind w:firstLine="480" w:firstLineChars="200"/>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4.2.1</w:t>
      </w:r>
      <w:r>
        <w:rPr>
          <w:rFonts w:hint="eastAsia" w:ascii="仿宋" w:hAnsi="仿宋" w:eastAsia="仿宋" w:cs="宋体"/>
          <w:color w:val="auto"/>
          <w:kern w:val="0"/>
          <w:sz w:val="24"/>
          <w:highlight w:val="none"/>
          <w:lang w:val="en-US" w:eastAsia="zh-CN"/>
        </w:rPr>
        <w:t>4</w:t>
      </w:r>
      <w:r>
        <w:rPr>
          <w:rFonts w:hint="eastAsia" w:ascii="仿宋" w:hAnsi="仿宋" w:eastAsia="仿宋" w:cs="宋体"/>
          <w:color w:val="auto"/>
          <w:kern w:val="0"/>
          <w:sz w:val="24"/>
          <w:highlight w:val="none"/>
        </w:rPr>
        <w:t xml:space="preserve"> 投标文件不满足招标文件的其它实质性要求的；</w:t>
      </w:r>
    </w:p>
    <w:p w14:paraId="4F2422D9">
      <w:pPr>
        <w:spacing w:line="360" w:lineRule="auto"/>
        <w:ind w:firstLine="480" w:firstLineChars="200"/>
        <w:rPr>
          <w:rFonts w:hint="eastAsia" w:ascii="仿宋" w:hAnsi="仿宋" w:eastAsia="仿宋" w:cs="宋体"/>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5参与同一个采购包（标段）的供应商存在下列情形之一且无法合理解释的，其投标（响应）文件无效：1.不同供应商的电子投标文件上传计算机的网卡MAC地址或硬盘序列号等硬件信息相同的；2.上传的电子投标文件若出现使用本项目其他投标供应商的数字证书加密的，或者加盖本项目其他投标（响应）供应商的电子印章的；3.不同供应商的投标文件的内容存在3处（含）以上错误一致的；4.不同供应商联系人为同一人或不同联系人的联系电话一致的</w:t>
      </w:r>
      <w:r>
        <w:rPr>
          <w:rFonts w:hint="eastAsia" w:ascii="仿宋" w:hAnsi="仿宋" w:eastAsia="仿宋" w:cs="仿宋"/>
          <w:color w:val="auto"/>
          <w:kern w:val="0"/>
          <w:sz w:val="24"/>
          <w:highlight w:val="none"/>
        </w:rPr>
        <w:t>；</w:t>
      </w:r>
    </w:p>
    <w:p w14:paraId="7C2559EA">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4.2.1</w:t>
      </w:r>
      <w:r>
        <w:rPr>
          <w:rFonts w:hint="eastAsia" w:ascii="仿宋" w:hAnsi="仿宋" w:eastAsia="仿宋" w:cs="宋体"/>
          <w:color w:val="auto"/>
          <w:kern w:val="0"/>
          <w:sz w:val="24"/>
          <w:highlight w:val="none"/>
          <w:lang w:val="en-US" w:eastAsia="zh-CN"/>
        </w:rPr>
        <w:t>6</w:t>
      </w:r>
      <w:r>
        <w:rPr>
          <w:rFonts w:hint="eastAsia" w:ascii="仿宋" w:hAnsi="仿宋" w:eastAsia="仿宋" w:cs="宋体"/>
          <w:color w:val="auto"/>
          <w:kern w:val="0"/>
          <w:sz w:val="24"/>
          <w:highlight w:val="none"/>
        </w:rPr>
        <w:t>法律、法规、规章（适用本市的）及省级以上规范性文件（适用本市的）规定的其他无效情形</w:t>
      </w:r>
      <w:r>
        <w:rPr>
          <w:rFonts w:hint="eastAsia" w:ascii="仿宋" w:hAnsi="仿宋" w:eastAsia="仿宋" w:cs="宋体"/>
          <w:color w:val="auto"/>
          <w:kern w:val="0"/>
          <w:sz w:val="24"/>
          <w:highlight w:val="none"/>
        </w:rPr>
        <w:t>。</w:t>
      </w:r>
    </w:p>
    <w:p w14:paraId="22180037">
      <w:pPr>
        <w:pStyle w:val="13"/>
        <w:snapToGrid w:val="0"/>
        <w:spacing w:line="360" w:lineRule="auto"/>
        <w:ind w:firstLine="472" w:firstLineChars="196"/>
        <w:rPr>
          <w:rFonts w:ascii="仿宋" w:hAnsi="仿宋" w:eastAsia="仿宋" w:cs="宋体"/>
          <w:color w:val="auto"/>
          <w:highlight w:val="none"/>
        </w:rPr>
      </w:pPr>
      <w:r>
        <w:rPr>
          <w:rFonts w:hint="eastAsia" w:ascii="仿宋" w:hAnsi="仿宋" w:eastAsia="仿宋" w:cs="宋体"/>
          <w:b/>
          <w:color w:val="auto"/>
          <w:highlight w:val="none"/>
        </w:rPr>
        <w:t>5.</w:t>
      </w:r>
      <w:r>
        <w:rPr>
          <w:rFonts w:ascii="仿宋" w:hAnsi="仿宋" w:eastAsia="仿宋" w:cs="宋体"/>
          <w:b/>
          <w:color w:val="auto"/>
          <w:highlight w:val="none"/>
        </w:rPr>
        <w:t xml:space="preserve"> </w:t>
      </w:r>
      <w:r>
        <w:rPr>
          <w:rFonts w:hint="eastAsia" w:ascii="仿宋" w:hAnsi="仿宋" w:eastAsia="仿宋" w:cs="宋体"/>
          <w:b/>
          <w:color w:val="auto"/>
          <w:highlight w:val="none"/>
        </w:rPr>
        <w:t>废标。</w:t>
      </w:r>
      <w:r>
        <w:rPr>
          <w:rFonts w:hint="eastAsia" w:ascii="仿宋" w:hAnsi="仿宋" w:eastAsia="仿宋" w:cs="宋体"/>
          <w:color w:val="auto"/>
          <w:highlight w:val="none"/>
        </w:rPr>
        <w:t>根据《中华人民共和国政府采购法》第三十六条之规定，在采购中，出现下列情形之一的，应予废标：</w:t>
      </w:r>
    </w:p>
    <w:p w14:paraId="1C1AD449">
      <w:pPr>
        <w:pStyle w:val="13"/>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5.1</w:t>
      </w:r>
      <w:r>
        <w:rPr>
          <w:rFonts w:ascii="仿宋" w:hAnsi="仿宋" w:eastAsia="仿宋" w:cs="宋体"/>
          <w:color w:val="auto"/>
          <w:highlight w:val="none"/>
        </w:rPr>
        <w:t xml:space="preserve"> </w:t>
      </w:r>
      <w:r>
        <w:rPr>
          <w:rFonts w:hint="eastAsia" w:ascii="仿宋" w:hAnsi="仿宋" w:eastAsia="仿宋" w:cs="宋体"/>
          <w:color w:val="auto"/>
          <w:highlight w:val="none"/>
        </w:rPr>
        <w:t>符合专业条件的投标人或者对招标文件作实质响应的投标人不足3家的；</w:t>
      </w:r>
    </w:p>
    <w:p w14:paraId="44ED5EDC">
      <w:pPr>
        <w:pStyle w:val="13"/>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5.2</w:t>
      </w:r>
      <w:r>
        <w:rPr>
          <w:rFonts w:ascii="仿宋" w:hAnsi="仿宋" w:eastAsia="仿宋" w:cs="宋体"/>
          <w:color w:val="auto"/>
          <w:highlight w:val="none"/>
        </w:rPr>
        <w:t xml:space="preserve"> </w:t>
      </w:r>
      <w:r>
        <w:rPr>
          <w:rFonts w:hint="eastAsia" w:ascii="仿宋" w:hAnsi="仿宋" w:eastAsia="仿宋" w:cs="宋体"/>
          <w:color w:val="auto"/>
          <w:highlight w:val="none"/>
        </w:rPr>
        <w:t>出现影响采购公正的违法、违规行为的；</w:t>
      </w:r>
    </w:p>
    <w:p w14:paraId="745ECAE3">
      <w:pPr>
        <w:pStyle w:val="13"/>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5.3</w:t>
      </w:r>
      <w:r>
        <w:rPr>
          <w:rFonts w:ascii="仿宋" w:hAnsi="仿宋" w:eastAsia="仿宋" w:cs="宋体"/>
          <w:color w:val="auto"/>
          <w:highlight w:val="none"/>
        </w:rPr>
        <w:t xml:space="preserve"> </w:t>
      </w:r>
      <w:r>
        <w:rPr>
          <w:rFonts w:hint="eastAsia" w:ascii="仿宋" w:hAnsi="仿宋" w:eastAsia="仿宋" w:cs="宋体"/>
          <w:color w:val="auto"/>
          <w:highlight w:val="none"/>
        </w:rPr>
        <w:t>投标人的报价均超过了采购预算，采购人不能支付的；</w:t>
      </w:r>
    </w:p>
    <w:p w14:paraId="22DD4C60">
      <w:pPr>
        <w:pStyle w:val="13"/>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5.4</w:t>
      </w:r>
      <w:r>
        <w:rPr>
          <w:rFonts w:ascii="仿宋" w:hAnsi="仿宋" w:eastAsia="仿宋" w:cs="宋体"/>
          <w:color w:val="auto"/>
          <w:highlight w:val="none"/>
        </w:rPr>
        <w:t xml:space="preserve"> </w:t>
      </w:r>
      <w:r>
        <w:rPr>
          <w:rFonts w:hint="eastAsia" w:ascii="仿宋" w:hAnsi="仿宋" w:eastAsia="仿宋" w:cs="宋体"/>
          <w:color w:val="auto"/>
          <w:highlight w:val="none"/>
        </w:rPr>
        <w:t>因重大变故，采购任务取消的。</w:t>
      </w:r>
    </w:p>
    <w:p w14:paraId="4B32B137">
      <w:pPr>
        <w:pStyle w:val="13"/>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废标后，采购机构应当将废标理由通知所有投标人。</w:t>
      </w:r>
    </w:p>
    <w:p w14:paraId="2889F899">
      <w:pPr>
        <w:pStyle w:val="13"/>
        <w:snapToGrid w:val="0"/>
        <w:spacing w:line="360" w:lineRule="auto"/>
        <w:ind w:firstLine="590" w:firstLineChars="245"/>
        <w:rPr>
          <w:rFonts w:ascii="仿宋" w:hAnsi="仿宋" w:eastAsia="仿宋" w:cs="宋体"/>
          <w:color w:val="auto"/>
          <w:highlight w:val="none"/>
        </w:rPr>
      </w:pPr>
      <w:r>
        <w:rPr>
          <w:rFonts w:hint="eastAsia" w:ascii="仿宋" w:hAnsi="仿宋" w:eastAsia="仿宋" w:cs="宋体"/>
          <w:b/>
          <w:color w:val="auto"/>
          <w:highlight w:val="none"/>
        </w:rPr>
        <w:t>6.</w:t>
      </w:r>
      <w:r>
        <w:rPr>
          <w:rFonts w:ascii="仿宋" w:hAnsi="仿宋" w:eastAsia="仿宋" w:cs="宋体"/>
          <w:b/>
          <w:color w:val="auto"/>
          <w:highlight w:val="none"/>
        </w:rPr>
        <w:t xml:space="preserve"> </w:t>
      </w:r>
      <w:r>
        <w:rPr>
          <w:rFonts w:hint="eastAsia" w:ascii="仿宋" w:hAnsi="仿宋" w:eastAsia="仿宋" w:cs="宋体"/>
          <w:b/>
          <w:color w:val="auto"/>
          <w:highlight w:val="none"/>
        </w:rPr>
        <w:t>修改招标文件，重新组织采购活动。</w:t>
      </w:r>
      <w:r>
        <w:rPr>
          <w:rFonts w:hint="eastAsia" w:ascii="仿宋" w:hAnsi="仿宋" w:eastAsia="仿宋"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50D69FD">
      <w:pPr>
        <w:pStyle w:val="13"/>
        <w:snapToGrid w:val="0"/>
        <w:spacing w:line="360" w:lineRule="auto"/>
        <w:ind w:firstLine="482"/>
        <w:rPr>
          <w:rFonts w:ascii="仿宋" w:hAnsi="仿宋" w:eastAsia="仿宋" w:cs="宋体"/>
          <w:color w:val="auto"/>
          <w:highlight w:val="none"/>
        </w:rPr>
      </w:pPr>
      <w:r>
        <w:rPr>
          <w:rFonts w:hint="eastAsia" w:ascii="仿宋" w:hAnsi="仿宋" w:eastAsia="仿宋" w:cs="宋体"/>
          <w:b/>
          <w:color w:val="auto"/>
          <w:kern w:val="0"/>
          <w:highlight w:val="none"/>
        </w:rPr>
        <w:t>7.</w:t>
      </w:r>
      <w:r>
        <w:rPr>
          <w:rFonts w:ascii="仿宋" w:hAnsi="仿宋" w:eastAsia="仿宋" w:cs="宋体"/>
          <w:b/>
          <w:color w:val="auto"/>
          <w:kern w:val="0"/>
          <w:highlight w:val="none"/>
        </w:rPr>
        <w:t xml:space="preserve"> </w:t>
      </w:r>
      <w:r>
        <w:rPr>
          <w:rFonts w:hint="eastAsia" w:ascii="仿宋" w:hAnsi="仿宋" w:eastAsia="仿宋" w:cs="宋体"/>
          <w:b/>
          <w:color w:val="auto"/>
          <w:kern w:val="0"/>
          <w:highlight w:val="none"/>
        </w:rPr>
        <w:t>重新开展采购。</w:t>
      </w:r>
      <w:r>
        <w:rPr>
          <w:rFonts w:hint="eastAsia" w:ascii="仿宋" w:hAnsi="仿宋" w:eastAsia="仿宋" w:cs="宋体"/>
          <w:color w:val="auto"/>
          <w:highlight w:val="none"/>
        </w:rPr>
        <w:t>有政府采购法第七十一条、第七十二条规定的违法行为之一，影响或者可能影响中标结果的，依照下列规定处理：</w:t>
      </w:r>
    </w:p>
    <w:p w14:paraId="6382D6DA">
      <w:pPr>
        <w:pStyle w:val="13"/>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7.1</w:t>
      </w:r>
      <w:r>
        <w:rPr>
          <w:rFonts w:ascii="仿宋" w:hAnsi="仿宋" w:eastAsia="仿宋" w:cs="宋体"/>
          <w:color w:val="auto"/>
          <w:highlight w:val="none"/>
        </w:rPr>
        <w:t xml:space="preserve"> </w:t>
      </w:r>
      <w:r>
        <w:rPr>
          <w:rFonts w:hint="eastAsia" w:ascii="仿宋" w:hAnsi="仿宋" w:eastAsia="仿宋" w:cs="宋体"/>
          <w:color w:val="auto"/>
          <w:highlight w:val="none"/>
        </w:rPr>
        <w:t>未确定中标供应商的，终止本次政府采购活动，重新开展政府采购活动。</w:t>
      </w:r>
    </w:p>
    <w:p w14:paraId="53B6B527">
      <w:pPr>
        <w:pStyle w:val="13"/>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7.2</w:t>
      </w:r>
      <w:r>
        <w:rPr>
          <w:rFonts w:ascii="仿宋" w:hAnsi="仿宋" w:eastAsia="仿宋" w:cs="宋体"/>
          <w:color w:val="auto"/>
          <w:highlight w:val="none"/>
        </w:rPr>
        <w:t xml:space="preserve"> </w:t>
      </w:r>
      <w:r>
        <w:rPr>
          <w:rFonts w:hint="eastAsia" w:ascii="仿宋" w:hAnsi="仿宋" w:eastAsia="仿宋" w:cs="宋体"/>
          <w:color w:val="auto"/>
          <w:highlight w:val="none"/>
        </w:rPr>
        <w:t>已确定中标供应商但尚未签订政府采购合同的，中标结果无效，从合格的中标候选人中另行确定中标供应商；没有合格的中标候选人的，重新开展政府采购活动。</w:t>
      </w:r>
    </w:p>
    <w:p w14:paraId="60F73BFE">
      <w:pPr>
        <w:pStyle w:val="13"/>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7.3</w:t>
      </w:r>
      <w:r>
        <w:rPr>
          <w:rFonts w:ascii="仿宋" w:hAnsi="仿宋" w:eastAsia="仿宋" w:cs="宋体"/>
          <w:color w:val="auto"/>
          <w:highlight w:val="none"/>
        </w:rPr>
        <w:t xml:space="preserve"> </w:t>
      </w:r>
      <w:r>
        <w:rPr>
          <w:rFonts w:hint="eastAsia" w:ascii="仿宋" w:hAnsi="仿宋" w:eastAsia="仿宋" w:cs="宋体"/>
          <w:color w:val="auto"/>
          <w:highlight w:val="none"/>
        </w:rPr>
        <w:t>政府采购合同已签订但尚未履行的，撤销合同，从合格的中标候选人中另行确定中标供应商；没有合格的中标候选人的，重新开展政府采购活动。</w:t>
      </w:r>
    </w:p>
    <w:p w14:paraId="4949A550">
      <w:pPr>
        <w:pStyle w:val="13"/>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7.4</w:t>
      </w:r>
      <w:r>
        <w:rPr>
          <w:rFonts w:ascii="仿宋" w:hAnsi="仿宋" w:eastAsia="仿宋" w:cs="宋体"/>
          <w:color w:val="auto"/>
          <w:highlight w:val="none"/>
        </w:rPr>
        <w:t xml:space="preserve"> </w:t>
      </w:r>
      <w:r>
        <w:rPr>
          <w:rFonts w:hint="eastAsia" w:ascii="仿宋" w:hAnsi="仿宋" w:eastAsia="仿宋" w:cs="宋体"/>
          <w:color w:val="auto"/>
          <w:highlight w:val="none"/>
        </w:rPr>
        <w:t>政府采购合同已经履行，给采购人、供应商造成损失的，由责任人承担赔偿责任。</w:t>
      </w:r>
    </w:p>
    <w:p w14:paraId="20672218">
      <w:pPr>
        <w:pStyle w:val="2"/>
        <w:rPr>
          <w:rFonts w:hint="eastAsia" w:ascii="仿宋" w:hAnsi="仿宋" w:eastAsia="仿宋" w:cs="宋体"/>
          <w:color w:val="auto"/>
          <w:highlight w:val="none"/>
        </w:rPr>
      </w:pPr>
      <w:r>
        <w:rPr>
          <w:rFonts w:hint="eastAsia" w:ascii="仿宋" w:hAnsi="仿宋" w:eastAsia="仿宋" w:cs="宋体"/>
          <w:color w:val="auto"/>
          <w:highlight w:val="none"/>
        </w:rPr>
        <w:t>7.5</w:t>
      </w:r>
      <w:r>
        <w:rPr>
          <w:rFonts w:ascii="仿宋" w:hAnsi="仿宋" w:eastAsia="仿宋" w:cs="宋体"/>
          <w:color w:val="auto"/>
          <w:highlight w:val="none"/>
        </w:rPr>
        <w:t xml:space="preserve"> </w:t>
      </w:r>
      <w:r>
        <w:rPr>
          <w:rFonts w:hint="eastAsia" w:ascii="仿宋" w:hAnsi="仿宋" w:eastAsia="仿宋" w:cs="宋体"/>
          <w:color w:val="auto"/>
          <w:highlight w:val="none"/>
        </w:rPr>
        <w:t>政府采购当事人有其他违反政府采购法或者政府采购法实施条例等法律法规规定的行为，经改正后仍然影响或者可能影响中标结果或者依法被认定为中标无效的，依照7.1-7.4规定处理</w:t>
      </w:r>
      <w:r>
        <w:rPr>
          <w:rFonts w:hint="eastAsia" w:ascii="仿宋" w:hAnsi="仿宋" w:eastAsia="仿宋" w:cs="宋体"/>
          <w:color w:val="auto"/>
          <w:highlight w:val="none"/>
        </w:rPr>
        <w:t>。</w:t>
      </w:r>
    </w:p>
    <w:p w14:paraId="10F3AAE4">
      <w:pPr>
        <w:rPr>
          <w:rFonts w:ascii="仿宋" w:eastAsia="仿宋"/>
          <w:color w:val="auto"/>
          <w:highlight w:val="none"/>
        </w:rPr>
      </w:pPr>
      <w:r>
        <w:rPr>
          <w:rFonts w:ascii="仿宋" w:eastAsia="仿宋"/>
          <w:color w:val="auto"/>
          <w:highlight w:val="none"/>
        </w:rPr>
        <w:br w:type="page"/>
      </w:r>
    </w:p>
    <w:p w14:paraId="515D7249">
      <w:pPr>
        <w:spacing w:line="360" w:lineRule="auto"/>
        <w:ind w:left="720" w:leftChars="343" w:firstLine="1084" w:firstLineChars="300"/>
        <w:outlineLvl w:val="0"/>
        <w:rPr>
          <w:rFonts w:ascii="仿宋" w:hAnsi="仿宋" w:eastAsia="仿宋" w:cs="宋体"/>
          <w:b/>
          <w:color w:val="auto"/>
          <w:sz w:val="36"/>
          <w:szCs w:val="36"/>
          <w:highlight w:val="none"/>
        </w:rPr>
      </w:pPr>
      <w:bookmarkStart w:id="406" w:name="_Toc26358"/>
      <w:r>
        <w:rPr>
          <w:rFonts w:hint="eastAsia" w:ascii="仿宋" w:hAnsi="仿宋" w:eastAsia="仿宋" w:cs="宋体"/>
          <w:b/>
          <w:color w:val="auto"/>
          <w:sz w:val="36"/>
          <w:szCs w:val="36"/>
          <w:highlight w:val="none"/>
        </w:rPr>
        <w:t>第五部分 拟签订的合同文本</w:t>
      </w:r>
      <w:bookmarkEnd w:id="406"/>
    </w:p>
    <w:p w14:paraId="2DC48146">
      <w:pPr>
        <w:snapToGrid w:val="0"/>
        <w:spacing w:line="360" w:lineRule="auto"/>
        <w:ind w:firstLine="420" w:firstLineChars="200"/>
        <w:jc w:val="center"/>
        <w:rPr>
          <w:rFonts w:ascii="仿宋" w:hAnsi="仿宋" w:eastAsia="仿宋" w:cs="宋体"/>
          <w:color w:val="auto"/>
          <w:szCs w:val="21"/>
          <w:highlight w:val="none"/>
        </w:rPr>
      </w:pPr>
    </w:p>
    <w:p w14:paraId="46BCC055">
      <w:pPr>
        <w:rPr>
          <w:rFonts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09A88B8C">
      <w:pPr>
        <w:pStyle w:val="32"/>
        <w:ind w:left="0" w:leftChars="0" w:firstLine="0" w:firstLineChars="0"/>
        <w:rPr>
          <w:rFonts w:ascii="仿宋" w:hAnsi="仿宋" w:eastAsia="仿宋" w:cs="仿宋"/>
          <w:b/>
          <w:color w:val="auto"/>
          <w:szCs w:val="24"/>
          <w:highlight w:val="none"/>
        </w:rPr>
      </w:pPr>
    </w:p>
    <w:p w14:paraId="62A92C57">
      <w:pPr>
        <w:pStyle w:val="32"/>
        <w:spacing w:line="240" w:lineRule="auto"/>
        <w:ind w:left="0" w:leftChars="0" w:firstLine="0" w:firstLineChars="0"/>
        <w:jc w:val="center"/>
        <w:outlineLvl w:val="2"/>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采购合同</w:t>
      </w:r>
    </w:p>
    <w:p w14:paraId="5C96DC95">
      <w:pPr>
        <w:tabs>
          <w:tab w:val="left" w:pos="432"/>
        </w:tabs>
        <w:rPr>
          <w:rFonts w:ascii="仿宋" w:hAnsi="仿宋" w:eastAsia="仿宋" w:cs="仿宋"/>
          <w:color w:val="auto"/>
          <w:sz w:val="24"/>
          <w:highlight w:val="none"/>
        </w:rPr>
      </w:pPr>
    </w:p>
    <w:p w14:paraId="2BEB1691">
      <w:pPr>
        <w:spacing w:before="120" w:line="22" w:lineRule="atLeast"/>
        <w:ind w:left="960"/>
        <w:rPr>
          <w:rFonts w:ascii="仿宋" w:hAnsi="仿宋" w:eastAsia="仿宋" w:cs="仿宋"/>
          <w:color w:val="auto"/>
          <w:sz w:val="24"/>
          <w:highlight w:val="none"/>
        </w:rPr>
      </w:pPr>
    </w:p>
    <w:p w14:paraId="1FB319B9">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“清净”拱墅多污染协同管控工程建设 </w:t>
      </w:r>
    </w:p>
    <w:p w14:paraId="0555D9B8">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en-US" w:eastAsia="zh-CN"/>
        </w:rPr>
        <w:t>标项</w:t>
      </w: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u w:val="single"/>
        </w:rPr>
        <w:t xml:space="preserve">  “清净”拱墅多污染协同管控工程建设 </w:t>
      </w:r>
    </w:p>
    <w:p w14:paraId="4C5ADF54">
      <w:pPr>
        <w:pStyle w:val="13"/>
        <w:rPr>
          <w:rFonts w:eastAsia="仿宋"/>
          <w:color w:val="auto"/>
          <w:highlight w:val="none"/>
        </w:rPr>
      </w:pPr>
    </w:p>
    <w:p w14:paraId="6A3DC4C7">
      <w:pPr>
        <w:pStyle w:val="33"/>
        <w:spacing w:before="120" w:line="22" w:lineRule="atLeast"/>
        <w:rPr>
          <w:rFonts w:ascii="仿宋" w:hAnsi="仿宋" w:eastAsia="仿宋" w:cs="仿宋"/>
          <w:color w:val="auto"/>
          <w:szCs w:val="24"/>
          <w:highlight w:val="none"/>
        </w:rPr>
      </w:pPr>
    </w:p>
    <w:p w14:paraId="792AAD4C">
      <w:pPr>
        <w:rPr>
          <w:rFonts w:ascii="仿宋" w:hAnsi="仿宋" w:eastAsia="仿宋" w:cs="仿宋"/>
          <w:color w:val="auto"/>
          <w:sz w:val="24"/>
          <w:highlight w:val="none"/>
        </w:rPr>
      </w:pPr>
    </w:p>
    <w:p w14:paraId="4232813A">
      <w:pPr>
        <w:spacing w:before="120" w:line="22" w:lineRule="atLeast"/>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413E2EC8">
      <w:pPr>
        <w:spacing w:before="120" w:line="22" w:lineRule="atLeast"/>
        <w:rPr>
          <w:rFonts w:ascii="仿宋" w:hAnsi="仿宋" w:eastAsia="仿宋" w:cs="仿宋"/>
          <w:color w:val="auto"/>
          <w:sz w:val="24"/>
          <w:highlight w:val="none"/>
        </w:rPr>
      </w:pPr>
    </w:p>
    <w:p w14:paraId="47DF0B70">
      <w:pPr>
        <w:spacing w:before="120" w:line="22" w:lineRule="atLeast"/>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3F8BA8A6">
      <w:pPr>
        <w:spacing w:before="120" w:line="22" w:lineRule="atLeast"/>
        <w:rPr>
          <w:rFonts w:ascii="仿宋" w:hAnsi="仿宋" w:eastAsia="仿宋" w:cs="仿宋"/>
          <w:color w:val="auto"/>
          <w:sz w:val="24"/>
          <w:highlight w:val="none"/>
        </w:rPr>
      </w:pPr>
    </w:p>
    <w:p w14:paraId="581330CF">
      <w:pPr>
        <w:spacing w:before="120" w:line="22" w:lineRule="atLeast"/>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56681CEE">
      <w:pPr>
        <w:spacing w:before="120" w:line="22" w:lineRule="atLeast"/>
        <w:rPr>
          <w:rFonts w:ascii="仿宋" w:hAnsi="仿宋" w:eastAsia="仿宋" w:cs="仿宋"/>
          <w:color w:val="auto"/>
          <w:sz w:val="24"/>
          <w:highlight w:val="none"/>
        </w:rPr>
      </w:pPr>
    </w:p>
    <w:p w14:paraId="791B8E8C">
      <w:pPr>
        <w:spacing w:before="120" w:line="22" w:lineRule="atLeast"/>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42F806FB">
      <w:pPr>
        <w:widowControl/>
        <w:jc w:val="left"/>
        <w:rPr>
          <w:rFonts w:ascii="仿宋" w:hAnsi="仿宋" w:eastAsia="仿宋" w:cs="仿宋"/>
          <w:color w:val="auto"/>
          <w:kern w:val="0"/>
          <w:sz w:val="24"/>
          <w:highlight w:val="none"/>
        </w:rPr>
        <w:sectPr>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sectPr>
      </w:pPr>
    </w:p>
    <w:p w14:paraId="5CD886E3">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推荐，确定</w:t>
      </w:r>
      <w:r>
        <w:rPr>
          <w:rFonts w:hint="eastAsia" w:ascii="仿宋" w:hAnsi="仿宋" w:eastAsia="仿宋" w:cs="仿宋"/>
          <w:color w:val="auto"/>
          <w:sz w:val="24"/>
          <w:highlight w:val="none"/>
          <w:u w:val="single"/>
        </w:rPr>
        <w:t xml:space="preserve">   （中标供应商名称） </w:t>
      </w:r>
      <w:r>
        <w:rPr>
          <w:rFonts w:hint="eastAsia" w:ascii="仿宋" w:hAnsi="仿宋" w:eastAsia="仿宋" w:cs="仿宋"/>
          <w:color w:val="auto"/>
          <w:sz w:val="24"/>
          <w:highlight w:val="none"/>
        </w:rPr>
        <w:t>为该项目</w:t>
      </w:r>
      <w:r>
        <w:rPr>
          <w:rFonts w:hint="eastAsia" w:ascii="仿宋" w:hAnsi="仿宋" w:eastAsia="仿宋" w:cs="仿宋"/>
          <w:color w:val="auto"/>
          <w:sz w:val="24"/>
          <w:highlight w:val="none"/>
          <w:u w:val="single"/>
        </w:rPr>
        <w:t xml:space="preserve">       （标项名称）</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标项一</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rPr>
        <w:t>的中标供应商。</w:t>
      </w:r>
    </w:p>
    <w:p w14:paraId="4263FCA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70BF9CDD">
      <w:pPr>
        <w:spacing w:line="560" w:lineRule="exact"/>
        <w:ind w:firstLine="482" w:firstLineChars="200"/>
        <w:rPr>
          <w:rFonts w:ascii="仿宋" w:hAnsi="仿宋" w:eastAsia="仿宋" w:cs="仿宋"/>
          <w:color w:val="auto"/>
          <w:sz w:val="24"/>
          <w:highlight w:val="none"/>
        </w:rPr>
      </w:pPr>
      <w:bookmarkStart w:id="407" w:name="_Toc20421"/>
      <w:bookmarkStart w:id="408" w:name="_Toc15367"/>
      <w:bookmarkStart w:id="409" w:name="_Toc19273"/>
      <w:bookmarkStart w:id="410" w:name="_Toc22967"/>
      <w:bookmarkStart w:id="411" w:name="_Toc28855"/>
      <w:r>
        <w:rPr>
          <w:rFonts w:hint="eastAsia" w:ascii="仿宋" w:hAnsi="仿宋" w:eastAsia="仿宋" w:cs="仿宋"/>
          <w:b/>
          <w:color w:val="auto"/>
          <w:sz w:val="24"/>
          <w:highlight w:val="none"/>
        </w:rPr>
        <w:t>第一条 合同组成部分</w:t>
      </w:r>
      <w:bookmarkEnd w:id="407"/>
      <w:bookmarkEnd w:id="408"/>
      <w:bookmarkEnd w:id="409"/>
      <w:bookmarkEnd w:id="410"/>
      <w:bookmarkEnd w:id="411"/>
    </w:p>
    <w:p w14:paraId="78538176">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DF5C73D">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ascii="仿宋" w:hAnsi="仿宋" w:eastAsia="仿宋" w:cs="仿宋"/>
          <w:color w:val="auto"/>
          <w:sz w:val="24"/>
          <w:highlight w:val="none"/>
        </w:rPr>
        <w:t>、</w:t>
      </w:r>
      <w:r>
        <w:rPr>
          <w:rFonts w:hint="eastAsia" w:ascii="仿宋" w:hAnsi="仿宋" w:eastAsia="仿宋" w:cs="仿宋"/>
          <w:color w:val="auto"/>
          <w:sz w:val="24"/>
          <w:highlight w:val="none"/>
        </w:rPr>
        <w:t>本合同及其补充合同、变更协议；</w:t>
      </w:r>
    </w:p>
    <w:p w14:paraId="0E08B95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ascii="仿宋" w:hAnsi="仿宋" w:eastAsia="仿宋" w:cs="仿宋"/>
          <w:color w:val="auto"/>
          <w:sz w:val="24"/>
          <w:highlight w:val="none"/>
        </w:rPr>
        <w:t>、</w:t>
      </w:r>
      <w:r>
        <w:rPr>
          <w:rFonts w:hint="eastAsia" w:ascii="仿宋" w:hAnsi="仿宋" w:eastAsia="仿宋" w:cs="仿宋"/>
          <w:color w:val="auto"/>
          <w:sz w:val="24"/>
          <w:highlight w:val="none"/>
        </w:rPr>
        <w:t>中标通知书；</w:t>
      </w:r>
    </w:p>
    <w:p w14:paraId="2E5B237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w:t>
      </w:r>
      <w:r>
        <w:rPr>
          <w:rFonts w:ascii="仿宋" w:hAnsi="仿宋" w:eastAsia="仿宋" w:cs="仿宋"/>
          <w:color w:val="auto"/>
          <w:sz w:val="24"/>
          <w:highlight w:val="none"/>
        </w:rPr>
        <w:t>、</w:t>
      </w:r>
      <w:r>
        <w:rPr>
          <w:rFonts w:hint="eastAsia" w:ascii="仿宋" w:hAnsi="仿宋" w:eastAsia="仿宋" w:cs="仿宋"/>
          <w:color w:val="auto"/>
          <w:sz w:val="24"/>
          <w:highlight w:val="none"/>
        </w:rPr>
        <w:t>投标文件（含澄清或者说明文件）；</w:t>
      </w:r>
    </w:p>
    <w:p w14:paraId="12FEA36B">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w:t>
      </w:r>
      <w:r>
        <w:rPr>
          <w:rFonts w:ascii="仿宋" w:hAnsi="仿宋" w:eastAsia="仿宋" w:cs="仿宋"/>
          <w:color w:val="auto"/>
          <w:sz w:val="24"/>
          <w:highlight w:val="none"/>
        </w:rPr>
        <w:t>、</w:t>
      </w:r>
      <w:r>
        <w:rPr>
          <w:rFonts w:hint="eastAsia" w:ascii="仿宋" w:hAnsi="仿宋" w:eastAsia="仿宋" w:cs="仿宋"/>
          <w:color w:val="auto"/>
          <w:sz w:val="24"/>
          <w:highlight w:val="none"/>
        </w:rPr>
        <w:t>采购文件（含澄清或者修改文件）；</w:t>
      </w:r>
    </w:p>
    <w:p w14:paraId="59057F24">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w:t>
      </w:r>
      <w:r>
        <w:rPr>
          <w:rFonts w:ascii="仿宋" w:hAnsi="仿宋" w:eastAsia="仿宋" w:cs="仿宋"/>
          <w:color w:val="auto"/>
          <w:sz w:val="24"/>
          <w:highlight w:val="none"/>
        </w:rPr>
        <w:t>、</w:t>
      </w:r>
      <w:r>
        <w:rPr>
          <w:rFonts w:hint="eastAsia" w:ascii="仿宋" w:hAnsi="仿宋" w:eastAsia="仿宋" w:cs="仿宋"/>
          <w:color w:val="auto"/>
          <w:sz w:val="24"/>
          <w:highlight w:val="none"/>
        </w:rPr>
        <w:t>其他相关采购文件。</w:t>
      </w:r>
    </w:p>
    <w:p w14:paraId="05985DA0">
      <w:pPr>
        <w:keepNext w:val="0"/>
        <w:keepLines w:val="0"/>
        <w:pageBreakBefore w:val="0"/>
        <w:kinsoku/>
        <w:wordWrap/>
        <w:overflowPunct/>
        <w:topLinePunct w:val="0"/>
        <w:bidi w:val="0"/>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第二条 项目内容</w:t>
      </w:r>
    </w:p>
    <w:p w14:paraId="04AD9B12">
      <w:pPr>
        <w:keepNext w:val="0"/>
        <w:keepLines w:val="0"/>
        <w:pageBreakBefore w:val="0"/>
        <w:widowControl w:val="0"/>
        <w:kinsoku/>
        <w:wordWrap/>
        <w:overflowPunct/>
        <w:topLinePunct w:val="0"/>
        <w:autoSpaceDE/>
        <w:autoSpaceDN/>
        <w:bidi w:val="0"/>
        <w:adjustRightInd w:val="0"/>
        <w:snapToGrid/>
        <w:spacing w:before="157" w:beforeLines="50"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1、采购内容：</w:t>
      </w:r>
      <w:r>
        <w:rPr>
          <w:rFonts w:hint="eastAsia" w:ascii="仿宋" w:hAnsi="仿宋" w:eastAsia="仿宋" w:cs="仿宋"/>
          <w:color w:val="auto"/>
          <w:sz w:val="24"/>
          <w:highlight w:val="none"/>
          <w:u w:val="single"/>
        </w:rPr>
        <w:t>在重点区域建设“清净”系列工程，推进污染溯源能力建设，提升多污染协同管控工作成效。通过引入颗粒物激光雷达监测、3D微气象调控系统，开展“清净”街区系列打造，对区域污染特征及情况进行科学研判分析，明确污染管控重点，加强污染源发现和处置能力，改善区域环境，提升居民生活质量。</w:t>
      </w:r>
      <w:r>
        <w:rPr>
          <w:rFonts w:hint="eastAsia" w:ascii="仿宋" w:hAnsi="仿宋" w:eastAsia="仿宋" w:cs="仿宋"/>
          <w:color w:val="auto"/>
          <w:sz w:val="24"/>
          <w:highlight w:val="none"/>
        </w:rPr>
        <w:t>（具体详见采购文件）</w:t>
      </w:r>
    </w:p>
    <w:p w14:paraId="6F20E4CA">
      <w:pPr>
        <w:keepNext w:val="0"/>
        <w:keepLines w:val="0"/>
        <w:pageBreakBefore w:val="0"/>
        <w:kinsoku/>
        <w:wordWrap/>
        <w:overflowPunct/>
        <w:topLinePunct w:val="0"/>
        <w:bidi w:val="0"/>
        <w:spacing w:line="440" w:lineRule="exact"/>
        <w:ind w:firstLine="480" w:firstLineChars="200"/>
        <w:rPr>
          <w:rFonts w:hint="eastAsia" w:ascii="仿宋" w:hAnsi="仿宋" w:eastAsia="仿宋" w:cs="仿宋"/>
          <w:b w:val="0"/>
          <w:bCs w:val="0"/>
          <w:color w:val="auto"/>
          <w:sz w:val="24"/>
          <w:highlight w:val="none"/>
          <w:u w:val="single"/>
        </w:rPr>
      </w:pPr>
      <w:r>
        <w:rPr>
          <w:rFonts w:hint="eastAsia" w:ascii="仿宋" w:hAnsi="仿宋" w:eastAsia="仿宋" w:cs="仿宋"/>
          <w:color w:val="auto"/>
          <w:sz w:val="24"/>
          <w:highlight w:val="none"/>
        </w:rPr>
        <w:t>2、合同履约时间：</w:t>
      </w:r>
      <w:r>
        <w:rPr>
          <w:rFonts w:hint="eastAsia" w:ascii="仿宋" w:hAnsi="仿宋" w:eastAsia="仿宋" w:cs="仿宋"/>
          <w:color w:val="auto"/>
          <w:sz w:val="24"/>
          <w:highlight w:val="none"/>
          <w:u w:val="single"/>
        </w:rPr>
        <w:t>签订合同且完全具备施工条件后</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个月内完成3D微气象调控系统及颗粒物激光雷达设备安装、调试，布局应科学合理，统一规划。安装完成后需尽快完成调试，确保设备正常运行</w:t>
      </w:r>
      <w:r>
        <w:rPr>
          <w:rFonts w:hint="eastAsia" w:ascii="仿宋" w:hAnsi="仿宋" w:eastAsia="仿宋" w:cs="仿宋"/>
          <w:b w:val="0"/>
          <w:bCs w:val="0"/>
          <w:color w:val="auto"/>
          <w:sz w:val="24"/>
          <w:highlight w:val="none"/>
          <w:u w:val="single"/>
        </w:rPr>
        <w:t>。</w:t>
      </w:r>
    </w:p>
    <w:p w14:paraId="64056194">
      <w:pPr>
        <w:keepNext w:val="0"/>
        <w:keepLines w:val="0"/>
        <w:pageBreakBefore w:val="0"/>
        <w:kinsoku/>
        <w:wordWrap/>
        <w:overflowPunct/>
        <w:topLinePunct w:val="0"/>
        <w:bidi w:val="0"/>
        <w:spacing w:line="4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交货</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甲方指定地点。</w:t>
      </w:r>
    </w:p>
    <w:p w14:paraId="27DA1FC8">
      <w:pPr>
        <w:keepNext w:val="0"/>
        <w:keepLines w:val="0"/>
        <w:pageBreakBefore w:val="0"/>
        <w:kinsoku/>
        <w:wordWrap/>
        <w:overflowPunct/>
        <w:topLinePunct w:val="0"/>
        <w:bidi w:val="0"/>
        <w:spacing w:line="440" w:lineRule="exact"/>
        <w:ind w:firstLine="480" w:firstLineChars="200"/>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none"/>
          <w:lang w:val="en-US" w:eastAsia="zh-CN"/>
        </w:rPr>
        <w:t>4、交货方式：</w:t>
      </w:r>
      <w:r>
        <w:rPr>
          <w:rFonts w:hint="eastAsia" w:ascii="仿宋" w:hAnsi="仿宋" w:eastAsia="仿宋" w:cs="仿宋"/>
          <w:color w:val="auto"/>
          <w:sz w:val="24"/>
          <w:highlight w:val="none"/>
          <w:u w:val="single"/>
          <w:lang w:val="en-US" w:eastAsia="zh-CN"/>
        </w:rPr>
        <w:t>现场交货。</w:t>
      </w:r>
    </w:p>
    <w:p w14:paraId="3E867CDF">
      <w:pPr>
        <w:keepNext w:val="0"/>
        <w:keepLines w:val="0"/>
        <w:pageBreakBefore w:val="0"/>
        <w:kinsoku/>
        <w:wordWrap/>
        <w:overflowPunct/>
        <w:topLinePunct w:val="0"/>
        <w:bidi w:val="0"/>
        <w:spacing w:after="120" w:afterLines="50"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第三条 合同金额</w:t>
      </w:r>
    </w:p>
    <w:p w14:paraId="67FE8168">
      <w:pPr>
        <w:pStyle w:val="15"/>
        <w:keepNext w:val="0"/>
        <w:keepLines w:val="0"/>
        <w:pageBreakBefore w:val="0"/>
        <w:kinsoku/>
        <w:wordWrap/>
        <w:overflowPunct/>
        <w:topLinePunct w:val="0"/>
        <w:bidi w:val="0"/>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本合同金额为（大写）：____________________元，（￥:______元）人民币。</w:t>
      </w:r>
    </w:p>
    <w:p w14:paraId="2EDFDC20">
      <w:pPr>
        <w:keepNext w:val="0"/>
        <w:keepLines w:val="0"/>
        <w:pageBreakBefore w:val="0"/>
        <w:kinsoku/>
        <w:wordWrap/>
        <w:overflowPunct/>
        <w:topLinePunct w:val="0"/>
        <w:bidi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分项价格：</w:t>
      </w:r>
    </w:p>
    <w:tbl>
      <w:tblPr>
        <w:tblStyle w:val="24"/>
        <w:tblW w:w="9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3226"/>
        <w:gridCol w:w="1391"/>
        <w:gridCol w:w="1747"/>
        <w:gridCol w:w="1809"/>
      </w:tblGrid>
      <w:tr w14:paraId="6EF57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noWrap w:val="0"/>
            <w:vAlign w:val="center"/>
          </w:tcPr>
          <w:p w14:paraId="2B0BB76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序号</w:t>
            </w:r>
          </w:p>
        </w:tc>
        <w:tc>
          <w:tcPr>
            <w:tcW w:w="3226" w:type="dxa"/>
            <w:noWrap w:val="0"/>
            <w:vAlign w:val="center"/>
          </w:tcPr>
          <w:p w14:paraId="4D4CFAC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设备名称</w:t>
            </w:r>
          </w:p>
        </w:tc>
        <w:tc>
          <w:tcPr>
            <w:tcW w:w="1391" w:type="dxa"/>
            <w:noWrap w:val="0"/>
            <w:vAlign w:val="center"/>
          </w:tcPr>
          <w:p w14:paraId="2964B01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数量</w:t>
            </w:r>
          </w:p>
        </w:tc>
        <w:tc>
          <w:tcPr>
            <w:tcW w:w="1747" w:type="dxa"/>
            <w:noWrap w:val="0"/>
            <w:vAlign w:val="center"/>
          </w:tcPr>
          <w:p w14:paraId="5368BF9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b/>
                <w:bCs/>
                <w:color w:val="auto"/>
                <w:sz w:val="24"/>
                <w:szCs w:val="24"/>
                <w:highlight w:val="none"/>
                <w:vertAlign w:val="baseline"/>
                <w:lang w:val="en-US" w:eastAsia="zh-CN"/>
              </w:rPr>
              <w:t>单价</w:t>
            </w:r>
          </w:p>
        </w:tc>
        <w:tc>
          <w:tcPr>
            <w:tcW w:w="1809" w:type="dxa"/>
            <w:noWrap w:val="0"/>
            <w:vAlign w:val="center"/>
          </w:tcPr>
          <w:p w14:paraId="7729D15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合计</w:t>
            </w:r>
          </w:p>
        </w:tc>
      </w:tr>
      <w:tr w14:paraId="749ED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noWrap w:val="0"/>
            <w:vAlign w:val="center"/>
          </w:tcPr>
          <w:p w14:paraId="4960DE1D">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color w:val="auto"/>
                <w:sz w:val="24"/>
                <w:szCs w:val="24"/>
                <w:highlight w:val="none"/>
                <w:vertAlign w:val="baseline"/>
              </w:rPr>
            </w:pPr>
            <w:r>
              <w:rPr>
                <w:rFonts w:hint="default" w:ascii="仿宋" w:hAnsi="仿宋" w:eastAsia="仿宋" w:cs="仿宋"/>
                <w:color w:val="auto"/>
                <w:kern w:val="2"/>
                <w:sz w:val="24"/>
                <w:szCs w:val="24"/>
                <w:highlight w:val="none"/>
                <w:vertAlign w:val="baseline"/>
                <w:lang w:val="en-US" w:eastAsia="zh-CN" w:bidi="ar-SA"/>
              </w:rPr>
              <w:t>1</w:t>
            </w:r>
          </w:p>
        </w:tc>
        <w:tc>
          <w:tcPr>
            <w:tcW w:w="3226" w:type="dxa"/>
            <w:shd w:val="clear" w:color="auto" w:fill="auto"/>
            <w:noWrap w:val="0"/>
            <w:vAlign w:val="center"/>
          </w:tcPr>
          <w:p w14:paraId="12B1C34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3D微气象调控系统</w:t>
            </w:r>
          </w:p>
        </w:tc>
        <w:tc>
          <w:tcPr>
            <w:tcW w:w="1391" w:type="dxa"/>
            <w:shd w:val="clear" w:color="auto" w:fill="auto"/>
            <w:noWrap w:val="0"/>
            <w:vAlign w:val="center"/>
          </w:tcPr>
          <w:p w14:paraId="745513F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5套</w:t>
            </w:r>
          </w:p>
        </w:tc>
        <w:tc>
          <w:tcPr>
            <w:tcW w:w="1747" w:type="dxa"/>
            <w:noWrap w:val="0"/>
            <w:vAlign w:val="center"/>
          </w:tcPr>
          <w:p w14:paraId="3ABB969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1809" w:type="dxa"/>
            <w:noWrap w:val="0"/>
            <w:vAlign w:val="center"/>
          </w:tcPr>
          <w:p w14:paraId="61D5415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vertAlign w:val="baseline"/>
                <w:lang w:val="en-US" w:eastAsia="zh-CN"/>
              </w:rPr>
            </w:pPr>
          </w:p>
        </w:tc>
      </w:tr>
      <w:tr w14:paraId="202B7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noWrap w:val="0"/>
            <w:vAlign w:val="center"/>
          </w:tcPr>
          <w:p w14:paraId="2661419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color w:val="auto"/>
                <w:sz w:val="24"/>
                <w:szCs w:val="24"/>
                <w:highlight w:val="none"/>
                <w:vertAlign w:val="baseline"/>
              </w:rPr>
            </w:pPr>
            <w:r>
              <w:rPr>
                <w:rFonts w:hint="default" w:ascii="仿宋" w:hAnsi="仿宋" w:eastAsia="仿宋" w:cs="仿宋"/>
                <w:color w:val="auto"/>
                <w:kern w:val="2"/>
                <w:sz w:val="24"/>
                <w:szCs w:val="24"/>
                <w:highlight w:val="none"/>
                <w:vertAlign w:val="baseline"/>
                <w:lang w:val="en-US" w:eastAsia="zh-CN" w:bidi="ar-SA"/>
              </w:rPr>
              <w:t>2</w:t>
            </w:r>
          </w:p>
        </w:tc>
        <w:tc>
          <w:tcPr>
            <w:tcW w:w="3226" w:type="dxa"/>
            <w:shd w:val="clear" w:color="auto" w:fill="auto"/>
            <w:noWrap w:val="0"/>
            <w:vAlign w:val="center"/>
          </w:tcPr>
          <w:p w14:paraId="6D373BB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颗粒物激光雷达</w:t>
            </w:r>
          </w:p>
        </w:tc>
        <w:tc>
          <w:tcPr>
            <w:tcW w:w="1391" w:type="dxa"/>
            <w:shd w:val="clear" w:color="auto" w:fill="auto"/>
            <w:noWrap w:val="0"/>
            <w:vAlign w:val="center"/>
          </w:tcPr>
          <w:p w14:paraId="0E9C276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1套</w:t>
            </w:r>
          </w:p>
        </w:tc>
        <w:tc>
          <w:tcPr>
            <w:tcW w:w="1747" w:type="dxa"/>
            <w:noWrap w:val="0"/>
            <w:vAlign w:val="center"/>
          </w:tcPr>
          <w:p w14:paraId="0C75934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1809" w:type="dxa"/>
            <w:noWrap w:val="0"/>
            <w:vAlign w:val="center"/>
          </w:tcPr>
          <w:p w14:paraId="1A4CD07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vertAlign w:val="baseline"/>
              </w:rPr>
            </w:pPr>
          </w:p>
        </w:tc>
      </w:tr>
      <w:tr w14:paraId="02DED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noWrap w:val="0"/>
            <w:vAlign w:val="center"/>
          </w:tcPr>
          <w:p w14:paraId="4BCC1B43">
            <w:pPr>
              <w:numPr>
                <w:ilvl w:val="0"/>
                <w:numId w:val="0"/>
              </w:numPr>
              <w:tabs>
                <w:tab w:val="left" w:pos="0"/>
              </w:tabs>
              <w:adjustRightInd/>
              <w:spacing w:line="44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3226" w:type="dxa"/>
            <w:noWrap w:val="0"/>
            <w:vAlign w:val="center"/>
          </w:tcPr>
          <w:p w14:paraId="79C9DC07">
            <w:pPr>
              <w:numPr>
                <w:ilvl w:val="0"/>
                <w:numId w:val="0"/>
              </w:numPr>
              <w:tabs>
                <w:tab w:val="left" w:pos="0"/>
              </w:tabs>
              <w:adjustRightInd/>
              <w:spacing w:line="44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运维服务</w:t>
            </w:r>
          </w:p>
        </w:tc>
        <w:tc>
          <w:tcPr>
            <w:tcW w:w="1391" w:type="dxa"/>
            <w:noWrap w:val="0"/>
            <w:vAlign w:val="center"/>
          </w:tcPr>
          <w:p w14:paraId="6C38B87A">
            <w:pPr>
              <w:numPr>
                <w:ilvl w:val="0"/>
                <w:numId w:val="0"/>
              </w:numPr>
              <w:tabs>
                <w:tab w:val="left" w:pos="0"/>
              </w:tabs>
              <w:adjustRightInd/>
              <w:spacing w:line="44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2年</w:t>
            </w:r>
          </w:p>
        </w:tc>
        <w:tc>
          <w:tcPr>
            <w:tcW w:w="1747" w:type="dxa"/>
            <w:noWrap w:val="0"/>
            <w:vAlign w:val="center"/>
          </w:tcPr>
          <w:p w14:paraId="69D45F75">
            <w:pPr>
              <w:rPr>
                <w:color w:val="auto"/>
                <w:highlight w:val="none"/>
              </w:rPr>
            </w:pPr>
          </w:p>
        </w:tc>
        <w:tc>
          <w:tcPr>
            <w:tcW w:w="1809" w:type="dxa"/>
            <w:noWrap w:val="0"/>
            <w:vAlign w:val="center"/>
          </w:tcPr>
          <w:p w14:paraId="422EFEB7">
            <w:pPr>
              <w:rPr>
                <w:color w:val="auto"/>
                <w:highlight w:val="none"/>
              </w:rPr>
            </w:pPr>
          </w:p>
        </w:tc>
      </w:tr>
      <w:tr w14:paraId="617E0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noWrap w:val="0"/>
            <w:vAlign w:val="center"/>
          </w:tcPr>
          <w:p w14:paraId="356F99FF">
            <w:pPr>
              <w:numPr>
                <w:ilvl w:val="0"/>
                <w:numId w:val="0"/>
              </w:numPr>
              <w:tabs>
                <w:tab w:val="left" w:pos="0"/>
              </w:tabs>
              <w:adjustRightInd/>
              <w:spacing w:line="44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3226" w:type="dxa"/>
            <w:shd w:val="clear" w:color="auto" w:fill="auto"/>
            <w:noWrap w:val="0"/>
            <w:vAlign w:val="center"/>
          </w:tcPr>
          <w:p w14:paraId="2AEE1C0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w:t>
            </w:r>
          </w:p>
        </w:tc>
        <w:tc>
          <w:tcPr>
            <w:tcW w:w="1391" w:type="dxa"/>
            <w:noWrap w:val="0"/>
            <w:vAlign w:val="center"/>
          </w:tcPr>
          <w:p w14:paraId="3008B215">
            <w:pPr>
              <w:rPr>
                <w:color w:val="auto"/>
                <w:highlight w:val="none"/>
              </w:rPr>
            </w:pPr>
          </w:p>
        </w:tc>
        <w:tc>
          <w:tcPr>
            <w:tcW w:w="1747" w:type="dxa"/>
            <w:noWrap w:val="0"/>
            <w:vAlign w:val="center"/>
          </w:tcPr>
          <w:p w14:paraId="0461BC91">
            <w:pPr>
              <w:rPr>
                <w:color w:val="auto"/>
                <w:highlight w:val="none"/>
              </w:rPr>
            </w:pPr>
          </w:p>
        </w:tc>
        <w:tc>
          <w:tcPr>
            <w:tcW w:w="1809" w:type="dxa"/>
            <w:noWrap w:val="0"/>
            <w:vAlign w:val="center"/>
          </w:tcPr>
          <w:p w14:paraId="6FBBCE24">
            <w:pPr>
              <w:rPr>
                <w:color w:val="auto"/>
                <w:highlight w:val="none"/>
              </w:rPr>
            </w:pPr>
          </w:p>
        </w:tc>
      </w:tr>
      <w:tr w14:paraId="64359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noWrap w:val="0"/>
            <w:vAlign w:val="center"/>
          </w:tcPr>
          <w:p w14:paraId="7B6BF0F7">
            <w:pPr>
              <w:numPr>
                <w:ilvl w:val="0"/>
                <w:numId w:val="0"/>
              </w:numPr>
              <w:tabs>
                <w:tab w:val="left" w:pos="0"/>
              </w:tabs>
              <w:adjustRightInd/>
              <w:spacing w:line="44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3226" w:type="dxa"/>
            <w:shd w:val="clear" w:color="auto" w:fill="auto"/>
            <w:noWrap w:val="0"/>
            <w:vAlign w:val="center"/>
          </w:tcPr>
          <w:p w14:paraId="489BD0D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其他</w:t>
            </w:r>
          </w:p>
        </w:tc>
        <w:tc>
          <w:tcPr>
            <w:tcW w:w="1391" w:type="dxa"/>
            <w:noWrap w:val="0"/>
            <w:vAlign w:val="center"/>
          </w:tcPr>
          <w:p w14:paraId="704B2814">
            <w:pPr>
              <w:rPr>
                <w:color w:val="auto"/>
                <w:highlight w:val="none"/>
              </w:rPr>
            </w:pPr>
          </w:p>
        </w:tc>
        <w:tc>
          <w:tcPr>
            <w:tcW w:w="1747" w:type="dxa"/>
            <w:noWrap w:val="0"/>
            <w:vAlign w:val="center"/>
          </w:tcPr>
          <w:p w14:paraId="0369496F">
            <w:pPr>
              <w:rPr>
                <w:color w:val="auto"/>
                <w:highlight w:val="none"/>
              </w:rPr>
            </w:pPr>
          </w:p>
        </w:tc>
        <w:tc>
          <w:tcPr>
            <w:tcW w:w="1809" w:type="dxa"/>
            <w:noWrap w:val="0"/>
            <w:vAlign w:val="center"/>
          </w:tcPr>
          <w:p w14:paraId="21F7E08A">
            <w:pPr>
              <w:rPr>
                <w:color w:val="auto"/>
                <w:highlight w:val="none"/>
              </w:rPr>
            </w:pPr>
          </w:p>
        </w:tc>
      </w:tr>
      <w:tr w14:paraId="7CA4A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9275" w:type="dxa"/>
            <w:gridSpan w:val="5"/>
            <w:noWrap w:val="0"/>
            <w:vAlign w:val="center"/>
          </w:tcPr>
          <w:p w14:paraId="19E0E9B6">
            <w:pPr>
              <w:keepNext w:val="0"/>
              <w:keepLines w:val="0"/>
              <w:pageBreakBefore w:val="0"/>
              <w:widowControl/>
              <w:kinsoku/>
              <w:wordWrap/>
              <w:overflowPunct/>
              <w:topLinePunct w:val="0"/>
              <w:bidi w:val="0"/>
              <w:spacing w:line="440" w:lineRule="exact"/>
              <w:jc w:val="left"/>
              <w:textAlignment w:val="center"/>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说明：</w:t>
            </w:r>
            <w:r>
              <w:rPr>
                <w:rFonts w:hint="eastAsia" w:ascii="仿宋" w:hAnsi="仿宋" w:eastAsia="仿宋" w:cs="仿宋"/>
                <w:b/>
                <w:color w:val="auto"/>
                <w:sz w:val="24"/>
                <w:highlight w:val="none"/>
              </w:rPr>
              <w:t>投标总价包括但不仅限于项目清单中设备的采购运输安装、调试集成费用、</w:t>
            </w:r>
            <w:r>
              <w:rPr>
                <w:rFonts w:hint="eastAsia" w:ascii="仿宋" w:hAnsi="仿宋" w:eastAsia="仿宋" w:cs="仿宋"/>
                <w:b/>
                <w:color w:val="auto"/>
                <w:sz w:val="24"/>
                <w:highlight w:val="none"/>
                <w:lang w:val="en-US" w:eastAsia="zh-CN"/>
              </w:rPr>
              <w:t>运维服务费、</w:t>
            </w:r>
            <w:r>
              <w:rPr>
                <w:rFonts w:hint="eastAsia" w:ascii="仿宋" w:hAnsi="仿宋" w:eastAsia="仿宋" w:cs="仿宋"/>
                <w:b/>
                <w:color w:val="auto"/>
                <w:sz w:val="24"/>
                <w:highlight w:val="none"/>
              </w:rPr>
              <w:t>培训费及招标代理费等。</w:t>
            </w:r>
            <w:r>
              <w:rPr>
                <w:rFonts w:hint="eastAsia" w:ascii="仿宋" w:hAnsi="仿宋" w:eastAsia="仿宋" w:cs="仿宋"/>
                <w:b/>
                <w:color w:val="auto"/>
                <w:sz w:val="24"/>
                <w:highlight w:val="none"/>
                <w:lang w:val="en-US" w:eastAsia="zh-CN"/>
              </w:rPr>
              <w:t>投标人</w:t>
            </w:r>
            <w:r>
              <w:rPr>
                <w:rFonts w:hint="eastAsia" w:ascii="仿宋" w:hAnsi="仿宋" w:eastAsia="仿宋" w:cs="仿宋"/>
                <w:b/>
                <w:color w:val="auto"/>
                <w:sz w:val="24"/>
                <w:highlight w:val="none"/>
              </w:rPr>
              <w:t>应充分考虑采购的产品的运输、安装及集成测试培训等工作时各环节所发生的费用，并计入投标报价中</w:t>
            </w:r>
            <w:r>
              <w:rPr>
                <w:rFonts w:hint="eastAsia" w:ascii="仿宋" w:hAnsi="仿宋" w:eastAsia="仿宋" w:cs="仿宋"/>
                <w:color w:val="auto"/>
                <w:kern w:val="0"/>
                <w:sz w:val="24"/>
                <w:highlight w:val="none"/>
                <w:lang w:bidi="ar"/>
              </w:rPr>
              <w:t>。</w:t>
            </w:r>
          </w:p>
          <w:p w14:paraId="26978CB8">
            <w:pPr>
              <w:keepNext w:val="0"/>
              <w:keepLines w:val="0"/>
              <w:pageBreakBefore w:val="0"/>
              <w:widowControl/>
              <w:kinsoku/>
              <w:wordWrap/>
              <w:overflowPunct/>
              <w:topLinePunct w:val="0"/>
              <w:bidi w:val="0"/>
              <w:spacing w:line="440" w:lineRule="exact"/>
              <w:jc w:val="center"/>
              <w:textAlignment w:val="center"/>
              <w:rPr>
                <w:rFonts w:hint="eastAsia" w:ascii="仿宋" w:hAnsi="仿宋" w:eastAsia="仿宋" w:cs="仿宋"/>
                <w:b/>
                <w:bCs/>
                <w:color w:val="auto"/>
                <w:kern w:val="0"/>
                <w:sz w:val="24"/>
                <w:highlight w:val="none"/>
                <w:lang w:bidi="ar"/>
              </w:rPr>
            </w:pPr>
          </w:p>
          <w:p w14:paraId="3E6C5528">
            <w:pPr>
              <w:keepNext w:val="0"/>
              <w:keepLines w:val="0"/>
              <w:pageBreakBefore w:val="0"/>
              <w:widowControl/>
              <w:kinsoku/>
              <w:wordWrap/>
              <w:overflowPunct/>
              <w:topLinePunct w:val="0"/>
              <w:bidi w:val="0"/>
              <w:spacing w:line="440" w:lineRule="exact"/>
              <w:jc w:val="center"/>
              <w:textAlignment w:val="center"/>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总价（人民币元）</w:t>
            </w:r>
          </w:p>
          <w:p w14:paraId="640D7902">
            <w:pPr>
              <w:pStyle w:val="21"/>
              <w:keepNext w:val="0"/>
              <w:keepLines w:val="0"/>
              <w:pageBreakBefore w:val="0"/>
              <w:kinsoku/>
              <w:wordWrap/>
              <w:overflowPunct/>
              <w:topLinePunct w:val="0"/>
              <w:bidi w:val="0"/>
              <w:spacing w:line="440" w:lineRule="exact"/>
              <w:rPr>
                <w:rFonts w:hint="eastAsia"/>
                <w:color w:val="auto"/>
                <w:highlight w:val="none"/>
                <w:lang w:val="en-US" w:eastAsia="zh-CN"/>
              </w:rPr>
            </w:pPr>
          </w:p>
          <w:p w14:paraId="60A8F7E0">
            <w:pPr>
              <w:keepNext w:val="0"/>
              <w:keepLines w:val="0"/>
              <w:pageBreakBefore w:val="0"/>
              <w:widowControl/>
              <w:kinsoku/>
              <w:wordWrap/>
              <w:overflowPunct/>
              <w:topLinePunct w:val="0"/>
              <w:bidi w:val="0"/>
              <w:spacing w:line="440" w:lineRule="exact"/>
              <w:textAlignment w:val="center"/>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小写：_________________________</w:t>
            </w:r>
          </w:p>
          <w:p w14:paraId="6632C988">
            <w:pPr>
              <w:pStyle w:val="21"/>
              <w:keepNext w:val="0"/>
              <w:keepLines w:val="0"/>
              <w:pageBreakBefore w:val="0"/>
              <w:kinsoku/>
              <w:wordWrap/>
              <w:overflowPunct/>
              <w:topLinePunct w:val="0"/>
              <w:bidi w:val="0"/>
              <w:spacing w:line="440" w:lineRule="exact"/>
              <w:rPr>
                <w:rFonts w:hint="eastAsia"/>
                <w:color w:val="auto"/>
                <w:highlight w:val="none"/>
                <w:lang w:val="en-US" w:eastAsia="zh-CN"/>
              </w:rPr>
            </w:pPr>
          </w:p>
          <w:p w14:paraId="5B9F4FE9">
            <w:pPr>
              <w:keepNext w:val="0"/>
              <w:keepLines w:val="0"/>
              <w:pageBreakBefore w:val="0"/>
              <w:widowControl/>
              <w:kinsoku/>
              <w:wordWrap/>
              <w:overflowPunct/>
              <w:topLinePunct w:val="0"/>
              <w:bidi w:val="0"/>
              <w:spacing w:line="440" w:lineRule="exact"/>
              <w:textAlignment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0"/>
                <w:sz w:val="24"/>
                <w:highlight w:val="none"/>
                <w:lang w:bidi="ar"/>
              </w:rPr>
              <w:t>大写：_________________________</w:t>
            </w:r>
          </w:p>
        </w:tc>
      </w:tr>
    </w:tbl>
    <w:p w14:paraId="22451667">
      <w:pPr>
        <w:keepNext w:val="0"/>
        <w:keepLines w:val="0"/>
        <w:pageBreakBefore w:val="0"/>
        <w:kinsoku/>
        <w:wordWrap/>
        <w:overflowPunct/>
        <w:topLinePunct w:val="0"/>
        <w:bidi w:val="0"/>
        <w:spacing w:after="120" w:afterLines="50"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第四条 费用结算</w:t>
      </w:r>
    </w:p>
    <w:p w14:paraId="7CEEDA27">
      <w:pPr>
        <w:pStyle w:val="15"/>
        <w:keepNext w:val="0"/>
        <w:keepLines w:val="0"/>
        <w:pageBreakBefore w:val="0"/>
        <w:kinsoku/>
        <w:wordWrap/>
        <w:overflowPunct/>
        <w:topLinePunct w:val="0"/>
        <w:bidi w:val="0"/>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1、本合同中甲乙双方之间所发生的一切费用以人民币进行结算。</w:t>
      </w:r>
    </w:p>
    <w:p w14:paraId="03376A87">
      <w:pPr>
        <w:keepNext w:val="0"/>
        <w:keepLines w:val="0"/>
        <w:pageBreakBefore w:val="0"/>
        <w:kinsoku/>
        <w:wordWrap/>
        <w:overflowPunct/>
        <w:topLinePunct w:val="0"/>
        <w:bidi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2、支付方式：</w:t>
      </w:r>
    </w:p>
    <w:p w14:paraId="0AAAF755">
      <w:pPr>
        <w:keepNext w:val="0"/>
        <w:keepLines w:val="0"/>
        <w:pageBreakBefore w:val="0"/>
        <w:kinsoku/>
        <w:wordWrap/>
        <w:overflowPunct/>
        <w:topLinePunct w:val="0"/>
        <w:bidi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rPr>
        <w:t>合同生效，甲方具备支付条件后</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个工作日内向乙方支付合同总价</w:t>
      </w:r>
      <w:r>
        <w:rPr>
          <w:rFonts w:hint="eastAsia" w:ascii="仿宋" w:hAnsi="仿宋" w:eastAsia="仿宋" w:cs="仿宋"/>
          <w:color w:val="auto"/>
          <w:sz w:val="24"/>
          <w:highlight w:val="none"/>
          <w:lang w:val="en-US" w:eastAsia="zh-CN"/>
        </w:rPr>
        <w:t>45</w:t>
      </w:r>
      <w:r>
        <w:rPr>
          <w:rFonts w:hint="eastAsia" w:ascii="仿宋" w:hAnsi="仿宋" w:eastAsia="仿宋" w:cs="仿宋"/>
          <w:color w:val="auto"/>
          <w:sz w:val="24"/>
          <w:highlight w:val="none"/>
        </w:rPr>
        <w:t>%的预付款，即人民币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9BF4DD3">
      <w:pPr>
        <w:keepNext w:val="0"/>
        <w:keepLines w:val="0"/>
        <w:pageBreakBefore w:val="0"/>
        <w:kinsoku/>
        <w:wordWrap/>
        <w:overflowPunct/>
        <w:topLinePunct w:val="0"/>
        <w:bidi w:val="0"/>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rPr>
        <w:t>所有设备到货安装完毕，且</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具备支付条件后</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个工作日内支付合同总价的</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w:t>
      </w:r>
      <w:r>
        <w:rPr>
          <w:rFonts w:hint="eastAsia" w:ascii="仿宋" w:hAnsi="仿宋" w:eastAsia="仿宋" w:cs="仿宋"/>
          <w:color w:val="auto"/>
          <w:sz w:val="24"/>
          <w:highlight w:val="none"/>
        </w:rPr>
        <w:t>即人民币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eastAsia="zh-CN"/>
        </w:rPr>
        <w:t>；</w:t>
      </w:r>
    </w:p>
    <w:p w14:paraId="0EC9F135">
      <w:pPr>
        <w:keepNext w:val="0"/>
        <w:keepLines w:val="0"/>
        <w:pageBreakBefore w:val="0"/>
        <w:kinsoku/>
        <w:wordWrap/>
        <w:overflowPunct/>
        <w:topLinePunct w:val="0"/>
        <w:bidi w:val="0"/>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highlight w:val="none"/>
          <w:lang w:val="en-US" w:eastAsia="zh-CN"/>
        </w:rPr>
        <w:t>设备完成1年运维后，且采购人具备支付条件后5</w:t>
      </w:r>
      <w:r>
        <w:rPr>
          <w:rFonts w:hint="eastAsia" w:ascii="仿宋" w:hAnsi="仿宋" w:eastAsia="仿宋" w:cs="仿宋"/>
          <w:color w:val="auto"/>
          <w:sz w:val="24"/>
          <w:highlight w:val="none"/>
        </w:rPr>
        <w:t>个工作日内支付</w:t>
      </w:r>
      <w:r>
        <w:rPr>
          <w:rFonts w:hint="eastAsia" w:ascii="仿宋" w:hAnsi="仿宋" w:eastAsia="仿宋" w:cs="仿宋"/>
          <w:color w:val="auto"/>
          <w:sz w:val="24"/>
          <w:highlight w:val="none"/>
          <w:lang w:val="en-US" w:eastAsia="zh-CN"/>
        </w:rPr>
        <w:t>合同总价的25</w:t>
      </w: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rPr>
        <w:t>，即人民币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lang w:eastAsia="zh-CN"/>
        </w:rPr>
        <w:t>；</w:t>
      </w:r>
    </w:p>
    <w:p w14:paraId="07AC1C58">
      <w:pPr>
        <w:keepNext w:val="0"/>
        <w:keepLines w:val="0"/>
        <w:pageBreakBefore w:val="0"/>
        <w:kinsoku/>
        <w:wordWrap/>
        <w:overflowPunct/>
        <w:topLinePunct w:val="0"/>
        <w:bidi w:val="0"/>
        <w:spacing w:line="4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highlight w:val="none"/>
          <w:lang w:val="en-US" w:eastAsia="zh-CN"/>
        </w:rPr>
        <w:t>设备完成2年运维后，且采购人具备支付条件后5</w:t>
      </w:r>
      <w:r>
        <w:rPr>
          <w:rFonts w:hint="eastAsia" w:ascii="仿宋" w:hAnsi="仿宋" w:eastAsia="仿宋" w:cs="仿宋"/>
          <w:color w:val="auto"/>
          <w:sz w:val="24"/>
          <w:highlight w:val="none"/>
        </w:rPr>
        <w:t>个工作日</w:t>
      </w:r>
      <w:r>
        <w:rPr>
          <w:rFonts w:hint="eastAsia" w:ascii="仿宋" w:hAnsi="仿宋" w:eastAsia="仿宋" w:cs="仿宋"/>
          <w:color w:val="auto"/>
          <w:sz w:val="24"/>
          <w:highlight w:val="none"/>
          <w:lang w:val="en-US" w:eastAsia="zh-CN"/>
        </w:rPr>
        <w:t>内支付剩余10%合同款项</w:t>
      </w:r>
      <w:r>
        <w:rPr>
          <w:rFonts w:hint="eastAsia" w:ascii="仿宋" w:hAnsi="仿宋" w:eastAsia="仿宋" w:cs="仿宋"/>
          <w:color w:val="auto"/>
          <w:sz w:val="24"/>
          <w:highlight w:val="none"/>
        </w:rPr>
        <w:t>，</w:t>
      </w:r>
      <w:r>
        <w:rPr>
          <w:rFonts w:hint="eastAsia" w:ascii="仿宋" w:hAnsi="仿宋" w:eastAsia="仿宋" w:cs="仿宋"/>
          <w:color w:val="auto"/>
          <w:sz w:val="24"/>
          <w:highlight w:val="none"/>
        </w:rPr>
        <w:t>即人民币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w:t>
      </w:r>
    </w:p>
    <w:p w14:paraId="1EA11AEC">
      <w:pPr>
        <w:keepNext w:val="0"/>
        <w:keepLines w:val="0"/>
        <w:pageBreakBefore w:val="0"/>
        <w:kinsoku/>
        <w:wordWrap/>
        <w:overflowPunct/>
        <w:topLinePunct w:val="0"/>
        <w:bidi w:val="0"/>
        <w:spacing w:line="44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（最终解释权归甲方）</w:t>
      </w:r>
    </w:p>
    <w:p w14:paraId="2A4E39C1">
      <w:pPr>
        <w:keepNext w:val="0"/>
        <w:keepLines w:val="0"/>
        <w:pageBreakBefore w:val="0"/>
        <w:kinsoku/>
        <w:wordWrap/>
        <w:overflowPunct/>
        <w:topLinePunct w:val="0"/>
        <w:bidi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注：乙方须提供的合同等额的正规发票后，且甲方已经履行财政相关资金审批手续后按规定的时间予以支付。</w:t>
      </w:r>
    </w:p>
    <w:p w14:paraId="692F846B">
      <w:pPr>
        <w:keepNext w:val="0"/>
        <w:keepLines w:val="0"/>
        <w:pageBreakBefore w:val="0"/>
        <w:kinsoku/>
        <w:wordWrap/>
        <w:overflowPunct/>
        <w:topLinePunct w:val="0"/>
        <w:bidi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3、甲方应及时将合同款付至以下乙方指定的银行账户：</w:t>
      </w:r>
    </w:p>
    <w:p w14:paraId="2268CA29">
      <w:pPr>
        <w:keepNext w:val="0"/>
        <w:keepLines w:val="0"/>
        <w:pageBreakBefore w:val="0"/>
        <w:kinsoku/>
        <w:wordWrap/>
        <w:overflowPunct/>
        <w:topLinePunct w:val="0"/>
        <w:bidi w:val="0"/>
        <w:snapToGrid w:val="0"/>
        <w:spacing w:line="4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开户名称：</w:t>
      </w:r>
      <w:r>
        <w:rPr>
          <w:rFonts w:hint="eastAsia" w:ascii="仿宋" w:hAnsi="仿宋" w:eastAsia="仿宋" w:cs="仿宋"/>
          <w:color w:val="auto"/>
          <w:sz w:val="24"/>
          <w:highlight w:val="none"/>
          <w:u w:val="single"/>
        </w:rPr>
        <w:t xml:space="preserve">                            </w:t>
      </w:r>
    </w:p>
    <w:p w14:paraId="53798D43">
      <w:pPr>
        <w:keepNext w:val="0"/>
        <w:keepLines w:val="0"/>
        <w:pageBreakBefore w:val="0"/>
        <w:kinsoku/>
        <w:wordWrap/>
        <w:overflowPunct/>
        <w:topLinePunct w:val="0"/>
        <w:bidi w:val="0"/>
        <w:snapToGrid w:val="0"/>
        <w:spacing w:line="4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u w:val="single"/>
        </w:rPr>
        <w:t xml:space="preserve">                            </w:t>
      </w:r>
    </w:p>
    <w:p w14:paraId="7B29B636">
      <w:pPr>
        <w:keepNext w:val="0"/>
        <w:keepLines w:val="0"/>
        <w:pageBreakBefore w:val="0"/>
        <w:kinsoku/>
        <w:wordWrap/>
        <w:overflowPunct/>
        <w:topLinePunct w:val="0"/>
        <w:bidi w:val="0"/>
        <w:snapToGrid w:val="0"/>
        <w:spacing w:line="4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账    号：</w:t>
      </w:r>
      <w:r>
        <w:rPr>
          <w:rFonts w:hint="eastAsia" w:ascii="仿宋" w:hAnsi="仿宋" w:eastAsia="仿宋" w:cs="仿宋"/>
          <w:color w:val="auto"/>
          <w:sz w:val="24"/>
          <w:highlight w:val="none"/>
          <w:u w:val="single"/>
        </w:rPr>
        <w:t xml:space="preserve">                            </w:t>
      </w:r>
    </w:p>
    <w:p w14:paraId="6D459BF4">
      <w:pPr>
        <w:pStyle w:val="15"/>
        <w:keepNext w:val="0"/>
        <w:keepLines w:val="0"/>
        <w:pageBreakBefore w:val="0"/>
        <w:kinsoku/>
        <w:wordWrap/>
        <w:overflowPunct/>
        <w:topLinePunct w:val="0"/>
        <w:bidi w:val="0"/>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注：提供的开户银行应为乙方基本结算账户。</w:t>
      </w:r>
    </w:p>
    <w:p w14:paraId="67C06AD8">
      <w:pPr>
        <w:keepNext w:val="0"/>
        <w:keepLines w:val="0"/>
        <w:pageBreakBefore w:val="0"/>
        <w:kinsoku/>
        <w:wordWrap/>
        <w:overflowPunct/>
        <w:topLinePunct w:val="0"/>
        <w:bidi w:val="0"/>
        <w:spacing w:after="120" w:afterLines="50"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第五条 质量保证</w:t>
      </w:r>
    </w:p>
    <w:p w14:paraId="37286173">
      <w:pPr>
        <w:keepNext w:val="0"/>
        <w:keepLines w:val="0"/>
        <w:pageBreakBefore w:val="0"/>
        <w:kinsoku/>
        <w:wordWrap/>
        <w:overflowPunct/>
        <w:topLinePunct w:val="0"/>
        <w:bidi w:val="0"/>
        <w:spacing w:after="120" w:afterLines="50"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1、乙方应按采购文件规定的要求，向甲方提供符合技术规格和质量标准的原装合格产品。</w:t>
      </w:r>
    </w:p>
    <w:p w14:paraId="1EAAC84D">
      <w:pPr>
        <w:keepNext w:val="0"/>
        <w:keepLines w:val="0"/>
        <w:pageBreakBefore w:val="0"/>
        <w:kinsoku/>
        <w:wordWrap/>
        <w:overflowPunct/>
        <w:topLinePunct w:val="0"/>
        <w:bidi w:val="0"/>
        <w:spacing w:after="120" w:afterLines="50"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2、乙方为合同产品提供自验收合格起</w:t>
      </w:r>
      <w:r>
        <w:rPr>
          <w:rFonts w:hint="eastAsia" w:ascii="仿宋" w:hAnsi="仿宋" w:eastAsia="仿宋" w:cs="仿宋"/>
          <w:bCs/>
          <w:color w:val="auto"/>
          <w:sz w:val="24"/>
          <w:highlight w:val="none"/>
          <w:u w:val="single"/>
        </w:rPr>
        <w:t xml:space="preserve"> 壹 </w:t>
      </w:r>
      <w:r>
        <w:rPr>
          <w:rFonts w:hint="eastAsia" w:ascii="仿宋" w:hAnsi="仿宋" w:eastAsia="仿宋" w:cs="仿宋"/>
          <w:bCs/>
          <w:color w:val="auto"/>
          <w:sz w:val="24"/>
          <w:highlight w:val="none"/>
        </w:rPr>
        <w:t>年的质保期。</w:t>
      </w:r>
    </w:p>
    <w:p w14:paraId="653FE4F4">
      <w:pPr>
        <w:keepNext w:val="0"/>
        <w:keepLines w:val="0"/>
        <w:pageBreakBefore w:val="0"/>
        <w:kinsoku/>
        <w:wordWrap/>
        <w:overflowPunct/>
        <w:topLinePunct w:val="0"/>
        <w:bidi w:val="0"/>
        <w:spacing w:after="120" w:afterLines="50"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3、乙方对质保期内合同产品出现的质量及安全问题负责处理解决，并承担一切费用。</w:t>
      </w:r>
    </w:p>
    <w:p w14:paraId="51CD5CCC">
      <w:pPr>
        <w:keepNext w:val="0"/>
        <w:keepLines w:val="0"/>
        <w:pageBreakBefore w:val="0"/>
        <w:kinsoku/>
        <w:wordWrap/>
        <w:overflowPunct/>
        <w:topLinePunct w:val="0"/>
        <w:bidi w:val="0"/>
        <w:spacing w:after="120" w:afterLines="50"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4、合同产品在质保期内因产品本身的质量问题发生故障，乙方应负责免费更换。对经更换仍达不到技术要求者，可按以下办法处理（由甲方选择）：</w:t>
      </w:r>
    </w:p>
    <w:p w14:paraId="687CB805">
      <w:pPr>
        <w:keepNext w:val="0"/>
        <w:keepLines w:val="0"/>
        <w:pageBreakBefore w:val="0"/>
        <w:kinsoku/>
        <w:wordWrap/>
        <w:overflowPunct/>
        <w:topLinePunct w:val="0"/>
        <w:bidi w:val="0"/>
        <w:spacing w:after="120" w:afterLines="50"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⑴再次更换：由乙方承担所发生的全部费用。</w:t>
      </w:r>
    </w:p>
    <w:p w14:paraId="5E71B278">
      <w:pPr>
        <w:keepNext w:val="0"/>
        <w:keepLines w:val="0"/>
        <w:pageBreakBefore w:val="0"/>
        <w:kinsoku/>
        <w:wordWrap/>
        <w:overflowPunct/>
        <w:topLinePunct w:val="0"/>
        <w:bidi w:val="0"/>
        <w:spacing w:after="120" w:afterLines="50"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⑵贬值处理：由甲乙双方合议定价（合议定价范围为原件的5%—50%）。</w:t>
      </w:r>
    </w:p>
    <w:p w14:paraId="7F00BDDB">
      <w:pPr>
        <w:keepNext w:val="0"/>
        <w:keepLines w:val="0"/>
        <w:pageBreakBefore w:val="0"/>
        <w:kinsoku/>
        <w:wordWrap/>
        <w:overflowPunct/>
        <w:topLinePunct w:val="0"/>
        <w:bidi w:val="0"/>
        <w:spacing w:after="120" w:afterLines="50"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⑶退货处理：乙方应退还甲方支付的合同款，同时应承担合同产品的直接费用（运输、保险、检验、货款利息及银行手续费等，其中银行利息按同期银行贷款利率的150%计算）</w:t>
      </w:r>
    </w:p>
    <w:p w14:paraId="7ECD19C4">
      <w:pPr>
        <w:keepNext w:val="0"/>
        <w:keepLines w:val="0"/>
        <w:pageBreakBefore w:val="0"/>
        <w:kinsoku/>
        <w:wordWrap/>
        <w:overflowPunct/>
        <w:topLinePunct w:val="0"/>
        <w:bidi w:val="0"/>
        <w:spacing w:after="120" w:afterLines="50"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第六条 运维期服务要求</w:t>
      </w:r>
    </w:p>
    <w:p w14:paraId="3F2F0522">
      <w:pPr>
        <w:keepNext w:val="0"/>
        <w:keepLines w:val="0"/>
        <w:pageBreakBefore w:val="0"/>
        <w:kinsoku/>
        <w:wordWrap/>
        <w:overflowPunct/>
        <w:topLinePunct w:val="0"/>
        <w:bidi w:val="0"/>
        <w:spacing w:after="120" w:afterLines="50"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 乙方为本项目配备1名项目负责人</w:t>
      </w:r>
      <w:r>
        <w:rPr>
          <w:rFonts w:hint="eastAsia" w:ascii="仿宋" w:hAnsi="仿宋" w:eastAsia="仿宋" w:cs="仿宋"/>
          <w:bCs/>
          <w:color w:val="auto"/>
          <w:sz w:val="24"/>
          <w:highlight w:val="none"/>
          <w:u w:val="single"/>
        </w:rPr>
        <w:t xml:space="preserve">   （姓名、联系电话）  </w:t>
      </w:r>
      <w:r>
        <w:rPr>
          <w:rFonts w:hint="eastAsia" w:ascii="仿宋" w:hAnsi="仿宋" w:eastAsia="仿宋" w:cs="仿宋"/>
          <w:bCs/>
          <w:color w:val="auto"/>
          <w:sz w:val="24"/>
          <w:highlight w:val="none"/>
        </w:rPr>
        <w:t>负责本项目运维期内保障联系人。</w:t>
      </w:r>
    </w:p>
    <w:p w14:paraId="5AF8898C">
      <w:pPr>
        <w:keepNext w:val="0"/>
        <w:keepLines w:val="0"/>
        <w:pageBreakBefore w:val="0"/>
        <w:kinsoku/>
        <w:wordWrap/>
        <w:overflowPunct/>
        <w:topLinePunct w:val="0"/>
        <w:bidi w:val="0"/>
        <w:spacing w:after="120" w:afterLines="50"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 乙方须须对提供的3D微气象调控系统</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颗粒物激光雷达</w:t>
      </w:r>
      <w:r>
        <w:rPr>
          <w:rFonts w:hint="eastAsia" w:ascii="仿宋" w:hAnsi="仿宋" w:eastAsia="仿宋" w:cs="仿宋"/>
          <w:bCs/>
          <w:color w:val="auto"/>
          <w:sz w:val="24"/>
          <w:highlight w:val="none"/>
          <w:lang w:val="en-US" w:eastAsia="zh-CN"/>
        </w:rPr>
        <w:t>设备</w:t>
      </w:r>
      <w:r>
        <w:rPr>
          <w:rFonts w:hint="eastAsia" w:ascii="仿宋" w:hAnsi="仿宋" w:eastAsia="仿宋" w:cs="仿宋"/>
          <w:bCs/>
          <w:color w:val="auto"/>
          <w:sz w:val="24"/>
          <w:highlight w:val="none"/>
        </w:rPr>
        <w:t>提供为期</w:t>
      </w: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年的运维服务。</w:t>
      </w:r>
    </w:p>
    <w:p w14:paraId="15AA6D22">
      <w:pPr>
        <w:keepNext w:val="0"/>
        <w:keepLines w:val="0"/>
        <w:pageBreakBefore w:val="0"/>
        <w:kinsoku/>
        <w:wordWrap/>
        <w:overflowPunct/>
        <w:topLinePunct w:val="0"/>
        <w:bidi w:val="0"/>
        <w:spacing w:after="120" w:afterLines="50"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 在运维期内乙方</w:t>
      </w:r>
      <w:r>
        <w:rPr>
          <w:rFonts w:hint="eastAsia" w:ascii="仿宋" w:hAnsi="仿宋" w:eastAsia="仿宋" w:cs="仿宋"/>
          <w:color w:val="auto"/>
          <w:sz w:val="24"/>
          <w:highlight w:val="none"/>
        </w:rPr>
        <w:t>应提供7*24小时的服务响应</w:t>
      </w:r>
      <w:r>
        <w:rPr>
          <w:rFonts w:hint="eastAsia" w:ascii="仿宋" w:hAnsi="仿宋" w:eastAsia="仿宋" w:cs="仿宋"/>
          <w:bCs/>
          <w:color w:val="auto"/>
          <w:sz w:val="24"/>
          <w:highlight w:val="none"/>
        </w:rPr>
        <w:t>。</w:t>
      </w:r>
    </w:p>
    <w:p w14:paraId="053F66AA">
      <w:pPr>
        <w:keepNext w:val="0"/>
        <w:keepLines w:val="0"/>
        <w:pageBreakBefore w:val="0"/>
        <w:kinsoku/>
        <w:wordWrap/>
        <w:overflowPunct/>
        <w:topLinePunct w:val="0"/>
        <w:bidi w:val="0"/>
        <w:spacing w:after="120" w:afterLines="50"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 在运维期内乙方在接到甲方故障申告后应于</w:t>
      </w:r>
      <w:r>
        <w:rPr>
          <w:rFonts w:hint="eastAsia" w:ascii="仿宋" w:hAnsi="仿宋" w:eastAsia="仿宋" w:cs="仿宋"/>
          <w:bCs/>
          <w:color w:val="auto"/>
          <w:sz w:val="24"/>
          <w:highlight w:val="none"/>
          <w:u w:val="single"/>
          <w:lang w:val="en-US" w:eastAsia="zh-CN"/>
        </w:rPr>
        <w:t>X</w:t>
      </w:r>
      <w:r>
        <w:rPr>
          <w:rFonts w:hint="eastAsia" w:ascii="仿宋" w:hAnsi="仿宋" w:eastAsia="仿宋" w:cs="仿宋"/>
          <w:bCs/>
          <w:color w:val="auto"/>
          <w:sz w:val="24"/>
          <w:highlight w:val="none"/>
        </w:rPr>
        <w:t>分钟内响应，如故障未能在</w:t>
      </w:r>
      <w:r>
        <w:rPr>
          <w:rFonts w:hint="eastAsia" w:ascii="仿宋" w:hAnsi="仿宋" w:eastAsia="仿宋" w:cs="仿宋"/>
          <w:bCs/>
          <w:color w:val="auto"/>
          <w:sz w:val="24"/>
          <w:highlight w:val="none"/>
          <w:u w:val="single"/>
          <w:lang w:val="en-US" w:eastAsia="zh-CN"/>
        </w:rPr>
        <w:t>X</w:t>
      </w:r>
      <w:r>
        <w:rPr>
          <w:rFonts w:hint="eastAsia" w:ascii="仿宋" w:hAnsi="仿宋" w:eastAsia="仿宋" w:cs="仿宋"/>
          <w:bCs/>
          <w:color w:val="auto"/>
          <w:sz w:val="24"/>
          <w:highlight w:val="none"/>
        </w:rPr>
        <w:t>分钟内通过远程支持得到解决，启用应急现场响应支持服务。</w:t>
      </w:r>
    </w:p>
    <w:p w14:paraId="736B2832">
      <w:pPr>
        <w:keepNext w:val="0"/>
        <w:keepLines w:val="0"/>
        <w:pageBreakBefore w:val="0"/>
        <w:kinsoku/>
        <w:wordWrap/>
        <w:overflowPunct/>
        <w:topLinePunct w:val="0"/>
        <w:bidi w:val="0"/>
        <w:spacing w:after="120" w:afterLines="50"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6. </w:t>
      </w:r>
      <w:r>
        <w:rPr>
          <w:rFonts w:hint="eastAsia" w:ascii="仿宋" w:hAnsi="仿宋" w:eastAsia="仿宋" w:cs="仿宋"/>
          <w:color w:val="auto"/>
          <w:sz w:val="24"/>
          <w:highlight w:val="none"/>
        </w:rPr>
        <w:t>当遇到复杂性问题，需要现场进行综合诊断处理或采购人要求提供现场服务的，要求服务团队人员在</w:t>
      </w:r>
      <w:r>
        <w:rPr>
          <w:rFonts w:hint="eastAsia" w:ascii="仿宋" w:hAnsi="仿宋" w:eastAsia="仿宋" w:cs="仿宋"/>
          <w:color w:val="auto"/>
          <w:sz w:val="24"/>
          <w:highlight w:val="none"/>
          <w:u w:val="single"/>
          <w:lang w:val="en-US" w:eastAsia="zh-CN"/>
        </w:rPr>
        <w:t>X</w:t>
      </w:r>
      <w:r>
        <w:rPr>
          <w:rFonts w:hint="eastAsia" w:ascii="仿宋" w:hAnsi="仿宋" w:eastAsia="仿宋" w:cs="仿宋"/>
          <w:color w:val="auto"/>
          <w:sz w:val="24"/>
          <w:highlight w:val="none"/>
        </w:rPr>
        <w:t>小时内到达支持现场，以求快速解决问题</w:t>
      </w:r>
      <w:r>
        <w:rPr>
          <w:rFonts w:hint="eastAsia" w:ascii="仿宋" w:hAnsi="仿宋" w:eastAsia="仿宋" w:cs="仿宋"/>
          <w:bCs/>
          <w:color w:val="auto"/>
          <w:sz w:val="24"/>
          <w:highlight w:val="none"/>
        </w:rPr>
        <w:t>。</w:t>
      </w:r>
    </w:p>
    <w:p w14:paraId="0578E564">
      <w:pPr>
        <w:keepNext w:val="0"/>
        <w:keepLines w:val="0"/>
        <w:pageBreakBefore w:val="0"/>
        <w:kinsoku/>
        <w:wordWrap/>
        <w:overflowPunct/>
        <w:topLinePunct w:val="0"/>
        <w:bidi w:val="0"/>
        <w:spacing w:after="120" w:afterLines="50"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7. 在质保期内，如遇设备软件产品升级、改版，应提供更新、升级服务。升级程序应满足安全要求并能经过测试验证。乙方有义务确保甲方软件升级成功，不影响依赖于本项目软件运行的业务应用的正常使用；如果升级不成功，负责将系统恢复原样。</w:t>
      </w:r>
    </w:p>
    <w:p w14:paraId="3B671146">
      <w:pPr>
        <w:keepNext w:val="0"/>
        <w:keepLines w:val="0"/>
        <w:pageBreakBefore w:val="0"/>
        <w:kinsoku/>
        <w:wordWrap/>
        <w:overflowPunct/>
        <w:topLinePunct w:val="0"/>
        <w:bidi w:val="0"/>
        <w:spacing w:after="120" w:afterLines="50"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8. 乙方应提供设备的维修保养手册及使用说明书。</w:t>
      </w:r>
    </w:p>
    <w:p w14:paraId="60840179">
      <w:pPr>
        <w:keepNext w:val="0"/>
        <w:keepLines w:val="0"/>
        <w:pageBreakBefore w:val="0"/>
        <w:kinsoku/>
        <w:wordWrap/>
        <w:overflowPunct/>
        <w:topLinePunct w:val="0"/>
        <w:bidi w:val="0"/>
        <w:spacing w:after="120" w:afterLines="50" w:line="440" w:lineRule="exact"/>
        <w:ind w:firstLine="480" w:firstLineChars="200"/>
        <w:rPr>
          <w:color w:val="auto"/>
          <w:highlight w:val="none"/>
          <w:lang w:val="en-US" w:eastAsia="zh-CN"/>
        </w:rPr>
      </w:pPr>
      <w:r>
        <w:rPr>
          <w:rFonts w:hint="eastAsia" w:ascii="仿宋" w:hAnsi="仿宋" w:eastAsia="仿宋" w:cs="仿宋"/>
          <w:bCs/>
          <w:color w:val="auto"/>
          <w:sz w:val="24"/>
          <w:highlight w:val="none"/>
        </w:rPr>
        <w:t>9. 货物在</w:t>
      </w:r>
      <w:r>
        <w:rPr>
          <w:rFonts w:hint="eastAsia" w:ascii="仿宋" w:hAnsi="仿宋" w:eastAsia="仿宋" w:cs="仿宋"/>
          <w:bCs/>
          <w:color w:val="auto"/>
          <w:sz w:val="24"/>
          <w:highlight w:val="none"/>
          <w:lang w:val="en-US" w:eastAsia="zh-CN"/>
        </w:rPr>
        <w:t>质保期</w:t>
      </w:r>
      <w:r>
        <w:rPr>
          <w:rFonts w:hint="eastAsia" w:ascii="仿宋" w:hAnsi="仿宋" w:eastAsia="仿宋" w:cs="仿宋"/>
          <w:bCs/>
          <w:color w:val="auto"/>
          <w:sz w:val="24"/>
          <w:highlight w:val="none"/>
        </w:rPr>
        <w:t>内，如因甲方使用不当、维护不当或者保管不当而引起的缺陷或损坏，乙方不负免费保修的责任，由此产生的合理费用由甲方承担。质保期满后，乙方仍提供维护服务，收取成本费。</w:t>
      </w:r>
    </w:p>
    <w:p w14:paraId="3DE2671B">
      <w:pPr>
        <w:keepNext w:val="0"/>
        <w:keepLines w:val="0"/>
        <w:pageBreakBefore w:val="0"/>
        <w:kinsoku/>
        <w:wordWrap/>
        <w:overflowPunct/>
        <w:topLinePunct w:val="0"/>
        <w:bidi w:val="0"/>
        <w:spacing w:after="120" w:afterLines="50"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第七条 技术资料和保密条款</w:t>
      </w:r>
    </w:p>
    <w:p w14:paraId="39A1D6D8">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没有甲方事先书面同意，乙方不得将由甲方提供的有关合同或任何合同条文、计划或资料提供给与履行本合同无关的任何其他人。即使向履行本合同有关的人员提供，也应注意保密并限于履行合同的必需范围。</w:t>
      </w:r>
    </w:p>
    <w:p w14:paraId="1762EFF7">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2、乙方承诺在项目实施过程中按照国家保密法律法规以及甲方的要求,做好有关保密工作。乙方保证项目实施过程中的有关信息、文件等对第三方保密，非经甲方同意，不得公开或向第三方提供。</w:t>
      </w:r>
    </w:p>
    <w:p w14:paraId="5132D6CD">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3、乙方项目</w:t>
      </w:r>
      <w:r>
        <w:rPr>
          <w:rFonts w:hint="eastAsia" w:ascii="仿宋" w:hAnsi="仿宋" w:eastAsia="仿宋" w:cs="仿宋"/>
          <w:color w:val="auto"/>
          <w:sz w:val="24"/>
          <w:szCs w:val="24"/>
          <w:highlight w:val="none"/>
          <w:lang w:val="en-US" w:eastAsia="zh-CN"/>
        </w:rPr>
        <w:t>负责人</w:t>
      </w:r>
      <w:r>
        <w:rPr>
          <w:rFonts w:hint="eastAsia" w:ascii="仿宋" w:hAnsi="仿宋" w:eastAsia="仿宋" w:cs="仿宋"/>
          <w:color w:val="auto"/>
          <w:sz w:val="24"/>
          <w:szCs w:val="24"/>
          <w:highlight w:val="none"/>
        </w:rPr>
        <w:t>及其他服务人员在服务期间须遵守甲方的相应管理规定，并与甲方签订保密协议及网络安全承诺书。如因违反管理规定或保密协议、承诺书内容，甲方有权追究乙方及相关人员的相应责任并赔偿相应损失。</w:t>
      </w:r>
    </w:p>
    <w:p w14:paraId="65F98FCE">
      <w:pPr>
        <w:keepNext w:val="0"/>
        <w:keepLines w:val="0"/>
        <w:pageBreakBefore w:val="0"/>
        <w:kinsoku/>
        <w:wordWrap/>
        <w:overflowPunct/>
        <w:topLinePunct w:val="0"/>
        <w:bidi w:val="0"/>
        <w:spacing w:after="120" w:afterLines="50"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第八条 货物包装、发运及运输</w:t>
      </w:r>
    </w:p>
    <w:p w14:paraId="7337C9FC">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提供产品及相关快递服务的具体包装要求应符合《商品包装政府采购需求标准（试行）》《快递包装政府采购需求标准（试行）》，并作为履约验收的内容，必要时甲方可以要求乙方在履约验收环节出具检测报告。</w:t>
      </w:r>
    </w:p>
    <w:p w14:paraId="72358787">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2、由于包装不善所引起的标的物锈蚀、损坏和损失等一切风险均由乙方承担。</w:t>
      </w:r>
    </w:p>
    <w:p w14:paraId="49A9397B">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3、货物在规定的交付期限内由乙方送达甲方指定的地点视为交付，乙方同时需通知甲方货物已送达。</w:t>
      </w:r>
    </w:p>
    <w:p w14:paraId="155F3D92">
      <w:pPr>
        <w:keepNext w:val="0"/>
        <w:keepLines w:val="0"/>
        <w:pageBreakBefore w:val="0"/>
        <w:kinsoku/>
        <w:wordWrap/>
        <w:overflowPunct/>
        <w:topLinePunct w:val="0"/>
        <w:bidi w:val="0"/>
        <w:spacing w:after="120" w:afterLines="50" w:line="440" w:lineRule="exact"/>
        <w:ind w:firstLine="482" w:firstLineChars="20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第九条 知识产权</w:t>
      </w:r>
      <w:r>
        <w:rPr>
          <w:rFonts w:hint="eastAsia" w:ascii="仿宋" w:hAnsi="仿宋" w:eastAsia="仿宋" w:cs="仿宋"/>
          <w:b/>
          <w:color w:val="auto"/>
          <w:sz w:val="24"/>
          <w:highlight w:val="none"/>
          <w:lang w:val="en-US" w:eastAsia="zh-CN"/>
        </w:rPr>
        <w:t>保护</w:t>
      </w:r>
    </w:p>
    <w:p w14:paraId="3AC8E142">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14:paraId="6FBE2C62">
      <w:pPr>
        <w:keepNext w:val="0"/>
        <w:keepLines w:val="0"/>
        <w:pageBreakBefore w:val="0"/>
        <w:kinsoku/>
        <w:wordWrap/>
        <w:overflowPunct/>
        <w:topLinePunct w:val="0"/>
        <w:bidi w:val="0"/>
        <w:spacing w:after="120" w:afterLines="50"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第十条 成果交付材料</w:t>
      </w:r>
    </w:p>
    <w:p w14:paraId="26BA2576">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对建设过程管理和成果产物的要求：</w:t>
      </w:r>
    </w:p>
    <w:p w14:paraId="447BF0B6">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文档的提交应覆盖以下内容，电子文档是成果不可分割的部分。要求如下文档：</w:t>
      </w:r>
    </w:p>
    <w:p w14:paraId="5C4D519A">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●过程性文档</w:t>
      </w:r>
    </w:p>
    <w:p w14:paraId="27E3DDCF">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项目实施过程中的产生的流程性文档，不限于如：</w:t>
      </w:r>
      <w:r>
        <w:rPr>
          <w:rFonts w:hint="eastAsia" w:ascii="仿宋" w:hAnsi="仿宋" w:eastAsia="仿宋" w:cs="仿宋"/>
          <w:bCs/>
          <w:color w:val="auto"/>
          <w:sz w:val="24"/>
          <w:szCs w:val="24"/>
          <w:highlight w:val="none"/>
          <w:lang w:eastAsia="zh-CN"/>
        </w:rPr>
        <w:t>现场勘察记录、需求调研记录及分析、实施方案报审单、开工申请、设备/材料报审表、货物检验签收单、软件/设备安装调试测试记录、培训记录、初验申请单、试运行申请、终验申请、项目总结报告等等</w:t>
      </w:r>
      <w:r>
        <w:rPr>
          <w:rFonts w:hint="eastAsia" w:ascii="仿宋" w:hAnsi="仿宋" w:eastAsia="仿宋" w:cs="仿宋"/>
          <w:color w:val="auto"/>
          <w:sz w:val="24"/>
          <w:szCs w:val="24"/>
          <w:highlight w:val="none"/>
        </w:rPr>
        <w:t>。</w:t>
      </w:r>
    </w:p>
    <w:p w14:paraId="725A787A">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●成果性文档</w:t>
      </w:r>
    </w:p>
    <w:p w14:paraId="5CCA681F">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项目实施过程中的产生的成果性文档，不限于如：</w:t>
      </w:r>
      <w:r>
        <w:rPr>
          <w:rFonts w:hint="eastAsia" w:ascii="仿宋" w:hAnsi="仿宋" w:eastAsia="仿宋" w:cs="仿宋"/>
          <w:bCs/>
          <w:color w:val="auto"/>
          <w:sz w:val="24"/>
          <w:szCs w:val="24"/>
          <w:highlight w:val="none"/>
          <w:lang w:eastAsia="zh-CN"/>
        </w:rPr>
        <w:t>项目实施方案、测试方案及计划，测试记录、用户手册、</w:t>
      </w:r>
      <w:r>
        <w:rPr>
          <w:rFonts w:hint="eastAsia" w:ascii="仿宋" w:hAnsi="仿宋" w:eastAsia="仿宋" w:cs="仿宋"/>
          <w:bCs/>
          <w:color w:val="auto"/>
          <w:sz w:val="24"/>
          <w:szCs w:val="24"/>
          <w:highlight w:val="none"/>
          <w:lang w:val="en-US" w:eastAsia="zh-CN"/>
        </w:rPr>
        <w:t>运维</w:t>
      </w:r>
      <w:r>
        <w:rPr>
          <w:rFonts w:hint="eastAsia" w:ascii="仿宋" w:hAnsi="仿宋" w:eastAsia="仿宋" w:cs="仿宋"/>
          <w:bCs/>
          <w:color w:val="auto"/>
          <w:sz w:val="24"/>
          <w:szCs w:val="24"/>
          <w:highlight w:val="none"/>
          <w:lang w:eastAsia="zh-CN"/>
        </w:rPr>
        <w:t>管理维护手册等等</w:t>
      </w:r>
      <w:r>
        <w:rPr>
          <w:rFonts w:hint="eastAsia" w:ascii="仿宋" w:hAnsi="仿宋" w:eastAsia="仿宋" w:cs="仿宋"/>
          <w:color w:val="auto"/>
          <w:sz w:val="24"/>
          <w:szCs w:val="24"/>
          <w:highlight w:val="none"/>
        </w:rPr>
        <w:t>。</w:t>
      </w:r>
    </w:p>
    <w:p w14:paraId="26DB9022">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●设备/软件随机资料</w:t>
      </w:r>
    </w:p>
    <w:p w14:paraId="780F69B9">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设备/软件随机自带的光盘、资料文档等等。</w:t>
      </w:r>
    </w:p>
    <w:p w14:paraId="28A97F00">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●其他需要提交的材料。</w:t>
      </w:r>
    </w:p>
    <w:p w14:paraId="3CF47D5D">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乙方在项目过程中应按照甲方要求提供相应文档资料。</w:t>
      </w:r>
    </w:p>
    <w:p w14:paraId="180382AD">
      <w:pPr>
        <w:keepNext w:val="0"/>
        <w:keepLines w:val="0"/>
        <w:pageBreakBefore w:val="0"/>
        <w:kinsoku/>
        <w:wordWrap/>
        <w:overflowPunct/>
        <w:topLinePunct w:val="0"/>
        <w:bidi w:val="0"/>
        <w:spacing w:after="120" w:afterLines="50"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第十一条 履约验收</w:t>
      </w:r>
    </w:p>
    <w:p w14:paraId="5CBBCD55">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1、本合同验收由甲方组织实施，乙方应委派专人配合甲方的验收工作。</w:t>
      </w:r>
    </w:p>
    <w:p w14:paraId="5C2F0EFF">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2、验收标准：合格（符合采购文件要求、投标承诺以及国家、行业有关技术规范和标准）</w:t>
      </w:r>
    </w:p>
    <w:p w14:paraId="1E62995A">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、乙方在项目完成后，应当及时向甲方发出验收申请，内容包括书面验收申请、相关说明、报告等，甲方收到乙方申请后，组织进行验收考核，乙方应当协助进行。验收结果可以作为甲方付款的考虑依据。</w:t>
      </w:r>
    </w:p>
    <w:p w14:paraId="126D6A37">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、验收费用根据“杭州市政府采购履约验收暂行办法”第二十条规定，首次验收过程中产生的，由甲方承担；属于首次验收不合格，重新验收过程中产生的由乙方承担。</w:t>
      </w:r>
    </w:p>
    <w:p w14:paraId="6D1BFCB0">
      <w:pPr>
        <w:keepNext w:val="0"/>
        <w:keepLines w:val="0"/>
        <w:pageBreakBefore w:val="0"/>
        <w:kinsoku/>
        <w:wordWrap/>
        <w:overflowPunct/>
        <w:topLinePunct w:val="0"/>
        <w:bidi w:val="0"/>
        <w:spacing w:after="120" w:afterLines="50" w:line="440" w:lineRule="exact"/>
        <w:ind w:firstLine="482" w:firstLineChars="200"/>
        <w:rPr>
          <w:rFonts w:hint="eastAsia" w:ascii="仿宋" w:hAnsi="仿宋" w:eastAsia="仿宋" w:cs="仿宋"/>
          <w:b/>
          <w:color w:val="auto"/>
          <w:sz w:val="24"/>
          <w:highlight w:val="none"/>
        </w:rPr>
      </w:pPr>
      <w:bookmarkStart w:id="412" w:name="_Toc2308"/>
      <w:bookmarkStart w:id="413" w:name="_Toc12666"/>
      <w:bookmarkStart w:id="414" w:name="_Toc31892"/>
      <w:bookmarkStart w:id="415" w:name="_Toc9808"/>
      <w:bookmarkStart w:id="416" w:name="_Toc25198"/>
      <w:r>
        <w:rPr>
          <w:rFonts w:hint="eastAsia" w:ascii="仿宋" w:hAnsi="仿宋" w:eastAsia="仿宋" w:cs="仿宋"/>
          <w:b/>
          <w:color w:val="auto"/>
          <w:sz w:val="24"/>
          <w:highlight w:val="none"/>
          <w:lang w:val="en-US" w:eastAsia="zh-CN"/>
        </w:rPr>
        <w:t xml:space="preserve">第十二条 </w:t>
      </w:r>
      <w:r>
        <w:rPr>
          <w:rFonts w:hint="eastAsia" w:ascii="仿宋" w:hAnsi="仿宋" w:eastAsia="仿宋" w:cs="仿宋"/>
          <w:b/>
          <w:color w:val="auto"/>
          <w:sz w:val="24"/>
          <w:highlight w:val="none"/>
        </w:rPr>
        <w:t>通知和送达</w:t>
      </w:r>
      <w:bookmarkEnd w:id="412"/>
      <w:bookmarkEnd w:id="413"/>
      <w:bookmarkEnd w:id="414"/>
      <w:bookmarkEnd w:id="415"/>
      <w:bookmarkEnd w:id="416"/>
    </w:p>
    <w:p w14:paraId="0C521AF2">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bookmarkStart w:id="417" w:name="_Toc18401"/>
      <w:bookmarkStart w:id="418" w:name="_Toc27674"/>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任何一方因履行合同而以合同第一部分尾部所列明的传真或电子邮件发出的所有通知、文件、材料，均视为已向对方当事人送达；任何一方变更上述送达方式或者地址的，应于</w:t>
      </w:r>
      <w:r>
        <w:rPr>
          <w:rFonts w:hint="eastAsia" w:ascii="仿宋" w:hAnsi="仿宋" w:eastAsia="仿宋" w:cs="仿宋"/>
          <w:color w:val="auto"/>
          <w:sz w:val="24"/>
          <w:szCs w:val="24"/>
          <w:highlight w:val="none"/>
          <w:u w:val="single"/>
        </w:rPr>
        <w:t>3</w:t>
      </w:r>
      <w:r>
        <w:rPr>
          <w:rFonts w:hint="eastAsia" w:ascii="仿宋" w:hAnsi="仿宋" w:eastAsia="仿宋" w:cs="仿宋"/>
          <w:color w:val="auto"/>
          <w:sz w:val="24"/>
          <w:szCs w:val="24"/>
          <w:highlight w:val="none"/>
        </w:rPr>
        <w:t>个工作日内书面通知对方当事人，在对方当事人收到有关变更通知之前，变更前的约定送达方式或者地址仍视为有效。</w:t>
      </w:r>
    </w:p>
    <w:p w14:paraId="53E6DD9F">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以当面交付方式送达的，交付之时视为送达；以电子邮件方式送达的，发出电子邮件之时视为送达；以传真方式送达的，发出传真之时视为送达；以邮寄方式送达的，邮件挂号寄出或者交邮之日之次日视为送达。</w:t>
      </w:r>
      <w:bookmarkEnd w:id="417"/>
      <w:bookmarkEnd w:id="418"/>
    </w:p>
    <w:p w14:paraId="28849D62">
      <w:pPr>
        <w:keepNext w:val="0"/>
        <w:keepLines w:val="0"/>
        <w:pageBreakBefore w:val="0"/>
        <w:kinsoku/>
        <w:wordWrap/>
        <w:overflowPunct/>
        <w:topLinePunct w:val="0"/>
        <w:bidi w:val="0"/>
        <w:spacing w:after="120" w:afterLines="50"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第十</w:t>
      </w:r>
      <w:r>
        <w:rPr>
          <w:rFonts w:hint="eastAsia" w:ascii="仿宋" w:hAnsi="仿宋" w:eastAsia="仿宋" w:cs="仿宋"/>
          <w:b/>
          <w:color w:val="auto"/>
          <w:sz w:val="24"/>
          <w:highlight w:val="none"/>
          <w:lang w:val="en-US" w:eastAsia="zh-CN"/>
        </w:rPr>
        <w:t>三</w:t>
      </w:r>
      <w:r>
        <w:rPr>
          <w:rFonts w:hint="eastAsia" w:ascii="仿宋" w:hAnsi="仿宋" w:eastAsia="仿宋" w:cs="仿宋"/>
          <w:b/>
          <w:color w:val="auto"/>
          <w:sz w:val="24"/>
          <w:highlight w:val="none"/>
        </w:rPr>
        <w:t>条 合同的转让、变更及解除</w:t>
      </w:r>
    </w:p>
    <w:p w14:paraId="674B5B9C">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1、乙方不得将本合同的权利或义务全部或部分转让给第三人。否则，甲方有权解除本合同并追究乙方的违约责任。</w:t>
      </w:r>
    </w:p>
    <w:p w14:paraId="4F5F6831">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2、双方协商一致，可以变更、解除本合同。任何一方欲变更、解除本合同，必须提前十五日以书面形式提出，双方协商一致后签署补充协议。</w:t>
      </w:r>
    </w:p>
    <w:p w14:paraId="62AD7AE4">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3、除本合同另有约定外，一方有下列情形之一的，另一方可以解除本合同：</w:t>
      </w:r>
    </w:p>
    <w:p w14:paraId="2B3F62B3">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color w:val="auto"/>
          <w:sz w:val="24"/>
          <w:szCs w:val="24"/>
          <w:highlight w:val="none"/>
        </w:rPr>
        <w:t>因不可抗力致使不能实现本合同的目的。</w:t>
      </w:r>
    </w:p>
    <w:p w14:paraId="7458B0FD">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color w:val="auto"/>
          <w:sz w:val="24"/>
          <w:szCs w:val="24"/>
          <w:highlight w:val="none"/>
        </w:rPr>
        <w:t>在履行期限届满之前，一方明确表示或者以自己的行为表明不履行主要义务。</w:t>
      </w:r>
    </w:p>
    <w:p w14:paraId="1687B9B9">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（3）</w:t>
      </w:r>
      <w:r>
        <w:rPr>
          <w:rFonts w:hint="eastAsia" w:ascii="仿宋" w:hAnsi="仿宋" w:eastAsia="仿宋" w:cs="仿宋"/>
          <w:color w:val="auto"/>
          <w:sz w:val="24"/>
          <w:szCs w:val="24"/>
          <w:highlight w:val="none"/>
        </w:rPr>
        <w:t>一方迟延履行主要义务，经催告后在合理期限内（5个工作日）仍未履行。</w:t>
      </w:r>
    </w:p>
    <w:p w14:paraId="4492F00B">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（4）</w:t>
      </w:r>
      <w:r>
        <w:rPr>
          <w:rFonts w:hint="eastAsia" w:ascii="仿宋" w:hAnsi="仿宋" w:eastAsia="仿宋" w:cs="仿宋"/>
          <w:color w:val="auto"/>
          <w:sz w:val="24"/>
          <w:szCs w:val="24"/>
          <w:highlight w:val="none"/>
        </w:rPr>
        <w:t>一方存在违反合同约定、不达约定标准情况的，且经过限期整改/纠正但仍未达到约定标准。</w:t>
      </w:r>
    </w:p>
    <w:p w14:paraId="38CCA925">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（5）</w:t>
      </w:r>
      <w:r>
        <w:rPr>
          <w:rFonts w:hint="eastAsia" w:ascii="仿宋" w:hAnsi="仿宋" w:eastAsia="仿宋" w:cs="仿宋"/>
          <w:color w:val="auto"/>
          <w:sz w:val="24"/>
          <w:szCs w:val="24"/>
          <w:highlight w:val="none"/>
        </w:rPr>
        <w:t>一方迟延履行义务或者有其他违约行为致使不能实现合同目的。</w:t>
      </w:r>
    </w:p>
    <w:p w14:paraId="07CDC31C">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（6）</w:t>
      </w:r>
      <w:r>
        <w:rPr>
          <w:rFonts w:hint="eastAsia" w:ascii="仿宋" w:hAnsi="仿宋" w:eastAsia="仿宋" w:cs="仿宋"/>
          <w:color w:val="auto"/>
          <w:sz w:val="24"/>
          <w:szCs w:val="24"/>
          <w:highlight w:val="none"/>
        </w:rPr>
        <w:t>法律规定或本合同约定的其他情形。</w:t>
      </w:r>
    </w:p>
    <w:p w14:paraId="12F844AB">
      <w:pPr>
        <w:keepNext w:val="0"/>
        <w:keepLines w:val="0"/>
        <w:pageBreakBefore w:val="0"/>
        <w:kinsoku/>
        <w:wordWrap/>
        <w:overflowPunct/>
        <w:topLinePunct w:val="0"/>
        <w:bidi w:val="0"/>
        <w:spacing w:after="120" w:afterLines="50"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第十</w:t>
      </w:r>
      <w:r>
        <w:rPr>
          <w:rFonts w:hint="eastAsia" w:ascii="仿宋" w:hAnsi="仿宋" w:eastAsia="仿宋" w:cs="仿宋"/>
          <w:b/>
          <w:color w:val="auto"/>
          <w:sz w:val="24"/>
          <w:highlight w:val="none"/>
          <w:lang w:val="en-US" w:eastAsia="zh-CN"/>
        </w:rPr>
        <w:t>四</w:t>
      </w:r>
      <w:r>
        <w:rPr>
          <w:rFonts w:hint="eastAsia" w:ascii="仿宋" w:hAnsi="仿宋" w:eastAsia="仿宋" w:cs="仿宋"/>
          <w:b/>
          <w:color w:val="auto"/>
          <w:sz w:val="24"/>
          <w:highlight w:val="none"/>
        </w:rPr>
        <w:t xml:space="preserve">条 </w:t>
      </w:r>
      <w:r>
        <w:rPr>
          <w:rFonts w:hint="eastAsia" w:ascii="仿宋" w:hAnsi="仿宋" w:eastAsia="仿宋" w:cs="仿宋"/>
          <w:b/>
          <w:color w:val="auto"/>
          <w:sz w:val="24"/>
          <w:highlight w:val="none"/>
          <w:lang w:val="zh-TW"/>
        </w:rPr>
        <w:t>违约责任</w:t>
      </w:r>
    </w:p>
    <w:p w14:paraId="384614FC">
      <w:pPr>
        <w:pStyle w:val="28"/>
        <w:keepNext w:val="0"/>
        <w:keepLines w:val="0"/>
        <w:pageBreakBefore w:val="0"/>
        <w:kinsoku/>
        <w:wordWrap/>
        <w:overflowPunct/>
        <w:topLinePunct w:val="0"/>
        <w:bidi w:val="0"/>
        <w:spacing w:line="440" w:lineRule="exact"/>
        <w:ind w:firstLine="422"/>
        <w:rPr>
          <w:rFonts w:hint="eastAsia" w:ascii="仿宋" w:hAnsi="仿宋" w:eastAsia="仿宋" w:cs="仿宋"/>
          <w:color w:val="auto"/>
          <w:sz w:val="24"/>
          <w:szCs w:val="24"/>
          <w:highlight w:val="none"/>
          <w:lang w:val="zh-TW"/>
        </w:rPr>
      </w:pPr>
      <w:r>
        <w:rPr>
          <w:rFonts w:hint="eastAsia" w:ascii="仿宋" w:hAnsi="仿宋" w:eastAsia="仿宋" w:cs="仿宋"/>
          <w:color w:val="auto"/>
          <w:sz w:val="24"/>
          <w:szCs w:val="24"/>
          <w:highlight w:val="none"/>
          <w:lang w:val="zh-TW"/>
        </w:rPr>
        <w:t>1、质量责任违约</w:t>
      </w:r>
    </w:p>
    <w:p w14:paraId="40BE846D">
      <w:pPr>
        <w:pStyle w:val="28"/>
        <w:keepNext w:val="0"/>
        <w:keepLines w:val="0"/>
        <w:pageBreakBefore w:val="0"/>
        <w:kinsoku/>
        <w:wordWrap/>
        <w:overflowPunct/>
        <w:topLinePunct w:val="0"/>
        <w:bidi w:val="0"/>
        <w:spacing w:line="440" w:lineRule="exact"/>
        <w:ind w:firstLine="422"/>
        <w:rPr>
          <w:rFonts w:hint="eastAsia" w:ascii="仿宋" w:hAnsi="仿宋" w:eastAsia="仿宋" w:cs="仿宋"/>
          <w:color w:val="auto"/>
          <w:sz w:val="24"/>
          <w:szCs w:val="24"/>
          <w:highlight w:val="none"/>
          <w:lang w:val="zh-TW"/>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zh-TW"/>
        </w:rPr>
        <w:t>在</w:t>
      </w:r>
      <w:r>
        <w:rPr>
          <w:rFonts w:hint="eastAsia" w:ascii="仿宋" w:hAnsi="仿宋" w:eastAsia="仿宋" w:cs="仿宋"/>
          <w:color w:val="auto"/>
          <w:sz w:val="24"/>
          <w:szCs w:val="24"/>
          <w:highlight w:val="none"/>
          <w:lang w:val="en-US" w:eastAsia="zh-CN"/>
        </w:rPr>
        <w:t>合同履行</w:t>
      </w:r>
      <w:r>
        <w:rPr>
          <w:rFonts w:hint="eastAsia" w:ascii="仿宋" w:hAnsi="仿宋" w:eastAsia="仿宋" w:cs="仿宋"/>
          <w:color w:val="auto"/>
          <w:sz w:val="24"/>
          <w:szCs w:val="24"/>
          <w:highlight w:val="none"/>
          <w:lang w:val="zh-TW"/>
        </w:rPr>
        <w:t>间，凡设备（含软硬件）系统在运行过程中出现问题，由乙方负责处理，直到</w:t>
      </w:r>
      <w:r>
        <w:rPr>
          <w:rFonts w:hint="eastAsia" w:ascii="仿宋" w:hAnsi="仿宋" w:eastAsia="仿宋" w:cs="仿宋"/>
          <w:color w:val="auto"/>
          <w:sz w:val="24"/>
          <w:szCs w:val="24"/>
          <w:highlight w:val="none"/>
        </w:rPr>
        <w:t>设备或</w:t>
      </w:r>
      <w:r>
        <w:rPr>
          <w:rFonts w:hint="eastAsia" w:ascii="仿宋" w:hAnsi="仿宋" w:eastAsia="仿宋" w:cs="仿宋"/>
          <w:color w:val="auto"/>
          <w:sz w:val="24"/>
          <w:szCs w:val="24"/>
          <w:highlight w:val="none"/>
          <w:lang w:val="zh-TW"/>
        </w:rPr>
        <w:t>系统恢复正常运行。乙方</w:t>
      </w:r>
      <w:r>
        <w:rPr>
          <w:rFonts w:hint="eastAsia" w:ascii="仿宋" w:hAnsi="仿宋" w:eastAsia="仿宋" w:cs="仿宋"/>
          <w:color w:val="auto"/>
          <w:sz w:val="24"/>
          <w:szCs w:val="24"/>
          <w:highlight w:val="none"/>
        </w:rPr>
        <w:t>售后服务人员</w:t>
      </w:r>
      <w:r>
        <w:rPr>
          <w:rFonts w:hint="eastAsia" w:ascii="仿宋" w:hAnsi="仿宋" w:eastAsia="仿宋" w:cs="仿宋"/>
          <w:color w:val="auto"/>
          <w:sz w:val="24"/>
          <w:szCs w:val="24"/>
          <w:highlight w:val="none"/>
          <w:lang w:val="zh-TW"/>
        </w:rPr>
        <w:t>及时在现场处理设备（含软硬件）系统所出现的故障。</w:t>
      </w:r>
    </w:p>
    <w:p w14:paraId="15F9AA66">
      <w:pPr>
        <w:pStyle w:val="28"/>
        <w:keepNext w:val="0"/>
        <w:keepLines w:val="0"/>
        <w:pageBreakBefore w:val="0"/>
        <w:kinsoku/>
        <w:wordWrap/>
        <w:overflowPunct/>
        <w:topLinePunct w:val="0"/>
        <w:bidi w:val="0"/>
        <w:spacing w:line="440" w:lineRule="exact"/>
        <w:ind w:firstLine="422"/>
        <w:rPr>
          <w:rFonts w:hint="eastAsia" w:ascii="仿宋" w:hAnsi="仿宋" w:eastAsia="仿宋" w:cs="仿宋"/>
          <w:color w:val="auto"/>
          <w:sz w:val="24"/>
          <w:szCs w:val="24"/>
          <w:highlight w:val="none"/>
          <w:lang w:val="zh-TW"/>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zh-TW"/>
        </w:rPr>
        <w:t>由于乙方维护保养方法不当造成设备（含软硬件）故障或损坏，由乙方负责，并保证及时给予更换或修复。由此所产生的一切费用由乙方承担。</w:t>
      </w:r>
    </w:p>
    <w:p w14:paraId="540A107B">
      <w:pPr>
        <w:pStyle w:val="28"/>
        <w:keepNext w:val="0"/>
        <w:keepLines w:val="0"/>
        <w:pageBreakBefore w:val="0"/>
        <w:kinsoku/>
        <w:wordWrap/>
        <w:overflowPunct/>
        <w:topLinePunct w:val="0"/>
        <w:bidi w:val="0"/>
        <w:spacing w:line="440" w:lineRule="exact"/>
        <w:ind w:firstLine="422"/>
        <w:rPr>
          <w:rFonts w:hint="eastAsia" w:ascii="仿宋" w:hAnsi="仿宋" w:eastAsia="仿宋" w:cs="仿宋"/>
          <w:color w:val="auto"/>
          <w:sz w:val="24"/>
          <w:szCs w:val="24"/>
          <w:highlight w:val="none"/>
          <w:lang w:val="zh-TW"/>
        </w:rPr>
      </w:pPr>
      <w:r>
        <w:rPr>
          <w:rFonts w:hint="eastAsia" w:ascii="仿宋" w:hAnsi="仿宋" w:eastAsia="仿宋" w:cs="仿宋"/>
          <w:color w:val="auto"/>
          <w:sz w:val="24"/>
          <w:szCs w:val="24"/>
          <w:highlight w:val="none"/>
        </w:rPr>
        <w:t xml:space="preserve"> </w:t>
      </w:r>
      <w:r>
        <w:rPr>
          <w:rFonts w:hint="eastAsia" w:ascii="仿宋" w:hAnsi="仿宋" w:eastAsia="仿宋" w:cs="仿宋"/>
          <w:bCs/>
          <w:color w:val="auto"/>
          <w:sz w:val="24"/>
          <w:szCs w:val="24"/>
          <w:highlight w:val="none"/>
        </w:rPr>
        <w:t>乙方发生不能按照服务承诺对设备(系统)进行全面检修和维护和未能在约定时限进行系统修复等情况的作违约处理。</w:t>
      </w:r>
    </w:p>
    <w:p w14:paraId="67D2A296">
      <w:pPr>
        <w:pStyle w:val="28"/>
        <w:keepNext w:val="0"/>
        <w:keepLines w:val="0"/>
        <w:pageBreakBefore w:val="0"/>
        <w:kinsoku/>
        <w:wordWrap/>
        <w:overflowPunct/>
        <w:topLinePunct w:val="0"/>
        <w:bidi w:val="0"/>
        <w:spacing w:line="440" w:lineRule="exact"/>
        <w:ind w:firstLine="422"/>
        <w:rPr>
          <w:rFonts w:hint="eastAsia" w:ascii="仿宋" w:hAnsi="仿宋" w:eastAsia="仿宋" w:cs="仿宋"/>
          <w:color w:val="auto"/>
          <w:sz w:val="24"/>
          <w:szCs w:val="24"/>
          <w:highlight w:val="none"/>
          <w:lang w:val="zh-TW"/>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TW"/>
        </w:rPr>
        <w:t>违约赔偿</w:t>
      </w:r>
    </w:p>
    <w:p w14:paraId="7BB6B306">
      <w:pPr>
        <w:pStyle w:val="28"/>
        <w:keepNext w:val="0"/>
        <w:keepLines w:val="0"/>
        <w:pageBreakBefore w:val="0"/>
        <w:kinsoku/>
        <w:wordWrap/>
        <w:overflowPunct/>
        <w:topLinePunct w:val="0"/>
        <w:bidi w:val="0"/>
        <w:spacing w:line="440" w:lineRule="exact"/>
        <w:ind w:firstLine="422"/>
        <w:rPr>
          <w:rFonts w:hint="eastAsia" w:ascii="仿宋" w:hAnsi="仿宋" w:eastAsia="仿宋" w:cs="仿宋"/>
          <w:color w:val="auto"/>
          <w:sz w:val="24"/>
          <w:szCs w:val="24"/>
          <w:highlight w:val="none"/>
          <w:lang w:val="zh-TW"/>
        </w:rPr>
      </w:pPr>
      <w:r>
        <w:rPr>
          <w:rFonts w:hint="eastAsia" w:ascii="仿宋" w:hAnsi="仿宋" w:eastAsia="仿宋" w:cs="仿宋"/>
          <w:color w:val="auto"/>
          <w:sz w:val="24"/>
          <w:szCs w:val="24"/>
          <w:highlight w:val="none"/>
          <w:lang w:val="zh-TW"/>
        </w:rPr>
        <w:t>（1）除不可抗力外，如果乙方没有按照本合同约定的期限、地点和方式交付服务成果或者实施服务，那么甲方可要求乙方支付违约金，迟延履行违约金按每迟延履行一日的应提供而未提供服务价格的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szCs w:val="24"/>
          <w:highlight w:val="none"/>
          <w:u w:val="single"/>
          <w:lang w:val="zh-TW"/>
        </w:rPr>
        <w:t>0.05 %</w:t>
      </w:r>
      <w:r>
        <w:rPr>
          <w:rFonts w:hint="eastAsia" w:ascii="仿宋" w:hAnsi="仿宋" w:eastAsia="仿宋" w:cs="仿宋"/>
          <w:color w:val="auto"/>
          <w:sz w:val="24"/>
          <w:szCs w:val="24"/>
          <w:highlight w:val="none"/>
          <w:lang w:val="zh-TW"/>
        </w:rPr>
        <w:t>计算，最高限额为本合同总价的</w:t>
      </w:r>
      <w:r>
        <w:rPr>
          <w:rFonts w:hint="eastAsia" w:ascii="仿宋" w:hAnsi="仿宋" w:eastAsia="仿宋" w:cs="仿宋"/>
          <w:color w:val="auto"/>
          <w:sz w:val="24"/>
          <w:szCs w:val="24"/>
          <w:highlight w:val="none"/>
          <w:u w:val="single"/>
          <w:lang w:val="zh-TW"/>
        </w:rPr>
        <w:t xml:space="preserve"> 20 </w:t>
      </w:r>
      <w:r>
        <w:rPr>
          <w:rFonts w:hint="eastAsia" w:ascii="仿宋" w:hAnsi="仿宋" w:eastAsia="仿宋" w:cs="仿宋"/>
          <w:color w:val="auto"/>
          <w:sz w:val="24"/>
          <w:szCs w:val="24"/>
          <w:highlight w:val="none"/>
          <w:lang w:val="zh-TW"/>
        </w:rPr>
        <w:t>%；迟延履行的违约金计算数额达到前述最高限额之日起，甲方有权在要求乙方支付违约金的同时，书面通知乙方解除本合同。</w:t>
      </w:r>
    </w:p>
    <w:p w14:paraId="50A7F9B2">
      <w:pPr>
        <w:pStyle w:val="28"/>
        <w:keepNext w:val="0"/>
        <w:keepLines w:val="0"/>
        <w:pageBreakBefore w:val="0"/>
        <w:kinsoku/>
        <w:wordWrap/>
        <w:overflowPunct/>
        <w:topLinePunct w:val="0"/>
        <w:bidi w:val="0"/>
        <w:spacing w:line="440" w:lineRule="exact"/>
        <w:ind w:firstLine="422"/>
        <w:rPr>
          <w:rFonts w:hint="eastAsia" w:ascii="仿宋" w:hAnsi="仿宋" w:eastAsia="仿宋" w:cs="仿宋"/>
          <w:color w:val="auto"/>
          <w:sz w:val="24"/>
          <w:szCs w:val="24"/>
          <w:highlight w:val="none"/>
          <w:lang w:val="zh-TW"/>
        </w:rPr>
      </w:pPr>
      <w:r>
        <w:rPr>
          <w:rFonts w:hint="eastAsia" w:ascii="仿宋" w:hAnsi="仿宋" w:eastAsia="仿宋" w:cs="仿宋"/>
          <w:color w:val="auto"/>
          <w:sz w:val="24"/>
          <w:szCs w:val="24"/>
          <w:highlight w:val="none"/>
          <w:lang w:val="zh-TW"/>
        </w:rPr>
        <w:t>（2）服务中涉及的货物，除不可抗力外，如果乙方没有按照本合同约定的期限、地点和方式交付货物，那么甲方可要求乙方支付违约金，违约金按每迟延交付货物一日的应交付而未交付货物价格的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sz w:val="24"/>
          <w:szCs w:val="24"/>
          <w:highlight w:val="none"/>
          <w:u w:val="single"/>
          <w:lang w:val="zh-TW"/>
        </w:rPr>
        <w:t xml:space="preserve"> 0.05</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zh-TW"/>
        </w:rPr>
        <w:t>%计算，最高限额为本合同总价的</w:t>
      </w:r>
      <w:r>
        <w:rPr>
          <w:rFonts w:hint="eastAsia" w:ascii="仿宋" w:hAnsi="仿宋" w:eastAsia="仿宋" w:cs="仿宋"/>
          <w:color w:val="auto"/>
          <w:sz w:val="24"/>
          <w:szCs w:val="24"/>
          <w:highlight w:val="none"/>
          <w:u w:val="single"/>
          <w:lang w:val="zh-TW"/>
        </w:rPr>
        <w:t xml:space="preserve"> 20 </w:t>
      </w:r>
      <w:r>
        <w:rPr>
          <w:rFonts w:hint="eastAsia" w:ascii="仿宋" w:hAnsi="仿宋" w:eastAsia="仿宋" w:cs="仿宋"/>
          <w:color w:val="auto"/>
          <w:sz w:val="24"/>
          <w:szCs w:val="24"/>
          <w:highlight w:val="none"/>
          <w:lang w:val="zh-TW"/>
        </w:rPr>
        <w:t>%；迟延交付货物的违约金计算数额达到前述最高限额之日起，甲方有权在要求乙方支付违约金的同时，书面通知乙方解除本合同。</w:t>
      </w:r>
    </w:p>
    <w:p w14:paraId="6862A055">
      <w:pPr>
        <w:pStyle w:val="28"/>
        <w:keepNext w:val="0"/>
        <w:keepLines w:val="0"/>
        <w:pageBreakBefore w:val="0"/>
        <w:kinsoku/>
        <w:wordWrap/>
        <w:overflowPunct/>
        <w:topLinePunct w:val="0"/>
        <w:bidi w:val="0"/>
        <w:spacing w:line="440" w:lineRule="exact"/>
        <w:ind w:firstLine="422"/>
        <w:rPr>
          <w:rFonts w:hint="eastAsia" w:ascii="仿宋" w:hAnsi="仿宋" w:eastAsia="仿宋" w:cs="仿宋"/>
          <w:color w:val="auto"/>
          <w:sz w:val="24"/>
          <w:szCs w:val="24"/>
          <w:highlight w:val="none"/>
          <w:lang w:val="zh-TW"/>
        </w:rPr>
      </w:pPr>
      <w:r>
        <w:rPr>
          <w:rFonts w:hint="eastAsia" w:ascii="仿宋" w:hAnsi="仿宋" w:eastAsia="仿宋" w:cs="仿宋"/>
          <w:color w:val="auto"/>
          <w:sz w:val="24"/>
          <w:szCs w:val="24"/>
          <w:highlight w:val="none"/>
          <w:lang w:val="zh-TW"/>
        </w:rPr>
        <w:t>（3）除不可抗力外，如果甲方没有按照本合同约定的付款方式付款，那么乙方可要求甲方支付违约金，违约金按每迟延付款一日的应付而未付款的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szCs w:val="24"/>
          <w:highlight w:val="none"/>
          <w:u w:val="single"/>
          <w:lang w:val="zh-TW"/>
        </w:rPr>
        <w:t xml:space="preserve"> 0.05 </w:t>
      </w:r>
      <w:r>
        <w:rPr>
          <w:rFonts w:hint="eastAsia" w:ascii="仿宋" w:hAnsi="仿宋" w:eastAsia="仿宋" w:cs="仿宋"/>
          <w:color w:val="auto"/>
          <w:sz w:val="24"/>
          <w:szCs w:val="24"/>
          <w:highlight w:val="none"/>
          <w:lang w:val="zh-TW"/>
        </w:rPr>
        <w:t>%计算，最高限额为本合同总价的</w:t>
      </w:r>
      <w:r>
        <w:rPr>
          <w:rFonts w:hint="eastAsia" w:ascii="仿宋" w:hAnsi="仿宋" w:eastAsia="仿宋" w:cs="仿宋"/>
          <w:color w:val="auto"/>
          <w:sz w:val="24"/>
          <w:szCs w:val="24"/>
          <w:highlight w:val="none"/>
          <w:u w:val="single"/>
          <w:lang w:val="zh-TW"/>
        </w:rPr>
        <w:t xml:space="preserve"> 20 </w:t>
      </w:r>
      <w:r>
        <w:rPr>
          <w:rFonts w:hint="eastAsia" w:ascii="仿宋" w:hAnsi="仿宋" w:eastAsia="仿宋" w:cs="仿宋"/>
          <w:color w:val="auto"/>
          <w:sz w:val="24"/>
          <w:szCs w:val="24"/>
          <w:highlight w:val="none"/>
          <w:lang w:val="zh-TW"/>
        </w:rPr>
        <w:t>%；迟延付款的违约金计算数额达到前述最高限额之日起，乙方有权在要求甲方支付违约金的同时，书面通知甲方解除本合同。</w:t>
      </w:r>
    </w:p>
    <w:p w14:paraId="57733767">
      <w:pPr>
        <w:pStyle w:val="28"/>
        <w:keepNext w:val="0"/>
        <w:keepLines w:val="0"/>
        <w:pageBreakBefore w:val="0"/>
        <w:kinsoku/>
        <w:wordWrap/>
        <w:overflowPunct/>
        <w:topLinePunct w:val="0"/>
        <w:bidi w:val="0"/>
        <w:spacing w:line="440" w:lineRule="exact"/>
        <w:ind w:firstLine="422"/>
        <w:rPr>
          <w:rFonts w:hint="eastAsia" w:ascii="仿宋" w:hAnsi="仿宋" w:eastAsia="仿宋" w:cs="仿宋"/>
          <w:color w:val="auto"/>
          <w:sz w:val="24"/>
          <w:szCs w:val="24"/>
          <w:highlight w:val="none"/>
          <w:lang w:val="zh-TW" w:eastAsia="zh-CN"/>
        </w:rPr>
      </w:pPr>
      <w:r>
        <w:rPr>
          <w:rFonts w:hint="eastAsia" w:ascii="仿宋" w:hAnsi="仿宋" w:eastAsia="仿宋" w:cs="仿宋"/>
          <w:color w:val="auto"/>
          <w:sz w:val="24"/>
          <w:szCs w:val="24"/>
          <w:highlight w:val="none"/>
          <w:lang w:val="zh-TW"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zh-TW" w:eastAsia="zh-CN"/>
        </w:rPr>
        <w:t>）</w:t>
      </w:r>
      <w:r>
        <w:rPr>
          <w:rFonts w:hint="eastAsia" w:ascii="仿宋" w:hAnsi="仿宋" w:eastAsia="仿宋" w:cs="仿宋"/>
          <w:color w:val="auto"/>
          <w:sz w:val="24"/>
          <w:szCs w:val="24"/>
          <w:highlight w:val="none"/>
          <w:lang w:val="zh-TW"/>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r>
        <w:rPr>
          <w:rFonts w:hint="eastAsia" w:ascii="仿宋" w:hAnsi="仿宋" w:eastAsia="仿宋" w:cs="仿宋"/>
          <w:color w:val="auto"/>
          <w:sz w:val="24"/>
          <w:szCs w:val="24"/>
          <w:highlight w:val="none"/>
          <w:lang w:val="zh-TW" w:eastAsia="zh-CN"/>
        </w:rPr>
        <w:t>。</w:t>
      </w:r>
    </w:p>
    <w:p w14:paraId="7704262C">
      <w:pPr>
        <w:pStyle w:val="28"/>
        <w:keepNext w:val="0"/>
        <w:keepLines w:val="0"/>
        <w:pageBreakBefore w:val="0"/>
        <w:kinsoku/>
        <w:wordWrap/>
        <w:overflowPunct/>
        <w:topLinePunct w:val="0"/>
        <w:bidi w:val="0"/>
        <w:spacing w:line="440" w:lineRule="exact"/>
        <w:ind w:firstLine="42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ACB5B24">
      <w:pPr>
        <w:pStyle w:val="28"/>
        <w:keepNext w:val="0"/>
        <w:keepLines w:val="0"/>
        <w:pageBreakBefore w:val="0"/>
        <w:kinsoku/>
        <w:wordWrap/>
        <w:overflowPunct/>
        <w:topLinePunct w:val="0"/>
        <w:bidi w:val="0"/>
        <w:spacing w:line="440" w:lineRule="exact"/>
        <w:ind w:firstLine="422"/>
        <w:rPr>
          <w:rFonts w:hint="eastAsia" w:ascii="仿宋" w:hAnsi="仿宋" w:eastAsia="仿宋" w:cs="仿宋"/>
          <w:color w:val="auto"/>
          <w:sz w:val="24"/>
          <w:szCs w:val="24"/>
          <w:highlight w:val="none"/>
          <w:lang w:val="zh-TW"/>
        </w:rPr>
      </w:pPr>
      <w:r>
        <w:rPr>
          <w:rFonts w:hint="eastAsia" w:ascii="仿宋" w:hAnsi="仿宋" w:eastAsia="仿宋" w:cs="仿宋"/>
          <w:color w:val="auto"/>
          <w:sz w:val="24"/>
          <w:szCs w:val="24"/>
          <w:highlight w:val="none"/>
          <w:lang w:val="en-US" w:eastAsia="zh-CN"/>
        </w:rPr>
        <w:t>（6）如果出现政府采购监督管理部门在处理投诉事项期间，书面通知甲方暂停采购活动的情形，或者询问或质疑事项可能影响中标或者成交结果的，导致甲方中止履行合同的情形，均不视为甲方违约</w:t>
      </w:r>
      <w:r>
        <w:rPr>
          <w:rFonts w:hint="eastAsia" w:ascii="仿宋" w:hAnsi="仿宋" w:eastAsia="仿宋" w:cs="仿宋"/>
          <w:color w:val="auto"/>
          <w:sz w:val="24"/>
          <w:szCs w:val="24"/>
          <w:highlight w:val="none"/>
          <w:lang w:val="zh-TW"/>
        </w:rPr>
        <w:t>。</w:t>
      </w:r>
    </w:p>
    <w:p w14:paraId="7EA53BCC">
      <w:pPr>
        <w:keepNext w:val="0"/>
        <w:keepLines w:val="0"/>
        <w:pageBreakBefore w:val="0"/>
        <w:kinsoku/>
        <w:wordWrap/>
        <w:overflowPunct/>
        <w:topLinePunct w:val="0"/>
        <w:bidi w:val="0"/>
        <w:spacing w:after="120" w:afterLines="50" w:line="440" w:lineRule="exact"/>
        <w:ind w:firstLine="482" w:firstLineChars="200"/>
        <w:rPr>
          <w:rFonts w:hint="eastAsia" w:ascii="仿宋" w:hAnsi="仿宋" w:eastAsia="仿宋" w:cs="仿宋"/>
          <w:b/>
          <w:color w:val="auto"/>
          <w:sz w:val="24"/>
          <w:highlight w:val="none"/>
        </w:rPr>
      </w:pPr>
      <w:bookmarkStart w:id="419" w:name="_Toc2016"/>
      <w:bookmarkStart w:id="420" w:name="_Toc1123"/>
      <w:bookmarkStart w:id="421" w:name="_Toc23323"/>
      <w:r>
        <w:rPr>
          <w:rFonts w:hint="eastAsia" w:ascii="仿宋" w:hAnsi="仿宋" w:eastAsia="仿宋" w:cs="仿宋"/>
          <w:b/>
          <w:color w:val="auto"/>
          <w:sz w:val="24"/>
          <w:highlight w:val="none"/>
          <w:lang w:val="en-US" w:eastAsia="zh-CN"/>
        </w:rPr>
        <w:t xml:space="preserve">第十五条 </w:t>
      </w:r>
      <w:r>
        <w:rPr>
          <w:rFonts w:hint="eastAsia" w:ascii="仿宋" w:hAnsi="仿宋" w:eastAsia="仿宋" w:cs="仿宋"/>
          <w:b/>
          <w:color w:val="auto"/>
          <w:sz w:val="24"/>
          <w:highlight w:val="none"/>
        </w:rPr>
        <w:t>合同中止、终止</w:t>
      </w:r>
      <w:bookmarkEnd w:id="419"/>
      <w:bookmarkEnd w:id="420"/>
      <w:bookmarkEnd w:id="421"/>
    </w:p>
    <w:p w14:paraId="1D37A21C">
      <w:pPr>
        <w:pStyle w:val="28"/>
        <w:keepNext w:val="0"/>
        <w:keepLines w:val="0"/>
        <w:pageBreakBefore w:val="0"/>
        <w:kinsoku/>
        <w:wordWrap/>
        <w:overflowPunct/>
        <w:topLinePunct w:val="0"/>
        <w:bidi w:val="0"/>
        <w:spacing w:line="440" w:lineRule="exact"/>
        <w:ind w:firstLine="42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双方当事人不得擅自中止或者终止合同；</w:t>
      </w:r>
    </w:p>
    <w:p w14:paraId="57C9E58F">
      <w:pPr>
        <w:pStyle w:val="28"/>
        <w:keepNext w:val="0"/>
        <w:keepLines w:val="0"/>
        <w:pageBreakBefore w:val="0"/>
        <w:kinsoku/>
        <w:wordWrap/>
        <w:overflowPunct/>
        <w:topLinePunct w:val="0"/>
        <w:bidi w:val="0"/>
        <w:spacing w:line="440" w:lineRule="exact"/>
        <w:ind w:firstLine="42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合同继续履行将损害国家利益和社会公共利益的，双方当事人应当中止或者终止合同。有过错的一方应当承担赔偿责任，双方当事人都有过错的，各自承担相应的责任。</w:t>
      </w:r>
    </w:p>
    <w:p w14:paraId="25B6F438">
      <w:pPr>
        <w:keepNext w:val="0"/>
        <w:keepLines w:val="0"/>
        <w:pageBreakBefore w:val="0"/>
        <w:kinsoku/>
        <w:wordWrap/>
        <w:overflowPunct/>
        <w:topLinePunct w:val="0"/>
        <w:bidi w:val="0"/>
        <w:spacing w:after="120" w:afterLines="50"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第十</w:t>
      </w:r>
      <w:r>
        <w:rPr>
          <w:rFonts w:hint="eastAsia" w:ascii="仿宋" w:hAnsi="仿宋" w:eastAsia="仿宋" w:cs="仿宋"/>
          <w:b/>
          <w:color w:val="auto"/>
          <w:sz w:val="24"/>
          <w:highlight w:val="none"/>
          <w:lang w:val="en-US" w:eastAsia="zh-CN"/>
        </w:rPr>
        <w:t>六</w:t>
      </w:r>
      <w:r>
        <w:rPr>
          <w:rFonts w:hint="eastAsia" w:ascii="仿宋" w:hAnsi="仿宋" w:eastAsia="仿宋" w:cs="仿宋"/>
          <w:b/>
          <w:color w:val="auto"/>
          <w:sz w:val="24"/>
          <w:highlight w:val="none"/>
        </w:rPr>
        <w:t xml:space="preserve">条 </w:t>
      </w:r>
      <w:r>
        <w:rPr>
          <w:rFonts w:hint="eastAsia" w:ascii="仿宋" w:hAnsi="仿宋" w:eastAsia="仿宋" w:cs="仿宋"/>
          <w:b/>
          <w:color w:val="auto"/>
          <w:sz w:val="24"/>
          <w:highlight w:val="none"/>
          <w:lang w:val="zh-TW"/>
        </w:rPr>
        <w:t>税费</w:t>
      </w:r>
    </w:p>
    <w:p w14:paraId="25E91F79">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lang w:val="zh-TW"/>
        </w:rPr>
      </w:pPr>
      <w:r>
        <w:rPr>
          <w:rFonts w:hint="eastAsia" w:ascii="仿宋" w:hAnsi="仿宋" w:eastAsia="仿宋" w:cs="仿宋"/>
          <w:color w:val="auto"/>
          <w:sz w:val="24"/>
          <w:szCs w:val="24"/>
          <w:highlight w:val="none"/>
          <w:lang w:val="zh-TW"/>
        </w:rPr>
        <w:t>本合同执行中相关的一切税费均由乙方负担。</w:t>
      </w:r>
    </w:p>
    <w:p w14:paraId="586EF43C">
      <w:pPr>
        <w:keepNext w:val="0"/>
        <w:keepLines w:val="0"/>
        <w:pageBreakBefore w:val="0"/>
        <w:kinsoku/>
        <w:wordWrap/>
        <w:overflowPunct/>
        <w:topLinePunct w:val="0"/>
        <w:bidi w:val="0"/>
        <w:spacing w:after="120" w:afterLines="50"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第十</w:t>
      </w:r>
      <w:r>
        <w:rPr>
          <w:rFonts w:hint="eastAsia" w:ascii="仿宋" w:hAnsi="仿宋" w:eastAsia="仿宋" w:cs="仿宋"/>
          <w:b/>
          <w:color w:val="auto"/>
          <w:sz w:val="24"/>
          <w:highlight w:val="none"/>
          <w:lang w:val="en-US" w:eastAsia="zh-CN"/>
        </w:rPr>
        <w:t>七</w:t>
      </w:r>
      <w:r>
        <w:rPr>
          <w:rFonts w:hint="eastAsia" w:ascii="仿宋" w:hAnsi="仿宋" w:eastAsia="仿宋" w:cs="仿宋"/>
          <w:b/>
          <w:color w:val="auto"/>
          <w:sz w:val="24"/>
          <w:highlight w:val="none"/>
        </w:rPr>
        <w:t xml:space="preserve">条 </w:t>
      </w:r>
      <w:r>
        <w:rPr>
          <w:rFonts w:hint="eastAsia" w:ascii="仿宋" w:hAnsi="仿宋" w:eastAsia="仿宋" w:cs="仿宋"/>
          <w:b/>
          <w:color w:val="auto"/>
          <w:sz w:val="24"/>
          <w:highlight w:val="none"/>
          <w:lang w:val="zh-TW"/>
        </w:rPr>
        <w:t>不可抗力事件处理</w:t>
      </w:r>
    </w:p>
    <w:p w14:paraId="31C0AF0D">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lang w:val="zh-TW"/>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TW"/>
        </w:rPr>
        <w:t>如果任何一方遭遇法律规定的不可抗力，致使合同履行受阻时，履行合同的期限应予延长，延长的期限应相当于不可抗力所影响的时间；</w:t>
      </w:r>
    </w:p>
    <w:p w14:paraId="5F44C3A1">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lang w:val="zh-TW"/>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TW"/>
        </w:rPr>
        <w:t>因不可抗力致使不能实现合同目的的，当事人可以解除合同；</w:t>
      </w:r>
    </w:p>
    <w:p w14:paraId="6E685B2E">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lang w:val="zh-TW"/>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zh-TW"/>
        </w:rPr>
        <w:t>因不可抗力致使合同有变更必要的，双方当事人应在</w:t>
      </w:r>
      <w:r>
        <w:rPr>
          <w:rFonts w:hint="eastAsia" w:ascii="仿宋" w:hAnsi="仿宋" w:eastAsia="仿宋" w:cs="仿宋"/>
          <w:color w:val="auto"/>
          <w:sz w:val="24"/>
          <w:szCs w:val="24"/>
          <w:highlight w:val="none"/>
          <w:u w:val="single"/>
          <w:lang w:val="en-US" w:eastAsia="zh-CN"/>
        </w:rPr>
        <w:t xml:space="preserve">   天 </w:t>
      </w:r>
      <w:r>
        <w:rPr>
          <w:rFonts w:hint="eastAsia" w:ascii="仿宋" w:hAnsi="仿宋" w:eastAsia="仿宋" w:cs="仿宋"/>
          <w:color w:val="auto"/>
          <w:sz w:val="24"/>
          <w:szCs w:val="24"/>
          <w:highlight w:val="none"/>
          <w:lang w:val="zh-TW"/>
        </w:rPr>
        <w:t>内以书面形式变更合同；</w:t>
      </w:r>
    </w:p>
    <w:p w14:paraId="1FA40EE1">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lang w:val="zh-TW"/>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zh-TW"/>
        </w:rPr>
        <w:t>受不可抗力影响的一方在不可抗力发生后，应在合同</w:t>
      </w:r>
      <w:r>
        <w:rPr>
          <w:rFonts w:hint="eastAsia" w:ascii="仿宋" w:hAnsi="仿宋" w:eastAsia="仿宋" w:cs="仿宋"/>
          <w:color w:val="auto"/>
          <w:sz w:val="24"/>
          <w:szCs w:val="24"/>
          <w:highlight w:val="none"/>
          <w:u w:val="single"/>
          <w:lang w:val="en-US" w:eastAsia="zh-CN"/>
        </w:rPr>
        <w:t xml:space="preserve">   天 </w:t>
      </w:r>
      <w:r>
        <w:rPr>
          <w:rFonts w:hint="eastAsia" w:ascii="仿宋" w:hAnsi="仿宋" w:eastAsia="仿宋" w:cs="仿宋"/>
          <w:color w:val="auto"/>
          <w:sz w:val="24"/>
          <w:szCs w:val="24"/>
          <w:highlight w:val="none"/>
          <w:lang w:val="zh-TW"/>
        </w:rPr>
        <w:t>内以书面形式通知对方当事人，并在合同专用条款约定时间内，将有关部门出具的证明文件送达对方当事人。</w:t>
      </w:r>
    </w:p>
    <w:p w14:paraId="40AD84B9">
      <w:pPr>
        <w:keepNext w:val="0"/>
        <w:keepLines w:val="0"/>
        <w:pageBreakBefore w:val="0"/>
        <w:kinsoku/>
        <w:wordWrap/>
        <w:overflowPunct/>
        <w:topLinePunct w:val="0"/>
        <w:bidi w:val="0"/>
        <w:spacing w:after="120" w:afterLines="50"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第十</w:t>
      </w:r>
      <w:r>
        <w:rPr>
          <w:rFonts w:hint="eastAsia" w:ascii="仿宋" w:hAnsi="仿宋" w:eastAsia="仿宋" w:cs="仿宋"/>
          <w:b/>
          <w:color w:val="auto"/>
          <w:sz w:val="24"/>
          <w:highlight w:val="none"/>
          <w:lang w:val="en-US" w:eastAsia="zh-CN"/>
        </w:rPr>
        <w:t>八</w:t>
      </w:r>
      <w:r>
        <w:rPr>
          <w:rFonts w:hint="eastAsia" w:ascii="仿宋" w:hAnsi="仿宋" w:eastAsia="仿宋" w:cs="仿宋"/>
          <w:b/>
          <w:color w:val="auto"/>
          <w:sz w:val="24"/>
          <w:highlight w:val="none"/>
        </w:rPr>
        <w:t>条 争议解决</w:t>
      </w:r>
    </w:p>
    <w:p w14:paraId="13C8C423">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lang w:val="zh-TW"/>
        </w:rPr>
      </w:pPr>
      <w:r>
        <w:rPr>
          <w:rFonts w:hint="eastAsia" w:ascii="仿宋" w:hAnsi="仿宋" w:eastAsia="仿宋" w:cs="仿宋"/>
          <w:color w:val="auto"/>
          <w:sz w:val="24"/>
          <w:szCs w:val="24"/>
          <w:highlight w:val="none"/>
        </w:rPr>
        <w:t>本合同履行过程中发生的任何争议，双方当事人均可通过和解或者调解解决；不愿和解、调解或者和解、调解不成的，可向甲方所在地人民法院起诉</w:t>
      </w:r>
      <w:r>
        <w:rPr>
          <w:rFonts w:hint="eastAsia" w:ascii="仿宋" w:hAnsi="仿宋" w:eastAsia="仿宋" w:cs="仿宋"/>
          <w:color w:val="auto"/>
          <w:sz w:val="24"/>
          <w:szCs w:val="24"/>
          <w:highlight w:val="none"/>
          <w:lang w:val="zh-TW"/>
        </w:rPr>
        <w:t>。</w:t>
      </w:r>
    </w:p>
    <w:p w14:paraId="144AFE2F">
      <w:pPr>
        <w:keepNext w:val="0"/>
        <w:keepLines w:val="0"/>
        <w:pageBreakBefore w:val="0"/>
        <w:kinsoku/>
        <w:wordWrap/>
        <w:overflowPunct/>
        <w:topLinePunct w:val="0"/>
        <w:bidi w:val="0"/>
        <w:spacing w:after="120" w:afterLines="50"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第十</w:t>
      </w:r>
      <w:r>
        <w:rPr>
          <w:rFonts w:hint="eastAsia" w:ascii="仿宋" w:hAnsi="仿宋" w:eastAsia="仿宋" w:cs="仿宋"/>
          <w:b/>
          <w:color w:val="auto"/>
          <w:sz w:val="24"/>
          <w:highlight w:val="none"/>
          <w:lang w:val="en-US" w:eastAsia="zh-CN"/>
        </w:rPr>
        <w:t>九</w:t>
      </w:r>
      <w:r>
        <w:rPr>
          <w:rFonts w:hint="eastAsia" w:ascii="仿宋" w:hAnsi="仿宋" w:eastAsia="仿宋" w:cs="仿宋"/>
          <w:b/>
          <w:color w:val="auto"/>
          <w:sz w:val="24"/>
          <w:highlight w:val="none"/>
        </w:rPr>
        <w:t xml:space="preserve">条 </w:t>
      </w:r>
      <w:r>
        <w:rPr>
          <w:rFonts w:hint="eastAsia" w:ascii="仿宋" w:hAnsi="仿宋" w:eastAsia="仿宋" w:cs="仿宋"/>
          <w:b/>
          <w:color w:val="auto"/>
          <w:sz w:val="24"/>
          <w:highlight w:val="none"/>
          <w:lang w:val="zh-TW"/>
        </w:rPr>
        <w:t>合同的生效</w:t>
      </w:r>
    </w:p>
    <w:p w14:paraId="69BF2495">
      <w:pPr>
        <w:pStyle w:val="28"/>
        <w:keepNext w:val="0"/>
        <w:keepLines w:val="0"/>
        <w:pageBreakBefore w:val="0"/>
        <w:kinsoku/>
        <w:wordWrap/>
        <w:overflowPunct/>
        <w:topLinePunct w:val="0"/>
        <w:bidi w:val="0"/>
        <w:spacing w:line="440" w:lineRule="exact"/>
        <w:ind w:firstLine="42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TW"/>
        </w:rPr>
        <w:t>合同经双方法定代表人或授权委托代理人签字并加盖单位公章后生效。</w:t>
      </w:r>
    </w:p>
    <w:p w14:paraId="6B89A526">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TW"/>
        </w:rPr>
        <w:t>合同执行中涉及采购资金和采购内容修改或补充的，签书面补充协议，方可作为主合同不可分割的一部分。</w:t>
      </w:r>
    </w:p>
    <w:p w14:paraId="30402C64">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zh-TW"/>
        </w:rPr>
        <w:t>本合同未尽事宜，遵照《</w:t>
      </w:r>
      <w:r>
        <w:rPr>
          <w:rFonts w:hint="eastAsia" w:ascii="仿宋" w:hAnsi="仿宋" w:eastAsia="仿宋" w:cs="仿宋"/>
          <w:color w:val="auto"/>
          <w:sz w:val="24"/>
          <w:szCs w:val="24"/>
          <w:highlight w:val="none"/>
        </w:rPr>
        <w:t>民法典</w:t>
      </w:r>
      <w:r>
        <w:rPr>
          <w:rFonts w:hint="eastAsia" w:ascii="仿宋" w:hAnsi="仿宋" w:eastAsia="仿宋" w:cs="仿宋"/>
          <w:color w:val="auto"/>
          <w:sz w:val="24"/>
          <w:szCs w:val="24"/>
          <w:highlight w:val="none"/>
          <w:lang w:val="zh-TW"/>
        </w:rPr>
        <w:t>》有关条文执行。</w:t>
      </w:r>
    </w:p>
    <w:p w14:paraId="4BAD0C81">
      <w:pPr>
        <w:pStyle w:val="28"/>
        <w:keepNext w:val="0"/>
        <w:keepLines w:val="0"/>
        <w:pageBreakBefore w:val="0"/>
        <w:kinsoku/>
        <w:wordWrap/>
        <w:overflowPunct/>
        <w:topLinePunct w:val="0"/>
        <w:bidi w:val="0"/>
        <w:spacing w:line="440" w:lineRule="exact"/>
        <w:ind w:firstLine="420"/>
        <w:rPr>
          <w:rFonts w:ascii="仿宋" w:hAnsi="仿宋" w:eastAsia="仿宋" w:cs="仿宋"/>
          <w:color w:val="auto"/>
          <w:sz w:val="24"/>
          <w:szCs w:val="24"/>
          <w:highlight w:val="none"/>
          <w:lang w:val="zh-TW"/>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zh-TW"/>
        </w:rPr>
        <w:t>本合同正本一式   份，具有同等法律效力，甲乙双方各执  份。</w:t>
      </w:r>
    </w:p>
    <w:p w14:paraId="00FCFDD3">
      <w:pPr>
        <w:pStyle w:val="21"/>
        <w:rPr>
          <w:rFonts w:hint="eastAsia"/>
          <w:color w:val="auto"/>
          <w:highlight w:val="none"/>
        </w:rPr>
      </w:pPr>
    </w:p>
    <w:tbl>
      <w:tblPr>
        <w:tblStyle w:val="23"/>
        <w:tblW w:w="86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24"/>
        <w:gridCol w:w="4455"/>
      </w:tblGrid>
      <w:tr w14:paraId="427722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5" w:hRule="atLeast"/>
          <w:jc w:val="center"/>
        </w:trPr>
        <w:tc>
          <w:tcPr>
            <w:tcW w:w="4224" w:type="dxa"/>
            <w:noWrap w:val="0"/>
            <w:vAlign w:val="top"/>
          </w:tcPr>
          <w:p w14:paraId="3FD18559">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甲方（公章）：</w:t>
            </w:r>
          </w:p>
          <w:p w14:paraId="2762BD1B">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w:t>
            </w:r>
          </w:p>
          <w:p w14:paraId="607353FE">
            <w:pPr>
              <w:snapToGrid w:val="0"/>
              <w:spacing w:line="360" w:lineRule="auto"/>
              <w:rPr>
                <w:rFonts w:ascii="仿宋" w:hAnsi="仿宋" w:eastAsia="仿宋" w:cs="仿宋"/>
                <w:color w:val="auto"/>
                <w:sz w:val="24"/>
                <w:highlight w:val="none"/>
              </w:rPr>
            </w:pPr>
          </w:p>
          <w:p w14:paraId="03B0CA69">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法定（授权）代表人：  </w:t>
            </w:r>
          </w:p>
          <w:p w14:paraId="082B0A08">
            <w:pPr>
              <w:snapToGrid w:val="0"/>
              <w:spacing w:line="360" w:lineRule="auto"/>
              <w:rPr>
                <w:rFonts w:ascii="仿宋" w:hAnsi="仿宋" w:eastAsia="仿宋" w:cs="仿宋"/>
                <w:color w:val="auto"/>
                <w:sz w:val="24"/>
                <w:highlight w:val="none"/>
              </w:rPr>
            </w:pPr>
          </w:p>
          <w:p w14:paraId="41EF4C0A">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年  月  日   </w:t>
            </w:r>
          </w:p>
        </w:tc>
        <w:tc>
          <w:tcPr>
            <w:tcW w:w="4455" w:type="dxa"/>
            <w:noWrap w:val="0"/>
            <w:vAlign w:val="top"/>
          </w:tcPr>
          <w:p w14:paraId="1AE72225">
            <w:pPr>
              <w:snapToGrid w:val="0"/>
              <w:spacing w:line="360" w:lineRule="auto"/>
              <w:ind w:left="480" w:hanging="480" w:hangingChars="200"/>
              <w:rPr>
                <w:rFonts w:ascii="仿宋" w:hAnsi="仿宋" w:eastAsia="仿宋" w:cs="仿宋"/>
                <w:color w:val="auto"/>
                <w:sz w:val="24"/>
                <w:highlight w:val="none"/>
              </w:rPr>
            </w:pPr>
            <w:r>
              <w:rPr>
                <w:rFonts w:hint="eastAsia" w:ascii="仿宋" w:hAnsi="仿宋" w:eastAsia="仿宋" w:cs="仿宋"/>
                <w:color w:val="auto"/>
                <w:sz w:val="24"/>
                <w:highlight w:val="none"/>
              </w:rPr>
              <w:t>乙方（公章）：</w:t>
            </w:r>
          </w:p>
          <w:p w14:paraId="7DA81488">
            <w:pPr>
              <w:snapToGrid w:val="0"/>
              <w:spacing w:line="360" w:lineRule="auto"/>
              <w:ind w:left="480" w:hanging="480" w:hangingChars="200"/>
              <w:rPr>
                <w:rFonts w:ascii="仿宋" w:hAnsi="仿宋" w:eastAsia="仿宋" w:cs="仿宋"/>
                <w:color w:val="auto"/>
                <w:sz w:val="24"/>
                <w:highlight w:val="none"/>
              </w:rPr>
            </w:pPr>
            <w:r>
              <w:rPr>
                <w:rFonts w:hint="eastAsia" w:ascii="仿宋" w:hAnsi="仿宋" w:eastAsia="仿宋" w:cs="仿宋"/>
                <w:color w:val="auto"/>
                <w:sz w:val="24"/>
                <w:highlight w:val="none"/>
              </w:rPr>
              <w:t>地址：</w:t>
            </w:r>
          </w:p>
          <w:p w14:paraId="22DF6AB6">
            <w:pPr>
              <w:snapToGrid w:val="0"/>
              <w:spacing w:line="360" w:lineRule="auto"/>
              <w:rPr>
                <w:rFonts w:ascii="仿宋" w:hAnsi="仿宋" w:eastAsia="仿宋" w:cs="仿宋"/>
                <w:color w:val="auto"/>
                <w:sz w:val="24"/>
                <w:highlight w:val="none"/>
              </w:rPr>
            </w:pPr>
          </w:p>
          <w:p w14:paraId="4059870F">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法定（授权）代表人：</w:t>
            </w:r>
          </w:p>
          <w:p w14:paraId="2100A631">
            <w:pPr>
              <w:snapToGrid w:val="0"/>
              <w:spacing w:line="360" w:lineRule="auto"/>
              <w:rPr>
                <w:rFonts w:ascii="仿宋" w:hAnsi="仿宋" w:eastAsia="仿宋" w:cs="仿宋"/>
                <w:color w:val="auto"/>
                <w:sz w:val="24"/>
                <w:highlight w:val="none"/>
              </w:rPr>
            </w:pPr>
          </w:p>
          <w:p w14:paraId="684B5926">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tc>
      </w:tr>
    </w:tbl>
    <w:p w14:paraId="7239689D">
      <w:pPr>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308B6CDC">
      <w:pPr>
        <w:pStyle w:val="2"/>
        <w:rPr>
          <w:rFonts w:hint="eastAsia" w:ascii="仿宋" w:hAnsi="仿宋" w:eastAsia="仿宋" w:cs="仿宋"/>
          <w:b/>
          <w:color w:val="auto"/>
          <w:sz w:val="24"/>
          <w:highlight w:val="none"/>
        </w:rPr>
      </w:pPr>
    </w:p>
    <w:p w14:paraId="0C99D4A0">
      <w:pPr>
        <w:widowControl/>
        <w:adjustRightInd/>
        <w:jc w:val="left"/>
        <w:rPr>
          <w:rFonts w:ascii="仿宋" w:hAnsi="仿宋" w:eastAsia="仿宋" w:cs="仿宋"/>
          <w:b/>
          <w:color w:val="auto"/>
          <w:szCs w:val="24"/>
          <w:highlight w:val="non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6D189A15">
      <w:pPr>
        <w:pStyle w:val="32"/>
        <w:spacing w:line="240" w:lineRule="auto"/>
        <w:ind w:left="0" w:leftChars="0" w:firstLine="0" w:firstLineChars="0"/>
        <w:jc w:val="center"/>
        <w:outlineLvl w:val="9"/>
        <w:rPr>
          <w:rFonts w:hint="eastAsia" w:ascii="仿宋" w:hAnsi="仿宋" w:eastAsia="仿宋" w:cs="仿宋"/>
          <w:b/>
          <w:color w:val="auto"/>
          <w:sz w:val="30"/>
          <w:szCs w:val="30"/>
          <w:highlight w:val="none"/>
        </w:rPr>
      </w:pPr>
    </w:p>
    <w:p w14:paraId="416D2CF9">
      <w:pPr>
        <w:pStyle w:val="32"/>
        <w:spacing w:line="240" w:lineRule="auto"/>
        <w:ind w:left="0" w:leftChars="0" w:firstLine="0" w:firstLineChars="0"/>
        <w:jc w:val="center"/>
        <w:outlineLvl w:val="2"/>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采购合同</w:t>
      </w:r>
    </w:p>
    <w:p w14:paraId="281A02AE">
      <w:pPr>
        <w:tabs>
          <w:tab w:val="left" w:pos="432"/>
        </w:tabs>
        <w:rPr>
          <w:rFonts w:ascii="仿宋" w:hAnsi="仿宋" w:eastAsia="仿宋" w:cs="仿宋"/>
          <w:color w:val="auto"/>
          <w:sz w:val="24"/>
          <w:highlight w:val="none"/>
        </w:rPr>
      </w:pPr>
    </w:p>
    <w:p w14:paraId="4828002A">
      <w:pPr>
        <w:spacing w:before="120" w:line="22" w:lineRule="atLeast"/>
        <w:ind w:left="960"/>
        <w:rPr>
          <w:rFonts w:ascii="仿宋" w:hAnsi="仿宋" w:eastAsia="仿宋" w:cs="仿宋"/>
          <w:color w:val="auto"/>
          <w:sz w:val="24"/>
          <w:highlight w:val="none"/>
        </w:rPr>
      </w:pPr>
    </w:p>
    <w:p w14:paraId="3F07ED2F">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“清净”拱墅多污染协同管控工程建设项目 </w:t>
      </w:r>
    </w:p>
    <w:p w14:paraId="22DD56CF">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en-US" w:eastAsia="zh-CN"/>
        </w:rPr>
        <w:t>标项</w:t>
      </w: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u w:val="single"/>
        </w:rPr>
        <w:t xml:space="preserve"> </w:t>
      </w:r>
      <w:r>
        <w:rPr>
          <w:rFonts w:hint="eastAsia" w:ascii="仿宋" w:hAnsi="仿宋" w:eastAsia="仿宋" w:cs="Arial"/>
          <w:b w:val="0"/>
          <w:bCs/>
          <w:color w:val="auto"/>
          <w:sz w:val="24"/>
          <w:highlight w:val="none"/>
          <w:u w:val="single"/>
        </w:rPr>
        <w:t>“清净”拱墅</w:t>
      </w:r>
      <w:r>
        <w:rPr>
          <w:rFonts w:hint="eastAsia" w:ascii="仿宋" w:hAnsi="仿宋" w:eastAsia="仿宋" w:cs="Arial"/>
          <w:b w:val="0"/>
          <w:bCs/>
          <w:color w:val="auto"/>
          <w:sz w:val="24"/>
          <w:highlight w:val="none"/>
          <w:u w:val="single"/>
          <w:lang w:val="en-US" w:eastAsia="zh-CN"/>
        </w:rPr>
        <w:t>环境空气</w:t>
      </w:r>
      <w:r>
        <w:rPr>
          <w:rFonts w:hint="eastAsia" w:ascii="仿宋" w:hAnsi="仿宋" w:eastAsia="仿宋" w:cs="Arial"/>
          <w:b w:val="0"/>
          <w:bCs/>
          <w:color w:val="auto"/>
          <w:sz w:val="24"/>
          <w:highlight w:val="none"/>
          <w:u w:val="single"/>
          <w:lang w:eastAsia="zh-CN"/>
        </w:rPr>
        <w:t>污染</w:t>
      </w:r>
      <w:r>
        <w:rPr>
          <w:rFonts w:hint="eastAsia" w:ascii="仿宋" w:hAnsi="仿宋" w:eastAsia="仿宋" w:cs="Arial"/>
          <w:b w:val="0"/>
          <w:bCs/>
          <w:color w:val="auto"/>
          <w:sz w:val="24"/>
          <w:highlight w:val="none"/>
          <w:u w:val="single"/>
          <w:lang w:val="en-US" w:eastAsia="zh-CN"/>
        </w:rPr>
        <w:t>源</w:t>
      </w:r>
      <w:r>
        <w:rPr>
          <w:rFonts w:hint="eastAsia" w:ascii="仿宋" w:hAnsi="仿宋" w:eastAsia="仿宋" w:cs="Arial"/>
          <w:b w:val="0"/>
          <w:bCs/>
          <w:color w:val="auto"/>
          <w:sz w:val="24"/>
          <w:highlight w:val="none"/>
          <w:u w:val="single"/>
          <w:lang w:eastAsia="zh-CN"/>
        </w:rPr>
        <w:t>治理服务</w:t>
      </w:r>
      <w:r>
        <w:rPr>
          <w:rFonts w:hint="eastAsia" w:ascii="仿宋" w:hAnsi="仿宋" w:eastAsia="仿宋" w:cs="仿宋"/>
          <w:color w:val="auto"/>
          <w:sz w:val="24"/>
          <w:highlight w:val="none"/>
          <w:u w:val="single"/>
        </w:rPr>
        <w:t xml:space="preserve"> </w:t>
      </w:r>
    </w:p>
    <w:p w14:paraId="24BAF8F6">
      <w:pPr>
        <w:pStyle w:val="13"/>
        <w:rPr>
          <w:rFonts w:eastAsia="仿宋"/>
          <w:color w:val="auto"/>
          <w:highlight w:val="none"/>
        </w:rPr>
      </w:pPr>
    </w:p>
    <w:p w14:paraId="7CFF7C3E">
      <w:pPr>
        <w:pStyle w:val="33"/>
        <w:spacing w:before="120" w:line="22" w:lineRule="atLeast"/>
        <w:rPr>
          <w:rFonts w:ascii="仿宋" w:hAnsi="仿宋" w:eastAsia="仿宋" w:cs="仿宋"/>
          <w:color w:val="auto"/>
          <w:szCs w:val="24"/>
          <w:highlight w:val="none"/>
        </w:rPr>
      </w:pPr>
    </w:p>
    <w:p w14:paraId="597B2687">
      <w:pPr>
        <w:rPr>
          <w:rFonts w:ascii="仿宋" w:hAnsi="仿宋" w:eastAsia="仿宋" w:cs="仿宋"/>
          <w:color w:val="auto"/>
          <w:sz w:val="24"/>
          <w:highlight w:val="none"/>
        </w:rPr>
      </w:pPr>
    </w:p>
    <w:p w14:paraId="7AC9330C">
      <w:pPr>
        <w:spacing w:before="120" w:line="22" w:lineRule="atLeast"/>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0D7FB452">
      <w:pPr>
        <w:spacing w:before="120" w:line="22" w:lineRule="atLeast"/>
        <w:rPr>
          <w:rFonts w:ascii="仿宋" w:hAnsi="仿宋" w:eastAsia="仿宋" w:cs="仿宋"/>
          <w:color w:val="auto"/>
          <w:sz w:val="24"/>
          <w:highlight w:val="none"/>
        </w:rPr>
      </w:pPr>
    </w:p>
    <w:p w14:paraId="706D3040">
      <w:pPr>
        <w:spacing w:before="120" w:line="22" w:lineRule="atLeast"/>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72B7F59C">
      <w:pPr>
        <w:spacing w:before="120" w:line="22" w:lineRule="atLeast"/>
        <w:rPr>
          <w:rFonts w:ascii="仿宋" w:hAnsi="仿宋" w:eastAsia="仿宋" w:cs="仿宋"/>
          <w:color w:val="auto"/>
          <w:sz w:val="24"/>
          <w:highlight w:val="none"/>
        </w:rPr>
      </w:pPr>
    </w:p>
    <w:p w14:paraId="70A40724">
      <w:pPr>
        <w:spacing w:before="120" w:line="22" w:lineRule="atLeast"/>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340523A4">
      <w:pPr>
        <w:spacing w:before="120" w:line="22" w:lineRule="atLeast"/>
        <w:rPr>
          <w:rFonts w:ascii="仿宋" w:hAnsi="仿宋" w:eastAsia="仿宋" w:cs="仿宋"/>
          <w:color w:val="auto"/>
          <w:sz w:val="24"/>
          <w:highlight w:val="none"/>
        </w:rPr>
      </w:pPr>
    </w:p>
    <w:p w14:paraId="30A4E250">
      <w:pPr>
        <w:spacing w:before="120" w:line="22" w:lineRule="atLeast"/>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78D59029">
      <w:pPr>
        <w:widowControl/>
        <w:jc w:val="left"/>
        <w:rPr>
          <w:rFonts w:ascii="仿宋" w:hAnsi="仿宋" w:eastAsia="仿宋" w:cs="仿宋"/>
          <w:color w:val="auto"/>
          <w:kern w:val="0"/>
          <w:sz w:val="24"/>
          <w:highlight w:val="none"/>
        </w:rPr>
        <w:sectPr>
          <w:headerReference r:id="rId8" w:type="default"/>
          <w:footerReference r:id="rId9" w:type="default"/>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sectPr>
      </w:pPr>
    </w:p>
    <w:p w14:paraId="0CC0C4B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推荐，确定</w:t>
      </w:r>
      <w:r>
        <w:rPr>
          <w:rFonts w:hint="eastAsia" w:ascii="仿宋" w:hAnsi="仿宋" w:eastAsia="仿宋" w:cs="仿宋"/>
          <w:color w:val="auto"/>
          <w:sz w:val="24"/>
          <w:highlight w:val="none"/>
          <w:u w:val="single"/>
        </w:rPr>
        <w:t xml:space="preserve">   （中标供应商名称） </w:t>
      </w:r>
      <w:r>
        <w:rPr>
          <w:rFonts w:hint="eastAsia" w:ascii="仿宋" w:hAnsi="仿宋" w:eastAsia="仿宋" w:cs="仿宋"/>
          <w:color w:val="auto"/>
          <w:sz w:val="24"/>
          <w:highlight w:val="none"/>
        </w:rPr>
        <w:t>为该项目</w:t>
      </w:r>
      <w:r>
        <w:rPr>
          <w:rFonts w:hint="eastAsia" w:ascii="仿宋" w:hAnsi="仿宋" w:eastAsia="仿宋" w:cs="仿宋"/>
          <w:color w:val="auto"/>
          <w:sz w:val="24"/>
          <w:highlight w:val="none"/>
          <w:u w:val="single"/>
        </w:rPr>
        <w:t xml:space="preserve">       （标项名称）</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标项二</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rPr>
        <w:t>的中标供应商。</w:t>
      </w:r>
    </w:p>
    <w:p w14:paraId="31159EFD">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24F96372">
      <w:pPr>
        <w:spacing w:line="560" w:lineRule="exact"/>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第一条 合同组成部分</w:t>
      </w:r>
    </w:p>
    <w:p w14:paraId="4C0617F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F567D7E">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ascii="仿宋" w:hAnsi="仿宋" w:eastAsia="仿宋" w:cs="仿宋"/>
          <w:color w:val="auto"/>
          <w:sz w:val="24"/>
          <w:highlight w:val="none"/>
        </w:rPr>
        <w:t>、</w:t>
      </w:r>
      <w:r>
        <w:rPr>
          <w:rFonts w:hint="eastAsia" w:ascii="仿宋" w:hAnsi="仿宋" w:eastAsia="仿宋" w:cs="仿宋"/>
          <w:color w:val="auto"/>
          <w:sz w:val="24"/>
          <w:highlight w:val="none"/>
        </w:rPr>
        <w:t>本合同及其补充合同、变更协议；</w:t>
      </w:r>
    </w:p>
    <w:p w14:paraId="3823A4F3">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ascii="仿宋" w:hAnsi="仿宋" w:eastAsia="仿宋" w:cs="仿宋"/>
          <w:color w:val="auto"/>
          <w:sz w:val="24"/>
          <w:highlight w:val="none"/>
        </w:rPr>
        <w:t>、</w:t>
      </w:r>
      <w:r>
        <w:rPr>
          <w:rFonts w:hint="eastAsia" w:ascii="仿宋" w:hAnsi="仿宋" w:eastAsia="仿宋" w:cs="仿宋"/>
          <w:color w:val="auto"/>
          <w:sz w:val="24"/>
          <w:highlight w:val="none"/>
        </w:rPr>
        <w:t>中标通知书；</w:t>
      </w:r>
    </w:p>
    <w:p w14:paraId="5131411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w:t>
      </w:r>
      <w:r>
        <w:rPr>
          <w:rFonts w:ascii="仿宋" w:hAnsi="仿宋" w:eastAsia="仿宋" w:cs="仿宋"/>
          <w:color w:val="auto"/>
          <w:sz w:val="24"/>
          <w:highlight w:val="none"/>
        </w:rPr>
        <w:t>、</w:t>
      </w:r>
      <w:r>
        <w:rPr>
          <w:rFonts w:hint="eastAsia" w:ascii="仿宋" w:hAnsi="仿宋" w:eastAsia="仿宋" w:cs="仿宋"/>
          <w:color w:val="auto"/>
          <w:sz w:val="24"/>
          <w:highlight w:val="none"/>
        </w:rPr>
        <w:t>投标文件（含澄清或者说明文件）；</w:t>
      </w:r>
    </w:p>
    <w:p w14:paraId="6973F08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w:t>
      </w:r>
      <w:r>
        <w:rPr>
          <w:rFonts w:ascii="仿宋" w:hAnsi="仿宋" w:eastAsia="仿宋" w:cs="仿宋"/>
          <w:color w:val="auto"/>
          <w:sz w:val="24"/>
          <w:highlight w:val="none"/>
        </w:rPr>
        <w:t>、</w:t>
      </w:r>
      <w:r>
        <w:rPr>
          <w:rFonts w:hint="eastAsia" w:ascii="仿宋" w:hAnsi="仿宋" w:eastAsia="仿宋" w:cs="仿宋"/>
          <w:color w:val="auto"/>
          <w:sz w:val="24"/>
          <w:highlight w:val="none"/>
        </w:rPr>
        <w:t>采购文件（含澄清或者修改文件）；</w:t>
      </w:r>
    </w:p>
    <w:p w14:paraId="46AFB73E">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w:t>
      </w:r>
      <w:r>
        <w:rPr>
          <w:rFonts w:ascii="仿宋" w:hAnsi="仿宋" w:eastAsia="仿宋" w:cs="仿宋"/>
          <w:color w:val="auto"/>
          <w:sz w:val="24"/>
          <w:highlight w:val="none"/>
        </w:rPr>
        <w:t>、</w:t>
      </w:r>
      <w:r>
        <w:rPr>
          <w:rFonts w:hint="eastAsia" w:ascii="仿宋" w:hAnsi="仿宋" w:eastAsia="仿宋" w:cs="仿宋"/>
          <w:color w:val="auto"/>
          <w:sz w:val="24"/>
          <w:highlight w:val="none"/>
        </w:rPr>
        <w:t>其他相关采购文件。</w:t>
      </w:r>
    </w:p>
    <w:p w14:paraId="01C2A9C4">
      <w:pPr>
        <w:keepNext w:val="0"/>
        <w:keepLines w:val="0"/>
        <w:pageBreakBefore w:val="0"/>
        <w:kinsoku/>
        <w:wordWrap/>
        <w:overflowPunct/>
        <w:topLinePunct w:val="0"/>
        <w:bidi w:val="0"/>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第二条 项目内容</w:t>
      </w:r>
    </w:p>
    <w:p w14:paraId="7B187318">
      <w:pPr>
        <w:pStyle w:val="2"/>
        <w:keepNext w:val="0"/>
        <w:keepLines w:val="0"/>
        <w:pageBreakBefore w:val="0"/>
        <w:widowControl w:val="0"/>
        <w:kinsoku/>
        <w:wordWrap/>
        <w:overflowPunct/>
        <w:topLinePunct w:val="0"/>
        <w:autoSpaceDE/>
        <w:autoSpaceDN/>
        <w:bidi w:val="0"/>
        <w:adjustRightInd w:val="0"/>
        <w:snapToGrid/>
        <w:spacing w:before="157" w:beforeLines="50" w:line="360" w:lineRule="auto"/>
        <w:ind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1、采购内容：</w:t>
      </w:r>
      <w:r>
        <w:rPr>
          <w:rFonts w:hint="eastAsia" w:ascii="仿宋" w:hAnsi="仿宋" w:eastAsia="仿宋" w:cs="仿宋"/>
          <w:color w:val="auto"/>
          <w:sz w:val="24"/>
          <w:highlight w:val="none"/>
          <w:u w:val="single"/>
        </w:rPr>
        <w:t>针对市政道路扬尘、小区道路浮尘、屋面积尘等污染源，提供为期三年的大气扬尘治理服务。项目实施后，需对拱墅区的环境空气质量进行调研评估，监测PM2.5浓度、臭氧浓度等关键指标，制定具有针对性的扬尘治理方案，并定期出具数据分析报告。要求提供治理设备的日常运维服务，涵盖硬件故障排查、软件升级等，确保服务及配套设备始终处于最佳运行状态，保障项目的长期稳定运行。</w:t>
      </w:r>
      <w:r>
        <w:rPr>
          <w:rFonts w:hint="eastAsia" w:ascii="仿宋" w:hAnsi="仿宋" w:eastAsia="仿宋" w:cs="仿宋"/>
          <w:snapToGrid/>
          <w:color w:val="auto"/>
          <w:kern w:val="2"/>
          <w:sz w:val="24"/>
          <w:szCs w:val="24"/>
          <w:highlight w:val="none"/>
          <w:u w:val="single"/>
          <w:lang w:val="en-US" w:eastAsia="zh-CN" w:bidi="ar-SA"/>
        </w:rPr>
        <w:t>针对重点街区居民区餐饮油烟等污染源，提供为期三年的油烟净化服务。选择符合条件的住户并制定油烟净化方案，净化居民区餐饮油烟，提升空气质量。</w:t>
      </w:r>
      <w:r>
        <w:rPr>
          <w:rFonts w:hint="eastAsia" w:ascii="仿宋" w:hAnsi="仿宋" w:eastAsia="仿宋" w:cs="仿宋"/>
          <w:color w:val="auto"/>
          <w:sz w:val="24"/>
          <w:highlight w:val="none"/>
          <w:u w:val="single"/>
        </w:rPr>
        <w:t>（具体详见采购文件）</w:t>
      </w:r>
    </w:p>
    <w:p w14:paraId="61B2C975">
      <w:pPr>
        <w:keepNext w:val="0"/>
        <w:keepLines w:val="0"/>
        <w:pageBreakBefore w:val="0"/>
        <w:kinsoku/>
        <w:wordWrap/>
        <w:overflowPunct/>
        <w:topLinePunct w:val="0"/>
        <w:bidi w:val="0"/>
        <w:spacing w:line="440" w:lineRule="exact"/>
        <w:ind w:firstLine="480" w:firstLineChars="200"/>
        <w:rPr>
          <w:rFonts w:hint="eastAsia" w:ascii="仿宋" w:hAnsi="仿宋" w:eastAsia="仿宋" w:cs="仿宋"/>
          <w:b w:val="0"/>
          <w:bCs w:val="0"/>
          <w:color w:val="auto"/>
          <w:sz w:val="24"/>
          <w:highlight w:val="none"/>
          <w:u w:val="single"/>
        </w:rPr>
      </w:pPr>
      <w:r>
        <w:rPr>
          <w:rFonts w:hint="eastAsia" w:ascii="仿宋" w:hAnsi="仿宋" w:eastAsia="仿宋" w:cs="仿宋"/>
          <w:color w:val="auto"/>
          <w:sz w:val="24"/>
          <w:highlight w:val="none"/>
        </w:rPr>
        <w:t>2、合同履约时间：</w:t>
      </w:r>
      <w:r>
        <w:rPr>
          <w:rFonts w:hint="eastAsia" w:ascii="仿宋" w:hAnsi="仿宋" w:eastAsia="仿宋" w:cs="仿宋"/>
          <w:color w:val="auto"/>
          <w:sz w:val="24"/>
          <w:highlight w:val="none"/>
          <w:u w:val="single"/>
        </w:rPr>
        <w:t>合同签订后提交服务方案，经甲方确认后在 30天内完成设备点位的安装和调试，投入使用后进入三年服务期。</w:t>
      </w:r>
      <w:r>
        <w:rPr>
          <w:rFonts w:hint="eastAsia" w:ascii="仿宋" w:hAnsi="仿宋" w:eastAsia="仿宋" w:cs="仿宋"/>
          <w:b w:val="0"/>
          <w:bCs w:val="0"/>
          <w:color w:val="auto"/>
          <w:sz w:val="24"/>
          <w:highlight w:val="none"/>
          <w:u w:val="single"/>
        </w:rPr>
        <w:t>服务期间提供</w:t>
      </w:r>
      <w:r>
        <w:rPr>
          <w:rFonts w:hint="eastAsia" w:ascii="仿宋" w:hAnsi="仿宋" w:eastAsia="仿宋" w:cs="仿宋"/>
          <w:b w:val="0"/>
          <w:bCs w:val="0"/>
          <w:color w:val="auto"/>
          <w:sz w:val="24"/>
          <w:highlight w:val="none"/>
          <w:u w:val="single"/>
          <w:lang w:val="en-US" w:eastAsia="zh-CN"/>
        </w:rPr>
        <w:t>扬尘治理服务的</w:t>
      </w:r>
      <w:r>
        <w:rPr>
          <w:rFonts w:hint="eastAsia" w:ascii="仿宋" w:hAnsi="仿宋" w:eastAsia="仿宋" w:cs="仿宋"/>
          <w:b w:val="0"/>
          <w:bCs w:val="0"/>
          <w:color w:val="auto"/>
          <w:sz w:val="24"/>
          <w:highlight w:val="none"/>
          <w:u w:val="single"/>
        </w:rPr>
        <w:t>季度及年度数据分析报告</w:t>
      </w:r>
      <w:r>
        <w:rPr>
          <w:rFonts w:hint="eastAsia" w:ascii="仿宋" w:hAnsi="仿宋" w:eastAsia="仿宋" w:cs="仿宋"/>
          <w:b w:val="0"/>
          <w:bCs w:val="0"/>
          <w:color w:val="auto"/>
          <w:sz w:val="24"/>
          <w:highlight w:val="none"/>
          <w:u w:val="single"/>
          <w:lang w:eastAsia="zh-CN"/>
        </w:rPr>
        <w:t>，</w:t>
      </w:r>
      <w:r>
        <w:rPr>
          <w:rFonts w:hint="eastAsia" w:ascii="仿宋" w:hAnsi="仿宋" w:eastAsia="仿宋" w:cs="仿宋"/>
          <w:b w:val="0"/>
          <w:bCs w:val="0"/>
          <w:color w:val="auto"/>
          <w:sz w:val="24"/>
          <w:highlight w:val="none"/>
          <w:u w:val="single"/>
          <w:lang w:val="en-US" w:eastAsia="zh-CN"/>
        </w:rPr>
        <w:t>提供油烟净化服务的年度运维报告</w:t>
      </w:r>
      <w:r>
        <w:rPr>
          <w:rFonts w:hint="eastAsia" w:ascii="仿宋" w:hAnsi="仿宋" w:eastAsia="仿宋" w:cs="仿宋"/>
          <w:b w:val="0"/>
          <w:bCs w:val="0"/>
          <w:color w:val="auto"/>
          <w:sz w:val="24"/>
          <w:highlight w:val="none"/>
          <w:u w:val="single"/>
        </w:rPr>
        <w:t>。</w:t>
      </w:r>
    </w:p>
    <w:p w14:paraId="6FA251EB">
      <w:pPr>
        <w:keepNext w:val="0"/>
        <w:keepLines w:val="0"/>
        <w:pageBreakBefore w:val="0"/>
        <w:kinsoku/>
        <w:wordWrap/>
        <w:overflowPunct/>
        <w:topLinePunct w:val="0"/>
        <w:bidi w:val="0"/>
        <w:spacing w:line="4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服务货</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甲方指定地点。</w:t>
      </w:r>
    </w:p>
    <w:p w14:paraId="6C298167">
      <w:pPr>
        <w:keepNext w:val="0"/>
        <w:keepLines w:val="0"/>
        <w:pageBreakBefore w:val="0"/>
        <w:kinsoku/>
        <w:wordWrap/>
        <w:overflowPunct/>
        <w:topLinePunct w:val="0"/>
        <w:bidi w:val="0"/>
        <w:spacing w:after="120" w:afterLines="50"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第三条 合同金额</w:t>
      </w:r>
    </w:p>
    <w:p w14:paraId="5090C0F2">
      <w:pPr>
        <w:pStyle w:val="15"/>
        <w:keepNext w:val="0"/>
        <w:keepLines w:val="0"/>
        <w:pageBreakBefore w:val="0"/>
        <w:kinsoku/>
        <w:wordWrap/>
        <w:overflowPunct/>
        <w:topLinePunct w:val="0"/>
        <w:bidi w:val="0"/>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本合同金额为（大写）：____________________元，（￥:______元）人民币。</w:t>
      </w:r>
    </w:p>
    <w:p w14:paraId="72ADDECD">
      <w:pPr>
        <w:keepNext w:val="0"/>
        <w:keepLines w:val="0"/>
        <w:pageBreakBefore w:val="0"/>
        <w:kinsoku/>
        <w:wordWrap/>
        <w:overflowPunct/>
        <w:topLinePunct w:val="0"/>
        <w:bidi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分项价格：</w:t>
      </w:r>
    </w:p>
    <w:tbl>
      <w:tblPr>
        <w:tblStyle w:val="24"/>
        <w:tblW w:w="9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3231"/>
        <w:gridCol w:w="1397"/>
        <w:gridCol w:w="1754"/>
        <w:gridCol w:w="1787"/>
      </w:tblGrid>
      <w:tr w14:paraId="2370A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noWrap w:val="0"/>
            <w:vAlign w:val="center"/>
          </w:tcPr>
          <w:p w14:paraId="22F478B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序号</w:t>
            </w:r>
          </w:p>
        </w:tc>
        <w:tc>
          <w:tcPr>
            <w:tcW w:w="3231" w:type="dxa"/>
            <w:noWrap w:val="0"/>
            <w:vAlign w:val="center"/>
          </w:tcPr>
          <w:p w14:paraId="3FD0E70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服务范围</w:t>
            </w:r>
          </w:p>
        </w:tc>
        <w:tc>
          <w:tcPr>
            <w:tcW w:w="1397" w:type="dxa"/>
            <w:noWrap w:val="0"/>
            <w:vAlign w:val="center"/>
          </w:tcPr>
          <w:p w14:paraId="58968864">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服务时间</w:t>
            </w:r>
          </w:p>
        </w:tc>
        <w:tc>
          <w:tcPr>
            <w:tcW w:w="1754" w:type="dxa"/>
            <w:noWrap w:val="0"/>
            <w:vAlign w:val="center"/>
          </w:tcPr>
          <w:p w14:paraId="40E09D9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b/>
                <w:bCs/>
                <w:color w:val="auto"/>
                <w:sz w:val="24"/>
                <w:szCs w:val="24"/>
                <w:highlight w:val="none"/>
                <w:vertAlign w:val="baseline"/>
                <w:lang w:val="en-US" w:eastAsia="zh-CN"/>
              </w:rPr>
              <w:t>服务人数</w:t>
            </w:r>
          </w:p>
        </w:tc>
        <w:tc>
          <w:tcPr>
            <w:tcW w:w="1787" w:type="dxa"/>
            <w:noWrap w:val="0"/>
            <w:vAlign w:val="center"/>
          </w:tcPr>
          <w:p w14:paraId="57247AF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服务要求</w:t>
            </w:r>
          </w:p>
        </w:tc>
      </w:tr>
      <w:tr w14:paraId="052FA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noWrap w:val="0"/>
            <w:vAlign w:val="center"/>
          </w:tcPr>
          <w:p w14:paraId="362B021B">
            <w:pPr>
              <w:keepNext w:val="0"/>
              <w:keepLines w:val="0"/>
              <w:pageBreakBefore w:val="0"/>
              <w:widowControl w:val="0"/>
              <w:numPr>
                <w:ilvl w:val="0"/>
                <w:numId w:val="13"/>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color w:val="auto"/>
                <w:sz w:val="24"/>
                <w:szCs w:val="24"/>
                <w:highlight w:val="none"/>
                <w:vertAlign w:val="baseline"/>
              </w:rPr>
            </w:pPr>
          </w:p>
        </w:tc>
        <w:tc>
          <w:tcPr>
            <w:tcW w:w="3231" w:type="dxa"/>
            <w:noWrap w:val="0"/>
            <w:vAlign w:val="center"/>
          </w:tcPr>
          <w:p w14:paraId="41C3E2A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户外扬尘治理服务</w:t>
            </w:r>
          </w:p>
        </w:tc>
        <w:tc>
          <w:tcPr>
            <w:tcW w:w="1397" w:type="dxa"/>
            <w:noWrap w:val="0"/>
            <w:vAlign w:val="center"/>
          </w:tcPr>
          <w:p w14:paraId="0616D65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vertAlign w:val="baseline"/>
                <w:lang w:val="en-US" w:eastAsia="zh-CN"/>
              </w:rPr>
            </w:pPr>
          </w:p>
        </w:tc>
        <w:tc>
          <w:tcPr>
            <w:tcW w:w="1754" w:type="dxa"/>
            <w:noWrap w:val="0"/>
            <w:vAlign w:val="center"/>
          </w:tcPr>
          <w:p w14:paraId="422772C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1787" w:type="dxa"/>
            <w:noWrap w:val="0"/>
            <w:vAlign w:val="center"/>
          </w:tcPr>
          <w:p w14:paraId="7E61849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vertAlign w:val="baseline"/>
                <w:lang w:val="en-US" w:eastAsia="zh-CN"/>
              </w:rPr>
            </w:pPr>
          </w:p>
        </w:tc>
      </w:tr>
      <w:tr w14:paraId="55E17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noWrap w:val="0"/>
            <w:vAlign w:val="center"/>
          </w:tcPr>
          <w:p w14:paraId="0FFC2461">
            <w:pPr>
              <w:keepNext w:val="0"/>
              <w:keepLines w:val="0"/>
              <w:pageBreakBefore w:val="0"/>
              <w:widowControl w:val="0"/>
              <w:numPr>
                <w:ilvl w:val="0"/>
                <w:numId w:val="13"/>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color w:val="auto"/>
                <w:sz w:val="24"/>
                <w:szCs w:val="24"/>
                <w:highlight w:val="none"/>
                <w:vertAlign w:val="baseline"/>
              </w:rPr>
            </w:pPr>
          </w:p>
        </w:tc>
        <w:tc>
          <w:tcPr>
            <w:tcW w:w="3231" w:type="dxa"/>
            <w:noWrap w:val="0"/>
            <w:vAlign w:val="center"/>
          </w:tcPr>
          <w:p w14:paraId="687A8E9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车载移动式扬尘治理服务</w:t>
            </w:r>
          </w:p>
        </w:tc>
        <w:tc>
          <w:tcPr>
            <w:tcW w:w="1397" w:type="dxa"/>
            <w:noWrap w:val="0"/>
            <w:vAlign w:val="center"/>
          </w:tcPr>
          <w:p w14:paraId="2F602D7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1754" w:type="dxa"/>
            <w:noWrap w:val="0"/>
            <w:vAlign w:val="center"/>
          </w:tcPr>
          <w:p w14:paraId="543861C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1787" w:type="dxa"/>
            <w:noWrap w:val="0"/>
            <w:vAlign w:val="center"/>
          </w:tcPr>
          <w:p w14:paraId="18A1488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vertAlign w:val="baseline"/>
              </w:rPr>
            </w:pPr>
          </w:p>
        </w:tc>
      </w:tr>
      <w:tr w14:paraId="7D6C6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noWrap w:val="0"/>
            <w:vAlign w:val="center"/>
          </w:tcPr>
          <w:p w14:paraId="507C13B1">
            <w:pPr>
              <w:keepNext w:val="0"/>
              <w:keepLines w:val="0"/>
              <w:pageBreakBefore w:val="0"/>
              <w:widowControl w:val="0"/>
              <w:numPr>
                <w:ilvl w:val="0"/>
                <w:numId w:val="13"/>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color w:val="auto"/>
                <w:sz w:val="24"/>
                <w:szCs w:val="24"/>
                <w:highlight w:val="none"/>
                <w:vertAlign w:val="baseline"/>
              </w:rPr>
            </w:pPr>
          </w:p>
        </w:tc>
        <w:tc>
          <w:tcPr>
            <w:tcW w:w="3231" w:type="dxa"/>
            <w:noWrap w:val="0"/>
            <w:vAlign w:val="center"/>
          </w:tcPr>
          <w:p w14:paraId="777C871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餐饮油烟净化服务</w:t>
            </w:r>
          </w:p>
        </w:tc>
        <w:tc>
          <w:tcPr>
            <w:tcW w:w="1397" w:type="dxa"/>
            <w:noWrap w:val="0"/>
            <w:vAlign w:val="center"/>
          </w:tcPr>
          <w:p w14:paraId="285F7D9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1754" w:type="dxa"/>
            <w:noWrap w:val="0"/>
            <w:vAlign w:val="center"/>
          </w:tcPr>
          <w:p w14:paraId="17EADD4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1787" w:type="dxa"/>
            <w:noWrap w:val="0"/>
            <w:vAlign w:val="center"/>
          </w:tcPr>
          <w:p w14:paraId="6552FF8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vertAlign w:val="baseline"/>
              </w:rPr>
            </w:pPr>
          </w:p>
        </w:tc>
      </w:tr>
      <w:tr w14:paraId="4C8CE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noWrap w:val="0"/>
            <w:vAlign w:val="center"/>
          </w:tcPr>
          <w:p w14:paraId="4AD76286">
            <w:pPr>
              <w:keepNext w:val="0"/>
              <w:keepLines w:val="0"/>
              <w:pageBreakBefore w:val="0"/>
              <w:widowControl w:val="0"/>
              <w:numPr>
                <w:ilvl w:val="0"/>
                <w:numId w:val="13"/>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color w:val="auto"/>
                <w:sz w:val="24"/>
                <w:szCs w:val="24"/>
                <w:highlight w:val="none"/>
                <w:vertAlign w:val="baseline"/>
              </w:rPr>
            </w:pPr>
          </w:p>
        </w:tc>
        <w:tc>
          <w:tcPr>
            <w:tcW w:w="3231" w:type="dxa"/>
            <w:noWrap w:val="0"/>
            <w:vAlign w:val="center"/>
          </w:tcPr>
          <w:p w14:paraId="4E48A21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运维服务</w:t>
            </w:r>
          </w:p>
        </w:tc>
        <w:tc>
          <w:tcPr>
            <w:tcW w:w="1397" w:type="dxa"/>
            <w:noWrap w:val="0"/>
            <w:vAlign w:val="center"/>
          </w:tcPr>
          <w:p w14:paraId="77D0C2C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1754" w:type="dxa"/>
            <w:noWrap w:val="0"/>
            <w:vAlign w:val="center"/>
          </w:tcPr>
          <w:p w14:paraId="6E77AF3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1787" w:type="dxa"/>
            <w:noWrap w:val="0"/>
            <w:vAlign w:val="center"/>
          </w:tcPr>
          <w:p w14:paraId="4FA3324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vertAlign w:val="baseline"/>
              </w:rPr>
            </w:pPr>
          </w:p>
        </w:tc>
      </w:tr>
      <w:tr w14:paraId="35F50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noWrap w:val="0"/>
            <w:vAlign w:val="center"/>
          </w:tcPr>
          <w:p w14:paraId="40D7DC18">
            <w:pPr>
              <w:keepNext w:val="0"/>
              <w:keepLines w:val="0"/>
              <w:pageBreakBefore w:val="0"/>
              <w:widowControl w:val="0"/>
              <w:numPr>
                <w:ilvl w:val="0"/>
                <w:numId w:val="13"/>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color w:val="auto"/>
                <w:sz w:val="24"/>
                <w:szCs w:val="24"/>
                <w:highlight w:val="none"/>
                <w:vertAlign w:val="baseline"/>
              </w:rPr>
            </w:pPr>
          </w:p>
        </w:tc>
        <w:tc>
          <w:tcPr>
            <w:tcW w:w="3231" w:type="dxa"/>
            <w:noWrap w:val="0"/>
            <w:vAlign w:val="center"/>
          </w:tcPr>
          <w:p w14:paraId="13AB268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w:t>
            </w:r>
          </w:p>
        </w:tc>
        <w:tc>
          <w:tcPr>
            <w:tcW w:w="1397" w:type="dxa"/>
            <w:noWrap w:val="0"/>
            <w:vAlign w:val="center"/>
          </w:tcPr>
          <w:p w14:paraId="2349B21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1754" w:type="dxa"/>
            <w:noWrap w:val="0"/>
            <w:vAlign w:val="center"/>
          </w:tcPr>
          <w:p w14:paraId="2B53D0E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1787" w:type="dxa"/>
            <w:noWrap w:val="0"/>
            <w:vAlign w:val="center"/>
          </w:tcPr>
          <w:p w14:paraId="226C18B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vertAlign w:val="baseline"/>
              </w:rPr>
            </w:pPr>
          </w:p>
        </w:tc>
      </w:tr>
      <w:tr w14:paraId="1D67B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noWrap w:val="0"/>
            <w:vAlign w:val="center"/>
          </w:tcPr>
          <w:p w14:paraId="0D4FD1F7">
            <w:pPr>
              <w:keepNext w:val="0"/>
              <w:keepLines w:val="0"/>
              <w:pageBreakBefore w:val="0"/>
              <w:widowControl w:val="0"/>
              <w:numPr>
                <w:ilvl w:val="0"/>
                <w:numId w:val="13"/>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color w:val="auto"/>
                <w:sz w:val="24"/>
                <w:szCs w:val="24"/>
                <w:highlight w:val="none"/>
                <w:vertAlign w:val="baseline"/>
              </w:rPr>
            </w:pPr>
          </w:p>
        </w:tc>
        <w:tc>
          <w:tcPr>
            <w:tcW w:w="3231" w:type="dxa"/>
            <w:noWrap w:val="0"/>
            <w:vAlign w:val="center"/>
          </w:tcPr>
          <w:p w14:paraId="1C851CC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其他</w:t>
            </w:r>
          </w:p>
        </w:tc>
        <w:tc>
          <w:tcPr>
            <w:tcW w:w="1397" w:type="dxa"/>
            <w:noWrap w:val="0"/>
            <w:vAlign w:val="center"/>
          </w:tcPr>
          <w:p w14:paraId="551C388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vertAlign w:val="baseline"/>
                <w:lang w:val="en-US" w:eastAsia="zh-CN"/>
              </w:rPr>
            </w:pPr>
          </w:p>
        </w:tc>
        <w:tc>
          <w:tcPr>
            <w:tcW w:w="1754" w:type="dxa"/>
            <w:noWrap w:val="0"/>
            <w:vAlign w:val="center"/>
          </w:tcPr>
          <w:p w14:paraId="6C4503B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1787" w:type="dxa"/>
            <w:noWrap w:val="0"/>
            <w:vAlign w:val="center"/>
          </w:tcPr>
          <w:p w14:paraId="580B1F3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vertAlign w:val="baseline"/>
              </w:rPr>
            </w:pPr>
          </w:p>
        </w:tc>
      </w:tr>
      <w:tr w14:paraId="6D2B9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9279" w:type="dxa"/>
            <w:gridSpan w:val="5"/>
            <w:noWrap w:val="0"/>
            <w:vAlign w:val="center"/>
          </w:tcPr>
          <w:p w14:paraId="2443F1E7">
            <w:pPr>
              <w:keepNext w:val="0"/>
              <w:keepLines w:val="0"/>
              <w:pageBreakBefore w:val="0"/>
              <w:widowControl/>
              <w:kinsoku/>
              <w:wordWrap/>
              <w:overflowPunct/>
              <w:topLinePunct w:val="0"/>
              <w:bidi w:val="0"/>
              <w:spacing w:line="440" w:lineRule="exact"/>
              <w:jc w:val="left"/>
              <w:textAlignment w:val="center"/>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说明：</w:t>
            </w:r>
            <w:r>
              <w:rPr>
                <w:rFonts w:hint="eastAsia" w:ascii="仿宋" w:hAnsi="仿宋" w:eastAsia="仿宋" w:cs="仿宋"/>
                <w:b/>
                <w:color w:val="auto"/>
                <w:sz w:val="24"/>
                <w:highlight w:val="none"/>
              </w:rPr>
              <w:t>投标总价包括完成本项目工作所需的人力物力成本、管理费、其他费用、利润、税金</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招标代理费</w:t>
            </w:r>
            <w:r>
              <w:rPr>
                <w:rFonts w:hint="eastAsia" w:ascii="仿宋" w:hAnsi="仿宋" w:eastAsia="仿宋" w:cs="仿宋"/>
                <w:b/>
                <w:color w:val="auto"/>
                <w:sz w:val="24"/>
                <w:highlight w:val="none"/>
              </w:rPr>
              <w:t>等所有费用</w:t>
            </w:r>
            <w:r>
              <w:rPr>
                <w:rFonts w:hint="eastAsia" w:ascii="仿宋" w:hAnsi="仿宋" w:eastAsia="仿宋" w:cs="仿宋"/>
                <w:color w:val="auto"/>
                <w:kern w:val="0"/>
                <w:sz w:val="24"/>
                <w:highlight w:val="none"/>
                <w:lang w:bidi="ar"/>
              </w:rPr>
              <w:t>。</w:t>
            </w:r>
          </w:p>
          <w:p w14:paraId="7DA6809F">
            <w:pPr>
              <w:keepNext w:val="0"/>
              <w:keepLines w:val="0"/>
              <w:pageBreakBefore w:val="0"/>
              <w:widowControl/>
              <w:kinsoku/>
              <w:wordWrap/>
              <w:overflowPunct/>
              <w:topLinePunct w:val="0"/>
              <w:bidi w:val="0"/>
              <w:spacing w:line="440" w:lineRule="exact"/>
              <w:jc w:val="center"/>
              <w:textAlignment w:val="center"/>
              <w:rPr>
                <w:rFonts w:hint="eastAsia" w:ascii="仿宋" w:hAnsi="仿宋" w:eastAsia="仿宋" w:cs="仿宋"/>
                <w:b/>
                <w:bCs/>
                <w:color w:val="auto"/>
                <w:kern w:val="0"/>
                <w:sz w:val="24"/>
                <w:highlight w:val="none"/>
                <w:lang w:bidi="ar"/>
              </w:rPr>
            </w:pPr>
          </w:p>
          <w:p w14:paraId="4B37D3C1">
            <w:pPr>
              <w:keepNext w:val="0"/>
              <w:keepLines w:val="0"/>
              <w:pageBreakBefore w:val="0"/>
              <w:widowControl/>
              <w:kinsoku/>
              <w:wordWrap/>
              <w:overflowPunct/>
              <w:topLinePunct w:val="0"/>
              <w:bidi w:val="0"/>
              <w:spacing w:line="440" w:lineRule="exact"/>
              <w:jc w:val="center"/>
              <w:textAlignment w:val="center"/>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总价（人民币元）</w:t>
            </w:r>
          </w:p>
          <w:p w14:paraId="47F6C980">
            <w:pPr>
              <w:pStyle w:val="21"/>
              <w:keepNext w:val="0"/>
              <w:keepLines w:val="0"/>
              <w:pageBreakBefore w:val="0"/>
              <w:kinsoku/>
              <w:wordWrap/>
              <w:overflowPunct/>
              <w:topLinePunct w:val="0"/>
              <w:bidi w:val="0"/>
              <w:spacing w:line="440" w:lineRule="exact"/>
              <w:rPr>
                <w:rFonts w:hint="eastAsia"/>
                <w:color w:val="auto"/>
                <w:highlight w:val="none"/>
                <w:lang w:val="en-US" w:eastAsia="zh-CN"/>
              </w:rPr>
            </w:pPr>
          </w:p>
          <w:p w14:paraId="636D9179">
            <w:pPr>
              <w:keepNext w:val="0"/>
              <w:keepLines w:val="0"/>
              <w:pageBreakBefore w:val="0"/>
              <w:widowControl/>
              <w:kinsoku/>
              <w:wordWrap/>
              <w:overflowPunct/>
              <w:topLinePunct w:val="0"/>
              <w:bidi w:val="0"/>
              <w:spacing w:line="440" w:lineRule="exact"/>
              <w:textAlignment w:val="center"/>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小写：_________________________</w:t>
            </w:r>
          </w:p>
          <w:p w14:paraId="11A6C2EA">
            <w:pPr>
              <w:pStyle w:val="21"/>
              <w:keepNext w:val="0"/>
              <w:keepLines w:val="0"/>
              <w:pageBreakBefore w:val="0"/>
              <w:kinsoku/>
              <w:wordWrap/>
              <w:overflowPunct/>
              <w:topLinePunct w:val="0"/>
              <w:bidi w:val="0"/>
              <w:spacing w:line="440" w:lineRule="exact"/>
              <w:rPr>
                <w:rFonts w:hint="eastAsia"/>
                <w:color w:val="auto"/>
                <w:highlight w:val="none"/>
                <w:lang w:val="en-US" w:eastAsia="zh-CN"/>
              </w:rPr>
            </w:pPr>
          </w:p>
          <w:p w14:paraId="64FE39AD">
            <w:pPr>
              <w:keepNext w:val="0"/>
              <w:keepLines w:val="0"/>
              <w:pageBreakBefore w:val="0"/>
              <w:widowControl/>
              <w:kinsoku/>
              <w:wordWrap/>
              <w:overflowPunct/>
              <w:topLinePunct w:val="0"/>
              <w:bidi w:val="0"/>
              <w:spacing w:line="440" w:lineRule="exact"/>
              <w:textAlignment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0"/>
                <w:sz w:val="24"/>
                <w:highlight w:val="none"/>
                <w:lang w:bidi="ar"/>
              </w:rPr>
              <w:t>大写：_________________________</w:t>
            </w:r>
          </w:p>
        </w:tc>
      </w:tr>
    </w:tbl>
    <w:p w14:paraId="74EE4C0E">
      <w:pPr>
        <w:keepNext w:val="0"/>
        <w:keepLines w:val="0"/>
        <w:pageBreakBefore w:val="0"/>
        <w:kinsoku/>
        <w:wordWrap/>
        <w:overflowPunct/>
        <w:topLinePunct w:val="0"/>
        <w:bidi w:val="0"/>
        <w:spacing w:after="120" w:afterLines="50"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第四条 费用结算</w:t>
      </w:r>
    </w:p>
    <w:p w14:paraId="3D8F8D16">
      <w:pPr>
        <w:pStyle w:val="15"/>
        <w:keepNext w:val="0"/>
        <w:keepLines w:val="0"/>
        <w:pageBreakBefore w:val="0"/>
        <w:kinsoku/>
        <w:wordWrap/>
        <w:overflowPunct/>
        <w:topLinePunct w:val="0"/>
        <w:bidi w:val="0"/>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1、本合同中甲乙双方之间所发生的一切费用以人民币进行结算。</w:t>
      </w:r>
    </w:p>
    <w:p w14:paraId="70D2AF54">
      <w:pPr>
        <w:keepNext w:val="0"/>
        <w:keepLines w:val="0"/>
        <w:pageBreakBefore w:val="0"/>
        <w:kinsoku/>
        <w:wordWrap/>
        <w:overflowPunct/>
        <w:topLinePunct w:val="0"/>
        <w:bidi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2、支付方式：</w:t>
      </w:r>
    </w:p>
    <w:p w14:paraId="4F06BF70">
      <w:pPr>
        <w:keepNext w:val="0"/>
        <w:keepLines w:val="0"/>
        <w:pageBreakBefore w:val="0"/>
        <w:kinsoku/>
        <w:wordWrap/>
        <w:overflowPunct/>
        <w:topLinePunct w:val="0"/>
        <w:bidi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合</w:t>
      </w:r>
      <w:r>
        <w:rPr>
          <w:rFonts w:hint="eastAsia" w:ascii="仿宋" w:hAnsi="仿宋" w:eastAsia="仿宋" w:cs="仿宋"/>
          <w:color w:val="auto"/>
          <w:sz w:val="24"/>
          <w:highlight w:val="none"/>
        </w:rPr>
        <w:t>同生效，</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具备支付条件后7个工作日内向</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支付合同总价</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0%的预付款</w:t>
      </w:r>
      <w:r>
        <w:rPr>
          <w:rFonts w:hint="eastAsia" w:ascii="仿宋" w:hAnsi="仿宋" w:eastAsia="仿宋" w:cs="仿宋"/>
          <w:color w:val="auto"/>
          <w:sz w:val="24"/>
          <w:highlight w:val="none"/>
        </w:rPr>
        <w:t>，即人民币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634A7BF">
      <w:pPr>
        <w:keepNext w:val="0"/>
        <w:keepLines w:val="0"/>
        <w:pageBreakBefore w:val="0"/>
        <w:kinsoku/>
        <w:wordWrap/>
        <w:overflowPunct/>
        <w:topLinePunct w:val="0"/>
        <w:bidi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kern w:val="0"/>
          <w:sz w:val="24"/>
          <w:szCs w:val="24"/>
          <w:highlight w:val="none"/>
        </w:rPr>
        <w:t>提交设备安装、调试、运行报告</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且收到乙方正规发票后5</w:t>
      </w:r>
      <w:r>
        <w:rPr>
          <w:rFonts w:hint="eastAsia" w:ascii="仿宋" w:hAnsi="仿宋" w:eastAsia="仿宋" w:cs="仿宋"/>
          <w:color w:val="auto"/>
          <w:sz w:val="24"/>
          <w:highlight w:val="none"/>
        </w:rPr>
        <w:t>个工作日内</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支付</w:t>
      </w:r>
      <w:r>
        <w:rPr>
          <w:rFonts w:hint="eastAsia" w:ascii="仿宋" w:hAnsi="仿宋" w:eastAsia="仿宋" w:cs="仿宋"/>
          <w:color w:val="auto"/>
          <w:sz w:val="24"/>
          <w:highlight w:val="none"/>
          <w:lang w:val="en-US" w:eastAsia="zh-CN"/>
        </w:rPr>
        <w:t>合同总价的2</w:t>
      </w: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即人民币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AA33976">
      <w:pPr>
        <w:keepNext w:val="0"/>
        <w:keepLines w:val="0"/>
        <w:pageBreakBefore w:val="0"/>
        <w:kinsoku/>
        <w:wordWrap/>
        <w:overflowPunct/>
        <w:topLinePunct w:val="0"/>
        <w:bidi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highlight w:val="none"/>
          <w:lang w:val="en-US" w:eastAsia="zh-CN"/>
        </w:rPr>
        <w:t>第一年服务期结束，由乙方提交规范的服务报告后，甲方支付合同款项的10%</w:t>
      </w:r>
      <w:r>
        <w:rPr>
          <w:rFonts w:hint="eastAsia" w:ascii="仿宋" w:hAnsi="仿宋" w:eastAsia="仿宋" w:cs="仿宋"/>
          <w:color w:val="auto"/>
          <w:sz w:val="24"/>
          <w:szCs w:val="24"/>
          <w:highlight w:val="none"/>
        </w:rPr>
        <w:t>，即人民币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8BDA26B">
      <w:pPr>
        <w:pStyle w:val="27"/>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highlight w:val="none"/>
          <w:lang w:val="en-US" w:eastAsia="zh-CN"/>
        </w:rPr>
        <w:t>第二年服务期结束，由乙方位提交规范的服务报告后，甲方支付合同款项的10%</w:t>
      </w:r>
      <w:r>
        <w:rPr>
          <w:rFonts w:hint="eastAsia" w:ascii="仿宋" w:hAnsi="仿宋" w:eastAsia="仿宋" w:cs="仿宋"/>
          <w:color w:val="auto"/>
          <w:sz w:val="24"/>
          <w:szCs w:val="24"/>
          <w:highlight w:val="none"/>
        </w:rPr>
        <w:t>，即人民币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15BF56F5">
      <w:pPr>
        <w:pStyle w:val="27"/>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5）第三年服务期结束，通过最终验收，</w:t>
      </w:r>
      <w:r>
        <w:rPr>
          <w:rFonts w:hint="eastAsia" w:ascii="仿宋" w:hAnsi="仿宋" w:eastAsia="仿宋" w:cs="仿宋"/>
          <w:color w:val="auto"/>
          <w:sz w:val="24"/>
          <w:highlight w:val="none"/>
          <w:lang w:val="en-US" w:eastAsia="zh-CN"/>
        </w:rPr>
        <w:t>甲方根据考核结果</w:t>
      </w:r>
      <w:r>
        <w:rPr>
          <w:rFonts w:hint="eastAsia" w:ascii="仿宋" w:hAnsi="仿宋" w:eastAsia="仿宋" w:cs="仿宋"/>
          <w:color w:val="auto"/>
          <w:sz w:val="24"/>
          <w:highlight w:val="none"/>
          <w:lang w:val="en-US" w:eastAsia="zh-CN"/>
        </w:rPr>
        <w:t>支付剩余合同款项</w:t>
      </w:r>
      <w:r>
        <w:rPr>
          <w:rFonts w:hint="eastAsia" w:ascii="仿宋" w:hAnsi="仿宋" w:eastAsia="仿宋" w:cs="仿宋"/>
          <w:color w:val="auto"/>
          <w:sz w:val="24"/>
          <w:szCs w:val="24"/>
          <w:highlight w:val="none"/>
        </w:rPr>
        <w:t>，即人民币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2DD9120">
      <w:pPr>
        <w:keepNext w:val="0"/>
        <w:keepLines w:val="0"/>
        <w:pageBreakBefore w:val="0"/>
        <w:kinsoku/>
        <w:wordWrap/>
        <w:overflowPunct/>
        <w:topLinePunct w:val="0"/>
        <w:bidi w:val="0"/>
        <w:spacing w:line="44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（最终解释权归甲方）</w:t>
      </w:r>
    </w:p>
    <w:p w14:paraId="15310E19">
      <w:pPr>
        <w:keepNext w:val="0"/>
        <w:keepLines w:val="0"/>
        <w:pageBreakBefore w:val="0"/>
        <w:kinsoku/>
        <w:wordWrap/>
        <w:overflowPunct/>
        <w:topLinePunct w:val="0"/>
        <w:bidi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注：乙方须提供的合同等额的正规发票后，且甲方已经履行财政相关资金审批手续后按规定的时间予以支付。</w:t>
      </w:r>
    </w:p>
    <w:p w14:paraId="68F5867B">
      <w:pPr>
        <w:keepNext w:val="0"/>
        <w:keepLines w:val="0"/>
        <w:pageBreakBefore w:val="0"/>
        <w:kinsoku/>
        <w:wordWrap/>
        <w:overflowPunct/>
        <w:topLinePunct w:val="0"/>
        <w:bidi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3、甲方应及时将合同款付至以下乙方指定的银行账户：</w:t>
      </w:r>
    </w:p>
    <w:p w14:paraId="6CC4B47F">
      <w:pPr>
        <w:keepNext w:val="0"/>
        <w:keepLines w:val="0"/>
        <w:pageBreakBefore w:val="0"/>
        <w:kinsoku/>
        <w:wordWrap/>
        <w:overflowPunct/>
        <w:topLinePunct w:val="0"/>
        <w:bidi w:val="0"/>
        <w:snapToGrid w:val="0"/>
        <w:spacing w:line="4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开户名称：</w:t>
      </w:r>
      <w:r>
        <w:rPr>
          <w:rFonts w:hint="eastAsia" w:ascii="仿宋" w:hAnsi="仿宋" w:eastAsia="仿宋" w:cs="仿宋"/>
          <w:color w:val="auto"/>
          <w:sz w:val="24"/>
          <w:highlight w:val="none"/>
          <w:u w:val="single"/>
        </w:rPr>
        <w:t xml:space="preserve">                            </w:t>
      </w:r>
    </w:p>
    <w:p w14:paraId="0C2ED41C">
      <w:pPr>
        <w:keepNext w:val="0"/>
        <w:keepLines w:val="0"/>
        <w:pageBreakBefore w:val="0"/>
        <w:kinsoku/>
        <w:wordWrap/>
        <w:overflowPunct/>
        <w:topLinePunct w:val="0"/>
        <w:bidi w:val="0"/>
        <w:snapToGrid w:val="0"/>
        <w:spacing w:line="4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u w:val="single"/>
        </w:rPr>
        <w:t xml:space="preserve">                            </w:t>
      </w:r>
    </w:p>
    <w:p w14:paraId="1267B1A9">
      <w:pPr>
        <w:keepNext w:val="0"/>
        <w:keepLines w:val="0"/>
        <w:pageBreakBefore w:val="0"/>
        <w:kinsoku/>
        <w:wordWrap/>
        <w:overflowPunct/>
        <w:topLinePunct w:val="0"/>
        <w:bidi w:val="0"/>
        <w:snapToGrid w:val="0"/>
        <w:spacing w:line="4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账    号：</w:t>
      </w:r>
      <w:r>
        <w:rPr>
          <w:rFonts w:hint="eastAsia" w:ascii="仿宋" w:hAnsi="仿宋" w:eastAsia="仿宋" w:cs="仿宋"/>
          <w:color w:val="auto"/>
          <w:sz w:val="24"/>
          <w:highlight w:val="none"/>
          <w:u w:val="single"/>
        </w:rPr>
        <w:t xml:space="preserve">                            </w:t>
      </w:r>
    </w:p>
    <w:p w14:paraId="3CBEF4FB">
      <w:pPr>
        <w:pStyle w:val="15"/>
        <w:keepNext w:val="0"/>
        <w:keepLines w:val="0"/>
        <w:pageBreakBefore w:val="0"/>
        <w:kinsoku/>
        <w:wordWrap/>
        <w:overflowPunct/>
        <w:topLinePunct w:val="0"/>
        <w:bidi w:val="0"/>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注：提供的开户银行应为乙方基本结算账户。</w:t>
      </w:r>
    </w:p>
    <w:p w14:paraId="304A7229">
      <w:pPr>
        <w:keepNext w:val="0"/>
        <w:keepLines w:val="0"/>
        <w:pageBreakBefore w:val="0"/>
        <w:kinsoku/>
        <w:wordWrap/>
        <w:overflowPunct/>
        <w:topLinePunct w:val="0"/>
        <w:bidi w:val="0"/>
        <w:spacing w:after="120" w:afterLines="50" w:line="440" w:lineRule="exact"/>
        <w:ind w:firstLine="482" w:firstLineChars="200"/>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第五条 乙方团队组成人员</w:t>
      </w:r>
    </w:p>
    <w:tbl>
      <w:tblPr>
        <w:tblStyle w:val="23"/>
        <w:tblW w:w="9421" w:type="dxa"/>
        <w:jc w:val="center"/>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
      <w:tblGrid>
        <w:gridCol w:w="759"/>
        <w:gridCol w:w="1929"/>
        <w:gridCol w:w="1125"/>
        <w:gridCol w:w="1173"/>
        <w:gridCol w:w="2427"/>
        <w:gridCol w:w="2008"/>
      </w:tblGrid>
      <w:tr w14:paraId="2045BA8A">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567" w:hRule="atLeast"/>
          <w:jc w:val="center"/>
        </w:trPr>
        <w:tc>
          <w:tcPr>
            <w:tcW w:w="759" w:type="dxa"/>
            <w:tcBorders>
              <w:tl2br w:val="nil"/>
              <w:tr2bl w:val="nil"/>
            </w:tcBorders>
            <w:shd w:val="clear" w:color="auto" w:fill="FFFFFF"/>
            <w:noWrap w:val="0"/>
            <w:tcMar>
              <w:top w:w="80" w:type="dxa"/>
              <w:left w:w="80" w:type="dxa"/>
              <w:bottom w:w="80" w:type="dxa"/>
              <w:right w:w="80" w:type="dxa"/>
            </w:tcMar>
            <w:vAlign w:val="center"/>
          </w:tcPr>
          <w:p w14:paraId="6C7ECB08">
            <w:pPr>
              <w:pStyle w:val="28"/>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TW" w:eastAsia="zh-TW"/>
              </w:rPr>
              <w:t>序号</w:t>
            </w:r>
          </w:p>
        </w:tc>
        <w:tc>
          <w:tcPr>
            <w:tcW w:w="1929" w:type="dxa"/>
            <w:tcBorders>
              <w:tl2br w:val="nil"/>
              <w:tr2bl w:val="nil"/>
            </w:tcBorders>
            <w:shd w:val="clear" w:color="auto" w:fill="FFFFFF"/>
            <w:noWrap w:val="0"/>
            <w:tcMar>
              <w:top w:w="80" w:type="dxa"/>
              <w:left w:w="80" w:type="dxa"/>
              <w:bottom w:w="80" w:type="dxa"/>
              <w:right w:w="80" w:type="dxa"/>
            </w:tcMar>
            <w:vAlign w:val="center"/>
          </w:tcPr>
          <w:p w14:paraId="5769299D">
            <w:pPr>
              <w:pStyle w:val="28"/>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TW" w:eastAsia="zh-TW"/>
              </w:rPr>
              <w:t>姓  名</w:t>
            </w:r>
          </w:p>
        </w:tc>
        <w:tc>
          <w:tcPr>
            <w:tcW w:w="1125" w:type="dxa"/>
            <w:tcBorders>
              <w:tl2br w:val="nil"/>
              <w:tr2bl w:val="nil"/>
            </w:tcBorders>
            <w:shd w:val="clear" w:color="auto" w:fill="FFFFFF"/>
            <w:noWrap w:val="0"/>
            <w:tcMar>
              <w:top w:w="80" w:type="dxa"/>
              <w:left w:w="80" w:type="dxa"/>
              <w:bottom w:w="80" w:type="dxa"/>
              <w:right w:w="80" w:type="dxa"/>
            </w:tcMar>
            <w:vAlign w:val="center"/>
          </w:tcPr>
          <w:p w14:paraId="4B28B5D1">
            <w:pPr>
              <w:pStyle w:val="28"/>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TW" w:eastAsia="zh-TW"/>
              </w:rPr>
              <w:t>性  别</w:t>
            </w:r>
          </w:p>
        </w:tc>
        <w:tc>
          <w:tcPr>
            <w:tcW w:w="1173" w:type="dxa"/>
            <w:tcBorders>
              <w:tl2br w:val="nil"/>
              <w:tr2bl w:val="nil"/>
            </w:tcBorders>
            <w:shd w:val="clear" w:color="auto" w:fill="FFFFFF"/>
            <w:noWrap w:val="0"/>
            <w:tcMar>
              <w:top w:w="80" w:type="dxa"/>
              <w:left w:w="80" w:type="dxa"/>
              <w:bottom w:w="80" w:type="dxa"/>
              <w:right w:w="80" w:type="dxa"/>
            </w:tcMar>
            <w:vAlign w:val="center"/>
          </w:tcPr>
          <w:p w14:paraId="0F51D40F">
            <w:pPr>
              <w:pStyle w:val="28"/>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TW" w:eastAsia="zh-TW"/>
              </w:rPr>
              <w:t>年  龄</w:t>
            </w:r>
          </w:p>
        </w:tc>
        <w:tc>
          <w:tcPr>
            <w:tcW w:w="2427" w:type="dxa"/>
            <w:tcBorders>
              <w:tl2br w:val="nil"/>
              <w:tr2bl w:val="nil"/>
            </w:tcBorders>
            <w:shd w:val="clear" w:color="auto" w:fill="FFFFFF"/>
            <w:noWrap w:val="0"/>
            <w:tcMar>
              <w:top w:w="80" w:type="dxa"/>
              <w:left w:w="80" w:type="dxa"/>
              <w:bottom w:w="80" w:type="dxa"/>
              <w:right w:w="80" w:type="dxa"/>
            </w:tcMar>
            <w:vAlign w:val="center"/>
          </w:tcPr>
          <w:p w14:paraId="66B65216">
            <w:pPr>
              <w:pStyle w:val="28"/>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在本项目中担任岗位</w:t>
            </w:r>
          </w:p>
        </w:tc>
        <w:tc>
          <w:tcPr>
            <w:tcW w:w="2008" w:type="dxa"/>
            <w:tcBorders>
              <w:tl2br w:val="nil"/>
              <w:tr2bl w:val="nil"/>
            </w:tcBorders>
            <w:shd w:val="clear" w:color="auto" w:fill="FFFFFF"/>
            <w:noWrap w:val="0"/>
            <w:tcMar>
              <w:top w:w="80" w:type="dxa"/>
              <w:left w:w="80" w:type="dxa"/>
              <w:bottom w:w="80" w:type="dxa"/>
              <w:right w:w="80" w:type="dxa"/>
            </w:tcMar>
            <w:vAlign w:val="center"/>
          </w:tcPr>
          <w:p w14:paraId="5A41B1F2">
            <w:pPr>
              <w:pStyle w:val="28"/>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身份证号</w:t>
            </w:r>
          </w:p>
        </w:tc>
      </w:tr>
      <w:tr w14:paraId="38607C4A">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567" w:hRule="atLeast"/>
          <w:jc w:val="center"/>
        </w:trPr>
        <w:tc>
          <w:tcPr>
            <w:tcW w:w="759" w:type="dxa"/>
            <w:tcBorders>
              <w:tl2br w:val="nil"/>
              <w:tr2bl w:val="nil"/>
            </w:tcBorders>
            <w:shd w:val="clear" w:color="auto" w:fill="FFFFFF"/>
            <w:noWrap w:val="0"/>
            <w:tcMar>
              <w:top w:w="80" w:type="dxa"/>
              <w:left w:w="80" w:type="dxa"/>
              <w:bottom w:w="80" w:type="dxa"/>
              <w:right w:w="80" w:type="dxa"/>
            </w:tcMar>
            <w:vAlign w:val="center"/>
          </w:tcPr>
          <w:p w14:paraId="6D8FB537">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1929" w:type="dxa"/>
            <w:tcBorders>
              <w:tl2br w:val="nil"/>
              <w:tr2bl w:val="nil"/>
            </w:tcBorders>
            <w:shd w:val="clear" w:color="auto" w:fill="FFFFFF"/>
            <w:noWrap w:val="0"/>
            <w:tcMar>
              <w:top w:w="80" w:type="dxa"/>
              <w:left w:w="80" w:type="dxa"/>
              <w:bottom w:w="80" w:type="dxa"/>
              <w:right w:w="80" w:type="dxa"/>
            </w:tcMar>
            <w:vAlign w:val="center"/>
          </w:tcPr>
          <w:p w14:paraId="0529B9F6">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1"/>
                <w:szCs w:val="21"/>
                <w:highlight w:val="none"/>
              </w:rPr>
            </w:pPr>
          </w:p>
        </w:tc>
        <w:tc>
          <w:tcPr>
            <w:tcW w:w="1125" w:type="dxa"/>
            <w:tcBorders>
              <w:tl2br w:val="nil"/>
              <w:tr2bl w:val="nil"/>
            </w:tcBorders>
            <w:shd w:val="clear" w:color="auto" w:fill="FFFFFF"/>
            <w:noWrap w:val="0"/>
            <w:tcMar>
              <w:top w:w="80" w:type="dxa"/>
              <w:left w:w="80" w:type="dxa"/>
              <w:bottom w:w="80" w:type="dxa"/>
              <w:right w:w="80" w:type="dxa"/>
            </w:tcMar>
            <w:vAlign w:val="center"/>
          </w:tcPr>
          <w:p w14:paraId="35D3D94D">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1"/>
                <w:szCs w:val="21"/>
                <w:highlight w:val="none"/>
              </w:rPr>
            </w:pPr>
          </w:p>
        </w:tc>
        <w:tc>
          <w:tcPr>
            <w:tcW w:w="1173" w:type="dxa"/>
            <w:tcBorders>
              <w:tl2br w:val="nil"/>
              <w:tr2bl w:val="nil"/>
            </w:tcBorders>
            <w:shd w:val="clear" w:color="auto" w:fill="FFFFFF"/>
            <w:noWrap w:val="0"/>
            <w:tcMar>
              <w:top w:w="80" w:type="dxa"/>
              <w:left w:w="80" w:type="dxa"/>
              <w:bottom w:w="80" w:type="dxa"/>
              <w:right w:w="80" w:type="dxa"/>
            </w:tcMar>
            <w:vAlign w:val="center"/>
          </w:tcPr>
          <w:p w14:paraId="4112E6DD">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1"/>
                <w:szCs w:val="21"/>
                <w:highlight w:val="none"/>
              </w:rPr>
            </w:pPr>
          </w:p>
        </w:tc>
        <w:tc>
          <w:tcPr>
            <w:tcW w:w="2427" w:type="dxa"/>
            <w:tcBorders>
              <w:tl2br w:val="nil"/>
              <w:tr2bl w:val="nil"/>
            </w:tcBorders>
            <w:shd w:val="clear" w:color="auto" w:fill="FFFFFF"/>
            <w:noWrap w:val="0"/>
            <w:tcMar>
              <w:top w:w="80" w:type="dxa"/>
              <w:left w:w="80" w:type="dxa"/>
              <w:bottom w:w="80" w:type="dxa"/>
              <w:right w:w="80" w:type="dxa"/>
            </w:tcMar>
            <w:vAlign w:val="center"/>
          </w:tcPr>
          <w:p w14:paraId="36472F48">
            <w:pPr>
              <w:keepNext w:val="0"/>
              <w:keepLines w:val="0"/>
              <w:pageBreakBefore w:val="0"/>
              <w:kinsoku/>
              <w:wordWrap/>
              <w:overflowPunct/>
              <w:topLinePunct w:val="0"/>
              <w:autoSpaceDE/>
              <w:autoSpaceDN/>
              <w:bidi w:val="0"/>
              <w:spacing w:line="440" w:lineRule="exact"/>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项目负责人</w:t>
            </w:r>
          </w:p>
        </w:tc>
        <w:tc>
          <w:tcPr>
            <w:tcW w:w="2008" w:type="dxa"/>
            <w:tcBorders>
              <w:tl2br w:val="nil"/>
              <w:tr2bl w:val="nil"/>
            </w:tcBorders>
            <w:shd w:val="clear" w:color="auto" w:fill="FFFFFF"/>
            <w:noWrap w:val="0"/>
            <w:tcMar>
              <w:top w:w="80" w:type="dxa"/>
              <w:left w:w="80" w:type="dxa"/>
              <w:bottom w:w="80" w:type="dxa"/>
              <w:right w:w="80" w:type="dxa"/>
            </w:tcMar>
            <w:vAlign w:val="center"/>
          </w:tcPr>
          <w:p w14:paraId="3DFCA720">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1"/>
                <w:szCs w:val="21"/>
                <w:highlight w:val="none"/>
              </w:rPr>
            </w:pPr>
          </w:p>
        </w:tc>
      </w:tr>
      <w:tr w14:paraId="39537D61">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567" w:hRule="atLeast"/>
          <w:jc w:val="center"/>
        </w:trPr>
        <w:tc>
          <w:tcPr>
            <w:tcW w:w="759" w:type="dxa"/>
            <w:tcBorders>
              <w:tl2br w:val="nil"/>
              <w:tr2bl w:val="nil"/>
            </w:tcBorders>
            <w:shd w:val="clear" w:color="auto" w:fill="FFFFFF"/>
            <w:noWrap w:val="0"/>
            <w:tcMar>
              <w:top w:w="80" w:type="dxa"/>
              <w:left w:w="80" w:type="dxa"/>
              <w:bottom w:w="80" w:type="dxa"/>
              <w:right w:w="80" w:type="dxa"/>
            </w:tcMar>
            <w:vAlign w:val="center"/>
          </w:tcPr>
          <w:p w14:paraId="1A2AD5CE">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1929" w:type="dxa"/>
            <w:tcBorders>
              <w:tl2br w:val="nil"/>
              <w:tr2bl w:val="nil"/>
            </w:tcBorders>
            <w:shd w:val="clear" w:color="auto" w:fill="FFFFFF"/>
            <w:noWrap w:val="0"/>
            <w:tcMar>
              <w:top w:w="80" w:type="dxa"/>
              <w:left w:w="80" w:type="dxa"/>
              <w:bottom w:w="80" w:type="dxa"/>
              <w:right w:w="80" w:type="dxa"/>
            </w:tcMar>
            <w:vAlign w:val="center"/>
          </w:tcPr>
          <w:p w14:paraId="7E150895">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1"/>
                <w:szCs w:val="21"/>
                <w:highlight w:val="none"/>
              </w:rPr>
            </w:pPr>
          </w:p>
        </w:tc>
        <w:tc>
          <w:tcPr>
            <w:tcW w:w="1125" w:type="dxa"/>
            <w:tcBorders>
              <w:tl2br w:val="nil"/>
              <w:tr2bl w:val="nil"/>
            </w:tcBorders>
            <w:shd w:val="clear" w:color="auto" w:fill="FFFFFF"/>
            <w:noWrap w:val="0"/>
            <w:tcMar>
              <w:top w:w="80" w:type="dxa"/>
              <w:left w:w="80" w:type="dxa"/>
              <w:bottom w:w="80" w:type="dxa"/>
              <w:right w:w="80" w:type="dxa"/>
            </w:tcMar>
            <w:vAlign w:val="center"/>
          </w:tcPr>
          <w:p w14:paraId="7A0E8052">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1"/>
                <w:szCs w:val="21"/>
                <w:highlight w:val="none"/>
              </w:rPr>
            </w:pPr>
          </w:p>
        </w:tc>
        <w:tc>
          <w:tcPr>
            <w:tcW w:w="1173" w:type="dxa"/>
            <w:tcBorders>
              <w:tl2br w:val="nil"/>
              <w:tr2bl w:val="nil"/>
            </w:tcBorders>
            <w:shd w:val="clear" w:color="auto" w:fill="FFFFFF"/>
            <w:noWrap w:val="0"/>
            <w:tcMar>
              <w:top w:w="80" w:type="dxa"/>
              <w:left w:w="80" w:type="dxa"/>
              <w:bottom w:w="80" w:type="dxa"/>
              <w:right w:w="80" w:type="dxa"/>
            </w:tcMar>
            <w:vAlign w:val="center"/>
          </w:tcPr>
          <w:p w14:paraId="1B827B5C">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1"/>
                <w:szCs w:val="21"/>
                <w:highlight w:val="none"/>
              </w:rPr>
            </w:pPr>
          </w:p>
        </w:tc>
        <w:tc>
          <w:tcPr>
            <w:tcW w:w="2427" w:type="dxa"/>
            <w:tcBorders>
              <w:tl2br w:val="nil"/>
              <w:tr2bl w:val="nil"/>
            </w:tcBorders>
            <w:shd w:val="clear" w:color="auto" w:fill="FFFFFF"/>
            <w:noWrap w:val="0"/>
            <w:tcMar>
              <w:top w:w="80" w:type="dxa"/>
              <w:left w:w="80" w:type="dxa"/>
              <w:bottom w:w="80" w:type="dxa"/>
              <w:right w:w="80" w:type="dxa"/>
            </w:tcMar>
            <w:vAlign w:val="center"/>
          </w:tcPr>
          <w:p w14:paraId="33C57FED">
            <w:pPr>
              <w:keepNext w:val="0"/>
              <w:keepLines w:val="0"/>
              <w:pageBreakBefore w:val="0"/>
              <w:kinsoku/>
              <w:wordWrap/>
              <w:overflowPunct/>
              <w:topLinePunct w:val="0"/>
              <w:autoSpaceDE/>
              <w:autoSpaceDN/>
              <w:bidi w:val="0"/>
              <w:spacing w:line="440" w:lineRule="exact"/>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技术人员</w:t>
            </w:r>
          </w:p>
        </w:tc>
        <w:tc>
          <w:tcPr>
            <w:tcW w:w="2008" w:type="dxa"/>
            <w:tcBorders>
              <w:tl2br w:val="nil"/>
              <w:tr2bl w:val="nil"/>
            </w:tcBorders>
            <w:shd w:val="clear" w:color="auto" w:fill="FFFFFF"/>
            <w:noWrap w:val="0"/>
            <w:tcMar>
              <w:top w:w="80" w:type="dxa"/>
              <w:left w:w="80" w:type="dxa"/>
              <w:bottom w:w="80" w:type="dxa"/>
              <w:right w:w="80" w:type="dxa"/>
            </w:tcMar>
            <w:vAlign w:val="center"/>
          </w:tcPr>
          <w:p w14:paraId="5DB776EC">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1"/>
                <w:szCs w:val="21"/>
                <w:highlight w:val="none"/>
              </w:rPr>
            </w:pPr>
          </w:p>
        </w:tc>
      </w:tr>
      <w:tr w14:paraId="78C37538">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567" w:hRule="atLeast"/>
          <w:jc w:val="center"/>
        </w:trPr>
        <w:tc>
          <w:tcPr>
            <w:tcW w:w="759" w:type="dxa"/>
            <w:tcBorders>
              <w:tl2br w:val="nil"/>
              <w:tr2bl w:val="nil"/>
            </w:tcBorders>
            <w:shd w:val="clear" w:color="auto" w:fill="FFFFFF"/>
            <w:noWrap w:val="0"/>
            <w:tcMar>
              <w:top w:w="80" w:type="dxa"/>
              <w:left w:w="80" w:type="dxa"/>
              <w:bottom w:w="80" w:type="dxa"/>
              <w:right w:w="80" w:type="dxa"/>
            </w:tcMar>
            <w:vAlign w:val="center"/>
          </w:tcPr>
          <w:p w14:paraId="3130AFBC">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1929" w:type="dxa"/>
            <w:tcBorders>
              <w:tl2br w:val="nil"/>
              <w:tr2bl w:val="nil"/>
            </w:tcBorders>
            <w:shd w:val="clear" w:color="auto" w:fill="FFFFFF"/>
            <w:noWrap w:val="0"/>
            <w:tcMar>
              <w:top w:w="80" w:type="dxa"/>
              <w:left w:w="80" w:type="dxa"/>
              <w:bottom w:w="80" w:type="dxa"/>
              <w:right w:w="80" w:type="dxa"/>
            </w:tcMar>
            <w:vAlign w:val="center"/>
          </w:tcPr>
          <w:p w14:paraId="65586603">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1"/>
                <w:szCs w:val="21"/>
                <w:highlight w:val="none"/>
              </w:rPr>
            </w:pPr>
          </w:p>
        </w:tc>
        <w:tc>
          <w:tcPr>
            <w:tcW w:w="1125" w:type="dxa"/>
            <w:tcBorders>
              <w:tl2br w:val="nil"/>
              <w:tr2bl w:val="nil"/>
            </w:tcBorders>
            <w:shd w:val="clear" w:color="auto" w:fill="FFFFFF"/>
            <w:noWrap w:val="0"/>
            <w:tcMar>
              <w:top w:w="80" w:type="dxa"/>
              <w:left w:w="80" w:type="dxa"/>
              <w:bottom w:w="80" w:type="dxa"/>
              <w:right w:w="80" w:type="dxa"/>
            </w:tcMar>
            <w:vAlign w:val="center"/>
          </w:tcPr>
          <w:p w14:paraId="600FD4B7">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1"/>
                <w:szCs w:val="21"/>
                <w:highlight w:val="none"/>
              </w:rPr>
            </w:pPr>
          </w:p>
        </w:tc>
        <w:tc>
          <w:tcPr>
            <w:tcW w:w="1173" w:type="dxa"/>
            <w:tcBorders>
              <w:tl2br w:val="nil"/>
              <w:tr2bl w:val="nil"/>
            </w:tcBorders>
            <w:shd w:val="clear" w:color="auto" w:fill="FFFFFF"/>
            <w:noWrap w:val="0"/>
            <w:tcMar>
              <w:top w:w="80" w:type="dxa"/>
              <w:left w:w="80" w:type="dxa"/>
              <w:bottom w:w="80" w:type="dxa"/>
              <w:right w:w="80" w:type="dxa"/>
            </w:tcMar>
            <w:vAlign w:val="center"/>
          </w:tcPr>
          <w:p w14:paraId="47F64CBA">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1"/>
                <w:szCs w:val="21"/>
                <w:highlight w:val="none"/>
              </w:rPr>
            </w:pPr>
          </w:p>
        </w:tc>
        <w:tc>
          <w:tcPr>
            <w:tcW w:w="2427" w:type="dxa"/>
            <w:tcBorders>
              <w:tl2br w:val="nil"/>
              <w:tr2bl w:val="nil"/>
            </w:tcBorders>
            <w:shd w:val="clear" w:color="auto" w:fill="FFFFFF"/>
            <w:noWrap w:val="0"/>
            <w:tcMar>
              <w:top w:w="80" w:type="dxa"/>
              <w:left w:w="80" w:type="dxa"/>
              <w:bottom w:w="80" w:type="dxa"/>
              <w:right w:w="80" w:type="dxa"/>
            </w:tcMar>
            <w:vAlign w:val="center"/>
          </w:tcPr>
          <w:p w14:paraId="56E05D5B">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技术人员</w:t>
            </w:r>
          </w:p>
        </w:tc>
        <w:tc>
          <w:tcPr>
            <w:tcW w:w="2008" w:type="dxa"/>
            <w:tcBorders>
              <w:tl2br w:val="nil"/>
              <w:tr2bl w:val="nil"/>
            </w:tcBorders>
            <w:shd w:val="clear" w:color="auto" w:fill="FFFFFF"/>
            <w:noWrap w:val="0"/>
            <w:tcMar>
              <w:top w:w="80" w:type="dxa"/>
              <w:left w:w="80" w:type="dxa"/>
              <w:bottom w:w="80" w:type="dxa"/>
              <w:right w:w="80" w:type="dxa"/>
            </w:tcMar>
            <w:vAlign w:val="center"/>
          </w:tcPr>
          <w:p w14:paraId="044941F4">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1"/>
                <w:szCs w:val="21"/>
                <w:highlight w:val="none"/>
              </w:rPr>
            </w:pPr>
          </w:p>
        </w:tc>
      </w:tr>
      <w:tr w14:paraId="6BB3C978">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567" w:hRule="atLeast"/>
          <w:jc w:val="center"/>
        </w:trPr>
        <w:tc>
          <w:tcPr>
            <w:tcW w:w="759" w:type="dxa"/>
            <w:tcBorders>
              <w:tl2br w:val="nil"/>
              <w:tr2bl w:val="nil"/>
            </w:tcBorders>
            <w:shd w:val="clear" w:color="auto" w:fill="FFFFFF"/>
            <w:noWrap w:val="0"/>
            <w:tcMar>
              <w:top w:w="80" w:type="dxa"/>
              <w:left w:w="80" w:type="dxa"/>
              <w:bottom w:w="80" w:type="dxa"/>
              <w:right w:w="80" w:type="dxa"/>
            </w:tcMar>
            <w:vAlign w:val="center"/>
          </w:tcPr>
          <w:p w14:paraId="3A1CA8AB">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1929" w:type="dxa"/>
            <w:tcBorders>
              <w:tl2br w:val="nil"/>
              <w:tr2bl w:val="nil"/>
            </w:tcBorders>
            <w:shd w:val="clear" w:color="auto" w:fill="FFFFFF"/>
            <w:noWrap w:val="0"/>
            <w:tcMar>
              <w:top w:w="80" w:type="dxa"/>
              <w:left w:w="80" w:type="dxa"/>
              <w:bottom w:w="80" w:type="dxa"/>
              <w:right w:w="80" w:type="dxa"/>
            </w:tcMar>
            <w:vAlign w:val="center"/>
          </w:tcPr>
          <w:p w14:paraId="75D89C94">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1"/>
                <w:szCs w:val="21"/>
                <w:highlight w:val="none"/>
              </w:rPr>
            </w:pPr>
          </w:p>
        </w:tc>
        <w:tc>
          <w:tcPr>
            <w:tcW w:w="1125" w:type="dxa"/>
            <w:tcBorders>
              <w:tl2br w:val="nil"/>
              <w:tr2bl w:val="nil"/>
            </w:tcBorders>
            <w:shd w:val="clear" w:color="auto" w:fill="FFFFFF"/>
            <w:noWrap w:val="0"/>
            <w:tcMar>
              <w:top w:w="80" w:type="dxa"/>
              <w:left w:w="80" w:type="dxa"/>
              <w:bottom w:w="80" w:type="dxa"/>
              <w:right w:w="80" w:type="dxa"/>
            </w:tcMar>
            <w:vAlign w:val="center"/>
          </w:tcPr>
          <w:p w14:paraId="7A4FD0B6">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1"/>
                <w:szCs w:val="21"/>
                <w:highlight w:val="none"/>
              </w:rPr>
            </w:pPr>
          </w:p>
        </w:tc>
        <w:tc>
          <w:tcPr>
            <w:tcW w:w="1173" w:type="dxa"/>
            <w:tcBorders>
              <w:tl2br w:val="nil"/>
              <w:tr2bl w:val="nil"/>
            </w:tcBorders>
            <w:shd w:val="clear" w:color="auto" w:fill="FFFFFF"/>
            <w:noWrap w:val="0"/>
            <w:tcMar>
              <w:top w:w="80" w:type="dxa"/>
              <w:left w:w="80" w:type="dxa"/>
              <w:bottom w:w="80" w:type="dxa"/>
              <w:right w:w="80" w:type="dxa"/>
            </w:tcMar>
            <w:vAlign w:val="center"/>
          </w:tcPr>
          <w:p w14:paraId="22CC6646">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1"/>
                <w:szCs w:val="21"/>
                <w:highlight w:val="none"/>
              </w:rPr>
            </w:pPr>
          </w:p>
        </w:tc>
        <w:tc>
          <w:tcPr>
            <w:tcW w:w="2427" w:type="dxa"/>
            <w:tcBorders>
              <w:tl2br w:val="nil"/>
              <w:tr2bl w:val="nil"/>
            </w:tcBorders>
            <w:shd w:val="clear" w:color="auto" w:fill="FFFFFF"/>
            <w:noWrap w:val="0"/>
            <w:tcMar>
              <w:top w:w="80" w:type="dxa"/>
              <w:left w:w="80" w:type="dxa"/>
              <w:bottom w:w="80" w:type="dxa"/>
              <w:right w:w="80" w:type="dxa"/>
            </w:tcMar>
            <w:vAlign w:val="center"/>
          </w:tcPr>
          <w:p w14:paraId="3DF0EA85">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技术人员</w:t>
            </w:r>
          </w:p>
        </w:tc>
        <w:tc>
          <w:tcPr>
            <w:tcW w:w="2008" w:type="dxa"/>
            <w:tcBorders>
              <w:tl2br w:val="nil"/>
              <w:tr2bl w:val="nil"/>
            </w:tcBorders>
            <w:shd w:val="clear" w:color="auto" w:fill="FFFFFF"/>
            <w:noWrap w:val="0"/>
            <w:tcMar>
              <w:top w:w="80" w:type="dxa"/>
              <w:left w:w="80" w:type="dxa"/>
              <w:bottom w:w="80" w:type="dxa"/>
              <w:right w:w="80" w:type="dxa"/>
            </w:tcMar>
            <w:vAlign w:val="center"/>
          </w:tcPr>
          <w:p w14:paraId="67613A41">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1"/>
                <w:szCs w:val="21"/>
                <w:highlight w:val="none"/>
              </w:rPr>
            </w:pPr>
          </w:p>
        </w:tc>
      </w:tr>
      <w:tr w14:paraId="0B610BE4">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567" w:hRule="atLeast"/>
          <w:jc w:val="center"/>
        </w:trPr>
        <w:tc>
          <w:tcPr>
            <w:tcW w:w="759" w:type="dxa"/>
            <w:tcBorders>
              <w:tl2br w:val="nil"/>
              <w:tr2bl w:val="nil"/>
            </w:tcBorders>
            <w:shd w:val="clear" w:color="auto" w:fill="FFFFFF"/>
            <w:noWrap w:val="0"/>
            <w:tcMar>
              <w:top w:w="80" w:type="dxa"/>
              <w:left w:w="80" w:type="dxa"/>
              <w:bottom w:w="80" w:type="dxa"/>
              <w:right w:w="80" w:type="dxa"/>
            </w:tcMar>
            <w:vAlign w:val="center"/>
          </w:tcPr>
          <w:p w14:paraId="5F42E4D2">
            <w:pPr>
              <w:keepNext w:val="0"/>
              <w:keepLines w:val="0"/>
              <w:pageBreakBefore w:val="0"/>
              <w:kinsoku/>
              <w:wordWrap/>
              <w:overflowPunct/>
              <w:topLinePunct w:val="0"/>
              <w:autoSpaceDE/>
              <w:autoSpaceDN/>
              <w:bidi w:val="0"/>
              <w:spacing w:line="440" w:lineRule="exact"/>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1929" w:type="dxa"/>
            <w:tcBorders>
              <w:tl2br w:val="nil"/>
              <w:tr2bl w:val="nil"/>
            </w:tcBorders>
            <w:shd w:val="clear" w:color="auto" w:fill="FFFFFF"/>
            <w:noWrap w:val="0"/>
            <w:tcMar>
              <w:top w:w="80" w:type="dxa"/>
              <w:left w:w="80" w:type="dxa"/>
              <w:bottom w:w="80" w:type="dxa"/>
              <w:right w:w="80" w:type="dxa"/>
            </w:tcMar>
            <w:vAlign w:val="center"/>
          </w:tcPr>
          <w:p w14:paraId="101EBF58">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1"/>
                <w:szCs w:val="21"/>
                <w:highlight w:val="none"/>
              </w:rPr>
            </w:pPr>
          </w:p>
        </w:tc>
        <w:tc>
          <w:tcPr>
            <w:tcW w:w="1125" w:type="dxa"/>
            <w:tcBorders>
              <w:tl2br w:val="nil"/>
              <w:tr2bl w:val="nil"/>
            </w:tcBorders>
            <w:shd w:val="clear" w:color="auto" w:fill="FFFFFF"/>
            <w:noWrap w:val="0"/>
            <w:tcMar>
              <w:top w:w="80" w:type="dxa"/>
              <w:left w:w="80" w:type="dxa"/>
              <w:bottom w:w="80" w:type="dxa"/>
              <w:right w:w="80" w:type="dxa"/>
            </w:tcMar>
            <w:vAlign w:val="center"/>
          </w:tcPr>
          <w:p w14:paraId="5EA48D26">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1"/>
                <w:szCs w:val="21"/>
                <w:highlight w:val="none"/>
              </w:rPr>
            </w:pPr>
          </w:p>
        </w:tc>
        <w:tc>
          <w:tcPr>
            <w:tcW w:w="1173" w:type="dxa"/>
            <w:tcBorders>
              <w:tl2br w:val="nil"/>
              <w:tr2bl w:val="nil"/>
            </w:tcBorders>
            <w:shd w:val="clear" w:color="auto" w:fill="FFFFFF"/>
            <w:noWrap w:val="0"/>
            <w:tcMar>
              <w:top w:w="80" w:type="dxa"/>
              <w:left w:w="80" w:type="dxa"/>
              <w:bottom w:w="80" w:type="dxa"/>
              <w:right w:w="80" w:type="dxa"/>
            </w:tcMar>
            <w:vAlign w:val="center"/>
          </w:tcPr>
          <w:p w14:paraId="76E0B76A">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1"/>
                <w:szCs w:val="21"/>
                <w:highlight w:val="none"/>
              </w:rPr>
            </w:pPr>
          </w:p>
        </w:tc>
        <w:tc>
          <w:tcPr>
            <w:tcW w:w="2427" w:type="dxa"/>
            <w:tcBorders>
              <w:tl2br w:val="nil"/>
              <w:tr2bl w:val="nil"/>
            </w:tcBorders>
            <w:shd w:val="clear" w:color="auto" w:fill="FFFFFF"/>
            <w:noWrap w:val="0"/>
            <w:tcMar>
              <w:top w:w="80" w:type="dxa"/>
              <w:left w:w="80" w:type="dxa"/>
              <w:bottom w:w="80" w:type="dxa"/>
              <w:right w:w="80" w:type="dxa"/>
            </w:tcMar>
            <w:vAlign w:val="center"/>
          </w:tcPr>
          <w:p w14:paraId="502BE3CD">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技术人员</w:t>
            </w:r>
          </w:p>
        </w:tc>
        <w:tc>
          <w:tcPr>
            <w:tcW w:w="2008" w:type="dxa"/>
            <w:tcBorders>
              <w:tl2br w:val="nil"/>
              <w:tr2bl w:val="nil"/>
            </w:tcBorders>
            <w:shd w:val="clear" w:color="auto" w:fill="FFFFFF"/>
            <w:noWrap w:val="0"/>
            <w:tcMar>
              <w:top w:w="80" w:type="dxa"/>
              <w:left w:w="80" w:type="dxa"/>
              <w:bottom w:w="80" w:type="dxa"/>
              <w:right w:w="80" w:type="dxa"/>
            </w:tcMar>
            <w:vAlign w:val="center"/>
          </w:tcPr>
          <w:p w14:paraId="35A9FD7C">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1"/>
                <w:szCs w:val="21"/>
                <w:highlight w:val="none"/>
              </w:rPr>
            </w:pPr>
          </w:p>
        </w:tc>
      </w:tr>
      <w:tr w14:paraId="0A877AC9">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567" w:hRule="atLeast"/>
          <w:jc w:val="center"/>
        </w:trPr>
        <w:tc>
          <w:tcPr>
            <w:tcW w:w="759" w:type="dxa"/>
            <w:tcBorders>
              <w:tl2br w:val="nil"/>
              <w:tr2bl w:val="nil"/>
            </w:tcBorders>
            <w:shd w:val="clear" w:color="auto" w:fill="FFFFFF"/>
            <w:noWrap w:val="0"/>
            <w:tcMar>
              <w:top w:w="80" w:type="dxa"/>
              <w:left w:w="80" w:type="dxa"/>
              <w:bottom w:w="80" w:type="dxa"/>
              <w:right w:w="80" w:type="dxa"/>
            </w:tcMar>
            <w:vAlign w:val="center"/>
          </w:tcPr>
          <w:p w14:paraId="3A888A4A">
            <w:pPr>
              <w:keepNext w:val="0"/>
              <w:keepLines w:val="0"/>
              <w:pageBreakBefore w:val="0"/>
              <w:kinsoku/>
              <w:wordWrap/>
              <w:overflowPunct/>
              <w:topLinePunct w:val="0"/>
              <w:autoSpaceDE/>
              <w:autoSpaceDN/>
              <w:bidi w:val="0"/>
              <w:spacing w:line="440" w:lineRule="exact"/>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w:t>
            </w:r>
          </w:p>
        </w:tc>
        <w:tc>
          <w:tcPr>
            <w:tcW w:w="1929" w:type="dxa"/>
            <w:tcBorders>
              <w:tl2br w:val="nil"/>
              <w:tr2bl w:val="nil"/>
            </w:tcBorders>
            <w:shd w:val="clear" w:color="auto" w:fill="FFFFFF"/>
            <w:noWrap w:val="0"/>
            <w:tcMar>
              <w:top w:w="80" w:type="dxa"/>
              <w:left w:w="80" w:type="dxa"/>
              <w:bottom w:w="80" w:type="dxa"/>
              <w:right w:w="80" w:type="dxa"/>
            </w:tcMar>
            <w:vAlign w:val="center"/>
          </w:tcPr>
          <w:p w14:paraId="0857981E">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1"/>
                <w:szCs w:val="21"/>
                <w:highlight w:val="none"/>
              </w:rPr>
            </w:pPr>
          </w:p>
        </w:tc>
        <w:tc>
          <w:tcPr>
            <w:tcW w:w="1125" w:type="dxa"/>
            <w:tcBorders>
              <w:tl2br w:val="nil"/>
              <w:tr2bl w:val="nil"/>
            </w:tcBorders>
            <w:shd w:val="clear" w:color="auto" w:fill="FFFFFF"/>
            <w:noWrap w:val="0"/>
            <w:tcMar>
              <w:top w:w="80" w:type="dxa"/>
              <w:left w:w="80" w:type="dxa"/>
              <w:bottom w:w="80" w:type="dxa"/>
              <w:right w:w="80" w:type="dxa"/>
            </w:tcMar>
            <w:vAlign w:val="center"/>
          </w:tcPr>
          <w:p w14:paraId="5747C2AA">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1"/>
                <w:szCs w:val="21"/>
                <w:highlight w:val="none"/>
              </w:rPr>
            </w:pPr>
          </w:p>
        </w:tc>
        <w:tc>
          <w:tcPr>
            <w:tcW w:w="1173" w:type="dxa"/>
            <w:tcBorders>
              <w:tl2br w:val="nil"/>
              <w:tr2bl w:val="nil"/>
            </w:tcBorders>
            <w:shd w:val="clear" w:color="auto" w:fill="FFFFFF"/>
            <w:noWrap w:val="0"/>
            <w:tcMar>
              <w:top w:w="80" w:type="dxa"/>
              <w:left w:w="80" w:type="dxa"/>
              <w:bottom w:w="80" w:type="dxa"/>
              <w:right w:w="80" w:type="dxa"/>
            </w:tcMar>
            <w:vAlign w:val="center"/>
          </w:tcPr>
          <w:p w14:paraId="61DA8789">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1"/>
                <w:szCs w:val="21"/>
                <w:highlight w:val="none"/>
              </w:rPr>
            </w:pPr>
          </w:p>
        </w:tc>
        <w:tc>
          <w:tcPr>
            <w:tcW w:w="2427" w:type="dxa"/>
            <w:tcBorders>
              <w:tl2br w:val="nil"/>
              <w:tr2bl w:val="nil"/>
            </w:tcBorders>
            <w:shd w:val="clear" w:color="auto" w:fill="FFFFFF"/>
            <w:noWrap w:val="0"/>
            <w:tcMar>
              <w:top w:w="80" w:type="dxa"/>
              <w:left w:w="80" w:type="dxa"/>
              <w:bottom w:w="80" w:type="dxa"/>
              <w:right w:w="80" w:type="dxa"/>
            </w:tcMar>
            <w:vAlign w:val="center"/>
          </w:tcPr>
          <w:p w14:paraId="0B7BE898">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开发人员</w:t>
            </w:r>
          </w:p>
        </w:tc>
        <w:tc>
          <w:tcPr>
            <w:tcW w:w="2008" w:type="dxa"/>
            <w:tcBorders>
              <w:tl2br w:val="nil"/>
              <w:tr2bl w:val="nil"/>
            </w:tcBorders>
            <w:shd w:val="clear" w:color="auto" w:fill="FFFFFF"/>
            <w:noWrap w:val="0"/>
            <w:tcMar>
              <w:top w:w="80" w:type="dxa"/>
              <w:left w:w="80" w:type="dxa"/>
              <w:bottom w:w="80" w:type="dxa"/>
              <w:right w:w="80" w:type="dxa"/>
            </w:tcMar>
            <w:vAlign w:val="center"/>
          </w:tcPr>
          <w:p w14:paraId="68594F51">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1"/>
                <w:szCs w:val="21"/>
                <w:highlight w:val="none"/>
              </w:rPr>
            </w:pPr>
          </w:p>
        </w:tc>
      </w:tr>
      <w:tr w14:paraId="18A293B0">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567" w:hRule="atLeast"/>
          <w:jc w:val="center"/>
        </w:trPr>
        <w:tc>
          <w:tcPr>
            <w:tcW w:w="759" w:type="dxa"/>
            <w:tcBorders>
              <w:tl2br w:val="nil"/>
              <w:tr2bl w:val="nil"/>
            </w:tcBorders>
            <w:shd w:val="clear" w:color="auto" w:fill="FFFFFF"/>
            <w:noWrap w:val="0"/>
            <w:tcMar>
              <w:top w:w="80" w:type="dxa"/>
              <w:left w:w="80" w:type="dxa"/>
              <w:bottom w:w="80" w:type="dxa"/>
              <w:right w:w="80" w:type="dxa"/>
            </w:tcMar>
            <w:vAlign w:val="center"/>
          </w:tcPr>
          <w:p w14:paraId="74EC6ED9">
            <w:pPr>
              <w:keepNext w:val="0"/>
              <w:keepLines w:val="0"/>
              <w:pageBreakBefore w:val="0"/>
              <w:kinsoku/>
              <w:wordWrap/>
              <w:overflowPunct/>
              <w:topLinePunct w:val="0"/>
              <w:autoSpaceDE/>
              <w:autoSpaceDN/>
              <w:bidi w:val="0"/>
              <w:spacing w:line="440" w:lineRule="exact"/>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w:t>
            </w:r>
          </w:p>
        </w:tc>
        <w:tc>
          <w:tcPr>
            <w:tcW w:w="1929" w:type="dxa"/>
            <w:tcBorders>
              <w:tl2br w:val="nil"/>
              <w:tr2bl w:val="nil"/>
            </w:tcBorders>
            <w:shd w:val="clear" w:color="auto" w:fill="FFFFFF"/>
            <w:noWrap w:val="0"/>
            <w:tcMar>
              <w:top w:w="80" w:type="dxa"/>
              <w:left w:w="80" w:type="dxa"/>
              <w:bottom w:w="80" w:type="dxa"/>
              <w:right w:w="80" w:type="dxa"/>
            </w:tcMar>
            <w:vAlign w:val="center"/>
          </w:tcPr>
          <w:p w14:paraId="43D5FF52">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1"/>
                <w:szCs w:val="21"/>
                <w:highlight w:val="none"/>
              </w:rPr>
            </w:pPr>
          </w:p>
        </w:tc>
        <w:tc>
          <w:tcPr>
            <w:tcW w:w="1125" w:type="dxa"/>
            <w:tcBorders>
              <w:tl2br w:val="nil"/>
              <w:tr2bl w:val="nil"/>
            </w:tcBorders>
            <w:shd w:val="clear" w:color="auto" w:fill="FFFFFF"/>
            <w:noWrap w:val="0"/>
            <w:tcMar>
              <w:top w:w="80" w:type="dxa"/>
              <w:left w:w="80" w:type="dxa"/>
              <w:bottom w:w="80" w:type="dxa"/>
              <w:right w:w="80" w:type="dxa"/>
            </w:tcMar>
            <w:vAlign w:val="center"/>
          </w:tcPr>
          <w:p w14:paraId="253A5714">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1"/>
                <w:szCs w:val="21"/>
                <w:highlight w:val="none"/>
              </w:rPr>
            </w:pPr>
          </w:p>
        </w:tc>
        <w:tc>
          <w:tcPr>
            <w:tcW w:w="1173" w:type="dxa"/>
            <w:tcBorders>
              <w:tl2br w:val="nil"/>
              <w:tr2bl w:val="nil"/>
            </w:tcBorders>
            <w:shd w:val="clear" w:color="auto" w:fill="FFFFFF"/>
            <w:noWrap w:val="0"/>
            <w:tcMar>
              <w:top w:w="80" w:type="dxa"/>
              <w:left w:w="80" w:type="dxa"/>
              <w:bottom w:w="80" w:type="dxa"/>
              <w:right w:w="80" w:type="dxa"/>
            </w:tcMar>
            <w:vAlign w:val="center"/>
          </w:tcPr>
          <w:p w14:paraId="603BCA99">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1"/>
                <w:szCs w:val="21"/>
                <w:highlight w:val="none"/>
              </w:rPr>
            </w:pPr>
          </w:p>
        </w:tc>
        <w:tc>
          <w:tcPr>
            <w:tcW w:w="2427" w:type="dxa"/>
            <w:tcBorders>
              <w:tl2br w:val="nil"/>
              <w:tr2bl w:val="nil"/>
            </w:tcBorders>
            <w:shd w:val="clear" w:color="auto" w:fill="FFFFFF"/>
            <w:noWrap w:val="0"/>
            <w:tcMar>
              <w:top w:w="80" w:type="dxa"/>
              <w:left w:w="80" w:type="dxa"/>
              <w:bottom w:w="80" w:type="dxa"/>
              <w:right w:w="80" w:type="dxa"/>
            </w:tcMar>
            <w:vAlign w:val="center"/>
          </w:tcPr>
          <w:p w14:paraId="3C2E842B">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开发人员</w:t>
            </w:r>
          </w:p>
        </w:tc>
        <w:tc>
          <w:tcPr>
            <w:tcW w:w="2008" w:type="dxa"/>
            <w:tcBorders>
              <w:tl2br w:val="nil"/>
              <w:tr2bl w:val="nil"/>
            </w:tcBorders>
            <w:shd w:val="clear" w:color="auto" w:fill="FFFFFF"/>
            <w:noWrap w:val="0"/>
            <w:tcMar>
              <w:top w:w="80" w:type="dxa"/>
              <w:left w:w="80" w:type="dxa"/>
              <w:bottom w:w="80" w:type="dxa"/>
              <w:right w:w="80" w:type="dxa"/>
            </w:tcMar>
            <w:vAlign w:val="center"/>
          </w:tcPr>
          <w:p w14:paraId="42529F64">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1"/>
                <w:szCs w:val="21"/>
                <w:highlight w:val="none"/>
              </w:rPr>
            </w:pPr>
          </w:p>
        </w:tc>
      </w:tr>
      <w:tr w14:paraId="50AE7C27">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567" w:hRule="atLeast"/>
          <w:jc w:val="center"/>
        </w:trPr>
        <w:tc>
          <w:tcPr>
            <w:tcW w:w="759" w:type="dxa"/>
            <w:tcBorders>
              <w:tl2br w:val="nil"/>
              <w:tr2bl w:val="nil"/>
            </w:tcBorders>
            <w:shd w:val="clear" w:color="auto" w:fill="FFFFFF"/>
            <w:noWrap w:val="0"/>
            <w:tcMar>
              <w:top w:w="80" w:type="dxa"/>
              <w:left w:w="80" w:type="dxa"/>
              <w:bottom w:w="80" w:type="dxa"/>
              <w:right w:w="80" w:type="dxa"/>
            </w:tcMar>
            <w:vAlign w:val="center"/>
          </w:tcPr>
          <w:p w14:paraId="3AAF290A">
            <w:pPr>
              <w:keepNext w:val="0"/>
              <w:keepLines w:val="0"/>
              <w:pageBreakBefore w:val="0"/>
              <w:kinsoku/>
              <w:wordWrap/>
              <w:overflowPunct/>
              <w:topLinePunct w:val="0"/>
              <w:autoSpaceDE/>
              <w:autoSpaceDN/>
              <w:bidi w:val="0"/>
              <w:spacing w:line="440" w:lineRule="exact"/>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w:t>
            </w:r>
          </w:p>
        </w:tc>
        <w:tc>
          <w:tcPr>
            <w:tcW w:w="1929" w:type="dxa"/>
            <w:tcBorders>
              <w:tl2br w:val="nil"/>
              <w:tr2bl w:val="nil"/>
            </w:tcBorders>
            <w:shd w:val="clear" w:color="auto" w:fill="FFFFFF"/>
            <w:noWrap w:val="0"/>
            <w:tcMar>
              <w:top w:w="80" w:type="dxa"/>
              <w:left w:w="80" w:type="dxa"/>
              <w:bottom w:w="80" w:type="dxa"/>
              <w:right w:w="80" w:type="dxa"/>
            </w:tcMar>
            <w:vAlign w:val="center"/>
          </w:tcPr>
          <w:p w14:paraId="0B07FD97">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1"/>
                <w:szCs w:val="21"/>
                <w:highlight w:val="none"/>
              </w:rPr>
            </w:pPr>
          </w:p>
        </w:tc>
        <w:tc>
          <w:tcPr>
            <w:tcW w:w="1125" w:type="dxa"/>
            <w:tcBorders>
              <w:tl2br w:val="nil"/>
              <w:tr2bl w:val="nil"/>
            </w:tcBorders>
            <w:shd w:val="clear" w:color="auto" w:fill="FFFFFF"/>
            <w:noWrap w:val="0"/>
            <w:tcMar>
              <w:top w:w="80" w:type="dxa"/>
              <w:left w:w="80" w:type="dxa"/>
              <w:bottom w:w="80" w:type="dxa"/>
              <w:right w:w="80" w:type="dxa"/>
            </w:tcMar>
            <w:vAlign w:val="center"/>
          </w:tcPr>
          <w:p w14:paraId="473F3145">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1"/>
                <w:szCs w:val="21"/>
                <w:highlight w:val="none"/>
              </w:rPr>
            </w:pPr>
          </w:p>
        </w:tc>
        <w:tc>
          <w:tcPr>
            <w:tcW w:w="1173" w:type="dxa"/>
            <w:tcBorders>
              <w:tl2br w:val="nil"/>
              <w:tr2bl w:val="nil"/>
            </w:tcBorders>
            <w:shd w:val="clear" w:color="auto" w:fill="FFFFFF"/>
            <w:noWrap w:val="0"/>
            <w:tcMar>
              <w:top w:w="80" w:type="dxa"/>
              <w:left w:w="80" w:type="dxa"/>
              <w:bottom w:w="80" w:type="dxa"/>
              <w:right w:w="80" w:type="dxa"/>
            </w:tcMar>
            <w:vAlign w:val="center"/>
          </w:tcPr>
          <w:p w14:paraId="636ECD64">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1"/>
                <w:szCs w:val="21"/>
                <w:highlight w:val="none"/>
              </w:rPr>
            </w:pPr>
          </w:p>
        </w:tc>
        <w:tc>
          <w:tcPr>
            <w:tcW w:w="2427" w:type="dxa"/>
            <w:tcBorders>
              <w:tl2br w:val="nil"/>
              <w:tr2bl w:val="nil"/>
            </w:tcBorders>
            <w:shd w:val="clear" w:color="auto" w:fill="FFFFFF"/>
            <w:noWrap w:val="0"/>
            <w:tcMar>
              <w:top w:w="80" w:type="dxa"/>
              <w:left w:w="80" w:type="dxa"/>
              <w:bottom w:w="80" w:type="dxa"/>
              <w:right w:w="80" w:type="dxa"/>
            </w:tcMar>
            <w:vAlign w:val="center"/>
          </w:tcPr>
          <w:p w14:paraId="302E8F04">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运维人员</w:t>
            </w:r>
          </w:p>
        </w:tc>
        <w:tc>
          <w:tcPr>
            <w:tcW w:w="2008" w:type="dxa"/>
            <w:tcBorders>
              <w:tl2br w:val="nil"/>
              <w:tr2bl w:val="nil"/>
            </w:tcBorders>
            <w:shd w:val="clear" w:color="auto" w:fill="FFFFFF"/>
            <w:noWrap w:val="0"/>
            <w:tcMar>
              <w:top w:w="80" w:type="dxa"/>
              <w:left w:w="80" w:type="dxa"/>
              <w:bottom w:w="80" w:type="dxa"/>
              <w:right w:w="80" w:type="dxa"/>
            </w:tcMar>
            <w:vAlign w:val="center"/>
          </w:tcPr>
          <w:p w14:paraId="43B1D841">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1"/>
                <w:szCs w:val="21"/>
                <w:highlight w:val="none"/>
              </w:rPr>
            </w:pPr>
          </w:p>
        </w:tc>
      </w:tr>
      <w:tr w14:paraId="293CDDE3">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567" w:hRule="atLeast"/>
          <w:jc w:val="center"/>
        </w:trPr>
        <w:tc>
          <w:tcPr>
            <w:tcW w:w="759" w:type="dxa"/>
            <w:tcBorders>
              <w:tl2br w:val="nil"/>
              <w:tr2bl w:val="nil"/>
            </w:tcBorders>
            <w:shd w:val="clear" w:color="auto" w:fill="FFFFFF"/>
            <w:noWrap w:val="0"/>
            <w:tcMar>
              <w:top w:w="80" w:type="dxa"/>
              <w:left w:w="80" w:type="dxa"/>
              <w:bottom w:w="80" w:type="dxa"/>
              <w:right w:w="80" w:type="dxa"/>
            </w:tcMar>
            <w:vAlign w:val="center"/>
          </w:tcPr>
          <w:p w14:paraId="6BAB1DE9">
            <w:pPr>
              <w:keepNext w:val="0"/>
              <w:keepLines w:val="0"/>
              <w:pageBreakBefore w:val="0"/>
              <w:kinsoku/>
              <w:wordWrap/>
              <w:overflowPunct/>
              <w:topLinePunct w:val="0"/>
              <w:autoSpaceDE/>
              <w:autoSpaceDN/>
              <w:bidi w:val="0"/>
              <w:spacing w:line="440" w:lineRule="exact"/>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w:t>
            </w:r>
          </w:p>
        </w:tc>
        <w:tc>
          <w:tcPr>
            <w:tcW w:w="1929" w:type="dxa"/>
            <w:tcBorders>
              <w:tl2br w:val="nil"/>
              <w:tr2bl w:val="nil"/>
            </w:tcBorders>
            <w:shd w:val="clear" w:color="auto" w:fill="FFFFFF"/>
            <w:noWrap w:val="0"/>
            <w:tcMar>
              <w:top w:w="80" w:type="dxa"/>
              <w:left w:w="80" w:type="dxa"/>
              <w:bottom w:w="80" w:type="dxa"/>
              <w:right w:w="80" w:type="dxa"/>
            </w:tcMar>
            <w:vAlign w:val="center"/>
          </w:tcPr>
          <w:p w14:paraId="2AF36F7F">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1"/>
                <w:szCs w:val="21"/>
                <w:highlight w:val="none"/>
              </w:rPr>
            </w:pPr>
          </w:p>
        </w:tc>
        <w:tc>
          <w:tcPr>
            <w:tcW w:w="1125" w:type="dxa"/>
            <w:tcBorders>
              <w:tl2br w:val="nil"/>
              <w:tr2bl w:val="nil"/>
            </w:tcBorders>
            <w:shd w:val="clear" w:color="auto" w:fill="FFFFFF"/>
            <w:noWrap w:val="0"/>
            <w:tcMar>
              <w:top w:w="80" w:type="dxa"/>
              <w:left w:w="80" w:type="dxa"/>
              <w:bottom w:w="80" w:type="dxa"/>
              <w:right w:w="80" w:type="dxa"/>
            </w:tcMar>
            <w:vAlign w:val="center"/>
          </w:tcPr>
          <w:p w14:paraId="353CEF5A">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1"/>
                <w:szCs w:val="21"/>
                <w:highlight w:val="none"/>
              </w:rPr>
            </w:pPr>
          </w:p>
        </w:tc>
        <w:tc>
          <w:tcPr>
            <w:tcW w:w="1173" w:type="dxa"/>
            <w:tcBorders>
              <w:tl2br w:val="nil"/>
              <w:tr2bl w:val="nil"/>
            </w:tcBorders>
            <w:shd w:val="clear" w:color="auto" w:fill="FFFFFF"/>
            <w:noWrap w:val="0"/>
            <w:tcMar>
              <w:top w:w="80" w:type="dxa"/>
              <w:left w:w="80" w:type="dxa"/>
              <w:bottom w:w="80" w:type="dxa"/>
              <w:right w:w="80" w:type="dxa"/>
            </w:tcMar>
            <w:vAlign w:val="center"/>
          </w:tcPr>
          <w:p w14:paraId="13D6D850">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1"/>
                <w:szCs w:val="21"/>
                <w:highlight w:val="none"/>
              </w:rPr>
            </w:pPr>
          </w:p>
        </w:tc>
        <w:tc>
          <w:tcPr>
            <w:tcW w:w="2427" w:type="dxa"/>
            <w:tcBorders>
              <w:tl2br w:val="nil"/>
              <w:tr2bl w:val="nil"/>
            </w:tcBorders>
            <w:shd w:val="clear" w:color="auto" w:fill="FFFFFF"/>
            <w:noWrap w:val="0"/>
            <w:tcMar>
              <w:top w:w="80" w:type="dxa"/>
              <w:left w:w="80" w:type="dxa"/>
              <w:bottom w:w="80" w:type="dxa"/>
              <w:right w:w="80" w:type="dxa"/>
            </w:tcMar>
            <w:vAlign w:val="center"/>
          </w:tcPr>
          <w:p w14:paraId="5BB1A013">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运维人员</w:t>
            </w:r>
          </w:p>
        </w:tc>
        <w:tc>
          <w:tcPr>
            <w:tcW w:w="2008" w:type="dxa"/>
            <w:tcBorders>
              <w:tl2br w:val="nil"/>
              <w:tr2bl w:val="nil"/>
            </w:tcBorders>
            <w:shd w:val="clear" w:color="auto" w:fill="FFFFFF"/>
            <w:noWrap w:val="0"/>
            <w:tcMar>
              <w:top w:w="80" w:type="dxa"/>
              <w:left w:w="80" w:type="dxa"/>
              <w:bottom w:w="80" w:type="dxa"/>
              <w:right w:w="80" w:type="dxa"/>
            </w:tcMar>
            <w:vAlign w:val="center"/>
          </w:tcPr>
          <w:p w14:paraId="58479D9E">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1"/>
                <w:szCs w:val="21"/>
                <w:highlight w:val="none"/>
              </w:rPr>
            </w:pPr>
          </w:p>
        </w:tc>
      </w:tr>
    </w:tbl>
    <w:p w14:paraId="2CB2BD05">
      <w:pPr>
        <w:keepNext w:val="0"/>
        <w:keepLines w:val="0"/>
        <w:pageBreakBefore w:val="0"/>
        <w:kinsoku/>
        <w:wordWrap/>
        <w:overflowPunct/>
        <w:topLinePunct w:val="0"/>
        <w:bidi w:val="0"/>
        <w:spacing w:after="120" w:afterLines="50" w:line="440" w:lineRule="exact"/>
        <w:ind w:firstLine="482" w:firstLineChars="200"/>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第</w:t>
      </w:r>
      <w:r>
        <w:rPr>
          <w:rFonts w:hint="eastAsia" w:ascii="仿宋" w:hAnsi="仿宋" w:eastAsia="仿宋" w:cs="仿宋"/>
          <w:b/>
          <w:color w:val="auto"/>
          <w:sz w:val="24"/>
          <w:highlight w:val="none"/>
          <w:lang w:val="en-US" w:eastAsia="zh-CN"/>
        </w:rPr>
        <w:t>六</w:t>
      </w:r>
      <w:r>
        <w:rPr>
          <w:rFonts w:hint="eastAsia" w:ascii="仿宋" w:hAnsi="仿宋" w:eastAsia="仿宋" w:cs="仿宋"/>
          <w:b/>
          <w:color w:val="auto"/>
          <w:sz w:val="24"/>
          <w:highlight w:val="none"/>
        </w:rPr>
        <w:t xml:space="preserve">条 </w:t>
      </w:r>
      <w:r>
        <w:rPr>
          <w:rFonts w:hint="eastAsia" w:ascii="仿宋" w:hAnsi="仿宋" w:eastAsia="仿宋" w:cs="仿宋"/>
          <w:b/>
          <w:color w:val="auto"/>
          <w:sz w:val="24"/>
          <w:highlight w:val="none"/>
          <w:lang w:val="en-US" w:eastAsia="zh-CN"/>
        </w:rPr>
        <w:t>运维服务</w:t>
      </w:r>
    </w:p>
    <w:p w14:paraId="3A9904A3">
      <w:pPr>
        <w:keepNext w:val="0"/>
        <w:keepLines w:val="0"/>
        <w:pageBreakBefore w:val="0"/>
        <w:kinsoku/>
        <w:wordWrap/>
        <w:overflowPunct/>
        <w:topLinePunct w:val="0"/>
        <w:bidi w:val="0"/>
        <w:spacing w:after="120" w:afterLines="50"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r>
        <w:rPr>
          <w:rFonts w:hint="eastAsia" w:ascii="仿宋" w:hAnsi="仿宋" w:eastAsia="仿宋" w:cs="仿宋"/>
          <w:b w:val="0"/>
          <w:bCs w:val="0"/>
          <w:color w:val="auto"/>
          <w:sz w:val="24"/>
          <w:szCs w:val="24"/>
          <w:highlight w:val="none"/>
          <w:lang w:val="en-US" w:eastAsia="zh-CN"/>
        </w:rPr>
        <w:t>乙方应按招标文件规定向甲方提供合同载明服务</w:t>
      </w:r>
      <w:r>
        <w:rPr>
          <w:rFonts w:hint="eastAsia" w:ascii="仿宋" w:hAnsi="仿宋" w:eastAsia="仿宋" w:cs="仿宋"/>
          <w:bCs/>
          <w:color w:val="auto"/>
          <w:sz w:val="24"/>
          <w:highlight w:val="none"/>
        </w:rPr>
        <w:t>。</w:t>
      </w:r>
    </w:p>
    <w:p w14:paraId="161297A2">
      <w:pPr>
        <w:keepNext w:val="0"/>
        <w:keepLines w:val="0"/>
        <w:pageBreakBefore w:val="0"/>
        <w:kinsoku/>
        <w:wordWrap/>
        <w:overflowPunct/>
        <w:topLinePunct w:val="0"/>
        <w:bidi w:val="0"/>
        <w:spacing w:after="120" w:afterLines="50"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乙方定期检查设备运行状态，包括线上和线下，记录运行数据，确保设备处于良好运行状态（排除台风天、雨天等不可抗力因素以及第三方造成的停电或破坏情况。）；定期对设备进行现场维护，检查设备的关键部件和系统并更换过滤耗材，确保设备正常运行；每周提交设备运行状态记录，每个季度提交所有治理设施运行情况报告。</w:t>
      </w:r>
    </w:p>
    <w:p w14:paraId="00B9A464">
      <w:pPr>
        <w:keepNext w:val="0"/>
        <w:keepLines w:val="0"/>
        <w:pageBreakBefore w:val="0"/>
        <w:kinsoku/>
        <w:wordWrap/>
        <w:overflowPunct/>
        <w:topLinePunct w:val="0"/>
        <w:bidi w:val="0"/>
        <w:spacing w:after="120" w:afterLines="50"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w:t>
      </w:r>
      <w:r>
        <w:rPr>
          <w:rFonts w:hint="eastAsia" w:ascii="仿宋" w:hAnsi="仿宋" w:eastAsia="仿宋" w:cs="仿宋"/>
          <w:b w:val="0"/>
          <w:bCs w:val="0"/>
          <w:color w:val="auto"/>
          <w:sz w:val="24"/>
          <w:szCs w:val="24"/>
          <w:highlight w:val="none"/>
          <w:lang w:val="en-US" w:eastAsia="zh-CN"/>
        </w:rPr>
        <w:t>提供7×24电话或电子邮件服务，接到甲方报修通知</w:t>
      </w:r>
      <w:r>
        <w:rPr>
          <w:rFonts w:hint="eastAsia" w:ascii="仿宋" w:hAnsi="仿宋" w:eastAsia="仿宋" w:cs="仿宋"/>
          <w:b w:val="0"/>
          <w:bCs w:val="0"/>
          <w:color w:val="auto"/>
          <w:sz w:val="24"/>
          <w:szCs w:val="24"/>
          <w:highlight w:val="none"/>
          <w:u w:val="single"/>
          <w:lang w:val="en-US" w:eastAsia="zh-CN"/>
        </w:rPr>
        <w:t xml:space="preserve"> 2 </w:t>
      </w:r>
      <w:r>
        <w:rPr>
          <w:rFonts w:hint="eastAsia" w:ascii="仿宋" w:hAnsi="仿宋" w:eastAsia="仿宋" w:cs="仿宋"/>
          <w:b w:val="0"/>
          <w:bCs w:val="0"/>
          <w:color w:val="auto"/>
          <w:sz w:val="24"/>
          <w:szCs w:val="24"/>
          <w:highlight w:val="none"/>
          <w:lang w:val="en-US" w:eastAsia="zh-CN"/>
        </w:rPr>
        <w:t>小时内做出明确响应和安排，</w:t>
      </w:r>
      <w:r>
        <w:rPr>
          <w:rFonts w:hint="eastAsia" w:ascii="仿宋" w:hAnsi="仿宋" w:eastAsia="仿宋" w:cs="仿宋"/>
          <w:b w:val="0"/>
          <w:bCs w:val="0"/>
          <w:color w:val="auto"/>
          <w:sz w:val="24"/>
          <w:szCs w:val="24"/>
          <w:highlight w:val="none"/>
          <w:u w:val="single"/>
          <w:lang w:val="en-US" w:eastAsia="zh-CN"/>
        </w:rPr>
        <w:t xml:space="preserve"> 24 </w:t>
      </w:r>
      <w:r>
        <w:rPr>
          <w:rFonts w:hint="eastAsia" w:ascii="仿宋" w:hAnsi="仿宋" w:eastAsia="仿宋" w:cs="仿宋"/>
          <w:b w:val="0"/>
          <w:bCs w:val="0"/>
          <w:color w:val="auto"/>
          <w:sz w:val="24"/>
          <w:szCs w:val="24"/>
          <w:highlight w:val="none"/>
          <w:lang w:val="en-US" w:eastAsia="zh-CN"/>
        </w:rPr>
        <w:t>小时内做出故障诊断报告。如需现场服务的，具有解决故障能力的工程师应在接到甲方故障通知后</w:t>
      </w:r>
      <w:r>
        <w:rPr>
          <w:rFonts w:hint="eastAsia" w:ascii="仿宋" w:hAnsi="仿宋" w:eastAsia="仿宋" w:cs="仿宋"/>
          <w:b w:val="0"/>
          <w:bCs w:val="0"/>
          <w:color w:val="auto"/>
          <w:sz w:val="24"/>
          <w:szCs w:val="24"/>
          <w:highlight w:val="none"/>
          <w:u w:val="single"/>
          <w:lang w:val="en-US" w:eastAsia="zh-CN"/>
        </w:rPr>
        <w:t xml:space="preserve"> 4 </w:t>
      </w:r>
      <w:r>
        <w:rPr>
          <w:rFonts w:hint="eastAsia" w:ascii="仿宋" w:hAnsi="仿宋" w:eastAsia="仿宋" w:cs="仿宋"/>
          <w:b w:val="0"/>
          <w:bCs w:val="0"/>
          <w:color w:val="auto"/>
          <w:sz w:val="24"/>
          <w:szCs w:val="24"/>
          <w:highlight w:val="none"/>
          <w:lang w:val="en-US" w:eastAsia="zh-CN"/>
        </w:rPr>
        <w:t>小时内到达现场</w:t>
      </w:r>
      <w:r>
        <w:rPr>
          <w:rFonts w:hint="eastAsia" w:ascii="仿宋" w:hAnsi="仿宋" w:eastAsia="仿宋" w:cs="仿宋"/>
          <w:bCs/>
          <w:color w:val="auto"/>
          <w:sz w:val="24"/>
          <w:highlight w:val="none"/>
        </w:rPr>
        <w:t>。</w:t>
      </w:r>
    </w:p>
    <w:p w14:paraId="64465AB3">
      <w:pPr>
        <w:keepNext w:val="0"/>
        <w:keepLines w:val="0"/>
        <w:pageBreakBefore w:val="0"/>
        <w:kinsoku/>
        <w:wordWrap/>
        <w:overflowPunct/>
        <w:topLinePunct w:val="0"/>
        <w:bidi w:val="0"/>
        <w:spacing w:after="120" w:afterLines="50" w:line="440" w:lineRule="exact"/>
        <w:ind w:firstLine="480" w:firstLine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4、</w:t>
      </w:r>
      <w:r>
        <w:rPr>
          <w:rFonts w:hint="eastAsia" w:ascii="仿宋" w:hAnsi="仿宋" w:eastAsia="仿宋" w:cs="仿宋"/>
          <w:b w:val="0"/>
          <w:bCs w:val="0"/>
          <w:color w:val="auto"/>
          <w:sz w:val="24"/>
          <w:szCs w:val="24"/>
          <w:highlight w:val="none"/>
          <w:lang w:val="en-US" w:eastAsia="zh-CN"/>
        </w:rPr>
        <w:t>在服务期内，乙方应对项目出现的质量及安全问题负全责，及时处理解决并承担一切费用</w:t>
      </w:r>
      <w:r>
        <w:rPr>
          <w:rFonts w:hint="eastAsia" w:ascii="仿宋" w:hAnsi="仿宋" w:eastAsia="仿宋" w:cs="仿宋"/>
          <w:bCs/>
          <w:color w:val="auto"/>
          <w:sz w:val="24"/>
          <w:highlight w:val="none"/>
          <w:lang w:eastAsia="zh-CN"/>
        </w:rPr>
        <w:t>。</w:t>
      </w:r>
    </w:p>
    <w:p w14:paraId="4575001D">
      <w:pPr>
        <w:keepNext w:val="0"/>
        <w:keepLines w:val="0"/>
        <w:pageBreakBefore w:val="0"/>
        <w:kinsoku/>
        <w:wordWrap/>
        <w:overflowPunct/>
        <w:topLinePunct w:val="0"/>
        <w:bidi w:val="0"/>
        <w:spacing w:after="120" w:afterLines="50"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第七条 技术资料和保密条款</w:t>
      </w:r>
    </w:p>
    <w:p w14:paraId="766B8711">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没有甲方事先书面同意，乙方不得将由甲方提供的有关合同或任何合同条文、计划或资料提供给与履行本合同无关的任何其他人。即使向履行本合同有关的人员提供，也应注意保密并限于履行合同的必需范围。</w:t>
      </w:r>
    </w:p>
    <w:p w14:paraId="5990F368">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2、乙方承诺在项目实施过程中按照国家保密法律法规以及甲方的要求,做好有关保密工作。乙方保证项目实施过程中的有关信息、文件等对第三方保密，非经甲方同意，不得公开或向第三方提供。</w:t>
      </w:r>
    </w:p>
    <w:p w14:paraId="4D0431D7">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3、乙方项目</w:t>
      </w:r>
      <w:r>
        <w:rPr>
          <w:rFonts w:hint="eastAsia" w:ascii="仿宋" w:hAnsi="仿宋" w:eastAsia="仿宋" w:cs="仿宋"/>
          <w:color w:val="auto"/>
          <w:sz w:val="24"/>
          <w:szCs w:val="24"/>
          <w:highlight w:val="none"/>
          <w:lang w:val="en-US" w:eastAsia="zh-CN"/>
        </w:rPr>
        <w:t>负责人</w:t>
      </w:r>
      <w:r>
        <w:rPr>
          <w:rFonts w:hint="eastAsia" w:ascii="仿宋" w:hAnsi="仿宋" w:eastAsia="仿宋" w:cs="仿宋"/>
          <w:color w:val="auto"/>
          <w:sz w:val="24"/>
          <w:szCs w:val="24"/>
          <w:highlight w:val="none"/>
        </w:rPr>
        <w:t>及其他服务人员在服务期间须遵守甲方的相应管理规定，并与甲方签订保密协议及网络安全承诺书。如因违反管理规定或保密协议、承诺书内容，甲方有权追究乙方及相关人员的相应责任并赔偿相应损失。</w:t>
      </w:r>
    </w:p>
    <w:p w14:paraId="618BF3F8">
      <w:pPr>
        <w:keepNext w:val="0"/>
        <w:keepLines w:val="0"/>
        <w:pageBreakBefore w:val="0"/>
        <w:kinsoku/>
        <w:wordWrap/>
        <w:overflowPunct/>
        <w:topLinePunct w:val="0"/>
        <w:bidi w:val="0"/>
        <w:spacing w:after="120" w:afterLines="50"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w:t>
      </w:r>
      <w:r>
        <w:rPr>
          <w:rFonts w:hint="eastAsia" w:ascii="仿宋" w:hAnsi="仿宋" w:eastAsia="仿宋" w:cs="仿宋"/>
          <w:b/>
          <w:color w:val="auto"/>
          <w:sz w:val="24"/>
          <w:highlight w:val="none"/>
          <w:lang w:val="en-US" w:eastAsia="zh-CN"/>
        </w:rPr>
        <w:t>八</w:t>
      </w:r>
      <w:r>
        <w:rPr>
          <w:rFonts w:hint="eastAsia" w:ascii="仿宋" w:hAnsi="仿宋" w:eastAsia="仿宋" w:cs="仿宋"/>
          <w:b/>
          <w:color w:val="auto"/>
          <w:sz w:val="24"/>
          <w:highlight w:val="none"/>
        </w:rPr>
        <w:t>条 知识产权</w:t>
      </w:r>
    </w:p>
    <w:p w14:paraId="14963DBA">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3AC0401C">
      <w:pPr>
        <w:keepNext w:val="0"/>
        <w:keepLines w:val="0"/>
        <w:pageBreakBefore w:val="0"/>
        <w:kinsoku/>
        <w:wordWrap/>
        <w:overflowPunct/>
        <w:topLinePunct w:val="0"/>
        <w:bidi w:val="0"/>
        <w:spacing w:after="120" w:afterLines="50"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w:t>
      </w:r>
      <w:r>
        <w:rPr>
          <w:rFonts w:hint="eastAsia" w:ascii="仿宋" w:hAnsi="仿宋" w:eastAsia="仿宋" w:cs="仿宋"/>
          <w:b/>
          <w:color w:val="auto"/>
          <w:sz w:val="24"/>
          <w:highlight w:val="none"/>
          <w:lang w:val="en-US" w:eastAsia="zh-CN"/>
        </w:rPr>
        <w:t>九</w:t>
      </w:r>
      <w:r>
        <w:rPr>
          <w:rFonts w:hint="eastAsia" w:ascii="仿宋" w:hAnsi="仿宋" w:eastAsia="仿宋" w:cs="仿宋"/>
          <w:b/>
          <w:color w:val="auto"/>
          <w:sz w:val="24"/>
          <w:highlight w:val="none"/>
        </w:rPr>
        <w:t>条 成果交付材料</w:t>
      </w:r>
    </w:p>
    <w:p w14:paraId="5301C62E">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对建设过程管理和成果产物的要求：</w:t>
      </w:r>
    </w:p>
    <w:p w14:paraId="544E02F1">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文档的提交应覆盖以下内容，电子文档是成果不可分割的部分。要求如下文档：</w:t>
      </w:r>
    </w:p>
    <w:p w14:paraId="070C53AA">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●过程性文档</w:t>
      </w:r>
    </w:p>
    <w:p w14:paraId="0AD7250B">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项目实施过程中的产生的流程性文档，不限于如：</w:t>
      </w:r>
      <w:r>
        <w:rPr>
          <w:rFonts w:hint="eastAsia" w:ascii="仿宋" w:hAnsi="仿宋" w:eastAsia="仿宋" w:cs="仿宋"/>
          <w:bCs/>
          <w:color w:val="auto"/>
          <w:sz w:val="24"/>
          <w:szCs w:val="24"/>
          <w:highlight w:val="none"/>
          <w:lang w:eastAsia="zh-CN"/>
        </w:rPr>
        <w:t>现场勘察记录、需求调研记录及分析、实施方案报审单、每个季度提交所有治理设施运行情况报告、项目总结报告等</w:t>
      </w:r>
      <w:r>
        <w:rPr>
          <w:rFonts w:hint="eastAsia" w:ascii="仿宋" w:hAnsi="仿宋" w:eastAsia="仿宋" w:cs="仿宋"/>
          <w:color w:val="auto"/>
          <w:sz w:val="24"/>
          <w:szCs w:val="24"/>
          <w:highlight w:val="none"/>
        </w:rPr>
        <w:t>。</w:t>
      </w:r>
    </w:p>
    <w:p w14:paraId="6E6EC9A8">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●成果性文档</w:t>
      </w:r>
    </w:p>
    <w:p w14:paraId="3B34A5F6">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项目实施过程中的产生的成果性文档，不限于如：</w:t>
      </w:r>
      <w:r>
        <w:rPr>
          <w:rFonts w:hint="eastAsia" w:ascii="仿宋" w:hAnsi="仿宋" w:eastAsia="仿宋" w:cs="仿宋"/>
          <w:bCs/>
          <w:color w:val="auto"/>
          <w:sz w:val="24"/>
          <w:szCs w:val="24"/>
          <w:highlight w:val="none"/>
          <w:lang w:eastAsia="zh-CN"/>
        </w:rPr>
        <w:t>项目实施方案、安装、调试、运行报告，用户手册、运维管理维护手册等等</w:t>
      </w:r>
      <w:r>
        <w:rPr>
          <w:rFonts w:hint="eastAsia" w:ascii="仿宋" w:hAnsi="仿宋" w:eastAsia="仿宋" w:cs="仿宋"/>
          <w:color w:val="auto"/>
          <w:sz w:val="24"/>
          <w:szCs w:val="24"/>
          <w:highlight w:val="none"/>
        </w:rPr>
        <w:t>。</w:t>
      </w:r>
    </w:p>
    <w:p w14:paraId="01ABD339">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●其他需要提交的材料。</w:t>
      </w:r>
    </w:p>
    <w:p w14:paraId="31DC013A">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乙方在项目过程中应按照甲方要求提供相应文档资料。</w:t>
      </w:r>
    </w:p>
    <w:p w14:paraId="5231AEBF">
      <w:pPr>
        <w:keepNext w:val="0"/>
        <w:keepLines w:val="0"/>
        <w:pageBreakBefore w:val="0"/>
        <w:kinsoku/>
        <w:wordWrap/>
        <w:overflowPunct/>
        <w:topLinePunct w:val="0"/>
        <w:bidi w:val="0"/>
        <w:spacing w:after="120" w:afterLines="50"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第十条 </w:t>
      </w:r>
      <w:r>
        <w:rPr>
          <w:rFonts w:hint="eastAsia" w:ascii="仿宋" w:hAnsi="仿宋" w:eastAsia="仿宋" w:cs="仿宋"/>
          <w:b/>
          <w:color w:val="auto"/>
          <w:sz w:val="24"/>
          <w:highlight w:val="none"/>
          <w:lang w:val="en-US" w:eastAsia="zh-CN"/>
        </w:rPr>
        <w:t>考核及</w:t>
      </w:r>
      <w:r>
        <w:rPr>
          <w:rFonts w:hint="eastAsia" w:ascii="仿宋" w:hAnsi="仿宋" w:eastAsia="仿宋" w:cs="仿宋"/>
          <w:b/>
          <w:color w:val="auto"/>
          <w:sz w:val="24"/>
          <w:highlight w:val="none"/>
        </w:rPr>
        <w:t>履约验收</w:t>
      </w:r>
    </w:p>
    <w:p w14:paraId="10A599E7">
      <w:pPr>
        <w:pStyle w:val="28"/>
        <w:keepNext w:val="0"/>
        <w:keepLines w:val="0"/>
        <w:pageBreakBefore w:val="0"/>
        <w:kinsoku/>
        <w:wordWrap/>
        <w:overflowPunct/>
        <w:topLinePunct w:val="0"/>
        <w:bidi w:val="0"/>
        <w:spacing w:line="440" w:lineRule="exact"/>
        <w:ind w:firstLine="42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rPr>
        <w:t>甲方</w:t>
      </w:r>
      <w:r>
        <w:rPr>
          <w:rFonts w:hint="eastAsia" w:ascii="仿宋" w:hAnsi="仿宋" w:eastAsia="仿宋" w:cs="仿宋"/>
          <w:color w:val="auto"/>
          <w:sz w:val="24"/>
          <w:highlight w:val="none"/>
        </w:rPr>
        <w:t>可以不定期组织检查班子根据考核要求对</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服务质量进行考核，</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lang w:val="zh-CN"/>
        </w:rPr>
        <w:t>须无条件接受检查班子的检查</w:t>
      </w:r>
      <w:r>
        <w:rPr>
          <w:rFonts w:hint="eastAsia" w:ascii="仿宋" w:hAnsi="仿宋" w:eastAsia="仿宋" w:cs="仿宋"/>
          <w:color w:val="auto"/>
          <w:sz w:val="24"/>
          <w:szCs w:val="24"/>
          <w:highlight w:val="none"/>
        </w:rPr>
        <w:t>，考核情况与经费挂钩</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具体考核办法详见合同附件。</w:t>
      </w:r>
    </w:p>
    <w:p w14:paraId="372110E8">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本合同验收由甲方组织实施，乙方应委派专人配合甲方的验收工作。</w:t>
      </w:r>
    </w:p>
    <w:p w14:paraId="225CB09F">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、验收标准：合格（符合采购文件要求、投标承诺以及国家、行业有关技术规范和标准）</w:t>
      </w:r>
    </w:p>
    <w:p w14:paraId="5A266C94">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、乙方在项目完成后，应当及时向甲方发出验收申请，内容包括书面验收申请、相关说明、报告等，甲方收到乙方申请后，组织进行验收考核，乙方应当协助进行。验收结果可以作为甲方付款的考虑依据。</w:t>
      </w:r>
    </w:p>
    <w:p w14:paraId="5E5288AC">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、验收费用根据“杭州市政府采购履约验收暂行办法”第二十条规定，首次验收过程中产生的，由甲方承担；属于首次验收不合格，重新验收过程中产生的由乙方承担。</w:t>
      </w:r>
    </w:p>
    <w:p w14:paraId="034F13E3">
      <w:pPr>
        <w:keepNext w:val="0"/>
        <w:keepLines w:val="0"/>
        <w:pageBreakBefore w:val="0"/>
        <w:kinsoku/>
        <w:wordWrap/>
        <w:overflowPunct/>
        <w:topLinePunct w:val="0"/>
        <w:bidi w:val="0"/>
        <w:spacing w:after="120" w:afterLines="50"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 xml:space="preserve">第十一条 </w:t>
      </w:r>
      <w:r>
        <w:rPr>
          <w:rFonts w:hint="eastAsia" w:ascii="仿宋" w:hAnsi="仿宋" w:eastAsia="仿宋" w:cs="仿宋"/>
          <w:b/>
          <w:color w:val="auto"/>
          <w:sz w:val="24"/>
          <w:highlight w:val="none"/>
        </w:rPr>
        <w:t>通知和送达</w:t>
      </w:r>
    </w:p>
    <w:p w14:paraId="16F88FB8">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任何一方因履行合同而以合同第一部分尾部所列明的传真或电子邮件发出的所有通知、文件、材料，均视为已向对方当事人送达；任何一方变更上述送达方式或者地址的，应于</w:t>
      </w:r>
      <w:r>
        <w:rPr>
          <w:rFonts w:hint="eastAsia" w:ascii="仿宋" w:hAnsi="仿宋" w:eastAsia="仿宋" w:cs="仿宋"/>
          <w:color w:val="auto"/>
          <w:sz w:val="24"/>
          <w:szCs w:val="24"/>
          <w:highlight w:val="none"/>
          <w:u w:val="single"/>
        </w:rPr>
        <w:t>3</w:t>
      </w:r>
      <w:r>
        <w:rPr>
          <w:rFonts w:hint="eastAsia" w:ascii="仿宋" w:hAnsi="仿宋" w:eastAsia="仿宋" w:cs="仿宋"/>
          <w:color w:val="auto"/>
          <w:sz w:val="24"/>
          <w:szCs w:val="24"/>
          <w:highlight w:val="none"/>
        </w:rPr>
        <w:t>个工作日内书面通知对方当事人，在对方当事人收到有关变更通知之前，变更前的约定送达方式或者地址仍视为有效。</w:t>
      </w:r>
    </w:p>
    <w:p w14:paraId="59482112">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以当面交付方式送达的，交付之时视为送达；以电子邮件方式送达的，发出电子邮件之时视为送达；以传真方式送达的，发出传真之时视为送达；以邮寄方式送达的，邮件挂号寄出或者交邮之日之次日视为送达。</w:t>
      </w:r>
    </w:p>
    <w:p w14:paraId="40834DF1">
      <w:pPr>
        <w:keepNext w:val="0"/>
        <w:keepLines w:val="0"/>
        <w:pageBreakBefore w:val="0"/>
        <w:kinsoku/>
        <w:wordWrap/>
        <w:overflowPunct/>
        <w:topLinePunct w:val="0"/>
        <w:bidi w:val="0"/>
        <w:spacing w:after="120" w:afterLines="50"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第十</w:t>
      </w:r>
      <w:r>
        <w:rPr>
          <w:rFonts w:hint="eastAsia" w:ascii="仿宋" w:hAnsi="仿宋" w:eastAsia="仿宋" w:cs="仿宋"/>
          <w:b/>
          <w:color w:val="auto"/>
          <w:sz w:val="24"/>
          <w:highlight w:val="none"/>
          <w:lang w:val="en-US" w:eastAsia="zh-CN"/>
        </w:rPr>
        <w:t>二</w:t>
      </w:r>
      <w:r>
        <w:rPr>
          <w:rFonts w:hint="eastAsia" w:ascii="仿宋" w:hAnsi="仿宋" w:eastAsia="仿宋" w:cs="仿宋"/>
          <w:b/>
          <w:color w:val="auto"/>
          <w:sz w:val="24"/>
          <w:highlight w:val="none"/>
        </w:rPr>
        <w:t>条 合同的转让、变更及解除</w:t>
      </w:r>
    </w:p>
    <w:p w14:paraId="2D5E8008">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1、乙方不得将本合同的权利或义务全部或部分转让给第三人。否则，甲方有权解除本合同并追究乙方的违约责任。</w:t>
      </w:r>
    </w:p>
    <w:p w14:paraId="2A998258">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2、双方协商一致，可以变更、解除本合同。任何一方欲变更、解除本合同，必须提前十五日以书面形式提出，双方协商一致后签署补充协议。</w:t>
      </w:r>
    </w:p>
    <w:p w14:paraId="55A640AD">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3、除本合同另有约定外，一方有下列情形之一的，另一方可以解除本合同：</w:t>
      </w:r>
    </w:p>
    <w:p w14:paraId="346973B0">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color w:val="auto"/>
          <w:sz w:val="24"/>
          <w:szCs w:val="24"/>
          <w:highlight w:val="none"/>
        </w:rPr>
        <w:t>因不可抗力致使不能实现本合同的目的。</w:t>
      </w:r>
    </w:p>
    <w:p w14:paraId="3D492482">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color w:val="auto"/>
          <w:sz w:val="24"/>
          <w:szCs w:val="24"/>
          <w:highlight w:val="none"/>
        </w:rPr>
        <w:t>在履行期限届满之前，一方明确表示或者以自己的行为表明不履行主要义务。</w:t>
      </w:r>
    </w:p>
    <w:p w14:paraId="54033888">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（3）</w:t>
      </w:r>
      <w:r>
        <w:rPr>
          <w:rFonts w:hint="eastAsia" w:ascii="仿宋" w:hAnsi="仿宋" w:eastAsia="仿宋" w:cs="仿宋"/>
          <w:color w:val="auto"/>
          <w:sz w:val="24"/>
          <w:szCs w:val="24"/>
          <w:highlight w:val="none"/>
        </w:rPr>
        <w:t>一方迟延履行主要义务，经催告后在合理期限内（5个工作日）仍未履行。</w:t>
      </w:r>
    </w:p>
    <w:p w14:paraId="3E531FA0">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（4）</w:t>
      </w:r>
      <w:r>
        <w:rPr>
          <w:rFonts w:hint="eastAsia" w:ascii="仿宋" w:hAnsi="仿宋" w:eastAsia="仿宋" w:cs="仿宋"/>
          <w:color w:val="auto"/>
          <w:sz w:val="24"/>
          <w:szCs w:val="24"/>
          <w:highlight w:val="none"/>
        </w:rPr>
        <w:t>一方存在违反合同约定、不达约定标准情况的，且经过限期整改/纠正但仍未达到约定标准。</w:t>
      </w:r>
    </w:p>
    <w:p w14:paraId="03B5080D">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（5）</w:t>
      </w:r>
      <w:r>
        <w:rPr>
          <w:rFonts w:hint="eastAsia" w:ascii="仿宋" w:hAnsi="仿宋" w:eastAsia="仿宋" w:cs="仿宋"/>
          <w:color w:val="auto"/>
          <w:sz w:val="24"/>
          <w:szCs w:val="24"/>
          <w:highlight w:val="none"/>
        </w:rPr>
        <w:t>一方迟延履行义务或者有其他违约行为致使不能实现合同目的。</w:t>
      </w:r>
    </w:p>
    <w:p w14:paraId="1CE993D4">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（6）</w:t>
      </w:r>
      <w:r>
        <w:rPr>
          <w:rFonts w:hint="eastAsia" w:ascii="仿宋" w:hAnsi="仿宋" w:eastAsia="仿宋" w:cs="仿宋"/>
          <w:color w:val="auto"/>
          <w:sz w:val="24"/>
          <w:szCs w:val="24"/>
          <w:highlight w:val="none"/>
        </w:rPr>
        <w:t>法律规定或本合同约定的其他情形。</w:t>
      </w:r>
    </w:p>
    <w:p w14:paraId="0FFA457C">
      <w:pPr>
        <w:keepNext w:val="0"/>
        <w:keepLines w:val="0"/>
        <w:pageBreakBefore w:val="0"/>
        <w:kinsoku/>
        <w:wordWrap/>
        <w:overflowPunct/>
        <w:topLinePunct w:val="0"/>
        <w:bidi w:val="0"/>
        <w:spacing w:after="120" w:afterLines="50"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第十</w:t>
      </w:r>
      <w:r>
        <w:rPr>
          <w:rFonts w:hint="eastAsia" w:ascii="仿宋" w:hAnsi="仿宋" w:eastAsia="仿宋" w:cs="仿宋"/>
          <w:b/>
          <w:color w:val="auto"/>
          <w:sz w:val="24"/>
          <w:highlight w:val="none"/>
          <w:lang w:val="en-US" w:eastAsia="zh-CN"/>
        </w:rPr>
        <w:t>三</w:t>
      </w:r>
      <w:r>
        <w:rPr>
          <w:rFonts w:hint="eastAsia" w:ascii="仿宋" w:hAnsi="仿宋" w:eastAsia="仿宋" w:cs="仿宋"/>
          <w:b/>
          <w:color w:val="auto"/>
          <w:sz w:val="24"/>
          <w:highlight w:val="none"/>
        </w:rPr>
        <w:t xml:space="preserve">条 </w:t>
      </w:r>
      <w:r>
        <w:rPr>
          <w:rFonts w:hint="eastAsia" w:ascii="仿宋" w:hAnsi="仿宋" w:eastAsia="仿宋" w:cs="仿宋"/>
          <w:b/>
          <w:color w:val="auto"/>
          <w:sz w:val="24"/>
          <w:highlight w:val="none"/>
          <w:lang w:val="zh-TW"/>
        </w:rPr>
        <w:t>违约责任</w:t>
      </w:r>
    </w:p>
    <w:p w14:paraId="4F1FE410">
      <w:pPr>
        <w:pStyle w:val="28"/>
        <w:keepNext w:val="0"/>
        <w:keepLines w:val="0"/>
        <w:pageBreakBefore w:val="0"/>
        <w:kinsoku/>
        <w:wordWrap/>
        <w:overflowPunct/>
        <w:topLinePunct w:val="0"/>
        <w:bidi w:val="0"/>
        <w:spacing w:line="440" w:lineRule="exact"/>
        <w:ind w:firstLine="422"/>
        <w:rPr>
          <w:rFonts w:hint="eastAsia" w:ascii="仿宋" w:hAnsi="仿宋" w:eastAsia="仿宋" w:cs="仿宋"/>
          <w:color w:val="auto"/>
          <w:sz w:val="24"/>
          <w:szCs w:val="24"/>
          <w:highlight w:val="none"/>
          <w:lang w:val="zh-TW"/>
        </w:rPr>
      </w:pPr>
      <w:r>
        <w:rPr>
          <w:rFonts w:hint="eastAsia" w:ascii="仿宋" w:hAnsi="仿宋" w:eastAsia="仿宋" w:cs="仿宋"/>
          <w:color w:val="auto"/>
          <w:sz w:val="24"/>
          <w:szCs w:val="24"/>
          <w:highlight w:val="none"/>
          <w:lang w:val="zh-TW"/>
        </w:rPr>
        <w:t>1、质量责任违约</w:t>
      </w:r>
    </w:p>
    <w:p w14:paraId="4334B732">
      <w:pPr>
        <w:pStyle w:val="28"/>
        <w:keepNext w:val="0"/>
        <w:keepLines w:val="0"/>
        <w:pageBreakBefore w:val="0"/>
        <w:kinsoku/>
        <w:wordWrap/>
        <w:overflowPunct/>
        <w:topLinePunct w:val="0"/>
        <w:bidi w:val="0"/>
        <w:spacing w:line="440" w:lineRule="exact"/>
        <w:ind w:firstLine="422"/>
        <w:rPr>
          <w:rFonts w:hint="eastAsia" w:ascii="仿宋" w:hAnsi="仿宋" w:eastAsia="仿宋" w:cs="仿宋"/>
          <w:color w:val="auto"/>
          <w:sz w:val="24"/>
          <w:szCs w:val="24"/>
          <w:highlight w:val="none"/>
          <w:lang w:val="zh-TW"/>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zh-TW"/>
        </w:rPr>
        <w:t>在</w:t>
      </w:r>
      <w:r>
        <w:rPr>
          <w:rFonts w:hint="eastAsia" w:ascii="仿宋" w:hAnsi="仿宋" w:eastAsia="仿宋" w:cs="仿宋"/>
          <w:color w:val="auto"/>
          <w:sz w:val="24"/>
          <w:szCs w:val="24"/>
          <w:highlight w:val="none"/>
          <w:lang w:val="en-US" w:eastAsia="zh-CN"/>
        </w:rPr>
        <w:t>合同履行</w:t>
      </w:r>
      <w:r>
        <w:rPr>
          <w:rFonts w:hint="eastAsia" w:ascii="仿宋" w:hAnsi="仿宋" w:eastAsia="仿宋" w:cs="仿宋"/>
          <w:color w:val="auto"/>
          <w:sz w:val="24"/>
          <w:szCs w:val="24"/>
          <w:highlight w:val="none"/>
          <w:lang w:val="zh-TW"/>
        </w:rPr>
        <w:t>间，凡设备（含软硬件）系统在运行过程中出现问题，由乙方负责处理，直到</w:t>
      </w:r>
      <w:r>
        <w:rPr>
          <w:rFonts w:hint="eastAsia" w:ascii="仿宋" w:hAnsi="仿宋" w:eastAsia="仿宋" w:cs="仿宋"/>
          <w:color w:val="auto"/>
          <w:sz w:val="24"/>
          <w:szCs w:val="24"/>
          <w:highlight w:val="none"/>
        </w:rPr>
        <w:t>设备或</w:t>
      </w:r>
      <w:r>
        <w:rPr>
          <w:rFonts w:hint="eastAsia" w:ascii="仿宋" w:hAnsi="仿宋" w:eastAsia="仿宋" w:cs="仿宋"/>
          <w:color w:val="auto"/>
          <w:sz w:val="24"/>
          <w:szCs w:val="24"/>
          <w:highlight w:val="none"/>
          <w:lang w:val="zh-TW"/>
        </w:rPr>
        <w:t>系统恢复正常运行。乙方</w:t>
      </w:r>
      <w:r>
        <w:rPr>
          <w:rFonts w:hint="eastAsia" w:ascii="仿宋" w:hAnsi="仿宋" w:eastAsia="仿宋" w:cs="仿宋"/>
          <w:color w:val="auto"/>
          <w:sz w:val="24"/>
          <w:szCs w:val="24"/>
          <w:highlight w:val="none"/>
        </w:rPr>
        <w:t>售后服务人员</w:t>
      </w:r>
      <w:r>
        <w:rPr>
          <w:rFonts w:hint="eastAsia" w:ascii="仿宋" w:hAnsi="仿宋" w:eastAsia="仿宋" w:cs="仿宋"/>
          <w:color w:val="auto"/>
          <w:sz w:val="24"/>
          <w:szCs w:val="24"/>
          <w:highlight w:val="none"/>
          <w:lang w:val="zh-TW"/>
        </w:rPr>
        <w:t>及时在现场处理设备（含软硬件）系统所出现的故障。</w:t>
      </w:r>
    </w:p>
    <w:p w14:paraId="76383692">
      <w:pPr>
        <w:pStyle w:val="28"/>
        <w:keepNext w:val="0"/>
        <w:keepLines w:val="0"/>
        <w:pageBreakBefore w:val="0"/>
        <w:kinsoku/>
        <w:wordWrap/>
        <w:overflowPunct/>
        <w:topLinePunct w:val="0"/>
        <w:bidi w:val="0"/>
        <w:spacing w:line="440" w:lineRule="exact"/>
        <w:ind w:firstLine="422"/>
        <w:rPr>
          <w:rFonts w:hint="eastAsia" w:ascii="仿宋" w:hAnsi="仿宋" w:eastAsia="仿宋" w:cs="仿宋"/>
          <w:color w:val="auto"/>
          <w:sz w:val="24"/>
          <w:szCs w:val="24"/>
          <w:highlight w:val="none"/>
          <w:lang w:val="zh-TW"/>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zh-TW"/>
        </w:rPr>
        <w:t>由于乙方维护保养方法不当造成设备（含软硬件）故障或损坏，由乙方负责，并保证及时给予更换或修复。由此所产生的一切费用由乙方承担。</w:t>
      </w:r>
    </w:p>
    <w:p w14:paraId="78CA0403">
      <w:pPr>
        <w:pStyle w:val="28"/>
        <w:keepNext w:val="0"/>
        <w:keepLines w:val="0"/>
        <w:pageBreakBefore w:val="0"/>
        <w:kinsoku/>
        <w:wordWrap/>
        <w:overflowPunct/>
        <w:topLinePunct w:val="0"/>
        <w:bidi w:val="0"/>
        <w:spacing w:line="440" w:lineRule="exact"/>
        <w:ind w:firstLine="422"/>
        <w:rPr>
          <w:rFonts w:hint="eastAsia" w:ascii="仿宋" w:hAnsi="仿宋" w:eastAsia="仿宋" w:cs="仿宋"/>
          <w:color w:val="auto"/>
          <w:sz w:val="24"/>
          <w:szCs w:val="24"/>
          <w:highlight w:val="none"/>
          <w:lang w:val="zh-TW"/>
        </w:rPr>
      </w:pPr>
      <w:r>
        <w:rPr>
          <w:rFonts w:hint="eastAsia" w:ascii="仿宋" w:hAnsi="仿宋" w:eastAsia="仿宋" w:cs="仿宋"/>
          <w:color w:val="auto"/>
          <w:sz w:val="24"/>
          <w:szCs w:val="24"/>
          <w:highlight w:val="none"/>
        </w:rPr>
        <w:t xml:space="preserve"> </w:t>
      </w:r>
      <w:r>
        <w:rPr>
          <w:rFonts w:hint="eastAsia" w:ascii="仿宋" w:hAnsi="仿宋" w:eastAsia="仿宋" w:cs="仿宋"/>
          <w:bCs/>
          <w:color w:val="auto"/>
          <w:sz w:val="24"/>
          <w:szCs w:val="24"/>
          <w:highlight w:val="none"/>
        </w:rPr>
        <w:t>乙方发生不能按照服务承诺对设备(系统)进行全面检修和维护和未能在约定时限进行系统修复等情况的作违约处理。</w:t>
      </w:r>
    </w:p>
    <w:p w14:paraId="47E772A5">
      <w:pPr>
        <w:pStyle w:val="28"/>
        <w:keepNext w:val="0"/>
        <w:keepLines w:val="0"/>
        <w:pageBreakBefore w:val="0"/>
        <w:kinsoku/>
        <w:wordWrap/>
        <w:overflowPunct/>
        <w:topLinePunct w:val="0"/>
        <w:bidi w:val="0"/>
        <w:spacing w:line="440" w:lineRule="exact"/>
        <w:ind w:firstLine="422"/>
        <w:rPr>
          <w:rFonts w:hint="eastAsia" w:ascii="仿宋" w:hAnsi="仿宋" w:eastAsia="仿宋" w:cs="仿宋"/>
          <w:color w:val="auto"/>
          <w:sz w:val="24"/>
          <w:szCs w:val="24"/>
          <w:highlight w:val="none"/>
          <w:lang w:val="zh-TW"/>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TW"/>
        </w:rPr>
        <w:t>违约赔偿</w:t>
      </w:r>
    </w:p>
    <w:p w14:paraId="1B8074BA">
      <w:pPr>
        <w:pStyle w:val="28"/>
        <w:keepNext w:val="0"/>
        <w:keepLines w:val="0"/>
        <w:pageBreakBefore w:val="0"/>
        <w:kinsoku/>
        <w:wordWrap/>
        <w:overflowPunct/>
        <w:topLinePunct w:val="0"/>
        <w:bidi w:val="0"/>
        <w:spacing w:line="440" w:lineRule="exact"/>
        <w:ind w:firstLine="422"/>
        <w:rPr>
          <w:rFonts w:hint="eastAsia" w:ascii="仿宋" w:hAnsi="仿宋" w:eastAsia="仿宋" w:cs="仿宋"/>
          <w:color w:val="auto"/>
          <w:sz w:val="24"/>
          <w:szCs w:val="24"/>
          <w:highlight w:val="none"/>
          <w:lang w:val="zh-TW"/>
        </w:rPr>
      </w:pPr>
      <w:r>
        <w:rPr>
          <w:rFonts w:hint="eastAsia" w:ascii="仿宋" w:hAnsi="仿宋" w:eastAsia="仿宋" w:cs="仿宋"/>
          <w:color w:val="auto"/>
          <w:sz w:val="24"/>
          <w:szCs w:val="24"/>
          <w:highlight w:val="none"/>
          <w:lang w:val="zh-TW"/>
        </w:rPr>
        <w:t>（1）除不可抗力外，如果乙方没有按照本合同约定的期限、地点和方式交付服务成果或者实施服务，那么甲方可要求乙方支付违约金，迟延履行违约金按每迟延履行一日的应提供而未提供服务价格的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szCs w:val="24"/>
          <w:highlight w:val="none"/>
          <w:u w:val="single"/>
          <w:lang w:val="zh-TW"/>
        </w:rPr>
        <w:t>0.05 %</w:t>
      </w:r>
      <w:r>
        <w:rPr>
          <w:rFonts w:hint="eastAsia" w:ascii="仿宋" w:hAnsi="仿宋" w:eastAsia="仿宋" w:cs="仿宋"/>
          <w:color w:val="auto"/>
          <w:sz w:val="24"/>
          <w:szCs w:val="24"/>
          <w:highlight w:val="none"/>
          <w:lang w:val="zh-TW"/>
        </w:rPr>
        <w:t>计算，最高限额为本合同总价的</w:t>
      </w:r>
      <w:r>
        <w:rPr>
          <w:rFonts w:hint="eastAsia" w:ascii="仿宋" w:hAnsi="仿宋" w:eastAsia="仿宋" w:cs="仿宋"/>
          <w:color w:val="auto"/>
          <w:sz w:val="24"/>
          <w:szCs w:val="24"/>
          <w:highlight w:val="none"/>
          <w:u w:val="single"/>
          <w:lang w:val="zh-TW"/>
        </w:rPr>
        <w:t xml:space="preserve"> 20 </w:t>
      </w:r>
      <w:r>
        <w:rPr>
          <w:rFonts w:hint="eastAsia" w:ascii="仿宋" w:hAnsi="仿宋" w:eastAsia="仿宋" w:cs="仿宋"/>
          <w:color w:val="auto"/>
          <w:sz w:val="24"/>
          <w:szCs w:val="24"/>
          <w:highlight w:val="none"/>
          <w:lang w:val="zh-TW"/>
        </w:rPr>
        <w:t>%；迟延履行的违约金计算数额达到前述最高限额之日起，甲方有权在要求乙方支付违约金的同时，书面通知乙方解除本合同。</w:t>
      </w:r>
    </w:p>
    <w:p w14:paraId="42A1BCFE">
      <w:pPr>
        <w:pStyle w:val="28"/>
        <w:keepNext w:val="0"/>
        <w:keepLines w:val="0"/>
        <w:pageBreakBefore w:val="0"/>
        <w:kinsoku/>
        <w:wordWrap/>
        <w:overflowPunct/>
        <w:topLinePunct w:val="0"/>
        <w:bidi w:val="0"/>
        <w:spacing w:line="440" w:lineRule="exact"/>
        <w:ind w:firstLine="422"/>
        <w:rPr>
          <w:rFonts w:hint="eastAsia" w:ascii="仿宋" w:hAnsi="仿宋" w:eastAsia="仿宋" w:cs="仿宋"/>
          <w:color w:val="auto"/>
          <w:sz w:val="24"/>
          <w:szCs w:val="24"/>
          <w:highlight w:val="none"/>
          <w:lang w:val="zh-TW"/>
        </w:rPr>
      </w:pPr>
      <w:r>
        <w:rPr>
          <w:rFonts w:hint="eastAsia" w:ascii="仿宋" w:hAnsi="仿宋" w:eastAsia="仿宋" w:cs="仿宋"/>
          <w:color w:val="auto"/>
          <w:sz w:val="24"/>
          <w:szCs w:val="24"/>
          <w:highlight w:val="none"/>
          <w:lang w:val="zh-TW"/>
        </w:rPr>
        <w:t>（2）服务中涉及的货物，除不可抗力外，如果乙方没有按照本合同约定的期限、地点和方式交付货物，那么甲方可要求乙方支付违约金，违约金按每迟延交付货物一日的应交付而未交付货物价格的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sz w:val="24"/>
          <w:szCs w:val="24"/>
          <w:highlight w:val="none"/>
          <w:u w:val="single"/>
          <w:lang w:val="zh-TW"/>
        </w:rPr>
        <w:t xml:space="preserve"> 0.05</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zh-TW"/>
        </w:rPr>
        <w:t>%计算，最高限额为本合同总价的</w:t>
      </w:r>
      <w:r>
        <w:rPr>
          <w:rFonts w:hint="eastAsia" w:ascii="仿宋" w:hAnsi="仿宋" w:eastAsia="仿宋" w:cs="仿宋"/>
          <w:color w:val="auto"/>
          <w:sz w:val="24"/>
          <w:szCs w:val="24"/>
          <w:highlight w:val="none"/>
          <w:u w:val="single"/>
          <w:lang w:val="zh-TW"/>
        </w:rPr>
        <w:t xml:space="preserve"> 20 </w:t>
      </w:r>
      <w:r>
        <w:rPr>
          <w:rFonts w:hint="eastAsia" w:ascii="仿宋" w:hAnsi="仿宋" w:eastAsia="仿宋" w:cs="仿宋"/>
          <w:color w:val="auto"/>
          <w:sz w:val="24"/>
          <w:szCs w:val="24"/>
          <w:highlight w:val="none"/>
          <w:lang w:val="zh-TW"/>
        </w:rPr>
        <w:t>%；迟延交付货物的违约金计算数额达到前述最高限额之日起，甲方有权在要求乙方支付违约金的同时，书面通知乙方解除本合同。</w:t>
      </w:r>
    </w:p>
    <w:p w14:paraId="33DE5C74">
      <w:pPr>
        <w:pStyle w:val="28"/>
        <w:keepNext w:val="0"/>
        <w:keepLines w:val="0"/>
        <w:pageBreakBefore w:val="0"/>
        <w:kinsoku/>
        <w:wordWrap/>
        <w:overflowPunct/>
        <w:topLinePunct w:val="0"/>
        <w:bidi w:val="0"/>
        <w:spacing w:line="440" w:lineRule="exact"/>
        <w:ind w:firstLine="422"/>
        <w:rPr>
          <w:rFonts w:hint="eastAsia" w:ascii="仿宋" w:hAnsi="仿宋" w:eastAsia="仿宋" w:cs="仿宋"/>
          <w:color w:val="auto"/>
          <w:sz w:val="24"/>
          <w:szCs w:val="24"/>
          <w:highlight w:val="none"/>
          <w:lang w:val="zh-TW"/>
        </w:rPr>
      </w:pPr>
      <w:r>
        <w:rPr>
          <w:rFonts w:hint="eastAsia" w:ascii="仿宋" w:hAnsi="仿宋" w:eastAsia="仿宋" w:cs="仿宋"/>
          <w:color w:val="auto"/>
          <w:sz w:val="24"/>
          <w:szCs w:val="24"/>
          <w:highlight w:val="none"/>
          <w:lang w:val="zh-TW"/>
        </w:rPr>
        <w:t>（3）除不可抗力外，如果甲方没有按照本合同约定的付款方式付款，那么乙方可要求甲方支付违约金，违约金按每迟延付款一日的应付而未付款的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szCs w:val="24"/>
          <w:highlight w:val="none"/>
          <w:u w:val="single"/>
          <w:lang w:val="zh-TW"/>
        </w:rPr>
        <w:t xml:space="preserve"> 0.05 </w:t>
      </w:r>
      <w:r>
        <w:rPr>
          <w:rFonts w:hint="eastAsia" w:ascii="仿宋" w:hAnsi="仿宋" w:eastAsia="仿宋" w:cs="仿宋"/>
          <w:color w:val="auto"/>
          <w:sz w:val="24"/>
          <w:szCs w:val="24"/>
          <w:highlight w:val="none"/>
          <w:lang w:val="zh-TW"/>
        </w:rPr>
        <w:t>%计算，最高限额为本合同总价的</w:t>
      </w:r>
      <w:r>
        <w:rPr>
          <w:rFonts w:hint="eastAsia" w:ascii="仿宋" w:hAnsi="仿宋" w:eastAsia="仿宋" w:cs="仿宋"/>
          <w:color w:val="auto"/>
          <w:sz w:val="24"/>
          <w:szCs w:val="24"/>
          <w:highlight w:val="none"/>
          <w:u w:val="single"/>
          <w:lang w:val="zh-TW"/>
        </w:rPr>
        <w:t xml:space="preserve"> 20 </w:t>
      </w:r>
      <w:r>
        <w:rPr>
          <w:rFonts w:hint="eastAsia" w:ascii="仿宋" w:hAnsi="仿宋" w:eastAsia="仿宋" w:cs="仿宋"/>
          <w:color w:val="auto"/>
          <w:sz w:val="24"/>
          <w:szCs w:val="24"/>
          <w:highlight w:val="none"/>
          <w:lang w:val="zh-TW"/>
        </w:rPr>
        <w:t>%；迟延付款的违约金计算数额达到前述最高限额之日起，乙方有权在要求甲方支付违约金的同时，书面通知甲方解除本合同。</w:t>
      </w:r>
    </w:p>
    <w:p w14:paraId="494591A9">
      <w:pPr>
        <w:pStyle w:val="28"/>
        <w:keepNext w:val="0"/>
        <w:keepLines w:val="0"/>
        <w:pageBreakBefore w:val="0"/>
        <w:kinsoku/>
        <w:wordWrap/>
        <w:overflowPunct/>
        <w:topLinePunct w:val="0"/>
        <w:bidi w:val="0"/>
        <w:spacing w:line="440" w:lineRule="exact"/>
        <w:ind w:firstLine="422"/>
        <w:rPr>
          <w:rFonts w:hint="eastAsia" w:ascii="仿宋" w:hAnsi="仿宋" w:eastAsia="仿宋" w:cs="仿宋"/>
          <w:color w:val="auto"/>
          <w:sz w:val="24"/>
          <w:szCs w:val="24"/>
          <w:highlight w:val="none"/>
          <w:lang w:val="zh-TW" w:eastAsia="zh-CN"/>
        </w:rPr>
      </w:pPr>
      <w:r>
        <w:rPr>
          <w:rFonts w:hint="eastAsia" w:ascii="仿宋" w:hAnsi="仿宋" w:eastAsia="仿宋" w:cs="仿宋"/>
          <w:color w:val="auto"/>
          <w:sz w:val="24"/>
          <w:szCs w:val="24"/>
          <w:highlight w:val="none"/>
          <w:lang w:val="zh-TW"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zh-TW" w:eastAsia="zh-CN"/>
        </w:rPr>
        <w:t>）</w:t>
      </w:r>
      <w:r>
        <w:rPr>
          <w:rFonts w:hint="eastAsia" w:ascii="仿宋" w:hAnsi="仿宋" w:eastAsia="仿宋" w:cs="仿宋"/>
          <w:color w:val="auto"/>
          <w:sz w:val="24"/>
          <w:szCs w:val="24"/>
          <w:highlight w:val="none"/>
          <w:lang w:val="zh-TW"/>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r>
        <w:rPr>
          <w:rFonts w:hint="eastAsia" w:ascii="仿宋" w:hAnsi="仿宋" w:eastAsia="仿宋" w:cs="仿宋"/>
          <w:color w:val="auto"/>
          <w:sz w:val="24"/>
          <w:szCs w:val="24"/>
          <w:highlight w:val="none"/>
          <w:lang w:val="zh-TW" w:eastAsia="zh-CN"/>
        </w:rPr>
        <w:t>。</w:t>
      </w:r>
    </w:p>
    <w:p w14:paraId="795E399A">
      <w:pPr>
        <w:pStyle w:val="28"/>
        <w:keepNext w:val="0"/>
        <w:keepLines w:val="0"/>
        <w:pageBreakBefore w:val="0"/>
        <w:kinsoku/>
        <w:wordWrap/>
        <w:overflowPunct/>
        <w:topLinePunct w:val="0"/>
        <w:bidi w:val="0"/>
        <w:spacing w:line="440" w:lineRule="exact"/>
        <w:ind w:firstLine="42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C91A42B">
      <w:pPr>
        <w:pStyle w:val="28"/>
        <w:keepNext w:val="0"/>
        <w:keepLines w:val="0"/>
        <w:pageBreakBefore w:val="0"/>
        <w:kinsoku/>
        <w:wordWrap/>
        <w:overflowPunct/>
        <w:topLinePunct w:val="0"/>
        <w:bidi w:val="0"/>
        <w:spacing w:line="440" w:lineRule="exact"/>
        <w:ind w:firstLine="42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（6）如果出现政府采购监督管理部门在处理投诉事项期间，书面通知甲方暂停采购活动的情形，或者询问或质疑事项可能影响中标或者成交结果的，导致甲方中止履行合同的情形，均不视为甲方违约。</w:t>
      </w:r>
    </w:p>
    <w:p w14:paraId="13967530">
      <w:pPr>
        <w:keepNext w:val="0"/>
        <w:keepLines w:val="0"/>
        <w:pageBreakBefore w:val="0"/>
        <w:kinsoku/>
        <w:wordWrap/>
        <w:overflowPunct/>
        <w:topLinePunct w:val="0"/>
        <w:bidi w:val="0"/>
        <w:spacing w:after="120" w:afterLines="50"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 xml:space="preserve">第十四条 </w:t>
      </w:r>
      <w:r>
        <w:rPr>
          <w:rFonts w:hint="eastAsia" w:ascii="仿宋" w:hAnsi="仿宋" w:eastAsia="仿宋" w:cs="仿宋"/>
          <w:b/>
          <w:color w:val="auto"/>
          <w:sz w:val="24"/>
          <w:highlight w:val="none"/>
        </w:rPr>
        <w:t>合同中止、终止</w:t>
      </w:r>
    </w:p>
    <w:p w14:paraId="47AAA56A">
      <w:pPr>
        <w:pStyle w:val="28"/>
        <w:keepNext w:val="0"/>
        <w:keepLines w:val="0"/>
        <w:pageBreakBefore w:val="0"/>
        <w:kinsoku/>
        <w:wordWrap/>
        <w:overflowPunct/>
        <w:topLinePunct w:val="0"/>
        <w:bidi w:val="0"/>
        <w:spacing w:line="440" w:lineRule="exact"/>
        <w:ind w:firstLine="42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双方当事人不得擅自中止或者终止合同；</w:t>
      </w:r>
    </w:p>
    <w:p w14:paraId="222AF282">
      <w:pPr>
        <w:pStyle w:val="28"/>
        <w:keepNext w:val="0"/>
        <w:keepLines w:val="0"/>
        <w:pageBreakBefore w:val="0"/>
        <w:kinsoku/>
        <w:wordWrap/>
        <w:overflowPunct/>
        <w:topLinePunct w:val="0"/>
        <w:bidi w:val="0"/>
        <w:spacing w:line="440" w:lineRule="exact"/>
        <w:ind w:firstLine="42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合同继续履行将损害国家利益和社会公共利益的，双方当事人应当中止或者终止合同。有过错的一方应当承担赔偿责任，双方当事人都有过错的，各自承担相应的责任。</w:t>
      </w:r>
    </w:p>
    <w:p w14:paraId="6F519A98">
      <w:pPr>
        <w:keepNext w:val="0"/>
        <w:keepLines w:val="0"/>
        <w:pageBreakBefore w:val="0"/>
        <w:kinsoku/>
        <w:wordWrap/>
        <w:overflowPunct/>
        <w:topLinePunct w:val="0"/>
        <w:bidi w:val="0"/>
        <w:spacing w:after="120" w:afterLines="50"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第十</w:t>
      </w:r>
      <w:r>
        <w:rPr>
          <w:rFonts w:hint="eastAsia" w:ascii="仿宋" w:hAnsi="仿宋" w:eastAsia="仿宋" w:cs="仿宋"/>
          <w:b/>
          <w:color w:val="auto"/>
          <w:sz w:val="24"/>
          <w:highlight w:val="none"/>
          <w:lang w:val="en-US" w:eastAsia="zh-CN"/>
        </w:rPr>
        <w:t>五</w:t>
      </w:r>
      <w:r>
        <w:rPr>
          <w:rFonts w:hint="eastAsia" w:ascii="仿宋" w:hAnsi="仿宋" w:eastAsia="仿宋" w:cs="仿宋"/>
          <w:b/>
          <w:color w:val="auto"/>
          <w:sz w:val="24"/>
          <w:highlight w:val="none"/>
        </w:rPr>
        <w:t xml:space="preserve">条 </w:t>
      </w:r>
      <w:r>
        <w:rPr>
          <w:rFonts w:hint="eastAsia" w:ascii="仿宋" w:hAnsi="仿宋" w:eastAsia="仿宋" w:cs="仿宋"/>
          <w:b/>
          <w:color w:val="auto"/>
          <w:sz w:val="24"/>
          <w:highlight w:val="none"/>
          <w:lang w:val="zh-TW"/>
        </w:rPr>
        <w:t>税费</w:t>
      </w:r>
    </w:p>
    <w:p w14:paraId="5A0C2363">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lang w:val="zh-TW"/>
        </w:rPr>
      </w:pPr>
      <w:r>
        <w:rPr>
          <w:rFonts w:hint="eastAsia" w:ascii="仿宋" w:hAnsi="仿宋" w:eastAsia="仿宋" w:cs="仿宋"/>
          <w:color w:val="auto"/>
          <w:sz w:val="24"/>
          <w:szCs w:val="24"/>
          <w:highlight w:val="none"/>
          <w:lang w:val="zh-TW"/>
        </w:rPr>
        <w:t>本合同执行中相关的一切税费均由乙方负担。</w:t>
      </w:r>
    </w:p>
    <w:p w14:paraId="58750E67">
      <w:pPr>
        <w:keepNext w:val="0"/>
        <w:keepLines w:val="0"/>
        <w:pageBreakBefore w:val="0"/>
        <w:kinsoku/>
        <w:wordWrap/>
        <w:overflowPunct/>
        <w:topLinePunct w:val="0"/>
        <w:bidi w:val="0"/>
        <w:spacing w:after="120" w:afterLines="50"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第十</w:t>
      </w:r>
      <w:r>
        <w:rPr>
          <w:rFonts w:hint="eastAsia" w:ascii="仿宋" w:hAnsi="仿宋" w:eastAsia="仿宋" w:cs="仿宋"/>
          <w:b/>
          <w:color w:val="auto"/>
          <w:sz w:val="24"/>
          <w:highlight w:val="none"/>
          <w:lang w:val="en-US" w:eastAsia="zh-CN"/>
        </w:rPr>
        <w:t>六</w:t>
      </w:r>
      <w:r>
        <w:rPr>
          <w:rFonts w:hint="eastAsia" w:ascii="仿宋" w:hAnsi="仿宋" w:eastAsia="仿宋" w:cs="仿宋"/>
          <w:b/>
          <w:color w:val="auto"/>
          <w:sz w:val="24"/>
          <w:highlight w:val="none"/>
        </w:rPr>
        <w:t xml:space="preserve">条 </w:t>
      </w:r>
      <w:r>
        <w:rPr>
          <w:rFonts w:hint="eastAsia" w:ascii="仿宋" w:hAnsi="仿宋" w:eastAsia="仿宋" w:cs="仿宋"/>
          <w:b/>
          <w:color w:val="auto"/>
          <w:sz w:val="24"/>
          <w:highlight w:val="none"/>
          <w:lang w:val="zh-TW"/>
        </w:rPr>
        <w:t>不可抗力事件处理</w:t>
      </w:r>
    </w:p>
    <w:p w14:paraId="6AC9867B">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lang w:val="zh-TW"/>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TW"/>
        </w:rPr>
        <w:t>如果任何一方遭遇法律规定的不可抗力，致使合同履行受阻时，履行合同的期限应予延长，延长的期限应相当于不可抗力所影响的时间；</w:t>
      </w:r>
    </w:p>
    <w:p w14:paraId="31BBBEC2">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lang w:val="zh-TW"/>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TW"/>
        </w:rPr>
        <w:t>因不可抗力致使不能实现合同目的的，当事人可以解除合同；</w:t>
      </w:r>
    </w:p>
    <w:p w14:paraId="189F4B39">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lang w:val="zh-TW"/>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zh-TW"/>
        </w:rPr>
        <w:t>因不可抗力致使合同有变更必要的，双方当事人应在</w:t>
      </w:r>
      <w:r>
        <w:rPr>
          <w:rFonts w:hint="eastAsia" w:ascii="仿宋" w:hAnsi="仿宋" w:eastAsia="仿宋" w:cs="仿宋"/>
          <w:color w:val="auto"/>
          <w:sz w:val="24"/>
          <w:szCs w:val="24"/>
          <w:highlight w:val="none"/>
          <w:u w:val="single"/>
          <w:lang w:val="en-US" w:eastAsia="zh-CN"/>
        </w:rPr>
        <w:t xml:space="preserve">   天 </w:t>
      </w:r>
      <w:r>
        <w:rPr>
          <w:rFonts w:hint="eastAsia" w:ascii="仿宋" w:hAnsi="仿宋" w:eastAsia="仿宋" w:cs="仿宋"/>
          <w:color w:val="auto"/>
          <w:sz w:val="24"/>
          <w:szCs w:val="24"/>
          <w:highlight w:val="none"/>
          <w:lang w:val="zh-TW"/>
        </w:rPr>
        <w:t>内以书面形式变更合同；</w:t>
      </w:r>
    </w:p>
    <w:p w14:paraId="2F6A6A02">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lang w:val="zh-TW"/>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zh-TW"/>
        </w:rPr>
        <w:t>受不可抗力影响的一方在不可抗力发生后，应在合同</w:t>
      </w:r>
      <w:r>
        <w:rPr>
          <w:rFonts w:hint="eastAsia" w:ascii="仿宋" w:hAnsi="仿宋" w:eastAsia="仿宋" w:cs="仿宋"/>
          <w:color w:val="auto"/>
          <w:sz w:val="24"/>
          <w:szCs w:val="24"/>
          <w:highlight w:val="none"/>
          <w:u w:val="single"/>
          <w:lang w:val="en-US" w:eastAsia="zh-CN"/>
        </w:rPr>
        <w:t xml:space="preserve">   天 </w:t>
      </w:r>
      <w:r>
        <w:rPr>
          <w:rFonts w:hint="eastAsia" w:ascii="仿宋" w:hAnsi="仿宋" w:eastAsia="仿宋" w:cs="仿宋"/>
          <w:color w:val="auto"/>
          <w:sz w:val="24"/>
          <w:szCs w:val="24"/>
          <w:highlight w:val="none"/>
          <w:lang w:val="zh-TW"/>
        </w:rPr>
        <w:t>内以书面形式通知对方当事人，并在合同专用条款约定时间内，将有关部门出具的证明文件送达对方当事人。</w:t>
      </w:r>
    </w:p>
    <w:p w14:paraId="75A93568">
      <w:pPr>
        <w:keepNext w:val="0"/>
        <w:keepLines w:val="0"/>
        <w:pageBreakBefore w:val="0"/>
        <w:kinsoku/>
        <w:wordWrap/>
        <w:overflowPunct/>
        <w:topLinePunct w:val="0"/>
        <w:bidi w:val="0"/>
        <w:spacing w:after="120" w:afterLines="50"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第十</w:t>
      </w:r>
      <w:r>
        <w:rPr>
          <w:rFonts w:hint="eastAsia" w:ascii="仿宋" w:hAnsi="仿宋" w:eastAsia="仿宋" w:cs="仿宋"/>
          <w:b/>
          <w:color w:val="auto"/>
          <w:sz w:val="24"/>
          <w:highlight w:val="none"/>
          <w:lang w:val="en-US" w:eastAsia="zh-CN"/>
        </w:rPr>
        <w:t>七</w:t>
      </w:r>
      <w:r>
        <w:rPr>
          <w:rFonts w:hint="eastAsia" w:ascii="仿宋" w:hAnsi="仿宋" w:eastAsia="仿宋" w:cs="仿宋"/>
          <w:b/>
          <w:color w:val="auto"/>
          <w:sz w:val="24"/>
          <w:highlight w:val="none"/>
        </w:rPr>
        <w:t>条 争议解决</w:t>
      </w:r>
    </w:p>
    <w:p w14:paraId="0840ED3A">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lang w:val="zh-TW"/>
        </w:rPr>
      </w:pPr>
      <w:r>
        <w:rPr>
          <w:rFonts w:hint="eastAsia" w:ascii="仿宋" w:hAnsi="仿宋" w:eastAsia="仿宋" w:cs="仿宋"/>
          <w:color w:val="auto"/>
          <w:sz w:val="24"/>
          <w:szCs w:val="24"/>
          <w:highlight w:val="none"/>
        </w:rPr>
        <w:t>本合同履行过程中发生的任何争议，双方当事人均可通过和解或者调解解决；不愿和解、调解或者和解、调解不成的，可向甲方所在地人民法院起诉</w:t>
      </w:r>
      <w:r>
        <w:rPr>
          <w:rFonts w:hint="eastAsia" w:ascii="仿宋" w:hAnsi="仿宋" w:eastAsia="仿宋" w:cs="仿宋"/>
          <w:color w:val="auto"/>
          <w:sz w:val="24"/>
          <w:szCs w:val="24"/>
          <w:highlight w:val="none"/>
          <w:lang w:val="zh-TW"/>
        </w:rPr>
        <w:t>。</w:t>
      </w:r>
    </w:p>
    <w:p w14:paraId="1C409435">
      <w:pPr>
        <w:keepNext w:val="0"/>
        <w:keepLines w:val="0"/>
        <w:pageBreakBefore w:val="0"/>
        <w:kinsoku/>
        <w:wordWrap/>
        <w:overflowPunct/>
        <w:topLinePunct w:val="0"/>
        <w:bidi w:val="0"/>
        <w:spacing w:after="120" w:afterLines="50"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第十</w:t>
      </w:r>
      <w:r>
        <w:rPr>
          <w:rFonts w:hint="eastAsia" w:ascii="仿宋" w:hAnsi="仿宋" w:eastAsia="仿宋" w:cs="仿宋"/>
          <w:b/>
          <w:color w:val="auto"/>
          <w:sz w:val="24"/>
          <w:highlight w:val="none"/>
          <w:lang w:val="en-US" w:eastAsia="zh-CN"/>
        </w:rPr>
        <w:t>八</w:t>
      </w:r>
      <w:r>
        <w:rPr>
          <w:rFonts w:hint="eastAsia" w:ascii="仿宋" w:hAnsi="仿宋" w:eastAsia="仿宋" w:cs="仿宋"/>
          <w:b/>
          <w:color w:val="auto"/>
          <w:sz w:val="24"/>
          <w:highlight w:val="none"/>
        </w:rPr>
        <w:t xml:space="preserve">条 </w:t>
      </w:r>
      <w:r>
        <w:rPr>
          <w:rFonts w:hint="eastAsia" w:ascii="仿宋" w:hAnsi="仿宋" w:eastAsia="仿宋" w:cs="仿宋"/>
          <w:b/>
          <w:color w:val="auto"/>
          <w:sz w:val="24"/>
          <w:highlight w:val="none"/>
          <w:lang w:val="zh-TW"/>
        </w:rPr>
        <w:t>合同的生效</w:t>
      </w:r>
    </w:p>
    <w:p w14:paraId="424C69B6">
      <w:pPr>
        <w:pStyle w:val="28"/>
        <w:keepNext w:val="0"/>
        <w:keepLines w:val="0"/>
        <w:pageBreakBefore w:val="0"/>
        <w:kinsoku/>
        <w:wordWrap/>
        <w:overflowPunct/>
        <w:topLinePunct w:val="0"/>
        <w:bidi w:val="0"/>
        <w:spacing w:line="440" w:lineRule="exact"/>
        <w:ind w:firstLine="42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TW"/>
        </w:rPr>
        <w:t>合同经双方法定代表人或授权委托代理人签字并加盖单位公章后生效。</w:t>
      </w:r>
    </w:p>
    <w:p w14:paraId="35C9E0D5">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TW"/>
        </w:rPr>
        <w:t>合同执行中涉及采购资金和采购内容修改或补充的，签书面补充协议，方可作为主合同不可分割的一部分。</w:t>
      </w:r>
    </w:p>
    <w:p w14:paraId="778A9621">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zh-TW"/>
        </w:rPr>
        <w:t>本合同未尽事宜，遵照《</w:t>
      </w:r>
      <w:r>
        <w:rPr>
          <w:rFonts w:hint="eastAsia" w:ascii="仿宋" w:hAnsi="仿宋" w:eastAsia="仿宋" w:cs="仿宋"/>
          <w:color w:val="auto"/>
          <w:sz w:val="24"/>
          <w:szCs w:val="24"/>
          <w:highlight w:val="none"/>
        </w:rPr>
        <w:t>民法典</w:t>
      </w:r>
      <w:r>
        <w:rPr>
          <w:rFonts w:hint="eastAsia" w:ascii="仿宋" w:hAnsi="仿宋" w:eastAsia="仿宋" w:cs="仿宋"/>
          <w:color w:val="auto"/>
          <w:sz w:val="24"/>
          <w:szCs w:val="24"/>
          <w:highlight w:val="none"/>
          <w:lang w:val="zh-TW"/>
        </w:rPr>
        <w:t>》有关条文执行。</w:t>
      </w:r>
    </w:p>
    <w:p w14:paraId="4FC0D690">
      <w:pPr>
        <w:pStyle w:val="28"/>
        <w:keepNext w:val="0"/>
        <w:keepLines w:val="0"/>
        <w:pageBreakBefore w:val="0"/>
        <w:kinsoku/>
        <w:wordWrap/>
        <w:overflowPunct/>
        <w:topLinePunct w:val="0"/>
        <w:bidi w:val="0"/>
        <w:spacing w:line="440" w:lineRule="exact"/>
        <w:ind w:firstLine="420"/>
        <w:rPr>
          <w:rFonts w:ascii="仿宋" w:hAnsi="仿宋" w:eastAsia="仿宋" w:cs="仿宋"/>
          <w:color w:val="auto"/>
          <w:sz w:val="24"/>
          <w:szCs w:val="24"/>
          <w:highlight w:val="none"/>
          <w:lang w:val="zh-TW"/>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zh-TW"/>
        </w:rPr>
        <w:t>本合同正本一式   份，具有同等法律效力，甲乙双方各执  份。</w:t>
      </w:r>
    </w:p>
    <w:p w14:paraId="2F688893">
      <w:pPr>
        <w:pStyle w:val="21"/>
        <w:rPr>
          <w:rFonts w:hint="eastAsia"/>
          <w:color w:val="auto"/>
          <w:highlight w:val="none"/>
        </w:rPr>
      </w:pPr>
    </w:p>
    <w:tbl>
      <w:tblPr>
        <w:tblStyle w:val="23"/>
        <w:tblW w:w="86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24"/>
        <w:gridCol w:w="4455"/>
      </w:tblGrid>
      <w:tr w14:paraId="3D6AC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5" w:hRule="atLeast"/>
          <w:jc w:val="center"/>
        </w:trPr>
        <w:tc>
          <w:tcPr>
            <w:tcW w:w="4224" w:type="dxa"/>
            <w:noWrap w:val="0"/>
            <w:vAlign w:val="top"/>
          </w:tcPr>
          <w:p w14:paraId="0F2DDE5A">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甲方（公章）：</w:t>
            </w:r>
          </w:p>
          <w:p w14:paraId="7BFE70D8">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w:t>
            </w:r>
          </w:p>
          <w:p w14:paraId="0CA9B5F2">
            <w:pPr>
              <w:snapToGrid w:val="0"/>
              <w:spacing w:line="360" w:lineRule="auto"/>
              <w:rPr>
                <w:rFonts w:ascii="仿宋" w:hAnsi="仿宋" w:eastAsia="仿宋" w:cs="仿宋"/>
                <w:color w:val="auto"/>
                <w:sz w:val="24"/>
                <w:highlight w:val="none"/>
              </w:rPr>
            </w:pPr>
          </w:p>
          <w:p w14:paraId="62692B5E">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法定（授权）代表人：  </w:t>
            </w:r>
          </w:p>
          <w:p w14:paraId="1E82CCCD">
            <w:pPr>
              <w:snapToGrid w:val="0"/>
              <w:spacing w:line="360" w:lineRule="auto"/>
              <w:rPr>
                <w:rFonts w:ascii="仿宋" w:hAnsi="仿宋" w:eastAsia="仿宋" w:cs="仿宋"/>
                <w:color w:val="auto"/>
                <w:sz w:val="24"/>
                <w:highlight w:val="none"/>
              </w:rPr>
            </w:pPr>
          </w:p>
          <w:p w14:paraId="7AA56CE2">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年  月  日   </w:t>
            </w:r>
          </w:p>
        </w:tc>
        <w:tc>
          <w:tcPr>
            <w:tcW w:w="4455" w:type="dxa"/>
            <w:noWrap w:val="0"/>
            <w:vAlign w:val="top"/>
          </w:tcPr>
          <w:p w14:paraId="04507A44">
            <w:pPr>
              <w:snapToGrid w:val="0"/>
              <w:spacing w:line="360" w:lineRule="auto"/>
              <w:ind w:left="480" w:hanging="480" w:hangingChars="200"/>
              <w:rPr>
                <w:rFonts w:ascii="仿宋" w:hAnsi="仿宋" w:eastAsia="仿宋" w:cs="仿宋"/>
                <w:color w:val="auto"/>
                <w:sz w:val="24"/>
                <w:highlight w:val="none"/>
              </w:rPr>
            </w:pPr>
            <w:r>
              <w:rPr>
                <w:rFonts w:hint="eastAsia" w:ascii="仿宋" w:hAnsi="仿宋" w:eastAsia="仿宋" w:cs="仿宋"/>
                <w:color w:val="auto"/>
                <w:sz w:val="24"/>
                <w:highlight w:val="none"/>
              </w:rPr>
              <w:t>乙方（公章）：</w:t>
            </w:r>
          </w:p>
          <w:p w14:paraId="55360FE0">
            <w:pPr>
              <w:snapToGrid w:val="0"/>
              <w:spacing w:line="360" w:lineRule="auto"/>
              <w:ind w:left="480" w:hanging="480" w:hangingChars="200"/>
              <w:rPr>
                <w:rFonts w:ascii="仿宋" w:hAnsi="仿宋" w:eastAsia="仿宋" w:cs="仿宋"/>
                <w:color w:val="auto"/>
                <w:sz w:val="24"/>
                <w:highlight w:val="none"/>
              </w:rPr>
            </w:pPr>
            <w:r>
              <w:rPr>
                <w:rFonts w:hint="eastAsia" w:ascii="仿宋" w:hAnsi="仿宋" w:eastAsia="仿宋" w:cs="仿宋"/>
                <w:color w:val="auto"/>
                <w:sz w:val="24"/>
                <w:highlight w:val="none"/>
              </w:rPr>
              <w:t>地址：</w:t>
            </w:r>
          </w:p>
          <w:p w14:paraId="5C50CB9D">
            <w:pPr>
              <w:snapToGrid w:val="0"/>
              <w:spacing w:line="360" w:lineRule="auto"/>
              <w:rPr>
                <w:rFonts w:ascii="仿宋" w:hAnsi="仿宋" w:eastAsia="仿宋" w:cs="仿宋"/>
                <w:color w:val="auto"/>
                <w:sz w:val="24"/>
                <w:highlight w:val="none"/>
              </w:rPr>
            </w:pPr>
          </w:p>
          <w:p w14:paraId="3CBADF5F">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法定（授权）代表人：</w:t>
            </w:r>
          </w:p>
          <w:p w14:paraId="16D13E29">
            <w:pPr>
              <w:snapToGrid w:val="0"/>
              <w:spacing w:line="360" w:lineRule="auto"/>
              <w:rPr>
                <w:rFonts w:ascii="仿宋" w:hAnsi="仿宋" w:eastAsia="仿宋" w:cs="仿宋"/>
                <w:color w:val="auto"/>
                <w:sz w:val="24"/>
                <w:highlight w:val="none"/>
              </w:rPr>
            </w:pPr>
          </w:p>
          <w:p w14:paraId="68B2E958">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tc>
      </w:tr>
    </w:tbl>
    <w:p w14:paraId="48F4061F">
      <w:pPr>
        <w:pStyle w:val="3"/>
        <w:rPr>
          <w:rFonts w:hint="eastAsia"/>
          <w:color w:val="auto"/>
          <w:highlight w:val="none"/>
        </w:rPr>
      </w:pPr>
    </w:p>
    <w:p w14:paraId="35FE3A1E">
      <w:pPr>
        <w:spacing w:line="240" w:lineRule="auto"/>
        <w:jc w:val="left"/>
        <w:outlineLvl w:val="9"/>
        <w:rPr>
          <w:rFonts w:hint="eastAsia" w:ascii="仿宋" w:hAnsi="仿宋" w:eastAsia="仿宋" w:cs="宋体"/>
          <w:b/>
          <w:color w:val="auto"/>
          <w:sz w:val="36"/>
          <w:szCs w:val="20"/>
          <w:highlight w:val="none"/>
        </w:rPr>
      </w:pPr>
      <w:r>
        <w:rPr>
          <w:rFonts w:hint="eastAsia" w:ascii="仿宋" w:hAnsi="仿宋" w:eastAsia="仿宋" w:cs="宋体"/>
          <w:b/>
          <w:color w:val="auto"/>
          <w:sz w:val="36"/>
          <w:szCs w:val="20"/>
          <w:highlight w:val="none"/>
        </w:rPr>
        <w:br w:type="page"/>
      </w:r>
    </w:p>
    <w:p w14:paraId="10A7C0D5">
      <w:pPr>
        <w:spacing w:line="360" w:lineRule="auto"/>
        <w:jc w:val="center"/>
        <w:outlineLvl w:val="0"/>
        <w:rPr>
          <w:rFonts w:ascii="仿宋" w:hAnsi="仿宋" w:eastAsia="仿宋" w:cs="宋体"/>
          <w:b/>
          <w:color w:val="auto"/>
          <w:sz w:val="36"/>
          <w:szCs w:val="20"/>
          <w:highlight w:val="none"/>
        </w:rPr>
      </w:pPr>
      <w:bookmarkStart w:id="422" w:name="_Toc19336"/>
      <w:r>
        <w:rPr>
          <w:rFonts w:hint="eastAsia" w:ascii="仿宋" w:hAnsi="仿宋" w:eastAsia="仿宋" w:cs="宋体"/>
          <w:b/>
          <w:color w:val="auto"/>
          <w:sz w:val="36"/>
          <w:szCs w:val="20"/>
          <w:highlight w:val="none"/>
        </w:rPr>
        <w:t>第六部分 应提交的有关格式范例</w:t>
      </w:r>
      <w:bookmarkEnd w:id="422"/>
    </w:p>
    <w:p w14:paraId="454DCC26">
      <w:pPr>
        <w:spacing w:line="360" w:lineRule="auto"/>
        <w:jc w:val="center"/>
        <w:rPr>
          <w:rFonts w:ascii="仿宋" w:hAnsi="仿宋" w:eastAsia="仿宋" w:cs="宋体"/>
          <w:b/>
          <w:color w:val="auto"/>
          <w:kern w:val="0"/>
          <w:sz w:val="36"/>
          <w:szCs w:val="36"/>
          <w:highlight w:val="none"/>
        </w:rPr>
      </w:pPr>
    </w:p>
    <w:p w14:paraId="10171EA2">
      <w:pPr>
        <w:spacing w:line="360" w:lineRule="auto"/>
        <w:jc w:val="center"/>
        <w:outlineLvl w:val="1"/>
        <w:rPr>
          <w:rFonts w:ascii="仿宋" w:hAnsi="仿宋" w:eastAsia="仿宋" w:cs="宋体"/>
          <w:b/>
          <w:color w:val="auto"/>
          <w:kern w:val="0"/>
          <w:sz w:val="36"/>
          <w:szCs w:val="36"/>
          <w:highlight w:val="none"/>
        </w:rPr>
      </w:pPr>
      <w:r>
        <w:rPr>
          <w:rFonts w:hint="eastAsia" w:ascii="仿宋" w:hAnsi="仿宋" w:eastAsia="仿宋" w:cs="宋体"/>
          <w:b/>
          <w:color w:val="auto"/>
          <w:kern w:val="0"/>
          <w:sz w:val="36"/>
          <w:szCs w:val="36"/>
          <w:highlight w:val="none"/>
        </w:rPr>
        <w:t>资格文件部分</w:t>
      </w:r>
    </w:p>
    <w:p w14:paraId="323852FB">
      <w:pPr>
        <w:spacing w:line="360" w:lineRule="auto"/>
        <w:jc w:val="center"/>
        <w:rPr>
          <w:rFonts w:ascii="仿宋" w:hAnsi="仿宋" w:eastAsia="仿宋" w:cs="宋体"/>
          <w:b/>
          <w:color w:val="auto"/>
          <w:kern w:val="0"/>
          <w:sz w:val="36"/>
          <w:szCs w:val="36"/>
          <w:highlight w:val="none"/>
        </w:rPr>
      </w:pPr>
      <w:r>
        <w:rPr>
          <w:rFonts w:hint="eastAsia" w:ascii="仿宋" w:hAnsi="仿宋" w:eastAsia="仿宋" w:cs="宋体"/>
          <w:b/>
          <w:color w:val="auto"/>
          <w:kern w:val="0"/>
          <w:sz w:val="36"/>
          <w:szCs w:val="36"/>
          <w:highlight w:val="none"/>
        </w:rPr>
        <w:t>目录</w:t>
      </w:r>
    </w:p>
    <w:p w14:paraId="7C7C974E">
      <w:pPr>
        <w:spacing w:line="360" w:lineRule="auto"/>
        <w:jc w:val="center"/>
        <w:rPr>
          <w:rFonts w:ascii="仿宋" w:hAnsi="仿宋" w:eastAsia="仿宋" w:cs="宋体"/>
          <w:b/>
          <w:color w:val="auto"/>
          <w:kern w:val="0"/>
          <w:sz w:val="36"/>
          <w:szCs w:val="36"/>
          <w:highlight w:val="none"/>
        </w:rPr>
      </w:pPr>
    </w:p>
    <w:p w14:paraId="19AAB961">
      <w:pPr>
        <w:numPr>
          <w:ilvl w:val="0"/>
          <w:numId w:val="14"/>
        </w:num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符合参加政府采购活动应当具备的一般条件的承诺函……………（页码）</w:t>
      </w:r>
    </w:p>
    <w:p w14:paraId="14EBA7CF">
      <w:pPr>
        <w:numPr>
          <w:ilvl w:val="0"/>
          <w:numId w:val="14"/>
        </w:num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供应商（联合体各方）营业执照（或其他同类证明文件）………（页码）</w:t>
      </w:r>
    </w:p>
    <w:p w14:paraId="6371FF7E">
      <w:pPr>
        <w:snapToGrid w:val="0"/>
        <w:spacing w:line="360" w:lineRule="auto"/>
        <w:rPr>
          <w:rFonts w:ascii="仿宋" w:hAnsi="仿宋" w:eastAsia="仿宋" w:cs="宋体"/>
          <w:color w:val="auto"/>
          <w:sz w:val="24"/>
          <w:highlight w:val="none"/>
        </w:rPr>
      </w:pPr>
      <w:r>
        <w:rPr>
          <w:rFonts w:hint="eastAsia" w:ascii="仿宋" w:hAnsi="仿宋" w:eastAsia="仿宋" w:cs="宋体"/>
          <w:snapToGrid w:val="0"/>
          <w:color w:val="auto"/>
          <w:kern w:val="28"/>
          <w:sz w:val="24"/>
          <w:szCs w:val="20"/>
          <w:highlight w:val="none"/>
        </w:rPr>
        <w:t>（3）联合协议（如有）</w:t>
      </w:r>
      <w:r>
        <w:rPr>
          <w:rFonts w:hint="eastAsia" w:ascii="仿宋" w:hAnsi="仿宋" w:eastAsia="仿宋" w:cs="宋体"/>
          <w:color w:val="auto"/>
          <w:sz w:val="24"/>
          <w:highlight w:val="none"/>
        </w:rPr>
        <w:t>……………………………………………………（页码）</w:t>
      </w:r>
    </w:p>
    <w:p w14:paraId="05D8D005">
      <w:pPr>
        <w:snapToGrid w:val="0"/>
        <w:spacing w:line="360" w:lineRule="auto"/>
        <w:rPr>
          <w:rFonts w:hint="eastAsia" w:ascii="仿宋" w:hAnsi="仿宋" w:eastAsia="仿宋" w:cs="宋体"/>
          <w:color w:val="auto"/>
          <w:sz w:val="24"/>
          <w:highlight w:val="none"/>
        </w:rPr>
      </w:pPr>
      <w:r>
        <w:rPr>
          <w:rFonts w:hint="eastAsia" w:ascii="仿宋" w:hAnsi="仿宋" w:eastAsia="仿宋" w:cs="宋体"/>
          <w:color w:val="auto"/>
          <w:sz w:val="24"/>
          <w:highlight w:val="none"/>
        </w:rPr>
        <w:t>（4）落实政府采购政策需满足的资格要求………………………………（页码）</w:t>
      </w:r>
    </w:p>
    <w:p w14:paraId="1DB5C012">
      <w:pPr>
        <w:snapToGrid w:val="0"/>
        <w:spacing w:line="360" w:lineRule="auto"/>
        <w:rPr>
          <w:rFonts w:hint="default" w:ascii="仿宋" w:hAnsi="仿宋" w:eastAsia="仿宋" w:cs="宋体"/>
          <w:color w:val="auto"/>
          <w:sz w:val="24"/>
          <w:highlight w:val="none"/>
          <w:lang w:val="en-US" w:eastAsia="zh-CN"/>
        </w:rPr>
      </w:pPr>
      <w:r>
        <w:rPr>
          <w:rFonts w:hint="eastAsia" w:ascii="仿宋" w:hAnsi="仿宋" w:eastAsia="仿宋" w:cs="宋体"/>
          <w:color w:val="auto"/>
          <w:sz w:val="24"/>
          <w:highlight w:val="none"/>
          <w:lang w:eastAsia="zh-CN"/>
        </w:rPr>
        <w:t>（</w:t>
      </w:r>
      <w:r>
        <w:rPr>
          <w:rFonts w:hint="eastAsia" w:ascii="仿宋" w:hAnsi="仿宋" w:eastAsia="仿宋" w:cs="宋体"/>
          <w:color w:val="auto"/>
          <w:sz w:val="24"/>
          <w:highlight w:val="none"/>
          <w:lang w:val="en-US" w:eastAsia="zh-CN"/>
        </w:rPr>
        <w:t>5</w:t>
      </w:r>
      <w:r>
        <w:rPr>
          <w:rFonts w:hint="eastAsia" w:ascii="仿宋" w:hAnsi="仿宋" w:eastAsia="仿宋" w:cs="宋体"/>
          <w:color w:val="auto"/>
          <w:sz w:val="24"/>
          <w:highlight w:val="none"/>
          <w:lang w:eastAsia="zh-CN"/>
        </w:rPr>
        <w:t>）</w:t>
      </w:r>
      <w:r>
        <w:rPr>
          <w:rFonts w:hint="eastAsia" w:ascii="仿宋" w:hAnsi="仿宋" w:eastAsia="仿宋" w:cs="宋体"/>
          <w:color w:val="auto"/>
          <w:sz w:val="24"/>
          <w:highlight w:val="none"/>
          <w:lang w:val="en-US" w:eastAsia="zh-CN"/>
        </w:rPr>
        <w:t>本项目的特定资格要求</w:t>
      </w:r>
      <w:r>
        <w:rPr>
          <w:rFonts w:hint="eastAsia" w:ascii="仿宋" w:hAnsi="仿宋" w:eastAsia="仿宋" w:cs="宋体"/>
          <w:color w:val="auto"/>
          <w:sz w:val="24"/>
          <w:highlight w:val="none"/>
        </w:rPr>
        <w:t>………………………………………………（页码）</w:t>
      </w:r>
    </w:p>
    <w:p w14:paraId="1047901E">
      <w:pPr>
        <w:pStyle w:val="13"/>
        <w:rPr>
          <w:color w:val="auto"/>
          <w:highlight w:val="none"/>
        </w:rPr>
      </w:pPr>
    </w:p>
    <w:p w14:paraId="45CEB542">
      <w:pPr>
        <w:snapToGrid w:val="0"/>
        <w:spacing w:line="360" w:lineRule="auto"/>
        <w:ind w:firstLine="480" w:firstLineChars="200"/>
        <w:rPr>
          <w:rFonts w:ascii="仿宋" w:hAnsi="仿宋" w:eastAsia="仿宋" w:cs="宋体"/>
          <w:color w:val="auto"/>
          <w:sz w:val="24"/>
          <w:highlight w:val="none"/>
        </w:rPr>
      </w:pPr>
    </w:p>
    <w:p w14:paraId="18518D6F">
      <w:pPr>
        <w:spacing w:line="360" w:lineRule="auto"/>
        <w:ind w:firstLine="480" w:firstLineChars="200"/>
        <w:rPr>
          <w:rFonts w:ascii="仿宋" w:hAnsi="仿宋" w:eastAsia="仿宋" w:cs="宋体"/>
          <w:color w:val="auto"/>
          <w:sz w:val="24"/>
          <w:highlight w:val="none"/>
        </w:rPr>
      </w:pPr>
    </w:p>
    <w:p w14:paraId="2AD73801">
      <w:pPr>
        <w:snapToGrid w:val="0"/>
        <w:spacing w:line="360" w:lineRule="auto"/>
        <w:ind w:right="480"/>
        <w:jc w:val="center"/>
        <w:outlineLvl w:val="1"/>
        <w:rPr>
          <w:rFonts w:ascii="仿宋" w:hAnsi="仿宋" w:eastAsia="仿宋" w:cs="宋体"/>
          <w:b/>
          <w:color w:val="auto"/>
          <w:kern w:val="0"/>
          <w:sz w:val="32"/>
          <w:szCs w:val="32"/>
          <w:highlight w:val="none"/>
        </w:rPr>
      </w:pPr>
      <w:r>
        <w:rPr>
          <w:rFonts w:hint="eastAsia" w:ascii="仿宋" w:hAnsi="仿宋" w:eastAsia="仿宋" w:cs="宋体"/>
          <w:color w:val="auto"/>
          <w:kern w:val="0"/>
          <w:sz w:val="24"/>
          <w:highlight w:val="none"/>
        </w:rPr>
        <w:br w:type="page"/>
      </w:r>
      <w:r>
        <w:rPr>
          <w:rFonts w:hint="eastAsia" w:ascii="仿宋" w:hAnsi="仿宋" w:eastAsia="仿宋" w:cs="宋体"/>
          <w:b/>
          <w:color w:val="auto"/>
          <w:kern w:val="0"/>
          <w:sz w:val="32"/>
          <w:szCs w:val="32"/>
          <w:highlight w:val="none"/>
        </w:rPr>
        <w:t>一、 符合参加政府采购活动应当具备的一般条件的承诺函</w:t>
      </w:r>
    </w:p>
    <w:p w14:paraId="32D8923E">
      <w:pPr>
        <w:snapToGrid w:val="0"/>
        <w:spacing w:line="360" w:lineRule="auto"/>
        <w:rPr>
          <w:rFonts w:ascii="仿宋" w:hAnsi="仿宋" w:eastAsia="仿宋" w:cs="宋体"/>
          <w:color w:val="auto"/>
          <w:sz w:val="24"/>
          <w:highlight w:val="none"/>
        </w:rPr>
      </w:pPr>
      <w:r>
        <w:rPr>
          <w:rFonts w:hint="eastAsia" w:ascii="仿宋" w:hAnsi="仿宋" w:eastAsia="仿宋" w:cs="仿宋"/>
          <w:color w:val="auto"/>
          <w:sz w:val="24"/>
          <w:highlight w:val="none"/>
          <w:lang w:eastAsia="zh-CN"/>
        </w:rPr>
        <w:t>杭州市生态环境局拱墅分局</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浙江五石中正工程咨询有限公司</w:t>
      </w:r>
      <w:r>
        <w:rPr>
          <w:rFonts w:hint="eastAsia" w:ascii="仿宋" w:hAnsi="仿宋" w:eastAsia="仿宋" w:cs="宋体"/>
          <w:color w:val="auto"/>
          <w:sz w:val="24"/>
          <w:highlight w:val="none"/>
        </w:rPr>
        <w:t>：</w:t>
      </w:r>
    </w:p>
    <w:p w14:paraId="1E36345C">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我方参与</w:t>
      </w:r>
      <w:r>
        <w:rPr>
          <w:rFonts w:hint="eastAsia" w:ascii="仿宋" w:hAnsi="仿宋" w:eastAsia="仿宋" w:cs="宋体"/>
          <w:color w:val="auto"/>
          <w:sz w:val="24"/>
          <w:highlight w:val="none"/>
          <w:u w:val="single"/>
          <w:lang w:eastAsia="zh-CN"/>
        </w:rPr>
        <w:t>杭州市生态环境局拱墅分局“清净”拱墅多污染协同管控工程建设项目</w:t>
      </w:r>
      <w:r>
        <w:rPr>
          <w:rFonts w:hint="eastAsia" w:ascii="仿宋" w:hAnsi="仿宋" w:eastAsia="仿宋" w:cs="宋体"/>
          <w:color w:val="auto"/>
          <w:sz w:val="24"/>
          <w:highlight w:val="none"/>
        </w:rPr>
        <w:t>（项目名称）【招标编号：</w:t>
      </w:r>
      <w:r>
        <w:rPr>
          <w:rFonts w:hint="eastAsia" w:ascii="仿宋" w:hAnsi="仿宋" w:eastAsia="仿宋" w:cs="宋体"/>
          <w:color w:val="auto"/>
          <w:sz w:val="24"/>
          <w:highlight w:val="none"/>
          <w:lang w:eastAsia="zh-CN"/>
        </w:rPr>
        <w:t>ZJWS2025--GS01</w:t>
      </w:r>
      <w:r>
        <w:rPr>
          <w:rFonts w:hint="eastAsia" w:ascii="仿宋" w:hAnsi="仿宋" w:eastAsia="仿宋" w:cs="宋体"/>
          <w:color w:val="auto"/>
          <w:sz w:val="24"/>
          <w:highlight w:val="none"/>
        </w:rPr>
        <w:t xml:space="preserve"> 】政府采购活动，郑重承诺：</w:t>
      </w:r>
    </w:p>
    <w:p w14:paraId="51D9DCE9">
      <w:pPr>
        <w:snapToGrid w:val="0"/>
        <w:spacing w:line="360" w:lineRule="auto"/>
        <w:ind w:firstLine="360" w:firstLineChars="150"/>
        <w:rPr>
          <w:rFonts w:ascii="仿宋" w:hAnsi="仿宋" w:eastAsia="仿宋" w:cs="宋体"/>
          <w:color w:val="auto"/>
          <w:sz w:val="24"/>
          <w:highlight w:val="none"/>
        </w:rPr>
      </w:pPr>
      <w:r>
        <w:rPr>
          <w:rFonts w:hint="eastAsia" w:ascii="仿宋" w:hAnsi="仿宋" w:eastAsia="仿宋" w:cs="宋体"/>
          <w:color w:val="auto"/>
          <w:sz w:val="24"/>
          <w:highlight w:val="none"/>
        </w:rPr>
        <w:t>（一）具备《中华人民共和国政府采购法》第二十二条第一款规定的条件：</w:t>
      </w:r>
    </w:p>
    <w:p w14:paraId="450E00AC">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1、具有独立承担民事责任的能力；</w:t>
      </w:r>
    </w:p>
    <w:p w14:paraId="1595CB73">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2、具有良好的商业信誉和健全的财务会计制度；</w:t>
      </w:r>
    </w:p>
    <w:p w14:paraId="6722968A">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3、具有履行合同所必需的设备和专业技术能力；</w:t>
      </w:r>
    </w:p>
    <w:p w14:paraId="598BADF3">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4、有依法缴纳税收和社会保障资金的良好记录；</w:t>
      </w:r>
    </w:p>
    <w:p w14:paraId="30530A8C">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5、参加政府采购活动前三年内，在经营活动中没有重大违法记录；</w:t>
      </w:r>
    </w:p>
    <w:p w14:paraId="5BA25475">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6、具有法律、行政法规规定的其他条件。</w:t>
      </w:r>
    </w:p>
    <w:p w14:paraId="68258486">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（二）未被信用中国（www.creditchina.gov.cn)、中国政府采购网（www.ccgp.gov.cn）列入失信被执行人、重大税收违法案件当事人名单、政府采购严重违法失信行为记录名单。</w:t>
      </w:r>
    </w:p>
    <w:p w14:paraId="6EAC4657">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（三）不存在以下情况：</w:t>
      </w:r>
    </w:p>
    <w:p w14:paraId="0CA7B2B2">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1、单位负责人为同一人或者存在直接控股、管理关系的不同供应商参加同一合同项下的政府采购活动的；</w:t>
      </w:r>
    </w:p>
    <w:p w14:paraId="6D003FAE">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2、为采购项目提供整体设计、规范编制或者项目管理、监理、检测等服务后再参加该采购项目的其他采购活动的。</w:t>
      </w:r>
    </w:p>
    <w:p w14:paraId="4A85BB18">
      <w:pPr>
        <w:spacing w:line="360" w:lineRule="auto"/>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以上承诺如有虚假或隐瞒，采购人可取消我方任何资格（投标/中标/签订合同），我方对此无任何异议，并愿意承担一切后果和责任。</w:t>
      </w:r>
    </w:p>
    <w:p w14:paraId="40188D53">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特此承诺</w:t>
      </w:r>
    </w:p>
    <w:p w14:paraId="47F869E9">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投标供应商名称（公章/电子签名）：</w:t>
      </w:r>
      <w:r>
        <w:rPr>
          <w:rFonts w:hint="eastAsia" w:ascii="仿宋" w:hAnsi="仿宋" w:eastAsia="仿宋" w:cs="仿宋"/>
          <w:color w:val="auto"/>
          <w:kern w:val="0"/>
          <w:sz w:val="24"/>
          <w:highlight w:val="none"/>
        </w:rPr>
        <w:t>__________________________________</w:t>
      </w:r>
    </w:p>
    <w:p w14:paraId="57271748">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日期：________年____月____日</w:t>
      </w:r>
    </w:p>
    <w:p w14:paraId="541A4274">
      <w:pPr>
        <w:snapToGrid w:val="0"/>
        <w:spacing w:line="360" w:lineRule="auto"/>
        <w:ind w:firstLine="482" w:firstLineChars="200"/>
        <w:rPr>
          <w:rFonts w:ascii="仿宋" w:hAnsi="仿宋" w:eastAsia="仿宋" w:cs="仿宋"/>
          <w:b/>
          <w:iCs/>
          <w:color w:val="auto"/>
          <w:kern w:val="0"/>
          <w:sz w:val="24"/>
          <w:highlight w:val="none"/>
        </w:rPr>
      </w:pPr>
    </w:p>
    <w:p w14:paraId="27B02B20">
      <w:pPr>
        <w:snapToGrid w:val="0"/>
        <w:spacing w:line="360" w:lineRule="auto"/>
        <w:ind w:firstLine="482" w:firstLineChars="200"/>
        <w:rPr>
          <w:rFonts w:ascii="仿宋" w:hAnsi="仿宋" w:eastAsia="仿宋" w:cs="仿宋"/>
          <w:b/>
          <w:iCs/>
          <w:color w:val="auto"/>
          <w:kern w:val="0"/>
          <w:sz w:val="24"/>
          <w:highlight w:val="none"/>
        </w:rPr>
      </w:pPr>
    </w:p>
    <w:p w14:paraId="20AA30EE">
      <w:pPr>
        <w:snapToGrid w:val="0"/>
        <w:spacing w:line="360" w:lineRule="auto"/>
        <w:rPr>
          <w:rFonts w:hint="eastAsia" w:ascii="仿宋" w:hAnsi="仿宋" w:eastAsia="仿宋" w:cs="仿宋"/>
          <w:b/>
          <w:iCs/>
          <w:color w:val="auto"/>
          <w:sz w:val="24"/>
          <w:highlight w:val="none"/>
          <w:u w:val="single"/>
        </w:rPr>
      </w:pPr>
      <w:r>
        <w:rPr>
          <w:rFonts w:hint="eastAsia" w:ascii="仿宋" w:hAnsi="仿宋" w:eastAsia="仿宋" w:cs="仿宋"/>
          <w:b/>
          <w:iCs/>
          <w:color w:val="auto"/>
          <w:kern w:val="0"/>
          <w:sz w:val="24"/>
          <w:highlight w:val="none"/>
        </w:rPr>
        <w:t>『编制说明』：1.</w:t>
      </w:r>
      <w:r>
        <w:rPr>
          <w:rFonts w:hint="eastAsia" w:ascii="仿宋" w:hAnsi="仿宋" w:eastAsia="仿宋" w:cs="仿宋"/>
          <w:b/>
          <w:iCs/>
          <w:color w:val="auto"/>
          <w:sz w:val="24"/>
          <w:highlight w:val="none"/>
          <w:u w:val="single"/>
        </w:rPr>
        <w:t>投标人须按本格式和要求提供本函，否则投标无效。</w:t>
      </w:r>
    </w:p>
    <w:p w14:paraId="6E5C5767">
      <w:pPr>
        <w:snapToGrid w:val="0"/>
        <w:spacing w:line="360" w:lineRule="auto"/>
        <w:ind w:right="480"/>
        <w:jc w:val="center"/>
        <w:rPr>
          <w:rFonts w:ascii="仿宋" w:hAnsi="仿宋" w:eastAsia="仿宋" w:cs="宋体"/>
          <w:b/>
          <w:color w:val="auto"/>
          <w:kern w:val="0"/>
          <w:sz w:val="32"/>
          <w:szCs w:val="32"/>
          <w:highlight w:val="none"/>
        </w:rPr>
      </w:pPr>
    </w:p>
    <w:p w14:paraId="2875A5DD">
      <w:pPr>
        <w:widowControl/>
        <w:spacing w:line="360" w:lineRule="auto"/>
        <w:ind w:firstLine="643" w:firstLineChars="200"/>
        <w:jc w:val="center"/>
        <w:outlineLvl w:val="1"/>
        <w:rPr>
          <w:rFonts w:ascii="仿宋" w:hAnsi="仿宋" w:eastAsia="仿宋" w:cs="宋体"/>
          <w:b/>
          <w:color w:val="auto"/>
          <w:kern w:val="0"/>
          <w:sz w:val="32"/>
          <w:szCs w:val="32"/>
          <w:highlight w:val="none"/>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54254C26">
      <w:pPr>
        <w:widowControl/>
        <w:spacing w:line="360" w:lineRule="auto"/>
        <w:ind w:firstLine="643" w:firstLineChars="200"/>
        <w:jc w:val="center"/>
        <w:outlineLvl w:val="1"/>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二、 投标人联合体各方）营业执照（或其他同类证明文件）</w:t>
      </w:r>
    </w:p>
    <w:p w14:paraId="73E43108">
      <w:pPr>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企业法人营业执照</w:t>
      </w:r>
    </w:p>
    <w:tbl>
      <w:tblPr>
        <w:tblStyle w:val="23"/>
        <w:tblW w:w="9145" w:type="dxa"/>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14:paraId="7BE9037E">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874" w:hRule="atLeast"/>
        </w:trPr>
        <w:tc>
          <w:tcPr>
            <w:tcW w:w="9145" w:type="dxa"/>
            <w:noWrap w:val="0"/>
            <w:vAlign w:val="center"/>
          </w:tcPr>
          <w:p w14:paraId="2ADC5D20">
            <w:pPr>
              <w:rPr>
                <w:rFonts w:ascii="仿宋" w:hAnsi="仿宋" w:eastAsia="仿宋" w:cs="仿宋"/>
                <w:b/>
                <w:color w:val="auto"/>
                <w:highlight w:val="none"/>
              </w:rPr>
            </w:pPr>
          </w:p>
          <w:p w14:paraId="2AC76E37">
            <w:pPr>
              <w:spacing w:line="360" w:lineRule="auto"/>
              <w:rPr>
                <w:rFonts w:ascii="仿宋" w:hAnsi="仿宋" w:eastAsia="仿宋" w:cs="仿宋"/>
                <w:b/>
                <w:color w:val="auto"/>
                <w:szCs w:val="21"/>
                <w:highlight w:val="none"/>
              </w:rPr>
            </w:pPr>
            <w:r>
              <w:rPr>
                <w:rFonts w:hint="eastAsia" w:ascii="仿宋" w:hAnsi="仿宋" w:eastAsia="仿宋" w:cs="仿宋"/>
                <w:b/>
                <w:color w:val="auto"/>
                <w:szCs w:val="21"/>
                <w:highlight w:val="none"/>
              </w:rPr>
              <w:t>证明文件：</w:t>
            </w:r>
            <w:r>
              <w:rPr>
                <w:rFonts w:hint="eastAsia" w:ascii="仿宋" w:hAnsi="仿宋" w:eastAsia="仿宋" w:cs="仿宋"/>
                <w:b/>
                <w:color w:val="auto"/>
                <w:szCs w:val="21"/>
                <w:highlight w:val="none"/>
                <w:u w:val="single"/>
              </w:rPr>
              <w:t>营业执照（或事业单位法人证书或执业许可证或自然人有效身份证明）</w:t>
            </w:r>
            <w:r>
              <w:rPr>
                <w:rFonts w:hint="eastAsia" w:ascii="仿宋" w:hAnsi="仿宋" w:eastAsia="仿宋" w:cs="仿宋"/>
                <w:color w:val="auto"/>
                <w:szCs w:val="21"/>
                <w:highlight w:val="none"/>
              </w:rPr>
              <w:t>（提供复印件加盖供应商公章）。</w:t>
            </w:r>
          </w:p>
          <w:p w14:paraId="0399499F">
            <w:pPr>
              <w:rPr>
                <w:rFonts w:ascii="仿宋" w:hAnsi="仿宋" w:eastAsia="仿宋" w:cs="仿宋"/>
                <w:color w:val="auto"/>
                <w:highlight w:val="none"/>
              </w:rPr>
            </w:pPr>
          </w:p>
          <w:p w14:paraId="22E95902">
            <w:pPr>
              <w:rPr>
                <w:rFonts w:ascii="仿宋" w:hAnsi="仿宋" w:eastAsia="仿宋" w:cs="仿宋"/>
                <w:color w:val="auto"/>
                <w:highlight w:val="none"/>
              </w:rPr>
            </w:pPr>
            <w:r>
              <w:rPr>
                <w:rFonts w:hint="eastAsia" w:ascii="仿宋" w:hAnsi="仿宋" w:eastAsia="仿宋" w:cs="仿宋"/>
                <w:color w:val="auto"/>
                <w:highlight w:val="none"/>
              </w:rPr>
              <w:t>a.供应商为企业或个体工商户的，提供有效的“营业执照”；供应商为事业单位的，提供有效的“事业单位法人证书”；供应商为非企业专业服务机构的，提供执业许可证等证明文件；供应商为自然人（中国公民）的，提供个人有效身份证明文件。</w:t>
            </w:r>
          </w:p>
          <w:p w14:paraId="182F0013">
            <w:pPr>
              <w:rPr>
                <w:rFonts w:ascii="仿宋" w:hAnsi="仿宋" w:eastAsia="仿宋" w:cs="仿宋"/>
                <w:color w:val="auto"/>
                <w:highlight w:val="none"/>
              </w:rPr>
            </w:pPr>
            <w:r>
              <w:rPr>
                <w:rFonts w:hint="eastAsia" w:ascii="仿宋" w:hAnsi="仿宋" w:eastAsia="仿宋" w:cs="仿宋"/>
                <w:color w:val="auto"/>
                <w:highlight w:val="none"/>
              </w:rPr>
              <w:t>b.金融、保险、通讯等特定行业的全国性企业所设立的区域性分支机构，以及个体工商户、个人独资企业、合伙企业参加本项目投标的，除提供供应商自身的营业执照外，还须提供总公司（总机构）授权书或房产权证或其他有效财产证明材料（提供复印件加盖供应商公章），以证明其具备实际承担责任的能力和法定的缔结合同能力。</w:t>
            </w:r>
          </w:p>
        </w:tc>
      </w:tr>
    </w:tbl>
    <w:p w14:paraId="498BED6D">
      <w:pPr>
        <w:widowControl/>
        <w:spacing w:line="360" w:lineRule="auto"/>
        <w:ind w:firstLine="643" w:firstLineChars="200"/>
        <w:jc w:val="center"/>
        <w:outlineLvl w:val="1"/>
        <w:rPr>
          <w:rFonts w:ascii="仿宋" w:hAnsi="仿宋" w:eastAsia="仿宋" w:cs="宋体"/>
          <w:b/>
          <w:color w:val="auto"/>
          <w:kern w:val="0"/>
          <w:sz w:val="32"/>
          <w:szCs w:val="32"/>
          <w:highlight w:val="none"/>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25692771">
      <w:pPr>
        <w:widowControl/>
        <w:spacing w:line="360" w:lineRule="auto"/>
        <w:ind w:firstLine="643" w:firstLineChars="200"/>
        <w:jc w:val="center"/>
        <w:outlineLvl w:val="1"/>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三、联合协议（如果有）</w:t>
      </w:r>
    </w:p>
    <w:p w14:paraId="3F36B130">
      <w:pPr>
        <w:widowControl/>
        <w:spacing w:line="360" w:lineRule="auto"/>
        <w:ind w:firstLine="482" w:firstLineChars="200"/>
        <w:jc w:val="left"/>
        <w:rPr>
          <w:rFonts w:ascii="仿宋" w:hAnsi="仿宋" w:eastAsia="仿宋" w:cs="宋体"/>
          <w:b/>
          <w:color w:val="auto"/>
          <w:sz w:val="24"/>
          <w:highlight w:val="none"/>
        </w:rPr>
      </w:pPr>
      <w:r>
        <w:rPr>
          <w:rFonts w:hint="eastAsia" w:ascii="仿宋" w:hAnsi="仿宋" w:eastAsia="仿宋" w:cs="宋体"/>
          <w:b/>
          <w:color w:val="auto"/>
          <w:sz w:val="24"/>
          <w:highlight w:val="none"/>
        </w:rPr>
        <w:t>[以联合体形式投标的，提供联合协议（附件5）；本项目不接受联合体投标或者投标人不以联合体形式投标的，则不需要提供]</w:t>
      </w:r>
    </w:p>
    <w:p w14:paraId="0B87E5A1">
      <w:pPr>
        <w:pStyle w:val="34"/>
        <w:ind w:firstLine="482"/>
        <w:rPr>
          <w:rFonts w:ascii="仿宋" w:hAnsi="仿宋" w:eastAsia="仿宋" w:cs="宋体"/>
          <w:b/>
          <w:color w:val="auto"/>
          <w:sz w:val="24"/>
          <w:highlight w:val="none"/>
        </w:rPr>
      </w:pPr>
    </w:p>
    <w:p w14:paraId="0CADA631">
      <w:pPr>
        <w:snapToGrid w:val="0"/>
        <w:spacing w:line="360" w:lineRule="auto"/>
        <w:ind w:right="480"/>
        <w:jc w:val="center"/>
        <w:rPr>
          <w:rFonts w:ascii="仿宋" w:hAnsi="仿宋" w:eastAsia="仿宋" w:cs="宋体"/>
          <w:b/>
          <w:color w:val="auto"/>
          <w:kern w:val="0"/>
          <w:sz w:val="32"/>
          <w:szCs w:val="32"/>
          <w:highlight w:val="none"/>
        </w:rPr>
      </w:pPr>
    </w:p>
    <w:p w14:paraId="7F5982B5">
      <w:pPr>
        <w:snapToGrid w:val="0"/>
        <w:spacing w:line="360" w:lineRule="auto"/>
        <w:ind w:right="480"/>
        <w:jc w:val="center"/>
        <w:rPr>
          <w:rFonts w:ascii="仿宋" w:hAnsi="仿宋" w:eastAsia="仿宋" w:cs="宋体"/>
          <w:b/>
          <w:color w:val="auto"/>
          <w:kern w:val="0"/>
          <w:sz w:val="32"/>
          <w:szCs w:val="32"/>
          <w:highlight w:val="none"/>
        </w:rPr>
      </w:pPr>
    </w:p>
    <w:p w14:paraId="46A846DA">
      <w:pP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br w:type="page"/>
      </w:r>
    </w:p>
    <w:p w14:paraId="33D09B6F">
      <w:pPr>
        <w:snapToGrid w:val="0"/>
        <w:spacing w:line="360" w:lineRule="auto"/>
        <w:ind w:right="480"/>
        <w:jc w:val="center"/>
        <w:outlineLvl w:val="1"/>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四、落实政府采购政策需满足的资格要求</w:t>
      </w:r>
    </w:p>
    <w:p w14:paraId="2B5C865F">
      <w:pPr>
        <w:snapToGrid w:val="0"/>
        <w:spacing w:before="50" w:after="50" w:line="360" w:lineRule="auto"/>
        <w:ind w:firstLine="470" w:firstLineChars="196"/>
        <w:rPr>
          <w:rFonts w:hint="default"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标项1：</w:t>
      </w:r>
      <w:r>
        <w:rPr>
          <w:rFonts w:hint="eastAsia" w:ascii="仿宋" w:hAnsi="仿宋" w:eastAsia="仿宋" w:cs="宋体"/>
          <w:color w:val="auto"/>
          <w:sz w:val="24"/>
          <w:highlight w:val="none"/>
        </w:rPr>
        <w:t>专门面向中小企业，所供的货物全部由符合政策要求的中小企业制造，提供相应的中小企业声明函（附件</w:t>
      </w:r>
      <w:r>
        <w:rPr>
          <w:rFonts w:ascii="仿宋" w:hAnsi="仿宋" w:eastAsia="仿宋" w:cs="宋体"/>
          <w:color w:val="auto"/>
          <w:sz w:val="24"/>
          <w:highlight w:val="none"/>
        </w:rPr>
        <w:t>7</w:t>
      </w:r>
      <w:r>
        <w:rPr>
          <w:rFonts w:hint="eastAsia" w:ascii="仿宋" w:hAnsi="仿宋" w:eastAsia="仿宋" w:cs="宋体"/>
          <w:color w:val="auto"/>
          <w:sz w:val="24"/>
          <w:highlight w:val="none"/>
        </w:rPr>
        <w:t>）</w:t>
      </w:r>
    </w:p>
    <w:p w14:paraId="3CE2F0CB">
      <w:pPr>
        <w:snapToGrid w:val="0"/>
        <w:spacing w:before="50" w:after="50" w:line="360" w:lineRule="auto"/>
        <w:ind w:firstLine="470" w:firstLineChars="196"/>
        <w:rPr>
          <w:rFonts w:ascii="仿宋" w:hAnsi="仿宋" w:eastAsia="仿宋" w:cs="宋体"/>
          <w:color w:val="auto"/>
          <w:sz w:val="24"/>
          <w:highlight w:val="none"/>
        </w:rPr>
      </w:pPr>
      <w:r>
        <w:rPr>
          <w:rFonts w:hint="eastAsia" w:ascii="仿宋" w:hAnsi="仿宋" w:eastAsia="仿宋" w:cs="宋体"/>
          <w:color w:val="auto"/>
          <w:sz w:val="24"/>
          <w:highlight w:val="none"/>
          <w:lang w:val="en-US" w:eastAsia="zh-CN"/>
        </w:rPr>
        <w:t>标项2：</w:t>
      </w:r>
      <w:r>
        <w:rPr>
          <w:rFonts w:hint="eastAsia" w:ascii="仿宋" w:hAnsi="仿宋" w:eastAsia="仿宋" w:cs="宋体"/>
          <w:color w:val="auto"/>
          <w:sz w:val="24"/>
          <w:highlight w:val="none"/>
        </w:rPr>
        <w:t>专门面向中小企业，服务全部由符合政策要求的中小企业（或小微企业）承接的，提供相应的中小企业声明函（附件</w:t>
      </w:r>
      <w:r>
        <w:rPr>
          <w:rFonts w:ascii="仿宋" w:hAnsi="仿宋" w:eastAsia="仿宋" w:cs="宋体"/>
          <w:color w:val="auto"/>
          <w:sz w:val="24"/>
          <w:highlight w:val="none"/>
        </w:rPr>
        <w:t>7</w:t>
      </w:r>
      <w:r>
        <w:rPr>
          <w:rFonts w:hint="eastAsia" w:ascii="仿宋" w:hAnsi="仿宋" w:eastAsia="仿宋" w:cs="宋体"/>
          <w:color w:val="auto"/>
          <w:sz w:val="24"/>
          <w:highlight w:val="none"/>
        </w:rPr>
        <w:t>）。</w:t>
      </w:r>
    </w:p>
    <w:p w14:paraId="20A79852">
      <w:pPr>
        <w:spacing w:line="360" w:lineRule="auto"/>
        <w:ind w:firstLine="480"/>
        <w:rPr>
          <w:rFonts w:ascii="仿宋" w:hAnsi="仿宋" w:eastAsia="仿宋" w:cs="宋体"/>
          <w:color w:val="auto"/>
          <w:sz w:val="24"/>
          <w:highlight w:val="none"/>
        </w:rPr>
      </w:pPr>
    </w:p>
    <w:p w14:paraId="52FCC558">
      <w:pPr>
        <w:spacing w:line="360" w:lineRule="auto"/>
        <w:ind w:firstLine="470" w:firstLineChars="196"/>
        <w:rPr>
          <w:rFonts w:ascii="仿宋" w:hAnsi="仿宋" w:eastAsia="仿宋" w:cs="宋体"/>
          <w:color w:val="auto"/>
          <w:sz w:val="24"/>
          <w:highlight w:val="none"/>
        </w:rPr>
      </w:pPr>
      <w:r>
        <w:rPr>
          <w:rFonts w:hint="eastAsia" w:ascii="仿宋" w:hAnsi="仿宋" w:eastAsia="仿宋" w:cs="宋体"/>
          <w:color w:val="auto"/>
          <w:sz w:val="24"/>
          <w:highlight w:val="none"/>
        </w:rPr>
        <w:t>以联合体形式参加的，提供联合协议（附件</w:t>
      </w:r>
      <w:r>
        <w:rPr>
          <w:rFonts w:ascii="仿宋" w:hAnsi="仿宋" w:eastAsia="仿宋" w:cs="宋体"/>
          <w:color w:val="auto"/>
          <w:sz w:val="24"/>
          <w:highlight w:val="none"/>
        </w:rPr>
        <w:t>5</w:t>
      </w:r>
      <w:r>
        <w:rPr>
          <w:rFonts w:hint="eastAsia" w:ascii="仿宋" w:hAnsi="仿宋" w:eastAsia="仿宋" w:cs="宋体"/>
          <w:color w:val="auto"/>
          <w:sz w:val="24"/>
          <w:highlight w:val="none"/>
        </w:rPr>
        <w:t>）和中小企业声明函（附件</w:t>
      </w:r>
      <w:r>
        <w:rPr>
          <w:rFonts w:ascii="仿宋" w:hAnsi="仿宋" w:eastAsia="仿宋" w:cs="宋体"/>
          <w:color w:val="auto"/>
          <w:sz w:val="24"/>
          <w:highlight w:val="none"/>
        </w:rPr>
        <w:t>7</w:t>
      </w:r>
      <w:r>
        <w:rPr>
          <w:rFonts w:hint="eastAsia" w:ascii="仿宋" w:hAnsi="仿宋" w:eastAsia="仿宋" w:cs="宋体"/>
          <w:color w:val="auto"/>
          <w:sz w:val="24"/>
          <w:highlight w:val="none"/>
        </w:rPr>
        <w:t>），联合各方均为中小企业，均须提供。</w:t>
      </w:r>
    </w:p>
    <w:p w14:paraId="28585CE4">
      <w:pPr>
        <w:widowControl/>
        <w:spacing w:line="360" w:lineRule="auto"/>
        <w:ind w:left="150"/>
        <w:jc w:val="center"/>
        <w:rPr>
          <w:rFonts w:hint="eastAsia" w:ascii="仿宋" w:hAnsi="仿宋" w:eastAsia="仿宋" w:cs="宋体"/>
          <w:b/>
          <w:color w:val="auto"/>
          <w:kern w:val="0"/>
          <w:sz w:val="32"/>
          <w:szCs w:val="32"/>
          <w:highlight w:val="none"/>
        </w:rPr>
      </w:pPr>
    </w:p>
    <w:p w14:paraId="66C75B67">
      <w:pPr>
        <w:widowControl/>
        <w:spacing w:line="360" w:lineRule="auto"/>
        <w:ind w:left="150"/>
        <w:jc w:val="center"/>
        <w:outlineLvl w:val="1"/>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五、本项目的特定资格要求</w:t>
      </w:r>
    </w:p>
    <w:p w14:paraId="22164450">
      <w:pPr>
        <w:snapToGrid w:val="0"/>
        <w:spacing w:line="360" w:lineRule="auto"/>
        <w:ind w:right="480"/>
        <w:jc w:val="center"/>
        <w:rPr>
          <w:rFonts w:ascii="仿宋" w:hAnsi="仿宋" w:eastAsia="仿宋" w:cs="宋体"/>
          <w:b/>
          <w:color w:val="auto"/>
          <w:kern w:val="0"/>
          <w:sz w:val="32"/>
          <w:szCs w:val="32"/>
          <w:highlight w:val="none"/>
        </w:rPr>
      </w:pPr>
      <w:r>
        <w:rPr>
          <w:rFonts w:hint="eastAsia" w:ascii="仿宋" w:hAnsi="仿宋" w:eastAsia="仿宋" w:cs="仿宋"/>
          <w:color w:val="auto"/>
          <w:sz w:val="24"/>
          <w:highlight w:val="none"/>
          <w:lang w:val="en-US" w:eastAsia="zh-CN"/>
        </w:rPr>
        <w:t>无</w:t>
      </w:r>
      <w:r>
        <w:rPr>
          <w:rFonts w:hint="eastAsia" w:ascii="仿宋" w:hAnsi="仿宋" w:eastAsia="仿宋" w:cs="仿宋"/>
          <w:color w:val="auto"/>
          <w:sz w:val="24"/>
          <w:highlight w:val="none"/>
        </w:rPr>
        <w:t>。</w:t>
      </w:r>
    </w:p>
    <w:p w14:paraId="0C055AB2">
      <w:pPr>
        <w:widowControl/>
        <w:adjustRightInd/>
        <w:jc w:val="left"/>
        <w:rPr>
          <w:rFonts w:ascii="仿宋" w:hAnsi="仿宋" w:eastAsia="仿宋" w:cs="宋体"/>
          <w:b/>
          <w:color w:val="auto"/>
          <w:kern w:val="0"/>
          <w:sz w:val="36"/>
          <w:szCs w:val="36"/>
          <w:highlight w:val="none"/>
        </w:rPr>
      </w:pPr>
      <w:r>
        <w:rPr>
          <w:rFonts w:ascii="仿宋" w:hAnsi="仿宋" w:eastAsia="仿宋" w:cs="宋体"/>
          <w:b/>
          <w:color w:val="auto"/>
          <w:kern w:val="0"/>
          <w:sz w:val="36"/>
          <w:szCs w:val="36"/>
          <w:highlight w:val="none"/>
        </w:rPr>
        <w:br w:type="page"/>
      </w:r>
    </w:p>
    <w:p w14:paraId="4E910F59">
      <w:pPr>
        <w:spacing w:line="360" w:lineRule="auto"/>
        <w:ind w:right="420" w:firstLine="3614" w:firstLineChars="1000"/>
        <w:outlineLvl w:val="1"/>
        <w:rPr>
          <w:rFonts w:ascii="仿宋" w:hAnsi="仿宋" w:eastAsia="仿宋" w:cs="宋体"/>
          <w:b/>
          <w:color w:val="auto"/>
          <w:kern w:val="0"/>
          <w:sz w:val="36"/>
          <w:szCs w:val="36"/>
          <w:highlight w:val="none"/>
        </w:rPr>
      </w:pPr>
      <w:r>
        <w:rPr>
          <w:rFonts w:hint="eastAsia" w:ascii="仿宋" w:hAnsi="仿宋" w:eastAsia="仿宋" w:cs="宋体"/>
          <w:b/>
          <w:color w:val="auto"/>
          <w:kern w:val="0"/>
          <w:sz w:val="36"/>
          <w:szCs w:val="36"/>
          <w:highlight w:val="none"/>
        </w:rPr>
        <w:t>商务技术文件部分</w:t>
      </w:r>
    </w:p>
    <w:p w14:paraId="2AAC352D">
      <w:pPr>
        <w:spacing w:line="360" w:lineRule="auto"/>
        <w:jc w:val="center"/>
        <w:rPr>
          <w:rFonts w:ascii="仿宋" w:hAnsi="仿宋" w:eastAsia="仿宋" w:cs="宋体"/>
          <w:b/>
          <w:color w:val="auto"/>
          <w:kern w:val="0"/>
          <w:sz w:val="24"/>
          <w:highlight w:val="none"/>
        </w:rPr>
      </w:pPr>
    </w:p>
    <w:p w14:paraId="4D678A0C">
      <w:pPr>
        <w:spacing w:line="360" w:lineRule="auto"/>
        <w:jc w:val="center"/>
        <w:rPr>
          <w:rFonts w:ascii="仿宋" w:hAnsi="仿宋" w:eastAsia="仿宋" w:cs="宋体"/>
          <w:b/>
          <w:color w:val="auto"/>
          <w:kern w:val="0"/>
          <w:sz w:val="28"/>
          <w:szCs w:val="28"/>
          <w:highlight w:val="none"/>
        </w:rPr>
      </w:pPr>
      <w:r>
        <w:rPr>
          <w:rFonts w:hint="eastAsia" w:ascii="仿宋" w:hAnsi="仿宋" w:eastAsia="仿宋" w:cs="宋体"/>
          <w:b/>
          <w:color w:val="auto"/>
          <w:kern w:val="0"/>
          <w:sz w:val="28"/>
          <w:szCs w:val="28"/>
          <w:highlight w:val="none"/>
        </w:rPr>
        <w:t>目录</w:t>
      </w:r>
    </w:p>
    <w:p w14:paraId="79EE8EB1">
      <w:pPr>
        <w:snapToGrid w:val="0"/>
        <w:spacing w:line="360" w:lineRule="auto"/>
        <w:ind w:left="479" w:leftChars="228"/>
        <w:rPr>
          <w:rFonts w:ascii="仿宋" w:hAnsi="仿宋" w:eastAsia="仿宋" w:cs="宋体"/>
          <w:color w:val="auto"/>
          <w:highlight w:val="none"/>
        </w:rPr>
      </w:pPr>
      <w:r>
        <w:rPr>
          <w:rFonts w:hint="eastAsia" w:ascii="仿宋" w:hAnsi="仿宋" w:eastAsia="仿宋" w:cs="宋体"/>
          <w:color w:val="auto"/>
          <w:sz w:val="24"/>
          <w:highlight w:val="none"/>
        </w:rPr>
        <w:t>（1）投标函</w:t>
      </w:r>
      <w:r>
        <w:rPr>
          <w:rFonts w:hint="eastAsia" w:ascii="仿宋" w:hAnsi="仿宋" w:eastAsia="仿宋" w:cs="宋体"/>
          <w:color w:val="auto"/>
          <w:highlight w:val="none"/>
        </w:rPr>
        <w:t>…………………………………………………………………………………（页码）</w:t>
      </w:r>
      <w:r>
        <w:rPr>
          <w:rFonts w:hint="eastAsia" w:ascii="仿宋" w:hAnsi="仿宋" w:eastAsia="仿宋" w:cs="宋体"/>
          <w:color w:val="auto"/>
          <w:sz w:val="24"/>
          <w:highlight w:val="none"/>
        </w:rPr>
        <w:t>（2）授权委托书或法定代表人（单位负责人、自然人本人）身份证明</w:t>
      </w:r>
      <w:r>
        <w:rPr>
          <w:rFonts w:hint="eastAsia" w:ascii="仿宋" w:hAnsi="仿宋" w:eastAsia="仿宋" w:cs="宋体"/>
          <w:color w:val="auto"/>
          <w:highlight w:val="none"/>
        </w:rPr>
        <w:t>………（页码）</w:t>
      </w:r>
    </w:p>
    <w:p w14:paraId="6068C509">
      <w:pPr>
        <w:snapToGrid w:val="0"/>
        <w:spacing w:line="360" w:lineRule="auto"/>
        <w:ind w:left="479" w:leftChars="228"/>
        <w:rPr>
          <w:rFonts w:ascii="仿宋" w:hAnsi="仿宋" w:eastAsia="仿宋" w:cs="宋体"/>
          <w:color w:val="auto"/>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3</w:t>
      </w:r>
      <w:r>
        <w:rPr>
          <w:rFonts w:hint="eastAsia" w:ascii="仿宋" w:hAnsi="仿宋" w:eastAsia="仿宋" w:cs="宋体"/>
          <w:color w:val="auto"/>
          <w:sz w:val="24"/>
          <w:highlight w:val="none"/>
        </w:rPr>
        <w:t>）分包意向协议</w:t>
      </w:r>
      <w:r>
        <w:rPr>
          <w:rFonts w:hint="eastAsia" w:ascii="仿宋" w:hAnsi="仿宋" w:eastAsia="仿宋" w:cs="宋体"/>
          <w:color w:val="auto"/>
          <w:highlight w:val="none"/>
        </w:rPr>
        <w:t>…………………………………………………………………………（页码）</w:t>
      </w:r>
    </w:p>
    <w:p w14:paraId="524ECA4B">
      <w:pPr>
        <w:snapToGrid w:val="0"/>
        <w:spacing w:line="360" w:lineRule="auto"/>
        <w:ind w:firstLine="480" w:firstLineChars="200"/>
        <w:rPr>
          <w:rFonts w:ascii="仿宋" w:hAnsi="仿宋" w:eastAsia="仿宋" w:cs="宋体"/>
          <w:color w:val="auto"/>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4</w:t>
      </w:r>
      <w:r>
        <w:rPr>
          <w:rFonts w:hint="eastAsia" w:ascii="仿宋" w:hAnsi="仿宋" w:eastAsia="仿宋" w:cs="宋体"/>
          <w:color w:val="auto"/>
          <w:sz w:val="24"/>
          <w:highlight w:val="none"/>
        </w:rPr>
        <w:t>）符合性审查资料</w:t>
      </w:r>
      <w:r>
        <w:rPr>
          <w:rFonts w:hint="eastAsia" w:ascii="仿宋" w:hAnsi="仿宋" w:eastAsia="仿宋" w:cs="宋体"/>
          <w:color w:val="auto"/>
          <w:highlight w:val="none"/>
        </w:rPr>
        <w:t>………………………………………………………………………（页码）</w:t>
      </w:r>
    </w:p>
    <w:p w14:paraId="5FF4B391">
      <w:pPr>
        <w:snapToGrid w:val="0"/>
        <w:spacing w:line="360" w:lineRule="auto"/>
        <w:ind w:left="479" w:leftChars="228"/>
        <w:rPr>
          <w:rFonts w:ascii="仿宋" w:hAnsi="仿宋" w:eastAsia="仿宋" w:cs="宋体"/>
          <w:color w:val="auto"/>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5</w:t>
      </w:r>
      <w:r>
        <w:rPr>
          <w:rFonts w:hint="eastAsia" w:ascii="仿宋" w:hAnsi="仿宋" w:eastAsia="仿宋" w:cs="宋体"/>
          <w:color w:val="auto"/>
          <w:sz w:val="24"/>
          <w:highlight w:val="none"/>
        </w:rPr>
        <w:t>）</w:t>
      </w:r>
      <w:r>
        <w:rPr>
          <w:rFonts w:hint="eastAsia" w:ascii="仿宋" w:hAnsi="仿宋" w:eastAsia="仿宋" w:cs="宋体"/>
          <w:color w:val="auto"/>
          <w:sz w:val="24"/>
          <w:highlight w:val="none"/>
          <w:lang w:eastAsia="zh-CN"/>
        </w:rPr>
        <w:t>商务技术偏离表</w:t>
      </w:r>
      <w:r>
        <w:rPr>
          <w:rFonts w:hint="eastAsia" w:ascii="仿宋" w:hAnsi="仿宋" w:eastAsia="仿宋" w:cs="宋体"/>
          <w:color w:val="auto"/>
          <w:highlight w:val="none"/>
        </w:rPr>
        <w:t>………………………………………………………………………（页码）</w:t>
      </w:r>
    </w:p>
    <w:p w14:paraId="120F190C">
      <w:pPr>
        <w:snapToGrid w:val="0"/>
        <w:spacing w:line="360" w:lineRule="auto"/>
        <w:ind w:left="479" w:leftChars="228"/>
        <w:rPr>
          <w:rFonts w:ascii="仿宋" w:hAnsi="仿宋" w:eastAsia="仿宋" w:cs="宋体"/>
          <w:color w:val="auto"/>
          <w:highlight w:val="none"/>
        </w:rPr>
      </w:pPr>
      <w:r>
        <w:rPr>
          <w:rFonts w:hint="eastAsia" w:ascii="仿宋" w:hAnsi="仿宋" w:eastAsia="仿宋" w:cs="宋体"/>
          <w:color w:val="auto"/>
          <w:sz w:val="24"/>
          <w:highlight w:val="none"/>
        </w:rPr>
        <w:t>（6）评标标准相应的商务技术资料</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……………（页码）</w:t>
      </w:r>
      <w:r>
        <w:rPr>
          <w:rFonts w:hint="eastAsia" w:ascii="仿宋" w:hAnsi="仿宋" w:eastAsia="仿宋" w:cs="宋体"/>
          <w:color w:val="auto"/>
          <w:sz w:val="24"/>
          <w:highlight w:val="none"/>
        </w:rPr>
        <w:t>（7）投标标的清单</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……………（页码）</w:t>
      </w:r>
      <w:r>
        <w:rPr>
          <w:rFonts w:hint="eastAsia" w:ascii="仿宋" w:hAnsi="仿宋" w:eastAsia="仿宋" w:cs="宋体"/>
          <w:color w:val="auto"/>
          <w:sz w:val="24"/>
          <w:highlight w:val="none"/>
          <w:lang w:val="zh-CN"/>
        </w:rPr>
        <w:t>（</w:t>
      </w:r>
      <w:r>
        <w:rPr>
          <w:rFonts w:ascii="仿宋" w:hAnsi="仿宋" w:eastAsia="仿宋" w:cs="宋体"/>
          <w:color w:val="auto"/>
          <w:sz w:val="24"/>
          <w:highlight w:val="none"/>
        </w:rPr>
        <w:t>8</w:t>
      </w:r>
      <w:r>
        <w:rPr>
          <w:rFonts w:hint="eastAsia" w:ascii="仿宋" w:hAnsi="仿宋" w:eastAsia="仿宋" w:cs="宋体"/>
          <w:color w:val="auto"/>
          <w:sz w:val="24"/>
          <w:highlight w:val="none"/>
          <w:lang w:val="zh-CN"/>
        </w:rPr>
        <w:t>）政府采购供应商廉洁自律承诺书</w:t>
      </w:r>
      <w:r>
        <w:rPr>
          <w:rFonts w:hint="eastAsia" w:ascii="仿宋" w:hAnsi="仿宋" w:eastAsia="仿宋" w:cs="宋体"/>
          <w:color w:val="auto"/>
          <w:highlight w:val="none"/>
        </w:rPr>
        <w:t>…………………………………………………（页码）</w:t>
      </w:r>
    </w:p>
    <w:p w14:paraId="21E60871">
      <w:pPr>
        <w:snapToGrid w:val="0"/>
        <w:spacing w:line="360" w:lineRule="auto"/>
        <w:jc w:val="center"/>
        <w:rPr>
          <w:rFonts w:ascii="仿宋" w:hAnsi="仿宋" w:eastAsia="仿宋" w:cs="宋体"/>
          <w:b/>
          <w:color w:val="auto"/>
          <w:kern w:val="0"/>
          <w:sz w:val="32"/>
          <w:szCs w:val="32"/>
          <w:highlight w:val="none"/>
          <w:lang w:val="zh-CN"/>
        </w:rPr>
      </w:pPr>
    </w:p>
    <w:p w14:paraId="7B676F75">
      <w:pPr>
        <w:snapToGrid w:val="0"/>
        <w:spacing w:line="360" w:lineRule="auto"/>
        <w:jc w:val="center"/>
        <w:rPr>
          <w:rFonts w:ascii="仿宋" w:hAnsi="仿宋" w:eastAsia="仿宋" w:cs="宋体"/>
          <w:b/>
          <w:color w:val="auto"/>
          <w:kern w:val="0"/>
          <w:sz w:val="32"/>
          <w:szCs w:val="32"/>
          <w:highlight w:val="none"/>
          <w:lang w:val="zh-CN"/>
        </w:rPr>
      </w:pPr>
    </w:p>
    <w:p w14:paraId="3D1D3D70">
      <w:pPr>
        <w:snapToGrid w:val="0"/>
        <w:spacing w:line="360" w:lineRule="auto"/>
        <w:jc w:val="center"/>
        <w:rPr>
          <w:rFonts w:ascii="仿宋" w:hAnsi="仿宋" w:eastAsia="仿宋" w:cs="宋体"/>
          <w:b/>
          <w:color w:val="auto"/>
          <w:kern w:val="0"/>
          <w:sz w:val="32"/>
          <w:szCs w:val="32"/>
          <w:highlight w:val="none"/>
          <w:lang w:val="zh-CN"/>
        </w:rPr>
      </w:pPr>
    </w:p>
    <w:p w14:paraId="5BBF6513">
      <w:pPr>
        <w:snapToGrid w:val="0"/>
        <w:spacing w:line="360" w:lineRule="auto"/>
        <w:jc w:val="center"/>
        <w:rPr>
          <w:rFonts w:ascii="仿宋" w:hAnsi="仿宋" w:eastAsia="仿宋" w:cs="宋体"/>
          <w:b/>
          <w:color w:val="auto"/>
          <w:kern w:val="0"/>
          <w:sz w:val="32"/>
          <w:szCs w:val="32"/>
          <w:highlight w:val="none"/>
          <w:lang w:val="zh-CN"/>
        </w:rPr>
      </w:pPr>
    </w:p>
    <w:p w14:paraId="2B0AE456">
      <w:pPr>
        <w:snapToGrid w:val="0"/>
        <w:spacing w:line="360" w:lineRule="auto"/>
        <w:jc w:val="center"/>
        <w:rPr>
          <w:rFonts w:ascii="仿宋" w:hAnsi="仿宋" w:eastAsia="仿宋" w:cs="宋体"/>
          <w:b/>
          <w:color w:val="auto"/>
          <w:kern w:val="0"/>
          <w:sz w:val="32"/>
          <w:szCs w:val="32"/>
          <w:highlight w:val="none"/>
          <w:lang w:val="zh-CN"/>
        </w:rPr>
      </w:pPr>
    </w:p>
    <w:p w14:paraId="0190F3FD">
      <w:pPr>
        <w:snapToGrid w:val="0"/>
        <w:spacing w:line="360" w:lineRule="auto"/>
        <w:jc w:val="center"/>
        <w:rPr>
          <w:rFonts w:ascii="仿宋" w:hAnsi="仿宋" w:eastAsia="仿宋" w:cs="宋体"/>
          <w:b/>
          <w:color w:val="auto"/>
          <w:kern w:val="0"/>
          <w:sz w:val="32"/>
          <w:szCs w:val="32"/>
          <w:highlight w:val="none"/>
          <w:lang w:val="zh-CN"/>
        </w:rPr>
      </w:pPr>
    </w:p>
    <w:p w14:paraId="6B98E999">
      <w:pPr>
        <w:snapToGrid w:val="0"/>
        <w:spacing w:line="360" w:lineRule="auto"/>
        <w:jc w:val="center"/>
        <w:rPr>
          <w:rFonts w:ascii="仿宋" w:hAnsi="仿宋" w:eastAsia="仿宋" w:cs="宋体"/>
          <w:b/>
          <w:color w:val="auto"/>
          <w:kern w:val="0"/>
          <w:sz w:val="32"/>
          <w:szCs w:val="32"/>
          <w:highlight w:val="none"/>
          <w:lang w:val="zh-CN"/>
        </w:rPr>
      </w:pPr>
    </w:p>
    <w:p w14:paraId="187DF2B9">
      <w:pPr>
        <w:snapToGrid w:val="0"/>
        <w:spacing w:line="360" w:lineRule="auto"/>
        <w:jc w:val="center"/>
        <w:rPr>
          <w:rFonts w:ascii="仿宋" w:hAnsi="仿宋" w:eastAsia="仿宋" w:cs="宋体"/>
          <w:b/>
          <w:color w:val="auto"/>
          <w:kern w:val="0"/>
          <w:sz w:val="32"/>
          <w:szCs w:val="32"/>
          <w:highlight w:val="none"/>
          <w:lang w:val="zh-CN"/>
        </w:rPr>
      </w:pPr>
    </w:p>
    <w:p w14:paraId="7000C76C">
      <w:pPr>
        <w:snapToGrid w:val="0"/>
        <w:spacing w:line="360" w:lineRule="auto"/>
        <w:jc w:val="center"/>
        <w:rPr>
          <w:rFonts w:ascii="仿宋" w:hAnsi="仿宋" w:eastAsia="仿宋" w:cs="宋体"/>
          <w:b/>
          <w:color w:val="auto"/>
          <w:kern w:val="0"/>
          <w:sz w:val="32"/>
          <w:szCs w:val="32"/>
          <w:highlight w:val="none"/>
          <w:lang w:val="zh-CN"/>
        </w:rPr>
      </w:pPr>
    </w:p>
    <w:p w14:paraId="26938270">
      <w:pPr>
        <w:snapToGrid w:val="0"/>
        <w:spacing w:line="360" w:lineRule="auto"/>
        <w:jc w:val="center"/>
        <w:rPr>
          <w:rFonts w:ascii="仿宋" w:hAnsi="仿宋" w:eastAsia="仿宋" w:cs="宋体"/>
          <w:b/>
          <w:color w:val="auto"/>
          <w:kern w:val="0"/>
          <w:sz w:val="32"/>
          <w:szCs w:val="32"/>
          <w:highlight w:val="none"/>
          <w:lang w:val="zh-CN"/>
        </w:rPr>
      </w:pPr>
    </w:p>
    <w:p w14:paraId="0C048C9E">
      <w:pPr>
        <w:snapToGrid w:val="0"/>
        <w:spacing w:line="360" w:lineRule="auto"/>
        <w:jc w:val="center"/>
        <w:rPr>
          <w:rFonts w:ascii="仿宋" w:hAnsi="仿宋" w:eastAsia="仿宋" w:cs="宋体"/>
          <w:b/>
          <w:color w:val="auto"/>
          <w:kern w:val="0"/>
          <w:sz w:val="32"/>
          <w:szCs w:val="32"/>
          <w:highlight w:val="none"/>
          <w:lang w:val="zh-CN"/>
        </w:rPr>
      </w:pPr>
    </w:p>
    <w:p w14:paraId="21F4A246">
      <w:pPr>
        <w:snapToGrid w:val="0"/>
        <w:spacing w:line="360" w:lineRule="auto"/>
        <w:jc w:val="center"/>
        <w:rPr>
          <w:rFonts w:ascii="仿宋" w:hAnsi="仿宋" w:eastAsia="仿宋" w:cs="宋体"/>
          <w:b/>
          <w:color w:val="auto"/>
          <w:kern w:val="0"/>
          <w:sz w:val="32"/>
          <w:szCs w:val="32"/>
          <w:highlight w:val="none"/>
          <w:lang w:val="zh-CN"/>
        </w:rPr>
      </w:pPr>
    </w:p>
    <w:p w14:paraId="0ED1D57B">
      <w:pPr>
        <w:rPr>
          <w:rFonts w:ascii="仿宋" w:hAnsi="仿宋" w:eastAsia="仿宋" w:cs="宋体"/>
          <w:b/>
          <w:color w:val="auto"/>
          <w:kern w:val="0"/>
          <w:sz w:val="32"/>
          <w:szCs w:val="32"/>
          <w:highlight w:val="none"/>
          <w:lang w:val="zh-CN"/>
        </w:rPr>
      </w:pPr>
    </w:p>
    <w:p w14:paraId="0A8FA580">
      <w:pPr>
        <w:widowControl/>
        <w:adjustRightInd/>
        <w:jc w:val="left"/>
        <w:rPr>
          <w:rFonts w:ascii="仿宋" w:hAnsi="仿宋" w:eastAsia="仿宋" w:cs="宋体"/>
          <w:b/>
          <w:color w:val="auto"/>
          <w:kern w:val="0"/>
          <w:sz w:val="32"/>
          <w:szCs w:val="32"/>
          <w:highlight w:val="none"/>
        </w:rPr>
      </w:pPr>
      <w:r>
        <w:rPr>
          <w:rFonts w:ascii="仿宋" w:hAnsi="仿宋" w:eastAsia="仿宋" w:cs="宋体"/>
          <w:b/>
          <w:color w:val="auto"/>
          <w:kern w:val="0"/>
          <w:sz w:val="32"/>
          <w:szCs w:val="32"/>
          <w:highlight w:val="none"/>
        </w:rPr>
        <w:br w:type="page"/>
      </w:r>
    </w:p>
    <w:p w14:paraId="0222AD85">
      <w:pPr>
        <w:snapToGrid w:val="0"/>
        <w:spacing w:line="360" w:lineRule="auto"/>
        <w:jc w:val="center"/>
        <w:outlineLvl w:val="1"/>
        <w:rPr>
          <w:rFonts w:ascii="仿宋" w:hAnsi="仿宋" w:eastAsia="仿宋" w:cs="宋体"/>
          <w:b/>
          <w:color w:val="auto"/>
          <w:sz w:val="32"/>
          <w:szCs w:val="32"/>
          <w:highlight w:val="none"/>
        </w:rPr>
      </w:pPr>
      <w:r>
        <w:rPr>
          <w:rFonts w:hint="eastAsia" w:ascii="仿宋" w:hAnsi="仿宋" w:eastAsia="仿宋" w:cs="宋体"/>
          <w:b/>
          <w:color w:val="auto"/>
          <w:kern w:val="0"/>
          <w:sz w:val="32"/>
          <w:szCs w:val="32"/>
          <w:highlight w:val="none"/>
        </w:rPr>
        <w:t>一、投标</w:t>
      </w:r>
      <w:r>
        <w:rPr>
          <w:rFonts w:hint="eastAsia" w:ascii="仿宋" w:hAnsi="仿宋" w:eastAsia="仿宋" w:cs="宋体"/>
          <w:b/>
          <w:color w:val="auto"/>
          <w:sz w:val="32"/>
          <w:szCs w:val="32"/>
          <w:highlight w:val="none"/>
        </w:rPr>
        <w:t>函</w:t>
      </w:r>
    </w:p>
    <w:p w14:paraId="7BC85B25">
      <w:pPr>
        <w:snapToGrid w:val="0"/>
        <w:spacing w:line="360" w:lineRule="auto"/>
        <w:rPr>
          <w:rFonts w:ascii="仿宋" w:hAnsi="仿宋" w:eastAsia="仿宋" w:cs="宋体"/>
          <w:color w:val="auto"/>
          <w:sz w:val="24"/>
          <w:highlight w:val="none"/>
        </w:rPr>
      </w:pPr>
      <w:r>
        <w:rPr>
          <w:rFonts w:hint="eastAsia" w:ascii="仿宋" w:hAnsi="仿宋" w:eastAsia="仿宋" w:cs="仿宋"/>
          <w:color w:val="auto"/>
          <w:sz w:val="24"/>
          <w:highlight w:val="none"/>
          <w:lang w:eastAsia="zh-CN"/>
        </w:rPr>
        <w:t>杭州市生态环境局拱墅分局</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浙江五石中正工程咨询有限公司</w:t>
      </w:r>
      <w:r>
        <w:rPr>
          <w:rFonts w:hint="eastAsia" w:ascii="仿宋" w:hAnsi="仿宋" w:eastAsia="仿宋" w:cs="宋体"/>
          <w:color w:val="auto"/>
          <w:sz w:val="24"/>
          <w:highlight w:val="none"/>
        </w:rPr>
        <w:t>：</w:t>
      </w:r>
    </w:p>
    <w:p w14:paraId="4E4E5DF8">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我方参加你方组织的</w:t>
      </w:r>
      <w:r>
        <w:rPr>
          <w:rFonts w:hint="eastAsia" w:ascii="仿宋" w:hAnsi="仿宋" w:eastAsia="仿宋" w:cs="宋体"/>
          <w:color w:val="auto"/>
          <w:sz w:val="24"/>
          <w:highlight w:val="none"/>
          <w:u w:val="single"/>
          <w:lang w:eastAsia="zh-CN"/>
        </w:rPr>
        <w:t>杭州市生态环境局拱墅分局“清净”拱墅多污染协同管控工程建设项目</w:t>
      </w:r>
      <w:r>
        <w:rPr>
          <w:rFonts w:hint="eastAsia" w:ascii="仿宋" w:hAnsi="仿宋" w:eastAsia="仿宋" w:cs="宋体"/>
          <w:color w:val="auto"/>
          <w:sz w:val="24"/>
          <w:highlight w:val="none"/>
        </w:rPr>
        <w:t>（项目名称）【招标编号：</w:t>
      </w:r>
      <w:r>
        <w:rPr>
          <w:rFonts w:hint="eastAsia" w:ascii="仿宋" w:hAnsi="仿宋" w:eastAsia="仿宋" w:cs="宋体"/>
          <w:color w:val="auto"/>
          <w:sz w:val="24"/>
          <w:highlight w:val="none"/>
          <w:lang w:eastAsia="zh-CN"/>
        </w:rPr>
        <w:t>ZJWS2025--GS01</w:t>
      </w:r>
      <w:r>
        <w:rPr>
          <w:rFonts w:hint="eastAsia" w:ascii="仿宋" w:hAnsi="仿宋" w:eastAsia="仿宋" w:cs="宋体"/>
          <w:color w:val="auto"/>
          <w:sz w:val="24"/>
          <w:highlight w:val="none"/>
        </w:rPr>
        <w:t>】</w:t>
      </w:r>
      <w:r>
        <w:rPr>
          <w:rFonts w:hint="eastAsia" w:ascii="仿宋" w:hAnsi="仿宋" w:eastAsia="仿宋" w:cs="宋体"/>
          <w:color w:val="auto"/>
          <w:sz w:val="24"/>
          <w:highlight w:val="none"/>
          <w:u w:val="single"/>
          <w:lang w:val="en-US" w:eastAsia="zh-CN"/>
        </w:rPr>
        <w:t xml:space="preserve">标项 X  </w:t>
      </w:r>
      <w:r>
        <w:rPr>
          <w:rFonts w:hint="eastAsia" w:ascii="仿宋" w:hAnsi="仿宋" w:eastAsia="仿宋" w:cs="宋体"/>
          <w:color w:val="auto"/>
          <w:sz w:val="24"/>
          <w:highlight w:val="none"/>
        </w:rPr>
        <w:t>招标的有关活动，并对此项目进行投标。为此：</w:t>
      </w:r>
    </w:p>
    <w:p w14:paraId="009265DA">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1、我方承诺投标有效期从提交投标文件的截止之日起</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天（不少于90天）</w:t>
      </w:r>
      <w:r>
        <w:rPr>
          <w:rFonts w:hint="eastAsia" w:ascii="仿宋" w:hAnsi="仿宋" w:eastAsia="仿宋" w:cs="宋体"/>
          <w:color w:val="auto"/>
          <w:highlight w:val="none"/>
        </w:rPr>
        <w:t>，</w:t>
      </w:r>
      <w:r>
        <w:rPr>
          <w:rFonts w:hint="eastAsia" w:ascii="仿宋" w:hAnsi="仿宋" w:eastAsia="仿宋" w:cs="宋体"/>
          <w:color w:val="auto"/>
          <w:sz w:val="24"/>
          <w:highlight w:val="none"/>
        </w:rPr>
        <w:t>本投标文件在投标有效期满之前均具有约束力。</w:t>
      </w:r>
    </w:p>
    <w:p w14:paraId="3DF747D8">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2、我方的投标文件包括以下内容：</w:t>
      </w:r>
    </w:p>
    <w:p w14:paraId="6B96D64C">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2.1</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资格文件：</w:t>
      </w:r>
    </w:p>
    <w:p w14:paraId="373D0FFA">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2.1.1</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承诺函；</w:t>
      </w:r>
    </w:p>
    <w:p w14:paraId="4B55AE23">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2.1.2</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供应商（联合体各方）营业执照（或其他同类证明文件）</w:t>
      </w:r>
    </w:p>
    <w:p w14:paraId="298B1851">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2.1.3</w:t>
      </w:r>
      <w:r>
        <w:rPr>
          <w:rFonts w:ascii="仿宋" w:hAnsi="仿宋" w:eastAsia="仿宋" w:cs="宋体"/>
          <w:color w:val="auto"/>
          <w:sz w:val="24"/>
          <w:highlight w:val="none"/>
        </w:rPr>
        <w:t xml:space="preserve"> </w:t>
      </w:r>
      <w:r>
        <w:rPr>
          <w:rFonts w:hint="eastAsia" w:ascii="仿宋" w:hAnsi="仿宋" w:eastAsia="仿宋" w:cs="宋体"/>
          <w:snapToGrid w:val="0"/>
          <w:color w:val="auto"/>
          <w:kern w:val="28"/>
          <w:sz w:val="24"/>
          <w:szCs w:val="20"/>
          <w:highlight w:val="none"/>
        </w:rPr>
        <w:t>联合协议</w:t>
      </w:r>
      <w:bookmarkStart w:id="423" w:name="_Hlk101257010"/>
      <w:r>
        <w:rPr>
          <w:rFonts w:hint="eastAsia" w:ascii="仿宋" w:hAnsi="仿宋" w:eastAsia="仿宋" w:cs="宋体"/>
          <w:color w:val="auto"/>
          <w:sz w:val="24"/>
          <w:highlight w:val="none"/>
        </w:rPr>
        <w:t>（如果有)</w:t>
      </w:r>
      <w:bookmarkEnd w:id="423"/>
      <w:r>
        <w:rPr>
          <w:rFonts w:hint="eastAsia" w:ascii="仿宋" w:hAnsi="仿宋" w:eastAsia="仿宋" w:cs="宋体"/>
          <w:snapToGrid w:val="0"/>
          <w:color w:val="auto"/>
          <w:kern w:val="28"/>
          <w:sz w:val="24"/>
          <w:szCs w:val="20"/>
          <w:highlight w:val="none"/>
        </w:rPr>
        <w:t>；</w:t>
      </w:r>
    </w:p>
    <w:p w14:paraId="551C5CBC">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ascii="仿宋" w:hAnsi="仿宋" w:eastAsia="仿宋" w:cs="宋体"/>
          <w:color w:val="auto"/>
          <w:sz w:val="24"/>
          <w:highlight w:val="none"/>
        </w:rPr>
        <w:t>.1.</w:t>
      </w:r>
      <w:r>
        <w:rPr>
          <w:rFonts w:hint="eastAsia" w:ascii="仿宋" w:hAnsi="仿宋" w:eastAsia="仿宋" w:cs="宋体"/>
          <w:color w:val="auto"/>
          <w:sz w:val="24"/>
          <w:highlight w:val="none"/>
        </w:rPr>
        <w:t>4</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落实政府采购政策需满足的资格要求（如果有）；</w:t>
      </w:r>
    </w:p>
    <w:p w14:paraId="08A7CF8B">
      <w:pPr>
        <w:snapToGrid w:val="0"/>
        <w:spacing w:line="360" w:lineRule="auto"/>
        <w:ind w:left="210" w:leftChars="100" w:firstLine="480" w:firstLineChars="200"/>
        <w:rPr>
          <w:rFonts w:ascii="仿宋" w:hAnsi="仿宋" w:eastAsia="仿宋" w:cs="宋体"/>
          <w:color w:val="auto"/>
          <w:sz w:val="24"/>
          <w:highlight w:val="none"/>
          <w:lang w:val="zh-CN"/>
        </w:rPr>
      </w:pP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zh-CN"/>
        </w:rPr>
        <w:t>.</w:t>
      </w: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zh-CN"/>
        </w:rPr>
        <w:t xml:space="preserve"> </w:t>
      </w:r>
      <w:r>
        <w:rPr>
          <w:rFonts w:hint="eastAsia" w:ascii="仿宋" w:hAnsi="仿宋" w:eastAsia="仿宋" w:cs="宋体"/>
          <w:color w:val="auto"/>
          <w:sz w:val="24"/>
          <w:highlight w:val="none"/>
        </w:rPr>
        <w:t>商务技术</w:t>
      </w:r>
      <w:r>
        <w:rPr>
          <w:rFonts w:hint="eastAsia" w:ascii="仿宋" w:hAnsi="仿宋" w:eastAsia="仿宋" w:cs="宋体"/>
          <w:color w:val="auto"/>
          <w:sz w:val="24"/>
          <w:highlight w:val="none"/>
          <w:lang w:val="zh-CN"/>
        </w:rPr>
        <w:t>文件：</w:t>
      </w:r>
    </w:p>
    <w:p w14:paraId="33DADF68">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2.2.1</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投标函；</w:t>
      </w:r>
    </w:p>
    <w:p w14:paraId="7B22BD8A">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2.2.2</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授权委托书或法定代表人（单位负责人）身份证明；</w:t>
      </w:r>
    </w:p>
    <w:p w14:paraId="5B389D77">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w:t>
      </w:r>
      <w:r>
        <w:rPr>
          <w:rFonts w:ascii="仿宋" w:hAnsi="仿宋" w:eastAsia="仿宋" w:cs="宋体"/>
          <w:color w:val="auto"/>
          <w:sz w:val="24"/>
          <w:highlight w:val="none"/>
        </w:rPr>
        <w:t xml:space="preserve">3 </w:t>
      </w:r>
      <w:r>
        <w:rPr>
          <w:rFonts w:hint="eastAsia" w:ascii="仿宋" w:hAnsi="仿宋" w:eastAsia="仿宋" w:cs="宋体"/>
          <w:color w:val="auto"/>
          <w:sz w:val="24"/>
          <w:highlight w:val="none"/>
        </w:rPr>
        <w:t>分包意向协议（如果有)；</w:t>
      </w:r>
    </w:p>
    <w:p w14:paraId="6283A492">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w:t>
      </w:r>
      <w:r>
        <w:rPr>
          <w:rFonts w:ascii="仿宋" w:hAnsi="仿宋" w:eastAsia="仿宋" w:cs="宋体"/>
          <w:color w:val="auto"/>
          <w:sz w:val="24"/>
          <w:highlight w:val="none"/>
        </w:rPr>
        <w:t xml:space="preserve">4 </w:t>
      </w:r>
      <w:r>
        <w:rPr>
          <w:rFonts w:hint="eastAsia" w:ascii="仿宋" w:hAnsi="仿宋" w:eastAsia="仿宋" w:cs="宋体"/>
          <w:color w:val="auto"/>
          <w:sz w:val="24"/>
          <w:highlight w:val="none"/>
        </w:rPr>
        <w:t>符合性审查资料；</w:t>
      </w:r>
    </w:p>
    <w:p w14:paraId="22734AAB">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w:t>
      </w:r>
      <w:r>
        <w:rPr>
          <w:rFonts w:ascii="仿宋" w:hAnsi="仿宋" w:eastAsia="仿宋" w:cs="宋体"/>
          <w:color w:val="auto"/>
          <w:sz w:val="24"/>
          <w:highlight w:val="none"/>
        </w:rPr>
        <w:t xml:space="preserve">5 </w:t>
      </w:r>
      <w:r>
        <w:rPr>
          <w:rFonts w:hint="eastAsia" w:ascii="仿宋" w:hAnsi="仿宋" w:eastAsia="仿宋" w:cs="宋体"/>
          <w:color w:val="auto"/>
          <w:sz w:val="24"/>
          <w:highlight w:val="none"/>
        </w:rPr>
        <w:t>评标标准相应的商务技术资料；</w:t>
      </w:r>
    </w:p>
    <w:p w14:paraId="25DBDC9E">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w:t>
      </w:r>
      <w:r>
        <w:rPr>
          <w:rFonts w:ascii="仿宋" w:hAnsi="仿宋" w:eastAsia="仿宋" w:cs="宋体"/>
          <w:color w:val="auto"/>
          <w:sz w:val="24"/>
          <w:highlight w:val="none"/>
        </w:rPr>
        <w:t xml:space="preserve">6 </w:t>
      </w:r>
      <w:r>
        <w:rPr>
          <w:rFonts w:hint="eastAsia" w:ascii="仿宋" w:hAnsi="仿宋" w:eastAsia="仿宋" w:cs="宋体"/>
          <w:color w:val="auto"/>
          <w:sz w:val="24"/>
          <w:highlight w:val="none"/>
        </w:rPr>
        <w:t>投标标的清单；</w:t>
      </w:r>
    </w:p>
    <w:p w14:paraId="1EAA16B4">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w:t>
      </w:r>
      <w:r>
        <w:rPr>
          <w:rFonts w:ascii="仿宋" w:hAnsi="仿宋" w:eastAsia="仿宋" w:cs="宋体"/>
          <w:color w:val="auto"/>
          <w:sz w:val="24"/>
          <w:highlight w:val="none"/>
        </w:rPr>
        <w:t xml:space="preserve">7 </w:t>
      </w:r>
      <w:r>
        <w:rPr>
          <w:rFonts w:hint="eastAsia" w:ascii="仿宋" w:hAnsi="仿宋" w:eastAsia="仿宋" w:cs="宋体"/>
          <w:color w:val="auto"/>
          <w:sz w:val="24"/>
          <w:highlight w:val="none"/>
          <w:lang w:eastAsia="zh-CN"/>
        </w:rPr>
        <w:t>商务技术偏离表</w:t>
      </w:r>
      <w:r>
        <w:rPr>
          <w:rFonts w:hint="eastAsia" w:ascii="仿宋" w:hAnsi="仿宋" w:eastAsia="仿宋" w:cs="宋体"/>
          <w:color w:val="auto"/>
          <w:sz w:val="24"/>
          <w:highlight w:val="none"/>
        </w:rPr>
        <w:t>；</w:t>
      </w:r>
    </w:p>
    <w:p w14:paraId="1E1BE37B">
      <w:pPr>
        <w:snapToGrid w:val="0"/>
        <w:spacing w:line="360" w:lineRule="auto"/>
        <w:ind w:left="420" w:leftChars="200" w:firstLine="480" w:firstLineChars="200"/>
        <w:rPr>
          <w:rFonts w:ascii="仿宋" w:hAnsi="仿宋" w:eastAsia="仿宋" w:cs="宋体"/>
          <w:color w:val="auto"/>
          <w:sz w:val="24"/>
          <w:highlight w:val="none"/>
          <w:lang w:val="zh-CN"/>
        </w:rPr>
      </w:pP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zh-CN"/>
        </w:rPr>
        <w:t>.</w:t>
      </w: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zh-CN"/>
        </w:rPr>
        <w:t>.</w:t>
      </w:r>
      <w:r>
        <w:rPr>
          <w:rFonts w:ascii="仿宋" w:hAnsi="仿宋" w:eastAsia="仿宋" w:cs="宋体"/>
          <w:color w:val="auto"/>
          <w:sz w:val="24"/>
          <w:highlight w:val="none"/>
        </w:rPr>
        <w:t xml:space="preserve">8 </w:t>
      </w:r>
      <w:r>
        <w:rPr>
          <w:rFonts w:hint="eastAsia" w:ascii="仿宋" w:hAnsi="仿宋" w:eastAsia="仿宋" w:cs="宋体"/>
          <w:color w:val="auto"/>
          <w:sz w:val="24"/>
          <w:highlight w:val="none"/>
          <w:lang w:val="zh-CN"/>
        </w:rPr>
        <w:t>政府采购供应商廉洁自律承诺书；</w:t>
      </w:r>
    </w:p>
    <w:p w14:paraId="1A123243">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zh-CN"/>
        </w:rPr>
        <w:t>.</w:t>
      </w:r>
      <w:r>
        <w:rPr>
          <w:rFonts w:hint="eastAsia" w:ascii="仿宋" w:hAnsi="仿宋" w:eastAsia="仿宋" w:cs="宋体"/>
          <w:color w:val="auto"/>
          <w:sz w:val="24"/>
          <w:highlight w:val="none"/>
        </w:rPr>
        <w:t>3</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报价文件</w:t>
      </w:r>
    </w:p>
    <w:p w14:paraId="7F7267A2">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2.3.1</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开标一览表（报价表）；</w:t>
      </w:r>
    </w:p>
    <w:p w14:paraId="2EE18101">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2.3.2</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报价情况说明（如果有）；</w:t>
      </w:r>
    </w:p>
    <w:p w14:paraId="7648F68E">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2.3.3</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缴纳采购代理费服务费承诺书。</w:t>
      </w:r>
    </w:p>
    <w:p w14:paraId="4954429D">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3、我方承诺除</w:t>
      </w:r>
      <w:r>
        <w:rPr>
          <w:rFonts w:hint="eastAsia" w:ascii="仿宋" w:hAnsi="仿宋" w:eastAsia="仿宋" w:cs="宋体"/>
          <w:color w:val="auto"/>
          <w:sz w:val="24"/>
          <w:highlight w:val="none"/>
          <w:lang w:eastAsia="zh-CN"/>
        </w:rPr>
        <w:t>商务技术偏离表</w:t>
      </w:r>
      <w:r>
        <w:rPr>
          <w:rFonts w:hint="eastAsia" w:ascii="仿宋" w:hAnsi="仿宋" w:eastAsia="仿宋" w:cs="宋体"/>
          <w:color w:val="auto"/>
          <w:sz w:val="24"/>
          <w:highlight w:val="none"/>
        </w:rPr>
        <w:t>列出的偏离外，我方响应招标文件的全部要求。并对投标文件中材料的真实性、合法性负责。</w:t>
      </w:r>
    </w:p>
    <w:p w14:paraId="2041E4C4">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4、如我方中标，我方承诺：</w:t>
      </w:r>
    </w:p>
    <w:p w14:paraId="44D4679B">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4.1</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 xml:space="preserve">在收到中标通知书后，在中标通知书规定的期限内与你方签订合同； </w:t>
      </w:r>
    </w:p>
    <w:p w14:paraId="69BB63AC">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4.2</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 xml:space="preserve">在签订合同时不向你方提出附加条件； </w:t>
      </w:r>
    </w:p>
    <w:p w14:paraId="55F42FDD">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4.3</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 xml:space="preserve">按照招标文件要求提交履约保证金（如有）； </w:t>
      </w:r>
    </w:p>
    <w:p w14:paraId="5D66EE76">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4.4</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 xml:space="preserve">在合同约定的期限内完成合同规定的全部义务。 </w:t>
      </w:r>
    </w:p>
    <w:p w14:paraId="4706909F">
      <w:pPr>
        <w:snapToGrid w:val="0"/>
        <w:spacing w:line="360" w:lineRule="auto"/>
        <w:ind w:left="210" w:leftChars="100"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5</w:t>
      </w:r>
      <w:r>
        <w:rPr>
          <w:rFonts w:hint="eastAsia" w:ascii="仿宋" w:hAnsi="仿宋" w:eastAsia="仿宋" w:cs="宋体"/>
          <w:color w:val="auto"/>
          <w:sz w:val="24"/>
          <w:highlight w:val="none"/>
          <w:lang w:eastAsia="zh-CN"/>
        </w:rPr>
        <w:t>、</w:t>
      </w:r>
      <w:r>
        <w:rPr>
          <w:rFonts w:hint="eastAsia" w:ascii="仿宋" w:hAnsi="仿宋" w:eastAsia="仿宋" w:cs="宋体"/>
          <w:color w:val="auto"/>
          <w:sz w:val="24"/>
          <w:highlight w:val="none"/>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55031BB0">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lang w:val="en-US" w:eastAsia="zh-CN"/>
        </w:rPr>
        <w:t>6</w:t>
      </w:r>
      <w:r>
        <w:rPr>
          <w:rFonts w:hint="eastAsia" w:ascii="仿宋" w:hAnsi="仿宋" w:eastAsia="仿宋" w:cs="宋体"/>
          <w:color w:val="auto"/>
          <w:sz w:val="24"/>
          <w:highlight w:val="none"/>
        </w:rPr>
        <w:t>、其他补充说明:</w:t>
      </w:r>
      <w:r>
        <w:rPr>
          <w:rFonts w:hint="eastAsia" w:ascii="仿宋" w:hAnsi="仿宋" w:eastAsia="仿宋" w:cs="宋体"/>
          <w:color w:val="auto"/>
          <w:sz w:val="24"/>
          <w:highlight w:val="none"/>
          <w:u w:val="single"/>
        </w:rPr>
        <w:t xml:space="preserve"> </w:t>
      </w:r>
      <w:r>
        <w:rPr>
          <w:rFonts w:hint="eastAsia" w:ascii="仿宋" w:hAnsi="仿宋" w:eastAsia="仿宋" w:cs="仿宋"/>
          <w:color w:val="auto"/>
          <w:kern w:val="2"/>
          <w:sz w:val="24"/>
          <w:szCs w:val="24"/>
          <w:highlight w:val="none"/>
          <w:u w:val="single"/>
          <w:lang w:eastAsia="zh-CN"/>
        </w:rPr>
        <w:t>我方承诺按供应商须知前附表规定向采购代理机构支付采购代理服务费</w:t>
      </w:r>
      <w:r>
        <w:rPr>
          <w:rFonts w:hint="eastAsia" w:ascii="仿宋" w:hAnsi="仿宋" w:eastAsia="仿宋" w:cs="宋体"/>
          <w:color w:val="auto"/>
          <w:sz w:val="24"/>
          <w:highlight w:val="none"/>
        </w:rPr>
        <w:t>。</w:t>
      </w:r>
    </w:p>
    <w:p w14:paraId="71168E50">
      <w:pPr>
        <w:spacing w:line="360" w:lineRule="auto"/>
        <w:ind w:firstLine="480" w:firstLineChars="200"/>
        <w:rPr>
          <w:rFonts w:ascii="仿宋" w:hAnsi="仿宋" w:eastAsia="仿宋" w:cs="宋体"/>
          <w:color w:val="auto"/>
          <w:sz w:val="24"/>
          <w:highlight w:val="none"/>
        </w:rPr>
      </w:pPr>
    </w:p>
    <w:p w14:paraId="01475EF2">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投标人名称（电子签名）：                          </w:t>
      </w:r>
    </w:p>
    <w:p w14:paraId="4DE1B33B">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日期：  年   月   日</w:t>
      </w:r>
    </w:p>
    <w:p w14:paraId="3190068B">
      <w:pPr>
        <w:pStyle w:val="15"/>
        <w:snapToGrid w:val="0"/>
        <w:spacing w:line="360" w:lineRule="auto"/>
        <w:ind w:firstLine="42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单位地址：</w:t>
      </w:r>
    </w:p>
    <w:p w14:paraId="6D3016F0">
      <w:pPr>
        <w:pStyle w:val="15"/>
        <w:snapToGrid w:val="0"/>
        <w:spacing w:line="360" w:lineRule="auto"/>
        <w:ind w:firstLine="42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授权代表姓名：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邮箱：</w:t>
      </w:r>
      <w:r>
        <w:rPr>
          <w:rFonts w:hint="eastAsia" w:ascii="仿宋" w:hAnsi="仿宋" w:eastAsia="仿宋" w:cs="仿宋"/>
          <w:color w:val="auto"/>
          <w:sz w:val="24"/>
          <w:szCs w:val="24"/>
          <w:highlight w:val="none"/>
          <w:u w:val="single"/>
        </w:rPr>
        <w:t xml:space="preserve">              </w:t>
      </w:r>
    </w:p>
    <w:p w14:paraId="650584F4">
      <w:pPr>
        <w:pStyle w:val="15"/>
        <w:snapToGrid w:val="0"/>
        <w:spacing w:line="360" w:lineRule="auto"/>
        <w:ind w:firstLine="42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投标单位账户信息：</w:t>
      </w:r>
    </w:p>
    <w:p w14:paraId="41185B58">
      <w:pPr>
        <w:pStyle w:val="15"/>
        <w:snapToGrid w:val="0"/>
        <w:spacing w:line="360" w:lineRule="auto"/>
        <w:ind w:firstLine="42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户名：</w:t>
      </w:r>
    </w:p>
    <w:p w14:paraId="726FE6D8">
      <w:pPr>
        <w:pStyle w:val="15"/>
        <w:snapToGrid w:val="0"/>
        <w:spacing w:line="360" w:lineRule="auto"/>
        <w:ind w:firstLine="42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p w14:paraId="3C1262EB">
      <w:pPr>
        <w:snapToGrid w:val="0"/>
        <w:spacing w:line="360" w:lineRule="auto"/>
        <w:ind w:firstLine="480" w:firstLineChars="200"/>
        <w:rPr>
          <w:rFonts w:ascii="仿宋" w:hAnsi="仿宋" w:eastAsia="仿宋" w:cs="宋体"/>
          <w:color w:val="auto"/>
          <w:kern w:val="0"/>
          <w:sz w:val="24"/>
          <w:highlight w:val="none"/>
          <w:u w:val="single"/>
        </w:rPr>
      </w:pPr>
      <w:r>
        <w:rPr>
          <w:rFonts w:hint="eastAsia" w:ascii="仿宋" w:hAnsi="仿宋" w:eastAsia="仿宋" w:cs="仿宋"/>
          <w:color w:val="auto"/>
          <w:sz w:val="24"/>
          <w:highlight w:val="none"/>
        </w:rPr>
        <w:t>账号：</w:t>
      </w:r>
    </w:p>
    <w:p w14:paraId="4A0BFBA9">
      <w:pPr>
        <w:spacing w:line="360" w:lineRule="auto"/>
        <w:ind w:right="420"/>
        <w:rPr>
          <w:rFonts w:ascii="仿宋" w:hAnsi="仿宋" w:eastAsia="仿宋" w:cs="宋体"/>
          <w:color w:val="auto"/>
          <w:sz w:val="24"/>
          <w:highlight w:val="none"/>
        </w:rPr>
      </w:pPr>
    </w:p>
    <w:p w14:paraId="16D5B582">
      <w:pPr>
        <w:spacing w:line="360" w:lineRule="auto"/>
        <w:ind w:right="420"/>
        <w:rPr>
          <w:rFonts w:ascii="仿宋" w:hAnsi="仿宋" w:eastAsia="仿宋" w:cs="宋体"/>
          <w:color w:val="auto"/>
          <w:sz w:val="24"/>
          <w:highlight w:val="none"/>
        </w:rPr>
      </w:pPr>
    </w:p>
    <w:p w14:paraId="7029F0AA">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14:paraId="76F1FF83">
      <w:pPr>
        <w:widowControl/>
        <w:adjustRightInd/>
        <w:jc w:val="left"/>
        <w:rPr>
          <w:rFonts w:ascii="仿宋" w:hAnsi="仿宋" w:eastAsia="仿宋" w:cs="宋体"/>
          <w:b/>
          <w:color w:val="auto"/>
          <w:kern w:val="0"/>
          <w:sz w:val="32"/>
          <w:szCs w:val="32"/>
          <w:highlight w:val="none"/>
        </w:rPr>
      </w:pPr>
      <w:r>
        <w:rPr>
          <w:rFonts w:ascii="仿宋" w:hAnsi="仿宋" w:eastAsia="仿宋" w:cs="宋体"/>
          <w:b/>
          <w:color w:val="auto"/>
          <w:kern w:val="0"/>
          <w:sz w:val="32"/>
          <w:szCs w:val="32"/>
          <w:highlight w:val="none"/>
        </w:rPr>
        <w:br w:type="page"/>
      </w:r>
    </w:p>
    <w:p w14:paraId="26B53EA3">
      <w:pPr>
        <w:jc w:val="center"/>
        <w:outlineLvl w:val="1"/>
        <w:rPr>
          <w:rFonts w:ascii="仿宋" w:hAnsi="仿宋" w:eastAsia="仿宋" w:cs="宋体"/>
          <w:b/>
          <w:color w:val="auto"/>
          <w:kern w:val="0"/>
          <w:sz w:val="32"/>
          <w:szCs w:val="32"/>
          <w:highlight w:val="none"/>
          <w:lang w:val="zh-CN"/>
        </w:rPr>
      </w:pPr>
      <w:r>
        <w:rPr>
          <w:rFonts w:hint="eastAsia" w:ascii="仿宋" w:hAnsi="仿宋" w:eastAsia="仿宋" w:cs="宋体"/>
          <w:b/>
          <w:color w:val="auto"/>
          <w:kern w:val="0"/>
          <w:sz w:val="32"/>
          <w:szCs w:val="32"/>
          <w:highlight w:val="none"/>
          <w:lang w:val="zh-CN"/>
        </w:rPr>
        <w:t>二、授权委托书或法定代表人（单位负责人、自然人本人）身份证明</w:t>
      </w:r>
    </w:p>
    <w:p w14:paraId="66C84511">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w:t>
      </w:r>
    </w:p>
    <w:p w14:paraId="4C244BB4">
      <w:pPr>
        <w:snapToGrid w:val="0"/>
        <w:spacing w:line="360" w:lineRule="auto"/>
        <w:ind w:firstLine="2872" w:firstLineChars="894"/>
        <w:rPr>
          <w:rFonts w:ascii="仿宋" w:hAnsi="仿宋" w:eastAsia="仿宋" w:cs="宋体"/>
          <w:color w:val="auto"/>
          <w:highlight w:val="none"/>
        </w:rPr>
      </w:pPr>
      <w:r>
        <w:rPr>
          <w:rFonts w:hint="eastAsia" w:ascii="仿宋" w:hAnsi="仿宋" w:eastAsia="仿宋" w:cs="宋体"/>
          <w:b/>
          <w:color w:val="auto"/>
          <w:kern w:val="0"/>
          <w:sz w:val="32"/>
          <w:szCs w:val="32"/>
          <w:highlight w:val="none"/>
          <w:lang w:val="zh-CN"/>
        </w:rPr>
        <w:t>授权委托书（适用于非联合体投标）</w:t>
      </w:r>
      <w:r>
        <w:rPr>
          <w:rFonts w:hint="eastAsia" w:ascii="仿宋" w:hAnsi="仿宋" w:eastAsia="仿宋" w:cs="宋体"/>
          <w:color w:val="auto"/>
          <w:highlight w:val="none"/>
        </w:rPr>
        <w:t xml:space="preserve">                               </w:t>
      </w:r>
    </w:p>
    <w:p w14:paraId="199D24C7">
      <w:pPr>
        <w:snapToGrid w:val="0"/>
        <w:spacing w:line="360" w:lineRule="auto"/>
        <w:rPr>
          <w:rFonts w:ascii="仿宋" w:hAnsi="仿宋" w:eastAsia="仿宋" w:cs="宋体"/>
          <w:color w:val="auto"/>
          <w:kern w:val="0"/>
          <w:sz w:val="24"/>
          <w:highlight w:val="none"/>
        </w:rPr>
      </w:pPr>
      <w:r>
        <w:rPr>
          <w:rFonts w:hint="eastAsia" w:ascii="仿宋" w:hAnsi="仿宋" w:eastAsia="仿宋" w:cs="仿宋"/>
          <w:color w:val="auto"/>
          <w:sz w:val="24"/>
          <w:highlight w:val="none"/>
          <w:lang w:eastAsia="zh-CN"/>
        </w:rPr>
        <w:t>杭州市生态环境局拱墅分局</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浙江五石中正工程咨询有限公司</w:t>
      </w:r>
      <w:r>
        <w:rPr>
          <w:rFonts w:hint="eastAsia" w:ascii="仿宋" w:hAnsi="仿宋" w:eastAsia="仿宋" w:cs="宋体"/>
          <w:color w:val="auto"/>
          <w:kern w:val="0"/>
          <w:sz w:val="24"/>
          <w:highlight w:val="none"/>
          <w:lang w:val="zh-CN"/>
        </w:rPr>
        <w:t>：</w:t>
      </w:r>
    </w:p>
    <w:p w14:paraId="436ED472">
      <w:pPr>
        <w:snapToGrid w:val="0"/>
        <w:spacing w:line="360" w:lineRule="auto"/>
        <w:ind w:firstLine="576"/>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现</w:t>
      </w:r>
      <w:r>
        <w:rPr>
          <w:rFonts w:hint="eastAsia" w:ascii="仿宋" w:hAnsi="仿宋" w:eastAsia="仿宋" w:cs="宋体"/>
          <w:color w:val="auto"/>
          <w:kern w:val="0"/>
          <w:sz w:val="24"/>
          <w:highlight w:val="none"/>
          <w:lang w:val="zh-CN"/>
        </w:rPr>
        <w:t>委托</w:t>
      </w:r>
      <w:r>
        <w:rPr>
          <w:rFonts w:hint="eastAsia" w:ascii="仿宋" w:hAnsi="仿宋" w:eastAsia="仿宋" w:cs="宋体"/>
          <w:color w:val="auto"/>
          <w:kern w:val="0"/>
          <w:sz w:val="24"/>
          <w:highlight w:val="none"/>
          <w:u w:val="single"/>
          <w:lang w:val="zh-CN"/>
        </w:rPr>
        <w:t xml:space="preserve">          </w:t>
      </w:r>
      <w:r>
        <w:rPr>
          <w:rFonts w:hint="eastAsia" w:ascii="仿宋" w:hAnsi="仿宋" w:eastAsia="仿宋" w:cs="宋体"/>
          <w:color w:val="auto"/>
          <w:kern w:val="0"/>
          <w:sz w:val="24"/>
          <w:highlight w:val="none"/>
          <w:lang w:val="zh-CN"/>
        </w:rPr>
        <w:t>（姓名）为我方代理人（身份证号码：</w:t>
      </w:r>
      <w:r>
        <w:rPr>
          <w:rFonts w:hint="eastAsia" w:ascii="仿宋" w:hAnsi="仿宋" w:eastAsia="仿宋" w:cs="宋体"/>
          <w:color w:val="auto"/>
          <w:kern w:val="0"/>
          <w:sz w:val="24"/>
          <w:highlight w:val="none"/>
          <w:u w:val="single"/>
          <w:lang w:val="zh-CN"/>
        </w:rPr>
        <w:t xml:space="preserve">          </w:t>
      </w:r>
      <w:r>
        <w:rPr>
          <w:rFonts w:hint="eastAsia" w:ascii="仿宋" w:hAnsi="仿宋" w:eastAsia="仿宋" w:cs="宋体"/>
          <w:color w:val="auto"/>
          <w:kern w:val="0"/>
          <w:sz w:val="24"/>
          <w:highlight w:val="none"/>
          <w:lang w:val="zh-CN"/>
        </w:rPr>
        <w:t>，手机：</w:t>
      </w:r>
      <w:r>
        <w:rPr>
          <w:rFonts w:hint="eastAsia" w:ascii="仿宋" w:hAnsi="仿宋" w:eastAsia="仿宋"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r>
        <w:rPr>
          <w:rFonts w:hint="eastAsia" w:ascii="仿宋" w:hAnsi="仿宋" w:eastAsia="仿宋" w:cs="仿宋"/>
          <w:color w:val="auto"/>
          <w:kern w:val="0"/>
          <w:sz w:val="24"/>
          <w:highlight w:val="none"/>
        </w:rPr>
        <w:t>所在单位：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宋体"/>
          <w:color w:val="auto"/>
          <w:kern w:val="0"/>
          <w:sz w:val="24"/>
          <w:highlight w:val="none"/>
          <w:lang w:val="zh-CN"/>
        </w:rPr>
        <w:t>），以我方名义处理</w:t>
      </w:r>
      <w:r>
        <w:rPr>
          <w:rFonts w:hint="eastAsia" w:ascii="仿宋" w:hAnsi="仿宋" w:eastAsia="仿宋" w:cs="宋体"/>
          <w:color w:val="auto"/>
          <w:sz w:val="24"/>
          <w:highlight w:val="none"/>
          <w:u w:val="single"/>
          <w:lang w:eastAsia="zh-CN"/>
        </w:rPr>
        <w:t>杭州市生态环境局拱墅分局“清净”拱墅多污染协同管控工程建设项目</w:t>
      </w:r>
      <w:r>
        <w:rPr>
          <w:rFonts w:hint="eastAsia" w:ascii="仿宋" w:hAnsi="仿宋" w:eastAsia="仿宋" w:cs="宋体"/>
          <w:color w:val="auto"/>
          <w:sz w:val="24"/>
          <w:highlight w:val="none"/>
        </w:rPr>
        <w:t>（项目名称）【招标编号：</w:t>
      </w:r>
      <w:r>
        <w:rPr>
          <w:rFonts w:hint="eastAsia" w:ascii="仿宋" w:hAnsi="仿宋" w:eastAsia="仿宋" w:cs="宋体"/>
          <w:color w:val="auto"/>
          <w:sz w:val="24"/>
          <w:highlight w:val="none"/>
          <w:lang w:eastAsia="zh-CN"/>
        </w:rPr>
        <w:t>ZJWS2025--GS01</w:t>
      </w:r>
      <w:r>
        <w:rPr>
          <w:rFonts w:hint="eastAsia" w:ascii="仿宋" w:hAnsi="仿宋" w:eastAsia="仿宋" w:cs="宋体"/>
          <w:color w:val="auto"/>
          <w:sz w:val="24"/>
          <w:highlight w:val="none"/>
        </w:rPr>
        <w:t>】</w:t>
      </w:r>
      <w:r>
        <w:rPr>
          <w:rFonts w:hint="eastAsia" w:ascii="仿宋" w:hAnsi="仿宋" w:eastAsia="仿宋" w:cs="宋体"/>
          <w:color w:val="auto"/>
          <w:sz w:val="24"/>
          <w:highlight w:val="none"/>
          <w:u w:val="single"/>
          <w:lang w:val="en-US" w:eastAsia="zh-CN"/>
        </w:rPr>
        <w:t xml:space="preserve">标项 X  </w:t>
      </w:r>
      <w:r>
        <w:rPr>
          <w:rFonts w:hint="eastAsia" w:ascii="仿宋" w:hAnsi="仿宋" w:eastAsia="仿宋" w:cs="宋体"/>
          <w:color w:val="auto"/>
          <w:kern w:val="0"/>
          <w:sz w:val="24"/>
          <w:highlight w:val="none"/>
          <w:lang w:val="zh-CN"/>
        </w:rPr>
        <w:t>政府采购投标的一切事项，其法律后果由我方承担。</w:t>
      </w:r>
    </w:p>
    <w:p w14:paraId="02C62F96">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lang w:val="zh-CN"/>
        </w:rPr>
        <w:t>委托期限</w:t>
      </w:r>
      <w:r>
        <w:rPr>
          <w:rFonts w:hint="eastAsia" w:ascii="仿宋" w:hAnsi="仿宋" w:eastAsia="仿宋" w:cs="宋体"/>
          <w:color w:val="auto"/>
          <w:kern w:val="0"/>
          <w:sz w:val="24"/>
          <w:highlight w:val="none"/>
        </w:rPr>
        <w:t>：</w:t>
      </w:r>
      <w:r>
        <w:rPr>
          <w:rFonts w:hint="eastAsia" w:ascii="仿宋" w:hAnsi="仿宋" w:eastAsia="仿宋" w:cs="宋体"/>
          <w:color w:val="auto"/>
          <w:kern w:val="0"/>
          <w:sz w:val="24"/>
          <w:highlight w:val="none"/>
          <w:lang w:val="zh-CN"/>
        </w:rPr>
        <w:t>自</w:t>
      </w:r>
      <w:r>
        <w:rPr>
          <w:rFonts w:hint="eastAsia"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lang w:val="zh-CN"/>
        </w:rPr>
        <w:t>年</w:t>
      </w:r>
      <w:r>
        <w:rPr>
          <w:rFonts w:hint="eastAsia"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lang w:val="zh-CN"/>
        </w:rPr>
        <w:t>月</w:t>
      </w:r>
      <w:r>
        <w:rPr>
          <w:rFonts w:hint="eastAsia"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lang w:val="zh-CN"/>
        </w:rPr>
        <w:t>日起至</w:t>
      </w:r>
      <w:r>
        <w:rPr>
          <w:rFonts w:hint="eastAsia"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lang w:val="zh-CN"/>
        </w:rPr>
        <w:t>年</w:t>
      </w:r>
      <w:r>
        <w:rPr>
          <w:rFonts w:hint="eastAsia"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lang w:val="zh-CN"/>
        </w:rPr>
        <w:t>月</w:t>
      </w:r>
      <w:r>
        <w:rPr>
          <w:rFonts w:hint="eastAsia"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lang w:val="zh-CN"/>
        </w:rPr>
        <w:t>日止。</w:t>
      </w:r>
    </w:p>
    <w:p w14:paraId="29E1E3BF">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lang w:val="zh-CN"/>
        </w:rPr>
        <w:t>特此告知。</w:t>
      </w:r>
    </w:p>
    <w:p w14:paraId="716A8305">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 xml:space="preserve">                                                 投标人名称(电子签名)：</w:t>
      </w:r>
    </w:p>
    <w:p w14:paraId="429A5954">
      <w:pPr>
        <w:snapToGrid w:val="0"/>
        <w:spacing w:line="360" w:lineRule="auto"/>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签发日期：  年  月   日</w:t>
      </w:r>
    </w:p>
    <w:p w14:paraId="5DAD5AEC">
      <w:pPr>
        <w:snapToGrid w:val="0"/>
        <w:spacing w:line="360" w:lineRule="auto"/>
        <w:rPr>
          <w:rFonts w:ascii="仿宋" w:hAnsi="仿宋" w:eastAsia="仿宋" w:cs="宋体"/>
          <w:color w:val="auto"/>
          <w:sz w:val="24"/>
          <w:highlight w:val="none"/>
        </w:rPr>
      </w:pPr>
    </w:p>
    <w:p w14:paraId="2CFEF6A3">
      <w:pPr>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lang w:val="zh-CN"/>
        </w:rPr>
        <w:t xml:space="preserve">      </w:t>
      </w:r>
      <w:r>
        <w:rPr>
          <w:rFonts w:hint="eastAsia" w:ascii="仿宋" w:hAnsi="仿宋" w:eastAsia="仿宋" w:cs="宋体"/>
          <w:b/>
          <w:color w:val="auto"/>
          <w:kern w:val="0"/>
          <w:sz w:val="32"/>
          <w:szCs w:val="32"/>
          <w:highlight w:val="none"/>
        </w:rPr>
        <w:t xml:space="preserve"> </w:t>
      </w:r>
      <w:r>
        <w:rPr>
          <w:rFonts w:hint="eastAsia" w:ascii="仿宋" w:hAnsi="仿宋" w:eastAsia="仿宋" w:cs="宋体"/>
          <w:b/>
          <w:color w:val="auto"/>
          <w:kern w:val="0"/>
          <w:sz w:val="32"/>
          <w:szCs w:val="32"/>
          <w:highlight w:val="none"/>
          <w:lang w:val="zh-CN"/>
        </w:rPr>
        <w:t>授权委托书（适用于联合体投标）</w:t>
      </w:r>
    </w:p>
    <w:p w14:paraId="0B343EA4">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杭州市生态环境局拱墅分局、浙江五石中正工程咨询有限公司：</w:t>
      </w:r>
    </w:p>
    <w:p w14:paraId="6CFA480E">
      <w:pPr>
        <w:snapToGrid w:val="0"/>
        <w:spacing w:line="360" w:lineRule="auto"/>
        <w:ind w:firstLine="576"/>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现</w:t>
      </w:r>
      <w:r>
        <w:rPr>
          <w:rFonts w:hint="eastAsia" w:ascii="仿宋" w:hAnsi="仿宋" w:eastAsia="仿宋" w:cs="宋体"/>
          <w:color w:val="auto"/>
          <w:kern w:val="0"/>
          <w:sz w:val="24"/>
          <w:highlight w:val="none"/>
          <w:lang w:val="zh-CN"/>
        </w:rPr>
        <w:t>委托</w:t>
      </w:r>
      <w:r>
        <w:rPr>
          <w:rFonts w:hint="eastAsia" w:ascii="仿宋" w:hAnsi="仿宋" w:eastAsia="仿宋" w:cs="宋体"/>
          <w:color w:val="auto"/>
          <w:kern w:val="0"/>
          <w:sz w:val="24"/>
          <w:highlight w:val="none"/>
          <w:u w:val="single"/>
          <w:lang w:val="zh-CN"/>
        </w:rPr>
        <w:t xml:space="preserve">          </w:t>
      </w:r>
      <w:r>
        <w:rPr>
          <w:rFonts w:hint="eastAsia" w:ascii="仿宋" w:hAnsi="仿宋" w:eastAsia="仿宋" w:cs="宋体"/>
          <w:color w:val="auto"/>
          <w:kern w:val="0"/>
          <w:sz w:val="24"/>
          <w:highlight w:val="none"/>
          <w:lang w:val="zh-CN"/>
        </w:rPr>
        <w:t>（姓名）为我方代理人（身份证号码：</w:t>
      </w:r>
      <w:r>
        <w:rPr>
          <w:rFonts w:hint="eastAsia" w:ascii="仿宋" w:hAnsi="仿宋" w:eastAsia="仿宋" w:cs="宋体"/>
          <w:color w:val="auto"/>
          <w:kern w:val="0"/>
          <w:sz w:val="24"/>
          <w:highlight w:val="none"/>
          <w:u w:val="single"/>
          <w:lang w:val="zh-CN"/>
        </w:rPr>
        <w:t xml:space="preserve">          </w:t>
      </w:r>
      <w:r>
        <w:rPr>
          <w:rFonts w:hint="eastAsia" w:ascii="仿宋" w:hAnsi="仿宋" w:eastAsia="仿宋" w:cs="宋体"/>
          <w:color w:val="auto"/>
          <w:kern w:val="0"/>
          <w:sz w:val="24"/>
          <w:highlight w:val="none"/>
          <w:lang w:val="zh-CN"/>
        </w:rPr>
        <w:t>，手机：</w:t>
      </w:r>
      <w:r>
        <w:rPr>
          <w:rFonts w:hint="eastAsia" w:ascii="仿宋" w:hAnsi="仿宋" w:eastAsia="仿宋" w:cs="宋体"/>
          <w:color w:val="auto"/>
          <w:kern w:val="0"/>
          <w:sz w:val="24"/>
          <w:highlight w:val="none"/>
          <w:u w:val="single"/>
          <w:lang w:val="zh-CN"/>
        </w:rPr>
        <w:t xml:space="preserve">          </w:t>
      </w:r>
      <w:r>
        <w:rPr>
          <w:rFonts w:hint="eastAsia" w:ascii="仿宋" w:hAnsi="仿宋" w:eastAsia="仿宋" w:cs="宋体"/>
          <w:color w:val="auto"/>
          <w:kern w:val="0"/>
          <w:sz w:val="24"/>
          <w:highlight w:val="none"/>
          <w:lang w:val="zh-CN"/>
        </w:rPr>
        <w:t>），以我方名义处理</w:t>
      </w:r>
      <w:r>
        <w:rPr>
          <w:rFonts w:hint="eastAsia" w:ascii="仿宋" w:hAnsi="仿宋" w:eastAsia="仿宋" w:cs="宋体"/>
          <w:color w:val="auto"/>
          <w:sz w:val="24"/>
          <w:highlight w:val="none"/>
          <w:u w:val="single"/>
          <w:lang w:eastAsia="zh-CN"/>
        </w:rPr>
        <w:t>杭州市生态环境局拱墅分局“清净”拱墅多污染协同管控工程建设项目</w:t>
      </w:r>
      <w:r>
        <w:rPr>
          <w:rFonts w:hint="eastAsia" w:ascii="仿宋" w:hAnsi="仿宋" w:eastAsia="仿宋" w:cs="宋体"/>
          <w:color w:val="auto"/>
          <w:sz w:val="24"/>
          <w:highlight w:val="none"/>
        </w:rPr>
        <w:t>（项目名称）【招标编号：</w:t>
      </w:r>
      <w:r>
        <w:rPr>
          <w:rFonts w:hint="eastAsia" w:ascii="仿宋" w:hAnsi="仿宋" w:eastAsia="仿宋" w:cs="宋体"/>
          <w:color w:val="auto"/>
          <w:sz w:val="24"/>
          <w:highlight w:val="none"/>
          <w:lang w:eastAsia="zh-CN"/>
        </w:rPr>
        <w:t>ZJWS2025--GS01</w:t>
      </w:r>
      <w:r>
        <w:rPr>
          <w:rFonts w:hint="eastAsia" w:ascii="仿宋" w:hAnsi="仿宋" w:eastAsia="仿宋" w:cs="宋体"/>
          <w:color w:val="auto"/>
          <w:sz w:val="24"/>
          <w:highlight w:val="none"/>
        </w:rPr>
        <w:t xml:space="preserve"> 】</w:t>
      </w:r>
      <w:r>
        <w:rPr>
          <w:rFonts w:hint="eastAsia" w:ascii="仿宋" w:hAnsi="仿宋" w:eastAsia="仿宋" w:cs="宋体"/>
          <w:color w:val="auto"/>
          <w:sz w:val="24"/>
          <w:highlight w:val="none"/>
          <w:u w:val="single"/>
          <w:lang w:val="en-US" w:eastAsia="zh-CN"/>
        </w:rPr>
        <w:t xml:space="preserve">标项 X  </w:t>
      </w:r>
      <w:r>
        <w:rPr>
          <w:rFonts w:hint="eastAsia" w:ascii="仿宋" w:hAnsi="仿宋" w:eastAsia="仿宋" w:cs="宋体"/>
          <w:color w:val="auto"/>
          <w:kern w:val="0"/>
          <w:sz w:val="24"/>
          <w:highlight w:val="none"/>
          <w:lang w:val="zh-CN"/>
        </w:rPr>
        <w:t>政府采购投标的一切事项，其法律后果由我方承担。</w:t>
      </w:r>
    </w:p>
    <w:p w14:paraId="52ACCAFC">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lang w:val="zh-CN"/>
        </w:rPr>
        <w:t>委托期限</w:t>
      </w:r>
      <w:r>
        <w:rPr>
          <w:rFonts w:hint="eastAsia" w:ascii="仿宋" w:hAnsi="仿宋" w:eastAsia="仿宋" w:cs="宋体"/>
          <w:color w:val="auto"/>
          <w:kern w:val="0"/>
          <w:sz w:val="24"/>
          <w:highlight w:val="none"/>
        </w:rPr>
        <w:t>：</w:t>
      </w:r>
      <w:r>
        <w:rPr>
          <w:rFonts w:hint="eastAsia" w:ascii="仿宋" w:hAnsi="仿宋" w:eastAsia="仿宋" w:cs="宋体"/>
          <w:color w:val="auto"/>
          <w:kern w:val="0"/>
          <w:sz w:val="24"/>
          <w:highlight w:val="none"/>
          <w:lang w:val="zh-CN"/>
        </w:rPr>
        <w:t>自</w:t>
      </w:r>
      <w:r>
        <w:rPr>
          <w:rFonts w:hint="eastAsia"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lang w:val="zh-CN"/>
        </w:rPr>
        <w:t>年</w:t>
      </w:r>
      <w:r>
        <w:rPr>
          <w:rFonts w:hint="eastAsia"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lang w:val="zh-CN"/>
        </w:rPr>
        <w:t>月</w:t>
      </w:r>
      <w:r>
        <w:rPr>
          <w:rFonts w:hint="eastAsia"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lang w:val="zh-CN"/>
        </w:rPr>
        <w:t>日起至</w:t>
      </w:r>
      <w:r>
        <w:rPr>
          <w:rFonts w:hint="eastAsia"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lang w:val="zh-CN"/>
        </w:rPr>
        <w:t>年</w:t>
      </w:r>
      <w:r>
        <w:rPr>
          <w:rFonts w:hint="eastAsia"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lang w:val="zh-CN"/>
        </w:rPr>
        <w:t>月</w:t>
      </w:r>
      <w:r>
        <w:rPr>
          <w:rFonts w:hint="eastAsia"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lang w:val="zh-CN"/>
        </w:rPr>
        <w:t>日止。</w:t>
      </w:r>
    </w:p>
    <w:p w14:paraId="36E8D6CD">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lang w:val="zh-CN"/>
        </w:rPr>
        <w:t>特此告知。</w:t>
      </w:r>
    </w:p>
    <w:p w14:paraId="0C65D787">
      <w:pPr>
        <w:jc w:val="center"/>
        <w:rPr>
          <w:rFonts w:ascii="仿宋" w:hAnsi="仿宋" w:eastAsia="仿宋" w:cs="宋体"/>
          <w:b/>
          <w:color w:val="auto"/>
          <w:kern w:val="0"/>
          <w:sz w:val="32"/>
          <w:szCs w:val="32"/>
          <w:highlight w:val="none"/>
        </w:rPr>
      </w:pPr>
    </w:p>
    <w:p w14:paraId="3999BB64">
      <w:pPr>
        <w:rPr>
          <w:rFonts w:ascii="仿宋" w:hAnsi="仿宋" w:eastAsia="仿宋" w:cs="宋体"/>
          <w:color w:val="auto"/>
          <w:highlight w:val="none"/>
        </w:rPr>
      </w:pPr>
    </w:p>
    <w:p w14:paraId="51AC5EDC">
      <w:pPr>
        <w:snapToGrid w:val="0"/>
        <w:spacing w:line="360" w:lineRule="auto"/>
        <w:ind w:firstLine="5040" w:firstLineChars="21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联合体成员名称(电子签名/公章)：</w:t>
      </w:r>
    </w:p>
    <w:p w14:paraId="2CBD124D">
      <w:pPr>
        <w:snapToGrid w:val="0"/>
        <w:spacing w:line="360" w:lineRule="auto"/>
        <w:ind w:firstLine="5040" w:firstLineChars="21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联合体成员名称(电子签名/公章)：</w:t>
      </w:r>
    </w:p>
    <w:p w14:paraId="3B1BC49B">
      <w:pPr>
        <w:snapToGrid w:val="0"/>
        <w:spacing w:line="360" w:lineRule="auto"/>
        <w:ind w:firstLine="5760" w:firstLineChars="2400"/>
        <w:rPr>
          <w:rFonts w:ascii="仿宋" w:hAnsi="仿宋" w:eastAsia="仿宋" w:cs="宋体"/>
          <w:color w:val="auto"/>
          <w:highlight w:val="none"/>
        </w:rPr>
      </w:pPr>
      <w:r>
        <w:rPr>
          <w:rFonts w:hint="eastAsia" w:ascii="仿宋" w:hAnsi="仿宋" w:eastAsia="仿宋" w:cs="宋体"/>
          <w:color w:val="auto"/>
          <w:kern w:val="0"/>
          <w:sz w:val="24"/>
          <w:highlight w:val="none"/>
          <w:lang w:val="zh-CN"/>
        </w:rPr>
        <w:t>……</w:t>
      </w:r>
    </w:p>
    <w:p w14:paraId="60922689">
      <w:pPr>
        <w:snapToGrid w:val="0"/>
        <w:spacing w:line="360" w:lineRule="auto"/>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日期：  年  月   日</w:t>
      </w:r>
    </w:p>
    <w:p w14:paraId="7135372B">
      <w:pPr>
        <w:autoSpaceDE w:val="0"/>
        <w:autoSpaceDN w:val="0"/>
        <w:spacing w:line="360" w:lineRule="auto"/>
        <w:jc w:val="center"/>
        <w:rPr>
          <w:rFonts w:ascii="仿宋" w:hAnsi="仿宋" w:eastAsia="仿宋" w:cs="宋体"/>
          <w:b/>
          <w:color w:val="auto"/>
          <w:kern w:val="0"/>
          <w:sz w:val="32"/>
          <w:szCs w:val="32"/>
          <w:highlight w:val="none"/>
          <w:lang w:val="zh-CN"/>
        </w:rPr>
      </w:pPr>
    </w:p>
    <w:p w14:paraId="372085FE">
      <w:pPr>
        <w:autoSpaceDE w:val="0"/>
        <w:autoSpaceDN w:val="0"/>
        <w:spacing w:line="360" w:lineRule="auto"/>
        <w:jc w:val="center"/>
        <w:rPr>
          <w:rFonts w:ascii="仿宋" w:hAnsi="仿宋" w:eastAsia="仿宋" w:cs="宋体"/>
          <w:b/>
          <w:color w:val="auto"/>
          <w:kern w:val="0"/>
          <w:sz w:val="32"/>
          <w:szCs w:val="32"/>
          <w:highlight w:val="none"/>
          <w:lang w:val="zh-CN"/>
        </w:rPr>
      </w:pPr>
    </w:p>
    <w:p w14:paraId="04BF9CAF">
      <w:pPr>
        <w:autoSpaceDE w:val="0"/>
        <w:autoSpaceDN w:val="0"/>
        <w:spacing w:line="360" w:lineRule="auto"/>
        <w:jc w:val="center"/>
        <w:rPr>
          <w:rFonts w:ascii="仿宋" w:hAnsi="仿宋" w:eastAsia="仿宋" w:cs="宋体"/>
          <w:b/>
          <w:color w:val="auto"/>
          <w:kern w:val="0"/>
          <w:sz w:val="32"/>
          <w:szCs w:val="32"/>
          <w:highlight w:val="none"/>
          <w:lang w:val="zh-CN"/>
        </w:rPr>
      </w:pPr>
    </w:p>
    <w:p w14:paraId="518B1398">
      <w:pPr>
        <w:autoSpaceDE w:val="0"/>
        <w:autoSpaceDN w:val="0"/>
        <w:spacing w:line="360" w:lineRule="auto"/>
        <w:jc w:val="center"/>
        <w:rPr>
          <w:rFonts w:ascii="仿宋" w:hAnsi="仿宋" w:eastAsia="仿宋" w:cs="宋体"/>
          <w:b/>
          <w:color w:val="auto"/>
          <w:sz w:val="24"/>
          <w:highlight w:val="none"/>
        </w:rPr>
      </w:pPr>
      <w:r>
        <w:rPr>
          <w:rFonts w:hint="eastAsia" w:ascii="仿宋" w:hAnsi="仿宋" w:eastAsia="仿宋" w:cs="宋体"/>
          <w:b/>
          <w:color w:val="auto"/>
          <w:kern w:val="0"/>
          <w:sz w:val="32"/>
          <w:szCs w:val="32"/>
          <w:highlight w:val="none"/>
          <w:lang w:val="zh-CN"/>
        </w:rPr>
        <w:t>法定代表人、单位负责人或自然人本人</w:t>
      </w:r>
      <w:r>
        <w:rPr>
          <w:rFonts w:hint="eastAsia" w:ascii="仿宋" w:hAnsi="仿宋" w:eastAsia="仿宋" w:cs="宋体"/>
          <w:b/>
          <w:color w:val="auto"/>
          <w:sz w:val="30"/>
          <w:szCs w:val="30"/>
          <w:highlight w:val="none"/>
        </w:rPr>
        <w:t>的身份证明（适用于法定代表人、单位负责人或者自然人本人代表投标人参加投标）</w:t>
      </w:r>
    </w:p>
    <w:p w14:paraId="7B9A6C83">
      <w:pPr>
        <w:pStyle w:val="36"/>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身份证件扫描件：</w:t>
      </w:r>
    </w:p>
    <w:tbl>
      <w:tblPr>
        <w:tblStyle w:val="2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C402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14:paraId="46EDFFA8">
            <w:pPr>
              <w:pStyle w:val="36"/>
              <w:adjustRightInd w:val="0"/>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正面：                                 反面：</w:t>
            </w:r>
          </w:p>
          <w:p w14:paraId="09CF9B27">
            <w:pPr>
              <w:pStyle w:val="36"/>
              <w:adjustRightInd w:val="0"/>
              <w:spacing w:line="360" w:lineRule="auto"/>
              <w:rPr>
                <w:rFonts w:ascii="仿宋" w:hAnsi="仿宋" w:eastAsia="仿宋" w:cs="宋体"/>
                <w:bCs/>
                <w:color w:val="auto"/>
                <w:sz w:val="24"/>
                <w:highlight w:val="none"/>
              </w:rPr>
            </w:pPr>
          </w:p>
        </w:tc>
      </w:tr>
    </w:tbl>
    <w:p w14:paraId="447246FB">
      <w:pPr>
        <w:snapToGrid w:val="0"/>
        <w:spacing w:line="360" w:lineRule="auto"/>
        <w:ind w:firstLine="576"/>
        <w:jc w:val="center"/>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w:t>
      </w:r>
    </w:p>
    <w:p w14:paraId="0E7302D9">
      <w:pPr>
        <w:snapToGrid w:val="0"/>
        <w:spacing w:line="360" w:lineRule="auto"/>
        <w:ind w:firstLine="576"/>
        <w:jc w:val="center"/>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投标人名称(电子签名)：                              </w:t>
      </w:r>
    </w:p>
    <w:p w14:paraId="35E5E5A5">
      <w:pPr>
        <w:spacing w:line="360" w:lineRule="auto"/>
        <w:jc w:val="center"/>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日期：  年  月  日</w:t>
      </w:r>
    </w:p>
    <w:p w14:paraId="52348BF4">
      <w:pPr>
        <w:jc w:val="center"/>
        <w:rPr>
          <w:rFonts w:ascii="仿宋" w:hAnsi="仿宋" w:eastAsia="仿宋" w:cs="宋体"/>
          <w:b/>
          <w:color w:val="auto"/>
          <w:kern w:val="0"/>
          <w:sz w:val="32"/>
          <w:szCs w:val="32"/>
          <w:highlight w:val="none"/>
        </w:rPr>
      </w:pPr>
    </w:p>
    <w:p w14:paraId="58CCE785">
      <w:pPr>
        <w:jc w:val="center"/>
        <w:rPr>
          <w:rFonts w:ascii="仿宋" w:hAnsi="仿宋" w:eastAsia="仿宋" w:cs="宋体"/>
          <w:b/>
          <w:color w:val="auto"/>
          <w:kern w:val="0"/>
          <w:sz w:val="32"/>
          <w:szCs w:val="32"/>
          <w:highlight w:val="none"/>
        </w:rPr>
      </w:pPr>
    </w:p>
    <w:p w14:paraId="171FFFC8">
      <w:pPr>
        <w:jc w:val="center"/>
        <w:rPr>
          <w:rFonts w:ascii="仿宋" w:hAnsi="仿宋" w:eastAsia="仿宋" w:cs="宋体"/>
          <w:b/>
          <w:color w:val="auto"/>
          <w:kern w:val="0"/>
          <w:sz w:val="32"/>
          <w:szCs w:val="32"/>
          <w:highlight w:val="none"/>
        </w:rPr>
      </w:pPr>
    </w:p>
    <w:p w14:paraId="588EC15C">
      <w:pPr>
        <w:jc w:val="center"/>
        <w:rPr>
          <w:rFonts w:ascii="仿宋" w:hAnsi="仿宋" w:eastAsia="仿宋" w:cs="宋体"/>
          <w:b/>
          <w:color w:val="auto"/>
          <w:kern w:val="0"/>
          <w:sz w:val="32"/>
          <w:szCs w:val="32"/>
          <w:highlight w:val="none"/>
        </w:rPr>
      </w:pPr>
    </w:p>
    <w:p w14:paraId="247D7E5F">
      <w:pPr>
        <w:jc w:val="center"/>
        <w:rPr>
          <w:rFonts w:ascii="仿宋" w:hAnsi="仿宋" w:eastAsia="仿宋" w:cs="宋体"/>
          <w:b/>
          <w:color w:val="auto"/>
          <w:kern w:val="0"/>
          <w:sz w:val="32"/>
          <w:szCs w:val="32"/>
          <w:highlight w:val="none"/>
        </w:rPr>
      </w:pPr>
    </w:p>
    <w:p w14:paraId="54B2E25A">
      <w:pPr>
        <w:jc w:val="center"/>
        <w:rPr>
          <w:rFonts w:ascii="仿宋" w:hAnsi="仿宋" w:eastAsia="仿宋" w:cs="宋体"/>
          <w:b/>
          <w:color w:val="auto"/>
          <w:kern w:val="0"/>
          <w:sz w:val="32"/>
          <w:szCs w:val="32"/>
          <w:highlight w:val="none"/>
        </w:rPr>
      </w:pPr>
    </w:p>
    <w:p w14:paraId="0D71F2E2">
      <w:pPr>
        <w:jc w:val="center"/>
        <w:rPr>
          <w:rFonts w:ascii="仿宋" w:hAnsi="仿宋" w:eastAsia="仿宋" w:cs="宋体"/>
          <w:b/>
          <w:color w:val="auto"/>
          <w:kern w:val="0"/>
          <w:sz w:val="32"/>
          <w:szCs w:val="32"/>
          <w:highlight w:val="none"/>
        </w:rPr>
      </w:pPr>
    </w:p>
    <w:p w14:paraId="4E0E33D9">
      <w:pPr>
        <w:jc w:val="center"/>
        <w:rPr>
          <w:rFonts w:ascii="仿宋" w:hAnsi="仿宋" w:eastAsia="仿宋" w:cs="宋体"/>
          <w:b/>
          <w:color w:val="auto"/>
          <w:kern w:val="0"/>
          <w:sz w:val="32"/>
          <w:szCs w:val="32"/>
          <w:highlight w:val="none"/>
        </w:rPr>
      </w:pPr>
    </w:p>
    <w:p w14:paraId="2169E19A">
      <w:pPr>
        <w:jc w:val="center"/>
        <w:rPr>
          <w:rFonts w:ascii="仿宋" w:hAnsi="仿宋" w:eastAsia="仿宋" w:cs="宋体"/>
          <w:b/>
          <w:color w:val="auto"/>
          <w:kern w:val="0"/>
          <w:sz w:val="32"/>
          <w:szCs w:val="32"/>
          <w:highlight w:val="none"/>
        </w:rPr>
      </w:pPr>
    </w:p>
    <w:p w14:paraId="2F7B2FB5">
      <w:pPr>
        <w:jc w:val="center"/>
        <w:rPr>
          <w:rFonts w:ascii="仿宋" w:hAnsi="仿宋" w:eastAsia="仿宋" w:cs="宋体"/>
          <w:b/>
          <w:color w:val="auto"/>
          <w:kern w:val="0"/>
          <w:sz w:val="32"/>
          <w:szCs w:val="32"/>
          <w:highlight w:val="none"/>
        </w:rPr>
      </w:pPr>
    </w:p>
    <w:p w14:paraId="1EEB0B46">
      <w:pPr>
        <w:snapToGrid w:val="0"/>
        <w:spacing w:line="360" w:lineRule="auto"/>
        <w:ind w:right="480"/>
        <w:rPr>
          <w:rFonts w:ascii="仿宋" w:hAnsi="仿宋" w:eastAsia="仿宋" w:cs="宋体"/>
          <w:b/>
          <w:color w:val="auto"/>
          <w:kern w:val="0"/>
          <w:sz w:val="32"/>
          <w:szCs w:val="32"/>
          <w:highlight w:val="none"/>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3C8ADBFE">
      <w:pPr>
        <w:snapToGrid w:val="0"/>
        <w:spacing w:line="360" w:lineRule="auto"/>
        <w:jc w:val="center"/>
        <w:outlineLvl w:val="1"/>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三、分包意向协议（如果有）</w:t>
      </w:r>
    </w:p>
    <w:p w14:paraId="3D7CCA37">
      <w:pPr>
        <w:widowControl/>
        <w:spacing w:line="360" w:lineRule="auto"/>
        <w:ind w:firstLine="120" w:firstLineChars="50"/>
        <w:jc w:val="left"/>
        <w:rPr>
          <w:rFonts w:ascii="仿宋" w:hAnsi="仿宋" w:eastAsia="仿宋" w:cs="宋体"/>
          <w:color w:val="auto"/>
          <w:sz w:val="24"/>
          <w:highlight w:val="none"/>
        </w:rPr>
      </w:pPr>
      <w:r>
        <w:rPr>
          <w:rFonts w:hint="eastAsia" w:ascii="仿宋" w:hAnsi="仿宋" w:eastAsia="仿宋" w:cs="宋体"/>
          <w:color w:val="auto"/>
          <w:sz w:val="24"/>
          <w:highlight w:val="none"/>
        </w:rPr>
        <w:t>[</w:t>
      </w:r>
      <w:r>
        <w:rPr>
          <w:rFonts w:hint="eastAsia" w:ascii="仿宋" w:hAnsi="仿宋" w:eastAsia="仿宋" w:cs="宋体"/>
          <w:b/>
          <w:color w:val="auto"/>
          <w:sz w:val="24"/>
          <w:highlight w:val="none"/>
        </w:rPr>
        <w:t>中标后以分包方式履行合同的，提供分包意向协议(附件6</w:t>
      </w:r>
      <w:r>
        <w:rPr>
          <w:rFonts w:ascii="仿宋" w:hAnsi="仿宋" w:eastAsia="仿宋" w:cs="宋体"/>
          <w:b/>
          <w:color w:val="auto"/>
          <w:sz w:val="24"/>
          <w:highlight w:val="none"/>
        </w:rPr>
        <w:t>)</w:t>
      </w:r>
      <w:r>
        <w:rPr>
          <w:rFonts w:hint="eastAsia" w:ascii="仿宋" w:hAnsi="仿宋" w:eastAsia="仿宋" w:cs="宋体"/>
          <w:b/>
          <w:color w:val="auto"/>
          <w:sz w:val="24"/>
          <w:highlight w:val="none"/>
        </w:rPr>
        <w:t>；采购人不同意分包或者投标人中标后不以分包方式履行合同的，则不需要提供。</w:t>
      </w:r>
      <w:r>
        <w:rPr>
          <w:rFonts w:hint="eastAsia" w:ascii="仿宋" w:hAnsi="仿宋" w:eastAsia="仿宋" w:cs="宋体"/>
          <w:color w:val="auto"/>
          <w:sz w:val="24"/>
          <w:highlight w:val="none"/>
        </w:rPr>
        <w:t>]</w:t>
      </w:r>
    </w:p>
    <w:p w14:paraId="4F86D36C">
      <w:pPr>
        <w:snapToGrid w:val="0"/>
        <w:spacing w:line="360" w:lineRule="auto"/>
        <w:rPr>
          <w:rFonts w:ascii="仿宋" w:hAnsi="仿宋" w:eastAsia="仿宋" w:cs="宋体"/>
          <w:color w:val="auto"/>
          <w:kern w:val="0"/>
          <w:sz w:val="24"/>
          <w:highlight w:val="none"/>
        </w:rPr>
      </w:pPr>
    </w:p>
    <w:p w14:paraId="0B69ECDC">
      <w:pPr>
        <w:jc w:val="center"/>
        <w:outlineLvl w:val="1"/>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四、符合性审查资料</w:t>
      </w:r>
    </w:p>
    <w:p w14:paraId="3E3B8078">
      <w:pPr>
        <w:jc w:val="center"/>
        <w:rPr>
          <w:rFonts w:ascii="仿宋" w:hAnsi="仿宋" w:eastAsia="仿宋" w:cs="宋体"/>
          <w:b/>
          <w:color w:val="auto"/>
          <w:kern w:val="0"/>
          <w:sz w:val="32"/>
          <w:szCs w:val="32"/>
          <w:highlight w:val="none"/>
        </w:rPr>
      </w:pPr>
    </w:p>
    <w:tbl>
      <w:tblPr>
        <w:tblStyle w:val="2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F72E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14:paraId="72CB5243">
            <w:pPr>
              <w:snapToGrid w:val="0"/>
              <w:spacing w:line="240" w:lineRule="atLeast"/>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序号</w:t>
            </w:r>
          </w:p>
        </w:tc>
        <w:tc>
          <w:tcPr>
            <w:tcW w:w="4991" w:type="dxa"/>
            <w:noWrap w:val="0"/>
            <w:vAlign w:val="center"/>
          </w:tcPr>
          <w:p w14:paraId="1A801A9B">
            <w:pPr>
              <w:snapToGrid w:val="0"/>
              <w:spacing w:line="240" w:lineRule="atLeast"/>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实质性要求</w:t>
            </w:r>
          </w:p>
        </w:tc>
        <w:tc>
          <w:tcPr>
            <w:tcW w:w="2551" w:type="dxa"/>
            <w:noWrap w:val="0"/>
            <w:vAlign w:val="center"/>
          </w:tcPr>
          <w:p w14:paraId="2BF1B13C">
            <w:pPr>
              <w:snapToGrid w:val="0"/>
              <w:spacing w:line="240" w:lineRule="atLeast"/>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需要提供的符合性审查资料</w:t>
            </w:r>
          </w:p>
        </w:tc>
        <w:tc>
          <w:tcPr>
            <w:tcW w:w="1418" w:type="dxa"/>
            <w:noWrap w:val="0"/>
            <w:vAlign w:val="center"/>
          </w:tcPr>
          <w:p w14:paraId="48A36ACE">
            <w:pPr>
              <w:snapToGrid w:val="0"/>
              <w:spacing w:line="240" w:lineRule="atLeast"/>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投标文件中的</w:t>
            </w:r>
          </w:p>
          <w:p w14:paraId="404F6B3F">
            <w:pPr>
              <w:snapToGrid w:val="0"/>
              <w:spacing w:line="240" w:lineRule="atLeast"/>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页码位置</w:t>
            </w:r>
          </w:p>
        </w:tc>
      </w:tr>
      <w:tr w14:paraId="6D4FE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70A337FC">
            <w:pPr>
              <w:jc w:val="center"/>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4991" w:type="dxa"/>
            <w:noWrap w:val="0"/>
            <w:vAlign w:val="top"/>
          </w:tcPr>
          <w:p w14:paraId="7BB5E258">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投标文件按照招标文件要求签署、盖章。</w:t>
            </w:r>
          </w:p>
        </w:tc>
        <w:tc>
          <w:tcPr>
            <w:tcW w:w="2551" w:type="dxa"/>
            <w:noWrap w:val="0"/>
            <w:vAlign w:val="center"/>
          </w:tcPr>
          <w:p w14:paraId="6CB4CFE8">
            <w:pPr>
              <w:rPr>
                <w:rFonts w:ascii="仿宋" w:hAnsi="仿宋" w:eastAsia="仿宋" w:cs="宋体"/>
                <w:color w:val="auto"/>
                <w:sz w:val="24"/>
                <w:highlight w:val="none"/>
              </w:rPr>
            </w:pPr>
            <w:r>
              <w:rPr>
                <w:rFonts w:hint="eastAsia" w:ascii="仿宋" w:hAnsi="仿宋" w:eastAsia="仿宋" w:cs="宋体"/>
                <w:color w:val="auto"/>
                <w:sz w:val="24"/>
                <w:highlight w:val="none"/>
              </w:rPr>
              <w:t>需要使用电子签名或者签字盖章的投标文件的组成部分</w:t>
            </w:r>
          </w:p>
        </w:tc>
        <w:tc>
          <w:tcPr>
            <w:tcW w:w="1418" w:type="dxa"/>
            <w:noWrap w:val="0"/>
            <w:vAlign w:val="top"/>
          </w:tcPr>
          <w:p w14:paraId="6E55871C">
            <w:pPr>
              <w:rPr>
                <w:rFonts w:ascii="仿宋" w:hAnsi="仿宋" w:eastAsia="仿宋" w:cs="宋体"/>
                <w:color w:val="auto"/>
                <w:sz w:val="24"/>
                <w:highlight w:val="none"/>
              </w:rPr>
            </w:pPr>
          </w:p>
          <w:p w14:paraId="3F5B65F4">
            <w:pPr>
              <w:rPr>
                <w:rFonts w:ascii="仿宋" w:hAnsi="仿宋" w:eastAsia="仿宋" w:cs="宋体"/>
                <w:color w:val="auto"/>
                <w:sz w:val="24"/>
                <w:highlight w:val="none"/>
              </w:rPr>
            </w:pPr>
            <w:r>
              <w:rPr>
                <w:rFonts w:hint="eastAsia" w:ascii="仿宋" w:hAnsi="仿宋" w:eastAsia="仿宋" w:cs="宋体"/>
                <w:color w:val="auto"/>
                <w:sz w:val="24"/>
                <w:highlight w:val="none"/>
              </w:rPr>
              <w:t>见投标文件</w:t>
            </w:r>
          </w:p>
          <w:p w14:paraId="2BC4CAA3">
            <w:pPr>
              <w:rPr>
                <w:rFonts w:ascii="仿宋" w:hAnsi="仿宋" w:eastAsia="仿宋" w:cs="宋体"/>
                <w:color w:val="auto"/>
                <w:highlight w:val="none"/>
              </w:rPr>
            </w:pPr>
            <w:r>
              <w:rPr>
                <w:rFonts w:hint="eastAsia" w:ascii="仿宋" w:hAnsi="仿宋" w:eastAsia="仿宋" w:cs="宋体"/>
                <w:color w:val="auto"/>
                <w:sz w:val="24"/>
                <w:highlight w:val="none"/>
              </w:rPr>
              <w:t>第</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页</w:t>
            </w:r>
          </w:p>
        </w:tc>
      </w:tr>
      <w:tr w14:paraId="56DCE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200C1D60">
            <w:pPr>
              <w:jc w:val="center"/>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4991" w:type="dxa"/>
            <w:noWrap w:val="0"/>
            <w:vAlign w:val="top"/>
          </w:tcPr>
          <w:p w14:paraId="5739DF92">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投标文件中承诺的投标有效期不少于招标文件中载明的投标有效期。</w:t>
            </w:r>
          </w:p>
        </w:tc>
        <w:tc>
          <w:tcPr>
            <w:tcW w:w="2551" w:type="dxa"/>
            <w:noWrap w:val="0"/>
            <w:vAlign w:val="center"/>
          </w:tcPr>
          <w:p w14:paraId="445C8207">
            <w:pPr>
              <w:rPr>
                <w:rFonts w:ascii="仿宋" w:hAnsi="仿宋" w:eastAsia="仿宋" w:cs="宋体"/>
                <w:color w:val="auto"/>
                <w:sz w:val="24"/>
                <w:highlight w:val="none"/>
              </w:rPr>
            </w:pPr>
            <w:r>
              <w:rPr>
                <w:rFonts w:hint="eastAsia" w:ascii="仿宋" w:hAnsi="仿宋" w:eastAsia="仿宋" w:cs="宋体"/>
                <w:color w:val="auto"/>
                <w:sz w:val="24"/>
                <w:highlight w:val="none"/>
              </w:rPr>
              <w:t>投标函</w:t>
            </w:r>
          </w:p>
        </w:tc>
        <w:tc>
          <w:tcPr>
            <w:tcW w:w="1418" w:type="dxa"/>
            <w:noWrap w:val="0"/>
            <w:vAlign w:val="top"/>
          </w:tcPr>
          <w:p w14:paraId="285FDD0B">
            <w:pPr>
              <w:rPr>
                <w:rFonts w:ascii="仿宋" w:hAnsi="仿宋" w:eastAsia="仿宋" w:cs="宋体"/>
                <w:color w:val="auto"/>
                <w:highlight w:val="none"/>
              </w:rPr>
            </w:pPr>
            <w:r>
              <w:rPr>
                <w:rFonts w:hint="eastAsia" w:ascii="仿宋" w:hAnsi="仿宋" w:eastAsia="仿宋" w:cs="宋体"/>
                <w:color w:val="auto"/>
                <w:sz w:val="24"/>
                <w:highlight w:val="none"/>
              </w:rPr>
              <w:t>见投标文件第</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页</w:t>
            </w:r>
          </w:p>
        </w:tc>
      </w:tr>
      <w:tr w14:paraId="0930B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154B7E69">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p>
        </w:tc>
        <w:tc>
          <w:tcPr>
            <w:tcW w:w="4991" w:type="dxa"/>
            <w:noWrap w:val="0"/>
            <w:vAlign w:val="top"/>
          </w:tcPr>
          <w:p w14:paraId="79142003">
            <w:pPr>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sz w:val="24"/>
                <w:highlight w:val="none"/>
              </w:rPr>
              <w:t>其他实质性要求1：</w:t>
            </w:r>
          </w:p>
        </w:tc>
        <w:tc>
          <w:tcPr>
            <w:tcW w:w="2551" w:type="dxa"/>
            <w:vMerge w:val="restart"/>
            <w:noWrap w:val="0"/>
            <w:vAlign w:val="center"/>
          </w:tcPr>
          <w:p w14:paraId="5543A791">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noWrap w:val="0"/>
            <w:vAlign w:val="top"/>
          </w:tcPr>
          <w:p w14:paraId="38A2DFD3">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00D49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0C20AEC8">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p>
        </w:tc>
        <w:tc>
          <w:tcPr>
            <w:tcW w:w="4991" w:type="dxa"/>
            <w:noWrap w:val="0"/>
            <w:vAlign w:val="top"/>
          </w:tcPr>
          <w:p w14:paraId="08019A8C">
            <w:pPr>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sz w:val="24"/>
                <w:highlight w:val="none"/>
              </w:rPr>
              <w:t>其他实质性要求2：</w:t>
            </w:r>
          </w:p>
        </w:tc>
        <w:tc>
          <w:tcPr>
            <w:tcW w:w="2551" w:type="dxa"/>
            <w:vMerge w:val="continue"/>
            <w:noWrap w:val="0"/>
            <w:vAlign w:val="center"/>
          </w:tcPr>
          <w:p w14:paraId="33CCB5F3">
            <w:pPr>
              <w:rPr>
                <w:rFonts w:hint="eastAsia" w:ascii="仿宋" w:hAnsi="仿宋" w:eastAsia="仿宋" w:cs="仿宋"/>
                <w:color w:val="auto"/>
                <w:sz w:val="24"/>
                <w:highlight w:val="none"/>
              </w:rPr>
            </w:pPr>
          </w:p>
        </w:tc>
        <w:tc>
          <w:tcPr>
            <w:tcW w:w="1418" w:type="dxa"/>
            <w:noWrap w:val="0"/>
            <w:vAlign w:val="top"/>
          </w:tcPr>
          <w:p w14:paraId="7DC311EC">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0D829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6FD53E95">
            <w:pPr>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p>
        </w:tc>
        <w:tc>
          <w:tcPr>
            <w:tcW w:w="4991" w:type="dxa"/>
            <w:noWrap w:val="0"/>
            <w:vAlign w:val="top"/>
          </w:tcPr>
          <w:p w14:paraId="191FD14D">
            <w:pPr>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sz w:val="24"/>
                <w:highlight w:val="none"/>
              </w:rPr>
              <w:t>其他实质性要求</w:t>
            </w:r>
            <w:r>
              <w:rPr>
                <w:rFonts w:hint="eastAsia" w:ascii="仿宋" w:hAnsi="仿宋" w:eastAsia="仿宋" w:cs="仿宋"/>
                <w:color w:val="auto"/>
                <w:kern w:val="0"/>
                <w:sz w:val="24"/>
                <w:highlight w:val="none"/>
              </w:rPr>
              <w:t>……</w:t>
            </w:r>
            <w:r>
              <w:rPr>
                <w:rFonts w:hint="eastAsia" w:ascii="仿宋" w:hAnsi="仿宋" w:eastAsia="仿宋" w:cs="仿宋"/>
                <w:snapToGrid w:val="0"/>
                <w:color w:val="auto"/>
                <w:sz w:val="24"/>
                <w:highlight w:val="none"/>
              </w:rPr>
              <w:t>：</w:t>
            </w:r>
          </w:p>
        </w:tc>
        <w:tc>
          <w:tcPr>
            <w:tcW w:w="2551" w:type="dxa"/>
            <w:vMerge w:val="continue"/>
            <w:noWrap w:val="0"/>
            <w:vAlign w:val="center"/>
          </w:tcPr>
          <w:p w14:paraId="64732C91">
            <w:pPr>
              <w:rPr>
                <w:rFonts w:hint="eastAsia" w:ascii="仿宋" w:hAnsi="仿宋" w:eastAsia="仿宋" w:cs="仿宋"/>
                <w:color w:val="auto"/>
                <w:sz w:val="24"/>
                <w:highlight w:val="none"/>
              </w:rPr>
            </w:pPr>
          </w:p>
        </w:tc>
        <w:tc>
          <w:tcPr>
            <w:tcW w:w="1418" w:type="dxa"/>
            <w:noWrap w:val="0"/>
            <w:vAlign w:val="top"/>
          </w:tcPr>
          <w:p w14:paraId="7331AEEE">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3FBF4080">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14:paraId="7DD60FAE">
      <w:pPr>
        <w:jc w:val="center"/>
        <w:rPr>
          <w:rFonts w:ascii="仿宋" w:hAnsi="仿宋" w:eastAsia="仿宋" w:cs="宋体"/>
          <w:b/>
          <w:color w:val="auto"/>
          <w:kern w:val="0"/>
          <w:sz w:val="32"/>
          <w:szCs w:val="32"/>
          <w:highlight w:val="none"/>
        </w:rPr>
      </w:pPr>
    </w:p>
    <w:p w14:paraId="1FB28AE0">
      <w:pPr>
        <w:widowControl/>
        <w:adjustRightInd/>
        <w:jc w:val="left"/>
        <w:rPr>
          <w:rFonts w:ascii="仿宋" w:hAnsi="仿宋" w:eastAsia="仿宋" w:cs="宋体"/>
          <w:b/>
          <w:color w:val="auto"/>
          <w:kern w:val="0"/>
          <w:sz w:val="32"/>
          <w:szCs w:val="32"/>
          <w:highlight w:val="none"/>
        </w:rPr>
      </w:pPr>
      <w:r>
        <w:rPr>
          <w:rFonts w:ascii="仿宋" w:hAnsi="仿宋" w:eastAsia="仿宋" w:cs="宋体"/>
          <w:b/>
          <w:color w:val="auto"/>
          <w:kern w:val="0"/>
          <w:sz w:val="32"/>
          <w:szCs w:val="32"/>
          <w:highlight w:val="none"/>
        </w:rPr>
        <w:br w:type="page"/>
      </w:r>
    </w:p>
    <w:p w14:paraId="3244E88D">
      <w:pPr>
        <w:numPr>
          <w:ilvl w:val="0"/>
          <w:numId w:val="0"/>
        </w:numPr>
        <w:jc w:val="center"/>
        <w:outlineLvl w:val="1"/>
        <w:rPr>
          <w:rFonts w:hint="eastAsia" w:ascii="仿宋" w:hAnsi="仿宋" w:eastAsia="仿宋" w:cs="宋体"/>
          <w:b/>
          <w:color w:val="auto"/>
          <w:kern w:val="0"/>
          <w:sz w:val="32"/>
          <w:szCs w:val="32"/>
          <w:highlight w:val="none"/>
          <w:lang w:eastAsia="zh-CN"/>
        </w:rPr>
      </w:pPr>
      <w:r>
        <w:rPr>
          <w:rFonts w:hint="eastAsia" w:ascii="仿宋" w:hAnsi="仿宋" w:eastAsia="仿宋" w:cs="宋体"/>
          <w:b/>
          <w:color w:val="auto"/>
          <w:kern w:val="0"/>
          <w:sz w:val="32"/>
          <w:szCs w:val="32"/>
          <w:highlight w:val="none"/>
          <w:lang w:val="en-US" w:eastAsia="zh-CN" w:bidi="ar-SA"/>
        </w:rPr>
        <w:t>五、</w:t>
      </w:r>
      <w:r>
        <w:rPr>
          <w:rFonts w:hint="eastAsia" w:ascii="仿宋" w:hAnsi="仿宋" w:eastAsia="仿宋" w:cs="宋体"/>
          <w:b/>
          <w:color w:val="auto"/>
          <w:kern w:val="0"/>
          <w:sz w:val="32"/>
          <w:szCs w:val="32"/>
          <w:highlight w:val="none"/>
          <w:lang w:eastAsia="zh-CN"/>
        </w:rPr>
        <w:t>商务技术偏离表</w:t>
      </w:r>
    </w:p>
    <w:p w14:paraId="2E9E7989">
      <w:pPr>
        <w:snapToGrid w:val="0"/>
        <w:spacing w:line="30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采购人：</w:t>
      </w:r>
      <w:r>
        <w:rPr>
          <w:rFonts w:hint="eastAsia" w:ascii="仿宋" w:hAnsi="仿宋" w:eastAsia="仿宋" w:cs="宋体"/>
          <w:color w:val="auto"/>
          <w:sz w:val="24"/>
          <w:highlight w:val="none"/>
          <w:lang w:eastAsia="zh-CN"/>
        </w:rPr>
        <w:t>杭州市生态环境局拱墅分局</w:t>
      </w:r>
    </w:p>
    <w:p w14:paraId="1AC33B51">
      <w:pPr>
        <w:snapToGrid w:val="0"/>
        <w:spacing w:line="30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eastAsia="zh-CN"/>
        </w:rPr>
        <w:t>“清净”拱墅多污染协同管控工程建设项目</w:t>
      </w:r>
    </w:p>
    <w:p w14:paraId="3F06D1DA">
      <w:pPr>
        <w:snapToGrid w:val="0"/>
        <w:spacing w:line="300" w:lineRule="auto"/>
        <w:rPr>
          <w:rFonts w:hint="eastAsia" w:ascii="仿宋" w:hAnsi="仿宋" w:eastAsia="仿宋" w:cs="宋体"/>
          <w:color w:val="auto"/>
          <w:sz w:val="24"/>
          <w:highlight w:val="none"/>
          <w:lang w:eastAsia="zh-CN"/>
        </w:rPr>
      </w:pPr>
      <w:r>
        <w:rPr>
          <w:rFonts w:hint="eastAsia" w:ascii="仿宋" w:hAnsi="仿宋" w:eastAsia="仿宋" w:cs="仿宋"/>
          <w:color w:val="auto"/>
          <w:sz w:val="24"/>
          <w:highlight w:val="none"/>
        </w:rPr>
        <w:t>项目编号：</w:t>
      </w:r>
      <w:r>
        <w:rPr>
          <w:rFonts w:hint="eastAsia" w:ascii="仿宋" w:hAnsi="仿宋" w:eastAsia="仿宋" w:cs="宋体"/>
          <w:color w:val="auto"/>
          <w:sz w:val="24"/>
          <w:highlight w:val="none"/>
          <w:lang w:eastAsia="zh-CN"/>
        </w:rPr>
        <w:t>ZJWS2025--GS01</w:t>
      </w:r>
    </w:p>
    <w:p w14:paraId="040C1CAF">
      <w:pPr>
        <w:snapToGrid w:val="0"/>
        <w:spacing w:line="300" w:lineRule="auto"/>
        <w:rPr>
          <w:rFonts w:hint="eastAsia" w:ascii="仿宋" w:hAnsi="仿宋" w:eastAsia="仿宋" w:cs="宋体"/>
          <w:color w:val="auto"/>
          <w:sz w:val="24"/>
          <w:highlight w:val="none"/>
        </w:rPr>
      </w:pPr>
      <w:r>
        <w:rPr>
          <w:rFonts w:hint="eastAsia" w:ascii="仿宋" w:hAnsi="仿宋" w:eastAsia="仿宋" w:cs="宋体"/>
          <w:color w:val="auto"/>
          <w:sz w:val="24"/>
          <w:highlight w:val="none"/>
          <w:lang w:val="en-US" w:eastAsia="zh-CN"/>
        </w:rPr>
        <w:t>标项号：</w:t>
      </w:r>
      <w:r>
        <w:rPr>
          <w:rFonts w:hint="eastAsia" w:ascii="仿宋" w:hAnsi="仿宋" w:eastAsia="仿宋" w:cs="宋体"/>
          <w:color w:val="auto"/>
          <w:sz w:val="24"/>
          <w:highlight w:val="none"/>
        </w:rPr>
        <w:t xml:space="preserve"> </w:t>
      </w:r>
    </w:p>
    <w:tbl>
      <w:tblPr>
        <w:tblStyle w:val="23"/>
        <w:tblW w:w="8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074"/>
        <w:gridCol w:w="2959"/>
        <w:gridCol w:w="1065"/>
        <w:gridCol w:w="1065"/>
      </w:tblGrid>
      <w:tr w14:paraId="2A4A6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800" w:type="dxa"/>
            <w:noWrap w:val="0"/>
            <w:vAlign w:val="center"/>
          </w:tcPr>
          <w:p w14:paraId="78C2D7C4">
            <w:pPr>
              <w:spacing w:line="440" w:lineRule="exact"/>
              <w:rPr>
                <w:rFonts w:ascii="仿宋" w:hAnsi="仿宋" w:eastAsia="仿宋" w:cs="宋体"/>
                <w:b/>
                <w:bCs/>
                <w:color w:val="auto"/>
                <w:sz w:val="24"/>
                <w:highlight w:val="none"/>
              </w:rPr>
            </w:pPr>
            <w:r>
              <w:rPr>
                <w:rFonts w:hint="eastAsia" w:ascii="仿宋" w:hAnsi="仿宋" w:eastAsia="仿宋" w:cs="宋体"/>
                <w:b/>
                <w:bCs/>
                <w:color w:val="auto"/>
                <w:sz w:val="24"/>
                <w:highlight w:val="none"/>
              </w:rPr>
              <w:t>序号</w:t>
            </w:r>
          </w:p>
        </w:tc>
        <w:tc>
          <w:tcPr>
            <w:tcW w:w="3074" w:type="dxa"/>
            <w:noWrap w:val="0"/>
            <w:vAlign w:val="center"/>
          </w:tcPr>
          <w:p w14:paraId="5AF4A48E">
            <w:pPr>
              <w:spacing w:line="440" w:lineRule="exact"/>
              <w:rPr>
                <w:rFonts w:ascii="仿宋" w:hAnsi="仿宋" w:eastAsia="仿宋" w:cs="宋体"/>
                <w:b/>
                <w:bCs/>
                <w:color w:val="auto"/>
                <w:sz w:val="24"/>
                <w:highlight w:val="none"/>
              </w:rPr>
            </w:pPr>
            <w:r>
              <w:rPr>
                <w:rFonts w:hint="eastAsia" w:ascii="仿宋" w:hAnsi="仿宋" w:eastAsia="仿宋" w:cs="宋体"/>
                <w:b/>
                <w:bCs/>
                <w:color w:val="auto"/>
                <w:sz w:val="24"/>
                <w:highlight w:val="none"/>
              </w:rPr>
              <w:t>招标文件章节及具体内容</w:t>
            </w:r>
          </w:p>
        </w:tc>
        <w:tc>
          <w:tcPr>
            <w:tcW w:w="2959" w:type="dxa"/>
            <w:noWrap w:val="0"/>
            <w:vAlign w:val="center"/>
          </w:tcPr>
          <w:p w14:paraId="7ACF2555">
            <w:pPr>
              <w:spacing w:line="440" w:lineRule="exact"/>
              <w:jc w:val="center"/>
              <w:rPr>
                <w:rFonts w:ascii="仿宋" w:hAnsi="仿宋" w:eastAsia="仿宋" w:cs="宋体"/>
                <w:b/>
                <w:bCs/>
                <w:color w:val="auto"/>
                <w:sz w:val="24"/>
                <w:highlight w:val="none"/>
              </w:rPr>
            </w:pPr>
            <w:r>
              <w:rPr>
                <w:rFonts w:hint="eastAsia" w:ascii="仿宋" w:hAnsi="仿宋" w:eastAsia="仿宋" w:cs="宋体"/>
                <w:b/>
                <w:bCs/>
                <w:color w:val="auto"/>
                <w:sz w:val="24"/>
                <w:highlight w:val="none"/>
              </w:rPr>
              <w:t>投标文件响应内容</w:t>
            </w:r>
          </w:p>
        </w:tc>
        <w:tc>
          <w:tcPr>
            <w:tcW w:w="1065" w:type="dxa"/>
            <w:noWrap w:val="0"/>
            <w:vAlign w:val="center"/>
          </w:tcPr>
          <w:p w14:paraId="023C3AEC">
            <w:pPr>
              <w:spacing w:line="440" w:lineRule="exact"/>
              <w:rPr>
                <w:rFonts w:ascii="仿宋" w:hAnsi="仿宋" w:eastAsia="仿宋" w:cs="宋体"/>
                <w:b/>
                <w:bCs/>
                <w:color w:val="auto"/>
                <w:sz w:val="24"/>
                <w:highlight w:val="none"/>
              </w:rPr>
            </w:pPr>
            <w:r>
              <w:rPr>
                <w:rFonts w:hint="eastAsia" w:ascii="仿宋" w:hAnsi="仿宋" w:eastAsia="仿宋" w:cs="宋体"/>
                <w:b/>
                <w:bCs/>
                <w:color w:val="auto"/>
                <w:sz w:val="24"/>
                <w:highlight w:val="none"/>
              </w:rPr>
              <w:t>偏离说明</w:t>
            </w:r>
          </w:p>
        </w:tc>
        <w:tc>
          <w:tcPr>
            <w:tcW w:w="1065" w:type="dxa"/>
            <w:noWrap w:val="0"/>
            <w:vAlign w:val="top"/>
          </w:tcPr>
          <w:p w14:paraId="2E888618">
            <w:pPr>
              <w:spacing w:line="440" w:lineRule="exact"/>
              <w:jc w:val="center"/>
              <w:rPr>
                <w:rFonts w:ascii="仿宋" w:hAnsi="仿宋" w:eastAsia="仿宋" w:cs="宋体"/>
                <w:b/>
                <w:bCs/>
                <w:color w:val="auto"/>
                <w:sz w:val="24"/>
                <w:highlight w:val="none"/>
              </w:rPr>
            </w:pPr>
            <w:r>
              <w:rPr>
                <w:rFonts w:hint="eastAsia" w:ascii="仿宋" w:hAnsi="仿宋" w:eastAsia="仿宋" w:cs="宋体"/>
                <w:b/>
                <w:bCs/>
                <w:color w:val="auto"/>
                <w:sz w:val="24"/>
                <w:highlight w:val="none"/>
              </w:rPr>
              <w:t>证明文件所在页码</w:t>
            </w:r>
          </w:p>
        </w:tc>
      </w:tr>
      <w:tr w14:paraId="18597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00" w:type="dxa"/>
            <w:noWrap w:val="0"/>
            <w:vAlign w:val="top"/>
          </w:tcPr>
          <w:p w14:paraId="137F689E">
            <w:pPr>
              <w:spacing w:line="44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w:t>
            </w:r>
          </w:p>
        </w:tc>
        <w:tc>
          <w:tcPr>
            <w:tcW w:w="3074" w:type="dxa"/>
            <w:noWrap w:val="0"/>
            <w:vAlign w:val="top"/>
          </w:tcPr>
          <w:p w14:paraId="19E01E4C">
            <w:pPr>
              <w:spacing w:line="440" w:lineRule="exact"/>
              <w:jc w:val="center"/>
              <w:rPr>
                <w:rFonts w:ascii="仿宋" w:hAnsi="仿宋" w:eastAsia="仿宋" w:cs="宋体"/>
                <w:b/>
                <w:color w:val="auto"/>
                <w:kern w:val="0"/>
                <w:sz w:val="32"/>
                <w:szCs w:val="32"/>
                <w:highlight w:val="none"/>
              </w:rPr>
            </w:pPr>
          </w:p>
        </w:tc>
        <w:tc>
          <w:tcPr>
            <w:tcW w:w="2959" w:type="dxa"/>
            <w:noWrap w:val="0"/>
            <w:vAlign w:val="top"/>
          </w:tcPr>
          <w:p w14:paraId="74780701">
            <w:pPr>
              <w:spacing w:line="440" w:lineRule="exact"/>
              <w:jc w:val="center"/>
              <w:rPr>
                <w:rFonts w:ascii="仿宋" w:hAnsi="仿宋" w:eastAsia="仿宋" w:cs="宋体"/>
                <w:b/>
                <w:color w:val="auto"/>
                <w:kern w:val="0"/>
                <w:sz w:val="32"/>
                <w:szCs w:val="32"/>
                <w:highlight w:val="none"/>
              </w:rPr>
            </w:pPr>
          </w:p>
        </w:tc>
        <w:tc>
          <w:tcPr>
            <w:tcW w:w="1065" w:type="dxa"/>
            <w:noWrap w:val="0"/>
            <w:vAlign w:val="top"/>
          </w:tcPr>
          <w:p w14:paraId="0E745A2D">
            <w:pPr>
              <w:spacing w:line="440" w:lineRule="exact"/>
              <w:jc w:val="center"/>
              <w:rPr>
                <w:rFonts w:ascii="仿宋" w:hAnsi="仿宋" w:eastAsia="仿宋" w:cs="宋体"/>
                <w:b/>
                <w:color w:val="auto"/>
                <w:kern w:val="0"/>
                <w:sz w:val="32"/>
                <w:szCs w:val="32"/>
                <w:highlight w:val="none"/>
              </w:rPr>
            </w:pPr>
          </w:p>
        </w:tc>
        <w:tc>
          <w:tcPr>
            <w:tcW w:w="1065" w:type="dxa"/>
            <w:noWrap w:val="0"/>
            <w:vAlign w:val="top"/>
          </w:tcPr>
          <w:p w14:paraId="7BFE1776">
            <w:pPr>
              <w:spacing w:line="440" w:lineRule="exact"/>
              <w:jc w:val="center"/>
              <w:rPr>
                <w:rFonts w:ascii="仿宋" w:hAnsi="仿宋" w:eastAsia="仿宋" w:cs="宋体"/>
                <w:b/>
                <w:color w:val="auto"/>
                <w:kern w:val="0"/>
                <w:sz w:val="32"/>
                <w:szCs w:val="32"/>
                <w:highlight w:val="none"/>
              </w:rPr>
            </w:pPr>
          </w:p>
        </w:tc>
      </w:tr>
      <w:tr w14:paraId="180AE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00" w:type="dxa"/>
            <w:noWrap w:val="0"/>
            <w:vAlign w:val="top"/>
          </w:tcPr>
          <w:p w14:paraId="25697003">
            <w:pPr>
              <w:spacing w:line="44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w:t>
            </w:r>
          </w:p>
        </w:tc>
        <w:tc>
          <w:tcPr>
            <w:tcW w:w="3074" w:type="dxa"/>
            <w:noWrap w:val="0"/>
            <w:vAlign w:val="top"/>
          </w:tcPr>
          <w:p w14:paraId="3F6FB737">
            <w:pPr>
              <w:spacing w:line="440" w:lineRule="exact"/>
              <w:jc w:val="center"/>
              <w:rPr>
                <w:rFonts w:ascii="仿宋" w:hAnsi="仿宋" w:eastAsia="仿宋" w:cs="宋体"/>
                <w:b/>
                <w:color w:val="auto"/>
                <w:kern w:val="0"/>
                <w:sz w:val="32"/>
                <w:szCs w:val="32"/>
                <w:highlight w:val="none"/>
              </w:rPr>
            </w:pPr>
          </w:p>
        </w:tc>
        <w:tc>
          <w:tcPr>
            <w:tcW w:w="2959" w:type="dxa"/>
            <w:noWrap w:val="0"/>
            <w:vAlign w:val="top"/>
          </w:tcPr>
          <w:p w14:paraId="0579EC5E">
            <w:pPr>
              <w:spacing w:line="440" w:lineRule="exact"/>
              <w:jc w:val="center"/>
              <w:rPr>
                <w:rFonts w:ascii="仿宋" w:hAnsi="仿宋" w:eastAsia="仿宋" w:cs="宋体"/>
                <w:b/>
                <w:color w:val="auto"/>
                <w:kern w:val="0"/>
                <w:sz w:val="32"/>
                <w:szCs w:val="32"/>
                <w:highlight w:val="none"/>
              </w:rPr>
            </w:pPr>
          </w:p>
        </w:tc>
        <w:tc>
          <w:tcPr>
            <w:tcW w:w="1065" w:type="dxa"/>
            <w:noWrap w:val="0"/>
            <w:vAlign w:val="top"/>
          </w:tcPr>
          <w:p w14:paraId="6CF42062">
            <w:pPr>
              <w:spacing w:line="440" w:lineRule="exact"/>
              <w:jc w:val="center"/>
              <w:rPr>
                <w:rFonts w:ascii="仿宋" w:hAnsi="仿宋" w:eastAsia="仿宋" w:cs="宋体"/>
                <w:b/>
                <w:color w:val="auto"/>
                <w:kern w:val="0"/>
                <w:sz w:val="32"/>
                <w:szCs w:val="32"/>
                <w:highlight w:val="none"/>
              </w:rPr>
            </w:pPr>
          </w:p>
        </w:tc>
        <w:tc>
          <w:tcPr>
            <w:tcW w:w="1065" w:type="dxa"/>
            <w:noWrap w:val="0"/>
            <w:vAlign w:val="top"/>
          </w:tcPr>
          <w:p w14:paraId="47042095">
            <w:pPr>
              <w:spacing w:line="440" w:lineRule="exact"/>
              <w:jc w:val="center"/>
              <w:rPr>
                <w:rFonts w:ascii="仿宋" w:hAnsi="仿宋" w:eastAsia="仿宋" w:cs="宋体"/>
                <w:b/>
                <w:color w:val="auto"/>
                <w:kern w:val="0"/>
                <w:sz w:val="32"/>
                <w:szCs w:val="32"/>
                <w:highlight w:val="none"/>
              </w:rPr>
            </w:pPr>
          </w:p>
        </w:tc>
      </w:tr>
      <w:tr w14:paraId="4152E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00" w:type="dxa"/>
            <w:noWrap w:val="0"/>
            <w:vAlign w:val="top"/>
          </w:tcPr>
          <w:p w14:paraId="1DCA2F85">
            <w:pPr>
              <w:spacing w:line="440" w:lineRule="exact"/>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3</w:t>
            </w:r>
          </w:p>
        </w:tc>
        <w:tc>
          <w:tcPr>
            <w:tcW w:w="3074" w:type="dxa"/>
            <w:noWrap w:val="0"/>
            <w:vAlign w:val="top"/>
          </w:tcPr>
          <w:p w14:paraId="53B99F0E">
            <w:pPr>
              <w:spacing w:line="440" w:lineRule="exact"/>
              <w:jc w:val="center"/>
              <w:rPr>
                <w:rFonts w:ascii="仿宋" w:hAnsi="仿宋" w:eastAsia="仿宋" w:cs="宋体"/>
                <w:b/>
                <w:color w:val="auto"/>
                <w:kern w:val="0"/>
                <w:sz w:val="32"/>
                <w:szCs w:val="32"/>
                <w:highlight w:val="none"/>
              </w:rPr>
            </w:pPr>
          </w:p>
        </w:tc>
        <w:tc>
          <w:tcPr>
            <w:tcW w:w="2959" w:type="dxa"/>
            <w:noWrap w:val="0"/>
            <w:vAlign w:val="top"/>
          </w:tcPr>
          <w:p w14:paraId="74CC6B45">
            <w:pPr>
              <w:spacing w:line="440" w:lineRule="exact"/>
              <w:jc w:val="center"/>
              <w:rPr>
                <w:rFonts w:ascii="仿宋" w:hAnsi="仿宋" w:eastAsia="仿宋" w:cs="宋体"/>
                <w:b/>
                <w:color w:val="auto"/>
                <w:kern w:val="0"/>
                <w:sz w:val="32"/>
                <w:szCs w:val="32"/>
                <w:highlight w:val="none"/>
              </w:rPr>
            </w:pPr>
          </w:p>
        </w:tc>
        <w:tc>
          <w:tcPr>
            <w:tcW w:w="1065" w:type="dxa"/>
            <w:noWrap w:val="0"/>
            <w:vAlign w:val="top"/>
          </w:tcPr>
          <w:p w14:paraId="3D80FEF3">
            <w:pPr>
              <w:spacing w:line="440" w:lineRule="exact"/>
              <w:jc w:val="center"/>
              <w:rPr>
                <w:rFonts w:ascii="仿宋" w:hAnsi="仿宋" w:eastAsia="仿宋" w:cs="宋体"/>
                <w:b/>
                <w:color w:val="auto"/>
                <w:kern w:val="0"/>
                <w:sz w:val="32"/>
                <w:szCs w:val="32"/>
                <w:highlight w:val="none"/>
              </w:rPr>
            </w:pPr>
          </w:p>
        </w:tc>
        <w:tc>
          <w:tcPr>
            <w:tcW w:w="1065" w:type="dxa"/>
            <w:noWrap w:val="0"/>
            <w:vAlign w:val="top"/>
          </w:tcPr>
          <w:p w14:paraId="199FF73E">
            <w:pPr>
              <w:spacing w:line="440" w:lineRule="exact"/>
              <w:jc w:val="center"/>
              <w:rPr>
                <w:rFonts w:ascii="仿宋" w:hAnsi="仿宋" w:eastAsia="仿宋" w:cs="宋体"/>
                <w:b/>
                <w:color w:val="auto"/>
                <w:kern w:val="0"/>
                <w:sz w:val="32"/>
                <w:szCs w:val="32"/>
                <w:highlight w:val="none"/>
              </w:rPr>
            </w:pPr>
          </w:p>
        </w:tc>
      </w:tr>
      <w:tr w14:paraId="44012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00" w:type="dxa"/>
            <w:noWrap w:val="0"/>
            <w:vAlign w:val="top"/>
          </w:tcPr>
          <w:p w14:paraId="78C41ED6">
            <w:pPr>
              <w:spacing w:line="440" w:lineRule="exact"/>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4</w:t>
            </w:r>
          </w:p>
        </w:tc>
        <w:tc>
          <w:tcPr>
            <w:tcW w:w="3074" w:type="dxa"/>
            <w:noWrap w:val="0"/>
            <w:vAlign w:val="top"/>
          </w:tcPr>
          <w:p w14:paraId="574CEE88">
            <w:pPr>
              <w:spacing w:line="440" w:lineRule="exact"/>
              <w:jc w:val="center"/>
              <w:rPr>
                <w:rFonts w:ascii="仿宋" w:hAnsi="仿宋" w:eastAsia="仿宋" w:cs="宋体"/>
                <w:b/>
                <w:color w:val="auto"/>
                <w:kern w:val="0"/>
                <w:sz w:val="32"/>
                <w:szCs w:val="32"/>
                <w:highlight w:val="none"/>
              </w:rPr>
            </w:pPr>
          </w:p>
        </w:tc>
        <w:tc>
          <w:tcPr>
            <w:tcW w:w="2959" w:type="dxa"/>
            <w:noWrap w:val="0"/>
            <w:vAlign w:val="top"/>
          </w:tcPr>
          <w:p w14:paraId="6DCFE6EA">
            <w:pPr>
              <w:spacing w:line="440" w:lineRule="exact"/>
              <w:jc w:val="center"/>
              <w:rPr>
                <w:rFonts w:ascii="仿宋" w:hAnsi="仿宋" w:eastAsia="仿宋" w:cs="宋体"/>
                <w:b/>
                <w:color w:val="auto"/>
                <w:kern w:val="0"/>
                <w:sz w:val="32"/>
                <w:szCs w:val="32"/>
                <w:highlight w:val="none"/>
              </w:rPr>
            </w:pPr>
          </w:p>
        </w:tc>
        <w:tc>
          <w:tcPr>
            <w:tcW w:w="1065" w:type="dxa"/>
            <w:noWrap w:val="0"/>
            <w:vAlign w:val="top"/>
          </w:tcPr>
          <w:p w14:paraId="6009AA0F">
            <w:pPr>
              <w:spacing w:line="440" w:lineRule="exact"/>
              <w:jc w:val="center"/>
              <w:rPr>
                <w:rFonts w:ascii="仿宋" w:hAnsi="仿宋" w:eastAsia="仿宋" w:cs="宋体"/>
                <w:b/>
                <w:color w:val="auto"/>
                <w:kern w:val="0"/>
                <w:sz w:val="32"/>
                <w:szCs w:val="32"/>
                <w:highlight w:val="none"/>
              </w:rPr>
            </w:pPr>
          </w:p>
        </w:tc>
        <w:tc>
          <w:tcPr>
            <w:tcW w:w="1065" w:type="dxa"/>
            <w:noWrap w:val="0"/>
            <w:vAlign w:val="top"/>
          </w:tcPr>
          <w:p w14:paraId="52B793A6">
            <w:pPr>
              <w:spacing w:line="440" w:lineRule="exact"/>
              <w:jc w:val="center"/>
              <w:rPr>
                <w:rFonts w:ascii="仿宋" w:hAnsi="仿宋" w:eastAsia="仿宋" w:cs="宋体"/>
                <w:b/>
                <w:color w:val="auto"/>
                <w:kern w:val="0"/>
                <w:sz w:val="32"/>
                <w:szCs w:val="32"/>
                <w:highlight w:val="none"/>
              </w:rPr>
            </w:pPr>
          </w:p>
        </w:tc>
      </w:tr>
      <w:tr w14:paraId="0D154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00" w:type="dxa"/>
            <w:noWrap w:val="0"/>
            <w:vAlign w:val="top"/>
          </w:tcPr>
          <w:p w14:paraId="36C496FE">
            <w:pPr>
              <w:spacing w:line="440" w:lineRule="exact"/>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w:t>
            </w:r>
          </w:p>
        </w:tc>
        <w:tc>
          <w:tcPr>
            <w:tcW w:w="3074" w:type="dxa"/>
            <w:noWrap w:val="0"/>
            <w:vAlign w:val="top"/>
          </w:tcPr>
          <w:p w14:paraId="55AF4CF4">
            <w:pPr>
              <w:spacing w:line="440" w:lineRule="exact"/>
              <w:jc w:val="center"/>
              <w:rPr>
                <w:rFonts w:ascii="仿宋" w:hAnsi="仿宋" w:eastAsia="仿宋" w:cs="宋体"/>
                <w:b/>
                <w:color w:val="auto"/>
                <w:kern w:val="0"/>
                <w:sz w:val="32"/>
                <w:szCs w:val="32"/>
                <w:highlight w:val="none"/>
              </w:rPr>
            </w:pPr>
          </w:p>
        </w:tc>
        <w:tc>
          <w:tcPr>
            <w:tcW w:w="2959" w:type="dxa"/>
            <w:noWrap w:val="0"/>
            <w:vAlign w:val="top"/>
          </w:tcPr>
          <w:p w14:paraId="41C44098">
            <w:pPr>
              <w:spacing w:line="440" w:lineRule="exact"/>
              <w:jc w:val="center"/>
              <w:rPr>
                <w:rFonts w:ascii="仿宋" w:hAnsi="仿宋" w:eastAsia="仿宋" w:cs="宋体"/>
                <w:b/>
                <w:color w:val="auto"/>
                <w:kern w:val="0"/>
                <w:sz w:val="32"/>
                <w:szCs w:val="32"/>
                <w:highlight w:val="none"/>
              </w:rPr>
            </w:pPr>
          </w:p>
        </w:tc>
        <w:tc>
          <w:tcPr>
            <w:tcW w:w="1065" w:type="dxa"/>
            <w:noWrap w:val="0"/>
            <w:vAlign w:val="top"/>
          </w:tcPr>
          <w:p w14:paraId="79D6DDEF">
            <w:pPr>
              <w:spacing w:line="440" w:lineRule="exact"/>
              <w:jc w:val="center"/>
              <w:rPr>
                <w:rFonts w:ascii="仿宋" w:hAnsi="仿宋" w:eastAsia="仿宋" w:cs="宋体"/>
                <w:b/>
                <w:color w:val="auto"/>
                <w:kern w:val="0"/>
                <w:sz w:val="32"/>
                <w:szCs w:val="32"/>
                <w:highlight w:val="none"/>
              </w:rPr>
            </w:pPr>
          </w:p>
        </w:tc>
        <w:tc>
          <w:tcPr>
            <w:tcW w:w="1065" w:type="dxa"/>
            <w:noWrap w:val="0"/>
            <w:vAlign w:val="top"/>
          </w:tcPr>
          <w:p w14:paraId="137B0C51">
            <w:pPr>
              <w:spacing w:line="440" w:lineRule="exact"/>
              <w:jc w:val="center"/>
              <w:rPr>
                <w:rFonts w:ascii="仿宋" w:hAnsi="仿宋" w:eastAsia="仿宋" w:cs="宋体"/>
                <w:b/>
                <w:color w:val="auto"/>
                <w:kern w:val="0"/>
                <w:sz w:val="32"/>
                <w:szCs w:val="32"/>
                <w:highlight w:val="none"/>
              </w:rPr>
            </w:pPr>
          </w:p>
        </w:tc>
      </w:tr>
    </w:tbl>
    <w:p w14:paraId="013173BB">
      <w:pPr>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投标人保证对投标文件中材料的真实性、合法性负责</w:t>
      </w:r>
      <w:r>
        <w:rPr>
          <w:rFonts w:hint="eastAsia" w:ascii="仿宋" w:hAnsi="仿宋" w:eastAsia="仿宋" w:cs="仿宋"/>
          <w:b/>
          <w:color w:val="auto"/>
          <w:sz w:val="24"/>
          <w:highlight w:val="none"/>
        </w:rPr>
        <w:t>。</w:t>
      </w:r>
    </w:p>
    <w:p w14:paraId="7E7804D2">
      <w:pPr>
        <w:jc w:val="left"/>
        <w:rPr>
          <w:rFonts w:ascii="仿宋" w:hAnsi="仿宋" w:eastAsia="仿宋" w:cs="宋体"/>
          <w:color w:val="auto"/>
          <w:kern w:val="0"/>
          <w:sz w:val="24"/>
          <w:highlight w:val="none"/>
        </w:rPr>
      </w:pPr>
    </w:p>
    <w:p w14:paraId="6FDB91D0">
      <w:pPr>
        <w:jc w:val="center"/>
        <w:rPr>
          <w:rFonts w:ascii="仿宋" w:hAnsi="仿宋" w:eastAsia="仿宋" w:cs="宋体"/>
          <w:b/>
          <w:color w:val="auto"/>
          <w:kern w:val="0"/>
          <w:sz w:val="32"/>
          <w:szCs w:val="32"/>
          <w:highlight w:val="none"/>
        </w:rPr>
      </w:pPr>
    </w:p>
    <w:p w14:paraId="3D217EFD">
      <w:pPr>
        <w:snapToGrid w:val="0"/>
        <w:spacing w:line="360" w:lineRule="auto"/>
        <w:ind w:firstLine="480" w:firstLineChars="200"/>
        <w:rPr>
          <w:rFonts w:ascii="仿宋" w:hAnsi="仿宋" w:eastAsia="仿宋" w:cs="仿宋"/>
          <w:color w:val="auto"/>
          <w:spacing w:val="20"/>
          <w:sz w:val="24"/>
          <w:highlight w:val="none"/>
          <w:u w:val="single"/>
        </w:rPr>
      </w:pPr>
      <w:r>
        <w:rPr>
          <w:rFonts w:hint="eastAsia" w:ascii="仿宋" w:hAnsi="仿宋" w:eastAsia="仿宋" w:cs="仿宋"/>
          <w:color w:val="auto"/>
          <w:sz w:val="24"/>
          <w:highlight w:val="none"/>
        </w:rPr>
        <w:t xml:space="preserve">投标供应商全称：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（公章/电子签名）</w:t>
      </w:r>
    </w:p>
    <w:p w14:paraId="37F9EF60">
      <w:pPr>
        <w:snapToGrid w:val="0"/>
        <w:spacing w:line="360" w:lineRule="auto"/>
        <w:ind w:firstLine="480" w:firstLineChars="200"/>
        <w:rPr>
          <w:rFonts w:ascii="仿宋" w:hAnsi="仿宋" w:eastAsia="仿宋" w:cs="仿宋"/>
          <w:color w:val="auto"/>
          <w:spacing w:val="20"/>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lang w:eastAsia="zh-CN"/>
        </w:rPr>
        <w:t>2025年</w:t>
      </w:r>
      <w:r>
        <w:rPr>
          <w:rFonts w:hint="eastAsia" w:ascii="仿宋" w:hAnsi="仿宋" w:eastAsia="仿宋" w:cs="仿宋"/>
          <w:color w:val="auto"/>
          <w:sz w:val="24"/>
          <w:highlight w:val="none"/>
        </w:rPr>
        <w:t xml:space="preserve">   月   日</w:t>
      </w:r>
    </w:p>
    <w:p w14:paraId="087A3570">
      <w:pPr>
        <w:snapToGrid w:val="0"/>
        <w:spacing w:line="288" w:lineRule="auto"/>
        <w:rPr>
          <w:rFonts w:ascii="仿宋" w:hAnsi="仿宋" w:eastAsia="仿宋" w:cs="仿宋"/>
          <w:b/>
          <w:bCs/>
          <w:color w:val="auto"/>
          <w:szCs w:val="21"/>
          <w:highlight w:val="none"/>
        </w:rPr>
      </w:pPr>
    </w:p>
    <w:p w14:paraId="4662A7C7">
      <w:pPr>
        <w:snapToGrid w:val="0"/>
        <w:spacing w:line="288"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『编制说明』：</w:t>
      </w:r>
    </w:p>
    <w:p w14:paraId="1742FEA2">
      <w:pPr>
        <w:numPr>
          <w:ilvl w:val="0"/>
          <w:numId w:val="15"/>
        </w:numPr>
        <w:snapToGrid w:val="0"/>
        <w:spacing w:line="288"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逐项按照</w:t>
      </w:r>
      <w:r>
        <w:rPr>
          <w:rFonts w:hint="eastAsia" w:ascii="仿宋" w:hAnsi="仿宋" w:eastAsia="仿宋" w:cs="仿宋"/>
          <w:b/>
          <w:bCs/>
          <w:color w:val="auto"/>
          <w:szCs w:val="21"/>
          <w:highlight w:val="none"/>
          <w:lang w:val="en-US" w:eastAsia="zh-CN"/>
        </w:rPr>
        <w:t>招标</w:t>
      </w:r>
      <w:r>
        <w:rPr>
          <w:rFonts w:hint="eastAsia" w:ascii="仿宋" w:hAnsi="仿宋" w:eastAsia="仿宋" w:cs="仿宋"/>
          <w:b/>
          <w:bCs/>
          <w:color w:val="auto"/>
          <w:szCs w:val="21"/>
          <w:highlight w:val="none"/>
        </w:rPr>
        <w:t>文件要求填写响应内容</w:t>
      </w:r>
      <w:r>
        <w:rPr>
          <w:rFonts w:hint="eastAsia" w:ascii="仿宋" w:hAnsi="仿宋" w:eastAsia="仿宋" w:cs="仿宋"/>
          <w:b/>
          <w:bCs/>
          <w:color w:val="auto"/>
          <w:szCs w:val="21"/>
          <w:highlight w:val="none"/>
          <w:lang w:eastAsia="zh-CN"/>
        </w:rPr>
        <w:t>。</w:t>
      </w:r>
    </w:p>
    <w:p w14:paraId="35583894">
      <w:pPr>
        <w:numPr>
          <w:ilvl w:val="0"/>
          <w:numId w:val="15"/>
        </w:numPr>
        <w:snapToGrid w:val="0"/>
        <w:spacing w:line="288"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偏离说明是指对招标文件要求存在不同之处的解释说明。偏离系指：正偏离（高于采购需求）、负偏离（低于采购需求）、无偏离（满足采购需求）</w:t>
      </w:r>
    </w:p>
    <w:p w14:paraId="0145B5D4">
      <w:pPr>
        <w:widowControl/>
        <w:numPr>
          <w:ilvl w:val="0"/>
          <w:numId w:val="15"/>
        </w:numPr>
        <w:jc w:val="left"/>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技术指标若有要求投标人提供相应佐证材料的，投标人未提供相应佐证材料或者投标人的响应承诺与其佐证材料不一致的，评标委员会将以不利于投标人的内容为准（负偏离）进行评审。</w:t>
      </w:r>
    </w:p>
    <w:p w14:paraId="04977D81">
      <w:pPr>
        <w:widowControl/>
        <w:numPr>
          <w:ilvl w:val="0"/>
          <w:numId w:val="15"/>
        </w:numPr>
        <w:jc w:val="left"/>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按本格式和要求提供</w:t>
      </w:r>
      <w:r>
        <w:rPr>
          <w:rFonts w:hint="eastAsia" w:ascii="仿宋" w:hAnsi="仿宋" w:eastAsia="仿宋" w:cs="仿宋"/>
          <w:b/>
          <w:bCs/>
          <w:color w:val="auto"/>
          <w:szCs w:val="21"/>
          <w:highlight w:val="none"/>
        </w:rPr>
        <w:t>。</w:t>
      </w:r>
    </w:p>
    <w:p w14:paraId="7BEB2C0E">
      <w:pPr>
        <w:jc w:val="center"/>
        <w:outlineLvl w:val="1"/>
        <w:rPr>
          <w:rFonts w:hint="eastAsia" w:ascii="仿宋" w:hAnsi="仿宋" w:eastAsia="仿宋"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1797ACCA">
      <w:pPr>
        <w:jc w:val="center"/>
        <w:rPr>
          <w:rFonts w:hint="eastAsia" w:ascii="仿宋" w:hAnsi="仿宋" w:eastAsia="仿宋" w:cs="宋体"/>
          <w:b/>
          <w:color w:val="auto"/>
          <w:kern w:val="0"/>
          <w:sz w:val="32"/>
          <w:szCs w:val="32"/>
          <w:highlight w:val="none"/>
        </w:rPr>
      </w:pPr>
    </w:p>
    <w:p w14:paraId="6F67FEF7">
      <w:pPr>
        <w:ind w:firstLine="643" w:firstLineChars="200"/>
        <w:outlineLvl w:val="1"/>
        <w:rPr>
          <w:rFonts w:ascii="仿宋" w:hAnsi="仿宋" w:eastAsia="仿宋" w:cs="宋体"/>
          <w:color w:val="auto"/>
          <w:highlight w:val="none"/>
        </w:rPr>
      </w:pPr>
      <w:r>
        <w:rPr>
          <w:rFonts w:hint="eastAsia" w:ascii="仿宋" w:hAnsi="仿宋" w:eastAsia="仿宋" w:cs="宋体"/>
          <w:b/>
          <w:color w:val="auto"/>
          <w:kern w:val="0"/>
          <w:sz w:val="32"/>
          <w:szCs w:val="32"/>
          <w:highlight w:val="none"/>
        </w:rPr>
        <w:t>六、评标标准相应的商务技术资料</w:t>
      </w:r>
    </w:p>
    <w:tbl>
      <w:tblPr>
        <w:tblStyle w:val="2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6C193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top"/>
          </w:tcPr>
          <w:p w14:paraId="2A6C266F">
            <w:pPr>
              <w:snapToGrid w:val="0"/>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5465" w:type="dxa"/>
            <w:noWrap w:val="0"/>
            <w:vAlign w:val="top"/>
          </w:tcPr>
          <w:p w14:paraId="799544B9">
            <w:pPr>
              <w:snapToGrid w:val="0"/>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投标文件中评标标准相应的商务技术资料目录*</w:t>
            </w:r>
          </w:p>
        </w:tc>
        <w:tc>
          <w:tcPr>
            <w:tcW w:w="3046" w:type="dxa"/>
            <w:noWrap w:val="0"/>
            <w:vAlign w:val="top"/>
          </w:tcPr>
          <w:p w14:paraId="0C41B8EF">
            <w:pPr>
              <w:snapToGrid w:val="0"/>
              <w:spacing w:line="240" w:lineRule="atLeas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投标文件中的页码位置</w:t>
            </w:r>
          </w:p>
        </w:tc>
      </w:tr>
      <w:tr w14:paraId="53513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top"/>
          </w:tcPr>
          <w:p w14:paraId="02ABE0EA">
            <w:pPr>
              <w:snapToGrid w:val="0"/>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5465" w:type="dxa"/>
            <w:noWrap w:val="0"/>
            <w:vAlign w:val="top"/>
          </w:tcPr>
          <w:p w14:paraId="3B105C5B">
            <w:pPr>
              <w:snapToGrid w:val="0"/>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XXX（预先填写）</w:t>
            </w:r>
          </w:p>
        </w:tc>
        <w:tc>
          <w:tcPr>
            <w:tcW w:w="3046" w:type="dxa"/>
            <w:noWrap w:val="0"/>
            <w:vAlign w:val="top"/>
          </w:tcPr>
          <w:p w14:paraId="194E68F5">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见投标文件第</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页</w:t>
            </w:r>
          </w:p>
        </w:tc>
      </w:tr>
      <w:tr w14:paraId="1F6DD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top"/>
          </w:tcPr>
          <w:p w14:paraId="1D88F41A">
            <w:pPr>
              <w:snapToGrid w:val="0"/>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p>
        </w:tc>
        <w:tc>
          <w:tcPr>
            <w:tcW w:w="5465" w:type="dxa"/>
            <w:noWrap w:val="0"/>
            <w:vAlign w:val="top"/>
          </w:tcPr>
          <w:p w14:paraId="009087A7">
            <w:pPr>
              <w:snapToGrid w:val="0"/>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XXX</w:t>
            </w:r>
          </w:p>
        </w:tc>
        <w:tc>
          <w:tcPr>
            <w:tcW w:w="3046" w:type="dxa"/>
            <w:noWrap w:val="0"/>
            <w:vAlign w:val="top"/>
          </w:tcPr>
          <w:p w14:paraId="35206AEE">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见投标文件第</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页</w:t>
            </w:r>
          </w:p>
        </w:tc>
      </w:tr>
      <w:tr w14:paraId="0885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top"/>
          </w:tcPr>
          <w:p w14:paraId="76D5AC86">
            <w:pPr>
              <w:snapToGrid w:val="0"/>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rPr>
              <w:t>……</w:t>
            </w:r>
          </w:p>
        </w:tc>
        <w:tc>
          <w:tcPr>
            <w:tcW w:w="5465" w:type="dxa"/>
            <w:noWrap w:val="0"/>
            <w:vAlign w:val="top"/>
          </w:tcPr>
          <w:p w14:paraId="093B12DC">
            <w:pPr>
              <w:snapToGrid w:val="0"/>
              <w:spacing w:line="360" w:lineRule="auto"/>
              <w:jc w:val="center"/>
              <w:rPr>
                <w:rFonts w:hint="eastAsia" w:ascii="仿宋" w:hAnsi="仿宋" w:eastAsia="仿宋" w:cs="仿宋"/>
                <w:bCs/>
                <w:color w:val="auto"/>
                <w:sz w:val="24"/>
                <w:szCs w:val="24"/>
                <w:highlight w:val="none"/>
              </w:rPr>
            </w:pPr>
          </w:p>
        </w:tc>
        <w:tc>
          <w:tcPr>
            <w:tcW w:w="3046" w:type="dxa"/>
            <w:noWrap w:val="0"/>
            <w:vAlign w:val="top"/>
          </w:tcPr>
          <w:p w14:paraId="0AB741EE">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见投标文件第</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页</w:t>
            </w:r>
          </w:p>
        </w:tc>
      </w:tr>
    </w:tbl>
    <w:p w14:paraId="7FFC7BFC">
      <w:pPr>
        <w:widowControl/>
        <w:jc w:val="left"/>
        <w:outlineLvl w:val="2"/>
        <w:rPr>
          <w:rFonts w:ascii="仿宋" w:hAnsi="仿宋" w:eastAsia="仿宋" w:cs="仿宋"/>
          <w:b/>
          <w:color w:val="auto"/>
          <w:szCs w:val="20"/>
          <w:highlight w:val="none"/>
        </w:rPr>
      </w:pPr>
      <w:r>
        <w:rPr>
          <w:rFonts w:hint="eastAsia" w:ascii="仿宋" w:hAnsi="仿宋" w:eastAsia="仿宋" w:cs="仿宋"/>
          <w:b/>
          <w:color w:val="auto"/>
          <w:szCs w:val="20"/>
          <w:highlight w:val="none"/>
        </w:rPr>
        <w:br w:type="page"/>
      </w:r>
      <w:r>
        <w:rPr>
          <w:rFonts w:hint="eastAsia" w:ascii="仿宋" w:hAnsi="仿宋" w:eastAsia="仿宋" w:cs="仿宋"/>
          <w:b/>
          <w:color w:val="auto"/>
          <w:szCs w:val="20"/>
          <w:highlight w:val="none"/>
        </w:rPr>
        <w:t>1、评分细则中商务资信部分</w:t>
      </w:r>
    </w:p>
    <w:p w14:paraId="53427496">
      <w:pPr>
        <w:outlineLvl w:val="3"/>
        <w:rPr>
          <w:rFonts w:ascii="仿宋" w:hAnsi="仿宋" w:eastAsia="仿宋" w:cs="仿宋"/>
          <w:color w:val="auto"/>
          <w:highlight w:val="none"/>
        </w:rPr>
      </w:pPr>
      <w:r>
        <w:rPr>
          <w:rFonts w:hint="eastAsia" w:ascii="仿宋" w:hAnsi="仿宋" w:eastAsia="仿宋" w:cs="仿宋"/>
          <w:color w:val="auto"/>
          <w:highlight w:val="none"/>
        </w:rPr>
        <w:t>1.1类似业绩</w:t>
      </w:r>
    </w:p>
    <w:p w14:paraId="544784FB">
      <w:pPr>
        <w:pStyle w:val="15"/>
        <w:snapToGrid w:val="0"/>
        <w:spacing w:line="300" w:lineRule="auto"/>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类似业绩表</w:t>
      </w:r>
    </w:p>
    <w:p w14:paraId="64F3DF98">
      <w:pPr>
        <w:snapToGrid w:val="0"/>
        <w:spacing w:line="30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采购人：</w:t>
      </w:r>
      <w:r>
        <w:rPr>
          <w:rFonts w:hint="eastAsia" w:ascii="仿宋" w:hAnsi="仿宋" w:eastAsia="仿宋" w:cs="宋体"/>
          <w:color w:val="auto"/>
          <w:sz w:val="24"/>
          <w:highlight w:val="none"/>
          <w:lang w:eastAsia="zh-CN"/>
        </w:rPr>
        <w:t>杭州市生态环境局拱墅分局</w:t>
      </w:r>
    </w:p>
    <w:p w14:paraId="773457BE">
      <w:pPr>
        <w:snapToGrid w:val="0"/>
        <w:spacing w:line="30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eastAsia="zh-CN"/>
        </w:rPr>
        <w:t>“清净”拱墅多污染协同管控工程建设项目</w:t>
      </w:r>
    </w:p>
    <w:p w14:paraId="18165B66">
      <w:pPr>
        <w:snapToGrid w:val="0"/>
        <w:spacing w:line="300" w:lineRule="auto"/>
        <w:rPr>
          <w:rFonts w:hint="eastAsia" w:ascii="仿宋" w:hAnsi="仿宋" w:eastAsia="仿宋" w:cs="宋体"/>
          <w:color w:val="auto"/>
          <w:sz w:val="24"/>
          <w:highlight w:val="none"/>
          <w:lang w:eastAsia="zh-CN"/>
        </w:rPr>
      </w:pPr>
      <w:r>
        <w:rPr>
          <w:rFonts w:hint="eastAsia" w:ascii="仿宋" w:hAnsi="仿宋" w:eastAsia="仿宋" w:cs="仿宋"/>
          <w:color w:val="auto"/>
          <w:sz w:val="24"/>
          <w:highlight w:val="none"/>
        </w:rPr>
        <w:t>项目编号：</w:t>
      </w:r>
      <w:r>
        <w:rPr>
          <w:rFonts w:hint="eastAsia" w:ascii="仿宋" w:hAnsi="仿宋" w:eastAsia="仿宋" w:cs="宋体"/>
          <w:color w:val="auto"/>
          <w:sz w:val="24"/>
          <w:highlight w:val="none"/>
          <w:lang w:eastAsia="zh-CN"/>
        </w:rPr>
        <w:t>ZJWS2025--GS01</w:t>
      </w:r>
    </w:p>
    <w:p w14:paraId="5933D34E">
      <w:pPr>
        <w:snapToGrid w:val="0"/>
        <w:spacing w:line="300" w:lineRule="auto"/>
        <w:rPr>
          <w:rFonts w:hint="eastAsia" w:ascii="仿宋" w:hAnsi="仿宋" w:eastAsia="仿宋" w:cs="宋体"/>
          <w:color w:val="auto"/>
          <w:sz w:val="24"/>
          <w:highlight w:val="none"/>
        </w:rPr>
      </w:pPr>
      <w:r>
        <w:rPr>
          <w:rFonts w:hint="eastAsia" w:ascii="仿宋" w:hAnsi="仿宋" w:eastAsia="仿宋" w:cs="宋体"/>
          <w:color w:val="auto"/>
          <w:sz w:val="24"/>
          <w:highlight w:val="none"/>
          <w:lang w:val="en-US" w:eastAsia="zh-CN"/>
        </w:rPr>
        <w:t>标项号：</w:t>
      </w:r>
      <w:r>
        <w:rPr>
          <w:rFonts w:hint="eastAsia" w:ascii="仿宋" w:hAnsi="仿宋" w:eastAsia="仿宋" w:cs="宋体"/>
          <w:color w:val="auto"/>
          <w:sz w:val="24"/>
          <w:highlight w:val="none"/>
        </w:rPr>
        <w:t xml:space="preserve"> </w:t>
      </w:r>
    </w:p>
    <w:tbl>
      <w:tblPr>
        <w:tblStyle w:val="23"/>
        <w:tblW w:w="9617" w:type="dxa"/>
        <w:tblInd w:w="0" w:type="dxa"/>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Layout w:type="fixed"/>
        <w:tblCellMar>
          <w:top w:w="0" w:type="dxa"/>
          <w:left w:w="108" w:type="dxa"/>
          <w:bottom w:w="0" w:type="dxa"/>
          <w:right w:w="108" w:type="dxa"/>
        </w:tblCellMar>
      </w:tblPr>
      <w:tblGrid>
        <w:gridCol w:w="812"/>
        <w:gridCol w:w="1355"/>
        <w:gridCol w:w="1806"/>
        <w:gridCol w:w="1673"/>
        <w:gridCol w:w="1714"/>
        <w:gridCol w:w="1355"/>
        <w:gridCol w:w="902"/>
      </w:tblGrid>
      <w:tr w14:paraId="37B04773">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812" w:type="dxa"/>
            <w:noWrap w:val="0"/>
            <w:vAlign w:val="center"/>
          </w:tcPr>
          <w:p w14:paraId="2185F52B">
            <w:pPr>
              <w:snapToGrid w:val="0"/>
              <w:spacing w:line="300" w:lineRule="auto"/>
              <w:jc w:val="center"/>
              <w:rPr>
                <w:rFonts w:ascii="仿宋" w:hAnsi="仿宋" w:eastAsia="仿宋" w:cs="仿宋"/>
                <w:caps/>
                <w:color w:val="auto"/>
                <w:highlight w:val="none"/>
              </w:rPr>
            </w:pPr>
            <w:r>
              <w:rPr>
                <w:rFonts w:hint="eastAsia" w:ascii="仿宋" w:hAnsi="仿宋" w:eastAsia="仿宋" w:cs="仿宋"/>
                <w:caps/>
                <w:color w:val="auto"/>
                <w:highlight w:val="none"/>
              </w:rPr>
              <w:t>序号</w:t>
            </w:r>
          </w:p>
        </w:tc>
        <w:tc>
          <w:tcPr>
            <w:tcW w:w="1355" w:type="dxa"/>
            <w:noWrap w:val="0"/>
            <w:vAlign w:val="center"/>
          </w:tcPr>
          <w:p w14:paraId="2A3F162F">
            <w:pPr>
              <w:snapToGrid w:val="0"/>
              <w:spacing w:line="300" w:lineRule="auto"/>
              <w:jc w:val="center"/>
              <w:rPr>
                <w:rFonts w:ascii="仿宋" w:hAnsi="仿宋" w:eastAsia="仿宋" w:cs="仿宋"/>
                <w:caps/>
                <w:color w:val="auto"/>
                <w:highlight w:val="none"/>
              </w:rPr>
            </w:pPr>
            <w:r>
              <w:rPr>
                <w:rFonts w:hint="eastAsia" w:ascii="仿宋" w:hAnsi="仿宋" w:eastAsia="仿宋" w:cs="仿宋"/>
                <w:caps/>
                <w:color w:val="auto"/>
                <w:highlight w:val="none"/>
              </w:rPr>
              <w:t>用户名称</w:t>
            </w:r>
          </w:p>
        </w:tc>
        <w:tc>
          <w:tcPr>
            <w:tcW w:w="1806" w:type="dxa"/>
            <w:noWrap w:val="0"/>
            <w:vAlign w:val="center"/>
          </w:tcPr>
          <w:p w14:paraId="7516EF66">
            <w:pPr>
              <w:snapToGrid w:val="0"/>
              <w:spacing w:line="300" w:lineRule="auto"/>
              <w:jc w:val="center"/>
              <w:rPr>
                <w:rFonts w:ascii="仿宋" w:hAnsi="仿宋" w:eastAsia="仿宋" w:cs="仿宋"/>
                <w:caps/>
                <w:color w:val="auto"/>
                <w:highlight w:val="none"/>
              </w:rPr>
            </w:pPr>
            <w:r>
              <w:rPr>
                <w:rFonts w:hint="eastAsia" w:ascii="仿宋" w:hAnsi="仿宋" w:eastAsia="仿宋" w:cs="仿宋"/>
                <w:caps/>
                <w:color w:val="auto"/>
                <w:highlight w:val="none"/>
              </w:rPr>
              <w:t>合同内容描述</w:t>
            </w:r>
          </w:p>
        </w:tc>
        <w:tc>
          <w:tcPr>
            <w:tcW w:w="1673" w:type="dxa"/>
            <w:noWrap w:val="0"/>
            <w:vAlign w:val="center"/>
          </w:tcPr>
          <w:p w14:paraId="07DF05F1">
            <w:pPr>
              <w:snapToGrid w:val="0"/>
              <w:spacing w:line="300" w:lineRule="auto"/>
              <w:jc w:val="center"/>
              <w:rPr>
                <w:rFonts w:ascii="仿宋" w:hAnsi="仿宋" w:eastAsia="仿宋" w:cs="仿宋"/>
                <w:caps/>
                <w:color w:val="auto"/>
                <w:highlight w:val="none"/>
              </w:rPr>
            </w:pPr>
            <w:r>
              <w:rPr>
                <w:rFonts w:hint="eastAsia" w:ascii="仿宋" w:hAnsi="仿宋" w:eastAsia="仿宋" w:cs="仿宋"/>
                <w:caps/>
                <w:color w:val="auto"/>
                <w:highlight w:val="none"/>
              </w:rPr>
              <w:t>合同金额</w:t>
            </w:r>
          </w:p>
        </w:tc>
        <w:tc>
          <w:tcPr>
            <w:tcW w:w="1714" w:type="dxa"/>
            <w:noWrap w:val="0"/>
            <w:vAlign w:val="center"/>
          </w:tcPr>
          <w:p w14:paraId="5E038AF4">
            <w:pPr>
              <w:snapToGrid w:val="0"/>
              <w:spacing w:line="300" w:lineRule="auto"/>
              <w:jc w:val="center"/>
              <w:rPr>
                <w:rFonts w:ascii="仿宋" w:hAnsi="仿宋" w:eastAsia="仿宋" w:cs="仿宋"/>
                <w:caps/>
                <w:color w:val="auto"/>
                <w:highlight w:val="none"/>
              </w:rPr>
            </w:pPr>
            <w:r>
              <w:rPr>
                <w:rFonts w:hint="eastAsia" w:ascii="仿宋" w:hAnsi="仿宋" w:eastAsia="仿宋" w:cs="仿宋"/>
                <w:color w:val="auto"/>
                <w:highlight w:val="none"/>
              </w:rPr>
              <w:t>签约日期</w:t>
            </w:r>
          </w:p>
        </w:tc>
        <w:tc>
          <w:tcPr>
            <w:tcW w:w="1355" w:type="dxa"/>
            <w:noWrap w:val="0"/>
            <w:vAlign w:val="center"/>
          </w:tcPr>
          <w:p w14:paraId="366F6EA8">
            <w:pPr>
              <w:snapToGrid w:val="0"/>
              <w:spacing w:line="300" w:lineRule="auto"/>
              <w:jc w:val="center"/>
              <w:rPr>
                <w:rFonts w:ascii="仿宋" w:hAnsi="仿宋" w:eastAsia="仿宋" w:cs="仿宋"/>
                <w:caps/>
                <w:color w:val="auto"/>
                <w:highlight w:val="none"/>
              </w:rPr>
            </w:pPr>
            <w:r>
              <w:rPr>
                <w:rFonts w:hint="eastAsia" w:ascii="仿宋" w:hAnsi="仿宋" w:eastAsia="仿宋" w:cs="仿宋"/>
                <w:caps/>
                <w:color w:val="auto"/>
                <w:highlight w:val="none"/>
              </w:rPr>
              <w:t>验收情况</w:t>
            </w:r>
          </w:p>
        </w:tc>
        <w:tc>
          <w:tcPr>
            <w:tcW w:w="902" w:type="dxa"/>
            <w:noWrap w:val="0"/>
            <w:vAlign w:val="center"/>
          </w:tcPr>
          <w:p w14:paraId="39D4DB9C">
            <w:pPr>
              <w:snapToGrid w:val="0"/>
              <w:spacing w:line="300" w:lineRule="auto"/>
              <w:jc w:val="center"/>
              <w:rPr>
                <w:rFonts w:ascii="仿宋" w:hAnsi="仿宋" w:eastAsia="仿宋" w:cs="仿宋"/>
                <w:color w:val="auto"/>
                <w:highlight w:val="none"/>
              </w:rPr>
            </w:pPr>
            <w:r>
              <w:rPr>
                <w:rFonts w:hint="eastAsia" w:ascii="仿宋" w:hAnsi="仿宋" w:eastAsia="仿宋" w:cs="仿宋"/>
                <w:color w:val="auto"/>
                <w:highlight w:val="none"/>
              </w:rPr>
              <w:t>对应</w:t>
            </w:r>
          </w:p>
          <w:p w14:paraId="36FAEBB4">
            <w:pPr>
              <w:snapToGrid w:val="0"/>
              <w:spacing w:line="300" w:lineRule="auto"/>
              <w:jc w:val="center"/>
              <w:rPr>
                <w:rFonts w:ascii="仿宋" w:hAnsi="仿宋" w:eastAsia="仿宋" w:cs="仿宋"/>
                <w:color w:val="auto"/>
                <w:highlight w:val="none"/>
              </w:rPr>
            </w:pPr>
            <w:r>
              <w:rPr>
                <w:rFonts w:hint="eastAsia" w:ascii="仿宋" w:hAnsi="仿宋" w:eastAsia="仿宋" w:cs="仿宋"/>
                <w:color w:val="auto"/>
                <w:highlight w:val="none"/>
              </w:rPr>
              <w:t>页码</w:t>
            </w:r>
          </w:p>
        </w:tc>
      </w:tr>
      <w:tr w14:paraId="66D2F953">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812" w:type="dxa"/>
            <w:noWrap w:val="0"/>
            <w:vAlign w:val="center"/>
          </w:tcPr>
          <w:p w14:paraId="666CBCED">
            <w:pPr>
              <w:snapToGrid w:val="0"/>
              <w:spacing w:line="300" w:lineRule="auto"/>
              <w:jc w:val="center"/>
              <w:rPr>
                <w:rFonts w:ascii="仿宋" w:hAnsi="仿宋" w:eastAsia="仿宋" w:cs="仿宋"/>
                <w:color w:val="auto"/>
                <w:spacing w:val="20"/>
                <w:highlight w:val="none"/>
              </w:rPr>
            </w:pPr>
          </w:p>
        </w:tc>
        <w:tc>
          <w:tcPr>
            <w:tcW w:w="1355" w:type="dxa"/>
            <w:noWrap w:val="0"/>
            <w:vAlign w:val="center"/>
          </w:tcPr>
          <w:p w14:paraId="7D5FF90A">
            <w:pPr>
              <w:snapToGrid w:val="0"/>
              <w:spacing w:line="300" w:lineRule="auto"/>
              <w:jc w:val="center"/>
              <w:rPr>
                <w:rFonts w:ascii="仿宋" w:hAnsi="仿宋" w:eastAsia="仿宋" w:cs="仿宋"/>
                <w:color w:val="auto"/>
                <w:spacing w:val="20"/>
                <w:highlight w:val="none"/>
              </w:rPr>
            </w:pPr>
          </w:p>
        </w:tc>
        <w:tc>
          <w:tcPr>
            <w:tcW w:w="1806" w:type="dxa"/>
            <w:noWrap w:val="0"/>
            <w:vAlign w:val="center"/>
          </w:tcPr>
          <w:p w14:paraId="34023BC4">
            <w:pPr>
              <w:snapToGrid w:val="0"/>
              <w:spacing w:line="300" w:lineRule="auto"/>
              <w:jc w:val="center"/>
              <w:rPr>
                <w:rFonts w:ascii="仿宋" w:hAnsi="仿宋" w:eastAsia="仿宋" w:cs="仿宋"/>
                <w:color w:val="auto"/>
                <w:spacing w:val="20"/>
                <w:highlight w:val="none"/>
              </w:rPr>
            </w:pPr>
          </w:p>
        </w:tc>
        <w:tc>
          <w:tcPr>
            <w:tcW w:w="1673" w:type="dxa"/>
            <w:noWrap w:val="0"/>
            <w:vAlign w:val="center"/>
          </w:tcPr>
          <w:p w14:paraId="5411D327">
            <w:pPr>
              <w:snapToGrid w:val="0"/>
              <w:spacing w:line="300" w:lineRule="auto"/>
              <w:jc w:val="center"/>
              <w:rPr>
                <w:rFonts w:ascii="仿宋" w:hAnsi="仿宋" w:eastAsia="仿宋" w:cs="仿宋"/>
                <w:color w:val="auto"/>
                <w:spacing w:val="20"/>
                <w:highlight w:val="none"/>
              </w:rPr>
            </w:pPr>
          </w:p>
        </w:tc>
        <w:tc>
          <w:tcPr>
            <w:tcW w:w="1714" w:type="dxa"/>
            <w:noWrap w:val="0"/>
            <w:vAlign w:val="center"/>
          </w:tcPr>
          <w:p w14:paraId="1DB8AE01">
            <w:pPr>
              <w:snapToGrid w:val="0"/>
              <w:spacing w:line="300" w:lineRule="auto"/>
              <w:jc w:val="center"/>
              <w:rPr>
                <w:rFonts w:ascii="仿宋" w:hAnsi="仿宋" w:eastAsia="仿宋" w:cs="仿宋"/>
                <w:color w:val="auto"/>
                <w:spacing w:val="20"/>
                <w:highlight w:val="none"/>
              </w:rPr>
            </w:pPr>
          </w:p>
        </w:tc>
        <w:tc>
          <w:tcPr>
            <w:tcW w:w="1355" w:type="dxa"/>
            <w:noWrap w:val="0"/>
            <w:vAlign w:val="center"/>
          </w:tcPr>
          <w:p w14:paraId="7EDB438E">
            <w:pPr>
              <w:snapToGrid w:val="0"/>
              <w:spacing w:line="300" w:lineRule="auto"/>
              <w:jc w:val="center"/>
              <w:rPr>
                <w:rFonts w:ascii="仿宋" w:hAnsi="仿宋" w:eastAsia="仿宋" w:cs="仿宋"/>
                <w:color w:val="auto"/>
                <w:spacing w:val="20"/>
                <w:highlight w:val="none"/>
              </w:rPr>
            </w:pPr>
          </w:p>
        </w:tc>
        <w:tc>
          <w:tcPr>
            <w:tcW w:w="902" w:type="dxa"/>
            <w:noWrap w:val="0"/>
            <w:vAlign w:val="center"/>
          </w:tcPr>
          <w:p w14:paraId="64502145">
            <w:pPr>
              <w:snapToGrid w:val="0"/>
              <w:spacing w:line="300" w:lineRule="auto"/>
              <w:jc w:val="center"/>
              <w:rPr>
                <w:rFonts w:ascii="仿宋" w:hAnsi="仿宋" w:eastAsia="仿宋" w:cs="仿宋"/>
                <w:color w:val="auto"/>
                <w:spacing w:val="20"/>
                <w:highlight w:val="none"/>
              </w:rPr>
            </w:pPr>
          </w:p>
        </w:tc>
      </w:tr>
      <w:tr w14:paraId="4F785CC2">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812" w:type="dxa"/>
            <w:noWrap w:val="0"/>
            <w:vAlign w:val="center"/>
          </w:tcPr>
          <w:p w14:paraId="11D3CF6A">
            <w:pPr>
              <w:snapToGrid w:val="0"/>
              <w:spacing w:line="300" w:lineRule="auto"/>
              <w:jc w:val="center"/>
              <w:rPr>
                <w:rFonts w:ascii="仿宋" w:hAnsi="仿宋" w:eastAsia="仿宋" w:cs="仿宋"/>
                <w:color w:val="auto"/>
                <w:spacing w:val="20"/>
                <w:highlight w:val="none"/>
              </w:rPr>
            </w:pPr>
          </w:p>
        </w:tc>
        <w:tc>
          <w:tcPr>
            <w:tcW w:w="1355" w:type="dxa"/>
            <w:noWrap w:val="0"/>
            <w:vAlign w:val="center"/>
          </w:tcPr>
          <w:p w14:paraId="12C9E508">
            <w:pPr>
              <w:snapToGrid w:val="0"/>
              <w:spacing w:line="300" w:lineRule="auto"/>
              <w:jc w:val="center"/>
              <w:rPr>
                <w:rFonts w:ascii="仿宋" w:hAnsi="仿宋" w:eastAsia="仿宋" w:cs="仿宋"/>
                <w:color w:val="auto"/>
                <w:spacing w:val="20"/>
                <w:highlight w:val="none"/>
              </w:rPr>
            </w:pPr>
          </w:p>
        </w:tc>
        <w:tc>
          <w:tcPr>
            <w:tcW w:w="1806" w:type="dxa"/>
            <w:noWrap w:val="0"/>
            <w:vAlign w:val="center"/>
          </w:tcPr>
          <w:p w14:paraId="4D464247">
            <w:pPr>
              <w:snapToGrid w:val="0"/>
              <w:spacing w:line="300" w:lineRule="auto"/>
              <w:jc w:val="center"/>
              <w:rPr>
                <w:rFonts w:ascii="仿宋" w:hAnsi="仿宋" w:eastAsia="仿宋" w:cs="仿宋"/>
                <w:color w:val="auto"/>
                <w:spacing w:val="20"/>
                <w:highlight w:val="none"/>
              </w:rPr>
            </w:pPr>
          </w:p>
        </w:tc>
        <w:tc>
          <w:tcPr>
            <w:tcW w:w="1673" w:type="dxa"/>
            <w:noWrap w:val="0"/>
            <w:vAlign w:val="center"/>
          </w:tcPr>
          <w:p w14:paraId="3C8072FF">
            <w:pPr>
              <w:snapToGrid w:val="0"/>
              <w:spacing w:line="300" w:lineRule="auto"/>
              <w:jc w:val="center"/>
              <w:rPr>
                <w:rFonts w:ascii="仿宋" w:hAnsi="仿宋" w:eastAsia="仿宋" w:cs="仿宋"/>
                <w:color w:val="auto"/>
                <w:spacing w:val="20"/>
                <w:highlight w:val="none"/>
              </w:rPr>
            </w:pPr>
          </w:p>
        </w:tc>
        <w:tc>
          <w:tcPr>
            <w:tcW w:w="1714" w:type="dxa"/>
            <w:noWrap w:val="0"/>
            <w:vAlign w:val="center"/>
          </w:tcPr>
          <w:p w14:paraId="1C9A9306">
            <w:pPr>
              <w:snapToGrid w:val="0"/>
              <w:spacing w:line="300" w:lineRule="auto"/>
              <w:jc w:val="center"/>
              <w:rPr>
                <w:rFonts w:ascii="仿宋" w:hAnsi="仿宋" w:eastAsia="仿宋" w:cs="仿宋"/>
                <w:color w:val="auto"/>
                <w:spacing w:val="20"/>
                <w:highlight w:val="none"/>
              </w:rPr>
            </w:pPr>
          </w:p>
        </w:tc>
        <w:tc>
          <w:tcPr>
            <w:tcW w:w="1355" w:type="dxa"/>
            <w:noWrap w:val="0"/>
            <w:vAlign w:val="center"/>
          </w:tcPr>
          <w:p w14:paraId="72D5D8D3">
            <w:pPr>
              <w:snapToGrid w:val="0"/>
              <w:spacing w:line="300" w:lineRule="auto"/>
              <w:jc w:val="center"/>
              <w:rPr>
                <w:rFonts w:ascii="仿宋" w:hAnsi="仿宋" w:eastAsia="仿宋" w:cs="仿宋"/>
                <w:color w:val="auto"/>
                <w:spacing w:val="20"/>
                <w:highlight w:val="none"/>
              </w:rPr>
            </w:pPr>
          </w:p>
        </w:tc>
        <w:tc>
          <w:tcPr>
            <w:tcW w:w="902" w:type="dxa"/>
            <w:noWrap w:val="0"/>
            <w:vAlign w:val="center"/>
          </w:tcPr>
          <w:p w14:paraId="47958EB1">
            <w:pPr>
              <w:snapToGrid w:val="0"/>
              <w:spacing w:line="300" w:lineRule="auto"/>
              <w:jc w:val="center"/>
              <w:rPr>
                <w:rFonts w:ascii="仿宋" w:hAnsi="仿宋" w:eastAsia="仿宋" w:cs="仿宋"/>
                <w:color w:val="auto"/>
                <w:spacing w:val="20"/>
                <w:highlight w:val="none"/>
              </w:rPr>
            </w:pPr>
          </w:p>
        </w:tc>
      </w:tr>
      <w:tr w14:paraId="413A1F2D">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812" w:type="dxa"/>
            <w:noWrap w:val="0"/>
            <w:vAlign w:val="center"/>
          </w:tcPr>
          <w:p w14:paraId="69DB10B9">
            <w:pPr>
              <w:snapToGrid w:val="0"/>
              <w:spacing w:line="300" w:lineRule="auto"/>
              <w:jc w:val="center"/>
              <w:rPr>
                <w:rFonts w:ascii="仿宋" w:hAnsi="仿宋" w:eastAsia="仿宋" w:cs="仿宋"/>
                <w:color w:val="auto"/>
                <w:spacing w:val="20"/>
                <w:highlight w:val="none"/>
              </w:rPr>
            </w:pPr>
          </w:p>
        </w:tc>
        <w:tc>
          <w:tcPr>
            <w:tcW w:w="1355" w:type="dxa"/>
            <w:noWrap w:val="0"/>
            <w:vAlign w:val="center"/>
          </w:tcPr>
          <w:p w14:paraId="1A292094">
            <w:pPr>
              <w:snapToGrid w:val="0"/>
              <w:spacing w:line="300" w:lineRule="auto"/>
              <w:jc w:val="center"/>
              <w:rPr>
                <w:rFonts w:ascii="仿宋" w:hAnsi="仿宋" w:eastAsia="仿宋" w:cs="仿宋"/>
                <w:color w:val="auto"/>
                <w:spacing w:val="20"/>
                <w:highlight w:val="none"/>
              </w:rPr>
            </w:pPr>
          </w:p>
        </w:tc>
        <w:tc>
          <w:tcPr>
            <w:tcW w:w="1806" w:type="dxa"/>
            <w:noWrap w:val="0"/>
            <w:vAlign w:val="center"/>
          </w:tcPr>
          <w:p w14:paraId="1B086CB0">
            <w:pPr>
              <w:snapToGrid w:val="0"/>
              <w:spacing w:line="300" w:lineRule="auto"/>
              <w:jc w:val="center"/>
              <w:rPr>
                <w:rFonts w:ascii="仿宋" w:hAnsi="仿宋" w:eastAsia="仿宋" w:cs="仿宋"/>
                <w:color w:val="auto"/>
                <w:spacing w:val="20"/>
                <w:highlight w:val="none"/>
              </w:rPr>
            </w:pPr>
          </w:p>
        </w:tc>
        <w:tc>
          <w:tcPr>
            <w:tcW w:w="1673" w:type="dxa"/>
            <w:noWrap w:val="0"/>
            <w:vAlign w:val="center"/>
          </w:tcPr>
          <w:p w14:paraId="1DC086C4">
            <w:pPr>
              <w:snapToGrid w:val="0"/>
              <w:spacing w:line="300" w:lineRule="auto"/>
              <w:jc w:val="center"/>
              <w:rPr>
                <w:rFonts w:ascii="仿宋" w:hAnsi="仿宋" w:eastAsia="仿宋" w:cs="仿宋"/>
                <w:color w:val="auto"/>
                <w:spacing w:val="20"/>
                <w:highlight w:val="none"/>
              </w:rPr>
            </w:pPr>
          </w:p>
        </w:tc>
        <w:tc>
          <w:tcPr>
            <w:tcW w:w="1714" w:type="dxa"/>
            <w:noWrap w:val="0"/>
            <w:vAlign w:val="center"/>
          </w:tcPr>
          <w:p w14:paraId="46DD6BCC">
            <w:pPr>
              <w:snapToGrid w:val="0"/>
              <w:spacing w:line="300" w:lineRule="auto"/>
              <w:jc w:val="center"/>
              <w:rPr>
                <w:rFonts w:ascii="仿宋" w:hAnsi="仿宋" w:eastAsia="仿宋" w:cs="仿宋"/>
                <w:color w:val="auto"/>
                <w:spacing w:val="20"/>
                <w:highlight w:val="none"/>
              </w:rPr>
            </w:pPr>
          </w:p>
        </w:tc>
        <w:tc>
          <w:tcPr>
            <w:tcW w:w="1355" w:type="dxa"/>
            <w:noWrap w:val="0"/>
            <w:vAlign w:val="center"/>
          </w:tcPr>
          <w:p w14:paraId="478F3D55">
            <w:pPr>
              <w:snapToGrid w:val="0"/>
              <w:spacing w:line="300" w:lineRule="auto"/>
              <w:jc w:val="center"/>
              <w:rPr>
                <w:rFonts w:ascii="仿宋" w:hAnsi="仿宋" w:eastAsia="仿宋" w:cs="仿宋"/>
                <w:color w:val="auto"/>
                <w:spacing w:val="20"/>
                <w:highlight w:val="none"/>
              </w:rPr>
            </w:pPr>
          </w:p>
        </w:tc>
        <w:tc>
          <w:tcPr>
            <w:tcW w:w="902" w:type="dxa"/>
            <w:noWrap w:val="0"/>
            <w:vAlign w:val="center"/>
          </w:tcPr>
          <w:p w14:paraId="1F78C3E8">
            <w:pPr>
              <w:snapToGrid w:val="0"/>
              <w:spacing w:line="300" w:lineRule="auto"/>
              <w:jc w:val="center"/>
              <w:rPr>
                <w:rFonts w:ascii="仿宋" w:hAnsi="仿宋" w:eastAsia="仿宋" w:cs="仿宋"/>
                <w:color w:val="auto"/>
                <w:spacing w:val="20"/>
                <w:highlight w:val="none"/>
              </w:rPr>
            </w:pPr>
          </w:p>
        </w:tc>
      </w:tr>
      <w:tr w14:paraId="3D91756F">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812" w:type="dxa"/>
            <w:noWrap w:val="0"/>
            <w:vAlign w:val="center"/>
          </w:tcPr>
          <w:p w14:paraId="453359AD">
            <w:pPr>
              <w:snapToGrid w:val="0"/>
              <w:spacing w:line="300" w:lineRule="auto"/>
              <w:jc w:val="center"/>
              <w:rPr>
                <w:rFonts w:ascii="仿宋" w:hAnsi="仿宋" w:eastAsia="仿宋" w:cs="仿宋"/>
                <w:color w:val="auto"/>
                <w:spacing w:val="20"/>
                <w:highlight w:val="none"/>
              </w:rPr>
            </w:pPr>
          </w:p>
        </w:tc>
        <w:tc>
          <w:tcPr>
            <w:tcW w:w="1355" w:type="dxa"/>
            <w:noWrap w:val="0"/>
            <w:vAlign w:val="center"/>
          </w:tcPr>
          <w:p w14:paraId="0000B405">
            <w:pPr>
              <w:snapToGrid w:val="0"/>
              <w:spacing w:line="300" w:lineRule="auto"/>
              <w:jc w:val="center"/>
              <w:rPr>
                <w:rFonts w:ascii="仿宋" w:hAnsi="仿宋" w:eastAsia="仿宋" w:cs="仿宋"/>
                <w:color w:val="auto"/>
                <w:spacing w:val="20"/>
                <w:highlight w:val="none"/>
              </w:rPr>
            </w:pPr>
          </w:p>
        </w:tc>
        <w:tc>
          <w:tcPr>
            <w:tcW w:w="1806" w:type="dxa"/>
            <w:noWrap w:val="0"/>
            <w:vAlign w:val="center"/>
          </w:tcPr>
          <w:p w14:paraId="1BB88D63">
            <w:pPr>
              <w:snapToGrid w:val="0"/>
              <w:spacing w:line="300" w:lineRule="auto"/>
              <w:jc w:val="center"/>
              <w:rPr>
                <w:rFonts w:ascii="仿宋" w:hAnsi="仿宋" w:eastAsia="仿宋" w:cs="仿宋"/>
                <w:color w:val="auto"/>
                <w:spacing w:val="20"/>
                <w:highlight w:val="none"/>
              </w:rPr>
            </w:pPr>
          </w:p>
        </w:tc>
        <w:tc>
          <w:tcPr>
            <w:tcW w:w="1673" w:type="dxa"/>
            <w:noWrap w:val="0"/>
            <w:vAlign w:val="center"/>
          </w:tcPr>
          <w:p w14:paraId="3C56821C">
            <w:pPr>
              <w:snapToGrid w:val="0"/>
              <w:spacing w:line="300" w:lineRule="auto"/>
              <w:jc w:val="center"/>
              <w:rPr>
                <w:rFonts w:ascii="仿宋" w:hAnsi="仿宋" w:eastAsia="仿宋" w:cs="仿宋"/>
                <w:color w:val="auto"/>
                <w:spacing w:val="20"/>
                <w:highlight w:val="none"/>
              </w:rPr>
            </w:pPr>
          </w:p>
        </w:tc>
        <w:tc>
          <w:tcPr>
            <w:tcW w:w="1714" w:type="dxa"/>
            <w:noWrap w:val="0"/>
            <w:vAlign w:val="center"/>
          </w:tcPr>
          <w:p w14:paraId="3920F140">
            <w:pPr>
              <w:snapToGrid w:val="0"/>
              <w:spacing w:line="300" w:lineRule="auto"/>
              <w:jc w:val="center"/>
              <w:rPr>
                <w:rFonts w:ascii="仿宋" w:hAnsi="仿宋" w:eastAsia="仿宋" w:cs="仿宋"/>
                <w:color w:val="auto"/>
                <w:spacing w:val="20"/>
                <w:highlight w:val="none"/>
              </w:rPr>
            </w:pPr>
          </w:p>
        </w:tc>
        <w:tc>
          <w:tcPr>
            <w:tcW w:w="1355" w:type="dxa"/>
            <w:noWrap w:val="0"/>
            <w:vAlign w:val="center"/>
          </w:tcPr>
          <w:p w14:paraId="58F86F76">
            <w:pPr>
              <w:snapToGrid w:val="0"/>
              <w:spacing w:line="300" w:lineRule="auto"/>
              <w:jc w:val="center"/>
              <w:rPr>
                <w:rFonts w:ascii="仿宋" w:hAnsi="仿宋" w:eastAsia="仿宋" w:cs="仿宋"/>
                <w:color w:val="auto"/>
                <w:spacing w:val="20"/>
                <w:highlight w:val="none"/>
              </w:rPr>
            </w:pPr>
          </w:p>
        </w:tc>
        <w:tc>
          <w:tcPr>
            <w:tcW w:w="902" w:type="dxa"/>
            <w:noWrap w:val="0"/>
            <w:vAlign w:val="center"/>
          </w:tcPr>
          <w:p w14:paraId="4A643924">
            <w:pPr>
              <w:snapToGrid w:val="0"/>
              <w:spacing w:line="300" w:lineRule="auto"/>
              <w:jc w:val="center"/>
              <w:rPr>
                <w:rFonts w:ascii="仿宋" w:hAnsi="仿宋" w:eastAsia="仿宋" w:cs="仿宋"/>
                <w:color w:val="auto"/>
                <w:spacing w:val="20"/>
                <w:highlight w:val="none"/>
              </w:rPr>
            </w:pPr>
          </w:p>
        </w:tc>
      </w:tr>
      <w:tr w14:paraId="4FF0E70F">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812" w:type="dxa"/>
            <w:noWrap w:val="0"/>
            <w:vAlign w:val="center"/>
          </w:tcPr>
          <w:p w14:paraId="3D62D46D">
            <w:pPr>
              <w:snapToGrid w:val="0"/>
              <w:spacing w:line="300" w:lineRule="auto"/>
              <w:jc w:val="center"/>
              <w:rPr>
                <w:rFonts w:ascii="仿宋" w:hAnsi="仿宋" w:eastAsia="仿宋" w:cs="仿宋"/>
                <w:color w:val="auto"/>
                <w:spacing w:val="20"/>
                <w:highlight w:val="none"/>
              </w:rPr>
            </w:pPr>
          </w:p>
        </w:tc>
        <w:tc>
          <w:tcPr>
            <w:tcW w:w="1355" w:type="dxa"/>
            <w:noWrap w:val="0"/>
            <w:vAlign w:val="center"/>
          </w:tcPr>
          <w:p w14:paraId="1489292D">
            <w:pPr>
              <w:snapToGrid w:val="0"/>
              <w:spacing w:line="300" w:lineRule="auto"/>
              <w:jc w:val="center"/>
              <w:rPr>
                <w:rFonts w:ascii="仿宋" w:hAnsi="仿宋" w:eastAsia="仿宋" w:cs="仿宋"/>
                <w:color w:val="auto"/>
                <w:spacing w:val="20"/>
                <w:highlight w:val="none"/>
              </w:rPr>
            </w:pPr>
          </w:p>
        </w:tc>
        <w:tc>
          <w:tcPr>
            <w:tcW w:w="1806" w:type="dxa"/>
            <w:noWrap w:val="0"/>
            <w:vAlign w:val="center"/>
          </w:tcPr>
          <w:p w14:paraId="7D250E42">
            <w:pPr>
              <w:snapToGrid w:val="0"/>
              <w:spacing w:line="300" w:lineRule="auto"/>
              <w:jc w:val="center"/>
              <w:rPr>
                <w:rFonts w:ascii="仿宋" w:hAnsi="仿宋" w:eastAsia="仿宋" w:cs="仿宋"/>
                <w:color w:val="auto"/>
                <w:spacing w:val="20"/>
                <w:highlight w:val="none"/>
              </w:rPr>
            </w:pPr>
          </w:p>
        </w:tc>
        <w:tc>
          <w:tcPr>
            <w:tcW w:w="1673" w:type="dxa"/>
            <w:noWrap w:val="0"/>
            <w:vAlign w:val="center"/>
          </w:tcPr>
          <w:p w14:paraId="027B7532">
            <w:pPr>
              <w:snapToGrid w:val="0"/>
              <w:spacing w:line="300" w:lineRule="auto"/>
              <w:jc w:val="center"/>
              <w:rPr>
                <w:rFonts w:ascii="仿宋" w:hAnsi="仿宋" w:eastAsia="仿宋" w:cs="仿宋"/>
                <w:color w:val="auto"/>
                <w:spacing w:val="20"/>
                <w:highlight w:val="none"/>
              </w:rPr>
            </w:pPr>
          </w:p>
        </w:tc>
        <w:tc>
          <w:tcPr>
            <w:tcW w:w="1714" w:type="dxa"/>
            <w:noWrap w:val="0"/>
            <w:vAlign w:val="center"/>
          </w:tcPr>
          <w:p w14:paraId="5B92420A">
            <w:pPr>
              <w:snapToGrid w:val="0"/>
              <w:spacing w:line="300" w:lineRule="auto"/>
              <w:jc w:val="center"/>
              <w:rPr>
                <w:rFonts w:ascii="仿宋" w:hAnsi="仿宋" w:eastAsia="仿宋" w:cs="仿宋"/>
                <w:color w:val="auto"/>
                <w:spacing w:val="20"/>
                <w:highlight w:val="none"/>
              </w:rPr>
            </w:pPr>
          </w:p>
        </w:tc>
        <w:tc>
          <w:tcPr>
            <w:tcW w:w="1355" w:type="dxa"/>
            <w:noWrap w:val="0"/>
            <w:vAlign w:val="center"/>
          </w:tcPr>
          <w:p w14:paraId="2465F738">
            <w:pPr>
              <w:snapToGrid w:val="0"/>
              <w:spacing w:line="300" w:lineRule="auto"/>
              <w:jc w:val="center"/>
              <w:rPr>
                <w:rFonts w:ascii="仿宋" w:hAnsi="仿宋" w:eastAsia="仿宋" w:cs="仿宋"/>
                <w:color w:val="auto"/>
                <w:spacing w:val="20"/>
                <w:highlight w:val="none"/>
              </w:rPr>
            </w:pPr>
          </w:p>
        </w:tc>
        <w:tc>
          <w:tcPr>
            <w:tcW w:w="902" w:type="dxa"/>
            <w:noWrap w:val="0"/>
            <w:vAlign w:val="center"/>
          </w:tcPr>
          <w:p w14:paraId="4E561DB2">
            <w:pPr>
              <w:snapToGrid w:val="0"/>
              <w:spacing w:line="300" w:lineRule="auto"/>
              <w:jc w:val="center"/>
              <w:rPr>
                <w:rFonts w:ascii="仿宋" w:hAnsi="仿宋" w:eastAsia="仿宋" w:cs="仿宋"/>
                <w:color w:val="auto"/>
                <w:spacing w:val="20"/>
                <w:highlight w:val="none"/>
              </w:rPr>
            </w:pPr>
          </w:p>
        </w:tc>
      </w:tr>
      <w:tr w14:paraId="37D3D887">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812" w:type="dxa"/>
            <w:noWrap w:val="0"/>
            <w:vAlign w:val="center"/>
          </w:tcPr>
          <w:p w14:paraId="1B2994A4">
            <w:pPr>
              <w:snapToGrid w:val="0"/>
              <w:spacing w:line="300" w:lineRule="auto"/>
              <w:jc w:val="center"/>
              <w:rPr>
                <w:rFonts w:ascii="仿宋" w:hAnsi="仿宋" w:eastAsia="仿宋" w:cs="仿宋"/>
                <w:color w:val="auto"/>
                <w:spacing w:val="20"/>
                <w:highlight w:val="none"/>
              </w:rPr>
            </w:pPr>
          </w:p>
        </w:tc>
        <w:tc>
          <w:tcPr>
            <w:tcW w:w="1355" w:type="dxa"/>
            <w:noWrap w:val="0"/>
            <w:vAlign w:val="center"/>
          </w:tcPr>
          <w:p w14:paraId="77229071">
            <w:pPr>
              <w:snapToGrid w:val="0"/>
              <w:spacing w:line="300" w:lineRule="auto"/>
              <w:jc w:val="center"/>
              <w:rPr>
                <w:rFonts w:ascii="仿宋" w:hAnsi="仿宋" w:eastAsia="仿宋" w:cs="仿宋"/>
                <w:color w:val="auto"/>
                <w:spacing w:val="20"/>
                <w:highlight w:val="none"/>
              </w:rPr>
            </w:pPr>
          </w:p>
        </w:tc>
        <w:tc>
          <w:tcPr>
            <w:tcW w:w="1806" w:type="dxa"/>
            <w:noWrap w:val="0"/>
            <w:vAlign w:val="center"/>
          </w:tcPr>
          <w:p w14:paraId="5AFF3C67">
            <w:pPr>
              <w:snapToGrid w:val="0"/>
              <w:spacing w:line="300" w:lineRule="auto"/>
              <w:jc w:val="center"/>
              <w:rPr>
                <w:rFonts w:ascii="仿宋" w:hAnsi="仿宋" w:eastAsia="仿宋" w:cs="仿宋"/>
                <w:color w:val="auto"/>
                <w:spacing w:val="20"/>
                <w:highlight w:val="none"/>
              </w:rPr>
            </w:pPr>
          </w:p>
        </w:tc>
        <w:tc>
          <w:tcPr>
            <w:tcW w:w="1673" w:type="dxa"/>
            <w:noWrap w:val="0"/>
            <w:vAlign w:val="center"/>
          </w:tcPr>
          <w:p w14:paraId="7664735F">
            <w:pPr>
              <w:snapToGrid w:val="0"/>
              <w:spacing w:line="300" w:lineRule="auto"/>
              <w:jc w:val="center"/>
              <w:rPr>
                <w:rFonts w:ascii="仿宋" w:hAnsi="仿宋" w:eastAsia="仿宋" w:cs="仿宋"/>
                <w:color w:val="auto"/>
                <w:spacing w:val="20"/>
                <w:highlight w:val="none"/>
              </w:rPr>
            </w:pPr>
          </w:p>
        </w:tc>
        <w:tc>
          <w:tcPr>
            <w:tcW w:w="1714" w:type="dxa"/>
            <w:noWrap w:val="0"/>
            <w:vAlign w:val="center"/>
          </w:tcPr>
          <w:p w14:paraId="4418F746">
            <w:pPr>
              <w:snapToGrid w:val="0"/>
              <w:spacing w:line="300" w:lineRule="auto"/>
              <w:jc w:val="center"/>
              <w:rPr>
                <w:rFonts w:ascii="仿宋" w:hAnsi="仿宋" w:eastAsia="仿宋" w:cs="仿宋"/>
                <w:color w:val="auto"/>
                <w:spacing w:val="20"/>
                <w:highlight w:val="none"/>
              </w:rPr>
            </w:pPr>
          </w:p>
        </w:tc>
        <w:tc>
          <w:tcPr>
            <w:tcW w:w="1355" w:type="dxa"/>
            <w:noWrap w:val="0"/>
            <w:vAlign w:val="center"/>
          </w:tcPr>
          <w:p w14:paraId="3DA74A53">
            <w:pPr>
              <w:snapToGrid w:val="0"/>
              <w:spacing w:line="300" w:lineRule="auto"/>
              <w:jc w:val="center"/>
              <w:rPr>
                <w:rFonts w:ascii="仿宋" w:hAnsi="仿宋" w:eastAsia="仿宋" w:cs="仿宋"/>
                <w:color w:val="auto"/>
                <w:spacing w:val="20"/>
                <w:highlight w:val="none"/>
              </w:rPr>
            </w:pPr>
          </w:p>
        </w:tc>
        <w:tc>
          <w:tcPr>
            <w:tcW w:w="902" w:type="dxa"/>
            <w:noWrap w:val="0"/>
            <w:vAlign w:val="center"/>
          </w:tcPr>
          <w:p w14:paraId="4C8B2EFA">
            <w:pPr>
              <w:snapToGrid w:val="0"/>
              <w:spacing w:line="300" w:lineRule="auto"/>
              <w:jc w:val="center"/>
              <w:rPr>
                <w:rFonts w:ascii="仿宋" w:hAnsi="仿宋" w:eastAsia="仿宋" w:cs="仿宋"/>
                <w:color w:val="auto"/>
                <w:spacing w:val="20"/>
                <w:highlight w:val="none"/>
              </w:rPr>
            </w:pPr>
          </w:p>
        </w:tc>
      </w:tr>
      <w:tr w14:paraId="4231E300">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812" w:type="dxa"/>
            <w:noWrap w:val="0"/>
            <w:vAlign w:val="center"/>
          </w:tcPr>
          <w:p w14:paraId="6294D2E6">
            <w:pPr>
              <w:snapToGrid w:val="0"/>
              <w:spacing w:line="300" w:lineRule="auto"/>
              <w:jc w:val="center"/>
              <w:rPr>
                <w:rFonts w:ascii="仿宋" w:hAnsi="仿宋" w:eastAsia="仿宋" w:cs="仿宋"/>
                <w:color w:val="auto"/>
                <w:spacing w:val="20"/>
                <w:highlight w:val="none"/>
              </w:rPr>
            </w:pPr>
          </w:p>
        </w:tc>
        <w:tc>
          <w:tcPr>
            <w:tcW w:w="1355" w:type="dxa"/>
            <w:noWrap w:val="0"/>
            <w:vAlign w:val="center"/>
          </w:tcPr>
          <w:p w14:paraId="09BA85C1">
            <w:pPr>
              <w:snapToGrid w:val="0"/>
              <w:spacing w:line="300" w:lineRule="auto"/>
              <w:jc w:val="center"/>
              <w:rPr>
                <w:rFonts w:ascii="仿宋" w:hAnsi="仿宋" w:eastAsia="仿宋" w:cs="仿宋"/>
                <w:color w:val="auto"/>
                <w:spacing w:val="20"/>
                <w:highlight w:val="none"/>
              </w:rPr>
            </w:pPr>
          </w:p>
        </w:tc>
        <w:tc>
          <w:tcPr>
            <w:tcW w:w="1806" w:type="dxa"/>
            <w:noWrap w:val="0"/>
            <w:vAlign w:val="center"/>
          </w:tcPr>
          <w:p w14:paraId="5FB460D2">
            <w:pPr>
              <w:snapToGrid w:val="0"/>
              <w:spacing w:line="300" w:lineRule="auto"/>
              <w:jc w:val="center"/>
              <w:rPr>
                <w:rFonts w:ascii="仿宋" w:hAnsi="仿宋" w:eastAsia="仿宋" w:cs="仿宋"/>
                <w:color w:val="auto"/>
                <w:spacing w:val="20"/>
                <w:highlight w:val="none"/>
              </w:rPr>
            </w:pPr>
          </w:p>
        </w:tc>
        <w:tc>
          <w:tcPr>
            <w:tcW w:w="1673" w:type="dxa"/>
            <w:noWrap w:val="0"/>
            <w:vAlign w:val="center"/>
          </w:tcPr>
          <w:p w14:paraId="63D8FBA1">
            <w:pPr>
              <w:snapToGrid w:val="0"/>
              <w:spacing w:line="300" w:lineRule="auto"/>
              <w:jc w:val="center"/>
              <w:rPr>
                <w:rFonts w:ascii="仿宋" w:hAnsi="仿宋" w:eastAsia="仿宋" w:cs="仿宋"/>
                <w:color w:val="auto"/>
                <w:spacing w:val="20"/>
                <w:highlight w:val="none"/>
              </w:rPr>
            </w:pPr>
          </w:p>
        </w:tc>
        <w:tc>
          <w:tcPr>
            <w:tcW w:w="1714" w:type="dxa"/>
            <w:noWrap w:val="0"/>
            <w:vAlign w:val="center"/>
          </w:tcPr>
          <w:p w14:paraId="54C59B46">
            <w:pPr>
              <w:snapToGrid w:val="0"/>
              <w:spacing w:line="300" w:lineRule="auto"/>
              <w:jc w:val="center"/>
              <w:rPr>
                <w:rFonts w:ascii="仿宋" w:hAnsi="仿宋" w:eastAsia="仿宋" w:cs="仿宋"/>
                <w:color w:val="auto"/>
                <w:spacing w:val="20"/>
                <w:highlight w:val="none"/>
              </w:rPr>
            </w:pPr>
          </w:p>
        </w:tc>
        <w:tc>
          <w:tcPr>
            <w:tcW w:w="1355" w:type="dxa"/>
            <w:noWrap w:val="0"/>
            <w:vAlign w:val="center"/>
          </w:tcPr>
          <w:p w14:paraId="221AB32B">
            <w:pPr>
              <w:snapToGrid w:val="0"/>
              <w:spacing w:line="300" w:lineRule="auto"/>
              <w:jc w:val="center"/>
              <w:rPr>
                <w:rFonts w:ascii="仿宋" w:hAnsi="仿宋" w:eastAsia="仿宋" w:cs="仿宋"/>
                <w:color w:val="auto"/>
                <w:spacing w:val="20"/>
                <w:highlight w:val="none"/>
              </w:rPr>
            </w:pPr>
          </w:p>
        </w:tc>
        <w:tc>
          <w:tcPr>
            <w:tcW w:w="902" w:type="dxa"/>
            <w:noWrap w:val="0"/>
            <w:vAlign w:val="center"/>
          </w:tcPr>
          <w:p w14:paraId="30934DB9">
            <w:pPr>
              <w:snapToGrid w:val="0"/>
              <w:spacing w:line="300" w:lineRule="auto"/>
              <w:jc w:val="center"/>
              <w:rPr>
                <w:rFonts w:ascii="仿宋" w:hAnsi="仿宋" w:eastAsia="仿宋" w:cs="仿宋"/>
                <w:color w:val="auto"/>
                <w:spacing w:val="20"/>
                <w:highlight w:val="none"/>
              </w:rPr>
            </w:pPr>
          </w:p>
        </w:tc>
      </w:tr>
      <w:tr w14:paraId="604E6E17">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812" w:type="dxa"/>
            <w:noWrap w:val="0"/>
            <w:vAlign w:val="center"/>
          </w:tcPr>
          <w:p w14:paraId="500D4D2B">
            <w:pPr>
              <w:snapToGrid w:val="0"/>
              <w:spacing w:line="300" w:lineRule="auto"/>
              <w:jc w:val="center"/>
              <w:rPr>
                <w:rFonts w:ascii="仿宋" w:hAnsi="仿宋" w:eastAsia="仿宋" w:cs="仿宋"/>
                <w:color w:val="auto"/>
                <w:spacing w:val="20"/>
                <w:highlight w:val="none"/>
              </w:rPr>
            </w:pPr>
          </w:p>
        </w:tc>
        <w:tc>
          <w:tcPr>
            <w:tcW w:w="1355" w:type="dxa"/>
            <w:noWrap w:val="0"/>
            <w:vAlign w:val="center"/>
          </w:tcPr>
          <w:p w14:paraId="6AF775F2">
            <w:pPr>
              <w:snapToGrid w:val="0"/>
              <w:spacing w:line="300" w:lineRule="auto"/>
              <w:jc w:val="center"/>
              <w:rPr>
                <w:rFonts w:ascii="仿宋" w:hAnsi="仿宋" w:eastAsia="仿宋" w:cs="仿宋"/>
                <w:color w:val="auto"/>
                <w:spacing w:val="20"/>
                <w:highlight w:val="none"/>
              </w:rPr>
            </w:pPr>
          </w:p>
        </w:tc>
        <w:tc>
          <w:tcPr>
            <w:tcW w:w="1806" w:type="dxa"/>
            <w:noWrap w:val="0"/>
            <w:vAlign w:val="center"/>
          </w:tcPr>
          <w:p w14:paraId="7B529A65">
            <w:pPr>
              <w:snapToGrid w:val="0"/>
              <w:spacing w:line="300" w:lineRule="auto"/>
              <w:jc w:val="center"/>
              <w:rPr>
                <w:rFonts w:ascii="仿宋" w:hAnsi="仿宋" w:eastAsia="仿宋" w:cs="仿宋"/>
                <w:color w:val="auto"/>
                <w:spacing w:val="20"/>
                <w:highlight w:val="none"/>
              </w:rPr>
            </w:pPr>
          </w:p>
        </w:tc>
        <w:tc>
          <w:tcPr>
            <w:tcW w:w="1673" w:type="dxa"/>
            <w:noWrap w:val="0"/>
            <w:vAlign w:val="center"/>
          </w:tcPr>
          <w:p w14:paraId="7B1A269A">
            <w:pPr>
              <w:snapToGrid w:val="0"/>
              <w:spacing w:line="300" w:lineRule="auto"/>
              <w:jc w:val="center"/>
              <w:rPr>
                <w:rFonts w:ascii="仿宋" w:hAnsi="仿宋" w:eastAsia="仿宋" w:cs="仿宋"/>
                <w:color w:val="auto"/>
                <w:spacing w:val="20"/>
                <w:highlight w:val="none"/>
              </w:rPr>
            </w:pPr>
          </w:p>
        </w:tc>
        <w:tc>
          <w:tcPr>
            <w:tcW w:w="1714" w:type="dxa"/>
            <w:noWrap w:val="0"/>
            <w:vAlign w:val="center"/>
          </w:tcPr>
          <w:p w14:paraId="3DEDC9BE">
            <w:pPr>
              <w:snapToGrid w:val="0"/>
              <w:spacing w:line="300" w:lineRule="auto"/>
              <w:jc w:val="center"/>
              <w:rPr>
                <w:rFonts w:ascii="仿宋" w:hAnsi="仿宋" w:eastAsia="仿宋" w:cs="仿宋"/>
                <w:color w:val="auto"/>
                <w:spacing w:val="20"/>
                <w:highlight w:val="none"/>
              </w:rPr>
            </w:pPr>
          </w:p>
        </w:tc>
        <w:tc>
          <w:tcPr>
            <w:tcW w:w="1355" w:type="dxa"/>
            <w:noWrap w:val="0"/>
            <w:vAlign w:val="center"/>
          </w:tcPr>
          <w:p w14:paraId="294CC6A5">
            <w:pPr>
              <w:snapToGrid w:val="0"/>
              <w:spacing w:line="300" w:lineRule="auto"/>
              <w:jc w:val="center"/>
              <w:rPr>
                <w:rFonts w:ascii="仿宋" w:hAnsi="仿宋" w:eastAsia="仿宋" w:cs="仿宋"/>
                <w:color w:val="auto"/>
                <w:spacing w:val="20"/>
                <w:highlight w:val="none"/>
              </w:rPr>
            </w:pPr>
          </w:p>
        </w:tc>
        <w:tc>
          <w:tcPr>
            <w:tcW w:w="902" w:type="dxa"/>
            <w:noWrap w:val="0"/>
            <w:vAlign w:val="center"/>
          </w:tcPr>
          <w:p w14:paraId="3E04F8F2">
            <w:pPr>
              <w:snapToGrid w:val="0"/>
              <w:spacing w:line="300" w:lineRule="auto"/>
              <w:jc w:val="center"/>
              <w:rPr>
                <w:rFonts w:ascii="仿宋" w:hAnsi="仿宋" w:eastAsia="仿宋" w:cs="仿宋"/>
                <w:color w:val="auto"/>
                <w:spacing w:val="20"/>
                <w:highlight w:val="none"/>
              </w:rPr>
            </w:pPr>
          </w:p>
        </w:tc>
      </w:tr>
      <w:tr w14:paraId="11AABB93">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812" w:type="dxa"/>
            <w:noWrap w:val="0"/>
            <w:vAlign w:val="center"/>
          </w:tcPr>
          <w:p w14:paraId="3D769D97">
            <w:pPr>
              <w:snapToGrid w:val="0"/>
              <w:spacing w:line="300" w:lineRule="auto"/>
              <w:jc w:val="center"/>
              <w:rPr>
                <w:rFonts w:ascii="仿宋" w:hAnsi="仿宋" w:eastAsia="仿宋" w:cs="仿宋"/>
                <w:color w:val="auto"/>
                <w:spacing w:val="20"/>
                <w:highlight w:val="none"/>
              </w:rPr>
            </w:pPr>
          </w:p>
        </w:tc>
        <w:tc>
          <w:tcPr>
            <w:tcW w:w="1355" w:type="dxa"/>
            <w:noWrap w:val="0"/>
            <w:vAlign w:val="center"/>
          </w:tcPr>
          <w:p w14:paraId="64485398">
            <w:pPr>
              <w:snapToGrid w:val="0"/>
              <w:spacing w:line="300" w:lineRule="auto"/>
              <w:jc w:val="center"/>
              <w:rPr>
                <w:rFonts w:ascii="仿宋" w:hAnsi="仿宋" w:eastAsia="仿宋" w:cs="仿宋"/>
                <w:color w:val="auto"/>
                <w:spacing w:val="20"/>
                <w:highlight w:val="none"/>
              </w:rPr>
            </w:pPr>
          </w:p>
        </w:tc>
        <w:tc>
          <w:tcPr>
            <w:tcW w:w="1806" w:type="dxa"/>
            <w:noWrap w:val="0"/>
            <w:vAlign w:val="center"/>
          </w:tcPr>
          <w:p w14:paraId="3EE1985F">
            <w:pPr>
              <w:snapToGrid w:val="0"/>
              <w:spacing w:line="300" w:lineRule="auto"/>
              <w:jc w:val="center"/>
              <w:rPr>
                <w:rFonts w:ascii="仿宋" w:hAnsi="仿宋" w:eastAsia="仿宋" w:cs="仿宋"/>
                <w:color w:val="auto"/>
                <w:spacing w:val="20"/>
                <w:highlight w:val="none"/>
              </w:rPr>
            </w:pPr>
          </w:p>
        </w:tc>
        <w:tc>
          <w:tcPr>
            <w:tcW w:w="1673" w:type="dxa"/>
            <w:noWrap w:val="0"/>
            <w:vAlign w:val="center"/>
          </w:tcPr>
          <w:p w14:paraId="2AB268E5">
            <w:pPr>
              <w:snapToGrid w:val="0"/>
              <w:spacing w:line="300" w:lineRule="auto"/>
              <w:jc w:val="center"/>
              <w:rPr>
                <w:rFonts w:ascii="仿宋" w:hAnsi="仿宋" w:eastAsia="仿宋" w:cs="仿宋"/>
                <w:color w:val="auto"/>
                <w:spacing w:val="20"/>
                <w:highlight w:val="none"/>
              </w:rPr>
            </w:pPr>
          </w:p>
        </w:tc>
        <w:tc>
          <w:tcPr>
            <w:tcW w:w="1714" w:type="dxa"/>
            <w:noWrap w:val="0"/>
            <w:vAlign w:val="center"/>
          </w:tcPr>
          <w:p w14:paraId="280631BB">
            <w:pPr>
              <w:snapToGrid w:val="0"/>
              <w:spacing w:line="300" w:lineRule="auto"/>
              <w:jc w:val="center"/>
              <w:rPr>
                <w:rFonts w:ascii="仿宋" w:hAnsi="仿宋" w:eastAsia="仿宋" w:cs="仿宋"/>
                <w:color w:val="auto"/>
                <w:spacing w:val="20"/>
                <w:highlight w:val="none"/>
              </w:rPr>
            </w:pPr>
          </w:p>
        </w:tc>
        <w:tc>
          <w:tcPr>
            <w:tcW w:w="1355" w:type="dxa"/>
            <w:noWrap w:val="0"/>
            <w:vAlign w:val="center"/>
          </w:tcPr>
          <w:p w14:paraId="2A06D5C1">
            <w:pPr>
              <w:snapToGrid w:val="0"/>
              <w:spacing w:line="300" w:lineRule="auto"/>
              <w:jc w:val="center"/>
              <w:rPr>
                <w:rFonts w:ascii="仿宋" w:hAnsi="仿宋" w:eastAsia="仿宋" w:cs="仿宋"/>
                <w:color w:val="auto"/>
                <w:spacing w:val="20"/>
                <w:highlight w:val="none"/>
              </w:rPr>
            </w:pPr>
          </w:p>
        </w:tc>
        <w:tc>
          <w:tcPr>
            <w:tcW w:w="902" w:type="dxa"/>
            <w:noWrap w:val="0"/>
            <w:vAlign w:val="center"/>
          </w:tcPr>
          <w:p w14:paraId="42305B62">
            <w:pPr>
              <w:snapToGrid w:val="0"/>
              <w:spacing w:line="300" w:lineRule="auto"/>
              <w:jc w:val="center"/>
              <w:rPr>
                <w:rFonts w:ascii="仿宋" w:hAnsi="仿宋" w:eastAsia="仿宋" w:cs="仿宋"/>
                <w:color w:val="auto"/>
                <w:spacing w:val="20"/>
                <w:highlight w:val="none"/>
              </w:rPr>
            </w:pPr>
          </w:p>
        </w:tc>
      </w:tr>
      <w:tr w14:paraId="2BBED50D">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812" w:type="dxa"/>
            <w:noWrap w:val="0"/>
            <w:vAlign w:val="center"/>
          </w:tcPr>
          <w:p w14:paraId="46A01C02">
            <w:pPr>
              <w:snapToGrid w:val="0"/>
              <w:spacing w:line="300" w:lineRule="auto"/>
              <w:jc w:val="center"/>
              <w:rPr>
                <w:rFonts w:ascii="仿宋" w:hAnsi="仿宋" w:eastAsia="仿宋" w:cs="仿宋"/>
                <w:color w:val="auto"/>
                <w:spacing w:val="20"/>
                <w:highlight w:val="none"/>
              </w:rPr>
            </w:pPr>
          </w:p>
        </w:tc>
        <w:tc>
          <w:tcPr>
            <w:tcW w:w="1355" w:type="dxa"/>
            <w:noWrap w:val="0"/>
            <w:vAlign w:val="center"/>
          </w:tcPr>
          <w:p w14:paraId="0C3FC533">
            <w:pPr>
              <w:snapToGrid w:val="0"/>
              <w:spacing w:line="300" w:lineRule="auto"/>
              <w:jc w:val="center"/>
              <w:rPr>
                <w:rFonts w:ascii="仿宋" w:hAnsi="仿宋" w:eastAsia="仿宋" w:cs="仿宋"/>
                <w:color w:val="auto"/>
                <w:spacing w:val="20"/>
                <w:highlight w:val="none"/>
              </w:rPr>
            </w:pPr>
          </w:p>
        </w:tc>
        <w:tc>
          <w:tcPr>
            <w:tcW w:w="1806" w:type="dxa"/>
            <w:noWrap w:val="0"/>
            <w:vAlign w:val="center"/>
          </w:tcPr>
          <w:p w14:paraId="4FD45047">
            <w:pPr>
              <w:snapToGrid w:val="0"/>
              <w:spacing w:line="300" w:lineRule="auto"/>
              <w:jc w:val="center"/>
              <w:rPr>
                <w:rFonts w:ascii="仿宋" w:hAnsi="仿宋" w:eastAsia="仿宋" w:cs="仿宋"/>
                <w:color w:val="auto"/>
                <w:spacing w:val="20"/>
                <w:highlight w:val="none"/>
              </w:rPr>
            </w:pPr>
          </w:p>
        </w:tc>
        <w:tc>
          <w:tcPr>
            <w:tcW w:w="1673" w:type="dxa"/>
            <w:noWrap w:val="0"/>
            <w:vAlign w:val="center"/>
          </w:tcPr>
          <w:p w14:paraId="50F66E46">
            <w:pPr>
              <w:snapToGrid w:val="0"/>
              <w:spacing w:line="300" w:lineRule="auto"/>
              <w:jc w:val="center"/>
              <w:rPr>
                <w:rFonts w:ascii="仿宋" w:hAnsi="仿宋" w:eastAsia="仿宋" w:cs="仿宋"/>
                <w:color w:val="auto"/>
                <w:spacing w:val="20"/>
                <w:highlight w:val="none"/>
              </w:rPr>
            </w:pPr>
          </w:p>
        </w:tc>
        <w:tc>
          <w:tcPr>
            <w:tcW w:w="1714" w:type="dxa"/>
            <w:noWrap w:val="0"/>
            <w:vAlign w:val="center"/>
          </w:tcPr>
          <w:p w14:paraId="40485779">
            <w:pPr>
              <w:snapToGrid w:val="0"/>
              <w:spacing w:line="300" w:lineRule="auto"/>
              <w:jc w:val="center"/>
              <w:rPr>
                <w:rFonts w:ascii="仿宋" w:hAnsi="仿宋" w:eastAsia="仿宋" w:cs="仿宋"/>
                <w:color w:val="auto"/>
                <w:spacing w:val="20"/>
                <w:highlight w:val="none"/>
              </w:rPr>
            </w:pPr>
          </w:p>
        </w:tc>
        <w:tc>
          <w:tcPr>
            <w:tcW w:w="1355" w:type="dxa"/>
            <w:noWrap w:val="0"/>
            <w:vAlign w:val="center"/>
          </w:tcPr>
          <w:p w14:paraId="562B265C">
            <w:pPr>
              <w:snapToGrid w:val="0"/>
              <w:spacing w:line="300" w:lineRule="auto"/>
              <w:jc w:val="center"/>
              <w:rPr>
                <w:rFonts w:ascii="仿宋" w:hAnsi="仿宋" w:eastAsia="仿宋" w:cs="仿宋"/>
                <w:color w:val="auto"/>
                <w:spacing w:val="20"/>
                <w:highlight w:val="none"/>
              </w:rPr>
            </w:pPr>
          </w:p>
        </w:tc>
        <w:tc>
          <w:tcPr>
            <w:tcW w:w="902" w:type="dxa"/>
            <w:noWrap w:val="0"/>
            <w:vAlign w:val="center"/>
          </w:tcPr>
          <w:p w14:paraId="0339AB0D">
            <w:pPr>
              <w:snapToGrid w:val="0"/>
              <w:spacing w:line="300" w:lineRule="auto"/>
              <w:jc w:val="center"/>
              <w:rPr>
                <w:rFonts w:ascii="仿宋" w:hAnsi="仿宋" w:eastAsia="仿宋" w:cs="仿宋"/>
                <w:color w:val="auto"/>
                <w:spacing w:val="20"/>
                <w:highlight w:val="none"/>
              </w:rPr>
            </w:pPr>
          </w:p>
        </w:tc>
      </w:tr>
    </w:tbl>
    <w:p w14:paraId="309D3B95">
      <w:pPr>
        <w:snapToGrid w:val="0"/>
        <w:spacing w:line="300" w:lineRule="auto"/>
        <w:rPr>
          <w:rFonts w:ascii="仿宋" w:hAnsi="仿宋" w:eastAsia="仿宋" w:cs="仿宋"/>
          <w:color w:val="auto"/>
          <w:highlight w:val="none"/>
        </w:rPr>
      </w:pPr>
    </w:p>
    <w:p w14:paraId="36F6361D">
      <w:pPr>
        <w:pStyle w:val="15"/>
        <w:snapToGrid w:val="0"/>
        <w:spacing w:line="360" w:lineRule="auto"/>
        <w:ind w:firstLine="480" w:firstLineChars="2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投标供应商全称：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（公章/电子签名）</w:t>
      </w:r>
    </w:p>
    <w:p w14:paraId="7F2FBC88">
      <w:pPr>
        <w:snapToGrid w:val="0"/>
        <w:spacing w:line="30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6A942F1B">
      <w:pPr>
        <w:snapToGrid w:val="0"/>
        <w:spacing w:line="300" w:lineRule="auto"/>
        <w:ind w:firstLine="422" w:firstLineChars="200"/>
        <w:rPr>
          <w:rFonts w:ascii="仿宋" w:hAnsi="仿宋" w:eastAsia="仿宋" w:cs="仿宋"/>
          <w:b/>
          <w:iCs/>
          <w:color w:val="auto"/>
          <w:kern w:val="0"/>
          <w:szCs w:val="21"/>
          <w:highlight w:val="none"/>
        </w:rPr>
      </w:pPr>
    </w:p>
    <w:p w14:paraId="520EB1D4">
      <w:pPr>
        <w:snapToGrid w:val="0"/>
        <w:spacing w:line="300" w:lineRule="auto"/>
        <w:ind w:firstLine="422" w:firstLineChars="200"/>
        <w:rPr>
          <w:rFonts w:ascii="仿宋" w:hAnsi="仿宋" w:eastAsia="仿宋" w:cs="仿宋"/>
          <w:b/>
          <w:iCs/>
          <w:color w:val="auto"/>
          <w:kern w:val="0"/>
          <w:szCs w:val="21"/>
          <w:highlight w:val="none"/>
        </w:rPr>
      </w:pPr>
    </w:p>
    <w:p w14:paraId="7C3958DF">
      <w:pPr>
        <w:snapToGrid w:val="0"/>
        <w:spacing w:line="300" w:lineRule="auto"/>
        <w:ind w:firstLine="422" w:firstLineChars="200"/>
        <w:rPr>
          <w:rFonts w:ascii="仿宋" w:hAnsi="仿宋" w:eastAsia="仿宋" w:cs="仿宋"/>
          <w:b/>
          <w:iCs/>
          <w:color w:val="auto"/>
          <w:kern w:val="0"/>
          <w:szCs w:val="21"/>
          <w:highlight w:val="none"/>
        </w:rPr>
      </w:pPr>
    </w:p>
    <w:p w14:paraId="5B4FFF76">
      <w:pPr>
        <w:snapToGrid w:val="0"/>
        <w:spacing w:line="300" w:lineRule="auto"/>
        <w:ind w:firstLine="422" w:firstLineChars="200"/>
        <w:rPr>
          <w:rFonts w:ascii="仿宋" w:hAnsi="仿宋" w:eastAsia="仿宋" w:cs="仿宋"/>
          <w:b/>
          <w:iCs/>
          <w:color w:val="auto"/>
          <w:kern w:val="0"/>
          <w:szCs w:val="21"/>
          <w:highlight w:val="none"/>
        </w:rPr>
      </w:pPr>
    </w:p>
    <w:p w14:paraId="46C7BFCF">
      <w:pPr>
        <w:snapToGrid w:val="0"/>
        <w:spacing w:line="300" w:lineRule="auto"/>
        <w:ind w:firstLine="422" w:firstLineChars="200"/>
        <w:rPr>
          <w:rFonts w:ascii="仿宋" w:hAnsi="仿宋" w:eastAsia="仿宋" w:cs="仿宋"/>
          <w:b/>
          <w:bCs/>
          <w:color w:val="auto"/>
          <w:highlight w:val="none"/>
        </w:rPr>
      </w:pPr>
      <w:r>
        <w:rPr>
          <w:rFonts w:hint="eastAsia" w:ascii="仿宋" w:hAnsi="仿宋" w:eastAsia="仿宋" w:cs="仿宋"/>
          <w:b/>
          <w:iCs/>
          <w:color w:val="auto"/>
          <w:kern w:val="0"/>
          <w:szCs w:val="21"/>
          <w:highlight w:val="none"/>
        </w:rPr>
        <w:t>『编制说明』</w:t>
      </w:r>
      <w:r>
        <w:rPr>
          <w:rFonts w:hint="eastAsia" w:ascii="仿宋" w:hAnsi="仿宋" w:eastAsia="仿宋" w:cs="仿宋"/>
          <w:b/>
          <w:bCs/>
          <w:color w:val="auto"/>
          <w:highlight w:val="none"/>
        </w:rPr>
        <w:t>：</w:t>
      </w:r>
    </w:p>
    <w:p w14:paraId="2C43F4F0">
      <w:pPr>
        <w:snapToGrid w:val="0"/>
        <w:spacing w:line="30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1）此表仅提供了格式，表格不够可自行增加。</w:t>
      </w:r>
    </w:p>
    <w:p w14:paraId="67A13A17">
      <w:pPr>
        <w:snapToGrid w:val="0"/>
        <w:spacing w:line="30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3）表后附合同扫描件。</w:t>
      </w:r>
    </w:p>
    <w:p w14:paraId="6B73F921">
      <w:pPr>
        <w:rPr>
          <w:rFonts w:ascii="仿宋" w:hAnsi="仿宋" w:eastAsia="仿宋" w:cs="仿宋"/>
          <w:bCs/>
          <w:color w:val="auto"/>
          <w:highlight w:val="none"/>
        </w:rPr>
      </w:pPr>
      <w:r>
        <w:rPr>
          <w:rFonts w:hint="eastAsia" w:ascii="仿宋" w:hAnsi="仿宋" w:eastAsia="仿宋" w:cs="仿宋"/>
          <w:bCs/>
          <w:color w:val="auto"/>
          <w:highlight w:val="none"/>
        </w:rPr>
        <w:br w:type="page"/>
      </w:r>
    </w:p>
    <w:p w14:paraId="47012814">
      <w:pPr>
        <w:outlineLvl w:val="3"/>
        <w:rPr>
          <w:rFonts w:hint="eastAsia" w:ascii="仿宋" w:hAnsi="仿宋" w:eastAsia="仿宋" w:cs="仿宋"/>
          <w:color w:val="auto"/>
          <w:highlight w:val="none"/>
        </w:rPr>
      </w:pPr>
      <w:r>
        <w:rPr>
          <w:rFonts w:hint="eastAsia" w:ascii="仿宋" w:hAnsi="仿宋" w:eastAsia="仿宋" w:cs="仿宋"/>
          <w:color w:val="auto"/>
          <w:highlight w:val="none"/>
        </w:rPr>
        <w:t>1.2投标供应商人员配备情况（根据评分内容编写人员安排情况）</w:t>
      </w:r>
    </w:p>
    <w:p w14:paraId="6A975FF1">
      <w:pPr>
        <w:rPr>
          <w:rFonts w:hint="eastAsia" w:ascii="仿宋" w:hAnsi="仿宋" w:eastAsia="仿宋" w:cs="仿宋"/>
          <w:b/>
          <w:color w:val="auto"/>
          <w:sz w:val="24"/>
          <w:highlight w:val="none"/>
        </w:rPr>
      </w:pPr>
    </w:p>
    <w:p w14:paraId="085BCCC9">
      <w:pPr>
        <w:pStyle w:val="28"/>
        <w:spacing w:before="120" w:after="120" w:line="360" w:lineRule="auto"/>
        <w:jc w:val="center"/>
        <w:rPr>
          <w:rFonts w:hint="eastAsia" w:ascii="仿宋" w:hAnsi="仿宋" w:eastAsia="仿宋" w:cs="仿宋"/>
          <w:color w:val="auto"/>
          <w:sz w:val="24"/>
          <w:szCs w:val="24"/>
          <w:highlight w:val="none"/>
          <w:lang w:val="zh-TW" w:eastAsia="zh-TW"/>
        </w:rPr>
      </w:pPr>
      <w:r>
        <w:rPr>
          <w:rFonts w:hint="eastAsia" w:ascii="仿宋" w:hAnsi="仿宋" w:eastAsia="仿宋" w:cs="仿宋"/>
          <w:color w:val="auto"/>
          <w:sz w:val="24"/>
          <w:szCs w:val="24"/>
          <w:highlight w:val="none"/>
        </w:rPr>
        <w:t>投入本项目团队人员情况表</w:t>
      </w:r>
      <w:r>
        <w:rPr>
          <w:rFonts w:hint="eastAsia" w:ascii="仿宋" w:hAnsi="仿宋" w:eastAsia="仿宋" w:cs="仿宋"/>
          <w:color w:val="auto"/>
          <w:sz w:val="24"/>
          <w:szCs w:val="24"/>
          <w:highlight w:val="none"/>
          <w:lang w:val="zh-TW" w:eastAsia="zh-TW"/>
        </w:rPr>
        <w:t>（参考格式）</w:t>
      </w:r>
    </w:p>
    <w:p w14:paraId="6364CD64">
      <w:pPr>
        <w:snapToGrid w:val="0"/>
        <w:spacing w:line="30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lang w:eastAsia="zh-CN"/>
        </w:rPr>
        <w:t>杭州市生态环境局拱墅分局</w:t>
      </w:r>
    </w:p>
    <w:p w14:paraId="63C1BCBE">
      <w:pPr>
        <w:snapToGrid w:val="0"/>
        <w:spacing w:line="30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项目名称：</w:t>
      </w:r>
      <w:r>
        <w:rPr>
          <w:rFonts w:hint="eastAsia" w:ascii="仿宋" w:hAnsi="仿宋" w:eastAsia="仿宋" w:cs="宋体"/>
          <w:color w:val="auto"/>
          <w:sz w:val="24"/>
          <w:highlight w:val="none"/>
          <w:lang w:eastAsia="zh-CN"/>
        </w:rPr>
        <w:t>“清净”拱墅多污染协同管控工程建设项目</w:t>
      </w:r>
    </w:p>
    <w:p w14:paraId="5EE72F72">
      <w:pPr>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项目编号：</w:t>
      </w:r>
      <w:r>
        <w:rPr>
          <w:rFonts w:hint="eastAsia" w:ascii="仿宋" w:hAnsi="仿宋" w:eastAsia="仿宋" w:cs="宋体"/>
          <w:color w:val="auto"/>
          <w:sz w:val="24"/>
          <w:highlight w:val="none"/>
          <w:lang w:eastAsia="zh-CN"/>
        </w:rPr>
        <w:t>ZJWS2025--GS01</w:t>
      </w:r>
      <w:r>
        <w:rPr>
          <w:rFonts w:hint="eastAsia" w:ascii="仿宋" w:hAnsi="仿宋" w:eastAsia="仿宋" w:cs="仿宋"/>
          <w:color w:val="auto"/>
          <w:sz w:val="24"/>
          <w:highlight w:val="none"/>
        </w:rPr>
        <w:t xml:space="preserve">     </w:t>
      </w:r>
    </w:p>
    <w:tbl>
      <w:tblPr>
        <w:tblStyle w:val="23"/>
        <w:tblpPr w:leftFromText="180" w:rightFromText="180" w:vertAnchor="text" w:horzAnchor="page" w:tblpX="1312" w:tblpY="509"/>
        <w:tblOverlap w:val="never"/>
        <w:tblW w:w="9627" w:type="dxa"/>
        <w:tblInd w:w="0" w:type="dxa"/>
        <w:tblBorders>
          <w:top w:val="triple" w:color="000000" w:sz="2" w:space="0"/>
          <w:left w:val="triple" w:color="000000" w:sz="2" w:space="0"/>
          <w:bottom w:val="triple" w:color="000000" w:sz="2" w:space="0"/>
          <w:right w:val="triple" w:color="000000" w:sz="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
      <w:tblGrid>
        <w:gridCol w:w="575"/>
        <w:gridCol w:w="864"/>
        <w:gridCol w:w="761"/>
        <w:gridCol w:w="795"/>
        <w:gridCol w:w="2249"/>
        <w:gridCol w:w="1240"/>
        <w:gridCol w:w="1768"/>
        <w:gridCol w:w="1375"/>
      </w:tblGrid>
      <w:tr w14:paraId="0F1F80C3">
        <w:tblPrEx>
          <w:tblBorders>
            <w:top w:val="triple" w:color="000000" w:sz="2" w:space="0"/>
            <w:left w:val="triple" w:color="000000" w:sz="2" w:space="0"/>
            <w:bottom w:val="triple" w:color="000000" w:sz="2" w:space="0"/>
            <w:right w:val="triple" w:color="000000" w:sz="2"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75" w:type="dxa"/>
            <w:tcBorders>
              <w:tl2br w:val="nil"/>
              <w:tr2bl w:val="nil"/>
            </w:tcBorders>
            <w:shd w:val="clear" w:color="auto" w:fill="FFFFFF"/>
            <w:noWrap w:val="0"/>
            <w:tcMar>
              <w:top w:w="80" w:type="dxa"/>
              <w:left w:w="80" w:type="dxa"/>
              <w:bottom w:w="80" w:type="dxa"/>
              <w:right w:w="80" w:type="dxa"/>
            </w:tcMar>
            <w:vAlign w:val="center"/>
          </w:tcPr>
          <w:p w14:paraId="58929EE7">
            <w:pPr>
              <w:pStyle w:val="28"/>
              <w:jc w:val="center"/>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序号</w:t>
            </w:r>
          </w:p>
        </w:tc>
        <w:tc>
          <w:tcPr>
            <w:tcW w:w="864" w:type="dxa"/>
            <w:tcBorders>
              <w:tl2br w:val="nil"/>
              <w:tr2bl w:val="nil"/>
            </w:tcBorders>
            <w:shd w:val="clear" w:color="auto" w:fill="FFFFFF"/>
            <w:noWrap w:val="0"/>
            <w:tcMar>
              <w:top w:w="80" w:type="dxa"/>
              <w:left w:w="80" w:type="dxa"/>
              <w:bottom w:w="80" w:type="dxa"/>
              <w:right w:w="80" w:type="dxa"/>
            </w:tcMar>
            <w:vAlign w:val="center"/>
          </w:tcPr>
          <w:p w14:paraId="580E3714">
            <w:pPr>
              <w:pStyle w:val="28"/>
              <w:jc w:val="center"/>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姓  名</w:t>
            </w:r>
          </w:p>
        </w:tc>
        <w:tc>
          <w:tcPr>
            <w:tcW w:w="761" w:type="dxa"/>
            <w:tcBorders>
              <w:tl2br w:val="nil"/>
              <w:tr2bl w:val="nil"/>
            </w:tcBorders>
            <w:shd w:val="clear" w:color="auto" w:fill="FFFFFF"/>
            <w:noWrap w:val="0"/>
            <w:tcMar>
              <w:top w:w="80" w:type="dxa"/>
              <w:left w:w="80" w:type="dxa"/>
              <w:bottom w:w="80" w:type="dxa"/>
              <w:right w:w="80" w:type="dxa"/>
            </w:tcMar>
            <w:vAlign w:val="center"/>
          </w:tcPr>
          <w:p w14:paraId="27448FFC">
            <w:pPr>
              <w:pStyle w:val="28"/>
              <w:jc w:val="center"/>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性  别</w:t>
            </w:r>
          </w:p>
        </w:tc>
        <w:tc>
          <w:tcPr>
            <w:tcW w:w="795" w:type="dxa"/>
            <w:tcBorders>
              <w:tl2br w:val="nil"/>
              <w:tr2bl w:val="nil"/>
            </w:tcBorders>
            <w:shd w:val="clear" w:color="auto" w:fill="FFFFFF"/>
            <w:noWrap w:val="0"/>
            <w:tcMar>
              <w:top w:w="80" w:type="dxa"/>
              <w:left w:w="80" w:type="dxa"/>
              <w:bottom w:w="80" w:type="dxa"/>
              <w:right w:w="80" w:type="dxa"/>
            </w:tcMar>
            <w:vAlign w:val="center"/>
          </w:tcPr>
          <w:p w14:paraId="4EBD5F55">
            <w:pPr>
              <w:pStyle w:val="28"/>
              <w:jc w:val="center"/>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年  龄</w:t>
            </w:r>
          </w:p>
        </w:tc>
        <w:tc>
          <w:tcPr>
            <w:tcW w:w="2249" w:type="dxa"/>
            <w:tcBorders>
              <w:tl2br w:val="nil"/>
              <w:tr2bl w:val="nil"/>
            </w:tcBorders>
            <w:shd w:val="clear" w:color="auto" w:fill="FFFFFF"/>
            <w:noWrap w:val="0"/>
            <w:tcMar>
              <w:top w:w="80" w:type="dxa"/>
              <w:left w:w="80" w:type="dxa"/>
              <w:bottom w:w="80" w:type="dxa"/>
              <w:right w:w="80" w:type="dxa"/>
            </w:tcMar>
            <w:vAlign w:val="center"/>
          </w:tcPr>
          <w:p w14:paraId="7F8D63A4">
            <w:pPr>
              <w:pStyle w:val="28"/>
              <w:jc w:val="center"/>
              <w:rPr>
                <w:rFonts w:hint="eastAsia" w:ascii="仿宋" w:hAnsi="仿宋" w:eastAsia="仿宋" w:cs="仿宋"/>
                <w:color w:val="auto"/>
                <w:highlight w:val="none"/>
              </w:rPr>
            </w:pPr>
            <w:r>
              <w:rPr>
                <w:rFonts w:hint="eastAsia" w:ascii="仿宋" w:hAnsi="仿宋" w:eastAsia="仿宋" w:cs="仿宋"/>
                <w:color w:val="auto"/>
                <w:highlight w:val="none"/>
              </w:rPr>
              <w:t>资质证书</w:t>
            </w:r>
          </w:p>
        </w:tc>
        <w:tc>
          <w:tcPr>
            <w:tcW w:w="1240" w:type="dxa"/>
            <w:tcBorders>
              <w:tl2br w:val="nil"/>
              <w:tr2bl w:val="nil"/>
            </w:tcBorders>
            <w:shd w:val="clear" w:color="auto" w:fill="FFFFFF"/>
            <w:noWrap w:val="0"/>
            <w:tcMar>
              <w:top w:w="80" w:type="dxa"/>
              <w:left w:w="80" w:type="dxa"/>
              <w:bottom w:w="80" w:type="dxa"/>
              <w:right w:w="80" w:type="dxa"/>
            </w:tcMar>
            <w:vAlign w:val="center"/>
          </w:tcPr>
          <w:p w14:paraId="3A65EFC7">
            <w:pPr>
              <w:pStyle w:val="28"/>
              <w:jc w:val="center"/>
              <w:rPr>
                <w:rFonts w:hint="eastAsia" w:ascii="仿宋" w:hAnsi="仿宋" w:eastAsia="仿宋" w:cs="仿宋"/>
                <w:color w:val="auto"/>
                <w:highlight w:val="none"/>
              </w:rPr>
            </w:pPr>
            <w:r>
              <w:rPr>
                <w:rFonts w:hint="eastAsia" w:ascii="仿宋" w:hAnsi="仿宋" w:eastAsia="仿宋" w:cs="仿宋"/>
                <w:color w:val="auto"/>
                <w:highlight w:val="none"/>
              </w:rPr>
              <w:t>从业年限</w:t>
            </w:r>
          </w:p>
        </w:tc>
        <w:tc>
          <w:tcPr>
            <w:tcW w:w="1768" w:type="dxa"/>
            <w:tcBorders>
              <w:tl2br w:val="nil"/>
              <w:tr2bl w:val="nil"/>
            </w:tcBorders>
            <w:shd w:val="clear" w:color="auto" w:fill="FFFFFF"/>
            <w:noWrap w:val="0"/>
            <w:tcMar>
              <w:top w:w="80" w:type="dxa"/>
              <w:left w:w="80" w:type="dxa"/>
              <w:bottom w:w="80" w:type="dxa"/>
              <w:right w:w="80" w:type="dxa"/>
            </w:tcMar>
            <w:vAlign w:val="center"/>
          </w:tcPr>
          <w:p w14:paraId="4CC962B3">
            <w:pPr>
              <w:pStyle w:val="28"/>
              <w:jc w:val="center"/>
              <w:rPr>
                <w:rFonts w:hint="eastAsia" w:ascii="仿宋" w:hAnsi="仿宋" w:eastAsia="仿宋" w:cs="仿宋"/>
                <w:color w:val="auto"/>
                <w:highlight w:val="none"/>
              </w:rPr>
            </w:pPr>
            <w:r>
              <w:rPr>
                <w:rFonts w:hint="eastAsia" w:ascii="仿宋" w:hAnsi="仿宋" w:eastAsia="仿宋" w:cs="仿宋"/>
                <w:color w:val="auto"/>
                <w:highlight w:val="none"/>
              </w:rPr>
              <w:t>担任</w:t>
            </w:r>
            <w:r>
              <w:rPr>
                <w:rFonts w:hint="eastAsia" w:ascii="仿宋" w:hAnsi="仿宋" w:eastAsia="仿宋" w:cs="仿宋"/>
                <w:color w:val="auto"/>
                <w:highlight w:val="none"/>
                <w:lang w:val="zh-TW" w:eastAsia="zh-TW"/>
              </w:rPr>
              <w:t>岗位</w:t>
            </w:r>
          </w:p>
        </w:tc>
        <w:tc>
          <w:tcPr>
            <w:tcW w:w="1375" w:type="dxa"/>
            <w:tcBorders>
              <w:tl2br w:val="nil"/>
              <w:tr2bl w:val="nil"/>
            </w:tcBorders>
            <w:shd w:val="clear" w:color="auto" w:fill="FFFFFF"/>
            <w:noWrap w:val="0"/>
            <w:tcMar>
              <w:top w:w="80" w:type="dxa"/>
              <w:left w:w="80" w:type="dxa"/>
              <w:bottom w:w="80" w:type="dxa"/>
              <w:right w:w="80" w:type="dxa"/>
            </w:tcMar>
            <w:vAlign w:val="center"/>
          </w:tcPr>
          <w:p w14:paraId="3D035EFB">
            <w:pPr>
              <w:pStyle w:val="28"/>
              <w:jc w:val="center"/>
              <w:rPr>
                <w:rFonts w:hint="eastAsia" w:ascii="仿宋" w:hAnsi="仿宋" w:eastAsia="仿宋" w:cs="仿宋"/>
                <w:color w:val="auto"/>
                <w:highlight w:val="none"/>
              </w:rPr>
            </w:pPr>
            <w:r>
              <w:rPr>
                <w:rFonts w:hint="eastAsia" w:ascii="仿宋" w:hAnsi="仿宋" w:eastAsia="仿宋" w:cs="仿宋"/>
                <w:color w:val="auto"/>
                <w:highlight w:val="none"/>
              </w:rPr>
              <w:t>证明材料</w:t>
            </w:r>
          </w:p>
          <w:p w14:paraId="74F94BEC">
            <w:pPr>
              <w:pStyle w:val="28"/>
              <w:jc w:val="center"/>
              <w:rPr>
                <w:rFonts w:hint="eastAsia" w:ascii="仿宋" w:hAnsi="仿宋" w:eastAsia="仿宋" w:cs="仿宋"/>
                <w:color w:val="auto"/>
                <w:highlight w:val="none"/>
              </w:rPr>
            </w:pPr>
            <w:r>
              <w:rPr>
                <w:rFonts w:hint="eastAsia" w:ascii="仿宋" w:hAnsi="仿宋" w:eastAsia="仿宋" w:cs="仿宋"/>
                <w:color w:val="auto"/>
                <w:highlight w:val="none"/>
              </w:rPr>
              <w:t>对应页码</w:t>
            </w:r>
          </w:p>
        </w:tc>
      </w:tr>
      <w:tr w14:paraId="73E3E834">
        <w:tblPrEx>
          <w:tblBorders>
            <w:top w:val="triple" w:color="000000" w:sz="2" w:space="0"/>
            <w:left w:val="triple" w:color="000000" w:sz="2" w:space="0"/>
            <w:bottom w:val="triple" w:color="000000" w:sz="2" w:space="0"/>
            <w:right w:val="triple" w:color="000000" w:sz="2"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304" w:hRule="atLeast"/>
        </w:trPr>
        <w:tc>
          <w:tcPr>
            <w:tcW w:w="575" w:type="dxa"/>
            <w:tcBorders>
              <w:tl2br w:val="nil"/>
              <w:tr2bl w:val="nil"/>
            </w:tcBorders>
            <w:shd w:val="clear" w:color="auto" w:fill="FFFFFF"/>
            <w:noWrap w:val="0"/>
            <w:tcMar>
              <w:top w:w="80" w:type="dxa"/>
              <w:left w:w="80" w:type="dxa"/>
              <w:bottom w:w="80" w:type="dxa"/>
              <w:right w:w="80" w:type="dxa"/>
            </w:tcMar>
            <w:vAlign w:val="center"/>
          </w:tcPr>
          <w:p w14:paraId="5E4277CE">
            <w:pPr>
              <w:rPr>
                <w:rFonts w:hint="eastAsia" w:ascii="仿宋" w:hAnsi="仿宋" w:eastAsia="仿宋" w:cs="仿宋"/>
                <w:color w:val="auto"/>
                <w:szCs w:val="21"/>
                <w:highlight w:val="none"/>
              </w:rPr>
            </w:pPr>
          </w:p>
        </w:tc>
        <w:tc>
          <w:tcPr>
            <w:tcW w:w="864" w:type="dxa"/>
            <w:tcBorders>
              <w:tl2br w:val="nil"/>
              <w:tr2bl w:val="nil"/>
            </w:tcBorders>
            <w:shd w:val="clear" w:color="auto" w:fill="FFFFFF"/>
            <w:noWrap w:val="0"/>
            <w:tcMar>
              <w:top w:w="80" w:type="dxa"/>
              <w:left w:w="80" w:type="dxa"/>
              <w:bottom w:w="80" w:type="dxa"/>
              <w:right w:w="80" w:type="dxa"/>
            </w:tcMar>
            <w:vAlign w:val="center"/>
          </w:tcPr>
          <w:p w14:paraId="274C9CE0">
            <w:pPr>
              <w:rPr>
                <w:rFonts w:hint="eastAsia" w:ascii="仿宋" w:hAnsi="仿宋" w:eastAsia="仿宋" w:cs="仿宋"/>
                <w:color w:val="auto"/>
                <w:szCs w:val="21"/>
                <w:highlight w:val="none"/>
              </w:rPr>
            </w:pPr>
          </w:p>
        </w:tc>
        <w:tc>
          <w:tcPr>
            <w:tcW w:w="761" w:type="dxa"/>
            <w:tcBorders>
              <w:tl2br w:val="nil"/>
              <w:tr2bl w:val="nil"/>
            </w:tcBorders>
            <w:shd w:val="clear" w:color="auto" w:fill="FFFFFF"/>
            <w:noWrap w:val="0"/>
            <w:tcMar>
              <w:top w:w="80" w:type="dxa"/>
              <w:left w:w="80" w:type="dxa"/>
              <w:bottom w:w="80" w:type="dxa"/>
              <w:right w:w="80" w:type="dxa"/>
            </w:tcMar>
            <w:vAlign w:val="center"/>
          </w:tcPr>
          <w:p w14:paraId="011B7DE4">
            <w:pPr>
              <w:rPr>
                <w:rFonts w:hint="eastAsia" w:ascii="仿宋" w:hAnsi="仿宋" w:eastAsia="仿宋" w:cs="仿宋"/>
                <w:color w:val="auto"/>
                <w:szCs w:val="21"/>
                <w:highlight w:val="none"/>
              </w:rPr>
            </w:pPr>
          </w:p>
        </w:tc>
        <w:tc>
          <w:tcPr>
            <w:tcW w:w="795" w:type="dxa"/>
            <w:tcBorders>
              <w:tl2br w:val="nil"/>
              <w:tr2bl w:val="nil"/>
            </w:tcBorders>
            <w:shd w:val="clear" w:color="auto" w:fill="FFFFFF"/>
            <w:noWrap w:val="0"/>
            <w:tcMar>
              <w:top w:w="80" w:type="dxa"/>
              <w:left w:w="80" w:type="dxa"/>
              <w:bottom w:w="80" w:type="dxa"/>
              <w:right w:w="80" w:type="dxa"/>
            </w:tcMar>
            <w:vAlign w:val="center"/>
          </w:tcPr>
          <w:p w14:paraId="70E2A3B4">
            <w:pPr>
              <w:rPr>
                <w:rFonts w:hint="eastAsia" w:ascii="仿宋" w:hAnsi="仿宋" w:eastAsia="仿宋" w:cs="仿宋"/>
                <w:color w:val="auto"/>
                <w:szCs w:val="21"/>
                <w:highlight w:val="none"/>
              </w:rPr>
            </w:pPr>
          </w:p>
        </w:tc>
        <w:tc>
          <w:tcPr>
            <w:tcW w:w="2249" w:type="dxa"/>
            <w:tcBorders>
              <w:tl2br w:val="nil"/>
              <w:tr2bl w:val="nil"/>
            </w:tcBorders>
            <w:shd w:val="clear" w:color="auto" w:fill="FFFFFF"/>
            <w:noWrap w:val="0"/>
            <w:tcMar>
              <w:top w:w="80" w:type="dxa"/>
              <w:left w:w="80" w:type="dxa"/>
              <w:bottom w:w="80" w:type="dxa"/>
              <w:right w:w="80" w:type="dxa"/>
            </w:tcMar>
            <w:vAlign w:val="center"/>
          </w:tcPr>
          <w:p w14:paraId="1D3AA7B0">
            <w:pPr>
              <w:rPr>
                <w:rFonts w:hint="eastAsia" w:ascii="仿宋" w:hAnsi="仿宋" w:eastAsia="仿宋" w:cs="仿宋"/>
                <w:color w:val="auto"/>
                <w:szCs w:val="21"/>
                <w:highlight w:val="none"/>
              </w:rPr>
            </w:pPr>
          </w:p>
        </w:tc>
        <w:tc>
          <w:tcPr>
            <w:tcW w:w="1240" w:type="dxa"/>
            <w:tcBorders>
              <w:tl2br w:val="nil"/>
              <w:tr2bl w:val="nil"/>
            </w:tcBorders>
            <w:shd w:val="clear" w:color="auto" w:fill="FFFFFF"/>
            <w:noWrap w:val="0"/>
            <w:tcMar>
              <w:top w:w="80" w:type="dxa"/>
              <w:left w:w="80" w:type="dxa"/>
              <w:bottom w:w="80" w:type="dxa"/>
              <w:right w:w="80" w:type="dxa"/>
            </w:tcMar>
            <w:vAlign w:val="center"/>
          </w:tcPr>
          <w:p w14:paraId="7ECBFF25">
            <w:pPr>
              <w:rPr>
                <w:rFonts w:hint="eastAsia" w:ascii="仿宋" w:hAnsi="仿宋" w:eastAsia="仿宋" w:cs="仿宋"/>
                <w:color w:val="auto"/>
                <w:szCs w:val="21"/>
                <w:highlight w:val="none"/>
              </w:rPr>
            </w:pPr>
          </w:p>
        </w:tc>
        <w:tc>
          <w:tcPr>
            <w:tcW w:w="1768" w:type="dxa"/>
            <w:tcBorders>
              <w:tl2br w:val="nil"/>
              <w:tr2bl w:val="nil"/>
            </w:tcBorders>
            <w:shd w:val="clear" w:color="auto" w:fill="FFFFFF"/>
            <w:noWrap w:val="0"/>
            <w:tcMar>
              <w:top w:w="80" w:type="dxa"/>
              <w:left w:w="80" w:type="dxa"/>
              <w:bottom w:w="80" w:type="dxa"/>
              <w:right w:w="80" w:type="dxa"/>
            </w:tcMar>
            <w:vAlign w:val="center"/>
          </w:tcPr>
          <w:p w14:paraId="04952F01">
            <w:pPr>
              <w:rPr>
                <w:rFonts w:hint="eastAsia" w:ascii="仿宋" w:hAnsi="仿宋" w:eastAsia="仿宋" w:cs="仿宋"/>
                <w:color w:val="auto"/>
                <w:szCs w:val="21"/>
                <w:highlight w:val="none"/>
              </w:rPr>
            </w:pPr>
          </w:p>
        </w:tc>
        <w:tc>
          <w:tcPr>
            <w:tcW w:w="1375" w:type="dxa"/>
            <w:tcBorders>
              <w:tl2br w:val="nil"/>
              <w:tr2bl w:val="nil"/>
            </w:tcBorders>
            <w:shd w:val="clear" w:color="auto" w:fill="FFFFFF"/>
            <w:noWrap w:val="0"/>
            <w:tcMar>
              <w:top w:w="80" w:type="dxa"/>
              <w:left w:w="80" w:type="dxa"/>
              <w:bottom w:w="80" w:type="dxa"/>
              <w:right w:w="80" w:type="dxa"/>
            </w:tcMar>
            <w:vAlign w:val="center"/>
          </w:tcPr>
          <w:p w14:paraId="62B2F77B">
            <w:pPr>
              <w:rPr>
                <w:rFonts w:hint="eastAsia" w:ascii="仿宋" w:hAnsi="仿宋" w:eastAsia="仿宋" w:cs="仿宋"/>
                <w:color w:val="auto"/>
                <w:szCs w:val="21"/>
                <w:highlight w:val="none"/>
              </w:rPr>
            </w:pPr>
          </w:p>
        </w:tc>
      </w:tr>
      <w:tr w14:paraId="02A089F7">
        <w:tblPrEx>
          <w:tblBorders>
            <w:top w:val="triple" w:color="000000" w:sz="2" w:space="0"/>
            <w:left w:val="triple" w:color="000000" w:sz="2" w:space="0"/>
            <w:bottom w:val="triple" w:color="000000" w:sz="2" w:space="0"/>
            <w:right w:val="triple" w:color="000000" w:sz="2"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304" w:hRule="atLeast"/>
        </w:trPr>
        <w:tc>
          <w:tcPr>
            <w:tcW w:w="575" w:type="dxa"/>
            <w:tcBorders>
              <w:tl2br w:val="nil"/>
              <w:tr2bl w:val="nil"/>
            </w:tcBorders>
            <w:shd w:val="clear" w:color="auto" w:fill="FFFFFF"/>
            <w:noWrap w:val="0"/>
            <w:tcMar>
              <w:top w:w="80" w:type="dxa"/>
              <w:left w:w="80" w:type="dxa"/>
              <w:bottom w:w="80" w:type="dxa"/>
              <w:right w:w="80" w:type="dxa"/>
            </w:tcMar>
            <w:vAlign w:val="center"/>
          </w:tcPr>
          <w:p w14:paraId="043DE310">
            <w:pPr>
              <w:rPr>
                <w:rFonts w:hint="eastAsia" w:ascii="仿宋" w:hAnsi="仿宋" w:eastAsia="仿宋" w:cs="仿宋"/>
                <w:color w:val="auto"/>
                <w:szCs w:val="21"/>
                <w:highlight w:val="none"/>
              </w:rPr>
            </w:pPr>
          </w:p>
        </w:tc>
        <w:tc>
          <w:tcPr>
            <w:tcW w:w="864" w:type="dxa"/>
            <w:tcBorders>
              <w:tl2br w:val="nil"/>
              <w:tr2bl w:val="nil"/>
            </w:tcBorders>
            <w:shd w:val="clear" w:color="auto" w:fill="FFFFFF"/>
            <w:noWrap w:val="0"/>
            <w:tcMar>
              <w:top w:w="80" w:type="dxa"/>
              <w:left w:w="80" w:type="dxa"/>
              <w:bottom w:w="80" w:type="dxa"/>
              <w:right w:w="80" w:type="dxa"/>
            </w:tcMar>
            <w:vAlign w:val="center"/>
          </w:tcPr>
          <w:p w14:paraId="6F313166">
            <w:pPr>
              <w:rPr>
                <w:rFonts w:hint="eastAsia" w:ascii="仿宋" w:hAnsi="仿宋" w:eastAsia="仿宋" w:cs="仿宋"/>
                <w:color w:val="auto"/>
                <w:szCs w:val="21"/>
                <w:highlight w:val="none"/>
              </w:rPr>
            </w:pPr>
          </w:p>
        </w:tc>
        <w:tc>
          <w:tcPr>
            <w:tcW w:w="761" w:type="dxa"/>
            <w:tcBorders>
              <w:tl2br w:val="nil"/>
              <w:tr2bl w:val="nil"/>
            </w:tcBorders>
            <w:shd w:val="clear" w:color="auto" w:fill="FFFFFF"/>
            <w:noWrap w:val="0"/>
            <w:tcMar>
              <w:top w:w="80" w:type="dxa"/>
              <w:left w:w="80" w:type="dxa"/>
              <w:bottom w:w="80" w:type="dxa"/>
              <w:right w:w="80" w:type="dxa"/>
            </w:tcMar>
            <w:vAlign w:val="center"/>
          </w:tcPr>
          <w:p w14:paraId="60226048">
            <w:pPr>
              <w:rPr>
                <w:rFonts w:hint="eastAsia" w:ascii="仿宋" w:hAnsi="仿宋" w:eastAsia="仿宋" w:cs="仿宋"/>
                <w:color w:val="auto"/>
                <w:szCs w:val="21"/>
                <w:highlight w:val="none"/>
              </w:rPr>
            </w:pPr>
          </w:p>
        </w:tc>
        <w:tc>
          <w:tcPr>
            <w:tcW w:w="795" w:type="dxa"/>
            <w:tcBorders>
              <w:tl2br w:val="nil"/>
              <w:tr2bl w:val="nil"/>
            </w:tcBorders>
            <w:shd w:val="clear" w:color="auto" w:fill="FFFFFF"/>
            <w:noWrap w:val="0"/>
            <w:tcMar>
              <w:top w:w="80" w:type="dxa"/>
              <w:left w:w="80" w:type="dxa"/>
              <w:bottom w:w="80" w:type="dxa"/>
              <w:right w:w="80" w:type="dxa"/>
            </w:tcMar>
            <w:vAlign w:val="center"/>
          </w:tcPr>
          <w:p w14:paraId="68E7FD77">
            <w:pPr>
              <w:rPr>
                <w:rFonts w:hint="eastAsia" w:ascii="仿宋" w:hAnsi="仿宋" w:eastAsia="仿宋" w:cs="仿宋"/>
                <w:color w:val="auto"/>
                <w:szCs w:val="21"/>
                <w:highlight w:val="none"/>
              </w:rPr>
            </w:pPr>
          </w:p>
        </w:tc>
        <w:tc>
          <w:tcPr>
            <w:tcW w:w="2249" w:type="dxa"/>
            <w:tcBorders>
              <w:tl2br w:val="nil"/>
              <w:tr2bl w:val="nil"/>
            </w:tcBorders>
            <w:shd w:val="clear" w:color="auto" w:fill="FFFFFF"/>
            <w:noWrap w:val="0"/>
            <w:tcMar>
              <w:top w:w="80" w:type="dxa"/>
              <w:left w:w="80" w:type="dxa"/>
              <w:bottom w:w="80" w:type="dxa"/>
              <w:right w:w="80" w:type="dxa"/>
            </w:tcMar>
            <w:vAlign w:val="center"/>
          </w:tcPr>
          <w:p w14:paraId="41AE277A">
            <w:pPr>
              <w:rPr>
                <w:rFonts w:hint="eastAsia" w:ascii="仿宋" w:hAnsi="仿宋" w:eastAsia="仿宋" w:cs="仿宋"/>
                <w:color w:val="auto"/>
                <w:szCs w:val="21"/>
                <w:highlight w:val="none"/>
              </w:rPr>
            </w:pPr>
          </w:p>
        </w:tc>
        <w:tc>
          <w:tcPr>
            <w:tcW w:w="1240" w:type="dxa"/>
            <w:tcBorders>
              <w:tl2br w:val="nil"/>
              <w:tr2bl w:val="nil"/>
            </w:tcBorders>
            <w:shd w:val="clear" w:color="auto" w:fill="FFFFFF"/>
            <w:noWrap w:val="0"/>
            <w:tcMar>
              <w:top w:w="80" w:type="dxa"/>
              <w:left w:w="80" w:type="dxa"/>
              <w:bottom w:w="80" w:type="dxa"/>
              <w:right w:w="80" w:type="dxa"/>
            </w:tcMar>
            <w:vAlign w:val="center"/>
          </w:tcPr>
          <w:p w14:paraId="612AA679">
            <w:pPr>
              <w:rPr>
                <w:rFonts w:hint="eastAsia" w:ascii="仿宋" w:hAnsi="仿宋" w:eastAsia="仿宋" w:cs="仿宋"/>
                <w:color w:val="auto"/>
                <w:szCs w:val="21"/>
                <w:highlight w:val="none"/>
              </w:rPr>
            </w:pPr>
          </w:p>
        </w:tc>
        <w:tc>
          <w:tcPr>
            <w:tcW w:w="1768" w:type="dxa"/>
            <w:tcBorders>
              <w:tl2br w:val="nil"/>
              <w:tr2bl w:val="nil"/>
            </w:tcBorders>
            <w:shd w:val="clear" w:color="auto" w:fill="FFFFFF"/>
            <w:noWrap w:val="0"/>
            <w:tcMar>
              <w:top w:w="80" w:type="dxa"/>
              <w:left w:w="80" w:type="dxa"/>
              <w:bottom w:w="80" w:type="dxa"/>
              <w:right w:w="80" w:type="dxa"/>
            </w:tcMar>
            <w:vAlign w:val="center"/>
          </w:tcPr>
          <w:p w14:paraId="6E3656C0">
            <w:pPr>
              <w:rPr>
                <w:rFonts w:hint="eastAsia" w:ascii="仿宋" w:hAnsi="仿宋" w:eastAsia="仿宋" w:cs="仿宋"/>
                <w:color w:val="auto"/>
                <w:szCs w:val="21"/>
                <w:highlight w:val="none"/>
              </w:rPr>
            </w:pPr>
          </w:p>
        </w:tc>
        <w:tc>
          <w:tcPr>
            <w:tcW w:w="1375" w:type="dxa"/>
            <w:tcBorders>
              <w:tl2br w:val="nil"/>
              <w:tr2bl w:val="nil"/>
            </w:tcBorders>
            <w:shd w:val="clear" w:color="auto" w:fill="FFFFFF"/>
            <w:noWrap w:val="0"/>
            <w:tcMar>
              <w:top w:w="80" w:type="dxa"/>
              <w:left w:w="80" w:type="dxa"/>
              <w:bottom w:w="80" w:type="dxa"/>
              <w:right w:w="80" w:type="dxa"/>
            </w:tcMar>
            <w:vAlign w:val="center"/>
          </w:tcPr>
          <w:p w14:paraId="7D854969">
            <w:pPr>
              <w:rPr>
                <w:rFonts w:hint="eastAsia" w:ascii="仿宋" w:hAnsi="仿宋" w:eastAsia="仿宋" w:cs="仿宋"/>
                <w:color w:val="auto"/>
                <w:szCs w:val="21"/>
                <w:highlight w:val="none"/>
              </w:rPr>
            </w:pPr>
          </w:p>
        </w:tc>
      </w:tr>
      <w:tr w14:paraId="5046E304">
        <w:tblPrEx>
          <w:tblBorders>
            <w:top w:val="triple" w:color="000000" w:sz="2" w:space="0"/>
            <w:left w:val="triple" w:color="000000" w:sz="2" w:space="0"/>
            <w:bottom w:val="triple" w:color="000000" w:sz="2" w:space="0"/>
            <w:right w:val="triple" w:color="000000" w:sz="2"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575" w:type="dxa"/>
            <w:tcBorders>
              <w:tl2br w:val="nil"/>
              <w:tr2bl w:val="nil"/>
            </w:tcBorders>
            <w:shd w:val="clear" w:color="auto" w:fill="FFFFFF"/>
            <w:noWrap w:val="0"/>
            <w:tcMar>
              <w:top w:w="80" w:type="dxa"/>
              <w:left w:w="80" w:type="dxa"/>
              <w:bottom w:w="80" w:type="dxa"/>
              <w:right w:w="80" w:type="dxa"/>
            </w:tcMar>
            <w:vAlign w:val="center"/>
          </w:tcPr>
          <w:p w14:paraId="6984D6EE">
            <w:pPr>
              <w:rPr>
                <w:rFonts w:hint="eastAsia" w:ascii="仿宋" w:hAnsi="仿宋" w:eastAsia="仿宋" w:cs="仿宋"/>
                <w:color w:val="auto"/>
                <w:szCs w:val="21"/>
                <w:highlight w:val="none"/>
              </w:rPr>
            </w:pPr>
          </w:p>
        </w:tc>
        <w:tc>
          <w:tcPr>
            <w:tcW w:w="864" w:type="dxa"/>
            <w:tcBorders>
              <w:tl2br w:val="nil"/>
              <w:tr2bl w:val="nil"/>
            </w:tcBorders>
            <w:shd w:val="clear" w:color="auto" w:fill="FFFFFF"/>
            <w:noWrap w:val="0"/>
            <w:tcMar>
              <w:top w:w="80" w:type="dxa"/>
              <w:left w:w="80" w:type="dxa"/>
              <w:bottom w:w="80" w:type="dxa"/>
              <w:right w:w="80" w:type="dxa"/>
            </w:tcMar>
            <w:vAlign w:val="center"/>
          </w:tcPr>
          <w:p w14:paraId="6850466D">
            <w:pPr>
              <w:rPr>
                <w:rFonts w:hint="eastAsia" w:ascii="仿宋" w:hAnsi="仿宋" w:eastAsia="仿宋" w:cs="仿宋"/>
                <w:color w:val="auto"/>
                <w:szCs w:val="21"/>
                <w:highlight w:val="none"/>
              </w:rPr>
            </w:pPr>
          </w:p>
        </w:tc>
        <w:tc>
          <w:tcPr>
            <w:tcW w:w="761" w:type="dxa"/>
            <w:tcBorders>
              <w:tl2br w:val="nil"/>
              <w:tr2bl w:val="nil"/>
            </w:tcBorders>
            <w:shd w:val="clear" w:color="auto" w:fill="FFFFFF"/>
            <w:noWrap w:val="0"/>
            <w:tcMar>
              <w:top w:w="80" w:type="dxa"/>
              <w:left w:w="80" w:type="dxa"/>
              <w:bottom w:w="80" w:type="dxa"/>
              <w:right w:w="80" w:type="dxa"/>
            </w:tcMar>
            <w:vAlign w:val="center"/>
          </w:tcPr>
          <w:p w14:paraId="1598C7D6">
            <w:pPr>
              <w:rPr>
                <w:rFonts w:hint="eastAsia" w:ascii="仿宋" w:hAnsi="仿宋" w:eastAsia="仿宋" w:cs="仿宋"/>
                <w:color w:val="auto"/>
                <w:szCs w:val="21"/>
                <w:highlight w:val="none"/>
              </w:rPr>
            </w:pPr>
          </w:p>
        </w:tc>
        <w:tc>
          <w:tcPr>
            <w:tcW w:w="795" w:type="dxa"/>
            <w:tcBorders>
              <w:tl2br w:val="nil"/>
              <w:tr2bl w:val="nil"/>
            </w:tcBorders>
            <w:shd w:val="clear" w:color="auto" w:fill="FFFFFF"/>
            <w:noWrap w:val="0"/>
            <w:tcMar>
              <w:top w:w="80" w:type="dxa"/>
              <w:left w:w="80" w:type="dxa"/>
              <w:bottom w:w="80" w:type="dxa"/>
              <w:right w:w="80" w:type="dxa"/>
            </w:tcMar>
            <w:vAlign w:val="center"/>
          </w:tcPr>
          <w:p w14:paraId="18EBB4F1">
            <w:pPr>
              <w:rPr>
                <w:rFonts w:hint="eastAsia" w:ascii="仿宋" w:hAnsi="仿宋" w:eastAsia="仿宋" w:cs="仿宋"/>
                <w:color w:val="auto"/>
                <w:szCs w:val="21"/>
                <w:highlight w:val="none"/>
              </w:rPr>
            </w:pPr>
          </w:p>
        </w:tc>
        <w:tc>
          <w:tcPr>
            <w:tcW w:w="2249" w:type="dxa"/>
            <w:tcBorders>
              <w:tl2br w:val="nil"/>
              <w:tr2bl w:val="nil"/>
            </w:tcBorders>
            <w:shd w:val="clear" w:color="auto" w:fill="FFFFFF"/>
            <w:noWrap w:val="0"/>
            <w:tcMar>
              <w:top w:w="80" w:type="dxa"/>
              <w:left w:w="80" w:type="dxa"/>
              <w:bottom w:w="80" w:type="dxa"/>
              <w:right w:w="80" w:type="dxa"/>
            </w:tcMar>
            <w:vAlign w:val="center"/>
          </w:tcPr>
          <w:p w14:paraId="0FFD1BF9">
            <w:pPr>
              <w:rPr>
                <w:rFonts w:hint="eastAsia" w:ascii="仿宋" w:hAnsi="仿宋" w:eastAsia="仿宋" w:cs="仿宋"/>
                <w:color w:val="auto"/>
                <w:szCs w:val="21"/>
                <w:highlight w:val="none"/>
              </w:rPr>
            </w:pPr>
          </w:p>
        </w:tc>
        <w:tc>
          <w:tcPr>
            <w:tcW w:w="1240" w:type="dxa"/>
            <w:tcBorders>
              <w:tl2br w:val="nil"/>
              <w:tr2bl w:val="nil"/>
            </w:tcBorders>
            <w:shd w:val="clear" w:color="auto" w:fill="FFFFFF"/>
            <w:noWrap w:val="0"/>
            <w:tcMar>
              <w:top w:w="80" w:type="dxa"/>
              <w:left w:w="80" w:type="dxa"/>
              <w:bottom w:w="80" w:type="dxa"/>
              <w:right w:w="80" w:type="dxa"/>
            </w:tcMar>
            <w:vAlign w:val="center"/>
          </w:tcPr>
          <w:p w14:paraId="240C50B9">
            <w:pPr>
              <w:rPr>
                <w:rFonts w:hint="eastAsia" w:ascii="仿宋" w:hAnsi="仿宋" w:eastAsia="仿宋" w:cs="仿宋"/>
                <w:color w:val="auto"/>
                <w:szCs w:val="21"/>
                <w:highlight w:val="none"/>
              </w:rPr>
            </w:pPr>
          </w:p>
        </w:tc>
        <w:tc>
          <w:tcPr>
            <w:tcW w:w="1768" w:type="dxa"/>
            <w:tcBorders>
              <w:tl2br w:val="nil"/>
              <w:tr2bl w:val="nil"/>
            </w:tcBorders>
            <w:shd w:val="clear" w:color="auto" w:fill="FFFFFF"/>
            <w:noWrap w:val="0"/>
            <w:tcMar>
              <w:top w:w="80" w:type="dxa"/>
              <w:left w:w="80" w:type="dxa"/>
              <w:bottom w:w="80" w:type="dxa"/>
              <w:right w:w="80" w:type="dxa"/>
            </w:tcMar>
            <w:vAlign w:val="center"/>
          </w:tcPr>
          <w:p w14:paraId="192CCFDF">
            <w:pPr>
              <w:rPr>
                <w:rFonts w:hint="eastAsia" w:ascii="仿宋" w:hAnsi="仿宋" w:eastAsia="仿宋" w:cs="仿宋"/>
                <w:color w:val="auto"/>
                <w:szCs w:val="21"/>
                <w:highlight w:val="none"/>
              </w:rPr>
            </w:pPr>
          </w:p>
        </w:tc>
        <w:tc>
          <w:tcPr>
            <w:tcW w:w="1375" w:type="dxa"/>
            <w:tcBorders>
              <w:tl2br w:val="nil"/>
              <w:tr2bl w:val="nil"/>
            </w:tcBorders>
            <w:shd w:val="clear" w:color="auto" w:fill="FFFFFF"/>
            <w:noWrap w:val="0"/>
            <w:tcMar>
              <w:top w:w="80" w:type="dxa"/>
              <w:left w:w="80" w:type="dxa"/>
              <w:bottom w:w="80" w:type="dxa"/>
              <w:right w:w="80" w:type="dxa"/>
            </w:tcMar>
            <w:vAlign w:val="center"/>
          </w:tcPr>
          <w:p w14:paraId="2F638246">
            <w:pPr>
              <w:rPr>
                <w:rFonts w:hint="eastAsia" w:ascii="仿宋" w:hAnsi="仿宋" w:eastAsia="仿宋" w:cs="仿宋"/>
                <w:color w:val="auto"/>
                <w:szCs w:val="21"/>
                <w:highlight w:val="none"/>
              </w:rPr>
            </w:pPr>
          </w:p>
        </w:tc>
      </w:tr>
      <w:tr w14:paraId="632D8EFD">
        <w:tblPrEx>
          <w:tblBorders>
            <w:top w:val="triple" w:color="000000" w:sz="2" w:space="0"/>
            <w:left w:val="triple" w:color="000000" w:sz="2" w:space="0"/>
            <w:bottom w:val="triple" w:color="000000" w:sz="2" w:space="0"/>
            <w:right w:val="triple" w:color="000000" w:sz="2"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304" w:hRule="atLeast"/>
        </w:trPr>
        <w:tc>
          <w:tcPr>
            <w:tcW w:w="575" w:type="dxa"/>
            <w:tcBorders>
              <w:tl2br w:val="nil"/>
              <w:tr2bl w:val="nil"/>
            </w:tcBorders>
            <w:shd w:val="clear" w:color="auto" w:fill="FFFFFF"/>
            <w:noWrap w:val="0"/>
            <w:tcMar>
              <w:top w:w="80" w:type="dxa"/>
              <w:left w:w="80" w:type="dxa"/>
              <w:bottom w:w="80" w:type="dxa"/>
              <w:right w:w="80" w:type="dxa"/>
            </w:tcMar>
            <w:vAlign w:val="center"/>
          </w:tcPr>
          <w:p w14:paraId="57745B39">
            <w:pPr>
              <w:rPr>
                <w:rFonts w:hint="eastAsia" w:ascii="仿宋" w:hAnsi="仿宋" w:eastAsia="仿宋" w:cs="仿宋"/>
                <w:color w:val="auto"/>
                <w:szCs w:val="21"/>
                <w:highlight w:val="none"/>
              </w:rPr>
            </w:pPr>
          </w:p>
        </w:tc>
        <w:tc>
          <w:tcPr>
            <w:tcW w:w="864" w:type="dxa"/>
            <w:tcBorders>
              <w:tl2br w:val="nil"/>
              <w:tr2bl w:val="nil"/>
            </w:tcBorders>
            <w:shd w:val="clear" w:color="auto" w:fill="FFFFFF"/>
            <w:noWrap w:val="0"/>
            <w:tcMar>
              <w:top w:w="80" w:type="dxa"/>
              <w:left w:w="80" w:type="dxa"/>
              <w:bottom w:w="80" w:type="dxa"/>
              <w:right w:w="80" w:type="dxa"/>
            </w:tcMar>
            <w:vAlign w:val="center"/>
          </w:tcPr>
          <w:p w14:paraId="62B7211A">
            <w:pPr>
              <w:rPr>
                <w:rFonts w:hint="eastAsia" w:ascii="仿宋" w:hAnsi="仿宋" w:eastAsia="仿宋" w:cs="仿宋"/>
                <w:color w:val="auto"/>
                <w:szCs w:val="21"/>
                <w:highlight w:val="none"/>
              </w:rPr>
            </w:pPr>
          </w:p>
        </w:tc>
        <w:tc>
          <w:tcPr>
            <w:tcW w:w="761" w:type="dxa"/>
            <w:tcBorders>
              <w:tl2br w:val="nil"/>
              <w:tr2bl w:val="nil"/>
            </w:tcBorders>
            <w:shd w:val="clear" w:color="auto" w:fill="FFFFFF"/>
            <w:noWrap w:val="0"/>
            <w:tcMar>
              <w:top w:w="80" w:type="dxa"/>
              <w:left w:w="80" w:type="dxa"/>
              <w:bottom w:w="80" w:type="dxa"/>
              <w:right w:w="80" w:type="dxa"/>
            </w:tcMar>
            <w:vAlign w:val="center"/>
          </w:tcPr>
          <w:p w14:paraId="2B9FDE02">
            <w:pPr>
              <w:rPr>
                <w:rFonts w:hint="eastAsia" w:ascii="仿宋" w:hAnsi="仿宋" w:eastAsia="仿宋" w:cs="仿宋"/>
                <w:color w:val="auto"/>
                <w:szCs w:val="21"/>
                <w:highlight w:val="none"/>
              </w:rPr>
            </w:pPr>
          </w:p>
        </w:tc>
        <w:tc>
          <w:tcPr>
            <w:tcW w:w="795" w:type="dxa"/>
            <w:tcBorders>
              <w:tl2br w:val="nil"/>
              <w:tr2bl w:val="nil"/>
            </w:tcBorders>
            <w:shd w:val="clear" w:color="auto" w:fill="FFFFFF"/>
            <w:noWrap w:val="0"/>
            <w:tcMar>
              <w:top w:w="80" w:type="dxa"/>
              <w:left w:w="80" w:type="dxa"/>
              <w:bottom w:w="80" w:type="dxa"/>
              <w:right w:w="80" w:type="dxa"/>
            </w:tcMar>
            <w:vAlign w:val="center"/>
          </w:tcPr>
          <w:p w14:paraId="2FC78943">
            <w:pPr>
              <w:rPr>
                <w:rFonts w:hint="eastAsia" w:ascii="仿宋" w:hAnsi="仿宋" w:eastAsia="仿宋" w:cs="仿宋"/>
                <w:color w:val="auto"/>
                <w:szCs w:val="21"/>
                <w:highlight w:val="none"/>
              </w:rPr>
            </w:pPr>
          </w:p>
        </w:tc>
        <w:tc>
          <w:tcPr>
            <w:tcW w:w="2249" w:type="dxa"/>
            <w:tcBorders>
              <w:tl2br w:val="nil"/>
              <w:tr2bl w:val="nil"/>
            </w:tcBorders>
            <w:shd w:val="clear" w:color="auto" w:fill="FFFFFF"/>
            <w:noWrap w:val="0"/>
            <w:tcMar>
              <w:top w:w="80" w:type="dxa"/>
              <w:left w:w="80" w:type="dxa"/>
              <w:bottom w:w="80" w:type="dxa"/>
              <w:right w:w="80" w:type="dxa"/>
            </w:tcMar>
            <w:vAlign w:val="center"/>
          </w:tcPr>
          <w:p w14:paraId="6AB60E3B">
            <w:pPr>
              <w:rPr>
                <w:rFonts w:hint="eastAsia" w:ascii="仿宋" w:hAnsi="仿宋" w:eastAsia="仿宋" w:cs="仿宋"/>
                <w:color w:val="auto"/>
                <w:szCs w:val="21"/>
                <w:highlight w:val="none"/>
              </w:rPr>
            </w:pPr>
          </w:p>
        </w:tc>
        <w:tc>
          <w:tcPr>
            <w:tcW w:w="1240" w:type="dxa"/>
            <w:tcBorders>
              <w:tl2br w:val="nil"/>
              <w:tr2bl w:val="nil"/>
            </w:tcBorders>
            <w:shd w:val="clear" w:color="auto" w:fill="FFFFFF"/>
            <w:noWrap w:val="0"/>
            <w:tcMar>
              <w:top w:w="80" w:type="dxa"/>
              <w:left w:w="80" w:type="dxa"/>
              <w:bottom w:w="80" w:type="dxa"/>
              <w:right w:w="80" w:type="dxa"/>
            </w:tcMar>
            <w:vAlign w:val="center"/>
          </w:tcPr>
          <w:p w14:paraId="1AF36A92">
            <w:pPr>
              <w:rPr>
                <w:rFonts w:hint="eastAsia" w:ascii="仿宋" w:hAnsi="仿宋" w:eastAsia="仿宋" w:cs="仿宋"/>
                <w:color w:val="auto"/>
                <w:szCs w:val="21"/>
                <w:highlight w:val="none"/>
              </w:rPr>
            </w:pPr>
          </w:p>
        </w:tc>
        <w:tc>
          <w:tcPr>
            <w:tcW w:w="1768" w:type="dxa"/>
            <w:tcBorders>
              <w:tl2br w:val="nil"/>
              <w:tr2bl w:val="nil"/>
            </w:tcBorders>
            <w:shd w:val="clear" w:color="auto" w:fill="FFFFFF"/>
            <w:noWrap w:val="0"/>
            <w:tcMar>
              <w:top w:w="80" w:type="dxa"/>
              <w:left w:w="80" w:type="dxa"/>
              <w:bottom w:w="80" w:type="dxa"/>
              <w:right w:w="80" w:type="dxa"/>
            </w:tcMar>
            <w:vAlign w:val="center"/>
          </w:tcPr>
          <w:p w14:paraId="5F299CE7">
            <w:pPr>
              <w:rPr>
                <w:rFonts w:hint="eastAsia" w:ascii="仿宋" w:hAnsi="仿宋" w:eastAsia="仿宋" w:cs="仿宋"/>
                <w:color w:val="auto"/>
                <w:szCs w:val="21"/>
                <w:highlight w:val="none"/>
              </w:rPr>
            </w:pPr>
          </w:p>
        </w:tc>
        <w:tc>
          <w:tcPr>
            <w:tcW w:w="1375" w:type="dxa"/>
            <w:tcBorders>
              <w:tl2br w:val="nil"/>
              <w:tr2bl w:val="nil"/>
            </w:tcBorders>
            <w:shd w:val="clear" w:color="auto" w:fill="FFFFFF"/>
            <w:noWrap w:val="0"/>
            <w:tcMar>
              <w:top w:w="80" w:type="dxa"/>
              <w:left w:w="80" w:type="dxa"/>
              <w:bottom w:w="80" w:type="dxa"/>
              <w:right w:w="80" w:type="dxa"/>
            </w:tcMar>
            <w:vAlign w:val="center"/>
          </w:tcPr>
          <w:p w14:paraId="20137E59">
            <w:pPr>
              <w:rPr>
                <w:rFonts w:hint="eastAsia" w:ascii="仿宋" w:hAnsi="仿宋" w:eastAsia="仿宋" w:cs="仿宋"/>
                <w:color w:val="auto"/>
                <w:szCs w:val="21"/>
                <w:highlight w:val="none"/>
              </w:rPr>
            </w:pPr>
          </w:p>
        </w:tc>
      </w:tr>
      <w:tr w14:paraId="79FE9101">
        <w:tblPrEx>
          <w:tblBorders>
            <w:top w:val="triple" w:color="000000" w:sz="2" w:space="0"/>
            <w:left w:val="triple" w:color="000000" w:sz="2" w:space="0"/>
            <w:bottom w:val="triple" w:color="000000" w:sz="2" w:space="0"/>
            <w:right w:val="triple" w:color="000000" w:sz="2"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304" w:hRule="atLeast"/>
        </w:trPr>
        <w:tc>
          <w:tcPr>
            <w:tcW w:w="575" w:type="dxa"/>
            <w:tcBorders>
              <w:tl2br w:val="nil"/>
              <w:tr2bl w:val="nil"/>
            </w:tcBorders>
            <w:shd w:val="clear" w:color="auto" w:fill="FFFFFF"/>
            <w:noWrap w:val="0"/>
            <w:tcMar>
              <w:top w:w="80" w:type="dxa"/>
              <w:left w:w="80" w:type="dxa"/>
              <w:bottom w:w="80" w:type="dxa"/>
              <w:right w:w="80" w:type="dxa"/>
            </w:tcMar>
            <w:vAlign w:val="center"/>
          </w:tcPr>
          <w:p w14:paraId="7DADB528">
            <w:pPr>
              <w:rPr>
                <w:rFonts w:hint="eastAsia" w:ascii="仿宋" w:hAnsi="仿宋" w:eastAsia="仿宋" w:cs="仿宋"/>
                <w:color w:val="auto"/>
                <w:szCs w:val="21"/>
                <w:highlight w:val="none"/>
              </w:rPr>
            </w:pPr>
          </w:p>
        </w:tc>
        <w:tc>
          <w:tcPr>
            <w:tcW w:w="864" w:type="dxa"/>
            <w:tcBorders>
              <w:tl2br w:val="nil"/>
              <w:tr2bl w:val="nil"/>
            </w:tcBorders>
            <w:shd w:val="clear" w:color="auto" w:fill="FFFFFF"/>
            <w:noWrap w:val="0"/>
            <w:tcMar>
              <w:top w:w="80" w:type="dxa"/>
              <w:left w:w="80" w:type="dxa"/>
              <w:bottom w:w="80" w:type="dxa"/>
              <w:right w:w="80" w:type="dxa"/>
            </w:tcMar>
            <w:vAlign w:val="center"/>
          </w:tcPr>
          <w:p w14:paraId="5F9E95D9">
            <w:pPr>
              <w:rPr>
                <w:rFonts w:hint="eastAsia" w:ascii="仿宋" w:hAnsi="仿宋" w:eastAsia="仿宋" w:cs="仿宋"/>
                <w:color w:val="auto"/>
                <w:szCs w:val="21"/>
                <w:highlight w:val="none"/>
              </w:rPr>
            </w:pPr>
          </w:p>
        </w:tc>
        <w:tc>
          <w:tcPr>
            <w:tcW w:w="761" w:type="dxa"/>
            <w:tcBorders>
              <w:tl2br w:val="nil"/>
              <w:tr2bl w:val="nil"/>
            </w:tcBorders>
            <w:shd w:val="clear" w:color="auto" w:fill="FFFFFF"/>
            <w:noWrap w:val="0"/>
            <w:tcMar>
              <w:top w:w="80" w:type="dxa"/>
              <w:left w:w="80" w:type="dxa"/>
              <w:bottom w:w="80" w:type="dxa"/>
              <w:right w:w="80" w:type="dxa"/>
            </w:tcMar>
            <w:vAlign w:val="center"/>
          </w:tcPr>
          <w:p w14:paraId="368DCA4E">
            <w:pPr>
              <w:rPr>
                <w:rFonts w:hint="eastAsia" w:ascii="仿宋" w:hAnsi="仿宋" w:eastAsia="仿宋" w:cs="仿宋"/>
                <w:color w:val="auto"/>
                <w:szCs w:val="21"/>
                <w:highlight w:val="none"/>
              </w:rPr>
            </w:pPr>
          </w:p>
        </w:tc>
        <w:tc>
          <w:tcPr>
            <w:tcW w:w="795" w:type="dxa"/>
            <w:tcBorders>
              <w:tl2br w:val="nil"/>
              <w:tr2bl w:val="nil"/>
            </w:tcBorders>
            <w:shd w:val="clear" w:color="auto" w:fill="FFFFFF"/>
            <w:noWrap w:val="0"/>
            <w:tcMar>
              <w:top w:w="80" w:type="dxa"/>
              <w:left w:w="80" w:type="dxa"/>
              <w:bottom w:w="80" w:type="dxa"/>
              <w:right w:w="80" w:type="dxa"/>
            </w:tcMar>
            <w:vAlign w:val="center"/>
          </w:tcPr>
          <w:p w14:paraId="2E9C6C80">
            <w:pPr>
              <w:rPr>
                <w:rFonts w:hint="eastAsia" w:ascii="仿宋" w:hAnsi="仿宋" w:eastAsia="仿宋" w:cs="仿宋"/>
                <w:color w:val="auto"/>
                <w:szCs w:val="21"/>
                <w:highlight w:val="none"/>
              </w:rPr>
            </w:pPr>
          </w:p>
        </w:tc>
        <w:tc>
          <w:tcPr>
            <w:tcW w:w="2249" w:type="dxa"/>
            <w:tcBorders>
              <w:tl2br w:val="nil"/>
              <w:tr2bl w:val="nil"/>
            </w:tcBorders>
            <w:shd w:val="clear" w:color="auto" w:fill="FFFFFF"/>
            <w:noWrap w:val="0"/>
            <w:tcMar>
              <w:top w:w="80" w:type="dxa"/>
              <w:left w:w="80" w:type="dxa"/>
              <w:bottom w:w="80" w:type="dxa"/>
              <w:right w:w="80" w:type="dxa"/>
            </w:tcMar>
            <w:vAlign w:val="center"/>
          </w:tcPr>
          <w:p w14:paraId="5126ECED">
            <w:pPr>
              <w:rPr>
                <w:rFonts w:hint="eastAsia" w:ascii="仿宋" w:hAnsi="仿宋" w:eastAsia="仿宋" w:cs="仿宋"/>
                <w:color w:val="auto"/>
                <w:szCs w:val="21"/>
                <w:highlight w:val="none"/>
              </w:rPr>
            </w:pPr>
          </w:p>
        </w:tc>
        <w:tc>
          <w:tcPr>
            <w:tcW w:w="1240" w:type="dxa"/>
            <w:tcBorders>
              <w:tl2br w:val="nil"/>
              <w:tr2bl w:val="nil"/>
            </w:tcBorders>
            <w:shd w:val="clear" w:color="auto" w:fill="FFFFFF"/>
            <w:noWrap w:val="0"/>
            <w:tcMar>
              <w:top w:w="80" w:type="dxa"/>
              <w:left w:w="80" w:type="dxa"/>
              <w:bottom w:w="80" w:type="dxa"/>
              <w:right w:w="80" w:type="dxa"/>
            </w:tcMar>
            <w:vAlign w:val="center"/>
          </w:tcPr>
          <w:p w14:paraId="3A01A71C">
            <w:pPr>
              <w:rPr>
                <w:rFonts w:hint="eastAsia" w:ascii="仿宋" w:hAnsi="仿宋" w:eastAsia="仿宋" w:cs="仿宋"/>
                <w:color w:val="auto"/>
                <w:szCs w:val="21"/>
                <w:highlight w:val="none"/>
              </w:rPr>
            </w:pPr>
          </w:p>
        </w:tc>
        <w:tc>
          <w:tcPr>
            <w:tcW w:w="1768" w:type="dxa"/>
            <w:tcBorders>
              <w:tl2br w:val="nil"/>
              <w:tr2bl w:val="nil"/>
            </w:tcBorders>
            <w:shd w:val="clear" w:color="auto" w:fill="FFFFFF"/>
            <w:noWrap w:val="0"/>
            <w:tcMar>
              <w:top w:w="80" w:type="dxa"/>
              <w:left w:w="80" w:type="dxa"/>
              <w:bottom w:w="80" w:type="dxa"/>
              <w:right w:w="80" w:type="dxa"/>
            </w:tcMar>
            <w:vAlign w:val="center"/>
          </w:tcPr>
          <w:p w14:paraId="47676E2D">
            <w:pPr>
              <w:rPr>
                <w:rFonts w:hint="eastAsia" w:ascii="仿宋" w:hAnsi="仿宋" w:eastAsia="仿宋" w:cs="仿宋"/>
                <w:color w:val="auto"/>
                <w:szCs w:val="21"/>
                <w:highlight w:val="none"/>
              </w:rPr>
            </w:pPr>
          </w:p>
        </w:tc>
        <w:tc>
          <w:tcPr>
            <w:tcW w:w="1375" w:type="dxa"/>
            <w:tcBorders>
              <w:tl2br w:val="nil"/>
              <w:tr2bl w:val="nil"/>
            </w:tcBorders>
            <w:shd w:val="clear" w:color="auto" w:fill="FFFFFF"/>
            <w:noWrap w:val="0"/>
            <w:tcMar>
              <w:top w:w="80" w:type="dxa"/>
              <w:left w:w="80" w:type="dxa"/>
              <w:bottom w:w="80" w:type="dxa"/>
              <w:right w:w="80" w:type="dxa"/>
            </w:tcMar>
            <w:vAlign w:val="center"/>
          </w:tcPr>
          <w:p w14:paraId="6D9705AC">
            <w:pPr>
              <w:rPr>
                <w:rFonts w:hint="eastAsia" w:ascii="仿宋" w:hAnsi="仿宋" w:eastAsia="仿宋" w:cs="仿宋"/>
                <w:color w:val="auto"/>
                <w:szCs w:val="21"/>
                <w:highlight w:val="none"/>
              </w:rPr>
            </w:pPr>
          </w:p>
        </w:tc>
      </w:tr>
      <w:tr w14:paraId="0DC1123E">
        <w:tblPrEx>
          <w:tblBorders>
            <w:top w:val="triple" w:color="000000" w:sz="2" w:space="0"/>
            <w:left w:val="triple" w:color="000000" w:sz="2" w:space="0"/>
            <w:bottom w:val="triple" w:color="000000" w:sz="2" w:space="0"/>
            <w:right w:val="triple" w:color="000000" w:sz="2"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304" w:hRule="atLeast"/>
        </w:trPr>
        <w:tc>
          <w:tcPr>
            <w:tcW w:w="575" w:type="dxa"/>
            <w:tcBorders>
              <w:tl2br w:val="nil"/>
              <w:tr2bl w:val="nil"/>
            </w:tcBorders>
            <w:shd w:val="clear" w:color="auto" w:fill="FFFFFF"/>
            <w:noWrap w:val="0"/>
            <w:tcMar>
              <w:top w:w="80" w:type="dxa"/>
              <w:left w:w="80" w:type="dxa"/>
              <w:bottom w:w="80" w:type="dxa"/>
              <w:right w:w="80" w:type="dxa"/>
            </w:tcMar>
            <w:vAlign w:val="center"/>
          </w:tcPr>
          <w:p w14:paraId="5B1F10E7">
            <w:pPr>
              <w:rPr>
                <w:rFonts w:hint="eastAsia" w:ascii="仿宋" w:hAnsi="仿宋" w:eastAsia="仿宋" w:cs="仿宋"/>
                <w:color w:val="auto"/>
                <w:szCs w:val="21"/>
                <w:highlight w:val="none"/>
              </w:rPr>
            </w:pPr>
          </w:p>
        </w:tc>
        <w:tc>
          <w:tcPr>
            <w:tcW w:w="864" w:type="dxa"/>
            <w:tcBorders>
              <w:tl2br w:val="nil"/>
              <w:tr2bl w:val="nil"/>
            </w:tcBorders>
            <w:shd w:val="clear" w:color="auto" w:fill="FFFFFF"/>
            <w:noWrap w:val="0"/>
            <w:tcMar>
              <w:top w:w="80" w:type="dxa"/>
              <w:left w:w="80" w:type="dxa"/>
              <w:bottom w:w="80" w:type="dxa"/>
              <w:right w:w="80" w:type="dxa"/>
            </w:tcMar>
            <w:vAlign w:val="center"/>
          </w:tcPr>
          <w:p w14:paraId="3BC639E1">
            <w:pPr>
              <w:rPr>
                <w:rFonts w:hint="eastAsia" w:ascii="仿宋" w:hAnsi="仿宋" w:eastAsia="仿宋" w:cs="仿宋"/>
                <w:color w:val="auto"/>
                <w:szCs w:val="21"/>
                <w:highlight w:val="none"/>
              </w:rPr>
            </w:pPr>
          </w:p>
        </w:tc>
        <w:tc>
          <w:tcPr>
            <w:tcW w:w="761" w:type="dxa"/>
            <w:tcBorders>
              <w:tl2br w:val="nil"/>
              <w:tr2bl w:val="nil"/>
            </w:tcBorders>
            <w:shd w:val="clear" w:color="auto" w:fill="FFFFFF"/>
            <w:noWrap w:val="0"/>
            <w:tcMar>
              <w:top w:w="80" w:type="dxa"/>
              <w:left w:w="80" w:type="dxa"/>
              <w:bottom w:w="80" w:type="dxa"/>
              <w:right w:w="80" w:type="dxa"/>
            </w:tcMar>
            <w:vAlign w:val="center"/>
          </w:tcPr>
          <w:p w14:paraId="573810F9">
            <w:pPr>
              <w:rPr>
                <w:rFonts w:hint="eastAsia" w:ascii="仿宋" w:hAnsi="仿宋" w:eastAsia="仿宋" w:cs="仿宋"/>
                <w:color w:val="auto"/>
                <w:szCs w:val="21"/>
                <w:highlight w:val="none"/>
              </w:rPr>
            </w:pPr>
          </w:p>
        </w:tc>
        <w:tc>
          <w:tcPr>
            <w:tcW w:w="795" w:type="dxa"/>
            <w:tcBorders>
              <w:tl2br w:val="nil"/>
              <w:tr2bl w:val="nil"/>
            </w:tcBorders>
            <w:shd w:val="clear" w:color="auto" w:fill="FFFFFF"/>
            <w:noWrap w:val="0"/>
            <w:tcMar>
              <w:top w:w="80" w:type="dxa"/>
              <w:left w:w="80" w:type="dxa"/>
              <w:bottom w:w="80" w:type="dxa"/>
              <w:right w:w="80" w:type="dxa"/>
            </w:tcMar>
            <w:vAlign w:val="center"/>
          </w:tcPr>
          <w:p w14:paraId="146FCA30">
            <w:pPr>
              <w:rPr>
                <w:rFonts w:hint="eastAsia" w:ascii="仿宋" w:hAnsi="仿宋" w:eastAsia="仿宋" w:cs="仿宋"/>
                <w:color w:val="auto"/>
                <w:szCs w:val="21"/>
                <w:highlight w:val="none"/>
              </w:rPr>
            </w:pPr>
          </w:p>
        </w:tc>
        <w:tc>
          <w:tcPr>
            <w:tcW w:w="2249" w:type="dxa"/>
            <w:tcBorders>
              <w:tl2br w:val="nil"/>
              <w:tr2bl w:val="nil"/>
            </w:tcBorders>
            <w:shd w:val="clear" w:color="auto" w:fill="FFFFFF"/>
            <w:noWrap w:val="0"/>
            <w:tcMar>
              <w:top w:w="80" w:type="dxa"/>
              <w:left w:w="80" w:type="dxa"/>
              <w:bottom w:w="80" w:type="dxa"/>
              <w:right w:w="80" w:type="dxa"/>
            </w:tcMar>
            <w:vAlign w:val="center"/>
          </w:tcPr>
          <w:p w14:paraId="119F7E2F">
            <w:pPr>
              <w:rPr>
                <w:rFonts w:hint="eastAsia" w:ascii="仿宋" w:hAnsi="仿宋" w:eastAsia="仿宋" w:cs="仿宋"/>
                <w:color w:val="auto"/>
                <w:szCs w:val="21"/>
                <w:highlight w:val="none"/>
              </w:rPr>
            </w:pPr>
          </w:p>
        </w:tc>
        <w:tc>
          <w:tcPr>
            <w:tcW w:w="1240" w:type="dxa"/>
            <w:tcBorders>
              <w:tl2br w:val="nil"/>
              <w:tr2bl w:val="nil"/>
            </w:tcBorders>
            <w:shd w:val="clear" w:color="auto" w:fill="FFFFFF"/>
            <w:noWrap w:val="0"/>
            <w:tcMar>
              <w:top w:w="80" w:type="dxa"/>
              <w:left w:w="80" w:type="dxa"/>
              <w:bottom w:w="80" w:type="dxa"/>
              <w:right w:w="80" w:type="dxa"/>
            </w:tcMar>
            <w:vAlign w:val="center"/>
          </w:tcPr>
          <w:p w14:paraId="3B4CE676">
            <w:pPr>
              <w:rPr>
                <w:rFonts w:hint="eastAsia" w:ascii="仿宋" w:hAnsi="仿宋" w:eastAsia="仿宋" w:cs="仿宋"/>
                <w:color w:val="auto"/>
                <w:szCs w:val="21"/>
                <w:highlight w:val="none"/>
              </w:rPr>
            </w:pPr>
          </w:p>
        </w:tc>
        <w:tc>
          <w:tcPr>
            <w:tcW w:w="1768" w:type="dxa"/>
            <w:tcBorders>
              <w:tl2br w:val="nil"/>
              <w:tr2bl w:val="nil"/>
            </w:tcBorders>
            <w:shd w:val="clear" w:color="auto" w:fill="FFFFFF"/>
            <w:noWrap w:val="0"/>
            <w:tcMar>
              <w:top w:w="80" w:type="dxa"/>
              <w:left w:w="80" w:type="dxa"/>
              <w:bottom w:w="80" w:type="dxa"/>
              <w:right w:w="80" w:type="dxa"/>
            </w:tcMar>
            <w:vAlign w:val="center"/>
          </w:tcPr>
          <w:p w14:paraId="02F46057">
            <w:pPr>
              <w:rPr>
                <w:rFonts w:hint="eastAsia" w:ascii="仿宋" w:hAnsi="仿宋" w:eastAsia="仿宋" w:cs="仿宋"/>
                <w:color w:val="auto"/>
                <w:szCs w:val="21"/>
                <w:highlight w:val="none"/>
              </w:rPr>
            </w:pPr>
          </w:p>
        </w:tc>
        <w:tc>
          <w:tcPr>
            <w:tcW w:w="1375" w:type="dxa"/>
            <w:tcBorders>
              <w:tl2br w:val="nil"/>
              <w:tr2bl w:val="nil"/>
            </w:tcBorders>
            <w:shd w:val="clear" w:color="auto" w:fill="FFFFFF"/>
            <w:noWrap w:val="0"/>
            <w:tcMar>
              <w:top w:w="80" w:type="dxa"/>
              <w:left w:w="80" w:type="dxa"/>
              <w:bottom w:w="80" w:type="dxa"/>
              <w:right w:w="80" w:type="dxa"/>
            </w:tcMar>
            <w:vAlign w:val="center"/>
          </w:tcPr>
          <w:p w14:paraId="43121D6E">
            <w:pPr>
              <w:rPr>
                <w:rFonts w:hint="eastAsia" w:ascii="仿宋" w:hAnsi="仿宋" w:eastAsia="仿宋" w:cs="仿宋"/>
                <w:color w:val="auto"/>
                <w:szCs w:val="21"/>
                <w:highlight w:val="none"/>
              </w:rPr>
            </w:pPr>
          </w:p>
        </w:tc>
      </w:tr>
    </w:tbl>
    <w:p w14:paraId="06F1777C">
      <w:pPr>
        <w:snapToGrid w:val="0"/>
        <w:spacing w:line="360" w:lineRule="auto"/>
        <w:ind w:firstLine="0" w:firstLineChars="0"/>
        <w:rPr>
          <w:rFonts w:hint="eastAsia" w:ascii="仿宋" w:hAnsi="仿宋" w:eastAsia="仿宋" w:cs="仿宋"/>
          <w:color w:val="auto"/>
          <w:sz w:val="24"/>
          <w:highlight w:val="none"/>
        </w:rPr>
      </w:pPr>
    </w:p>
    <w:p w14:paraId="40763C75">
      <w:pPr>
        <w:snapToGrid w:val="0"/>
        <w:spacing w:line="360" w:lineRule="auto"/>
        <w:ind w:firstLine="480" w:firstLineChars="200"/>
        <w:rPr>
          <w:rFonts w:hint="eastAsia" w:ascii="仿宋" w:hAnsi="仿宋" w:eastAsia="仿宋" w:cs="仿宋"/>
          <w:color w:val="auto"/>
          <w:spacing w:val="20"/>
          <w:sz w:val="24"/>
          <w:highlight w:val="none"/>
          <w:u w:val="single"/>
        </w:rPr>
      </w:pPr>
      <w:r>
        <w:rPr>
          <w:rFonts w:hint="eastAsia" w:ascii="仿宋" w:hAnsi="仿宋" w:eastAsia="仿宋" w:cs="仿宋"/>
          <w:color w:val="auto"/>
          <w:sz w:val="24"/>
          <w:highlight w:val="none"/>
        </w:rPr>
        <w:t xml:space="preserve">投标供应商全称：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（公章/电子签名）</w:t>
      </w:r>
    </w:p>
    <w:p w14:paraId="05520B79">
      <w:pPr>
        <w:snapToGrid w:val="0"/>
        <w:spacing w:line="360" w:lineRule="auto"/>
        <w:ind w:firstLine="480" w:firstLineChars="200"/>
        <w:rPr>
          <w:rFonts w:hint="eastAsia" w:ascii="仿宋" w:hAnsi="仿宋" w:eastAsia="仿宋" w:cs="仿宋"/>
          <w:color w:val="auto"/>
          <w:spacing w:val="20"/>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lang w:eastAsia="zh-CN"/>
        </w:rPr>
        <w:t>2025年</w:t>
      </w:r>
      <w:r>
        <w:rPr>
          <w:rFonts w:hint="eastAsia" w:ascii="仿宋" w:hAnsi="仿宋" w:eastAsia="仿宋" w:cs="仿宋"/>
          <w:color w:val="auto"/>
          <w:sz w:val="24"/>
          <w:highlight w:val="none"/>
        </w:rPr>
        <w:t xml:space="preserve">   月   日</w:t>
      </w:r>
    </w:p>
    <w:p w14:paraId="425C97AB">
      <w:pPr>
        <w:pStyle w:val="38"/>
        <w:spacing w:line="312" w:lineRule="auto"/>
        <w:ind w:left="426" w:firstLine="0"/>
        <w:rPr>
          <w:rFonts w:hint="eastAsia" w:ascii="仿宋" w:hAnsi="仿宋" w:eastAsia="仿宋" w:cs="仿宋"/>
          <w:b/>
          <w:iCs/>
          <w:color w:val="auto"/>
          <w:sz w:val="21"/>
          <w:szCs w:val="21"/>
          <w:highlight w:val="none"/>
        </w:rPr>
      </w:pPr>
    </w:p>
    <w:p w14:paraId="5C5ABC1D">
      <w:pPr>
        <w:pStyle w:val="38"/>
        <w:spacing w:line="312" w:lineRule="auto"/>
        <w:ind w:left="426" w:firstLine="0"/>
        <w:rPr>
          <w:rFonts w:hint="eastAsia" w:ascii="仿宋" w:hAnsi="仿宋" w:eastAsia="仿宋" w:cs="仿宋"/>
          <w:b/>
          <w:iCs/>
          <w:color w:val="auto"/>
          <w:sz w:val="21"/>
          <w:szCs w:val="21"/>
          <w:highlight w:val="none"/>
        </w:rPr>
      </w:pPr>
    </w:p>
    <w:p w14:paraId="387C9FA4">
      <w:pPr>
        <w:pStyle w:val="38"/>
        <w:spacing w:line="312" w:lineRule="auto"/>
        <w:ind w:left="426" w:firstLine="0"/>
        <w:rPr>
          <w:rFonts w:hint="eastAsia" w:ascii="仿宋" w:hAnsi="仿宋" w:eastAsia="仿宋" w:cs="仿宋"/>
          <w:b/>
          <w:iCs/>
          <w:color w:val="auto"/>
          <w:sz w:val="21"/>
          <w:szCs w:val="21"/>
          <w:highlight w:val="none"/>
        </w:rPr>
      </w:pPr>
    </w:p>
    <w:p w14:paraId="323A1860">
      <w:pPr>
        <w:pStyle w:val="38"/>
        <w:spacing w:line="312" w:lineRule="auto"/>
        <w:ind w:left="426" w:firstLine="0"/>
        <w:rPr>
          <w:rFonts w:hint="eastAsia" w:ascii="仿宋" w:hAnsi="仿宋" w:eastAsia="仿宋" w:cs="仿宋"/>
          <w:b/>
          <w:iCs/>
          <w:color w:val="auto"/>
          <w:sz w:val="21"/>
          <w:szCs w:val="21"/>
          <w:highlight w:val="none"/>
        </w:rPr>
      </w:pPr>
    </w:p>
    <w:p w14:paraId="336A1A98">
      <w:pPr>
        <w:pStyle w:val="38"/>
        <w:spacing w:line="312" w:lineRule="auto"/>
        <w:ind w:left="426" w:firstLine="0"/>
        <w:rPr>
          <w:rFonts w:hint="eastAsia" w:ascii="仿宋" w:hAnsi="仿宋" w:eastAsia="仿宋" w:cs="仿宋"/>
          <w:b/>
          <w:iCs/>
          <w:color w:val="auto"/>
          <w:sz w:val="21"/>
          <w:szCs w:val="21"/>
          <w:highlight w:val="none"/>
        </w:rPr>
      </w:pPr>
    </w:p>
    <w:p w14:paraId="572F3110">
      <w:pPr>
        <w:pStyle w:val="38"/>
        <w:spacing w:line="312" w:lineRule="auto"/>
        <w:ind w:left="426" w:firstLine="0"/>
        <w:rPr>
          <w:rFonts w:hint="eastAsia" w:ascii="仿宋" w:hAnsi="仿宋" w:eastAsia="仿宋" w:cs="仿宋"/>
          <w:b/>
          <w:iCs/>
          <w:color w:val="auto"/>
          <w:sz w:val="21"/>
          <w:szCs w:val="21"/>
          <w:highlight w:val="none"/>
        </w:rPr>
      </w:pPr>
    </w:p>
    <w:p w14:paraId="34B5B0BA">
      <w:pPr>
        <w:pStyle w:val="38"/>
        <w:spacing w:line="312" w:lineRule="auto"/>
        <w:ind w:left="426" w:firstLine="0"/>
        <w:rPr>
          <w:rFonts w:hint="eastAsia" w:ascii="仿宋" w:hAnsi="仿宋" w:eastAsia="仿宋" w:cs="仿宋"/>
          <w:b/>
          <w:bCs/>
          <w:color w:val="auto"/>
          <w:highlight w:val="none"/>
        </w:rPr>
      </w:pPr>
      <w:r>
        <w:rPr>
          <w:rFonts w:hint="eastAsia" w:ascii="仿宋" w:hAnsi="仿宋" w:eastAsia="仿宋" w:cs="仿宋"/>
          <w:b/>
          <w:iCs/>
          <w:color w:val="auto"/>
          <w:sz w:val="21"/>
          <w:szCs w:val="21"/>
          <w:highlight w:val="none"/>
        </w:rPr>
        <w:t>『编制说明』</w:t>
      </w:r>
      <w:r>
        <w:rPr>
          <w:rFonts w:hint="eastAsia" w:ascii="仿宋" w:hAnsi="仿宋" w:eastAsia="仿宋" w:cs="仿宋"/>
          <w:b/>
          <w:bCs/>
          <w:color w:val="auto"/>
          <w:highlight w:val="none"/>
        </w:rPr>
        <w:t>：</w:t>
      </w:r>
    </w:p>
    <w:p w14:paraId="0F0CFB79">
      <w:pPr>
        <w:pStyle w:val="38"/>
        <w:spacing w:line="312" w:lineRule="auto"/>
        <w:ind w:left="426" w:firstLine="0"/>
        <w:rPr>
          <w:rFonts w:hint="eastAsia" w:ascii="仿宋" w:hAnsi="仿宋" w:eastAsia="仿宋" w:cs="仿宋"/>
          <w:b/>
          <w:bCs/>
          <w:color w:val="auto"/>
          <w:sz w:val="21"/>
          <w:szCs w:val="21"/>
          <w:highlight w:val="none"/>
        </w:rPr>
      </w:pPr>
      <w:r>
        <w:rPr>
          <w:rFonts w:hint="eastAsia" w:ascii="仿宋" w:hAnsi="仿宋" w:eastAsia="仿宋" w:cs="仿宋"/>
          <w:b/>
          <w:bCs/>
          <w:color w:val="auto"/>
          <w:highlight w:val="none"/>
        </w:rPr>
        <w:t>1、</w:t>
      </w:r>
      <w:r>
        <w:rPr>
          <w:rFonts w:hint="eastAsia" w:ascii="仿宋" w:hAnsi="仿宋" w:eastAsia="仿宋" w:cs="仿宋"/>
          <w:b/>
          <w:bCs/>
          <w:color w:val="auto"/>
          <w:sz w:val="21"/>
          <w:szCs w:val="21"/>
          <w:highlight w:val="none"/>
        </w:rPr>
        <w:t>根据评分细则提供相关证明材料扫描件或复印件；</w:t>
      </w:r>
    </w:p>
    <w:p w14:paraId="2F81CBED">
      <w:pPr>
        <w:widowControl/>
        <w:ind w:firstLine="422" w:firstLineChars="200"/>
        <w:jc w:val="lef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2、上述人员提供开标时间截止前3个月</w:t>
      </w:r>
      <w:r>
        <w:rPr>
          <w:rFonts w:hint="eastAsia" w:ascii="仿宋" w:hAnsi="仿宋" w:eastAsia="仿宋" w:cs="仿宋"/>
          <w:b/>
          <w:bCs/>
          <w:color w:val="auto"/>
          <w:szCs w:val="21"/>
          <w:highlight w:val="none"/>
          <w:lang w:val="en-US" w:eastAsia="zh-CN"/>
        </w:rPr>
        <w:t>任意一个月</w:t>
      </w:r>
      <w:r>
        <w:rPr>
          <w:rFonts w:hint="eastAsia" w:ascii="仿宋" w:hAnsi="仿宋" w:eastAsia="仿宋" w:cs="仿宋"/>
          <w:b/>
          <w:bCs/>
          <w:color w:val="auto"/>
          <w:szCs w:val="21"/>
          <w:highlight w:val="none"/>
        </w:rPr>
        <w:t>的社保缴纳证明材料。</w:t>
      </w:r>
    </w:p>
    <w:p w14:paraId="0A5394A5">
      <w:pPr>
        <w:widowControl/>
        <w:jc w:val="left"/>
        <w:outlineLvl w:val="3"/>
        <w:rPr>
          <w:rFonts w:ascii="仿宋" w:hAnsi="仿宋" w:eastAsia="仿宋" w:cs="仿宋"/>
          <w:b/>
          <w:color w:val="auto"/>
          <w:szCs w:val="20"/>
          <w:highlight w:val="none"/>
        </w:rPr>
      </w:pPr>
      <w:r>
        <w:rPr>
          <w:rFonts w:hint="eastAsia" w:ascii="仿宋" w:hAnsi="仿宋" w:eastAsia="仿宋" w:cs="仿宋"/>
          <w:b/>
          <w:bCs/>
          <w:color w:val="auto"/>
          <w:szCs w:val="21"/>
          <w:highlight w:val="none"/>
        </w:rPr>
        <w:br w:type="page"/>
      </w: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其他资信资料</w:t>
      </w:r>
    </w:p>
    <w:p w14:paraId="628C83EE">
      <w:pPr>
        <w:widowControl/>
        <w:jc w:val="left"/>
        <w:rPr>
          <w:rFonts w:ascii="仿宋" w:hAnsi="仿宋" w:eastAsia="仿宋" w:cs="仿宋"/>
          <w:b/>
          <w:color w:val="auto"/>
          <w:szCs w:val="20"/>
          <w:highlight w:val="none"/>
        </w:rPr>
      </w:pPr>
    </w:p>
    <w:p w14:paraId="563C2E59">
      <w:pPr>
        <w:widowControl/>
        <w:jc w:val="left"/>
        <w:rPr>
          <w:rFonts w:ascii="仿宋" w:hAnsi="仿宋" w:eastAsia="仿宋" w:cs="仿宋"/>
          <w:b/>
          <w:color w:val="auto"/>
          <w:szCs w:val="20"/>
          <w:highlight w:val="none"/>
        </w:rPr>
      </w:pPr>
    </w:p>
    <w:p w14:paraId="7302161B">
      <w:pPr>
        <w:pStyle w:val="15"/>
        <w:snapToGrid w:val="0"/>
        <w:spacing w:line="300" w:lineRule="auto"/>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其他资信资料表</w:t>
      </w:r>
    </w:p>
    <w:tbl>
      <w:tblPr>
        <w:tblStyle w:val="23"/>
        <w:tblW w:w="10065" w:type="dxa"/>
        <w:tblInd w:w="-459" w:type="dxa"/>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Layout w:type="fixed"/>
        <w:tblCellMar>
          <w:top w:w="0" w:type="dxa"/>
          <w:left w:w="108" w:type="dxa"/>
          <w:bottom w:w="0" w:type="dxa"/>
          <w:right w:w="108" w:type="dxa"/>
        </w:tblCellMar>
      </w:tblPr>
      <w:tblGrid>
        <w:gridCol w:w="1843"/>
        <w:gridCol w:w="3828"/>
        <w:gridCol w:w="1417"/>
        <w:gridCol w:w="2977"/>
      </w:tblGrid>
      <w:tr w14:paraId="40F85BC7">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1843" w:type="dxa"/>
            <w:noWrap w:val="0"/>
            <w:vAlign w:val="center"/>
          </w:tcPr>
          <w:p w14:paraId="1C8A5BBA">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单位名称</w:t>
            </w:r>
          </w:p>
        </w:tc>
        <w:tc>
          <w:tcPr>
            <w:tcW w:w="3828" w:type="dxa"/>
            <w:noWrap w:val="0"/>
            <w:vAlign w:val="center"/>
          </w:tcPr>
          <w:p w14:paraId="5C11B570">
            <w:pPr>
              <w:jc w:val="center"/>
              <w:rPr>
                <w:rFonts w:ascii="仿宋" w:hAnsi="仿宋" w:eastAsia="仿宋" w:cs="仿宋"/>
                <w:color w:val="auto"/>
                <w:szCs w:val="21"/>
                <w:highlight w:val="none"/>
              </w:rPr>
            </w:pPr>
          </w:p>
        </w:tc>
        <w:tc>
          <w:tcPr>
            <w:tcW w:w="1417" w:type="dxa"/>
            <w:noWrap w:val="0"/>
            <w:vAlign w:val="center"/>
          </w:tcPr>
          <w:p w14:paraId="56423FCE">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成立时间</w:t>
            </w:r>
          </w:p>
        </w:tc>
        <w:tc>
          <w:tcPr>
            <w:tcW w:w="2977" w:type="dxa"/>
            <w:noWrap w:val="0"/>
            <w:vAlign w:val="center"/>
          </w:tcPr>
          <w:p w14:paraId="0383ED76">
            <w:pPr>
              <w:jc w:val="center"/>
              <w:rPr>
                <w:rFonts w:ascii="仿宋" w:hAnsi="仿宋" w:eastAsia="仿宋" w:cs="仿宋"/>
                <w:color w:val="auto"/>
                <w:szCs w:val="21"/>
                <w:highlight w:val="none"/>
              </w:rPr>
            </w:pPr>
          </w:p>
        </w:tc>
      </w:tr>
      <w:tr w14:paraId="3244C384">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1843" w:type="dxa"/>
            <w:noWrap w:val="0"/>
            <w:vAlign w:val="center"/>
          </w:tcPr>
          <w:p w14:paraId="39AA94BF">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注册地址</w:t>
            </w:r>
          </w:p>
        </w:tc>
        <w:tc>
          <w:tcPr>
            <w:tcW w:w="3828" w:type="dxa"/>
            <w:noWrap w:val="0"/>
            <w:vAlign w:val="center"/>
          </w:tcPr>
          <w:p w14:paraId="65BF91EC">
            <w:pPr>
              <w:jc w:val="center"/>
              <w:rPr>
                <w:rFonts w:ascii="仿宋" w:hAnsi="仿宋" w:eastAsia="仿宋" w:cs="仿宋"/>
                <w:color w:val="auto"/>
                <w:szCs w:val="21"/>
                <w:highlight w:val="none"/>
              </w:rPr>
            </w:pPr>
          </w:p>
        </w:tc>
        <w:tc>
          <w:tcPr>
            <w:tcW w:w="1417" w:type="dxa"/>
            <w:noWrap w:val="0"/>
            <w:vAlign w:val="center"/>
          </w:tcPr>
          <w:p w14:paraId="75D0F3D8">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统一社会</w:t>
            </w:r>
          </w:p>
          <w:p w14:paraId="723E4929">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信用代码</w:t>
            </w:r>
          </w:p>
        </w:tc>
        <w:tc>
          <w:tcPr>
            <w:tcW w:w="2977" w:type="dxa"/>
            <w:noWrap w:val="0"/>
            <w:vAlign w:val="center"/>
          </w:tcPr>
          <w:p w14:paraId="6C5FABBA">
            <w:pPr>
              <w:jc w:val="center"/>
              <w:rPr>
                <w:rFonts w:ascii="仿宋" w:hAnsi="仿宋" w:eastAsia="仿宋" w:cs="仿宋"/>
                <w:color w:val="auto"/>
                <w:szCs w:val="21"/>
                <w:highlight w:val="none"/>
              </w:rPr>
            </w:pPr>
          </w:p>
        </w:tc>
      </w:tr>
      <w:tr w14:paraId="25759F25">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1843" w:type="dxa"/>
            <w:noWrap w:val="0"/>
            <w:vAlign w:val="center"/>
          </w:tcPr>
          <w:p w14:paraId="42725205">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生产经营</w:t>
            </w:r>
          </w:p>
          <w:p w14:paraId="38517B9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场所</w:t>
            </w:r>
          </w:p>
        </w:tc>
        <w:tc>
          <w:tcPr>
            <w:tcW w:w="3828" w:type="dxa"/>
            <w:noWrap w:val="0"/>
            <w:vAlign w:val="center"/>
          </w:tcPr>
          <w:p w14:paraId="2C8F1CD1">
            <w:pPr>
              <w:jc w:val="center"/>
              <w:rPr>
                <w:rFonts w:ascii="仿宋" w:hAnsi="仿宋" w:eastAsia="仿宋" w:cs="仿宋"/>
                <w:color w:val="auto"/>
                <w:szCs w:val="21"/>
                <w:highlight w:val="none"/>
              </w:rPr>
            </w:pPr>
          </w:p>
        </w:tc>
        <w:tc>
          <w:tcPr>
            <w:tcW w:w="1417" w:type="dxa"/>
            <w:noWrap w:val="0"/>
            <w:vAlign w:val="center"/>
          </w:tcPr>
          <w:p w14:paraId="53345B41">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法定代表人</w:t>
            </w:r>
          </w:p>
          <w:p w14:paraId="44200C1A">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姓名</w:t>
            </w:r>
          </w:p>
        </w:tc>
        <w:tc>
          <w:tcPr>
            <w:tcW w:w="2977" w:type="dxa"/>
            <w:noWrap w:val="0"/>
            <w:vAlign w:val="center"/>
          </w:tcPr>
          <w:p w14:paraId="232C8994">
            <w:pPr>
              <w:jc w:val="center"/>
              <w:rPr>
                <w:rFonts w:ascii="仿宋" w:hAnsi="仿宋" w:eastAsia="仿宋" w:cs="仿宋"/>
                <w:color w:val="auto"/>
                <w:szCs w:val="21"/>
                <w:highlight w:val="none"/>
              </w:rPr>
            </w:pPr>
          </w:p>
        </w:tc>
      </w:tr>
      <w:tr w14:paraId="721E05F0">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1843" w:type="dxa"/>
            <w:noWrap w:val="0"/>
            <w:vAlign w:val="center"/>
          </w:tcPr>
          <w:p w14:paraId="14E80C65">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有效资质证书</w:t>
            </w:r>
          </w:p>
          <w:p w14:paraId="302515DC">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（名称、编号）</w:t>
            </w:r>
          </w:p>
        </w:tc>
        <w:tc>
          <w:tcPr>
            <w:tcW w:w="3828" w:type="dxa"/>
            <w:noWrap w:val="0"/>
            <w:vAlign w:val="center"/>
          </w:tcPr>
          <w:p w14:paraId="7496DE27">
            <w:pPr>
              <w:jc w:val="center"/>
              <w:rPr>
                <w:rFonts w:ascii="仿宋" w:hAnsi="仿宋" w:eastAsia="仿宋" w:cs="仿宋"/>
                <w:color w:val="auto"/>
                <w:szCs w:val="21"/>
                <w:highlight w:val="none"/>
              </w:rPr>
            </w:pPr>
          </w:p>
        </w:tc>
        <w:tc>
          <w:tcPr>
            <w:tcW w:w="1417" w:type="dxa"/>
            <w:noWrap w:val="0"/>
            <w:vAlign w:val="center"/>
          </w:tcPr>
          <w:p w14:paraId="0E5D2124">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主要负责人</w:t>
            </w:r>
          </w:p>
          <w:p w14:paraId="2BD94661">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姓名</w:t>
            </w:r>
          </w:p>
        </w:tc>
        <w:tc>
          <w:tcPr>
            <w:tcW w:w="2977" w:type="dxa"/>
            <w:noWrap w:val="0"/>
            <w:vAlign w:val="center"/>
          </w:tcPr>
          <w:p w14:paraId="29D335D5">
            <w:pPr>
              <w:jc w:val="center"/>
              <w:rPr>
                <w:rFonts w:ascii="仿宋" w:hAnsi="仿宋" w:eastAsia="仿宋" w:cs="仿宋"/>
                <w:color w:val="auto"/>
                <w:szCs w:val="21"/>
                <w:highlight w:val="none"/>
              </w:rPr>
            </w:pPr>
          </w:p>
        </w:tc>
      </w:tr>
      <w:tr w14:paraId="24024FE2">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1843" w:type="dxa"/>
            <w:noWrap w:val="0"/>
            <w:vAlign w:val="center"/>
          </w:tcPr>
          <w:p w14:paraId="585102E2">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股东信息</w:t>
            </w:r>
          </w:p>
        </w:tc>
        <w:tc>
          <w:tcPr>
            <w:tcW w:w="8222" w:type="dxa"/>
            <w:gridSpan w:val="3"/>
            <w:noWrap w:val="0"/>
            <w:vAlign w:val="center"/>
          </w:tcPr>
          <w:p w14:paraId="1ED3D877">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（股东姓名、持股比例、任职情况）</w:t>
            </w:r>
          </w:p>
        </w:tc>
      </w:tr>
      <w:tr w14:paraId="6CEC481F">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1843" w:type="dxa"/>
            <w:noWrap w:val="0"/>
            <w:vAlign w:val="center"/>
          </w:tcPr>
          <w:p w14:paraId="1BFDF6F5">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注册资本</w:t>
            </w:r>
          </w:p>
        </w:tc>
        <w:tc>
          <w:tcPr>
            <w:tcW w:w="3828" w:type="dxa"/>
            <w:noWrap w:val="0"/>
            <w:vAlign w:val="center"/>
          </w:tcPr>
          <w:p w14:paraId="1C942AC2">
            <w:pPr>
              <w:jc w:val="center"/>
              <w:rPr>
                <w:rFonts w:ascii="仿宋" w:hAnsi="仿宋" w:eastAsia="仿宋" w:cs="仿宋"/>
                <w:color w:val="auto"/>
                <w:szCs w:val="21"/>
                <w:highlight w:val="none"/>
              </w:rPr>
            </w:pPr>
          </w:p>
        </w:tc>
        <w:tc>
          <w:tcPr>
            <w:tcW w:w="1417" w:type="dxa"/>
            <w:noWrap w:val="0"/>
            <w:vAlign w:val="center"/>
          </w:tcPr>
          <w:p w14:paraId="557026B7">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企业信用</w:t>
            </w:r>
          </w:p>
          <w:p w14:paraId="2D2D1289">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等级</w:t>
            </w:r>
          </w:p>
        </w:tc>
        <w:tc>
          <w:tcPr>
            <w:tcW w:w="2977" w:type="dxa"/>
            <w:noWrap w:val="0"/>
            <w:vAlign w:val="center"/>
          </w:tcPr>
          <w:p w14:paraId="627810F6">
            <w:pPr>
              <w:jc w:val="center"/>
              <w:rPr>
                <w:rFonts w:ascii="仿宋" w:hAnsi="仿宋" w:eastAsia="仿宋" w:cs="仿宋"/>
                <w:color w:val="auto"/>
                <w:szCs w:val="21"/>
                <w:highlight w:val="none"/>
              </w:rPr>
            </w:pPr>
          </w:p>
        </w:tc>
      </w:tr>
      <w:tr w14:paraId="0A3F9832">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1843" w:type="dxa"/>
            <w:noWrap w:val="0"/>
            <w:vAlign w:val="center"/>
          </w:tcPr>
          <w:p w14:paraId="5F83F679">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专业技术力量</w:t>
            </w:r>
          </w:p>
        </w:tc>
        <w:tc>
          <w:tcPr>
            <w:tcW w:w="8222" w:type="dxa"/>
            <w:gridSpan w:val="3"/>
            <w:noWrap w:val="0"/>
            <w:vAlign w:val="center"/>
          </w:tcPr>
          <w:p w14:paraId="2F744DA3">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（与本项目合同履约有关的专业技术力量情况说明）</w:t>
            </w:r>
          </w:p>
        </w:tc>
      </w:tr>
      <w:tr w14:paraId="1F53695F">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1843" w:type="dxa"/>
            <w:noWrap w:val="0"/>
            <w:vAlign w:val="center"/>
          </w:tcPr>
          <w:p w14:paraId="273EB28C">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专业设备</w:t>
            </w:r>
          </w:p>
        </w:tc>
        <w:tc>
          <w:tcPr>
            <w:tcW w:w="8222" w:type="dxa"/>
            <w:gridSpan w:val="3"/>
            <w:noWrap w:val="0"/>
            <w:vAlign w:val="center"/>
          </w:tcPr>
          <w:p w14:paraId="76A80DCF">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（与本项目合同履约有关的专业设备情况说明）</w:t>
            </w:r>
          </w:p>
        </w:tc>
      </w:tr>
      <w:tr w14:paraId="1EC77621">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1843" w:type="dxa"/>
            <w:noWrap w:val="0"/>
            <w:vAlign w:val="center"/>
          </w:tcPr>
          <w:p w14:paraId="1F42246C">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售后服务机构</w:t>
            </w:r>
          </w:p>
        </w:tc>
        <w:tc>
          <w:tcPr>
            <w:tcW w:w="8222" w:type="dxa"/>
            <w:gridSpan w:val="3"/>
            <w:noWrap w:val="0"/>
            <w:vAlign w:val="center"/>
          </w:tcPr>
          <w:p w14:paraId="5B4EE4A7">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（售后服务机构名称、地址等情况说明。如有，请说明）</w:t>
            </w:r>
          </w:p>
        </w:tc>
      </w:tr>
      <w:tr w14:paraId="2F6723C6">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1843" w:type="dxa"/>
            <w:noWrap w:val="0"/>
            <w:vAlign w:val="center"/>
          </w:tcPr>
          <w:p w14:paraId="53F415E0">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其他说明</w:t>
            </w:r>
          </w:p>
        </w:tc>
        <w:tc>
          <w:tcPr>
            <w:tcW w:w="8222" w:type="dxa"/>
            <w:gridSpan w:val="3"/>
            <w:noWrap w:val="0"/>
            <w:vAlign w:val="center"/>
          </w:tcPr>
          <w:p w14:paraId="06C40572">
            <w:pPr>
              <w:jc w:val="center"/>
              <w:rPr>
                <w:rFonts w:ascii="仿宋" w:hAnsi="仿宋" w:eastAsia="仿宋" w:cs="仿宋"/>
                <w:color w:val="auto"/>
                <w:szCs w:val="21"/>
                <w:highlight w:val="none"/>
              </w:rPr>
            </w:pPr>
          </w:p>
        </w:tc>
      </w:tr>
    </w:tbl>
    <w:p w14:paraId="29B25261">
      <w:pPr>
        <w:pStyle w:val="15"/>
        <w:snapToGrid w:val="0"/>
        <w:spacing w:line="360" w:lineRule="auto"/>
        <w:ind w:firstLine="480" w:firstLineChars="2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投标供应商全称：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（公章/电子签名）</w:t>
      </w:r>
    </w:p>
    <w:p w14:paraId="427ED4E5">
      <w:pPr>
        <w:snapToGrid w:val="0"/>
        <w:spacing w:line="30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71E79FED">
      <w:pPr>
        <w:snapToGrid w:val="0"/>
        <w:spacing w:line="300" w:lineRule="auto"/>
        <w:ind w:firstLine="420" w:firstLineChars="200"/>
        <w:rPr>
          <w:rFonts w:ascii="仿宋" w:hAnsi="仿宋" w:eastAsia="仿宋" w:cs="仿宋"/>
          <w:color w:val="auto"/>
          <w:szCs w:val="21"/>
          <w:highlight w:val="none"/>
        </w:rPr>
      </w:pPr>
    </w:p>
    <w:p w14:paraId="58837B23">
      <w:pPr>
        <w:snapToGrid w:val="0"/>
        <w:spacing w:line="300" w:lineRule="auto"/>
        <w:ind w:firstLine="420" w:firstLineChars="200"/>
        <w:rPr>
          <w:rFonts w:ascii="仿宋" w:hAnsi="仿宋" w:eastAsia="仿宋" w:cs="仿宋"/>
          <w:color w:val="auto"/>
          <w:szCs w:val="21"/>
          <w:highlight w:val="none"/>
        </w:rPr>
      </w:pPr>
    </w:p>
    <w:p w14:paraId="46343E3C">
      <w:pPr>
        <w:snapToGrid w:val="0"/>
        <w:spacing w:line="300" w:lineRule="auto"/>
        <w:ind w:firstLine="420" w:firstLineChars="200"/>
        <w:rPr>
          <w:rFonts w:ascii="仿宋" w:hAnsi="仿宋" w:eastAsia="仿宋" w:cs="仿宋"/>
          <w:color w:val="auto"/>
          <w:szCs w:val="21"/>
          <w:highlight w:val="none"/>
        </w:rPr>
      </w:pPr>
    </w:p>
    <w:p w14:paraId="4DC93120">
      <w:pPr>
        <w:snapToGrid w:val="0"/>
        <w:spacing w:line="300" w:lineRule="auto"/>
        <w:ind w:firstLine="422" w:firstLineChars="200"/>
        <w:rPr>
          <w:rFonts w:ascii="仿宋" w:hAnsi="仿宋" w:eastAsia="仿宋" w:cs="仿宋"/>
          <w:color w:val="auto"/>
          <w:szCs w:val="21"/>
          <w:highlight w:val="none"/>
        </w:rPr>
      </w:pPr>
      <w:r>
        <w:rPr>
          <w:rFonts w:hint="eastAsia" w:ascii="仿宋" w:hAnsi="仿宋" w:eastAsia="仿宋" w:cs="仿宋"/>
          <w:b/>
          <w:iCs/>
          <w:color w:val="auto"/>
          <w:kern w:val="0"/>
          <w:szCs w:val="21"/>
          <w:highlight w:val="none"/>
        </w:rPr>
        <w:t>『编制说明』</w:t>
      </w:r>
      <w:r>
        <w:rPr>
          <w:rFonts w:hint="eastAsia" w:ascii="仿宋" w:hAnsi="仿宋" w:eastAsia="仿宋" w:cs="仿宋"/>
          <w:b/>
          <w:bCs/>
          <w:color w:val="auto"/>
          <w:highlight w:val="none"/>
        </w:rPr>
        <w:t>：</w:t>
      </w:r>
      <w:r>
        <w:rPr>
          <w:rFonts w:hint="eastAsia" w:ascii="仿宋" w:hAnsi="仿宋" w:eastAsia="仿宋" w:cs="仿宋"/>
          <w:color w:val="auto"/>
          <w:szCs w:val="21"/>
          <w:highlight w:val="none"/>
        </w:rPr>
        <w:t>投标供应商应如实填写以上内容，不得有虚假。没有内容可不填。</w:t>
      </w:r>
    </w:p>
    <w:p w14:paraId="303C661D">
      <w:pPr>
        <w:rPr>
          <w:rFonts w:hint="eastAsia" w:ascii="仿宋" w:hAnsi="仿宋" w:eastAsia="仿宋" w:cs="仿宋"/>
          <w:color w:val="auto"/>
          <w:kern w:val="0"/>
          <w:highlight w:val="none"/>
        </w:rPr>
      </w:pPr>
    </w:p>
    <w:p w14:paraId="17A8747D">
      <w:pPr>
        <w:rPr>
          <w:rFonts w:hint="eastAsia" w:ascii="仿宋" w:hAnsi="仿宋" w:eastAsia="仿宋" w:cs="仿宋"/>
          <w:color w:val="auto"/>
          <w:kern w:val="0"/>
          <w:highlight w:val="none"/>
        </w:rPr>
      </w:pPr>
    </w:p>
    <w:p w14:paraId="78C56B28">
      <w:pPr>
        <w:ind w:firstLine="630" w:firstLineChars="300"/>
        <w:rPr>
          <w:rFonts w:ascii="仿宋" w:hAnsi="仿宋" w:eastAsia="仿宋" w:cs="宋体"/>
          <w:b/>
          <w:color w:val="auto"/>
          <w:kern w:val="0"/>
          <w:sz w:val="32"/>
          <w:szCs w:val="32"/>
          <w:highlight w:val="none"/>
        </w:rPr>
      </w:pPr>
      <w:r>
        <w:rPr>
          <w:rFonts w:hint="eastAsia" w:ascii="仿宋" w:hAnsi="仿宋" w:eastAsia="仿宋" w:cs="仿宋"/>
          <w:color w:val="auto"/>
          <w:kern w:val="0"/>
          <w:highlight w:val="none"/>
          <w:lang w:val="en-US" w:eastAsia="zh-CN"/>
        </w:rPr>
        <w:t>后附评标办法要求的企业证书（</w:t>
      </w:r>
      <w:r>
        <w:rPr>
          <w:rFonts w:hint="default" w:ascii="仿宋" w:hAnsi="仿宋" w:eastAsia="仿宋" w:cs="仿宋"/>
          <w:color w:val="auto"/>
          <w:kern w:val="0"/>
          <w:highlight w:val="none"/>
          <w:lang w:val="en-US" w:eastAsia="zh-CN"/>
        </w:rPr>
        <w:t>如有</w:t>
      </w:r>
      <w:r>
        <w:rPr>
          <w:rFonts w:hint="eastAsia" w:ascii="仿宋" w:hAnsi="仿宋" w:eastAsia="仿宋" w:cs="仿宋"/>
          <w:color w:val="auto"/>
          <w:kern w:val="0"/>
          <w:highlight w:val="none"/>
          <w:lang w:val="en-US" w:eastAsia="zh-CN"/>
        </w:rPr>
        <w:t>）</w:t>
      </w:r>
      <w:r>
        <w:rPr>
          <w:rFonts w:hint="eastAsia" w:ascii="仿宋" w:hAnsi="仿宋" w:eastAsia="仿宋" w:cs="仿宋"/>
          <w:color w:val="auto"/>
          <w:kern w:val="0"/>
          <w:highlight w:val="none"/>
        </w:rPr>
        <w:br w:type="page"/>
      </w:r>
    </w:p>
    <w:p w14:paraId="1BA3A5BB">
      <w:pPr>
        <w:widowControl/>
        <w:jc w:val="left"/>
        <w:outlineLvl w:val="2"/>
        <w:rPr>
          <w:rFonts w:hint="eastAsia" w:ascii="仿宋" w:hAnsi="仿宋" w:eastAsia="仿宋" w:cs="仿宋"/>
          <w:b/>
          <w:color w:val="auto"/>
          <w:szCs w:val="21"/>
          <w:highlight w:val="none"/>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095C18C3">
      <w:pPr>
        <w:widowControl/>
        <w:jc w:val="left"/>
        <w:outlineLvl w:val="3"/>
        <w:rPr>
          <w:rFonts w:hint="eastAsia" w:ascii="仿宋" w:hAnsi="仿宋" w:eastAsia="仿宋" w:cs="仿宋"/>
          <w:b w:val="0"/>
          <w:color w:val="auto"/>
          <w:szCs w:val="24"/>
          <w:highlight w:val="none"/>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仿宋" w:hAnsi="仿宋" w:eastAsia="仿宋" w:cs="仿宋"/>
          <w:color w:val="auto"/>
          <w:kern w:val="2"/>
          <w:highlight w:val="none"/>
          <w:lang w:val="en-US" w:eastAsia="zh-CN"/>
        </w:rPr>
        <w:t>1.4标项二投标单位后附1.质量管理体系认证证书；2.环境管理体系认证证书；3.</w:t>
      </w:r>
      <w:r>
        <w:rPr>
          <w:rFonts w:hint="eastAsia" w:ascii="仿宋" w:hAnsi="仿宋" w:eastAsia="仿宋" w:cs="仿宋"/>
          <w:b w:val="0"/>
          <w:bCs w:val="0"/>
          <w:color w:val="auto"/>
          <w:sz w:val="21"/>
          <w:highlight w:val="none"/>
        </w:rPr>
        <w:t>职业健康安全管理体系认证</w:t>
      </w:r>
      <w:r>
        <w:rPr>
          <w:rFonts w:hint="eastAsia" w:ascii="仿宋" w:hAnsi="仿宋" w:eastAsia="仿宋" w:cs="仿宋"/>
          <w:b w:val="0"/>
          <w:bCs w:val="0"/>
          <w:color w:val="auto"/>
          <w:sz w:val="21"/>
          <w:highlight w:val="none"/>
          <w:lang w:val="en-US" w:eastAsia="zh-CN"/>
        </w:rPr>
        <w:t>证书</w:t>
      </w:r>
    </w:p>
    <w:p w14:paraId="284F71B9">
      <w:pPr>
        <w:widowControl/>
        <w:jc w:val="left"/>
        <w:outlineLvl w:val="2"/>
        <w:rPr>
          <w:rFonts w:ascii="仿宋" w:hAnsi="仿宋" w:eastAsia="仿宋" w:cs="仿宋"/>
          <w:b/>
          <w:color w:val="auto"/>
          <w:highlight w:val="none"/>
        </w:rPr>
      </w:pPr>
      <w:r>
        <w:rPr>
          <w:rFonts w:hint="eastAsia" w:ascii="仿宋" w:hAnsi="仿宋" w:eastAsia="仿宋" w:cs="仿宋"/>
          <w:b/>
          <w:color w:val="auto"/>
          <w:szCs w:val="21"/>
          <w:highlight w:val="none"/>
        </w:rPr>
        <w:t>2、</w:t>
      </w:r>
      <w:r>
        <w:rPr>
          <w:rFonts w:hint="eastAsia" w:ascii="仿宋" w:hAnsi="仿宋" w:eastAsia="仿宋" w:cs="仿宋"/>
          <w:b/>
          <w:color w:val="auto"/>
          <w:szCs w:val="20"/>
          <w:highlight w:val="none"/>
        </w:rPr>
        <w:t>评分细则中技术部分</w:t>
      </w:r>
    </w:p>
    <w:p w14:paraId="7F703303">
      <w:pPr>
        <w:rPr>
          <w:rFonts w:hint="eastAsia" w:ascii="仿宋" w:hAnsi="仿宋" w:eastAsia="仿宋" w:cs="仿宋"/>
          <w:color w:val="auto"/>
          <w:sz w:val="24"/>
          <w:highlight w:val="none"/>
        </w:rPr>
      </w:pPr>
    </w:p>
    <w:p w14:paraId="0A48D952">
      <w:pPr>
        <w:rPr>
          <w:rFonts w:ascii="仿宋" w:hAnsi="仿宋" w:eastAsia="仿宋" w:cs="仿宋"/>
          <w:color w:val="auto"/>
          <w:sz w:val="24"/>
          <w:highlight w:val="none"/>
        </w:rPr>
      </w:pPr>
      <w:r>
        <w:rPr>
          <w:rFonts w:hint="eastAsia" w:ascii="仿宋" w:hAnsi="仿宋" w:eastAsia="仿宋" w:cs="仿宋"/>
          <w:color w:val="auto"/>
          <w:sz w:val="24"/>
          <w:highlight w:val="none"/>
        </w:rPr>
        <w:t>根据</w:t>
      </w:r>
      <w:r>
        <w:rPr>
          <w:rFonts w:hint="eastAsia" w:ascii="仿宋" w:hAnsi="仿宋" w:eastAsia="仿宋" w:cs="仿宋"/>
          <w:b/>
          <w:bCs/>
          <w:color w:val="auto"/>
          <w:sz w:val="24"/>
          <w:highlight w:val="none"/>
        </w:rPr>
        <w:t>评标办法和标准</w:t>
      </w:r>
      <w:r>
        <w:rPr>
          <w:rFonts w:hint="eastAsia" w:ascii="仿宋" w:hAnsi="仿宋" w:eastAsia="仿宋" w:cs="仿宋"/>
          <w:color w:val="auto"/>
          <w:sz w:val="24"/>
          <w:highlight w:val="none"/>
        </w:rPr>
        <w:t>表格中打分条款提供相关材料（未提供格式的，格式自拟）。</w:t>
      </w:r>
    </w:p>
    <w:p w14:paraId="3A8B5201">
      <w:pPr>
        <w:pStyle w:val="10"/>
        <w:ind w:firstLine="0"/>
        <w:rPr>
          <w:rFonts w:ascii="仿宋" w:hAnsi="仿宋" w:eastAsia="仿宋" w:cs="仿宋"/>
          <w:b/>
          <w:bCs/>
          <w:color w:val="auto"/>
          <w:highlight w:val="none"/>
        </w:rPr>
      </w:pPr>
    </w:p>
    <w:p w14:paraId="15D3B848">
      <w:pPr>
        <w:rPr>
          <w:rFonts w:ascii="仿宋" w:hAnsi="仿宋" w:eastAsia="仿宋" w:cs="仿宋"/>
          <w:color w:val="auto"/>
          <w:highlight w:val="none"/>
        </w:rPr>
      </w:pPr>
      <w:r>
        <w:rPr>
          <w:rFonts w:hint="eastAsia" w:ascii="仿宋" w:hAnsi="仿宋" w:eastAsia="仿宋" w:cs="仿宋"/>
          <w:color w:val="auto"/>
          <w:highlight w:val="none"/>
        </w:rPr>
        <w:t>注：提供的所有材料须与政采云平台内关联点一一对应，若是因投标供应商政采云中评分内容未关联或关联点提供的材料错误造成评审错误，由投标供应商自行承担结果。</w:t>
      </w:r>
    </w:p>
    <w:p w14:paraId="40EF2930">
      <w:pPr>
        <w:rPr>
          <w:rFonts w:ascii="仿宋" w:hAnsi="仿宋" w:eastAsia="仿宋" w:cs="仿宋"/>
          <w:color w:val="auto"/>
          <w:highlight w:val="none"/>
        </w:rPr>
      </w:pPr>
    </w:p>
    <w:p w14:paraId="2409575D">
      <w:pPr>
        <w:outlineLvl w:val="1"/>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br w:type="page"/>
      </w:r>
      <w:r>
        <w:rPr>
          <w:rFonts w:hint="eastAsia" w:ascii="仿宋" w:hAnsi="仿宋" w:eastAsia="仿宋" w:cs="宋体"/>
          <w:b/>
          <w:color w:val="auto"/>
          <w:kern w:val="0"/>
          <w:sz w:val="32"/>
          <w:szCs w:val="32"/>
          <w:highlight w:val="none"/>
        </w:rPr>
        <w:t>七、投标标的清单</w:t>
      </w:r>
    </w:p>
    <w:tbl>
      <w:tblPr>
        <w:tblStyle w:val="2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910"/>
        <w:gridCol w:w="1365"/>
        <w:gridCol w:w="703"/>
        <w:gridCol w:w="2540"/>
        <w:gridCol w:w="930"/>
        <w:gridCol w:w="1526"/>
      </w:tblGrid>
      <w:tr w14:paraId="13EF8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2A0D9699">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序号</w:t>
            </w:r>
          </w:p>
        </w:tc>
        <w:tc>
          <w:tcPr>
            <w:tcW w:w="1910" w:type="dxa"/>
            <w:tcBorders>
              <w:top w:val="single" w:color="auto" w:sz="4" w:space="0"/>
              <w:left w:val="single" w:color="auto" w:sz="4" w:space="0"/>
              <w:bottom w:val="single" w:color="auto" w:sz="4" w:space="0"/>
              <w:right w:val="single" w:color="auto" w:sz="4" w:space="0"/>
            </w:tcBorders>
            <w:noWrap w:val="0"/>
            <w:vAlign w:val="center"/>
          </w:tcPr>
          <w:p w14:paraId="22CE0F25">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名称</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5B0538B">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服务范围</w:t>
            </w:r>
          </w:p>
        </w:tc>
        <w:tc>
          <w:tcPr>
            <w:tcW w:w="703" w:type="dxa"/>
            <w:tcBorders>
              <w:top w:val="single" w:color="auto" w:sz="4" w:space="0"/>
              <w:left w:val="single" w:color="auto" w:sz="4" w:space="0"/>
              <w:bottom w:val="single" w:color="auto" w:sz="4" w:space="0"/>
              <w:right w:val="single" w:color="auto" w:sz="4" w:space="0"/>
            </w:tcBorders>
            <w:noWrap w:val="0"/>
            <w:vAlign w:val="center"/>
          </w:tcPr>
          <w:p w14:paraId="26E6C669">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服务要求</w:t>
            </w:r>
          </w:p>
        </w:tc>
        <w:tc>
          <w:tcPr>
            <w:tcW w:w="2540" w:type="dxa"/>
            <w:tcBorders>
              <w:top w:val="single" w:color="auto" w:sz="4" w:space="0"/>
              <w:left w:val="single" w:color="auto" w:sz="4" w:space="0"/>
              <w:bottom w:val="single" w:color="auto" w:sz="4" w:space="0"/>
              <w:right w:val="single" w:color="auto" w:sz="4" w:space="0"/>
            </w:tcBorders>
            <w:noWrap w:val="0"/>
            <w:vAlign w:val="center"/>
          </w:tcPr>
          <w:p w14:paraId="73A25D44">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361C7E98">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noWrap w:val="0"/>
            <w:vAlign w:val="center"/>
          </w:tcPr>
          <w:p w14:paraId="2336F28A">
            <w:pPr>
              <w:spacing w:line="360" w:lineRule="auto"/>
              <w:jc w:val="center"/>
              <w:rPr>
                <w:rFonts w:ascii="仿宋" w:hAnsi="仿宋" w:eastAsia="仿宋" w:cs="宋体"/>
                <w:b/>
                <w:color w:val="auto"/>
                <w:sz w:val="24"/>
                <w:highlight w:val="none"/>
              </w:rPr>
            </w:pPr>
          </w:p>
          <w:p w14:paraId="7765E4F2">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备注（如果有）</w:t>
            </w:r>
          </w:p>
          <w:p w14:paraId="6165DF6E">
            <w:pPr>
              <w:spacing w:line="360" w:lineRule="auto"/>
              <w:jc w:val="center"/>
              <w:rPr>
                <w:rFonts w:ascii="仿宋" w:hAnsi="仿宋" w:eastAsia="仿宋" w:cs="宋体"/>
                <w:b/>
                <w:color w:val="auto"/>
                <w:sz w:val="24"/>
                <w:highlight w:val="none"/>
              </w:rPr>
            </w:pPr>
          </w:p>
        </w:tc>
      </w:tr>
      <w:tr w14:paraId="30459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35A2BF7A">
            <w:pPr>
              <w:spacing w:line="360" w:lineRule="auto"/>
              <w:jc w:val="center"/>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1</w:t>
            </w:r>
          </w:p>
        </w:tc>
        <w:tc>
          <w:tcPr>
            <w:tcW w:w="1910" w:type="dxa"/>
            <w:tcBorders>
              <w:top w:val="single" w:color="auto" w:sz="4" w:space="0"/>
              <w:left w:val="single" w:color="auto" w:sz="4" w:space="0"/>
              <w:bottom w:val="single" w:color="auto" w:sz="4" w:space="0"/>
              <w:right w:val="single" w:color="auto" w:sz="4" w:space="0"/>
            </w:tcBorders>
            <w:noWrap w:val="0"/>
            <w:vAlign w:val="center"/>
          </w:tcPr>
          <w:p w14:paraId="50D5801D">
            <w:pPr>
              <w:widowControl/>
              <w:snapToGrid w:val="0"/>
              <w:spacing w:line="420" w:lineRule="exact"/>
              <w:jc w:val="center"/>
              <w:rPr>
                <w:rFonts w:hint="eastAsia" w:ascii="仿宋" w:hAnsi="仿宋" w:eastAsia="仿宋" w:cs="宋体"/>
                <w:color w:val="auto"/>
                <w:sz w:val="24"/>
                <w:highlight w:val="none"/>
                <w:lang w:eastAsia="zh-CN"/>
              </w:rPr>
            </w:pPr>
            <w:r>
              <w:rPr>
                <w:rFonts w:hint="eastAsia" w:ascii="仿宋" w:hAnsi="仿宋" w:eastAsia="仿宋" w:cs="Arial"/>
                <w:b w:val="0"/>
                <w:bCs/>
                <w:color w:val="auto"/>
                <w:sz w:val="24"/>
                <w:highlight w:val="none"/>
              </w:rPr>
              <w:t>“</w:t>
            </w:r>
            <w:r>
              <w:rPr>
                <w:rFonts w:hint="eastAsia" w:ascii="仿宋" w:hAnsi="仿宋" w:eastAsia="仿宋" w:cs="Arial"/>
                <w:b w:val="0"/>
                <w:bCs/>
                <w:color w:val="auto"/>
                <w:sz w:val="24"/>
                <w:highlight w:val="none"/>
              </w:rPr>
              <w:t>清净”拱墅多污染协同管控工程建设</w:t>
            </w:r>
          </w:p>
        </w:tc>
        <w:tc>
          <w:tcPr>
            <w:tcW w:w="1365" w:type="dxa"/>
            <w:tcBorders>
              <w:left w:val="single" w:color="auto" w:sz="4" w:space="0"/>
              <w:right w:val="single" w:color="auto" w:sz="4" w:space="0"/>
            </w:tcBorders>
            <w:noWrap w:val="0"/>
            <w:vAlign w:val="center"/>
          </w:tcPr>
          <w:p w14:paraId="0602D8D1">
            <w:pPr>
              <w:snapToGrid w:val="0"/>
              <w:spacing w:line="360" w:lineRule="auto"/>
              <w:jc w:val="center"/>
              <w:rPr>
                <w:rFonts w:hint="eastAsia" w:ascii="仿宋" w:hAnsi="仿宋" w:eastAsia="仿宋" w:cs="宋体"/>
                <w:color w:val="auto"/>
                <w:sz w:val="24"/>
                <w:highlight w:val="none"/>
              </w:rPr>
            </w:pPr>
            <w:r>
              <w:rPr>
                <w:rFonts w:hint="eastAsia" w:ascii="仿宋" w:hAnsi="仿宋" w:eastAsia="仿宋" w:cs="宋体"/>
                <w:color w:val="auto"/>
                <w:sz w:val="24"/>
                <w:highlight w:val="none"/>
              </w:rPr>
              <w:t>完成第三部分“采购需求”所有内容</w:t>
            </w:r>
          </w:p>
        </w:tc>
        <w:tc>
          <w:tcPr>
            <w:tcW w:w="703" w:type="dxa"/>
            <w:tcBorders>
              <w:left w:val="single" w:color="auto" w:sz="4" w:space="0"/>
              <w:right w:val="single" w:color="auto" w:sz="4" w:space="0"/>
            </w:tcBorders>
            <w:noWrap w:val="0"/>
            <w:vAlign w:val="center"/>
          </w:tcPr>
          <w:p w14:paraId="0074D9A7">
            <w:pPr>
              <w:snapToGrid w:val="0"/>
              <w:spacing w:line="360" w:lineRule="auto"/>
              <w:jc w:val="center"/>
              <w:rPr>
                <w:rFonts w:hint="eastAsia" w:ascii="仿宋" w:hAnsi="仿宋" w:eastAsia="仿宋" w:cs="宋体"/>
                <w:color w:val="auto"/>
                <w:sz w:val="24"/>
                <w:highlight w:val="none"/>
              </w:rPr>
            </w:pPr>
            <w:r>
              <w:rPr>
                <w:rFonts w:hint="eastAsia" w:ascii="仿宋" w:hAnsi="仿宋" w:eastAsia="仿宋" w:cs="宋体"/>
                <w:color w:val="auto"/>
                <w:sz w:val="24"/>
                <w:highlight w:val="none"/>
              </w:rPr>
              <w:t>符合招标文件要求及相关行业标准</w:t>
            </w:r>
          </w:p>
        </w:tc>
        <w:tc>
          <w:tcPr>
            <w:tcW w:w="2540" w:type="dxa"/>
            <w:tcBorders>
              <w:left w:val="single" w:color="auto" w:sz="4" w:space="0"/>
              <w:right w:val="single" w:color="auto" w:sz="4" w:space="0"/>
            </w:tcBorders>
            <w:noWrap w:val="0"/>
            <w:vAlign w:val="center"/>
          </w:tcPr>
          <w:p w14:paraId="6D77D325">
            <w:pPr>
              <w:widowControl/>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b w:val="0"/>
                <w:bCs w:val="0"/>
                <w:color w:val="auto"/>
                <w:sz w:val="24"/>
                <w:highlight w:val="none"/>
              </w:rPr>
              <w:t>签订合同且</w:t>
            </w:r>
            <w:r>
              <w:rPr>
                <w:rFonts w:hint="eastAsia" w:ascii="仿宋" w:hAnsi="仿宋" w:eastAsia="仿宋" w:cs="仿宋"/>
                <w:b w:val="0"/>
                <w:bCs w:val="0"/>
                <w:color w:val="auto"/>
                <w:sz w:val="24"/>
                <w:highlight w:val="none"/>
                <w:lang w:val="en-US" w:eastAsia="zh-CN"/>
              </w:rPr>
              <w:t>完全</w:t>
            </w:r>
            <w:r>
              <w:rPr>
                <w:rFonts w:hint="eastAsia" w:ascii="仿宋" w:hAnsi="仿宋" w:eastAsia="仿宋" w:cs="仿宋"/>
                <w:b w:val="0"/>
                <w:bCs w:val="0"/>
                <w:color w:val="auto"/>
                <w:sz w:val="24"/>
                <w:highlight w:val="none"/>
              </w:rPr>
              <w:t>具备施工条件后</w:t>
            </w:r>
            <w:r>
              <w:rPr>
                <w:rFonts w:hint="eastAsia" w:ascii="仿宋" w:hAnsi="仿宋" w:eastAsia="仿宋" w:cs="仿宋"/>
                <w:b w:val="0"/>
                <w:bCs w:val="0"/>
                <w:color w:val="auto"/>
                <w:sz w:val="24"/>
                <w:highlight w:val="none"/>
                <w:lang w:val="en-US" w:eastAsia="zh-CN"/>
              </w:rPr>
              <w:t>3</w:t>
            </w:r>
            <w:r>
              <w:rPr>
                <w:rFonts w:hint="eastAsia" w:ascii="仿宋" w:hAnsi="仿宋" w:eastAsia="仿宋" w:cs="仿宋"/>
                <w:b w:val="0"/>
                <w:bCs w:val="0"/>
                <w:color w:val="auto"/>
                <w:sz w:val="24"/>
                <w:highlight w:val="none"/>
              </w:rPr>
              <w:t>个月内完成3D微气象调控系统及颗粒物激光雷达设备</w:t>
            </w:r>
            <w:r>
              <w:rPr>
                <w:rFonts w:hint="eastAsia" w:ascii="仿宋" w:hAnsi="仿宋" w:eastAsia="仿宋" w:cs="仿宋"/>
                <w:b w:val="0"/>
                <w:bCs w:val="0"/>
                <w:color w:val="auto"/>
                <w:sz w:val="24"/>
                <w:highlight w:val="none"/>
              </w:rPr>
              <w:t>安装、调试，布局应科学合理，统一规划。安装完成后需尽快完成调试，确保设备正常运行</w:t>
            </w:r>
            <w:r>
              <w:rPr>
                <w:rFonts w:hint="eastAsia" w:ascii="仿宋" w:hAnsi="仿宋" w:eastAsia="仿宋" w:cs="仿宋"/>
                <w:color w:val="auto"/>
                <w:sz w:val="24"/>
                <w:highlight w:val="none"/>
              </w:rPr>
              <w:t>。</w:t>
            </w:r>
          </w:p>
        </w:tc>
        <w:tc>
          <w:tcPr>
            <w:tcW w:w="930" w:type="dxa"/>
            <w:tcBorders>
              <w:left w:val="single" w:color="auto" w:sz="4" w:space="0"/>
              <w:right w:val="single" w:color="auto" w:sz="4" w:space="0"/>
            </w:tcBorders>
            <w:noWrap w:val="0"/>
            <w:vAlign w:val="center"/>
          </w:tcPr>
          <w:p w14:paraId="5D73B7B9">
            <w:pPr>
              <w:spacing w:line="360" w:lineRule="auto"/>
              <w:jc w:val="center"/>
              <w:rPr>
                <w:rFonts w:hint="eastAsia" w:ascii="仿宋" w:hAnsi="仿宋" w:eastAsia="仿宋" w:cs="宋体"/>
                <w:color w:val="auto"/>
                <w:sz w:val="24"/>
                <w:highlight w:val="none"/>
              </w:rPr>
            </w:pPr>
            <w:r>
              <w:rPr>
                <w:rFonts w:hint="eastAsia" w:ascii="仿宋" w:hAnsi="仿宋" w:eastAsia="仿宋" w:cs="宋体"/>
                <w:color w:val="auto"/>
                <w:sz w:val="24"/>
                <w:highlight w:val="none"/>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14:paraId="69683DE9">
            <w:pPr>
              <w:spacing w:line="360" w:lineRule="auto"/>
              <w:jc w:val="center"/>
              <w:rPr>
                <w:rFonts w:ascii="仿宋" w:hAnsi="仿宋" w:eastAsia="仿宋" w:cs="宋体"/>
                <w:color w:val="auto"/>
                <w:sz w:val="24"/>
                <w:highlight w:val="none"/>
              </w:rPr>
            </w:pPr>
          </w:p>
        </w:tc>
      </w:tr>
      <w:tr w14:paraId="05AB0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789B0C59">
            <w:pPr>
              <w:spacing w:line="360" w:lineRule="auto"/>
              <w:jc w:val="center"/>
              <w:rPr>
                <w:rFonts w:hint="default"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2</w:t>
            </w:r>
          </w:p>
        </w:tc>
        <w:tc>
          <w:tcPr>
            <w:tcW w:w="1910" w:type="dxa"/>
            <w:tcBorders>
              <w:top w:val="single" w:color="auto" w:sz="4" w:space="0"/>
              <w:left w:val="single" w:color="auto" w:sz="4" w:space="0"/>
              <w:bottom w:val="single" w:color="auto" w:sz="4" w:space="0"/>
              <w:right w:val="single" w:color="auto" w:sz="4" w:space="0"/>
            </w:tcBorders>
            <w:noWrap w:val="0"/>
            <w:vAlign w:val="center"/>
          </w:tcPr>
          <w:p w14:paraId="076E9031">
            <w:pPr>
              <w:widowControl/>
              <w:snapToGrid w:val="0"/>
              <w:spacing w:line="420" w:lineRule="exact"/>
              <w:jc w:val="center"/>
              <w:rPr>
                <w:rFonts w:hint="eastAsia" w:ascii="仿宋" w:hAnsi="仿宋" w:eastAsia="仿宋" w:cs="仿宋"/>
                <w:color w:val="auto"/>
                <w:sz w:val="24"/>
                <w:highlight w:val="none"/>
                <w:lang w:eastAsia="zh-CN"/>
              </w:rPr>
            </w:pPr>
            <w:r>
              <w:rPr>
                <w:rFonts w:hint="eastAsia" w:ascii="仿宋" w:hAnsi="仿宋" w:eastAsia="仿宋" w:cs="Arial"/>
                <w:b w:val="0"/>
                <w:bCs/>
                <w:color w:val="auto"/>
                <w:sz w:val="24"/>
                <w:highlight w:val="none"/>
              </w:rPr>
              <w:t>“清净”拱墅</w:t>
            </w:r>
            <w:r>
              <w:rPr>
                <w:rFonts w:hint="eastAsia" w:ascii="仿宋" w:hAnsi="仿宋" w:eastAsia="仿宋" w:cs="Arial"/>
                <w:b w:val="0"/>
                <w:bCs/>
                <w:color w:val="auto"/>
                <w:sz w:val="24"/>
                <w:highlight w:val="none"/>
                <w:lang w:val="en-US" w:eastAsia="zh-CN"/>
              </w:rPr>
              <w:t>环境空气</w:t>
            </w:r>
            <w:r>
              <w:rPr>
                <w:rFonts w:hint="eastAsia" w:ascii="仿宋" w:hAnsi="仿宋" w:eastAsia="仿宋" w:cs="Arial"/>
                <w:b w:val="0"/>
                <w:bCs/>
                <w:color w:val="auto"/>
                <w:sz w:val="24"/>
                <w:highlight w:val="none"/>
                <w:lang w:eastAsia="zh-CN"/>
              </w:rPr>
              <w:t>污染</w:t>
            </w:r>
            <w:r>
              <w:rPr>
                <w:rFonts w:hint="eastAsia" w:ascii="仿宋" w:hAnsi="仿宋" w:eastAsia="仿宋" w:cs="Arial"/>
                <w:b w:val="0"/>
                <w:bCs/>
                <w:color w:val="auto"/>
                <w:sz w:val="24"/>
                <w:highlight w:val="none"/>
                <w:lang w:val="en-US" w:eastAsia="zh-CN"/>
              </w:rPr>
              <w:t>源</w:t>
            </w:r>
            <w:r>
              <w:rPr>
                <w:rFonts w:hint="eastAsia" w:ascii="仿宋" w:hAnsi="仿宋" w:eastAsia="仿宋" w:cs="Arial"/>
                <w:b w:val="0"/>
                <w:bCs/>
                <w:color w:val="auto"/>
                <w:sz w:val="24"/>
                <w:highlight w:val="none"/>
                <w:lang w:eastAsia="zh-CN"/>
              </w:rPr>
              <w:t>治理服务</w:t>
            </w:r>
          </w:p>
        </w:tc>
        <w:tc>
          <w:tcPr>
            <w:tcW w:w="1365" w:type="dxa"/>
            <w:tcBorders>
              <w:left w:val="single" w:color="auto" w:sz="4" w:space="0"/>
              <w:right w:val="single" w:color="auto" w:sz="4" w:space="0"/>
            </w:tcBorders>
            <w:noWrap w:val="0"/>
            <w:vAlign w:val="center"/>
          </w:tcPr>
          <w:p w14:paraId="0CF786A3">
            <w:pPr>
              <w:snapToGrid w:val="0"/>
              <w:spacing w:line="360" w:lineRule="auto"/>
              <w:jc w:val="center"/>
              <w:rPr>
                <w:rFonts w:hint="eastAsia" w:ascii="仿宋" w:hAnsi="仿宋" w:eastAsia="仿宋" w:cs="宋体"/>
                <w:color w:val="auto"/>
                <w:sz w:val="24"/>
                <w:highlight w:val="none"/>
              </w:rPr>
            </w:pPr>
            <w:r>
              <w:rPr>
                <w:rFonts w:hint="eastAsia" w:ascii="仿宋" w:hAnsi="仿宋" w:eastAsia="仿宋" w:cs="宋体"/>
                <w:color w:val="auto"/>
                <w:sz w:val="24"/>
                <w:highlight w:val="none"/>
              </w:rPr>
              <w:t>完成第三部分“采购需求”所有内容</w:t>
            </w:r>
          </w:p>
        </w:tc>
        <w:tc>
          <w:tcPr>
            <w:tcW w:w="703" w:type="dxa"/>
            <w:tcBorders>
              <w:left w:val="single" w:color="auto" w:sz="4" w:space="0"/>
              <w:right w:val="single" w:color="auto" w:sz="4" w:space="0"/>
            </w:tcBorders>
            <w:noWrap w:val="0"/>
            <w:vAlign w:val="center"/>
          </w:tcPr>
          <w:p w14:paraId="2AE2D1A7">
            <w:pPr>
              <w:snapToGrid w:val="0"/>
              <w:spacing w:line="360" w:lineRule="auto"/>
              <w:jc w:val="center"/>
              <w:rPr>
                <w:rFonts w:hint="eastAsia" w:ascii="仿宋" w:hAnsi="仿宋" w:eastAsia="仿宋" w:cs="宋体"/>
                <w:color w:val="auto"/>
                <w:sz w:val="24"/>
                <w:highlight w:val="none"/>
              </w:rPr>
            </w:pPr>
            <w:r>
              <w:rPr>
                <w:rFonts w:hint="eastAsia" w:ascii="仿宋" w:hAnsi="仿宋" w:eastAsia="仿宋" w:cs="宋体"/>
                <w:color w:val="auto"/>
                <w:sz w:val="24"/>
                <w:highlight w:val="none"/>
              </w:rPr>
              <w:t>符合招标文件要求及相关行业标准</w:t>
            </w:r>
          </w:p>
        </w:tc>
        <w:tc>
          <w:tcPr>
            <w:tcW w:w="2540" w:type="dxa"/>
            <w:tcBorders>
              <w:left w:val="single" w:color="auto" w:sz="4" w:space="0"/>
              <w:right w:val="single" w:color="auto" w:sz="4" w:space="0"/>
            </w:tcBorders>
            <w:noWrap w:val="0"/>
            <w:vAlign w:val="center"/>
          </w:tcPr>
          <w:p w14:paraId="328522AA">
            <w:pPr>
              <w:widowControl/>
              <w:snapToGrid w:val="0"/>
              <w:spacing w:line="360" w:lineRule="auto"/>
              <w:jc w:val="left"/>
              <w:rPr>
                <w:rFonts w:hint="eastAsia" w:ascii="仿宋" w:hAnsi="仿宋" w:eastAsia="仿宋" w:cs="Arial"/>
                <w:b w:val="0"/>
                <w:bCs/>
                <w:color w:val="auto"/>
                <w:sz w:val="24"/>
                <w:highlight w:val="none"/>
              </w:rPr>
            </w:pPr>
            <w:r>
              <w:rPr>
                <w:rFonts w:hint="eastAsia" w:ascii="仿宋" w:hAnsi="仿宋" w:eastAsia="仿宋" w:cs="Arial"/>
                <w:b w:val="0"/>
                <w:bCs w:val="0"/>
                <w:color w:val="auto"/>
                <w:sz w:val="24"/>
                <w:highlight w:val="none"/>
                <w:lang w:val="en-US" w:eastAsia="zh-CN"/>
              </w:rPr>
              <w:t>合同签订后提交服务方案，经甲方确认后在 30天内完成设备点位的安装和调试，投入使用后进入三年服务期。服务期间提供季度及年度数据分析报告。</w:t>
            </w:r>
          </w:p>
        </w:tc>
        <w:tc>
          <w:tcPr>
            <w:tcW w:w="930" w:type="dxa"/>
            <w:tcBorders>
              <w:left w:val="single" w:color="auto" w:sz="4" w:space="0"/>
              <w:right w:val="single" w:color="auto" w:sz="4" w:space="0"/>
            </w:tcBorders>
            <w:noWrap w:val="0"/>
            <w:vAlign w:val="center"/>
          </w:tcPr>
          <w:p w14:paraId="6AB7BC52">
            <w:pPr>
              <w:spacing w:line="360" w:lineRule="auto"/>
              <w:jc w:val="center"/>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14:paraId="76A935C1">
            <w:pPr>
              <w:spacing w:line="360" w:lineRule="auto"/>
              <w:jc w:val="center"/>
              <w:rPr>
                <w:rFonts w:ascii="仿宋" w:hAnsi="仿宋" w:eastAsia="仿宋" w:cs="宋体"/>
                <w:color w:val="auto"/>
                <w:sz w:val="24"/>
                <w:highlight w:val="none"/>
              </w:rPr>
            </w:pPr>
          </w:p>
        </w:tc>
      </w:tr>
    </w:tbl>
    <w:p w14:paraId="78F39203">
      <w:pPr>
        <w:snapToGrid w:val="0"/>
        <w:spacing w:line="360" w:lineRule="auto"/>
        <w:ind w:firstLine="480" w:firstLineChars="200"/>
        <w:rPr>
          <w:rFonts w:ascii="仿宋" w:hAnsi="仿宋" w:eastAsia="仿宋" w:cs="仿宋"/>
          <w:color w:val="auto"/>
          <w:spacing w:val="20"/>
          <w:sz w:val="24"/>
          <w:highlight w:val="none"/>
          <w:u w:val="single"/>
        </w:rPr>
      </w:pPr>
      <w:r>
        <w:rPr>
          <w:rFonts w:hint="eastAsia" w:ascii="仿宋" w:hAnsi="仿宋" w:eastAsia="仿宋" w:cs="仿宋"/>
          <w:color w:val="auto"/>
          <w:sz w:val="24"/>
          <w:highlight w:val="none"/>
        </w:rPr>
        <w:t xml:space="preserve">投标供应商全称：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（公章/电子签名）</w:t>
      </w:r>
    </w:p>
    <w:p w14:paraId="63BC10B0">
      <w:pPr>
        <w:snapToGrid w:val="0"/>
        <w:spacing w:line="360" w:lineRule="auto"/>
        <w:ind w:firstLine="480" w:firstLineChars="200"/>
        <w:rPr>
          <w:rFonts w:ascii="仿宋" w:hAnsi="仿宋" w:eastAsia="仿宋" w:cs="仿宋"/>
          <w:color w:val="auto"/>
          <w:spacing w:val="20"/>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lang w:eastAsia="zh-CN"/>
        </w:rPr>
        <w:t>2025年</w:t>
      </w:r>
      <w:r>
        <w:rPr>
          <w:rFonts w:hint="eastAsia" w:ascii="仿宋" w:hAnsi="仿宋" w:eastAsia="仿宋" w:cs="仿宋"/>
          <w:color w:val="auto"/>
          <w:sz w:val="24"/>
          <w:highlight w:val="none"/>
        </w:rPr>
        <w:t xml:space="preserve">   月   日</w:t>
      </w:r>
    </w:p>
    <w:p w14:paraId="49F85A92">
      <w:pPr>
        <w:jc w:val="center"/>
        <w:rPr>
          <w:rFonts w:ascii="仿宋" w:hAnsi="仿宋" w:eastAsia="仿宋" w:cs="宋体"/>
          <w:b/>
          <w:color w:val="auto"/>
          <w:kern w:val="0"/>
          <w:sz w:val="32"/>
          <w:szCs w:val="32"/>
          <w:highlight w:val="none"/>
        </w:rPr>
      </w:pPr>
    </w:p>
    <w:p w14:paraId="0AEC8D92">
      <w:pPr>
        <w:jc w:val="center"/>
        <w:rPr>
          <w:rFonts w:ascii="仿宋" w:hAnsi="仿宋" w:eastAsia="仿宋" w:cs="宋体"/>
          <w:b/>
          <w:color w:val="auto"/>
          <w:kern w:val="0"/>
          <w:sz w:val="32"/>
          <w:szCs w:val="32"/>
          <w:highlight w:val="none"/>
        </w:rPr>
      </w:pPr>
    </w:p>
    <w:p w14:paraId="6CCF349B">
      <w:pPr>
        <w:outlineLvl w:val="1"/>
        <w:rPr>
          <w:rFonts w:hint="eastAsia"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br w:type="page"/>
      </w:r>
      <w:r>
        <w:rPr>
          <w:rFonts w:hint="eastAsia" w:ascii="仿宋" w:hAnsi="仿宋" w:eastAsia="仿宋" w:cs="宋体"/>
          <w:b/>
          <w:color w:val="auto"/>
          <w:kern w:val="0"/>
          <w:sz w:val="32"/>
          <w:szCs w:val="32"/>
          <w:highlight w:val="none"/>
        </w:rPr>
        <w:t>八、</w:t>
      </w:r>
      <w:r>
        <w:rPr>
          <w:rFonts w:hint="eastAsia" w:ascii="仿宋" w:hAnsi="仿宋" w:eastAsia="仿宋" w:cs="宋体"/>
          <w:b/>
          <w:color w:val="auto"/>
          <w:kern w:val="0"/>
          <w:sz w:val="32"/>
          <w:szCs w:val="32"/>
          <w:highlight w:val="none"/>
          <w:lang w:val="zh-CN"/>
        </w:rPr>
        <w:t>政府采购供应商廉洁自律承诺书</w:t>
      </w:r>
    </w:p>
    <w:p w14:paraId="1D0D4C52">
      <w:pPr>
        <w:snapToGrid w:val="0"/>
        <w:spacing w:line="360" w:lineRule="auto"/>
        <w:rPr>
          <w:rFonts w:ascii="仿宋" w:hAnsi="仿宋" w:eastAsia="仿宋" w:cs="宋体"/>
          <w:color w:val="auto"/>
          <w:sz w:val="24"/>
          <w:highlight w:val="none"/>
        </w:rPr>
      </w:pPr>
    </w:p>
    <w:p w14:paraId="6F2C178A">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sz w:val="24"/>
          <w:highlight w:val="none"/>
          <w:lang w:eastAsia="zh-CN"/>
        </w:rPr>
        <w:t>杭州市生态环境局拱墅分局</w:t>
      </w:r>
      <w:r>
        <w:rPr>
          <w:rFonts w:hint="eastAsia" w:ascii="仿宋" w:hAnsi="仿宋" w:eastAsia="仿宋" w:cs="宋体"/>
          <w:color w:val="auto"/>
          <w:sz w:val="24"/>
          <w:highlight w:val="none"/>
        </w:rPr>
        <w:t>、</w:t>
      </w:r>
      <w:r>
        <w:rPr>
          <w:rFonts w:hint="eastAsia" w:ascii="仿宋" w:hAnsi="仿宋" w:eastAsia="仿宋" w:cs="宋体"/>
          <w:color w:val="auto"/>
          <w:sz w:val="24"/>
          <w:highlight w:val="none"/>
          <w:lang w:eastAsia="zh-CN"/>
        </w:rPr>
        <w:t>浙江五石中正工程咨询有限公司</w:t>
      </w:r>
      <w:r>
        <w:rPr>
          <w:rFonts w:hint="eastAsia" w:ascii="仿宋" w:hAnsi="仿宋" w:eastAsia="仿宋" w:cs="宋体"/>
          <w:color w:val="auto"/>
          <w:kern w:val="0"/>
          <w:sz w:val="24"/>
          <w:highlight w:val="none"/>
          <w:lang w:val="zh-CN"/>
        </w:rPr>
        <w:t>：</w:t>
      </w:r>
    </w:p>
    <w:p w14:paraId="18B736C8">
      <w:pPr>
        <w:autoSpaceDE w:val="0"/>
        <w:autoSpaceDN w:val="0"/>
        <w:spacing w:line="360" w:lineRule="auto"/>
        <w:ind w:left="2" w:leftChars="1"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我单位响应你</w:t>
      </w:r>
      <w:r>
        <w:rPr>
          <w:rFonts w:hint="eastAsia" w:ascii="仿宋" w:hAnsi="仿宋" w:eastAsia="仿宋" w:cs="宋体"/>
          <w:color w:val="auto"/>
          <w:sz w:val="24"/>
          <w:highlight w:val="none"/>
        </w:rPr>
        <w:t>单位</w:t>
      </w:r>
      <w:r>
        <w:rPr>
          <w:rFonts w:hint="eastAsia" w:ascii="仿宋" w:hAnsi="仿宋" w:eastAsia="仿宋" w:cs="宋体"/>
          <w:color w:val="auto"/>
          <w:kern w:val="0"/>
          <w:sz w:val="24"/>
          <w:highlight w:val="none"/>
          <w:lang w:val="zh-CN"/>
        </w:rPr>
        <w:t>项目招标要求参加投标。在这次投标过程中和中标后，我们将严格遵守国家法律法规要求，并郑重承诺：</w:t>
      </w:r>
    </w:p>
    <w:p w14:paraId="4FBC8841">
      <w:pPr>
        <w:autoSpaceDE w:val="0"/>
        <w:autoSpaceDN w:val="0"/>
        <w:spacing w:line="360" w:lineRule="auto"/>
        <w:ind w:left="2" w:leftChars="1"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一、不向项目有关人员及部门赠送礼金礼物、有价证券、回扣以及中介费、介绍费、咨询费等好处费；</w:t>
      </w:r>
    </w:p>
    <w:p w14:paraId="0A2AEF53">
      <w:pPr>
        <w:autoSpaceDE w:val="0"/>
        <w:autoSpaceDN w:val="0"/>
        <w:spacing w:line="360" w:lineRule="auto"/>
        <w:ind w:left="2" w:leftChars="1"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二、不为项目有关人员及部门报销应由你方单位或个人支付的费用；</w:t>
      </w:r>
    </w:p>
    <w:p w14:paraId="0D15D819">
      <w:pPr>
        <w:autoSpaceDE w:val="0"/>
        <w:autoSpaceDN w:val="0"/>
        <w:spacing w:line="360" w:lineRule="auto"/>
        <w:ind w:left="2" w:leftChars="1"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三、不向项目有关人员及部门提供有可能影响公正的宴请和健身娱乐等活动；</w:t>
      </w:r>
    </w:p>
    <w:p w14:paraId="6797E650">
      <w:pPr>
        <w:autoSpaceDE w:val="0"/>
        <w:autoSpaceDN w:val="0"/>
        <w:spacing w:line="360" w:lineRule="auto"/>
        <w:ind w:left="2" w:leftChars="1"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四、不为项目有关人员及部门出国（境）、旅游等提供方便；</w:t>
      </w:r>
    </w:p>
    <w:p w14:paraId="7DD1B8FB">
      <w:pPr>
        <w:autoSpaceDE w:val="0"/>
        <w:autoSpaceDN w:val="0"/>
        <w:spacing w:line="360" w:lineRule="auto"/>
        <w:ind w:left="481" w:leftChars="229"/>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五、不为项目有关人员个人装修住房、婚丧嫁娶、配偶子女工作安排等提供</w:t>
      </w:r>
    </w:p>
    <w:p w14:paraId="44660D49">
      <w:pPr>
        <w:autoSpaceDE w:val="0"/>
        <w:autoSpaceDN w:val="0"/>
        <w:spacing w:line="360" w:lineRule="auto"/>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好处；</w:t>
      </w:r>
    </w:p>
    <w:p w14:paraId="03874EB7">
      <w:pPr>
        <w:autoSpaceDE w:val="0"/>
        <w:autoSpaceDN w:val="0"/>
        <w:spacing w:line="360" w:lineRule="auto"/>
        <w:ind w:left="481" w:leftChars="229"/>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六、严格遵守《</w:t>
      </w:r>
      <w:r>
        <w:rPr>
          <w:rFonts w:hint="eastAsia" w:ascii="仿宋" w:hAnsi="仿宋" w:eastAsia="仿宋" w:cs="宋体"/>
          <w:color w:val="auto"/>
          <w:sz w:val="24"/>
          <w:highlight w:val="none"/>
          <w:lang w:val="zh-CN"/>
        </w:rPr>
        <w:t>中华人民共和国</w:t>
      </w:r>
      <w:r>
        <w:rPr>
          <w:rFonts w:hint="eastAsia" w:ascii="仿宋" w:hAnsi="仿宋" w:eastAsia="仿宋" w:cs="宋体"/>
          <w:color w:val="auto"/>
          <w:kern w:val="0"/>
          <w:sz w:val="24"/>
          <w:highlight w:val="none"/>
          <w:lang w:val="zh-CN"/>
        </w:rPr>
        <w:t>政府采购法》《</w:t>
      </w:r>
      <w:r>
        <w:rPr>
          <w:rFonts w:hint="eastAsia" w:ascii="仿宋" w:hAnsi="仿宋" w:eastAsia="仿宋" w:cs="宋体"/>
          <w:color w:val="auto"/>
          <w:sz w:val="24"/>
          <w:highlight w:val="none"/>
          <w:lang w:val="zh-CN"/>
        </w:rPr>
        <w:t>中华人民共和国</w:t>
      </w:r>
      <w:r>
        <w:rPr>
          <w:rFonts w:hint="eastAsia" w:ascii="仿宋" w:hAnsi="仿宋" w:eastAsia="仿宋" w:cs="宋体"/>
          <w:color w:val="auto"/>
          <w:kern w:val="0"/>
          <w:sz w:val="24"/>
          <w:highlight w:val="none"/>
          <w:lang w:val="zh-CN"/>
        </w:rPr>
        <w:t>招标投标</w:t>
      </w:r>
    </w:p>
    <w:p w14:paraId="1E9502F1">
      <w:pPr>
        <w:autoSpaceDE w:val="0"/>
        <w:autoSpaceDN w:val="0"/>
        <w:spacing w:line="360" w:lineRule="auto"/>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法》</w:t>
      </w:r>
      <w:r>
        <w:rPr>
          <w:rFonts w:hint="eastAsia" w:ascii="仿宋" w:hAnsi="仿宋" w:eastAsia="仿宋" w:cs="宋体"/>
          <w:color w:val="auto"/>
          <w:sz w:val="24"/>
          <w:highlight w:val="none"/>
          <w:lang w:val="zh-CN"/>
        </w:rPr>
        <w:t>《中华人民共和国民法典》</w:t>
      </w:r>
      <w:r>
        <w:rPr>
          <w:rFonts w:hint="eastAsia" w:ascii="仿宋" w:hAnsi="仿宋" w:eastAsia="仿宋" w:cs="宋体"/>
          <w:color w:val="auto"/>
          <w:kern w:val="0"/>
          <w:sz w:val="24"/>
          <w:highlight w:val="none"/>
          <w:lang w:val="zh-CN"/>
        </w:rPr>
        <w:t>等法律法规，诚实守信，合法经营，坚决抵制各种违法违纪行为。</w:t>
      </w:r>
    </w:p>
    <w:p w14:paraId="779CF8EB">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如违反上述承诺，你</w:t>
      </w:r>
      <w:r>
        <w:rPr>
          <w:rFonts w:hint="eastAsia" w:ascii="仿宋" w:hAnsi="仿宋" w:eastAsia="仿宋" w:cs="宋体"/>
          <w:color w:val="auto"/>
          <w:sz w:val="24"/>
          <w:highlight w:val="none"/>
        </w:rPr>
        <w:t>单位</w:t>
      </w:r>
      <w:r>
        <w:rPr>
          <w:rFonts w:hint="eastAsia" w:ascii="仿宋" w:hAnsi="仿宋" w:eastAsia="仿宋" w:cs="宋体"/>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宋体"/>
          <w:color w:val="auto"/>
          <w:sz w:val="24"/>
          <w:highlight w:val="none"/>
        </w:rPr>
        <w:t>单位</w:t>
      </w:r>
      <w:r>
        <w:rPr>
          <w:rFonts w:hint="eastAsia" w:ascii="仿宋" w:hAnsi="仿宋" w:eastAsia="仿宋" w:cs="宋体"/>
          <w:color w:val="auto"/>
          <w:kern w:val="0"/>
          <w:sz w:val="24"/>
          <w:highlight w:val="none"/>
          <w:lang w:val="zh-CN"/>
        </w:rPr>
        <w:t>进行项目建设或其他经营活动，并通报市财政局。由此引起的相应损失均由我单位承担。</w:t>
      </w:r>
    </w:p>
    <w:p w14:paraId="2BA19ABE">
      <w:pPr>
        <w:autoSpaceDE w:val="0"/>
        <w:autoSpaceDN w:val="0"/>
        <w:spacing w:line="360" w:lineRule="auto"/>
        <w:ind w:left="2"/>
        <w:jc w:val="left"/>
        <w:rPr>
          <w:rFonts w:ascii="仿宋" w:hAnsi="仿宋" w:eastAsia="仿宋" w:cs="宋体"/>
          <w:color w:val="auto"/>
          <w:kern w:val="0"/>
          <w:sz w:val="24"/>
          <w:highlight w:val="none"/>
          <w:lang w:val="zh-CN"/>
        </w:rPr>
      </w:pPr>
    </w:p>
    <w:p w14:paraId="013C6B8B">
      <w:pPr>
        <w:autoSpaceDE w:val="0"/>
        <w:autoSpaceDN w:val="0"/>
        <w:spacing w:line="360" w:lineRule="auto"/>
        <w:ind w:left="2"/>
        <w:jc w:val="left"/>
        <w:rPr>
          <w:rFonts w:ascii="仿宋" w:hAnsi="仿宋" w:eastAsia="仿宋" w:cs="宋体"/>
          <w:color w:val="auto"/>
          <w:kern w:val="0"/>
          <w:sz w:val="24"/>
          <w:highlight w:val="none"/>
          <w:lang w:val="zh-CN"/>
        </w:rPr>
      </w:pPr>
    </w:p>
    <w:p w14:paraId="2F992DB3">
      <w:pPr>
        <w:autoSpaceDE w:val="0"/>
        <w:autoSpaceDN w:val="0"/>
        <w:spacing w:line="360" w:lineRule="auto"/>
        <w:ind w:left="2"/>
        <w:jc w:val="left"/>
        <w:rPr>
          <w:rFonts w:ascii="仿宋" w:hAnsi="仿宋" w:eastAsia="仿宋" w:cs="宋体"/>
          <w:color w:val="auto"/>
          <w:kern w:val="0"/>
          <w:sz w:val="24"/>
          <w:highlight w:val="none"/>
          <w:lang w:val="zh-CN"/>
        </w:rPr>
      </w:pPr>
    </w:p>
    <w:p w14:paraId="1852E75F">
      <w:pPr>
        <w:autoSpaceDE w:val="0"/>
        <w:autoSpaceDN w:val="0"/>
        <w:spacing w:line="360" w:lineRule="auto"/>
        <w:ind w:left="2" w:leftChars="1" w:right="1120" w:firstLine="4560" w:firstLineChars="19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投标人名称（</w:t>
      </w:r>
      <w:r>
        <w:rPr>
          <w:rFonts w:hint="eastAsia" w:ascii="仿宋" w:hAnsi="仿宋" w:eastAsia="仿宋" w:cs="宋体"/>
          <w:color w:val="auto"/>
          <w:sz w:val="24"/>
          <w:highlight w:val="none"/>
        </w:rPr>
        <w:t>电子签名</w:t>
      </w:r>
      <w:r>
        <w:rPr>
          <w:rFonts w:hint="eastAsia" w:ascii="仿宋" w:hAnsi="仿宋" w:eastAsia="仿宋" w:cs="宋体"/>
          <w:color w:val="auto"/>
          <w:kern w:val="0"/>
          <w:sz w:val="24"/>
          <w:highlight w:val="none"/>
          <w:lang w:val="zh-CN"/>
        </w:rPr>
        <w:t xml:space="preserve">）：                                                                                                                                                                                                               </w:t>
      </w:r>
    </w:p>
    <w:p w14:paraId="71CD3A44">
      <w:pPr>
        <w:spacing w:line="360" w:lineRule="auto"/>
        <w:ind w:left="4620" w:leftChars="2200"/>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日期</w:t>
      </w:r>
      <w:r>
        <w:rPr>
          <w:rFonts w:hint="eastAsia" w:ascii="仿宋" w:hAnsi="仿宋" w:eastAsia="仿宋" w:cs="宋体"/>
          <w:color w:val="auto"/>
          <w:kern w:val="0"/>
          <w:sz w:val="24"/>
          <w:highlight w:val="none"/>
        </w:rPr>
        <w:t>：</w:t>
      </w:r>
      <w:r>
        <w:rPr>
          <w:rFonts w:hint="eastAsia" w:ascii="仿宋" w:hAnsi="仿宋" w:eastAsia="仿宋" w:cs="宋体"/>
          <w:color w:val="auto"/>
          <w:kern w:val="0"/>
          <w:sz w:val="24"/>
          <w:highlight w:val="none"/>
          <w:lang w:val="zh-CN"/>
        </w:rPr>
        <w:t xml:space="preserve">   年   月   日</w:t>
      </w:r>
    </w:p>
    <w:p w14:paraId="71C87115">
      <w:pPr>
        <w:spacing w:line="360" w:lineRule="auto"/>
        <w:jc w:val="center"/>
        <w:rPr>
          <w:rFonts w:ascii="仿宋" w:hAnsi="仿宋" w:eastAsia="仿宋" w:cs="宋体"/>
          <w:b/>
          <w:bCs/>
          <w:color w:val="auto"/>
          <w:sz w:val="24"/>
          <w:highlight w:val="none"/>
        </w:rPr>
      </w:pPr>
    </w:p>
    <w:p w14:paraId="6E6A1DF8">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14:paraId="26CDDA72">
      <w:pPr>
        <w:spacing w:line="360" w:lineRule="auto"/>
        <w:ind w:right="420"/>
        <w:jc w:val="center"/>
        <w:rPr>
          <w:rFonts w:ascii="仿宋" w:hAnsi="仿宋" w:eastAsia="仿宋" w:cs="宋体"/>
          <w:color w:val="auto"/>
          <w:sz w:val="24"/>
          <w:highlight w:val="none"/>
        </w:rPr>
      </w:pPr>
    </w:p>
    <w:p w14:paraId="0FF936D2">
      <w:pPr>
        <w:widowControl/>
        <w:adjustRightInd/>
        <w:jc w:val="left"/>
        <w:rPr>
          <w:rFonts w:ascii="仿宋" w:hAnsi="仿宋" w:eastAsia="仿宋" w:cs="宋体"/>
          <w:color w:val="auto"/>
          <w:sz w:val="24"/>
          <w:highlight w:val="none"/>
        </w:rPr>
      </w:pPr>
      <w:r>
        <w:rPr>
          <w:rFonts w:ascii="仿宋" w:hAnsi="仿宋" w:eastAsia="仿宋" w:cs="宋体"/>
          <w:color w:val="auto"/>
          <w:sz w:val="24"/>
          <w:highlight w:val="none"/>
        </w:rPr>
        <w:br w:type="page"/>
      </w:r>
    </w:p>
    <w:p w14:paraId="46E0ABAA">
      <w:pPr>
        <w:outlineLvl w:val="1"/>
        <w:rPr>
          <w:rFonts w:ascii="仿宋" w:hAnsi="仿宋" w:eastAsia="仿宋" w:cs="宋体"/>
          <w:b/>
          <w:bCs/>
          <w:color w:val="auto"/>
          <w:sz w:val="24"/>
          <w:highlight w:val="none"/>
        </w:rPr>
      </w:pPr>
      <w:r>
        <w:rPr>
          <w:rFonts w:hint="eastAsia" w:ascii="仿宋" w:hAnsi="仿宋" w:eastAsia="仿宋" w:cs="宋体"/>
          <w:b/>
          <w:bCs/>
          <w:color w:val="auto"/>
          <w:sz w:val="24"/>
          <w:highlight w:val="none"/>
        </w:rPr>
        <w:t>九、政府采购活动现场确认声明书（开标后提供）</w:t>
      </w:r>
    </w:p>
    <w:p w14:paraId="3ED3CE62">
      <w:pPr>
        <w:pStyle w:val="15"/>
        <w:snapToGrid w:val="0"/>
        <w:spacing w:line="300" w:lineRule="auto"/>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政府采购活动现场确认声明书</w:t>
      </w:r>
    </w:p>
    <w:p w14:paraId="6AFB8C27">
      <w:pPr>
        <w:pStyle w:val="39"/>
        <w:snapToGrid w:val="0"/>
        <w:spacing w:line="300" w:lineRule="auto"/>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lang w:eastAsia="zh-CN"/>
        </w:rPr>
        <w:t>浙江五石中正工程咨询有限公司</w:t>
      </w:r>
      <w:r>
        <w:rPr>
          <w:rFonts w:hint="eastAsia" w:ascii="仿宋" w:hAnsi="仿宋" w:eastAsia="仿宋" w:cs="仿宋"/>
          <w:color w:val="auto"/>
          <w:sz w:val="24"/>
          <w:szCs w:val="24"/>
          <w:highlight w:val="none"/>
        </w:rPr>
        <w:t>：</w:t>
      </w:r>
    </w:p>
    <w:p w14:paraId="5D5EA91F">
      <w:pPr>
        <w:pStyle w:val="39"/>
        <w:adjustRightInd w:val="0"/>
        <w:snapToGrid w:val="0"/>
        <w:spacing w:line="300" w:lineRule="auto"/>
        <w:ind w:firstLine="504"/>
        <w:rPr>
          <w:rFonts w:ascii="仿宋" w:hAnsi="仿宋" w:eastAsia="仿宋" w:cs="仿宋"/>
          <w:color w:val="auto"/>
          <w:sz w:val="24"/>
          <w:szCs w:val="24"/>
          <w:highlight w:val="none"/>
          <w:u w:val="single"/>
        </w:rPr>
      </w:pPr>
      <w:r>
        <w:rPr>
          <w:rFonts w:hint="eastAsia" w:ascii="仿宋" w:hAnsi="仿宋" w:eastAsia="仿宋" w:cs="仿宋"/>
          <w:color w:val="auto"/>
          <w:spacing w:val="6"/>
          <w:sz w:val="24"/>
          <w:szCs w:val="24"/>
          <w:highlight w:val="none"/>
        </w:rPr>
        <w:t>本人</w:t>
      </w:r>
      <w:r>
        <w:rPr>
          <w:rFonts w:hint="eastAsia" w:ascii="仿宋" w:hAnsi="仿宋" w:eastAsia="仿宋" w:cs="仿宋"/>
          <w:color w:val="auto"/>
          <w:spacing w:val="6"/>
          <w:sz w:val="24"/>
          <w:szCs w:val="24"/>
          <w:highlight w:val="none"/>
          <w:u w:val="single"/>
        </w:rPr>
        <w:t xml:space="preserve">     （授权代表姓名）</w:t>
      </w:r>
      <w:r>
        <w:rPr>
          <w:rFonts w:hint="eastAsia" w:ascii="仿宋" w:hAnsi="仿宋" w:eastAsia="仿宋" w:cs="仿宋"/>
          <w:color w:val="auto"/>
          <w:spacing w:val="6"/>
          <w:sz w:val="24"/>
          <w:szCs w:val="24"/>
          <w:highlight w:val="none"/>
        </w:rPr>
        <w:t>，经由</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（单位）</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（法定代表人姓名）合法授权参加</w:t>
      </w:r>
      <w:r>
        <w:rPr>
          <w:rFonts w:hint="eastAsia" w:ascii="仿宋" w:hAnsi="仿宋" w:eastAsia="仿宋" w:cs="仿宋"/>
          <w:color w:val="auto"/>
          <w:spacing w:val="6"/>
          <w:sz w:val="24"/>
          <w:szCs w:val="24"/>
          <w:highlight w:val="none"/>
          <w:u w:val="single"/>
          <w:lang w:eastAsia="zh-CN"/>
        </w:rPr>
        <w:t>杭州市生态环境局拱墅分局</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采购人）</w:t>
      </w:r>
      <w:r>
        <w:rPr>
          <w:rFonts w:hint="eastAsia" w:ascii="仿宋" w:hAnsi="仿宋" w:eastAsia="仿宋" w:cs="仿宋"/>
          <w:color w:val="auto"/>
          <w:sz w:val="24"/>
          <w:szCs w:val="24"/>
          <w:highlight w:val="none"/>
          <w:u w:val="single"/>
          <w:lang w:eastAsia="zh-CN"/>
        </w:rPr>
        <w:t>“清净”拱墅多污染协同管控工程建设项目</w:t>
      </w: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lang w:eastAsia="zh-CN"/>
        </w:rPr>
        <w:t>ZJWS2025--GS01</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（项目编号）</w:t>
      </w:r>
      <w:r>
        <w:rPr>
          <w:rFonts w:hint="eastAsia" w:ascii="仿宋" w:hAnsi="仿宋" w:eastAsia="仿宋" w:cs="宋体"/>
          <w:color w:val="auto"/>
          <w:sz w:val="24"/>
          <w:highlight w:val="none"/>
          <w:u w:val="single"/>
          <w:lang w:val="en-US" w:eastAsia="zh-CN"/>
        </w:rPr>
        <w:t xml:space="preserve">标项 X  </w:t>
      </w:r>
      <w:r>
        <w:rPr>
          <w:rFonts w:hint="eastAsia" w:ascii="仿宋" w:hAnsi="仿宋" w:eastAsia="仿宋" w:cs="仿宋"/>
          <w:color w:val="auto"/>
          <w:spacing w:val="6"/>
          <w:sz w:val="24"/>
          <w:szCs w:val="24"/>
          <w:highlight w:val="none"/>
        </w:rPr>
        <w:t>政府采购活动，经与本单位法人代表人联系确认，现就有关公平竞争事项郑重声明如下：</w:t>
      </w:r>
    </w:p>
    <w:p w14:paraId="516368DE">
      <w:pPr>
        <w:pStyle w:val="40"/>
        <w:widowControl/>
        <w:snapToGrid w:val="0"/>
        <w:spacing w:line="300" w:lineRule="auto"/>
        <w:rPr>
          <w:rFonts w:ascii="仿宋" w:hAnsi="仿宋" w:eastAsia="仿宋" w:cs="仿宋"/>
          <w:color w:val="auto"/>
          <w:kern w:val="0"/>
          <w:highlight w:val="none"/>
        </w:rPr>
      </w:pPr>
      <w:r>
        <w:rPr>
          <w:rFonts w:hint="eastAsia" w:ascii="仿宋" w:hAnsi="仿宋" w:eastAsia="仿宋" w:cs="仿宋"/>
          <w:color w:val="auto"/>
          <w:kern w:val="0"/>
          <w:highlight w:val="none"/>
        </w:rPr>
        <w:t xml:space="preserve">一、本单位与采购人之间 </w:t>
      </w:r>
      <w:r>
        <w:rPr>
          <w:rFonts w:hint="eastAsia" w:ascii="仿宋" w:hAnsi="仿宋" w:eastAsia="仿宋" w:cs="仿宋"/>
          <w:color w:val="auto"/>
          <w:kern w:val="0"/>
          <w:highlight w:val="none"/>
        </w:rPr>
        <w:sym w:font="Wingdings 2" w:char="00A3"/>
      </w:r>
      <w:r>
        <w:rPr>
          <w:rFonts w:hint="eastAsia" w:ascii="仿宋" w:hAnsi="仿宋" w:eastAsia="仿宋" w:cs="仿宋"/>
          <w:color w:val="auto"/>
          <w:kern w:val="0"/>
          <w:highlight w:val="none"/>
        </w:rPr>
        <w:t xml:space="preserve">不存在利害关系 </w:t>
      </w:r>
      <w:r>
        <w:rPr>
          <w:rFonts w:hint="eastAsia" w:ascii="仿宋" w:hAnsi="仿宋" w:eastAsia="仿宋" w:cs="仿宋"/>
          <w:color w:val="auto"/>
          <w:kern w:val="0"/>
          <w:highlight w:val="none"/>
        </w:rPr>
        <w:sym w:font="Wingdings 2" w:char="00A3"/>
      </w:r>
      <w:r>
        <w:rPr>
          <w:rFonts w:hint="eastAsia" w:ascii="仿宋" w:hAnsi="仿宋" w:eastAsia="仿宋" w:cs="仿宋"/>
          <w:color w:val="auto"/>
          <w:kern w:val="0"/>
          <w:highlight w:val="none"/>
        </w:rPr>
        <w:t>存在下列利害关系</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kern w:val="0"/>
          <w:highlight w:val="none"/>
        </w:rPr>
        <w:t>：</w:t>
      </w:r>
    </w:p>
    <w:p w14:paraId="7B851764">
      <w:pPr>
        <w:pStyle w:val="40"/>
        <w:widowControl/>
        <w:snapToGrid w:val="0"/>
        <w:spacing w:line="300" w:lineRule="auto"/>
        <w:rPr>
          <w:rFonts w:ascii="仿宋" w:hAnsi="仿宋" w:eastAsia="仿宋" w:cs="仿宋"/>
          <w:color w:val="auto"/>
          <w:kern w:val="0"/>
          <w:highlight w:val="none"/>
        </w:rPr>
      </w:pPr>
      <w:r>
        <w:rPr>
          <w:rFonts w:hint="eastAsia" w:ascii="仿宋" w:hAnsi="仿宋" w:eastAsia="仿宋" w:cs="仿宋"/>
          <w:color w:val="auto"/>
          <w:kern w:val="0"/>
          <w:highlight w:val="none"/>
        </w:rPr>
        <w:t>A.投资关系    B.行政隶属关系    C.业务指导关系</w:t>
      </w:r>
    </w:p>
    <w:p w14:paraId="45BA66C5">
      <w:pPr>
        <w:pStyle w:val="40"/>
        <w:widowControl/>
        <w:snapToGrid w:val="0"/>
        <w:spacing w:line="300" w:lineRule="auto"/>
        <w:rPr>
          <w:rFonts w:ascii="仿宋" w:hAnsi="仿宋" w:eastAsia="仿宋" w:cs="仿宋"/>
          <w:color w:val="auto"/>
          <w:kern w:val="0"/>
          <w:highlight w:val="none"/>
        </w:rPr>
      </w:pPr>
      <w:r>
        <w:rPr>
          <w:rFonts w:hint="eastAsia" w:ascii="仿宋" w:hAnsi="仿宋" w:eastAsia="仿宋" w:cs="仿宋"/>
          <w:color w:val="auto"/>
          <w:kern w:val="0"/>
          <w:highlight w:val="none"/>
        </w:rPr>
        <w:t>D.其他可能</w:t>
      </w:r>
      <w:r>
        <w:rPr>
          <w:rFonts w:hint="eastAsia" w:ascii="仿宋" w:hAnsi="仿宋" w:eastAsia="仿宋" w:cs="仿宋"/>
          <w:color w:val="auto"/>
          <w:highlight w:val="none"/>
        </w:rPr>
        <w:t>影响采购公正的</w:t>
      </w:r>
      <w:r>
        <w:rPr>
          <w:rFonts w:hint="eastAsia" w:ascii="仿宋" w:hAnsi="仿宋" w:eastAsia="仿宋" w:cs="仿宋"/>
          <w:color w:val="auto"/>
          <w:kern w:val="0"/>
          <w:highlight w:val="none"/>
        </w:rPr>
        <w:t>利害关系</w:t>
      </w:r>
      <w:r>
        <w:rPr>
          <w:rFonts w:hint="eastAsia" w:ascii="仿宋" w:hAnsi="仿宋" w:eastAsia="仿宋" w:cs="仿宋"/>
          <w:color w:val="auto"/>
          <w:kern w:val="0"/>
          <w:highlight w:val="none"/>
          <w:u w:val="single"/>
        </w:rPr>
        <w:t xml:space="preserve">（如有，请如实说明）                              </w:t>
      </w:r>
      <w:r>
        <w:rPr>
          <w:rFonts w:hint="eastAsia" w:ascii="仿宋" w:hAnsi="仿宋" w:eastAsia="仿宋" w:cs="仿宋"/>
          <w:color w:val="auto"/>
          <w:kern w:val="0"/>
          <w:highlight w:val="none"/>
        </w:rPr>
        <w:t>。</w:t>
      </w:r>
    </w:p>
    <w:p w14:paraId="76AACF9F">
      <w:pPr>
        <w:pStyle w:val="40"/>
        <w:widowControl/>
        <w:snapToGrid w:val="0"/>
        <w:spacing w:line="300" w:lineRule="auto"/>
        <w:ind w:firstLine="504"/>
        <w:rPr>
          <w:rFonts w:ascii="仿宋" w:hAnsi="仿宋" w:eastAsia="仿宋" w:cs="仿宋"/>
          <w:color w:val="auto"/>
          <w:kern w:val="0"/>
          <w:highlight w:val="none"/>
        </w:rPr>
      </w:pPr>
      <w:r>
        <w:rPr>
          <w:rFonts w:hint="eastAsia" w:ascii="仿宋" w:hAnsi="仿宋" w:eastAsia="仿宋" w:cs="仿宋"/>
          <w:color w:val="auto"/>
          <w:spacing w:val="6"/>
          <w:highlight w:val="none"/>
        </w:rPr>
        <w:t>二、</w:t>
      </w:r>
      <w:r>
        <w:rPr>
          <w:rFonts w:hint="eastAsia" w:ascii="仿宋" w:hAnsi="仿宋" w:eastAsia="仿宋" w:cs="仿宋"/>
          <w:color w:val="auto"/>
          <w:kern w:val="0"/>
          <w:highlight w:val="none"/>
        </w:rPr>
        <w:t xml:space="preserve">现已清楚知道参加本项目采购活动的其他所有供应商名称，本单位 </w:t>
      </w:r>
      <w:r>
        <w:rPr>
          <w:rFonts w:hint="eastAsia" w:ascii="仿宋" w:hAnsi="仿宋" w:eastAsia="仿宋" w:cs="仿宋"/>
          <w:color w:val="auto"/>
          <w:kern w:val="0"/>
          <w:highlight w:val="none"/>
        </w:rPr>
        <w:sym w:font="Wingdings 2" w:char="00A3"/>
      </w:r>
      <w:r>
        <w:rPr>
          <w:rFonts w:hint="eastAsia" w:ascii="仿宋" w:hAnsi="仿宋" w:eastAsia="仿宋" w:cs="仿宋"/>
          <w:color w:val="auto"/>
          <w:kern w:val="0"/>
          <w:highlight w:val="none"/>
        </w:rPr>
        <w:t xml:space="preserve">与其他所有供应商之间均不存在利害关系 </w:t>
      </w:r>
      <w:r>
        <w:rPr>
          <w:rFonts w:hint="eastAsia" w:ascii="仿宋" w:hAnsi="仿宋" w:eastAsia="仿宋" w:cs="仿宋"/>
          <w:color w:val="auto"/>
          <w:kern w:val="0"/>
          <w:highlight w:val="none"/>
        </w:rPr>
        <w:sym w:font="Wingdings 2" w:char="00A3"/>
      </w:r>
      <w:r>
        <w:rPr>
          <w:rFonts w:hint="eastAsia" w:ascii="仿宋" w:hAnsi="仿宋" w:eastAsia="仿宋" w:cs="仿宋"/>
          <w:color w:val="auto"/>
          <w:kern w:val="0"/>
          <w:highlight w:val="none"/>
        </w:rPr>
        <w:t>与</w:t>
      </w:r>
      <w:r>
        <w:rPr>
          <w:rFonts w:hint="eastAsia" w:ascii="仿宋" w:hAnsi="仿宋" w:eastAsia="仿宋" w:cs="仿宋"/>
          <w:color w:val="auto"/>
          <w:kern w:val="0"/>
          <w:highlight w:val="none"/>
          <w:u w:val="single"/>
        </w:rPr>
        <w:t xml:space="preserve">           （供应商名称）</w:t>
      </w:r>
      <w:r>
        <w:rPr>
          <w:rFonts w:hint="eastAsia" w:ascii="仿宋" w:hAnsi="仿宋" w:eastAsia="仿宋" w:cs="仿宋"/>
          <w:color w:val="auto"/>
          <w:kern w:val="0"/>
          <w:highlight w:val="none"/>
        </w:rPr>
        <w:t>之间存在下列利害关系</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kern w:val="0"/>
          <w:highlight w:val="none"/>
        </w:rPr>
        <w:t>：</w:t>
      </w:r>
    </w:p>
    <w:p w14:paraId="5EBD9092">
      <w:pPr>
        <w:pStyle w:val="40"/>
        <w:widowControl/>
        <w:snapToGrid w:val="0"/>
        <w:spacing w:line="300" w:lineRule="auto"/>
        <w:rPr>
          <w:rFonts w:ascii="仿宋" w:hAnsi="仿宋" w:eastAsia="仿宋" w:cs="仿宋"/>
          <w:color w:val="auto"/>
          <w:kern w:val="0"/>
          <w:highlight w:val="none"/>
        </w:rPr>
      </w:pPr>
      <w:r>
        <w:rPr>
          <w:rFonts w:hint="eastAsia" w:ascii="仿宋" w:hAnsi="仿宋" w:eastAsia="仿宋" w:cs="仿宋"/>
          <w:color w:val="auto"/>
          <w:kern w:val="0"/>
          <w:highlight w:val="none"/>
        </w:rPr>
        <w:t>A.法定代表人或负责人或实际控制人是同一人</w:t>
      </w:r>
    </w:p>
    <w:p w14:paraId="111E49DF">
      <w:pPr>
        <w:pStyle w:val="40"/>
        <w:widowControl/>
        <w:snapToGrid w:val="0"/>
        <w:spacing w:line="300" w:lineRule="auto"/>
        <w:rPr>
          <w:rFonts w:ascii="仿宋" w:hAnsi="仿宋" w:eastAsia="仿宋" w:cs="仿宋"/>
          <w:color w:val="auto"/>
          <w:kern w:val="0"/>
          <w:highlight w:val="none"/>
        </w:rPr>
      </w:pPr>
      <w:r>
        <w:rPr>
          <w:rFonts w:hint="eastAsia" w:ascii="仿宋" w:hAnsi="仿宋" w:eastAsia="仿宋" w:cs="仿宋"/>
          <w:color w:val="auto"/>
          <w:kern w:val="0"/>
          <w:highlight w:val="none"/>
        </w:rPr>
        <w:t>B.法定代表人或负责人或实际控制人是夫妻关系</w:t>
      </w:r>
    </w:p>
    <w:p w14:paraId="4B384BF0">
      <w:pPr>
        <w:pStyle w:val="40"/>
        <w:widowControl/>
        <w:snapToGrid w:val="0"/>
        <w:spacing w:line="300" w:lineRule="auto"/>
        <w:rPr>
          <w:rFonts w:ascii="仿宋" w:hAnsi="仿宋" w:eastAsia="仿宋" w:cs="仿宋"/>
          <w:color w:val="auto"/>
          <w:kern w:val="0"/>
          <w:highlight w:val="none"/>
        </w:rPr>
      </w:pPr>
      <w:r>
        <w:rPr>
          <w:rFonts w:hint="eastAsia" w:ascii="仿宋" w:hAnsi="仿宋" w:eastAsia="仿宋" w:cs="仿宋"/>
          <w:color w:val="auto"/>
          <w:kern w:val="0"/>
          <w:highlight w:val="none"/>
        </w:rPr>
        <w:t>C.法定代表人或负责人或实际控制人是直系血亲关系</w:t>
      </w:r>
    </w:p>
    <w:p w14:paraId="0BA32A35">
      <w:pPr>
        <w:pStyle w:val="40"/>
        <w:widowControl/>
        <w:snapToGrid w:val="0"/>
        <w:spacing w:line="300" w:lineRule="auto"/>
        <w:rPr>
          <w:rFonts w:ascii="仿宋" w:hAnsi="仿宋" w:eastAsia="仿宋" w:cs="仿宋"/>
          <w:color w:val="auto"/>
          <w:kern w:val="0"/>
          <w:highlight w:val="none"/>
        </w:rPr>
      </w:pPr>
      <w:r>
        <w:rPr>
          <w:rFonts w:hint="eastAsia" w:ascii="仿宋" w:hAnsi="仿宋" w:eastAsia="仿宋" w:cs="仿宋"/>
          <w:color w:val="auto"/>
          <w:kern w:val="0"/>
          <w:highlight w:val="none"/>
        </w:rPr>
        <w:t>D.法定代表人或负责人或实际控制人存在三代以内旁系血亲关系</w:t>
      </w:r>
    </w:p>
    <w:p w14:paraId="1FF9EE1D">
      <w:pPr>
        <w:pStyle w:val="40"/>
        <w:widowControl/>
        <w:snapToGrid w:val="0"/>
        <w:spacing w:line="300" w:lineRule="auto"/>
        <w:rPr>
          <w:rFonts w:ascii="仿宋" w:hAnsi="仿宋" w:eastAsia="仿宋" w:cs="仿宋"/>
          <w:color w:val="auto"/>
          <w:kern w:val="0"/>
          <w:highlight w:val="none"/>
        </w:rPr>
      </w:pPr>
      <w:r>
        <w:rPr>
          <w:rFonts w:hint="eastAsia" w:ascii="仿宋" w:hAnsi="仿宋" w:eastAsia="仿宋" w:cs="仿宋"/>
          <w:color w:val="auto"/>
          <w:kern w:val="0"/>
          <w:highlight w:val="none"/>
        </w:rPr>
        <w:t>E.法定代表人或负责人或实际控制人存在近姻亲关系</w:t>
      </w:r>
    </w:p>
    <w:p w14:paraId="333A79AD">
      <w:pPr>
        <w:pStyle w:val="40"/>
        <w:widowControl/>
        <w:snapToGrid w:val="0"/>
        <w:spacing w:line="300" w:lineRule="auto"/>
        <w:rPr>
          <w:rFonts w:ascii="仿宋" w:hAnsi="仿宋" w:eastAsia="仿宋" w:cs="仿宋"/>
          <w:color w:val="auto"/>
          <w:kern w:val="0"/>
          <w:highlight w:val="none"/>
        </w:rPr>
      </w:pPr>
      <w:r>
        <w:rPr>
          <w:rFonts w:hint="eastAsia" w:ascii="仿宋" w:hAnsi="仿宋" w:eastAsia="仿宋" w:cs="仿宋"/>
          <w:color w:val="auto"/>
          <w:kern w:val="0"/>
          <w:highlight w:val="none"/>
        </w:rPr>
        <w:t>F.法定代表人或负责人或实际控制人存在股份控制或实际控制关系</w:t>
      </w:r>
    </w:p>
    <w:p w14:paraId="0BA728F8">
      <w:pPr>
        <w:pStyle w:val="40"/>
        <w:widowControl/>
        <w:snapToGrid w:val="0"/>
        <w:spacing w:line="300" w:lineRule="auto"/>
        <w:rPr>
          <w:rFonts w:ascii="仿宋" w:hAnsi="仿宋" w:eastAsia="仿宋" w:cs="仿宋"/>
          <w:color w:val="auto"/>
          <w:kern w:val="0"/>
          <w:highlight w:val="none"/>
        </w:rPr>
      </w:pPr>
      <w:r>
        <w:rPr>
          <w:rFonts w:hint="eastAsia" w:ascii="仿宋" w:hAnsi="仿宋" w:eastAsia="仿宋" w:cs="仿宋"/>
          <w:color w:val="auto"/>
          <w:kern w:val="0"/>
          <w:highlight w:val="none"/>
        </w:rPr>
        <w:t>G.存在共同直接或间接投资设立子公司、联营企业和合营企业情况</w:t>
      </w:r>
    </w:p>
    <w:p w14:paraId="16AF207C">
      <w:pPr>
        <w:pStyle w:val="40"/>
        <w:widowControl/>
        <w:snapToGrid w:val="0"/>
        <w:spacing w:line="300" w:lineRule="auto"/>
        <w:rPr>
          <w:rFonts w:ascii="仿宋" w:hAnsi="仿宋" w:eastAsia="仿宋" w:cs="仿宋"/>
          <w:color w:val="auto"/>
          <w:kern w:val="0"/>
          <w:highlight w:val="none"/>
        </w:rPr>
      </w:pPr>
      <w:r>
        <w:rPr>
          <w:rFonts w:hint="eastAsia" w:ascii="仿宋" w:hAnsi="仿宋" w:eastAsia="仿宋" w:cs="仿宋"/>
          <w:color w:val="auto"/>
          <w:kern w:val="0"/>
          <w:highlight w:val="none"/>
        </w:rPr>
        <w:t>H.存在分级代理或代销关系、同一生产制造商关系、管理关系、重要业务（占主营业务收入50%以上）或重要财务往来关系（如融资）等其他实质性控制关系</w:t>
      </w:r>
    </w:p>
    <w:p w14:paraId="0F34D933">
      <w:pPr>
        <w:pStyle w:val="40"/>
        <w:widowControl/>
        <w:snapToGrid w:val="0"/>
        <w:spacing w:line="300" w:lineRule="auto"/>
        <w:rPr>
          <w:rFonts w:ascii="仿宋" w:hAnsi="仿宋" w:eastAsia="仿宋" w:cs="仿宋"/>
          <w:color w:val="auto"/>
          <w:spacing w:val="6"/>
          <w:highlight w:val="none"/>
        </w:rPr>
      </w:pPr>
      <w:r>
        <w:rPr>
          <w:rFonts w:hint="eastAsia" w:ascii="仿宋" w:hAnsi="仿宋" w:eastAsia="仿宋" w:cs="仿宋"/>
          <w:color w:val="auto"/>
          <w:highlight w:val="none"/>
        </w:rPr>
        <w:t>I</w:t>
      </w:r>
      <w:r>
        <w:rPr>
          <w:rFonts w:hint="eastAsia" w:ascii="仿宋" w:hAnsi="仿宋" w:eastAsia="仿宋" w:cs="仿宋"/>
          <w:color w:val="auto"/>
          <w:kern w:val="0"/>
          <w:highlight w:val="none"/>
        </w:rPr>
        <w:t>.</w:t>
      </w:r>
      <w:r>
        <w:rPr>
          <w:rFonts w:hint="eastAsia" w:ascii="仿宋" w:hAnsi="仿宋" w:eastAsia="仿宋" w:cs="仿宋"/>
          <w:color w:val="auto"/>
          <w:highlight w:val="none"/>
        </w:rPr>
        <w:t>其他利害关系情况</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highlight w:val="none"/>
        </w:rPr>
        <w:t>。</w:t>
      </w:r>
    </w:p>
    <w:p w14:paraId="171DC549">
      <w:pPr>
        <w:pStyle w:val="40"/>
        <w:widowControl/>
        <w:snapToGrid w:val="0"/>
        <w:spacing w:line="300" w:lineRule="auto"/>
        <w:rPr>
          <w:rFonts w:ascii="仿宋" w:hAnsi="仿宋" w:eastAsia="仿宋" w:cs="仿宋"/>
          <w:color w:val="auto"/>
          <w:kern w:val="0"/>
          <w:highlight w:val="none"/>
        </w:rPr>
      </w:pPr>
      <w:r>
        <w:rPr>
          <w:rFonts w:hint="eastAsia" w:ascii="仿宋" w:hAnsi="仿宋" w:eastAsia="仿宋" w:cs="仿宋"/>
          <w:color w:val="auto"/>
          <w:highlight w:val="none"/>
        </w:rPr>
        <w:t>三、现已清楚知道并</w:t>
      </w:r>
      <w:r>
        <w:rPr>
          <w:rFonts w:hint="eastAsia" w:ascii="仿宋" w:hAnsi="仿宋" w:eastAsia="仿宋" w:cs="仿宋"/>
          <w:color w:val="auto"/>
          <w:kern w:val="0"/>
          <w:highlight w:val="none"/>
        </w:rPr>
        <w:t>严格遵守政府采购法律法规和现场纪律。</w:t>
      </w:r>
    </w:p>
    <w:p w14:paraId="1627CB3A">
      <w:pPr>
        <w:pStyle w:val="40"/>
        <w:widowControl/>
        <w:snapToGrid w:val="0"/>
        <w:spacing w:line="300" w:lineRule="auto"/>
        <w:rPr>
          <w:rFonts w:ascii="仿宋" w:hAnsi="仿宋" w:eastAsia="仿宋" w:cs="仿宋"/>
          <w:color w:val="auto"/>
          <w:kern w:val="0"/>
          <w:highlight w:val="none"/>
        </w:rPr>
      </w:pPr>
      <w:r>
        <w:rPr>
          <w:rFonts w:hint="eastAsia" w:ascii="仿宋" w:hAnsi="仿宋" w:eastAsia="仿宋" w:cs="仿宋"/>
          <w:color w:val="auto"/>
          <w:kern w:val="0"/>
          <w:highlight w:val="none"/>
        </w:rPr>
        <w:t>四、我发现</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kern w:val="0"/>
          <w:highlight w:val="none"/>
        </w:rPr>
        <w:t>供应商之间存在或可能存在上述第二条第</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kern w:val="0"/>
          <w:highlight w:val="none"/>
        </w:rPr>
        <w:t>项利害关系。</w:t>
      </w:r>
    </w:p>
    <w:p w14:paraId="70C77314">
      <w:pPr>
        <w:snapToGrid w:val="0"/>
        <w:spacing w:line="300" w:lineRule="auto"/>
        <w:ind w:firstLine="480" w:firstLineChars="200"/>
        <w:rPr>
          <w:rFonts w:ascii="仿宋" w:hAnsi="仿宋" w:eastAsia="仿宋" w:cs="仿宋"/>
          <w:color w:val="auto"/>
          <w:spacing w:val="20"/>
          <w:sz w:val="24"/>
          <w:highlight w:val="none"/>
          <w:u w:val="single"/>
        </w:rPr>
      </w:pPr>
      <w:r>
        <w:rPr>
          <w:rFonts w:hint="eastAsia" w:ascii="仿宋" w:hAnsi="仿宋" w:eastAsia="仿宋" w:cs="仿宋"/>
          <w:color w:val="auto"/>
          <w:sz w:val="24"/>
          <w:highlight w:val="none"/>
        </w:rPr>
        <w:t>投标供应商全称：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（公章/电子签名）</w:t>
      </w:r>
    </w:p>
    <w:p w14:paraId="4F85EDAD">
      <w:pPr>
        <w:snapToGrid w:val="0"/>
        <w:spacing w:line="30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授权代表（签字）：</w:t>
      </w:r>
    </w:p>
    <w:p w14:paraId="3D6BBBED">
      <w:pPr>
        <w:snapToGrid w:val="0"/>
        <w:spacing w:line="30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lang w:eastAsia="zh-CN"/>
        </w:rPr>
        <w:t>2025年</w:t>
      </w:r>
      <w:r>
        <w:rPr>
          <w:rFonts w:hint="eastAsia" w:ascii="仿宋" w:hAnsi="仿宋" w:eastAsia="仿宋" w:cs="仿宋"/>
          <w:color w:val="auto"/>
          <w:sz w:val="24"/>
          <w:highlight w:val="none"/>
        </w:rPr>
        <w:t xml:space="preserve">   月   日</w:t>
      </w:r>
    </w:p>
    <w:p w14:paraId="2731B2FB">
      <w:pPr>
        <w:spacing w:line="360" w:lineRule="auto"/>
        <w:jc w:val="left"/>
        <w:rPr>
          <w:rFonts w:hint="eastAsia" w:ascii="仿宋" w:hAnsi="仿宋" w:eastAsia="仿宋" w:cs="仿宋"/>
          <w:b/>
          <w:bCs/>
          <w:color w:val="auto"/>
          <w:kern w:val="0"/>
          <w:szCs w:val="21"/>
          <w:highlight w:val="none"/>
        </w:rPr>
      </w:pPr>
    </w:p>
    <w:p w14:paraId="190517FF">
      <w:pPr>
        <w:spacing w:line="360" w:lineRule="auto"/>
        <w:jc w:val="left"/>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（开标当天投标供应商解密投标文件后此声明书签字盖章，以扫描件形式发送给采购代理机构。邮箱：</w:t>
      </w:r>
      <w:r>
        <w:rPr>
          <w:color w:val="auto"/>
          <w:highlight w:val="none"/>
        </w:rPr>
        <w:fldChar w:fldCharType="begin"/>
      </w:r>
      <w:r>
        <w:rPr>
          <w:color w:val="auto"/>
          <w:highlight w:val="none"/>
        </w:rPr>
        <w:instrText xml:space="preserve"> HYPERLINK "mailto:15798741@qq.com" </w:instrText>
      </w:r>
      <w:r>
        <w:rPr>
          <w:color w:val="auto"/>
          <w:highlight w:val="none"/>
        </w:rPr>
        <w:fldChar w:fldCharType="separate"/>
      </w:r>
      <w:r>
        <w:rPr>
          <w:rStyle w:val="26"/>
          <w:rFonts w:hint="eastAsia" w:ascii="仿宋" w:hAnsi="仿宋" w:eastAsia="仿宋" w:cs="仿宋"/>
          <w:b/>
          <w:bCs/>
          <w:color w:val="auto"/>
          <w:szCs w:val="21"/>
          <w:highlight w:val="none"/>
          <w:lang w:eastAsia="zh-CN"/>
        </w:rPr>
        <w:t>339245332@qq.com</w:t>
      </w:r>
      <w:r>
        <w:rPr>
          <w:rStyle w:val="26"/>
          <w:rFonts w:hint="eastAsia" w:ascii="仿宋" w:hAnsi="仿宋" w:eastAsia="仿宋" w:cs="仿宋"/>
          <w:b/>
          <w:bCs/>
          <w:color w:val="auto"/>
          <w:szCs w:val="21"/>
          <w:highlight w:val="none"/>
        </w:rPr>
        <w:fldChar w:fldCharType="end"/>
      </w:r>
      <w:r>
        <w:rPr>
          <w:rFonts w:hint="eastAsia" w:ascii="仿宋" w:hAnsi="仿宋" w:eastAsia="仿宋" w:cs="仿宋"/>
          <w:b/>
          <w:bCs/>
          <w:color w:val="auto"/>
          <w:kern w:val="0"/>
          <w:szCs w:val="21"/>
          <w:highlight w:val="none"/>
        </w:rPr>
        <w:t>）</w:t>
      </w:r>
    </w:p>
    <w:p w14:paraId="618E4F88">
      <w:pPr>
        <w:rPr>
          <w:rFonts w:ascii="仿宋" w:hAnsi="仿宋" w:eastAsia="仿宋" w:cs="仿宋"/>
          <w:b/>
          <w:bCs/>
          <w:color w:val="auto"/>
          <w:kern w:val="0"/>
          <w:szCs w:val="21"/>
          <w:highlight w:val="none"/>
        </w:rPr>
      </w:pPr>
    </w:p>
    <w:p w14:paraId="4D7D0D1C">
      <w:pPr>
        <w:spacing w:line="240" w:lineRule="auto"/>
        <w:jc w:val="left"/>
        <w:outlineLvl w:val="9"/>
        <w:rPr>
          <w:rFonts w:hint="eastAsia" w:ascii="仿宋" w:hAnsi="仿宋" w:eastAsia="仿宋" w:cs="宋体"/>
          <w:b/>
          <w:color w:val="auto"/>
          <w:kern w:val="0"/>
          <w:sz w:val="36"/>
          <w:szCs w:val="36"/>
          <w:highlight w:val="none"/>
        </w:rPr>
      </w:pPr>
      <w:bookmarkStart w:id="424" w:name="_Toc9558"/>
      <w:bookmarkStart w:id="425" w:name="_Toc3889"/>
      <w:bookmarkStart w:id="426" w:name="_Toc18286"/>
      <w:r>
        <w:rPr>
          <w:rFonts w:hint="eastAsia" w:ascii="仿宋" w:hAnsi="仿宋" w:eastAsia="仿宋" w:cs="宋体"/>
          <w:b/>
          <w:color w:val="auto"/>
          <w:kern w:val="0"/>
          <w:sz w:val="36"/>
          <w:szCs w:val="36"/>
          <w:highlight w:val="none"/>
        </w:rPr>
        <w:br w:type="page"/>
      </w:r>
    </w:p>
    <w:p w14:paraId="4E8C3649">
      <w:pPr>
        <w:spacing w:line="360" w:lineRule="auto"/>
        <w:jc w:val="center"/>
        <w:outlineLvl w:val="1"/>
        <w:rPr>
          <w:rFonts w:ascii="仿宋" w:hAnsi="仿宋" w:eastAsia="仿宋" w:cs="宋体"/>
          <w:b/>
          <w:color w:val="auto"/>
          <w:kern w:val="0"/>
          <w:sz w:val="36"/>
          <w:szCs w:val="36"/>
          <w:highlight w:val="none"/>
        </w:rPr>
      </w:pPr>
      <w:r>
        <w:rPr>
          <w:rFonts w:hint="eastAsia" w:ascii="仿宋" w:hAnsi="仿宋" w:eastAsia="仿宋" w:cs="宋体"/>
          <w:b/>
          <w:color w:val="auto"/>
          <w:kern w:val="0"/>
          <w:sz w:val="36"/>
          <w:szCs w:val="36"/>
          <w:highlight w:val="none"/>
        </w:rPr>
        <w:t>报价文件部分</w:t>
      </w:r>
    </w:p>
    <w:p w14:paraId="7B11B915">
      <w:pPr>
        <w:spacing w:line="360" w:lineRule="auto"/>
        <w:jc w:val="center"/>
        <w:rPr>
          <w:rFonts w:ascii="仿宋" w:hAnsi="仿宋" w:eastAsia="仿宋" w:cs="宋体"/>
          <w:b/>
          <w:color w:val="auto"/>
          <w:kern w:val="0"/>
          <w:sz w:val="36"/>
          <w:szCs w:val="36"/>
          <w:highlight w:val="none"/>
        </w:rPr>
      </w:pPr>
      <w:r>
        <w:rPr>
          <w:rFonts w:hint="eastAsia" w:ascii="仿宋" w:hAnsi="仿宋" w:eastAsia="仿宋" w:cs="宋体"/>
          <w:b/>
          <w:color w:val="auto"/>
          <w:kern w:val="0"/>
          <w:sz w:val="36"/>
          <w:szCs w:val="36"/>
          <w:highlight w:val="none"/>
        </w:rPr>
        <w:t>目录</w:t>
      </w:r>
    </w:p>
    <w:p w14:paraId="26F1BD36">
      <w:pPr>
        <w:spacing w:line="360" w:lineRule="auto"/>
        <w:jc w:val="center"/>
        <w:rPr>
          <w:rFonts w:ascii="仿宋" w:hAnsi="仿宋" w:eastAsia="仿宋" w:cs="宋体"/>
          <w:b/>
          <w:color w:val="auto"/>
          <w:kern w:val="0"/>
          <w:sz w:val="36"/>
          <w:szCs w:val="36"/>
          <w:highlight w:val="none"/>
        </w:rPr>
      </w:pPr>
    </w:p>
    <w:p w14:paraId="640FBCB6">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（1）开标一览表（报价表）………………………………………………………（页码）</w:t>
      </w:r>
    </w:p>
    <w:p w14:paraId="5F0510AE">
      <w:pPr>
        <w:snapToGrid w:val="0"/>
        <w:spacing w:line="360" w:lineRule="auto"/>
        <w:jc w:val="left"/>
        <w:rPr>
          <w:rFonts w:ascii="仿宋" w:hAnsi="仿宋" w:eastAsia="仿宋" w:cs="宋体"/>
          <w:color w:val="auto"/>
          <w:sz w:val="24"/>
          <w:highlight w:val="none"/>
        </w:rPr>
      </w:pPr>
      <w:r>
        <w:rPr>
          <w:rFonts w:hint="eastAsia" w:ascii="仿宋" w:hAnsi="仿宋" w:eastAsia="仿宋" w:cs="宋体"/>
          <w:color w:val="auto"/>
          <w:sz w:val="24"/>
          <w:highlight w:val="none"/>
        </w:rPr>
        <w:t>（</w:t>
      </w:r>
      <w:r>
        <w:rPr>
          <w:rFonts w:hint="eastAsia" w:ascii="仿宋" w:hAnsi="仿宋" w:eastAsia="仿宋" w:cs="宋体"/>
          <w:color w:val="auto"/>
          <w:sz w:val="24"/>
          <w:highlight w:val="none"/>
          <w:lang w:val="en-US" w:eastAsia="zh-CN"/>
        </w:rPr>
        <w:t>2</w:t>
      </w:r>
      <w:r>
        <w:rPr>
          <w:rFonts w:hint="eastAsia" w:ascii="仿宋" w:hAnsi="仿宋" w:eastAsia="仿宋" w:cs="宋体"/>
          <w:color w:val="auto"/>
          <w:sz w:val="24"/>
          <w:highlight w:val="none"/>
        </w:rPr>
        <w:t>）交纳采购代理服务费承书……………………………………………………（页码）</w:t>
      </w:r>
    </w:p>
    <w:p w14:paraId="39D36D9F">
      <w:pPr>
        <w:snapToGrid w:val="0"/>
        <w:spacing w:line="360" w:lineRule="auto"/>
        <w:ind w:right="480"/>
        <w:jc w:val="center"/>
        <w:rPr>
          <w:rFonts w:ascii="仿宋" w:hAnsi="仿宋" w:eastAsia="仿宋" w:cs="宋体"/>
          <w:b/>
          <w:color w:val="auto"/>
          <w:kern w:val="0"/>
          <w:sz w:val="32"/>
          <w:szCs w:val="32"/>
          <w:highlight w:val="none"/>
        </w:rPr>
      </w:pPr>
    </w:p>
    <w:p w14:paraId="290B98F7">
      <w:pPr>
        <w:snapToGrid w:val="0"/>
        <w:spacing w:line="360" w:lineRule="auto"/>
        <w:ind w:right="480"/>
        <w:jc w:val="center"/>
        <w:rPr>
          <w:rFonts w:ascii="仿宋" w:hAnsi="仿宋" w:eastAsia="仿宋" w:cs="宋体"/>
          <w:b/>
          <w:color w:val="auto"/>
          <w:kern w:val="0"/>
          <w:sz w:val="32"/>
          <w:szCs w:val="32"/>
          <w:highlight w:val="none"/>
        </w:rPr>
      </w:pPr>
    </w:p>
    <w:p w14:paraId="76C2F67F">
      <w:pPr>
        <w:snapToGrid w:val="0"/>
        <w:spacing w:line="360" w:lineRule="auto"/>
        <w:ind w:right="480"/>
        <w:jc w:val="center"/>
        <w:rPr>
          <w:rFonts w:ascii="仿宋" w:hAnsi="仿宋" w:eastAsia="仿宋" w:cs="宋体"/>
          <w:b/>
          <w:color w:val="auto"/>
          <w:kern w:val="0"/>
          <w:sz w:val="32"/>
          <w:szCs w:val="32"/>
          <w:highlight w:val="none"/>
        </w:rPr>
      </w:pPr>
    </w:p>
    <w:p w14:paraId="2611B17D">
      <w:pPr>
        <w:snapToGrid w:val="0"/>
        <w:spacing w:line="360" w:lineRule="auto"/>
        <w:ind w:right="480"/>
        <w:jc w:val="center"/>
        <w:rPr>
          <w:rFonts w:ascii="仿宋" w:hAnsi="仿宋" w:eastAsia="仿宋" w:cs="宋体"/>
          <w:b/>
          <w:color w:val="auto"/>
          <w:kern w:val="0"/>
          <w:sz w:val="32"/>
          <w:szCs w:val="32"/>
          <w:highlight w:val="none"/>
        </w:rPr>
      </w:pPr>
    </w:p>
    <w:p w14:paraId="31800C20">
      <w:pPr>
        <w:snapToGrid w:val="0"/>
        <w:spacing w:line="360" w:lineRule="auto"/>
        <w:ind w:right="480"/>
        <w:jc w:val="center"/>
        <w:rPr>
          <w:rFonts w:ascii="仿宋" w:hAnsi="仿宋" w:eastAsia="仿宋" w:cs="宋体"/>
          <w:b/>
          <w:color w:val="auto"/>
          <w:kern w:val="0"/>
          <w:sz w:val="32"/>
          <w:szCs w:val="32"/>
          <w:highlight w:val="none"/>
        </w:rPr>
      </w:pPr>
    </w:p>
    <w:p w14:paraId="6D5E4476">
      <w:pPr>
        <w:snapToGrid w:val="0"/>
        <w:spacing w:line="360" w:lineRule="auto"/>
        <w:ind w:right="480"/>
        <w:jc w:val="center"/>
        <w:rPr>
          <w:rFonts w:ascii="仿宋" w:hAnsi="仿宋" w:eastAsia="仿宋" w:cs="宋体"/>
          <w:b/>
          <w:color w:val="auto"/>
          <w:kern w:val="0"/>
          <w:sz w:val="32"/>
          <w:szCs w:val="32"/>
          <w:highlight w:val="none"/>
        </w:rPr>
      </w:pPr>
    </w:p>
    <w:p w14:paraId="67A2E2D0">
      <w:pPr>
        <w:snapToGrid w:val="0"/>
        <w:spacing w:line="360" w:lineRule="auto"/>
        <w:ind w:right="480"/>
        <w:jc w:val="center"/>
        <w:rPr>
          <w:rFonts w:ascii="仿宋" w:hAnsi="仿宋" w:eastAsia="仿宋" w:cs="宋体"/>
          <w:b/>
          <w:color w:val="auto"/>
          <w:kern w:val="0"/>
          <w:sz w:val="32"/>
          <w:szCs w:val="32"/>
          <w:highlight w:val="none"/>
        </w:rPr>
      </w:pPr>
    </w:p>
    <w:p w14:paraId="567EC244">
      <w:pPr>
        <w:snapToGrid w:val="0"/>
        <w:spacing w:line="360" w:lineRule="auto"/>
        <w:ind w:right="480"/>
        <w:jc w:val="center"/>
        <w:rPr>
          <w:rFonts w:ascii="仿宋" w:hAnsi="仿宋" w:eastAsia="仿宋" w:cs="宋体"/>
          <w:b/>
          <w:color w:val="auto"/>
          <w:kern w:val="0"/>
          <w:sz w:val="32"/>
          <w:szCs w:val="32"/>
          <w:highlight w:val="none"/>
        </w:rPr>
      </w:pPr>
    </w:p>
    <w:p w14:paraId="3BEAF23B">
      <w:pPr>
        <w:snapToGrid w:val="0"/>
        <w:spacing w:line="360" w:lineRule="auto"/>
        <w:ind w:right="480"/>
        <w:jc w:val="center"/>
        <w:rPr>
          <w:rFonts w:ascii="仿宋" w:hAnsi="仿宋" w:eastAsia="仿宋" w:cs="宋体"/>
          <w:b/>
          <w:color w:val="auto"/>
          <w:kern w:val="0"/>
          <w:sz w:val="32"/>
          <w:szCs w:val="32"/>
          <w:highlight w:val="none"/>
        </w:rPr>
      </w:pPr>
    </w:p>
    <w:p w14:paraId="2D1EB268">
      <w:pPr>
        <w:snapToGrid w:val="0"/>
        <w:spacing w:line="360" w:lineRule="auto"/>
        <w:ind w:right="480"/>
        <w:jc w:val="center"/>
        <w:rPr>
          <w:rFonts w:ascii="仿宋" w:hAnsi="仿宋" w:eastAsia="仿宋" w:cs="宋体"/>
          <w:b/>
          <w:color w:val="auto"/>
          <w:kern w:val="0"/>
          <w:sz w:val="32"/>
          <w:szCs w:val="32"/>
          <w:highlight w:val="none"/>
        </w:rPr>
      </w:pPr>
    </w:p>
    <w:p w14:paraId="71B5FC50">
      <w:pPr>
        <w:snapToGrid w:val="0"/>
        <w:spacing w:line="360" w:lineRule="auto"/>
        <w:ind w:right="480"/>
        <w:jc w:val="center"/>
        <w:rPr>
          <w:rFonts w:ascii="仿宋" w:hAnsi="仿宋" w:eastAsia="仿宋" w:cs="宋体"/>
          <w:b/>
          <w:color w:val="auto"/>
          <w:kern w:val="0"/>
          <w:sz w:val="32"/>
          <w:szCs w:val="32"/>
          <w:highlight w:val="none"/>
        </w:rPr>
      </w:pPr>
    </w:p>
    <w:p w14:paraId="7CB5CE2C">
      <w:pPr>
        <w:snapToGrid w:val="0"/>
        <w:spacing w:line="360" w:lineRule="auto"/>
        <w:ind w:right="480"/>
        <w:jc w:val="center"/>
        <w:rPr>
          <w:rFonts w:ascii="仿宋" w:hAnsi="仿宋" w:eastAsia="仿宋" w:cs="宋体"/>
          <w:b/>
          <w:color w:val="auto"/>
          <w:kern w:val="0"/>
          <w:sz w:val="32"/>
          <w:szCs w:val="32"/>
          <w:highlight w:val="none"/>
        </w:rPr>
      </w:pPr>
    </w:p>
    <w:p w14:paraId="77027B20">
      <w:pPr>
        <w:snapToGrid w:val="0"/>
        <w:spacing w:line="360" w:lineRule="auto"/>
        <w:ind w:right="480"/>
        <w:jc w:val="center"/>
        <w:rPr>
          <w:rFonts w:ascii="仿宋" w:hAnsi="仿宋" w:eastAsia="仿宋" w:cs="宋体"/>
          <w:b/>
          <w:color w:val="auto"/>
          <w:kern w:val="0"/>
          <w:sz w:val="32"/>
          <w:szCs w:val="32"/>
          <w:highlight w:val="none"/>
        </w:rPr>
      </w:pPr>
    </w:p>
    <w:p w14:paraId="4A083F9C">
      <w:pPr>
        <w:snapToGrid w:val="0"/>
        <w:spacing w:line="360" w:lineRule="auto"/>
        <w:ind w:right="480"/>
        <w:jc w:val="center"/>
        <w:rPr>
          <w:rFonts w:ascii="仿宋" w:hAnsi="仿宋" w:eastAsia="仿宋" w:cs="宋体"/>
          <w:b/>
          <w:color w:val="auto"/>
          <w:kern w:val="0"/>
          <w:sz w:val="32"/>
          <w:szCs w:val="32"/>
          <w:highlight w:val="none"/>
        </w:rPr>
      </w:pPr>
    </w:p>
    <w:p w14:paraId="6EAB5407">
      <w:pPr>
        <w:snapToGrid w:val="0"/>
        <w:spacing w:line="360" w:lineRule="auto"/>
        <w:ind w:right="480"/>
        <w:jc w:val="center"/>
        <w:rPr>
          <w:rFonts w:ascii="仿宋" w:hAnsi="仿宋" w:eastAsia="仿宋" w:cs="宋体"/>
          <w:b/>
          <w:color w:val="auto"/>
          <w:kern w:val="0"/>
          <w:sz w:val="32"/>
          <w:szCs w:val="32"/>
          <w:highlight w:val="none"/>
        </w:rPr>
      </w:pPr>
    </w:p>
    <w:p w14:paraId="308EF91E">
      <w:pPr>
        <w:pStyle w:val="42"/>
        <w:keepNext w:val="0"/>
        <w:pageBreakBefore w:val="0"/>
        <w:tabs>
          <w:tab w:val="clear" w:pos="720"/>
        </w:tabs>
        <w:snapToGrid w:val="0"/>
        <w:spacing w:before="120" w:after="120"/>
        <w:ind w:firstLine="643"/>
        <w:outlineLvl w:val="9"/>
        <w:rPr>
          <w:rFonts w:ascii="仿宋" w:hAnsi="仿宋" w:eastAsia="仿宋" w:cs="宋体"/>
          <w:color w:val="auto"/>
          <w:kern w:val="2"/>
          <w:sz w:val="32"/>
          <w:szCs w:val="32"/>
          <w:highlight w:val="none"/>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28C436DB">
      <w:pPr>
        <w:pStyle w:val="42"/>
        <w:keepNext w:val="0"/>
        <w:pageBreakBefore w:val="0"/>
        <w:tabs>
          <w:tab w:val="clear" w:pos="720"/>
        </w:tabs>
        <w:snapToGrid w:val="0"/>
        <w:spacing w:before="120" w:after="120"/>
        <w:ind w:firstLine="643"/>
        <w:outlineLvl w:val="1"/>
        <w:rPr>
          <w:rFonts w:ascii="仿宋" w:hAnsi="仿宋" w:eastAsia="仿宋" w:cs="宋体"/>
          <w:color w:val="auto"/>
          <w:kern w:val="2"/>
          <w:sz w:val="32"/>
          <w:szCs w:val="32"/>
          <w:highlight w:val="none"/>
        </w:rPr>
      </w:pPr>
      <w:r>
        <w:rPr>
          <w:rFonts w:hint="eastAsia" w:ascii="仿宋" w:hAnsi="仿宋" w:eastAsia="仿宋" w:cs="宋体"/>
          <w:color w:val="auto"/>
          <w:kern w:val="2"/>
          <w:sz w:val="32"/>
          <w:szCs w:val="32"/>
          <w:highlight w:val="none"/>
        </w:rPr>
        <w:t>一、开标一览表（</w:t>
      </w:r>
      <w:r>
        <w:rPr>
          <w:rFonts w:hint="eastAsia" w:ascii="仿宋" w:hAnsi="仿宋" w:eastAsia="仿宋" w:cs="宋体"/>
          <w:color w:val="auto"/>
          <w:kern w:val="2"/>
          <w:sz w:val="32"/>
          <w:szCs w:val="32"/>
          <w:highlight w:val="none"/>
          <w:lang w:val="en-US" w:eastAsia="zh-CN"/>
        </w:rPr>
        <w:t>标项一</w:t>
      </w:r>
      <w:r>
        <w:rPr>
          <w:rFonts w:hint="eastAsia" w:ascii="仿宋" w:hAnsi="仿宋" w:eastAsia="仿宋" w:cs="宋体"/>
          <w:color w:val="auto"/>
          <w:kern w:val="2"/>
          <w:sz w:val="32"/>
          <w:szCs w:val="32"/>
          <w:highlight w:val="none"/>
        </w:rPr>
        <w:t>）</w:t>
      </w:r>
      <w:bookmarkEnd w:id="424"/>
      <w:bookmarkEnd w:id="425"/>
      <w:bookmarkEnd w:id="426"/>
    </w:p>
    <w:p w14:paraId="76E5FF8F">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杭州市生态环境局拱墅分局</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浙江五石中正工程咨询有限公司</w:t>
      </w:r>
      <w:r>
        <w:rPr>
          <w:rFonts w:hint="eastAsia" w:ascii="仿宋" w:hAnsi="仿宋" w:eastAsia="仿宋" w:cs="仿宋"/>
          <w:color w:val="auto"/>
          <w:kern w:val="0"/>
          <w:sz w:val="24"/>
          <w:highlight w:val="none"/>
          <w:lang w:val="zh-CN"/>
        </w:rPr>
        <w:t>：</w:t>
      </w:r>
    </w:p>
    <w:p w14:paraId="21E7E4BE">
      <w:pPr>
        <w:spacing w:line="400" w:lineRule="exact"/>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按你方招标文件要求，我们，本标书签字方，谨此向你方发出要约如下：如你方接受本投标，我方承诺按照如下投标（开标）一览表的价格完成编号为</w:t>
      </w:r>
      <w:r>
        <w:rPr>
          <w:rFonts w:hint="eastAsia" w:ascii="仿宋" w:hAnsi="仿宋" w:eastAsia="仿宋" w:cs="仿宋"/>
          <w:color w:val="auto"/>
          <w:kern w:val="0"/>
          <w:sz w:val="24"/>
          <w:highlight w:val="none"/>
          <w:u w:val="single"/>
          <w:lang w:val="zh-CN"/>
        </w:rPr>
        <w:t xml:space="preserve">ZJWS2025--GS01 </w:t>
      </w:r>
      <w:r>
        <w:rPr>
          <w:rFonts w:hint="eastAsia" w:ascii="仿宋" w:hAnsi="仿宋" w:eastAsia="仿宋" w:cs="仿宋"/>
          <w:color w:val="auto"/>
          <w:kern w:val="0"/>
          <w:sz w:val="24"/>
          <w:highlight w:val="none"/>
          <w:lang w:val="zh-CN"/>
        </w:rPr>
        <w:t>的招标文件[项目名称：</w:t>
      </w:r>
      <w:r>
        <w:rPr>
          <w:rFonts w:hint="eastAsia" w:ascii="仿宋" w:hAnsi="仿宋" w:eastAsia="仿宋" w:cs="宋体"/>
          <w:b/>
          <w:color w:val="auto"/>
          <w:sz w:val="24"/>
          <w:highlight w:val="none"/>
          <w:lang w:eastAsia="zh-CN"/>
        </w:rPr>
        <w:t>“清净”拱墅多污染协同管控工程建设项目</w:t>
      </w:r>
      <w:r>
        <w:rPr>
          <w:rFonts w:hint="eastAsia" w:ascii="仿宋" w:hAnsi="仿宋" w:eastAsia="仿宋" w:cs="仿宋"/>
          <w:color w:val="auto"/>
          <w:sz w:val="24"/>
          <w:highlight w:val="none"/>
        </w:rPr>
        <w:t>]</w:t>
      </w:r>
      <w:r>
        <w:rPr>
          <w:rFonts w:hint="eastAsia" w:ascii="仿宋" w:hAnsi="仿宋" w:eastAsia="仿宋" w:cs="宋体"/>
          <w:color w:val="auto"/>
          <w:sz w:val="24"/>
          <w:highlight w:val="none"/>
          <w:u w:val="single"/>
          <w:lang w:val="en-US" w:eastAsia="zh-CN"/>
        </w:rPr>
        <w:t xml:space="preserve">标项一 </w:t>
      </w:r>
      <w:r>
        <w:rPr>
          <w:rFonts w:hint="eastAsia" w:ascii="仿宋" w:hAnsi="仿宋" w:eastAsia="仿宋" w:cs="仿宋"/>
          <w:color w:val="auto"/>
          <w:kern w:val="0"/>
          <w:sz w:val="24"/>
          <w:highlight w:val="none"/>
          <w:lang w:val="zh-CN"/>
        </w:rPr>
        <w:t>的实施。</w:t>
      </w:r>
    </w:p>
    <w:tbl>
      <w:tblPr>
        <w:tblStyle w:val="24"/>
        <w:tblpPr w:leftFromText="180" w:rightFromText="180" w:vertAnchor="text" w:horzAnchor="page" w:tblpX="1407" w:tblpY="461"/>
        <w:tblOverlap w:val="never"/>
        <w:tblW w:w="8515" w:type="dxa"/>
        <w:tblInd w:w="0"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2941"/>
        <w:gridCol w:w="1295"/>
        <w:gridCol w:w="1602"/>
        <w:gridCol w:w="1644"/>
      </w:tblGrid>
      <w:tr w14:paraId="29576E18">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1033" w:type="dxa"/>
            <w:tcBorders>
              <w:tl2br w:val="nil"/>
              <w:tr2bl w:val="nil"/>
            </w:tcBorders>
            <w:noWrap w:val="0"/>
            <w:vAlign w:val="center"/>
          </w:tcPr>
          <w:p w14:paraId="59AE277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序号</w:t>
            </w:r>
          </w:p>
        </w:tc>
        <w:tc>
          <w:tcPr>
            <w:tcW w:w="2941" w:type="dxa"/>
            <w:tcBorders>
              <w:tl2br w:val="nil"/>
              <w:tr2bl w:val="nil"/>
            </w:tcBorders>
            <w:noWrap w:val="0"/>
            <w:vAlign w:val="center"/>
          </w:tcPr>
          <w:p w14:paraId="0B46D85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设备名称</w:t>
            </w:r>
          </w:p>
        </w:tc>
        <w:tc>
          <w:tcPr>
            <w:tcW w:w="1295" w:type="dxa"/>
            <w:tcBorders>
              <w:tl2br w:val="nil"/>
              <w:tr2bl w:val="nil"/>
            </w:tcBorders>
            <w:noWrap w:val="0"/>
            <w:vAlign w:val="center"/>
          </w:tcPr>
          <w:p w14:paraId="3083F4E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数量</w:t>
            </w:r>
          </w:p>
        </w:tc>
        <w:tc>
          <w:tcPr>
            <w:tcW w:w="1602" w:type="dxa"/>
            <w:tcBorders>
              <w:tl2br w:val="nil"/>
              <w:tr2bl w:val="nil"/>
            </w:tcBorders>
            <w:noWrap w:val="0"/>
            <w:vAlign w:val="center"/>
          </w:tcPr>
          <w:p w14:paraId="56BD07A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b/>
                <w:bCs/>
                <w:color w:val="auto"/>
                <w:sz w:val="24"/>
                <w:szCs w:val="24"/>
                <w:highlight w:val="none"/>
                <w:vertAlign w:val="baseline"/>
                <w:lang w:val="en-US" w:eastAsia="zh-CN"/>
              </w:rPr>
              <w:t>单价</w:t>
            </w:r>
          </w:p>
        </w:tc>
        <w:tc>
          <w:tcPr>
            <w:tcW w:w="1644" w:type="dxa"/>
            <w:tcBorders>
              <w:tl2br w:val="nil"/>
              <w:tr2bl w:val="nil"/>
            </w:tcBorders>
            <w:noWrap w:val="0"/>
            <w:vAlign w:val="center"/>
          </w:tcPr>
          <w:p w14:paraId="6D4F5A2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合计</w:t>
            </w:r>
          </w:p>
        </w:tc>
      </w:tr>
      <w:tr w14:paraId="2B4608B1">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1033" w:type="dxa"/>
            <w:tcBorders>
              <w:tl2br w:val="nil"/>
              <w:tr2bl w:val="nil"/>
            </w:tcBorders>
            <w:noWrap w:val="0"/>
            <w:vAlign w:val="center"/>
          </w:tcPr>
          <w:p w14:paraId="7ABA7762">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w:t>
            </w:r>
          </w:p>
        </w:tc>
        <w:tc>
          <w:tcPr>
            <w:tcW w:w="2941" w:type="dxa"/>
            <w:tcBorders>
              <w:tl2br w:val="nil"/>
              <w:tr2bl w:val="nil"/>
            </w:tcBorders>
            <w:noWrap w:val="0"/>
            <w:vAlign w:val="center"/>
          </w:tcPr>
          <w:p w14:paraId="4717C35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3D微气象调控系统</w:t>
            </w:r>
          </w:p>
        </w:tc>
        <w:tc>
          <w:tcPr>
            <w:tcW w:w="1295" w:type="dxa"/>
            <w:tcBorders>
              <w:tl2br w:val="nil"/>
              <w:tr2bl w:val="nil"/>
            </w:tcBorders>
            <w:noWrap w:val="0"/>
            <w:vAlign w:val="center"/>
          </w:tcPr>
          <w:p w14:paraId="01D4FDD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5套</w:t>
            </w:r>
          </w:p>
        </w:tc>
        <w:tc>
          <w:tcPr>
            <w:tcW w:w="1602" w:type="dxa"/>
            <w:tcBorders>
              <w:tl2br w:val="nil"/>
              <w:tr2bl w:val="nil"/>
            </w:tcBorders>
            <w:noWrap w:val="0"/>
            <w:vAlign w:val="center"/>
          </w:tcPr>
          <w:p w14:paraId="0820604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1644" w:type="dxa"/>
            <w:tcBorders>
              <w:tl2br w:val="nil"/>
              <w:tr2bl w:val="nil"/>
            </w:tcBorders>
            <w:noWrap w:val="0"/>
            <w:vAlign w:val="center"/>
          </w:tcPr>
          <w:p w14:paraId="59CF72B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vertAlign w:val="baseline"/>
                <w:lang w:val="en-US" w:eastAsia="zh-CN"/>
              </w:rPr>
            </w:pPr>
          </w:p>
        </w:tc>
      </w:tr>
      <w:tr w14:paraId="5488C6EE">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1033" w:type="dxa"/>
            <w:tcBorders>
              <w:tl2br w:val="nil"/>
              <w:tr2bl w:val="nil"/>
            </w:tcBorders>
            <w:noWrap w:val="0"/>
            <w:vAlign w:val="center"/>
          </w:tcPr>
          <w:p w14:paraId="54ABB97F">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w:t>
            </w:r>
          </w:p>
        </w:tc>
        <w:tc>
          <w:tcPr>
            <w:tcW w:w="2941" w:type="dxa"/>
            <w:tcBorders>
              <w:tl2br w:val="nil"/>
              <w:tr2bl w:val="nil"/>
            </w:tcBorders>
            <w:noWrap w:val="0"/>
            <w:vAlign w:val="center"/>
          </w:tcPr>
          <w:p w14:paraId="3B70E6F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颗粒物激光雷达</w:t>
            </w:r>
          </w:p>
        </w:tc>
        <w:tc>
          <w:tcPr>
            <w:tcW w:w="1295" w:type="dxa"/>
            <w:tcBorders>
              <w:tl2br w:val="nil"/>
              <w:tr2bl w:val="nil"/>
            </w:tcBorders>
            <w:noWrap w:val="0"/>
            <w:vAlign w:val="center"/>
          </w:tcPr>
          <w:p w14:paraId="442AB16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1套</w:t>
            </w:r>
          </w:p>
        </w:tc>
        <w:tc>
          <w:tcPr>
            <w:tcW w:w="1602" w:type="dxa"/>
            <w:tcBorders>
              <w:tl2br w:val="nil"/>
              <w:tr2bl w:val="nil"/>
            </w:tcBorders>
            <w:noWrap w:val="0"/>
            <w:vAlign w:val="center"/>
          </w:tcPr>
          <w:p w14:paraId="7638007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1644" w:type="dxa"/>
            <w:tcBorders>
              <w:tl2br w:val="nil"/>
              <w:tr2bl w:val="nil"/>
            </w:tcBorders>
            <w:noWrap w:val="0"/>
            <w:vAlign w:val="center"/>
          </w:tcPr>
          <w:p w14:paraId="50158FE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vertAlign w:val="baseline"/>
              </w:rPr>
            </w:pPr>
          </w:p>
        </w:tc>
      </w:tr>
      <w:tr w14:paraId="46687B2D">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1033" w:type="dxa"/>
            <w:tcBorders>
              <w:tl2br w:val="nil"/>
              <w:tr2bl w:val="nil"/>
            </w:tcBorders>
            <w:noWrap w:val="0"/>
            <w:vAlign w:val="center"/>
          </w:tcPr>
          <w:p w14:paraId="6DEEFA42">
            <w:pPr>
              <w:rPr>
                <w:rFonts w:hint="eastAsia" w:eastAsia="宋体"/>
                <w:color w:val="auto"/>
                <w:highlight w:val="none"/>
                <w:lang w:val="en-US" w:eastAsia="zh-CN"/>
              </w:rPr>
            </w:pPr>
            <w:r>
              <w:rPr>
                <w:rFonts w:hint="eastAsia"/>
                <w:color w:val="auto"/>
                <w:highlight w:val="none"/>
                <w:lang w:val="en-US" w:eastAsia="zh-CN"/>
              </w:rPr>
              <w:t>3</w:t>
            </w:r>
          </w:p>
        </w:tc>
        <w:tc>
          <w:tcPr>
            <w:tcW w:w="2941" w:type="dxa"/>
            <w:tcBorders>
              <w:tl2br w:val="nil"/>
              <w:tr2bl w:val="nil"/>
            </w:tcBorders>
            <w:noWrap w:val="0"/>
            <w:vAlign w:val="center"/>
          </w:tcPr>
          <w:p w14:paraId="511D0CE8">
            <w:pPr>
              <w:numPr>
                <w:ilvl w:val="0"/>
                <w:numId w:val="0"/>
              </w:numPr>
              <w:tabs>
                <w:tab w:val="left" w:pos="0"/>
              </w:tabs>
              <w:adjustRightInd/>
              <w:spacing w:line="440" w:lineRule="exact"/>
              <w:ind w:left="0" w:leftChars="0" w:firstLine="0" w:firstLineChars="0"/>
              <w:jc w:val="center"/>
              <w:rPr>
                <w:color w:val="auto"/>
                <w:highlight w:val="none"/>
              </w:rPr>
            </w:pPr>
            <w:r>
              <w:rPr>
                <w:rFonts w:hint="eastAsia" w:ascii="仿宋" w:hAnsi="仿宋" w:eastAsia="仿宋" w:cs="仿宋"/>
                <w:color w:val="auto"/>
                <w:sz w:val="24"/>
                <w:highlight w:val="none"/>
                <w:lang w:val="en-US" w:eastAsia="zh-CN"/>
              </w:rPr>
              <w:t>运维服务</w:t>
            </w:r>
          </w:p>
        </w:tc>
        <w:tc>
          <w:tcPr>
            <w:tcW w:w="1295" w:type="dxa"/>
            <w:tcBorders>
              <w:tl2br w:val="nil"/>
              <w:tr2bl w:val="nil"/>
            </w:tcBorders>
            <w:noWrap w:val="0"/>
            <w:vAlign w:val="center"/>
          </w:tcPr>
          <w:p w14:paraId="45BBE561">
            <w:pPr>
              <w:numPr>
                <w:ilvl w:val="0"/>
                <w:numId w:val="0"/>
              </w:numPr>
              <w:tabs>
                <w:tab w:val="left" w:pos="0"/>
              </w:tabs>
              <w:adjustRightInd/>
              <w:spacing w:line="440" w:lineRule="exact"/>
              <w:ind w:left="0" w:leftChars="0" w:firstLine="0" w:firstLineChars="0"/>
              <w:jc w:val="center"/>
              <w:rPr>
                <w:color w:val="auto"/>
                <w:highlight w:val="none"/>
              </w:rPr>
            </w:pPr>
            <w:r>
              <w:rPr>
                <w:rFonts w:hint="eastAsia" w:ascii="仿宋" w:hAnsi="仿宋" w:eastAsia="仿宋" w:cs="仿宋"/>
                <w:color w:val="auto"/>
                <w:sz w:val="24"/>
                <w:highlight w:val="none"/>
                <w:lang w:val="en-US" w:eastAsia="zh-CN"/>
              </w:rPr>
              <w:t>2年</w:t>
            </w:r>
          </w:p>
        </w:tc>
        <w:tc>
          <w:tcPr>
            <w:tcW w:w="1602" w:type="dxa"/>
            <w:tcBorders>
              <w:tl2br w:val="nil"/>
              <w:tr2bl w:val="nil"/>
            </w:tcBorders>
            <w:noWrap w:val="0"/>
            <w:vAlign w:val="center"/>
          </w:tcPr>
          <w:p w14:paraId="0F542E02">
            <w:pPr>
              <w:rPr>
                <w:color w:val="auto"/>
                <w:highlight w:val="none"/>
              </w:rPr>
            </w:pPr>
          </w:p>
        </w:tc>
        <w:tc>
          <w:tcPr>
            <w:tcW w:w="1644" w:type="dxa"/>
            <w:tcBorders>
              <w:tl2br w:val="nil"/>
              <w:tr2bl w:val="nil"/>
            </w:tcBorders>
            <w:noWrap w:val="0"/>
            <w:vAlign w:val="center"/>
          </w:tcPr>
          <w:p w14:paraId="12248C6F">
            <w:pPr>
              <w:rPr>
                <w:color w:val="auto"/>
                <w:highlight w:val="none"/>
              </w:rPr>
            </w:pPr>
          </w:p>
        </w:tc>
      </w:tr>
      <w:tr w14:paraId="11065746">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1033" w:type="dxa"/>
            <w:tcBorders>
              <w:tl2br w:val="nil"/>
              <w:tr2bl w:val="nil"/>
            </w:tcBorders>
            <w:noWrap w:val="0"/>
            <w:vAlign w:val="center"/>
          </w:tcPr>
          <w:p w14:paraId="3611BFCE">
            <w:pPr>
              <w:rPr>
                <w:rFonts w:hint="eastAsia" w:eastAsia="宋体"/>
                <w:color w:val="auto"/>
                <w:highlight w:val="none"/>
                <w:lang w:val="en-US" w:eastAsia="zh-CN"/>
              </w:rPr>
            </w:pPr>
            <w:r>
              <w:rPr>
                <w:rFonts w:hint="eastAsia"/>
                <w:color w:val="auto"/>
                <w:highlight w:val="none"/>
                <w:lang w:val="en-US" w:eastAsia="zh-CN"/>
              </w:rPr>
              <w:t>4</w:t>
            </w:r>
          </w:p>
        </w:tc>
        <w:tc>
          <w:tcPr>
            <w:tcW w:w="2941" w:type="dxa"/>
            <w:tcBorders>
              <w:tl2br w:val="nil"/>
              <w:tr2bl w:val="nil"/>
            </w:tcBorders>
            <w:noWrap w:val="0"/>
            <w:vAlign w:val="center"/>
          </w:tcPr>
          <w:p w14:paraId="1F7E002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color w:val="auto"/>
                <w:highlight w:val="none"/>
              </w:rPr>
            </w:pPr>
            <w:r>
              <w:rPr>
                <w:rFonts w:hint="eastAsia" w:ascii="仿宋" w:hAnsi="仿宋" w:eastAsia="仿宋" w:cs="仿宋"/>
                <w:color w:val="auto"/>
                <w:kern w:val="2"/>
                <w:sz w:val="24"/>
                <w:szCs w:val="24"/>
                <w:highlight w:val="none"/>
                <w:vertAlign w:val="baseline"/>
                <w:lang w:val="en-US" w:eastAsia="zh-CN" w:bidi="ar-SA"/>
              </w:rPr>
              <w:t>....</w:t>
            </w:r>
          </w:p>
        </w:tc>
        <w:tc>
          <w:tcPr>
            <w:tcW w:w="1295" w:type="dxa"/>
            <w:tcBorders>
              <w:tl2br w:val="nil"/>
              <w:tr2bl w:val="nil"/>
            </w:tcBorders>
            <w:noWrap w:val="0"/>
            <w:vAlign w:val="center"/>
          </w:tcPr>
          <w:p w14:paraId="562D3555">
            <w:pPr>
              <w:rPr>
                <w:color w:val="auto"/>
                <w:highlight w:val="none"/>
              </w:rPr>
            </w:pPr>
          </w:p>
        </w:tc>
        <w:tc>
          <w:tcPr>
            <w:tcW w:w="1602" w:type="dxa"/>
            <w:tcBorders>
              <w:tl2br w:val="nil"/>
              <w:tr2bl w:val="nil"/>
            </w:tcBorders>
            <w:noWrap w:val="0"/>
            <w:vAlign w:val="center"/>
          </w:tcPr>
          <w:p w14:paraId="1D0BA945">
            <w:pPr>
              <w:rPr>
                <w:color w:val="auto"/>
                <w:highlight w:val="none"/>
              </w:rPr>
            </w:pPr>
          </w:p>
        </w:tc>
        <w:tc>
          <w:tcPr>
            <w:tcW w:w="1644" w:type="dxa"/>
            <w:tcBorders>
              <w:tl2br w:val="nil"/>
              <w:tr2bl w:val="nil"/>
            </w:tcBorders>
            <w:noWrap w:val="0"/>
            <w:vAlign w:val="center"/>
          </w:tcPr>
          <w:p w14:paraId="74C92612">
            <w:pPr>
              <w:rPr>
                <w:color w:val="auto"/>
                <w:highlight w:val="none"/>
              </w:rPr>
            </w:pPr>
          </w:p>
        </w:tc>
      </w:tr>
      <w:tr w14:paraId="61DDB7A6">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1033" w:type="dxa"/>
            <w:tcBorders>
              <w:tl2br w:val="nil"/>
              <w:tr2bl w:val="nil"/>
            </w:tcBorders>
            <w:noWrap w:val="0"/>
            <w:vAlign w:val="center"/>
          </w:tcPr>
          <w:p w14:paraId="7722D73E">
            <w:pPr>
              <w:rPr>
                <w:rFonts w:hint="eastAsia" w:eastAsia="宋体"/>
                <w:color w:val="auto"/>
                <w:highlight w:val="none"/>
                <w:lang w:val="en-US" w:eastAsia="zh-CN"/>
              </w:rPr>
            </w:pPr>
            <w:r>
              <w:rPr>
                <w:rFonts w:hint="eastAsia"/>
                <w:color w:val="auto"/>
                <w:highlight w:val="none"/>
                <w:lang w:val="en-US" w:eastAsia="zh-CN"/>
              </w:rPr>
              <w:t>5</w:t>
            </w:r>
          </w:p>
        </w:tc>
        <w:tc>
          <w:tcPr>
            <w:tcW w:w="2941" w:type="dxa"/>
            <w:tcBorders>
              <w:tl2br w:val="nil"/>
              <w:tr2bl w:val="nil"/>
            </w:tcBorders>
            <w:noWrap w:val="0"/>
            <w:vAlign w:val="center"/>
          </w:tcPr>
          <w:p w14:paraId="0FA61C6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color w:val="auto"/>
                <w:highlight w:val="none"/>
              </w:rPr>
            </w:pPr>
            <w:r>
              <w:rPr>
                <w:rFonts w:hint="eastAsia" w:ascii="仿宋" w:hAnsi="仿宋" w:eastAsia="仿宋" w:cs="仿宋"/>
                <w:color w:val="auto"/>
                <w:sz w:val="24"/>
                <w:szCs w:val="24"/>
                <w:highlight w:val="none"/>
                <w:vertAlign w:val="baseline"/>
                <w:lang w:val="en-US" w:eastAsia="zh-CN"/>
              </w:rPr>
              <w:t>其他</w:t>
            </w:r>
          </w:p>
        </w:tc>
        <w:tc>
          <w:tcPr>
            <w:tcW w:w="1295" w:type="dxa"/>
            <w:tcBorders>
              <w:tl2br w:val="nil"/>
              <w:tr2bl w:val="nil"/>
            </w:tcBorders>
            <w:noWrap w:val="0"/>
            <w:vAlign w:val="center"/>
          </w:tcPr>
          <w:p w14:paraId="5B2D41E1">
            <w:pPr>
              <w:rPr>
                <w:color w:val="auto"/>
                <w:highlight w:val="none"/>
              </w:rPr>
            </w:pPr>
          </w:p>
        </w:tc>
        <w:tc>
          <w:tcPr>
            <w:tcW w:w="1602" w:type="dxa"/>
            <w:tcBorders>
              <w:tl2br w:val="nil"/>
              <w:tr2bl w:val="nil"/>
            </w:tcBorders>
            <w:noWrap w:val="0"/>
            <w:vAlign w:val="center"/>
          </w:tcPr>
          <w:p w14:paraId="60219A17">
            <w:pPr>
              <w:rPr>
                <w:color w:val="auto"/>
                <w:highlight w:val="none"/>
              </w:rPr>
            </w:pPr>
          </w:p>
        </w:tc>
        <w:tc>
          <w:tcPr>
            <w:tcW w:w="1644" w:type="dxa"/>
            <w:tcBorders>
              <w:tl2br w:val="nil"/>
              <w:tr2bl w:val="nil"/>
            </w:tcBorders>
            <w:noWrap w:val="0"/>
            <w:vAlign w:val="center"/>
          </w:tcPr>
          <w:p w14:paraId="133DB968">
            <w:pPr>
              <w:rPr>
                <w:color w:val="auto"/>
                <w:highlight w:val="none"/>
              </w:rPr>
            </w:pPr>
          </w:p>
        </w:tc>
      </w:tr>
      <w:tr w14:paraId="176AE47A">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1033" w:type="dxa"/>
            <w:tcBorders>
              <w:tl2br w:val="nil"/>
              <w:tr2bl w:val="nil"/>
            </w:tcBorders>
            <w:noWrap w:val="0"/>
            <w:vAlign w:val="center"/>
          </w:tcPr>
          <w:p w14:paraId="3EDCA5EB">
            <w:pPr>
              <w:rPr>
                <w:rFonts w:hint="eastAsia" w:ascii="仿宋" w:hAnsi="仿宋" w:eastAsia="仿宋" w:cs="仿宋"/>
                <w:color w:val="auto"/>
                <w:sz w:val="24"/>
                <w:szCs w:val="24"/>
                <w:highlight w:val="none"/>
                <w:vertAlign w:val="baseline"/>
              </w:rPr>
            </w:pPr>
          </w:p>
        </w:tc>
        <w:tc>
          <w:tcPr>
            <w:tcW w:w="2941" w:type="dxa"/>
            <w:tcBorders>
              <w:tl2br w:val="nil"/>
              <w:tr2bl w:val="nil"/>
            </w:tcBorders>
            <w:noWrap w:val="0"/>
            <w:vAlign w:val="center"/>
          </w:tcPr>
          <w:p w14:paraId="039DD9BC">
            <w:pPr>
              <w:rPr>
                <w:rFonts w:hint="default" w:ascii="仿宋" w:hAnsi="仿宋" w:eastAsia="仿宋" w:cs="仿宋"/>
                <w:color w:val="auto"/>
                <w:sz w:val="24"/>
                <w:szCs w:val="24"/>
                <w:highlight w:val="none"/>
                <w:vertAlign w:val="baseline"/>
                <w:lang w:val="en-US" w:eastAsia="zh-CN"/>
              </w:rPr>
            </w:pPr>
          </w:p>
        </w:tc>
        <w:tc>
          <w:tcPr>
            <w:tcW w:w="1295" w:type="dxa"/>
            <w:tcBorders>
              <w:tl2br w:val="nil"/>
              <w:tr2bl w:val="nil"/>
            </w:tcBorders>
            <w:noWrap w:val="0"/>
            <w:vAlign w:val="center"/>
          </w:tcPr>
          <w:p w14:paraId="18D946E4">
            <w:pPr>
              <w:rPr>
                <w:rFonts w:hint="eastAsia" w:ascii="仿宋" w:hAnsi="仿宋" w:eastAsia="仿宋" w:cs="仿宋"/>
                <w:color w:val="auto"/>
                <w:sz w:val="24"/>
                <w:szCs w:val="24"/>
                <w:highlight w:val="none"/>
                <w:vertAlign w:val="baseline"/>
                <w:lang w:val="en-US" w:eastAsia="zh-CN"/>
              </w:rPr>
            </w:pPr>
          </w:p>
        </w:tc>
        <w:tc>
          <w:tcPr>
            <w:tcW w:w="1602" w:type="dxa"/>
            <w:tcBorders>
              <w:tl2br w:val="nil"/>
              <w:tr2bl w:val="nil"/>
            </w:tcBorders>
            <w:noWrap w:val="0"/>
            <w:vAlign w:val="center"/>
          </w:tcPr>
          <w:p w14:paraId="358A4334">
            <w:pPr>
              <w:rPr>
                <w:rFonts w:hint="eastAsia" w:ascii="仿宋" w:hAnsi="仿宋" w:eastAsia="仿宋" w:cs="仿宋"/>
                <w:color w:val="auto"/>
                <w:kern w:val="2"/>
                <w:sz w:val="24"/>
                <w:szCs w:val="24"/>
                <w:highlight w:val="none"/>
                <w:vertAlign w:val="baseline"/>
                <w:lang w:val="en-US" w:eastAsia="zh-CN" w:bidi="ar-SA"/>
              </w:rPr>
            </w:pPr>
          </w:p>
        </w:tc>
        <w:tc>
          <w:tcPr>
            <w:tcW w:w="1644" w:type="dxa"/>
            <w:tcBorders>
              <w:tl2br w:val="nil"/>
              <w:tr2bl w:val="nil"/>
            </w:tcBorders>
            <w:noWrap w:val="0"/>
            <w:vAlign w:val="center"/>
          </w:tcPr>
          <w:p w14:paraId="29B4B914">
            <w:pPr>
              <w:rPr>
                <w:rFonts w:hint="eastAsia" w:ascii="仿宋" w:hAnsi="仿宋" w:eastAsia="仿宋" w:cs="仿宋"/>
                <w:color w:val="auto"/>
                <w:sz w:val="24"/>
                <w:szCs w:val="24"/>
                <w:highlight w:val="none"/>
                <w:vertAlign w:val="baseline"/>
              </w:rPr>
            </w:pPr>
          </w:p>
        </w:tc>
      </w:tr>
      <w:tr w14:paraId="0167BE64">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8515" w:type="dxa"/>
            <w:gridSpan w:val="5"/>
            <w:tcBorders>
              <w:tl2br w:val="nil"/>
              <w:tr2bl w:val="nil"/>
            </w:tcBorders>
            <w:noWrap w:val="0"/>
            <w:vAlign w:val="center"/>
          </w:tcPr>
          <w:p w14:paraId="03DCA102">
            <w:pPr>
              <w:keepNext w:val="0"/>
              <w:keepLines w:val="0"/>
              <w:pageBreakBefore w:val="0"/>
              <w:widowControl/>
              <w:kinsoku/>
              <w:wordWrap/>
              <w:overflowPunct/>
              <w:topLinePunct w:val="0"/>
              <w:bidi w:val="0"/>
              <w:spacing w:line="440" w:lineRule="exact"/>
              <w:jc w:val="left"/>
              <w:textAlignment w:val="center"/>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说明：</w:t>
            </w:r>
            <w:r>
              <w:rPr>
                <w:rFonts w:hint="eastAsia" w:ascii="仿宋" w:hAnsi="仿宋" w:eastAsia="仿宋" w:cs="仿宋"/>
                <w:b/>
                <w:color w:val="auto"/>
                <w:sz w:val="24"/>
                <w:highlight w:val="none"/>
              </w:rPr>
              <w:t>投标总价包括但不仅限于项目清单中设备的采购运输安装、调试集成费用、</w:t>
            </w:r>
            <w:r>
              <w:rPr>
                <w:rFonts w:hint="eastAsia" w:ascii="仿宋" w:hAnsi="仿宋" w:eastAsia="仿宋" w:cs="仿宋"/>
                <w:b/>
                <w:color w:val="auto"/>
                <w:sz w:val="24"/>
                <w:highlight w:val="none"/>
                <w:lang w:val="en-US" w:eastAsia="zh-CN"/>
              </w:rPr>
              <w:t>运维服务费、</w:t>
            </w:r>
            <w:r>
              <w:rPr>
                <w:rFonts w:hint="eastAsia" w:ascii="仿宋" w:hAnsi="仿宋" w:eastAsia="仿宋" w:cs="仿宋"/>
                <w:b/>
                <w:color w:val="auto"/>
                <w:sz w:val="24"/>
                <w:highlight w:val="none"/>
              </w:rPr>
              <w:t>培训费及招标代理费等。</w:t>
            </w:r>
            <w:r>
              <w:rPr>
                <w:rFonts w:hint="eastAsia" w:ascii="仿宋" w:hAnsi="仿宋" w:eastAsia="仿宋" w:cs="仿宋"/>
                <w:b/>
                <w:color w:val="auto"/>
                <w:sz w:val="24"/>
                <w:highlight w:val="none"/>
                <w:lang w:val="en-US" w:eastAsia="zh-CN"/>
              </w:rPr>
              <w:t>投标人</w:t>
            </w:r>
            <w:r>
              <w:rPr>
                <w:rFonts w:hint="eastAsia" w:ascii="仿宋" w:hAnsi="仿宋" w:eastAsia="仿宋" w:cs="仿宋"/>
                <w:b/>
                <w:color w:val="auto"/>
                <w:sz w:val="24"/>
                <w:highlight w:val="none"/>
              </w:rPr>
              <w:t>应充分考虑采购的产品的运输、安装及集成测试培训等工作时各环节所发生的费用，并计入投标报价中</w:t>
            </w:r>
            <w:r>
              <w:rPr>
                <w:rFonts w:hint="eastAsia" w:ascii="仿宋" w:hAnsi="仿宋" w:eastAsia="仿宋" w:cs="仿宋"/>
                <w:color w:val="auto"/>
                <w:kern w:val="0"/>
                <w:sz w:val="24"/>
                <w:highlight w:val="none"/>
                <w:lang w:bidi="ar"/>
              </w:rPr>
              <w:t>。</w:t>
            </w:r>
          </w:p>
          <w:p w14:paraId="34D60DAB">
            <w:pPr>
              <w:keepNext w:val="0"/>
              <w:keepLines w:val="0"/>
              <w:pageBreakBefore w:val="0"/>
              <w:widowControl/>
              <w:kinsoku/>
              <w:wordWrap/>
              <w:overflowPunct/>
              <w:topLinePunct w:val="0"/>
              <w:bidi w:val="0"/>
              <w:spacing w:line="440" w:lineRule="exact"/>
              <w:jc w:val="center"/>
              <w:textAlignment w:val="center"/>
              <w:rPr>
                <w:rFonts w:hint="eastAsia" w:ascii="仿宋" w:hAnsi="仿宋" w:eastAsia="仿宋" w:cs="仿宋"/>
                <w:b/>
                <w:bCs/>
                <w:color w:val="auto"/>
                <w:kern w:val="0"/>
                <w:sz w:val="24"/>
                <w:highlight w:val="none"/>
                <w:lang w:bidi="ar"/>
              </w:rPr>
            </w:pPr>
          </w:p>
          <w:p w14:paraId="1153C2D3">
            <w:pPr>
              <w:keepNext w:val="0"/>
              <w:keepLines w:val="0"/>
              <w:pageBreakBefore w:val="0"/>
              <w:widowControl/>
              <w:kinsoku/>
              <w:wordWrap/>
              <w:overflowPunct/>
              <w:topLinePunct w:val="0"/>
              <w:bidi w:val="0"/>
              <w:spacing w:line="440" w:lineRule="exact"/>
              <w:jc w:val="center"/>
              <w:textAlignment w:val="center"/>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总价（人民币元）</w:t>
            </w:r>
          </w:p>
          <w:p w14:paraId="4615E654">
            <w:pPr>
              <w:pStyle w:val="21"/>
              <w:keepNext w:val="0"/>
              <w:keepLines w:val="0"/>
              <w:pageBreakBefore w:val="0"/>
              <w:kinsoku/>
              <w:wordWrap/>
              <w:overflowPunct/>
              <w:topLinePunct w:val="0"/>
              <w:bidi w:val="0"/>
              <w:spacing w:line="440" w:lineRule="exact"/>
              <w:rPr>
                <w:rFonts w:hint="eastAsia"/>
                <w:color w:val="auto"/>
                <w:highlight w:val="none"/>
                <w:lang w:val="en-US" w:eastAsia="zh-CN"/>
              </w:rPr>
            </w:pPr>
          </w:p>
          <w:p w14:paraId="49D53E13">
            <w:pPr>
              <w:keepNext w:val="0"/>
              <w:keepLines w:val="0"/>
              <w:pageBreakBefore w:val="0"/>
              <w:widowControl/>
              <w:kinsoku/>
              <w:wordWrap/>
              <w:overflowPunct/>
              <w:topLinePunct w:val="0"/>
              <w:bidi w:val="0"/>
              <w:spacing w:line="440" w:lineRule="exact"/>
              <w:textAlignment w:val="center"/>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小写：_________________________</w:t>
            </w:r>
          </w:p>
          <w:p w14:paraId="4B7F7339">
            <w:pPr>
              <w:pStyle w:val="21"/>
              <w:keepNext w:val="0"/>
              <w:keepLines w:val="0"/>
              <w:pageBreakBefore w:val="0"/>
              <w:kinsoku/>
              <w:wordWrap/>
              <w:overflowPunct/>
              <w:topLinePunct w:val="0"/>
              <w:bidi w:val="0"/>
              <w:spacing w:line="440" w:lineRule="exact"/>
              <w:rPr>
                <w:rFonts w:hint="eastAsia"/>
                <w:color w:val="auto"/>
                <w:highlight w:val="none"/>
                <w:lang w:val="en-US" w:eastAsia="zh-CN"/>
              </w:rPr>
            </w:pPr>
          </w:p>
          <w:p w14:paraId="1AB0CB1D">
            <w:pPr>
              <w:keepNext w:val="0"/>
              <w:keepLines w:val="0"/>
              <w:pageBreakBefore w:val="0"/>
              <w:widowControl/>
              <w:kinsoku/>
              <w:wordWrap/>
              <w:overflowPunct/>
              <w:topLinePunct w:val="0"/>
              <w:bidi w:val="0"/>
              <w:spacing w:line="440" w:lineRule="exact"/>
              <w:textAlignment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0"/>
                <w:sz w:val="24"/>
                <w:highlight w:val="none"/>
                <w:lang w:bidi="ar"/>
              </w:rPr>
              <w:t>大写：_________________________</w:t>
            </w:r>
          </w:p>
        </w:tc>
      </w:tr>
    </w:tbl>
    <w:p w14:paraId="16212037">
      <w:pPr>
        <w:snapToGrid w:val="0"/>
        <w:spacing w:line="360" w:lineRule="auto"/>
        <w:ind w:firstLine="6304" w:firstLineChars="2627"/>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（价格单位：元人民币）</w:t>
      </w:r>
    </w:p>
    <w:p w14:paraId="5476D8BD">
      <w:pPr>
        <w:pStyle w:val="15"/>
        <w:snapToGrid w:val="0"/>
        <w:spacing w:line="360" w:lineRule="auto"/>
        <w:ind w:firstLine="480" w:firstLineChars="2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投标供应商全称：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（公章/电子签名）</w:t>
      </w:r>
    </w:p>
    <w:p w14:paraId="2DD321AD">
      <w:pPr>
        <w:pStyle w:val="15"/>
        <w:snapToGrid w:val="0"/>
        <w:spacing w:line="360" w:lineRule="auto"/>
        <w:ind w:firstLine="480" w:firstLineChars="2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日期：</w:t>
      </w:r>
      <w:r>
        <w:rPr>
          <w:rFonts w:hint="eastAsia" w:ascii="仿宋" w:hAnsi="仿宋" w:eastAsia="仿宋" w:cs="仿宋"/>
          <w:color w:val="auto"/>
          <w:kern w:val="0"/>
          <w:sz w:val="24"/>
          <w:szCs w:val="24"/>
          <w:highlight w:val="none"/>
          <w:lang w:eastAsia="zh-CN"/>
        </w:rPr>
        <w:t>2025年</w:t>
      </w:r>
      <w:r>
        <w:rPr>
          <w:rFonts w:hint="eastAsia" w:ascii="仿宋" w:hAnsi="仿宋" w:eastAsia="仿宋" w:cs="仿宋"/>
          <w:color w:val="auto"/>
          <w:kern w:val="0"/>
          <w:sz w:val="24"/>
          <w:szCs w:val="24"/>
          <w:highlight w:val="none"/>
        </w:rPr>
        <w:t xml:space="preserve">   月   日</w:t>
      </w:r>
    </w:p>
    <w:p w14:paraId="577E8314">
      <w:pPr>
        <w:snapToGrid w:val="0"/>
        <w:spacing w:line="360" w:lineRule="auto"/>
        <w:ind w:firstLine="420" w:firstLineChars="200"/>
        <w:rPr>
          <w:rFonts w:ascii="仿宋" w:hAnsi="仿宋" w:eastAsia="仿宋" w:cs="仿宋"/>
          <w:color w:val="auto"/>
          <w:highlight w:val="none"/>
        </w:rPr>
      </w:pPr>
    </w:p>
    <w:p w14:paraId="3DD722CD">
      <w:pPr>
        <w:pStyle w:val="38"/>
        <w:spacing w:line="312" w:lineRule="auto"/>
        <w:ind w:left="426" w:firstLine="0"/>
        <w:rPr>
          <w:rFonts w:ascii="仿宋" w:hAnsi="仿宋" w:eastAsia="仿宋" w:cs="仿宋"/>
          <w:b/>
          <w:bCs/>
          <w:color w:val="auto"/>
          <w:highlight w:val="none"/>
        </w:rPr>
      </w:pPr>
      <w:r>
        <w:rPr>
          <w:rFonts w:hint="eastAsia" w:ascii="仿宋" w:hAnsi="仿宋" w:eastAsia="仿宋" w:cs="仿宋"/>
          <w:b/>
          <w:iCs/>
          <w:color w:val="auto"/>
          <w:sz w:val="21"/>
          <w:szCs w:val="21"/>
          <w:highlight w:val="none"/>
        </w:rPr>
        <w:t>『编制说明』</w:t>
      </w:r>
      <w:r>
        <w:rPr>
          <w:rFonts w:hint="eastAsia" w:ascii="仿宋" w:hAnsi="仿宋" w:eastAsia="仿宋" w:cs="仿宋"/>
          <w:b/>
          <w:bCs/>
          <w:color w:val="auto"/>
          <w:highlight w:val="none"/>
        </w:rPr>
        <w:t>：</w:t>
      </w:r>
    </w:p>
    <w:p w14:paraId="019538A6">
      <w:pPr>
        <w:snapToGrid w:val="0"/>
        <w:spacing w:line="360" w:lineRule="auto"/>
        <w:ind w:left="422"/>
        <w:rPr>
          <w:rFonts w:ascii="仿宋" w:hAnsi="仿宋" w:eastAsia="仿宋" w:cs="仿宋"/>
          <w:color w:val="auto"/>
          <w:highlight w:val="none"/>
        </w:rPr>
      </w:pPr>
      <w:bookmarkStart w:id="427" w:name="_Toc19354"/>
      <w:bookmarkStart w:id="428" w:name="_Toc13693"/>
      <w:bookmarkStart w:id="429" w:name="_Toc9704"/>
      <w:r>
        <w:rPr>
          <w:rFonts w:hint="eastAsia" w:ascii="仿宋" w:hAnsi="仿宋" w:eastAsia="仿宋" w:cs="仿宋"/>
          <w:color w:val="auto"/>
          <w:highlight w:val="none"/>
        </w:rPr>
        <w:t>1、投标人需按本表格式填写，</w:t>
      </w:r>
      <w:r>
        <w:rPr>
          <w:rFonts w:hint="eastAsia" w:ascii="仿宋" w:hAnsi="仿宋" w:eastAsia="仿宋" w:cs="仿宋"/>
          <w:b/>
          <w:bCs/>
          <w:color w:val="auto"/>
          <w:highlight w:val="none"/>
        </w:rPr>
        <w:t>否则视为投标文件含有采购人不能接受的附加条件，投标无效</w:t>
      </w:r>
      <w:r>
        <w:rPr>
          <w:rFonts w:hint="eastAsia" w:ascii="仿宋" w:hAnsi="仿宋" w:eastAsia="仿宋" w:cs="仿宋"/>
          <w:color w:val="auto"/>
          <w:highlight w:val="none"/>
        </w:rPr>
        <w:t>。</w:t>
      </w:r>
    </w:p>
    <w:p w14:paraId="318B1FD8">
      <w:pPr>
        <w:snapToGrid w:val="0"/>
        <w:spacing w:line="360" w:lineRule="auto"/>
        <w:ind w:left="422"/>
        <w:rPr>
          <w:rFonts w:ascii="仿宋" w:hAnsi="仿宋" w:eastAsia="仿宋" w:cs="仿宋"/>
          <w:color w:val="auto"/>
          <w:highlight w:val="none"/>
        </w:rPr>
      </w:pPr>
      <w:r>
        <w:rPr>
          <w:rFonts w:hint="eastAsia" w:ascii="仿宋" w:hAnsi="仿宋" w:eastAsia="仿宋" w:cs="仿宋"/>
          <w:color w:val="auto"/>
          <w:highlight w:val="none"/>
        </w:rPr>
        <w:t>2、此表在不改变格式要求的情况下，可自行增行。</w:t>
      </w:r>
    </w:p>
    <w:p w14:paraId="4D30C9A6">
      <w:pPr>
        <w:snapToGrid w:val="0"/>
        <w:spacing w:line="360" w:lineRule="auto"/>
        <w:ind w:left="422"/>
        <w:rPr>
          <w:rFonts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color w:val="auto"/>
          <w:highlight w:val="none"/>
        </w:rPr>
        <w:t>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中部分产品、服务单价为零的，视作已包含在总价中。</w:t>
      </w:r>
      <w:r>
        <w:rPr>
          <w:rFonts w:hint="eastAsia" w:ascii="仿宋" w:hAnsi="仿宋" w:eastAsia="仿宋" w:cs="仿宋"/>
          <w:b/>
          <w:bCs/>
          <w:color w:val="auto"/>
          <w:highlight w:val="none"/>
        </w:rPr>
        <w:t>采购内容未包含在《开标一览表（报价表）》名称栏中，投标人不能作出合理解释的，视为投标文件含有采购人不能接受的附加条件的，投标无效</w:t>
      </w:r>
      <w:r>
        <w:rPr>
          <w:rFonts w:hint="eastAsia" w:ascii="仿宋" w:hAnsi="仿宋" w:eastAsia="仿宋" w:cs="仿宋"/>
          <w:color w:val="auto"/>
          <w:highlight w:val="none"/>
        </w:rPr>
        <w:t>。</w:t>
      </w:r>
    </w:p>
    <w:p w14:paraId="553C4278">
      <w:pPr>
        <w:ind w:left="422"/>
        <w:rPr>
          <w:rFonts w:ascii="仿宋" w:hAnsi="仿宋" w:eastAsia="仿宋" w:cs="仿宋"/>
          <w:color w:val="auto"/>
          <w:highlight w:val="none"/>
        </w:rPr>
      </w:pPr>
      <w:r>
        <w:rPr>
          <w:rFonts w:hint="eastAsia" w:ascii="仿宋" w:hAnsi="仿宋" w:eastAsia="仿宋" w:cs="仿宋"/>
          <w:b/>
          <w:color w:val="auto"/>
          <w:kern w:val="0"/>
          <w:szCs w:val="21"/>
          <w:highlight w:val="none"/>
          <w:u w:val="single"/>
        </w:rPr>
        <w:t>4、供应商在“政府采购云平台”进行标书关联时，在“政府采购云平台”上单独填报的开标一览表内容与加密的报价文件中提交的开标一览表内容不一致时，以加密的报价文件中提交的开标一览表为准进行修正</w:t>
      </w:r>
      <w:r>
        <w:rPr>
          <w:rFonts w:hint="eastAsia" w:ascii="仿宋" w:hAnsi="仿宋" w:eastAsia="仿宋" w:cs="仿宋"/>
          <w:b/>
          <w:color w:val="auto"/>
          <w:kern w:val="0"/>
          <w:szCs w:val="21"/>
          <w:highlight w:val="none"/>
        </w:rPr>
        <w:t>。</w:t>
      </w:r>
    </w:p>
    <w:p w14:paraId="224998F7">
      <w:pPr>
        <w:pStyle w:val="42"/>
        <w:keepNext w:val="0"/>
        <w:pageBreakBefore w:val="0"/>
        <w:tabs>
          <w:tab w:val="clear" w:pos="720"/>
        </w:tabs>
        <w:snapToGrid w:val="0"/>
        <w:spacing w:before="120" w:after="120"/>
        <w:ind w:firstLine="643"/>
        <w:outlineLvl w:val="1"/>
        <w:rPr>
          <w:rFonts w:hint="eastAsia" w:ascii="仿宋" w:hAnsi="仿宋" w:eastAsia="仿宋" w:cs="宋体"/>
          <w:color w:val="auto"/>
          <w:sz w:val="32"/>
          <w:szCs w:val="32"/>
          <w:highlight w:val="none"/>
        </w:rPr>
        <w:sectPr>
          <w:headerReference r:id="rId14" w:type="default"/>
          <w:footerReference r:id="rId15" w:type="default"/>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宋体"/>
          <w:color w:val="auto"/>
          <w:sz w:val="32"/>
          <w:szCs w:val="32"/>
          <w:highlight w:val="none"/>
        </w:rPr>
        <w:br w:type="page"/>
      </w:r>
    </w:p>
    <w:p w14:paraId="0B7180AD">
      <w:pPr>
        <w:pStyle w:val="42"/>
        <w:keepNext w:val="0"/>
        <w:pageBreakBefore w:val="0"/>
        <w:tabs>
          <w:tab w:val="clear" w:pos="720"/>
        </w:tabs>
        <w:snapToGrid w:val="0"/>
        <w:spacing w:before="120" w:after="120"/>
        <w:ind w:firstLine="643"/>
        <w:outlineLvl w:val="1"/>
        <w:rPr>
          <w:rFonts w:ascii="仿宋" w:hAnsi="仿宋" w:eastAsia="仿宋" w:cs="宋体"/>
          <w:color w:val="auto"/>
          <w:kern w:val="2"/>
          <w:sz w:val="32"/>
          <w:szCs w:val="32"/>
          <w:highlight w:val="none"/>
        </w:rPr>
      </w:pPr>
      <w:r>
        <w:rPr>
          <w:rFonts w:hint="eastAsia" w:ascii="仿宋" w:hAnsi="仿宋" w:eastAsia="仿宋" w:cs="宋体"/>
          <w:color w:val="auto"/>
          <w:kern w:val="2"/>
          <w:sz w:val="32"/>
          <w:szCs w:val="32"/>
          <w:highlight w:val="none"/>
        </w:rPr>
        <w:t>一、开标一览表（</w:t>
      </w:r>
      <w:r>
        <w:rPr>
          <w:rFonts w:hint="eastAsia" w:ascii="仿宋" w:hAnsi="仿宋" w:eastAsia="仿宋" w:cs="宋体"/>
          <w:color w:val="auto"/>
          <w:kern w:val="2"/>
          <w:sz w:val="32"/>
          <w:szCs w:val="32"/>
          <w:highlight w:val="none"/>
          <w:lang w:val="en-US" w:eastAsia="zh-CN"/>
        </w:rPr>
        <w:t>标项二</w:t>
      </w:r>
      <w:r>
        <w:rPr>
          <w:rFonts w:hint="eastAsia" w:ascii="仿宋" w:hAnsi="仿宋" w:eastAsia="仿宋" w:cs="宋体"/>
          <w:color w:val="auto"/>
          <w:kern w:val="2"/>
          <w:sz w:val="32"/>
          <w:szCs w:val="32"/>
          <w:highlight w:val="none"/>
        </w:rPr>
        <w:t>）</w:t>
      </w:r>
    </w:p>
    <w:p w14:paraId="437062E3">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杭州市生态环境局拱墅分局</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浙江五石中正工程咨询有限公司</w:t>
      </w:r>
      <w:r>
        <w:rPr>
          <w:rFonts w:hint="eastAsia" w:ascii="仿宋" w:hAnsi="仿宋" w:eastAsia="仿宋" w:cs="仿宋"/>
          <w:color w:val="auto"/>
          <w:kern w:val="0"/>
          <w:sz w:val="24"/>
          <w:highlight w:val="none"/>
          <w:lang w:val="zh-CN"/>
        </w:rPr>
        <w:t>：</w:t>
      </w:r>
    </w:p>
    <w:p w14:paraId="5962A09F">
      <w:pPr>
        <w:spacing w:line="400" w:lineRule="exact"/>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按你方招标文件要求，我们，本标书签字方，谨此向你方发出要约如下：如你方接受本投标，我方承诺按照如下投标（开标）一览表的价格完成编号为</w:t>
      </w:r>
      <w:r>
        <w:rPr>
          <w:rFonts w:hint="eastAsia" w:ascii="仿宋" w:hAnsi="仿宋" w:eastAsia="仿宋" w:cs="仿宋"/>
          <w:color w:val="auto"/>
          <w:kern w:val="0"/>
          <w:sz w:val="24"/>
          <w:highlight w:val="none"/>
          <w:u w:val="single"/>
          <w:lang w:val="zh-CN"/>
        </w:rPr>
        <w:t xml:space="preserve">ZJWS2025--GS01 </w:t>
      </w:r>
      <w:r>
        <w:rPr>
          <w:rFonts w:hint="eastAsia" w:ascii="仿宋" w:hAnsi="仿宋" w:eastAsia="仿宋" w:cs="仿宋"/>
          <w:color w:val="auto"/>
          <w:kern w:val="0"/>
          <w:sz w:val="24"/>
          <w:highlight w:val="none"/>
          <w:lang w:val="zh-CN"/>
        </w:rPr>
        <w:t>的招标文件[项目名称：</w:t>
      </w:r>
      <w:r>
        <w:rPr>
          <w:rFonts w:hint="eastAsia" w:ascii="仿宋" w:hAnsi="仿宋" w:eastAsia="仿宋" w:cs="宋体"/>
          <w:b/>
          <w:color w:val="auto"/>
          <w:sz w:val="24"/>
          <w:highlight w:val="none"/>
          <w:lang w:eastAsia="zh-CN"/>
        </w:rPr>
        <w:t>“清净”拱墅多污染协同管控工程建设项目</w:t>
      </w:r>
      <w:r>
        <w:rPr>
          <w:rFonts w:hint="eastAsia" w:ascii="仿宋" w:hAnsi="仿宋" w:eastAsia="仿宋" w:cs="仿宋"/>
          <w:color w:val="auto"/>
          <w:sz w:val="24"/>
          <w:highlight w:val="none"/>
        </w:rPr>
        <w:t>]</w:t>
      </w:r>
      <w:r>
        <w:rPr>
          <w:rFonts w:hint="eastAsia" w:ascii="仿宋" w:hAnsi="仿宋" w:eastAsia="仿宋" w:cs="宋体"/>
          <w:color w:val="auto"/>
          <w:sz w:val="24"/>
          <w:highlight w:val="none"/>
          <w:u w:val="single"/>
          <w:lang w:val="en-US" w:eastAsia="zh-CN"/>
        </w:rPr>
        <w:t xml:space="preserve">标项二 </w:t>
      </w:r>
      <w:r>
        <w:rPr>
          <w:rFonts w:hint="eastAsia" w:ascii="仿宋" w:hAnsi="仿宋" w:eastAsia="仿宋" w:cs="仿宋"/>
          <w:color w:val="auto"/>
          <w:kern w:val="0"/>
          <w:sz w:val="24"/>
          <w:highlight w:val="none"/>
          <w:lang w:val="zh-CN"/>
        </w:rPr>
        <w:t>的实施。</w:t>
      </w:r>
    </w:p>
    <w:p w14:paraId="57A86962">
      <w:pPr>
        <w:snapToGrid w:val="0"/>
        <w:spacing w:line="360" w:lineRule="auto"/>
        <w:ind w:firstLine="0" w:firstLineChars="0"/>
        <w:jc w:val="righ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（价格单位：元人民币）</w:t>
      </w:r>
    </w:p>
    <w:tbl>
      <w:tblPr>
        <w:tblStyle w:val="24"/>
        <w:tblW w:w="8515" w:type="dxa"/>
        <w:tblInd w:w="0"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2965"/>
        <w:gridCol w:w="1282"/>
        <w:gridCol w:w="1609"/>
        <w:gridCol w:w="1641"/>
      </w:tblGrid>
      <w:tr w14:paraId="73570ABB">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1018" w:type="dxa"/>
            <w:tcBorders>
              <w:tl2br w:val="nil"/>
              <w:tr2bl w:val="nil"/>
            </w:tcBorders>
            <w:noWrap w:val="0"/>
            <w:vAlign w:val="center"/>
          </w:tcPr>
          <w:p w14:paraId="1A9D73D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序号</w:t>
            </w:r>
          </w:p>
        </w:tc>
        <w:tc>
          <w:tcPr>
            <w:tcW w:w="2965" w:type="dxa"/>
            <w:tcBorders>
              <w:tl2br w:val="nil"/>
              <w:tr2bl w:val="nil"/>
            </w:tcBorders>
            <w:noWrap w:val="0"/>
            <w:vAlign w:val="center"/>
          </w:tcPr>
          <w:p w14:paraId="20A27B3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服务范围</w:t>
            </w:r>
          </w:p>
        </w:tc>
        <w:tc>
          <w:tcPr>
            <w:tcW w:w="1282" w:type="dxa"/>
            <w:tcBorders>
              <w:tl2br w:val="nil"/>
              <w:tr2bl w:val="nil"/>
            </w:tcBorders>
            <w:noWrap w:val="0"/>
            <w:vAlign w:val="center"/>
          </w:tcPr>
          <w:p w14:paraId="18645568">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服务时间</w:t>
            </w:r>
          </w:p>
        </w:tc>
        <w:tc>
          <w:tcPr>
            <w:tcW w:w="1609" w:type="dxa"/>
            <w:tcBorders>
              <w:tl2br w:val="nil"/>
              <w:tr2bl w:val="nil"/>
            </w:tcBorders>
            <w:noWrap w:val="0"/>
            <w:vAlign w:val="center"/>
          </w:tcPr>
          <w:p w14:paraId="189E8CE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b/>
                <w:bCs/>
                <w:color w:val="auto"/>
                <w:sz w:val="24"/>
                <w:szCs w:val="24"/>
                <w:highlight w:val="none"/>
                <w:vertAlign w:val="baseline"/>
                <w:lang w:val="en-US" w:eastAsia="zh-CN"/>
              </w:rPr>
              <w:t>服务人数</w:t>
            </w:r>
          </w:p>
        </w:tc>
        <w:tc>
          <w:tcPr>
            <w:tcW w:w="1641" w:type="dxa"/>
            <w:tcBorders>
              <w:tl2br w:val="nil"/>
              <w:tr2bl w:val="nil"/>
            </w:tcBorders>
            <w:noWrap w:val="0"/>
            <w:vAlign w:val="center"/>
          </w:tcPr>
          <w:p w14:paraId="181613E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服务要求</w:t>
            </w:r>
          </w:p>
        </w:tc>
      </w:tr>
      <w:tr w14:paraId="7B508CC5">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1018" w:type="dxa"/>
            <w:tcBorders>
              <w:tl2br w:val="nil"/>
              <w:tr2bl w:val="nil"/>
            </w:tcBorders>
            <w:noWrap w:val="0"/>
            <w:vAlign w:val="center"/>
          </w:tcPr>
          <w:p w14:paraId="5EC9E228">
            <w:pPr>
              <w:keepNext w:val="0"/>
              <w:keepLines w:val="0"/>
              <w:pageBreakBefore w:val="0"/>
              <w:widowControl w:val="0"/>
              <w:numPr>
                <w:ilvl w:val="0"/>
                <w:numId w:val="16"/>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color w:val="auto"/>
                <w:sz w:val="24"/>
                <w:szCs w:val="24"/>
                <w:highlight w:val="none"/>
                <w:vertAlign w:val="baseline"/>
              </w:rPr>
            </w:pPr>
          </w:p>
        </w:tc>
        <w:tc>
          <w:tcPr>
            <w:tcW w:w="2965" w:type="dxa"/>
            <w:tcBorders>
              <w:tl2br w:val="nil"/>
              <w:tr2bl w:val="nil"/>
            </w:tcBorders>
            <w:noWrap w:val="0"/>
            <w:vAlign w:val="center"/>
          </w:tcPr>
          <w:p w14:paraId="092C3DD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户外扬尘治理服务</w:t>
            </w:r>
          </w:p>
        </w:tc>
        <w:tc>
          <w:tcPr>
            <w:tcW w:w="1282" w:type="dxa"/>
            <w:tcBorders>
              <w:tl2br w:val="nil"/>
              <w:tr2bl w:val="nil"/>
            </w:tcBorders>
            <w:noWrap w:val="0"/>
            <w:vAlign w:val="center"/>
          </w:tcPr>
          <w:p w14:paraId="75A3918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vertAlign w:val="baseline"/>
                <w:lang w:val="en-US" w:eastAsia="zh-CN"/>
              </w:rPr>
            </w:pPr>
          </w:p>
        </w:tc>
        <w:tc>
          <w:tcPr>
            <w:tcW w:w="1609" w:type="dxa"/>
            <w:tcBorders>
              <w:tl2br w:val="nil"/>
              <w:tr2bl w:val="nil"/>
            </w:tcBorders>
            <w:noWrap w:val="0"/>
            <w:vAlign w:val="center"/>
          </w:tcPr>
          <w:p w14:paraId="15EF238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1641" w:type="dxa"/>
            <w:tcBorders>
              <w:tl2br w:val="nil"/>
              <w:tr2bl w:val="nil"/>
            </w:tcBorders>
            <w:noWrap w:val="0"/>
            <w:vAlign w:val="center"/>
          </w:tcPr>
          <w:p w14:paraId="19BF346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vertAlign w:val="baseline"/>
                <w:lang w:val="en-US" w:eastAsia="zh-CN"/>
              </w:rPr>
            </w:pPr>
          </w:p>
        </w:tc>
      </w:tr>
      <w:tr w14:paraId="5F9661A3">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1018" w:type="dxa"/>
            <w:tcBorders>
              <w:tl2br w:val="nil"/>
              <w:tr2bl w:val="nil"/>
            </w:tcBorders>
            <w:noWrap w:val="0"/>
            <w:vAlign w:val="center"/>
          </w:tcPr>
          <w:p w14:paraId="5A615969">
            <w:pPr>
              <w:keepNext w:val="0"/>
              <w:keepLines w:val="0"/>
              <w:pageBreakBefore w:val="0"/>
              <w:widowControl w:val="0"/>
              <w:numPr>
                <w:ilvl w:val="0"/>
                <w:numId w:val="16"/>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color w:val="auto"/>
                <w:sz w:val="24"/>
                <w:szCs w:val="24"/>
                <w:highlight w:val="none"/>
                <w:vertAlign w:val="baseline"/>
              </w:rPr>
            </w:pPr>
          </w:p>
        </w:tc>
        <w:tc>
          <w:tcPr>
            <w:tcW w:w="2965" w:type="dxa"/>
            <w:tcBorders>
              <w:tl2br w:val="nil"/>
              <w:tr2bl w:val="nil"/>
            </w:tcBorders>
            <w:noWrap w:val="0"/>
            <w:vAlign w:val="center"/>
          </w:tcPr>
          <w:p w14:paraId="6BB8D53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车载移动式扬尘治理服务</w:t>
            </w:r>
          </w:p>
        </w:tc>
        <w:tc>
          <w:tcPr>
            <w:tcW w:w="1282" w:type="dxa"/>
            <w:tcBorders>
              <w:tl2br w:val="nil"/>
              <w:tr2bl w:val="nil"/>
            </w:tcBorders>
            <w:noWrap w:val="0"/>
            <w:vAlign w:val="center"/>
          </w:tcPr>
          <w:p w14:paraId="1EF68DA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1609" w:type="dxa"/>
            <w:tcBorders>
              <w:tl2br w:val="nil"/>
              <w:tr2bl w:val="nil"/>
            </w:tcBorders>
            <w:noWrap w:val="0"/>
            <w:vAlign w:val="center"/>
          </w:tcPr>
          <w:p w14:paraId="2F4C82E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1641" w:type="dxa"/>
            <w:tcBorders>
              <w:tl2br w:val="nil"/>
              <w:tr2bl w:val="nil"/>
            </w:tcBorders>
            <w:noWrap w:val="0"/>
            <w:vAlign w:val="center"/>
          </w:tcPr>
          <w:p w14:paraId="7A93073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vertAlign w:val="baseline"/>
              </w:rPr>
            </w:pPr>
          </w:p>
        </w:tc>
      </w:tr>
      <w:tr w14:paraId="6FDF1B17">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1018" w:type="dxa"/>
            <w:tcBorders>
              <w:tl2br w:val="nil"/>
              <w:tr2bl w:val="nil"/>
            </w:tcBorders>
            <w:noWrap w:val="0"/>
            <w:vAlign w:val="center"/>
          </w:tcPr>
          <w:p w14:paraId="31DCE2BB">
            <w:pPr>
              <w:keepNext w:val="0"/>
              <w:keepLines w:val="0"/>
              <w:pageBreakBefore w:val="0"/>
              <w:widowControl w:val="0"/>
              <w:numPr>
                <w:ilvl w:val="0"/>
                <w:numId w:val="16"/>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color w:val="auto"/>
                <w:sz w:val="24"/>
                <w:szCs w:val="24"/>
                <w:highlight w:val="none"/>
                <w:vertAlign w:val="baseline"/>
              </w:rPr>
            </w:pPr>
          </w:p>
        </w:tc>
        <w:tc>
          <w:tcPr>
            <w:tcW w:w="2965" w:type="dxa"/>
            <w:tcBorders>
              <w:tl2br w:val="nil"/>
              <w:tr2bl w:val="nil"/>
            </w:tcBorders>
            <w:noWrap w:val="0"/>
            <w:vAlign w:val="center"/>
          </w:tcPr>
          <w:p w14:paraId="066D313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餐饮油烟净化服务</w:t>
            </w:r>
          </w:p>
        </w:tc>
        <w:tc>
          <w:tcPr>
            <w:tcW w:w="1282" w:type="dxa"/>
            <w:tcBorders>
              <w:tl2br w:val="nil"/>
              <w:tr2bl w:val="nil"/>
            </w:tcBorders>
            <w:noWrap w:val="0"/>
            <w:vAlign w:val="center"/>
          </w:tcPr>
          <w:p w14:paraId="698C9FF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1609" w:type="dxa"/>
            <w:tcBorders>
              <w:tl2br w:val="nil"/>
              <w:tr2bl w:val="nil"/>
            </w:tcBorders>
            <w:noWrap w:val="0"/>
            <w:vAlign w:val="center"/>
          </w:tcPr>
          <w:p w14:paraId="5185378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1641" w:type="dxa"/>
            <w:tcBorders>
              <w:tl2br w:val="nil"/>
              <w:tr2bl w:val="nil"/>
            </w:tcBorders>
            <w:noWrap w:val="0"/>
            <w:vAlign w:val="center"/>
          </w:tcPr>
          <w:p w14:paraId="627BA56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vertAlign w:val="baseline"/>
              </w:rPr>
            </w:pPr>
          </w:p>
        </w:tc>
      </w:tr>
      <w:tr w14:paraId="7B096903">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1018" w:type="dxa"/>
            <w:tcBorders>
              <w:tl2br w:val="nil"/>
              <w:tr2bl w:val="nil"/>
            </w:tcBorders>
            <w:noWrap w:val="0"/>
            <w:vAlign w:val="center"/>
          </w:tcPr>
          <w:p w14:paraId="248A09FF">
            <w:pPr>
              <w:keepNext w:val="0"/>
              <w:keepLines w:val="0"/>
              <w:pageBreakBefore w:val="0"/>
              <w:widowControl w:val="0"/>
              <w:numPr>
                <w:ilvl w:val="0"/>
                <w:numId w:val="16"/>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color w:val="auto"/>
                <w:sz w:val="24"/>
                <w:szCs w:val="24"/>
                <w:highlight w:val="none"/>
                <w:vertAlign w:val="baseline"/>
              </w:rPr>
            </w:pPr>
          </w:p>
        </w:tc>
        <w:tc>
          <w:tcPr>
            <w:tcW w:w="2965" w:type="dxa"/>
            <w:tcBorders>
              <w:tl2br w:val="nil"/>
              <w:tr2bl w:val="nil"/>
            </w:tcBorders>
            <w:noWrap w:val="0"/>
            <w:vAlign w:val="center"/>
          </w:tcPr>
          <w:p w14:paraId="57B0B2F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运维服务</w:t>
            </w:r>
          </w:p>
        </w:tc>
        <w:tc>
          <w:tcPr>
            <w:tcW w:w="1282" w:type="dxa"/>
            <w:tcBorders>
              <w:tl2br w:val="nil"/>
              <w:tr2bl w:val="nil"/>
            </w:tcBorders>
            <w:noWrap w:val="0"/>
            <w:vAlign w:val="center"/>
          </w:tcPr>
          <w:p w14:paraId="3DBA17C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1609" w:type="dxa"/>
            <w:tcBorders>
              <w:tl2br w:val="nil"/>
              <w:tr2bl w:val="nil"/>
            </w:tcBorders>
            <w:noWrap w:val="0"/>
            <w:vAlign w:val="center"/>
          </w:tcPr>
          <w:p w14:paraId="5081FB8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1641" w:type="dxa"/>
            <w:tcBorders>
              <w:tl2br w:val="nil"/>
              <w:tr2bl w:val="nil"/>
            </w:tcBorders>
            <w:noWrap w:val="0"/>
            <w:vAlign w:val="center"/>
          </w:tcPr>
          <w:p w14:paraId="5626BCE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vertAlign w:val="baseline"/>
              </w:rPr>
            </w:pPr>
          </w:p>
        </w:tc>
      </w:tr>
      <w:tr w14:paraId="5CA83552">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1018" w:type="dxa"/>
            <w:tcBorders>
              <w:tl2br w:val="nil"/>
              <w:tr2bl w:val="nil"/>
            </w:tcBorders>
            <w:noWrap w:val="0"/>
            <w:vAlign w:val="center"/>
          </w:tcPr>
          <w:p w14:paraId="1B8C58B6">
            <w:pPr>
              <w:keepNext w:val="0"/>
              <w:keepLines w:val="0"/>
              <w:pageBreakBefore w:val="0"/>
              <w:widowControl w:val="0"/>
              <w:numPr>
                <w:ilvl w:val="0"/>
                <w:numId w:val="16"/>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color w:val="auto"/>
                <w:sz w:val="24"/>
                <w:szCs w:val="24"/>
                <w:highlight w:val="none"/>
                <w:vertAlign w:val="baseline"/>
              </w:rPr>
            </w:pPr>
          </w:p>
        </w:tc>
        <w:tc>
          <w:tcPr>
            <w:tcW w:w="2965" w:type="dxa"/>
            <w:tcBorders>
              <w:tl2br w:val="nil"/>
              <w:tr2bl w:val="nil"/>
            </w:tcBorders>
            <w:noWrap w:val="0"/>
            <w:vAlign w:val="center"/>
          </w:tcPr>
          <w:p w14:paraId="0E506B8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w:t>
            </w:r>
          </w:p>
        </w:tc>
        <w:tc>
          <w:tcPr>
            <w:tcW w:w="1282" w:type="dxa"/>
            <w:tcBorders>
              <w:tl2br w:val="nil"/>
              <w:tr2bl w:val="nil"/>
            </w:tcBorders>
            <w:noWrap w:val="0"/>
            <w:vAlign w:val="center"/>
          </w:tcPr>
          <w:p w14:paraId="64E61BA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1609" w:type="dxa"/>
            <w:tcBorders>
              <w:tl2br w:val="nil"/>
              <w:tr2bl w:val="nil"/>
            </w:tcBorders>
            <w:noWrap w:val="0"/>
            <w:vAlign w:val="center"/>
          </w:tcPr>
          <w:p w14:paraId="4FE0DE0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1641" w:type="dxa"/>
            <w:tcBorders>
              <w:tl2br w:val="nil"/>
              <w:tr2bl w:val="nil"/>
            </w:tcBorders>
            <w:noWrap w:val="0"/>
            <w:vAlign w:val="center"/>
          </w:tcPr>
          <w:p w14:paraId="7DE745D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vertAlign w:val="baseline"/>
              </w:rPr>
            </w:pPr>
          </w:p>
        </w:tc>
      </w:tr>
      <w:tr w14:paraId="14565F37">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1018" w:type="dxa"/>
            <w:tcBorders>
              <w:tl2br w:val="nil"/>
              <w:tr2bl w:val="nil"/>
            </w:tcBorders>
            <w:noWrap w:val="0"/>
            <w:vAlign w:val="center"/>
          </w:tcPr>
          <w:p w14:paraId="4CADB555">
            <w:pPr>
              <w:keepNext w:val="0"/>
              <w:keepLines w:val="0"/>
              <w:pageBreakBefore w:val="0"/>
              <w:widowControl w:val="0"/>
              <w:numPr>
                <w:ilvl w:val="0"/>
                <w:numId w:val="16"/>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color w:val="auto"/>
                <w:sz w:val="24"/>
                <w:szCs w:val="24"/>
                <w:highlight w:val="none"/>
                <w:vertAlign w:val="baseline"/>
              </w:rPr>
            </w:pPr>
          </w:p>
        </w:tc>
        <w:tc>
          <w:tcPr>
            <w:tcW w:w="2965" w:type="dxa"/>
            <w:tcBorders>
              <w:tl2br w:val="nil"/>
              <w:tr2bl w:val="nil"/>
            </w:tcBorders>
            <w:noWrap w:val="0"/>
            <w:vAlign w:val="center"/>
          </w:tcPr>
          <w:p w14:paraId="771F588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其他</w:t>
            </w:r>
          </w:p>
        </w:tc>
        <w:tc>
          <w:tcPr>
            <w:tcW w:w="1282" w:type="dxa"/>
            <w:tcBorders>
              <w:tl2br w:val="nil"/>
              <w:tr2bl w:val="nil"/>
            </w:tcBorders>
            <w:noWrap w:val="0"/>
            <w:vAlign w:val="center"/>
          </w:tcPr>
          <w:p w14:paraId="789B00F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vertAlign w:val="baseline"/>
                <w:lang w:val="en-US" w:eastAsia="zh-CN"/>
              </w:rPr>
            </w:pPr>
          </w:p>
        </w:tc>
        <w:tc>
          <w:tcPr>
            <w:tcW w:w="1609" w:type="dxa"/>
            <w:tcBorders>
              <w:tl2br w:val="nil"/>
              <w:tr2bl w:val="nil"/>
            </w:tcBorders>
            <w:noWrap w:val="0"/>
            <w:vAlign w:val="center"/>
          </w:tcPr>
          <w:p w14:paraId="7C8CA86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1641" w:type="dxa"/>
            <w:tcBorders>
              <w:tl2br w:val="nil"/>
              <w:tr2bl w:val="nil"/>
            </w:tcBorders>
            <w:noWrap w:val="0"/>
            <w:vAlign w:val="center"/>
          </w:tcPr>
          <w:p w14:paraId="4934557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vertAlign w:val="baseline"/>
              </w:rPr>
            </w:pPr>
          </w:p>
        </w:tc>
      </w:tr>
      <w:tr w14:paraId="769F7DE6">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8515" w:type="dxa"/>
            <w:gridSpan w:val="5"/>
            <w:tcBorders>
              <w:tl2br w:val="nil"/>
              <w:tr2bl w:val="nil"/>
            </w:tcBorders>
            <w:noWrap w:val="0"/>
            <w:vAlign w:val="center"/>
          </w:tcPr>
          <w:p w14:paraId="0D145019">
            <w:pPr>
              <w:keepNext w:val="0"/>
              <w:keepLines w:val="0"/>
              <w:pageBreakBefore w:val="0"/>
              <w:widowControl/>
              <w:kinsoku/>
              <w:wordWrap/>
              <w:overflowPunct/>
              <w:topLinePunct w:val="0"/>
              <w:bidi w:val="0"/>
              <w:spacing w:line="440" w:lineRule="exact"/>
              <w:jc w:val="left"/>
              <w:textAlignment w:val="center"/>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说明：</w:t>
            </w:r>
            <w:r>
              <w:rPr>
                <w:rFonts w:hint="eastAsia" w:ascii="仿宋" w:hAnsi="仿宋" w:eastAsia="仿宋" w:cs="仿宋"/>
                <w:b/>
                <w:color w:val="auto"/>
                <w:sz w:val="24"/>
                <w:highlight w:val="none"/>
              </w:rPr>
              <w:t>投标总价投标总价包括完成本项目工作所需的人力物力成本、管理费、其他费用、利润、税金</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招标代理费</w:t>
            </w:r>
            <w:r>
              <w:rPr>
                <w:rFonts w:hint="eastAsia" w:ascii="仿宋" w:hAnsi="仿宋" w:eastAsia="仿宋" w:cs="仿宋"/>
                <w:b/>
                <w:color w:val="auto"/>
                <w:sz w:val="24"/>
                <w:highlight w:val="none"/>
              </w:rPr>
              <w:t>等所有费用</w:t>
            </w:r>
            <w:r>
              <w:rPr>
                <w:rFonts w:hint="eastAsia" w:ascii="仿宋" w:hAnsi="仿宋" w:eastAsia="仿宋" w:cs="仿宋"/>
                <w:color w:val="auto"/>
                <w:kern w:val="0"/>
                <w:sz w:val="24"/>
                <w:highlight w:val="none"/>
                <w:lang w:bidi="ar"/>
              </w:rPr>
              <w:t>。</w:t>
            </w:r>
          </w:p>
          <w:p w14:paraId="4EEC1876">
            <w:pPr>
              <w:keepNext w:val="0"/>
              <w:keepLines w:val="0"/>
              <w:pageBreakBefore w:val="0"/>
              <w:widowControl/>
              <w:kinsoku/>
              <w:wordWrap/>
              <w:overflowPunct/>
              <w:topLinePunct w:val="0"/>
              <w:bidi w:val="0"/>
              <w:spacing w:line="440" w:lineRule="exact"/>
              <w:jc w:val="center"/>
              <w:textAlignment w:val="center"/>
              <w:rPr>
                <w:rFonts w:hint="eastAsia" w:ascii="仿宋" w:hAnsi="仿宋" w:eastAsia="仿宋" w:cs="仿宋"/>
                <w:b/>
                <w:bCs/>
                <w:color w:val="auto"/>
                <w:kern w:val="0"/>
                <w:sz w:val="24"/>
                <w:highlight w:val="none"/>
                <w:lang w:bidi="ar"/>
              </w:rPr>
            </w:pPr>
          </w:p>
          <w:p w14:paraId="72F30070">
            <w:pPr>
              <w:keepNext w:val="0"/>
              <w:keepLines w:val="0"/>
              <w:pageBreakBefore w:val="0"/>
              <w:widowControl/>
              <w:kinsoku/>
              <w:wordWrap/>
              <w:overflowPunct/>
              <w:topLinePunct w:val="0"/>
              <w:bidi w:val="0"/>
              <w:spacing w:line="440" w:lineRule="exact"/>
              <w:jc w:val="center"/>
              <w:textAlignment w:val="center"/>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总价（人民币元）</w:t>
            </w:r>
          </w:p>
          <w:p w14:paraId="4B146AF0">
            <w:pPr>
              <w:pStyle w:val="21"/>
              <w:keepNext w:val="0"/>
              <w:keepLines w:val="0"/>
              <w:pageBreakBefore w:val="0"/>
              <w:kinsoku/>
              <w:wordWrap/>
              <w:overflowPunct/>
              <w:topLinePunct w:val="0"/>
              <w:bidi w:val="0"/>
              <w:spacing w:line="440" w:lineRule="exact"/>
              <w:rPr>
                <w:rFonts w:hint="eastAsia"/>
                <w:color w:val="auto"/>
                <w:highlight w:val="none"/>
                <w:lang w:val="en-US" w:eastAsia="zh-CN"/>
              </w:rPr>
            </w:pPr>
          </w:p>
          <w:p w14:paraId="5A59C240">
            <w:pPr>
              <w:keepNext w:val="0"/>
              <w:keepLines w:val="0"/>
              <w:pageBreakBefore w:val="0"/>
              <w:widowControl/>
              <w:kinsoku/>
              <w:wordWrap/>
              <w:overflowPunct/>
              <w:topLinePunct w:val="0"/>
              <w:bidi w:val="0"/>
              <w:spacing w:line="440" w:lineRule="exact"/>
              <w:textAlignment w:val="center"/>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小写：_________________________</w:t>
            </w:r>
          </w:p>
          <w:p w14:paraId="522FA795">
            <w:pPr>
              <w:pStyle w:val="21"/>
              <w:keepNext w:val="0"/>
              <w:keepLines w:val="0"/>
              <w:pageBreakBefore w:val="0"/>
              <w:kinsoku/>
              <w:wordWrap/>
              <w:overflowPunct/>
              <w:topLinePunct w:val="0"/>
              <w:bidi w:val="0"/>
              <w:spacing w:line="440" w:lineRule="exact"/>
              <w:rPr>
                <w:rFonts w:hint="eastAsia"/>
                <w:color w:val="auto"/>
                <w:highlight w:val="none"/>
                <w:lang w:val="en-US" w:eastAsia="zh-CN"/>
              </w:rPr>
            </w:pPr>
          </w:p>
          <w:p w14:paraId="7F945E70">
            <w:pPr>
              <w:keepNext w:val="0"/>
              <w:keepLines w:val="0"/>
              <w:pageBreakBefore w:val="0"/>
              <w:widowControl/>
              <w:kinsoku/>
              <w:wordWrap/>
              <w:overflowPunct/>
              <w:topLinePunct w:val="0"/>
              <w:bidi w:val="0"/>
              <w:spacing w:line="440" w:lineRule="exact"/>
              <w:textAlignment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0"/>
                <w:sz w:val="24"/>
                <w:highlight w:val="none"/>
                <w:lang w:bidi="ar"/>
              </w:rPr>
              <w:t>大写：_________________________</w:t>
            </w:r>
          </w:p>
        </w:tc>
      </w:tr>
    </w:tbl>
    <w:p w14:paraId="229761CE">
      <w:pPr>
        <w:snapToGrid w:val="0"/>
        <w:spacing w:line="360" w:lineRule="auto"/>
        <w:ind w:firstLine="6304" w:firstLineChars="2627"/>
        <w:rPr>
          <w:rFonts w:ascii="仿宋" w:hAnsi="仿宋" w:eastAsia="仿宋" w:cs="宋体"/>
          <w:color w:val="auto"/>
          <w:kern w:val="0"/>
          <w:sz w:val="24"/>
          <w:highlight w:val="none"/>
          <w:lang w:val="zh-CN"/>
        </w:rPr>
      </w:pPr>
    </w:p>
    <w:p w14:paraId="2B99A114">
      <w:pPr>
        <w:pStyle w:val="15"/>
        <w:snapToGrid w:val="0"/>
        <w:spacing w:line="360" w:lineRule="auto"/>
        <w:ind w:firstLine="480" w:firstLineChars="2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投标供应商全称：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（公章/电子签名）</w:t>
      </w:r>
    </w:p>
    <w:p w14:paraId="575AD064">
      <w:pPr>
        <w:pStyle w:val="15"/>
        <w:snapToGrid w:val="0"/>
        <w:spacing w:line="360" w:lineRule="auto"/>
        <w:ind w:firstLine="480" w:firstLineChars="2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日期：</w:t>
      </w:r>
      <w:r>
        <w:rPr>
          <w:rFonts w:hint="eastAsia" w:ascii="仿宋" w:hAnsi="仿宋" w:eastAsia="仿宋" w:cs="仿宋"/>
          <w:color w:val="auto"/>
          <w:kern w:val="0"/>
          <w:sz w:val="24"/>
          <w:szCs w:val="24"/>
          <w:highlight w:val="none"/>
          <w:lang w:eastAsia="zh-CN"/>
        </w:rPr>
        <w:t>2025年</w:t>
      </w:r>
      <w:r>
        <w:rPr>
          <w:rFonts w:hint="eastAsia" w:ascii="仿宋" w:hAnsi="仿宋" w:eastAsia="仿宋" w:cs="仿宋"/>
          <w:color w:val="auto"/>
          <w:kern w:val="0"/>
          <w:sz w:val="24"/>
          <w:szCs w:val="24"/>
          <w:highlight w:val="none"/>
        </w:rPr>
        <w:t xml:space="preserve">   月   日</w:t>
      </w:r>
    </w:p>
    <w:p w14:paraId="62033A24">
      <w:pPr>
        <w:snapToGrid w:val="0"/>
        <w:spacing w:line="360" w:lineRule="auto"/>
        <w:ind w:firstLine="420" w:firstLineChars="200"/>
        <w:rPr>
          <w:rFonts w:ascii="仿宋" w:hAnsi="仿宋" w:eastAsia="仿宋" w:cs="仿宋"/>
          <w:color w:val="auto"/>
          <w:highlight w:val="none"/>
        </w:rPr>
      </w:pPr>
    </w:p>
    <w:p w14:paraId="1BB5C2F0">
      <w:pPr>
        <w:pStyle w:val="38"/>
        <w:spacing w:line="312" w:lineRule="auto"/>
        <w:ind w:left="426" w:firstLine="0"/>
        <w:rPr>
          <w:rFonts w:ascii="仿宋" w:hAnsi="仿宋" w:eastAsia="仿宋" w:cs="仿宋"/>
          <w:b/>
          <w:bCs/>
          <w:color w:val="auto"/>
          <w:highlight w:val="none"/>
        </w:rPr>
      </w:pPr>
      <w:r>
        <w:rPr>
          <w:rFonts w:hint="eastAsia" w:ascii="仿宋" w:hAnsi="仿宋" w:eastAsia="仿宋" w:cs="仿宋"/>
          <w:b/>
          <w:iCs/>
          <w:color w:val="auto"/>
          <w:sz w:val="21"/>
          <w:szCs w:val="21"/>
          <w:highlight w:val="none"/>
        </w:rPr>
        <w:t>『编制说明』</w:t>
      </w:r>
      <w:r>
        <w:rPr>
          <w:rFonts w:hint="eastAsia" w:ascii="仿宋" w:hAnsi="仿宋" w:eastAsia="仿宋" w:cs="仿宋"/>
          <w:b/>
          <w:bCs/>
          <w:color w:val="auto"/>
          <w:highlight w:val="none"/>
        </w:rPr>
        <w:t>：</w:t>
      </w:r>
    </w:p>
    <w:p w14:paraId="515F126B">
      <w:pPr>
        <w:snapToGrid w:val="0"/>
        <w:spacing w:line="360" w:lineRule="auto"/>
        <w:ind w:left="422"/>
        <w:rPr>
          <w:rFonts w:ascii="仿宋" w:hAnsi="仿宋" w:eastAsia="仿宋" w:cs="仿宋"/>
          <w:color w:val="auto"/>
          <w:highlight w:val="none"/>
        </w:rPr>
      </w:pPr>
      <w:r>
        <w:rPr>
          <w:rFonts w:hint="eastAsia" w:ascii="仿宋" w:hAnsi="仿宋" w:eastAsia="仿宋" w:cs="仿宋"/>
          <w:color w:val="auto"/>
          <w:highlight w:val="none"/>
        </w:rPr>
        <w:t>1、投标人需按本表格式填写，</w:t>
      </w:r>
      <w:r>
        <w:rPr>
          <w:rFonts w:hint="eastAsia" w:ascii="仿宋" w:hAnsi="仿宋" w:eastAsia="仿宋" w:cs="仿宋"/>
          <w:b/>
          <w:bCs/>
          <w:color w:val="auto"/>
          <w:highlight w:val="none"/>
        </w:rPr>
        <w:t>否则视为投标文件含有采购人不能接受的附加条件，投标无效</w:t>
      </w:r>
      <w:r>
        <w:rPr>
          <w:rFonts w:hint="eastAsia" w:ascii="仿宋" w:hAnsi="仿宋" w:eastAsia="仿宋" w:cs="仿宋"/>
          <w:color w:val="auto"/>
          <w:highlight w:val="none"/>
        </w:rPr>
        <w:t>。</w:t>
      </w:r>
    </w:p>
    <w:p w14:paraId="73DAC007">
      <w:pPr>
        <w:snapToGrid w:val="0"/>
        <w:spacing w:line="360" w:lineRule="auto"/>
        <w:ind w:left="422"/>
        <w:rPr>
          <w:rFonts w:ascii="仿宋" w:hAnsi="仿宋" w:eastAsia="仿宋" w:cs="仿宋"/>
          <w:color w:val="auto"/>
          <w:highlight w:val="none"/>
        </w:rPr>
      </w:pPr>
      <w:r>
        <w:rPr>
          <w:rFonts w:hint="eastAsia" w:ascii="仿宋" w:hAnsi="仿宋" w:eastAsia="仿宋" w:cs="仿宋"/>
          <w:color w:val="auto"/>
          <w:highlight w:val="none"/>
        </w:rPr>
        <w:t>2、此表在不改变格式要求的情况下，可自行增行。</w:t>
      </w:r>
    </w:p>
    <w:p w14:paraId="3FD6051D">
      <w:pPr>
        <w:snapToGrid w:val="0"/>
        <w:spacing w:line="360" w:lineRule="auto"/>
        <w:ind w:left="422"/>
        <w:rPr>
          <w:rFonts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color w:val="auto"/>
          <w:highlight w:val="none"/>
        </w:rPr>
        <w:t>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中部分产品、服务单价为零的，视作已包含在总价中。</w:t>
      </w:r>
      <w:r>
        <w:rPr>
          <w:rFonts w:hint="eastAsia" w:ascii="仿宋" w:hAnsi="仿宋" w:eastAsia="仿宋" w:cs="仿宋"/>
          <w:b/>
          <w:bCs/>
          <w:color w:val="auto"/>
          <w:highlight w:val="none"/>
        </w:rPr>
        <w:t>采购内容未包含在《开标一览表（报价表）》名称栏中，投标人不能作出合理解释的，视为投标文件含有采购人不能接受的附加条件的，投标无效</w:t>
      </w:r>
      <w:r>
        <w:rPr>
          <w:rFonts w:hint="eastAsia" w:ascii="仿宋" w:hAnsi="仿宋" w:eastAsia="仿宋" w:cs="仿宋"/>
          <w:color w:val="auto"/>
          <w:highlight w:val="none"/>
        </w:rPr>
        <w:t>。</w:t>
      </w:r>
    </w:p>
    <w:p w14:paraId="2AFCB8D2">
      <w:pPr>
        <w:ind w:left="422"/>
        <w:rPr>
          <w:rFonts w:ascii="仿宋" w:hAnsi="仿宋" w:eastAsia="仿宋" w:cs="仿宋"/>
          <w:color w:val="auto"/>
          <w:highlight w:val="none"/>
        </w:rPr>
      </w:pPr>
      <w:r>
        <w:rPr>
          <w:rFonts w:hint="eastAsia" w:ascii="仿宋" w:hAnsi="仿宋" w:eastAsia="仿宋" w:cs="仿宋"/>
          <w:b/>
          <w:color w:val="auto"/>
          <w:kern w:val="0"/>
          <w:szCs w:val="21"/>
          <w:highlight w:val="none"/>
          <w:u w:val="single"/>
        </w:rPr>
        <w:t>4、供应商在“政府采购云平台”进行标书关联时，在“政府采购云平台”上单独填报的开标一览表内容与加密的报价文件中提交的开标一览表内容不一致时，以加密的报价文件中提交的开标一览表为准进行修正</w:t>
      </w:r>
      <w:r>
        <w:rPr>
          <w:rFonts w:hint="eastAsia" w:ascii="仿宋" w:hAnsi="仿宋" w:eastAsia="仿宋" w:cs="仿宋"/>
          <w:b/>
          <w:color w:val="auto"/>
          <w:kern w:val="0"/>
          <w:szCs w:val="21"/>
          <w:highlight w:val="none"/>
        </w:rPr>
        <w:t>。</w:t>
      </w:r>
    </w:p>
    <w:p w14:paraId="38749FB1">
      <w:pPr>
        <w:pStyle w:val="42"/>
        <w:keepNext w:val="0"/>
        <w:pageBreakBefore w:val="0"/>
        <w:tabs>
          <w:tab w:val="clear" w:pos="720"/>
        </w:tabs>
        <w:snapToGrid w:val="0"/>
        <w:spacing w:before="120" w:after="120"/>
        <w:ind w:firstLine="643"/>
        <w:outlineLvl w:val="1"/>
        <w:rPr>
          <w:rFonts w:hint="eastAsia" w:ascii="仿宋" w:hAnsi="仿宋" w:eastAsia="仿宋" w:cs="宋体"/>
          <w:color w:val="auto"/>
          <w:kern w:val="2"/>
          <w:sz w:val="32"/>
          <w:szCs w:val="32"/>
          <w:highlight w:val="none"/>
          <w:lang w:val="en-US" w:eastAsia="zh-CN"/>
        </w:rPr>
        <w:sectPr>
          <w:pgSz w:w="11906" w:h="16838"/>
          <w:pgMar w:top="1440" w:right="1800" w:bottom="1440" w:left="1800" w:header="851" w:footer="992" w:gutter="0"/>
          <w:pgNumType w:fmt="decimal"/>
          <w:cols w:space="425" w:num="1"/>
          <w:docGrid w:type="lines" w:linePitch="312" w:charSpace="0"/>
        </w:sectPr>
      </w:pPr>
    </w:p>
    <w:p w14:paraId="1122CA05">
      <w:pPr>
        <w:pStyle w:val="42"/>
        <w:keepNext w:val="0"/>
        <w:pageBreakBefore w:val="0"/>
        <w:tabs>
          <w:tab w:val="clear" w:pos="720"/>
        </w:tabs>
        <w:snapToGrid w:val="0"/>
        <w:spacing w:before="120" w:after="120"/>
        <w:ind w:firstLine="643"/>
        <w:outlineLvl w:val="1"/>
        <w:rPr>
          <w:rFonts w:ascii="仿宋" w:hAnsi="仿宋" w:eastAsia="仿宋" w:cs="宋体"/>
          <w:color w:val="auto"/>
          <w:kern w:val="2"/>
          <w:sz w:val="32"/>
          <w:szCs w:val="32"/>
          <w:highlight w:val="none"/>
        </w:rPr>
      </w:pPr>
      <w:r>
        <w:rPr>
          <w:rFonts w:hint="eastAsia" w:ascii="仿宋" w:hAnsi="仿宋" w:eastAsia="仿宋" w:cs="宋体"/>
          <w:color w:val="auto"/>
          <w:kern w:val="2"/>
          <w:sz w:val="32"/>
          <w:szCs w:val="32"/>
          <w:highlight w:val="none"/>
          <w:lang w:val="en-US" w:eastAsia="zh-CN"/>
        </w:rPr>
        <w:t>三</w:t>
      </w:r>
      <w:r>
        <w:rPr>
          <w:rFonts w:hint="eastAsia" w:ascii="仿宋" w:hAnsi="仿宋" w:eastAsia="仿宋" w:cs="宋体"/>
          <w:color w:val="auto"/>
          <w:kern w:val="2"/>
          <w:sz w:val="32"/>
          <w:szCs w:val="32"/>
          <w:highlight w:val="none"/>
        </w:rPr>
        <w:t>、交纳采购代理服务费承诺书</w:t>
      </w:r>
      <w:bookmarkEnd w:id="427"/>
      <w:bookmarkEnd w:id="428"/>
      <w:bookmarkEnd w:id="429"/>
    </w:p>
    <w:p w14:paraId="0F11F5FB">
      <w:pPr>
        <w:snapToGrid w:val="0"/>
        <w:spacing w:line="300" w:lineRule="auto"/>
        <w:ind w:firstLine="422"/>
        <w:jc w:val="center"/>
        <w:rPr>
          <w:rFonts w:ascii="仿宋" w:hAnsi="仿宋" w:eastAsia="仿宋" w:cs="仿宋"/>
          <w:b/>
          <w:bCs/>
          <w:color w:val="auto"/>
          <w:sz w:val="24"/>
          <w:highlight w:val="none"/>
        </w:rPr>
      </w:pPr>
    </w:p>
    <w:p w14:paraId="71245477">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eastAsia="zh-CN"/>
        </w:rPr>
        <w:t>浙江五石中正工程咨询有限公司</w:t>
      </w:r>
      <w:r>
        <w:rPr>
          <w:rFonts w:hint="eastAsia" w:ascii="仿宋" w:hAnsi="仿宋" w:eastAsia="仿宋" w:cs="仿宋"/>
          <w:color w:val="auto"/>
          <w:sz w:val="24"/>
          <w:highlight w:val="none"/>
        </w:rPr>
        <w:t>：</w:t>
      </w:r>
    </w:p>
    <w:p w14:paraId="3507062C">
      <w:pPr>
        <w:snapToGrid w:val="0"/>
        <w:spacing w:line="360" w:lineRule="auto"/>
        <w:ind w:firstLine="480" w:firstLineChars="200"/>
        <w:rPr>
          <w:rFonts w:ascii="仿宋" w:hAnsi="仿宋" w:eastAsia="仿宋" w:cs="仿宋"/>
          <w:color w:val="auto"/>
          <w:sz w:val="24"/>
          <w:highlight w:val="none"/>
        </w:rPr>
      </w:pPr>
    </w:p>
    <w:p w14:paraId="01C15E8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我单位在你公司组织的</w:t>
      </w:r>
      <w:r>
        <w:rPr>
          <w:rFonts w:hint="eastAsia" w:ascii="仿宋" w:hAnsi="仿宋" w:eastAsia="仿宋" w:cs="仿宋"/>
          <w:color w:val="auto"/>
          <w:sz w:val="24"/>
          <w:highlight w:val="none"/>
          <w:u w:val="single"/>
          <w:lang w:eastAsia="zh-CN"/>
        </w:rPr>
        <w:t>杭州市生态环境局拱墅分局</w:t>
      </w: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u w:val="single"/>
          <w:lang w:eastAsia="zh-CN"/>
        </w:rPr>
        <w:t>“清净”拱墅多污染协同管控工程建设项目</w:t>
      </w: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lang w:eastAsia="zh-CN"/>
        </w:rPr>
        <w:t>ZJWS2025--GS01</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（项目编号）的招标中若获中标，我单位保证按招标文件</w:t>
      </w:r>
      <w:r>
        <w:rPr>
          <w:rFonts w:hint="eastAsia" w:ascii="仿宋" w:hAnsi="仿宋" w:eastAsia="仿宋" w:cs="仿宋"/>
          <w:b/>
          <w:color w:val="auto"/>
          <w:sz w:val="24"/>
          <w:highlight w:val="none"/>
        </w:rPr>
        <w:t>投标须知前附表</w:t>
      </w:r>
      <w:r>
        <w:rPr>
          <w:rFonts w:hint="eastAsia" w:ascii="仿宋" w:hAnsi="仿宋" w:eastAsia="仿宋" w:cs="仿宋"/>
          <w:color w:val="auto"/>
          <w:sz w:val="24"/>
          <w:highlight w:val="none"/>
        </w:rPr>
        <w:t>的规定，向你公司即</w:t>
      </w:r>
      <w:r>
        <w:rPr>
          <w:rFonts w:hint="eastAsia" w:ascii="仿宋" w:hAnsi="仿宋" w:eastAsia="仿宋" w:cs="仿宋"/>
          <w:color w:val="auto"/>
          <w:sz w:val="24"/>
          <w:highlight w:val="none"/>
          <w:lang w:eastAsia="zh-CN"/>
        </w:rPr>
        <w:t>浙江五石中正工程咨询有限公司</w:t>
      </w:r>
      <w:r>
        <w:rPr>
          <w:rFonts w:hint="eastAsia" w:ascii="仿宋" w:hAnsi="仿宋" w:eastAsia="仿宋" w:cs="仿宋"/>
          <w:color w:val="auto"/>
          <w:sz w:val="24"/>
          <w:highlight w:val="none"/>
        </w:rPr>
        <w:t>支付采购代理服务费。如我单位未按上述承诺支付采购代理服务费，由此产生的一切法律后果和责任由我单位承担。我单位声明放弃对此提出任何异议和追索的权利。</w:t>
      </w:r>
    </w:p>
    <w:p w14:paraId="70AA0ADD">
      <w:pPr>
        <w:snapToGrid w:val="0"/>
        <w:spacing w:line="360" w:lineRule="auto"/>
        <w:ind w:firstLine="480" w:firstLineChars="200"/>
        <w:rPr>
          <w:rFonts w:ascii="仿宋" w:hAnsi="仿宋" w:eastAsia="仿宋" w:cs="仿宋"/>
          <w:color w:val="auto"/>
          <w:sz w:val="24"/>
          <w:highlight w:val="none"/>
        </w:rPr>
      </w:pPr>
    </w:p>
    <w:p w14:paraId="6066275B">
      <w:pPr>
        <w:pStyle w:val="15"/>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特此承诺。</w:t>
      </w:r>
    </w:p>
    <w:p w14:paraId="750732D6">
      <w:pPr>
        <w:pStyle w:val="15"/>
        <w:snapToGrid w:val="0"/>
        <w:spacing w:line="360" w:lineRule="auto"/>
        <w:ind w:firstLine="480" w:firstLineChars="200"/>
        <w:rPr>
          <w:rFonts w:ascii="仿宋" w:hAnsi="仿宋" w:eastAsia="仿宋" w:cs="仿宋"/>
          <w:color w:val="auto"/>
          <w:sz w:val="24"/>
          <w:szCs w:val="24"/>
          <w:highlight w:val="none"/>
        </w:rPr>
      </w:pPr>
    </w:p>
    <w:p w14:paraId="78C86708">
      <w:pPr>
        <w:pStyle w:val="15"/>
        <w:snapToGrid w:val="0"/>
        <w:spacing w:line="360" w:lineRule="auto"/>
        <w:ind w:firstLine="480" w:firstLineChars="2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投标供应商全称：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（公章/电子签名）</w:t>
      </w:r>
    </w:p>
    <w:p w14:paraId="56A46C02">
      <w:pPr>
        <w:pStyle w:val="15"/>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lang w:eastAsia="zh-CN"/>
        </w:rPr>
        <w:t>2025年</w:t>
      </w:r>
      <w:r>
        <w:rPr>
          <w:rFonts w:hint="eastAsia" w:ascii="仿宋" w:hAnsi="仿宋" w:eastAsia="仿宋" w:cs="仿宋"/>
          <w:color w:val="auto"/>
          <w:sz w:val="24"/>
          <w:szCs w:val="24"/>
          <w:highlight w:val="none"/>
        </w:rPr>
        <w:t xml:space="preserve">   月   日</w:t>
      </w:r>
    </w:p>
    <w:p w14:paraId="2611EAB4">
      <w:pPr>
        <w:widowControl/>
        <w:adjustRightInd/>
        <w:jc w:val="left"/>
        <w:rPr>
          <w:rFonts w:ascii="仿宋" w:eastAsia="仿宋" w:cs="宋体"/>
          <w:color w:val="auto"/>
          <w:highlight w:val="none"/>
        </w:rPr>
      </w:pPr>
      <w:r>
        <w:rPr>
          <w:rFonts w:ascii="仿宋" w:hAnsi="仿宋" w:eastAsia="仿宋" w:cs="宋体"/>
          <w:bCs/>
          <w:color w:val="auto"/>
          <w:kern w:val="0"/>
          <w:sz w:val="36"/>
          <w:szCs w:val="36"/>
          <w:highlight w:val="none"/>
        </w:rPr>
        <w:br w:type="page"/>
      </w:r>
      <w:r>
        <w:rPr>
          <w:rFonts w:hint="eastAsia" w:ascii="仿宋" w:eastAsia="仿宋" w:cs="宋体"/>
          <w:color w:val="auto"/>
          <w:highlight w:val="none"/>
        </w:rPr>
        <w:t>附件</w:t>
      </w:r>
    </w:p>
    <w:p w14:paraId="229C2D2F">
      <w:pPr>
        <w:spacing w:line="360" w:lineRule="auto"/>
        <w:outlineLvl w:val="2"/>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附件1：</w:t>
      </w:r>
    </w:p>
    <w:p w14:paraId="3A0738B5">
      <w:pPr>
        <w:jc w:val="center"/>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属于监狱企业的证明文件</w:t>
      </w:r>
    </w:p>
    <w:p w14:paraId="45AA56CF">
      <w:pPr>
        <w:snapToGrid w:val="0"/>
        <w:jc w:val="center"/>
        <w:rPr>
          <w:rFonts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【不属于监狱企业的无需填写、递交】</w:t>
      </w:r>
    </w:p>
    <w:p w14:paraId="5FC88CE2">
      <w:pPr>
        <w:snapToGrid w:val="0"/>
        <w:ind w:firstLine="480" w:firstLineChars="200"/>
        <w:rPr>
          <w:rFonts w:hint="eastAsia" w:ascii="仿宋" w:hAnsi="仿宋" w:eastAsia="仿宋" w:cs="仿宋"/>
          <w:color w:val="auto"/>
          <w:sz w:val="24"/>
          <w:highlight w:val="none"/>
        </w:rPr>
      </w:pPr>
    </w:p>
    <w:p w14:paraId="6F435489">
      <w:pPr>
        <w:snapToGrid w:val="0"/>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监狱企业参加政府采购活动时，应当提供由省级以上监狱管理局、戒毒管理局（含新疆生产建设兵团）出具的属于监狱企业的证明文件。</w:t>
      </w:r>
    </w:p>
    <w:p w14:paraId="498CEE69">
      <w:pPr>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15E9653">
      <w:pPr>
        <w:rPr>
          <w:rFonts w:ascii="仿宋" w:hAnsi="仿宋" w:eastAsia="仿宋" w:cs="仿宋"/>
          <w:color w:val="auto"/>
          <w:szCs w:val="21"/>
          <w:highlight w:val="none"/>
        </w:rPr>
      </w:pPr>
    </w:p>
    <w:p w14:paraId="16E0544E">
      <w:pPr>
        <w:rPr>
          <w:rFonts w:ascii="仿宋" w:hAnsi="仿宋" w:eastAsia="仿宋" w:cs="仿宋"/>
          <w:color w:val="auto"/>
          <w:szCs w:val="21"/>
          <w:highlight w:val="none"/>
        </w:rPr>
      </w:pPr>
    </w:p>
    <w:p w14:paraId="4922F529">
      <w:pPr>
        <w:jc w:val="center"/>
        <w:rPr>
          <w:rFonts w:ascii="仿宋" w:hAnsi="仿宋" w:eastAsia="仿宋" w:cs="仿宋"/>
          <w:color w:val="auto"/>
          <w:sz w:val="28"/>
          <w:szCs w:val="28"/>
          <w:highlight w:val="none"/>
        </w:rPr>
      </w:pPr>
      <w:r>
        <w:rPr>
          <w:rFonts w:hint="eastAsia" w:ascii="仿宋" w:hAnsi="仿宋" w:eastAsia="仿宋" w:cs="仿宋"/>
          <w:b/>
          <w:bCs/>
          <w:color w:val="auto"/>
          <w:sz w:val="30"/>
          <w:szCs w:val="30"/>
          <w:highlight w:val="none"/>
        </w:rPr>
        <w:t>残疾人福利性单位声明函</w:t>
      </w:r>
    </w:p>
    <w:p w14:paraId="0840C66B">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【非残疾人福利性单位不用提供】</w:t>
      </w:r>
    </w:p>
    <w:p w14:paraId="07AF9137">
      <w:pPr>
        <w:snapToGrid w:val="0"/>
        <w:ind w:firstLine="504" w:firstLineChars="200"/>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本单位郑重声明，根据《财政部 民政部 中国残疾人联合会关于促进残疾人就业政府采购政策的通知》（财库</w:t>
      </w:r>
      <w:r>
        <w:rPr>
          <w:rFonts w:hint="eastAsia" w:ascii="仿宋" w:hAnsi="仿宋" w:eastAsia="仿宋" w:cs="仿宋"/>
          <w:color w:val="auto"/>
          <w:sz w:val="24"/>
          <w:highlight w:val="none"/>
        </w:rPr>
        <w:t>〔2017〕141</w:t>
      </w:r>
      <w:r>
        <w:rPr>
          <w:rFonts w:hint="eastAsia" w:ascii="仿宋" w:hAnsi="仿宋" w:eastAsia="仿宋" w:cs="仿宋"/>
          <w:color w:val="auto"/>
          <w:spacing w:val="6"/>
          <w:sz w:val="24"/>
          <w:highlight w:val="none"/>
        </w:rPr>
        <w:t>号）的规定，本单位为符合条件的残疾人福利性单位，且本单位参加</w:t>
      </w:r>
      <w:r>
        <w:rPr>
          <w:rFonts w:hint="eastAsia" w:ascii="仿宋" w:hAnsi="仿宋" w:eastAsia="仿宋" w:cs="仿宋"/>
          <w:color w:val="auto"/>
          <w:spacing w:val="6"/>
          <w:sz w:val="24"/>
          <w:highlight w:val="none"/>
          <w:u w:val="single"/>
        </w:rPr>
        <w:t xml:space="preserve"> （采购人名称）  </w:t>
      </w:r>
      <w:r>
        <w:rPr>
          <w:rFonts w:hint="eastAsia" w:ascii="仿宋" w:hAnsi="仿宋" w:eastAsia="仿宋" w:cs="仿宋"/>
          <w:color w:val="auto"/>
          <w:spacing w:val="6"/>
          <w:sz w:val="24"/>
          <w:highlight w:val="none"/>
        </w:rPr>
        <w:t>单位的</w:t>
      </w:r>
      <w:r>
        <w:rPr>
          <w:rFonts w:hint="eastAsia" w:ascii="仿宋" w:hAnsi="仿宋" w:eastAsia="仿宋" w:cs="仿宋"/>
          <w:color w:val="auto"/>
          <w:spacing w:val="6"/>
          <w:sz w:val="24"/>
          <w:highlight w:val="none"/>
          <w:u w:val="single"/>
        </w:rPr>
        <w:t xml:space="preserve">   （项目名称）    </w:t>
      </w:r>
      <w:r>
        <w:rPr>
          <w:rFonts w:hint="eastAsia" w:ascii="仿宋" w:hAnsi="仿宋" w:eastAsia="仿宋" w:cs="仿宋"/>
          <w:color w:val="auto"/>
          <w:spacing w:val="6"/>
          <w:sz w:val="24"/>
          <w:highlight w:val="none"/>
        </w:rPr>
        <w:t>项目采购活动并</w:t>
      </w:r>
      <w:r>
        <w:rPr>
          <w:rFonts w:hint="eastAsia" w:ascii="仿宋" w:hAnsi="仿宋" w:eastAsia="仿宋" w:cs="仿宋"/>
          <w:color w:val="auto"/>
          <w:sz w:val="24"/>
          <w:highlight w:val="none"/>
        </w:rPr>
        <w:t>由本单位为本项目提供服务</w:t>
      </w:r>
      <w:r>
        <w:rPr>
          <w:rFonts w:hint="eastAsia" w:ascii="仿宋" w:hAnsi="仿宋" w:eastAsia="仿宋" w:cs="仿宋"/>
          <w:color w:val="auto"/>
          <w:spacing w:val="6"/>
          <w:sz w:val="24"/>
          <w:highlight w:val="none"/>
        </w:rPr>
        <w:t>。</w:t>
      </w:r>
    </w:p>
    <w:p w14:paraId="7A0327D6">
      <w:pPr>
        <w:snapToGrid w:val="0"/>
        <w:ind w:firstLine="504" w:firstLineChars="200"/>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本单位对上述声明的真实性负责。如有虚假，将依法承担相应责任。</w:t>
      </w:r>
    </w:p>
    <w:p w14:paraId="03FE5BD6">
      <w:pPr>
        <w:snapToGrid w:val="0"/>
        <w:ind w:firstLine="480" w:firstLineChars="200"/>
        <w:rPr>
          <w:rFonts w:ascii="仿宋" w:hAnsi="仿宋" w:eastAsia="仿宋" w:cs="仿宋"/>
          <w:color w:val="auto"/>
          <w:sz w:val="24"/>
          <w:highlight w:val="none"/>
        </w:rPr>
      </w:pPr>
    </w:p>
    <w:p w14:paraId="59F44DD8">
      <w:pPr>
        <w:pStyle w:val="15"/>
        <w:snapToGrid w:val="0"/>
        <w:spacing w:line="360" w:lineRule="auto"/>
        <w:ind w:firstLine="480" w:firstLineChars="2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投标供应商全称：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（公章/电子签名）</w:t>
      </w:r>
    </w:p>
    <w:p w14:paraId="01BE7EF4">
      <w:pPr>
        <w:tabs>
          <w:tab w:val="left" w:pos="4860"/>
        </w:tabs>
        <w:spacing w:line="360" w:lineRule="auto"/>
        <w:ind w:right="1560" w:firstLine="480" w:firstLineChars="200"/>
        <w:jc w:val="center"/>
        <w:rPr>
          <w:rFonts w:ascii="仿宋" w:hAnsi="仿宋" w:eastAsia="仿宋" w:cs="宋体"/>
          <w:color w:val="auto"/>
          <w:sz w:val="24"/>
          <w:highlight w:val="none"/>
        </w:rPr>
      </w:pPr>
      <w:r>
        <w:rPr>
          <w:rFonts w:hint="eastAsia" w:ascii="仿宋" w:hAnsi="仿宋" w:eastAsia="仿宋" w:cs="仿宋"/>
          <w:color w:val="auto"/>
          <w:sz w:val="24"/>
          <w:highlight w:val="none"/>
        </w:rPr>
        <w:t>日期：   年  月  日</w:t>
      </w:r>
    </w:p>
    <w:p w14:paraId="09DABAF0">
      <w:pPr>
        <w:spacing w:line="360" w:lineRule="auto"/>
        <w:ind w:firstLine="480" w:firstLineChars="200"/>
        <w:rPr>
          <w:rFonts w:ascii="仿宋" w:hAnsi="仿宋" w:eastAsia="仿宋" w:cs="宋体"/>
          <w:color w:val="auto"/>
          <w:sz w:val="24"/>
          <w:highlight w:val="none"/>
        </w:rPr>
      </w:pPr>
    </w:p>
    <w:p w14:paraId="69361E71">
      <w:pPr>
        <w:spacing w:line="360" w:lineRule="auto"/>
        <w:ind w:firstLine="420" w:firstLineChars="200"/>
        <w:rPr>
          <w:rFonts w:ascii="仿宋" w:hAnsi="仿宋" w:eastAsia="仿宋" w:cs="宋体"/>
          <w:color w:val="auto"/>
          <w:highlight w:val="none"/>
        </w:rPr>
      </w:pPr>
    </w:p>
    <w:p w14:paraId="40819A5C">
      <w:pPr>
        <w:spacing w:line="360" w:lineRule="auto"/>
        <w:ind w:firstLine="420" w:firstLineChars="200"/>
        <w:rPr>
          <w:rFonts w:ascii="仿宋" w:hAnsi="仿宋" w:eastAsia="仿宋" w:cs="宋体"/>
          <w:color w:val="auto"/>
          <w:highlight w:val="none"/>
        </w:rPr>
      </w:pPr>
    </w:p>
    <w:p w14:paraId="483390E2">
      <w:pPr>
        <w:spacing w:line="360" w:lineRule="auto"/>
        <w:ind w:firstLine="420" w:firstLineChars="200"/>
        <w:rPr>
          <w:rFonts w:ascii="仿宋" w:hAnsi="仿宋" w:eastAsia="仿宋" w:cs="宋体"/>
          <w:color w:val="auto"/>
          <w:highlight w:val="none"/>
        </w:rPr>
      </w:pPr>
    </w:p>
    <w:p w14:paraId="4AD4F34F">
      <w:pPr>
        <w:spacing w:line="360" w:lineRule="auto"/>
        <w:ind w:firstLine="420" w:firstLineChars="200"/>
        <w:rPr>
          <w:rFonts w:ascii="仿宋" w:hAnsi="仿宋" w:eastAsia="仿宋" w:cs="宋体"/>
          <w:color w:val="auto"/>
          <w:highlight w:val="none"/>
        </w:rPr>
      </w:pPr>
    </w:p>
    <w:p w14:paraId="12210B02">
      <w:pPr>
        <w:spacing w:line="360" w:lineRule="auto"/>
        <w:rPr>
          <w:rFonts w:ascii="仿宋" w:hAnsi="仿宋" w:eastAsia="仿宋" w:cs="宋体"/>
          <w:b/>
          <w:color w:val="auto"/>
          <w:sz w:val="24"/>
          <w:highlight w:val="none"/>
        </w:rPr>
      </w:pPr>
    </w:p>
    <w:p w14:paraId="0FE7E040">
      <w:pPr>
        <w:spacing w:line="360" w:lineRule="auto"/>
        <w:rPr>
          <w:rFonts w:ascii="仿宋" w:hAnsi="仿宋" w:eastAsia="仿宋" w:cs="宋体"/>
          <w:b/>
          <w:color w:val="auto"/>
          <w:sz w:val="24"/>
          <w:highlight w:val="none"/>
        </w:rPr>
      </w:pPr>
    </w:p>
    <w:p w14:paraId="032D8184">
      <w:pPr>
        <w:spacing w:line="360" w:lineRule="auto"/>
        <w:rPr>
          <w:rFonts w:ascii="仿宋" w:hAnsi="仿宋" w:eastAsia="仿宋" w:cs="宋体"/>
          <w:b/>
          <w:color w:val="auto"/>
          <w:sz w:val="24"/>
          <w:highlight w:val="none"/>
        </w:rPr>
      </w:pPr>
    </w:p>
    <w:p w14:paraId="697727BB">
      <w:pPr>
        <w:spacing w:line="360" w:lineRule="auto"/>
        <w:rPr>
          <w:rFonts w:ascii="仿宋" w:hAnsi="仿宋" w:eastAsia="仿宋" w:cs="宋体"/>
          <w:b/>
          <w:color w:val="auto"/>
          <w:sz w:val="24"/>
          <w:highlight w:val="none"/>
        </w:rPr>
      </w:pPr>
    </w:p>
    <w:p w14:paraId="14F8FFAE">
      <w:pPr>
        <w:spacing w:line="360" w:lineRule="auto"/>
        <w:jc w:val="left"/>
        <w:outlineLvl w:val="2"/>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br w:type="page"/>
      </w:r>
      <w:r>
        <w:rPr>
          <w:rFonts w:hint="eastAsia" w:ascii="仿宋" w:hAnsi="仿宋" w:eastAsia="仿宋" w:cs="宋体"/>
          <w:b/>
          <w:color w:val="auto"/>
          <w:spacing w:val="6"/>
          <w:sz w:val="32"/>
          <w:szCs w:val="32"/>
          <w:highlight w:val="none"/>
        </w:rPr>
        <w:t>附件2：质疑函范本及制作说明</w:t>
      </w:r>
    </w:p>
    <w:p w14:paraId="3BC1D35A">
      <w:pPr>
        <w:spacing w:line="360" w:lineRule="auto"/>
        <w:jc w:val="center"/>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质疑函范本</w:t>
      </w:r>
    </w:p>
    <w:p w14:paraId="760B63AF">
      <w:pPr>
        <w:snapToGrid w:val="0"/>
        <w:spacing w:before="240" w:beforeLines="100"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一、质疑供应商基本信息</w:t>
      </w:r>
    </w:p>
    <w:p w14:paraId="01F2DF26">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质疑供应商：</w:t>
      </w:r>
      <w:r>
        <w:rPr>
          <w:rFonts w:hint="eastAsia" w:ascii="仿宋" w:hAnsi="仿宋" w:eastAsia="仿宋" w:cs="宋体"/>
          <w:color w:val="auto"/>
          <w:sz w:val="24"/>
          <w:highlight w:val="none"/>
          <w:u w:val="dotted"/>
        </w:rPr>
        <w:t xml:space="preserve">                                        </w:t>
      </w:r>
    </w:p>
    <w:p w14:paraId="2F6191FE">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地址：</w:t>
      </w:r>
      <w:r>
        <w:rPr>
          <w:rFonts w:hint="eastAsia" w:ascii="仿宋" w:hAnsi="仿宋" w:eastAsia="仿宋" w:cs="宋体"/>
          <w:color w:val="auto"/>
          <w:sz w:val="24"/>
          <w:highlight w:val="none"/>
          <w:u w:val="dotted"/>
        </w:rPr>
        <w:t xml:space="preserve">                          </w:t>
      </w:r>
      <w:r>
        <w:rPr>
          <w:rFonts w:hint="eastAsia" w:ascii="仿宋" w:hAnsi="仿宋" w:eastAsia="仿宋" w:cs="宋体"/>
          <w:color w:val="auto"/>
          <w:sz w:val="24"/>
          <w:highlight w:val="none"/>
        </w:rPr>
        <w:t>邮编：</w:t>
      </w:r>
      <w:r>
        <w:rPr>
          <w:rFonts w:hint="eastAsia" w:ascii="仿宋" w:hAnsi="仿宋" w:eastAsia="仿宋" w:cs="宋体"/>
          <w:color w:val="auto"/>
          <w:sz w:val="24"/>
          <w:highlight w:val="none"/>
          <w:u w:val="dotted"/>
        </w:rPr>
        <w:t xml:space="preserve">                                                   </w:t>
      </w:r>
    </w:p>
    <w:p w14:paraId="4C9288C6">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联系人：</w:t>
      </w:r>
      <w:r>
        <w:rPr>
          <w:rFonts w:hint="eastAsia" w:ascii="仿宋" w:hAnsi="仿宋" w:eastAsia="仿宋" w:cs="宋体"/>
          <w:color w:val="auto"/>
          <w:sz w:val="24"/>
          <w:highlight w:val="none"/>
          <w:u w:val="dotted"/>
        </w:rPr>
        <w:t xml:space="preserve">                      </w:t>
      </w:r>
      <w:r>
        <w:rPr>
          <w:rFonts w:hint="eastAsia" w:ascii="仿宋" w:hAnsi="仿宋" w:eastAsia="仿宋" w:cs="宋体"/>
          <w:color w:val="auto"/>
          <w:sz w:val="24"/>
          <w:highlight w:val="none"/>
        </w:rPr>
        <w:t>联系电话：</w:t>
      </w:r>
      <w:r>
        <w:rPr>
          <w:rFonts w:hint="eastAsia" w:ascii="仿宋" w:hAnsi="仿宋" w:eastAsia="仿宋" w:cs="宋体"/>
          <w:color w:val="auto"/>
          <w:sz w:val="24"/>
          <w:highlight w:val="none"/>
          <w:u w:val="dotted"/>
        </w:rPr>
        <w:t xml:space="preserve">                              </w:t>
      </w:r>
    </w:p>
    <w:p w14:paraId="32922DC5">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授权代表：</w:t>
      </w:r>
      <w:r>
        <w:rPr>
          <w:rFonts w:hint="eastAsia" w:ascii="仿宋" w:hAnsi="仿宋" w:eastAsia="仿宋" w:cs="宋体"/>
          <w:color w:val="auto"/>
          <w:sz w:val="24"/>
          <w:highlight w:val="none"/>
          <w:u w:val="dotted"/>
        </w:rPr>
        <w:t xml:space="preserve">                                          </w:t>
      </w:r>
    </w:p>
    <w:p w14:paraId="3970C7C5">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联系电话：</w:t>
      </w:r>
      <w:r>
        <w:rPr>
          <w:rFonts w:hint="eastAsia" w:ascii="仿宋" w:hAnsi="仿宋" w:eastAsia="仿宋" w:cs="宋体"/>
          <w:color w:val="auto"/>
          <w:sz w:val="24"/>
          <w:highlight w:val="none"/>
          <w:u w:val="dotted"/>
        </w:rPr>
        <w:t xml:space="preserve">                                           </w:t>
      </w:r>
      <w:r>
        <w:rPr>
          <w:rFonts w:hint="eastAsia" w:ascii="仿宋" w:hAnsi="仿宋" w:eastAsia="仿宋" w:cs="宋体"/>
          <w:color w:val="auto"/>
          <w:sz w:val="24"/>
          <w:highlight w:val="none"/>
        </w:rPr>
        <w:t xml:space="preserve"> </w:t>
      </w:r>
    </w:p>
    <w:p w14:paraId="18903840">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地址： </w:t>
      </w:r>
      <w:r>
        <w:rPr>
          <w:rFonts w:hint="eastAsia" w:ascii="仿宋" w:hAnsi="仿宋" w:eastAsia="仿宋" w:cs="宋体"/>
          <w:color w:val="auto"/>
          <w:sz w:val="24"/>
          <w:highlight w:val="none"/>
          <w:u w:val="dotted"/>
        </w:rPr>
        <w:t xml:space="preserve">                        </w:t>
      </w:r>
      <w:r>
        <w:rPr>
          <w:rFonts w:hint="eastAsia" w:ascii="仿宋" w:hAnsi="仿宋" w:eastAsia="仿宋" w:cs="宋体"/>
          <w:color w:val="auto"/>
          <w:sz w:val="24"/>
          <w:highlight w:val="none"/>
        </w:rPr>
        <w:t>邮编：</w:t>
      </w:r>
      <w:r>
        <w:rPr>
          <w:rFonts w:hint="eastAsia" w:ascii="仿宋" w:hAnsi="仿宋" w:eastAsia="仿宋" w:cs="宋体"/>
          <w:color w:val="auto"/>
          <w:sz w:val="24"/>
          <w:highlight w:val="none"/>
          <w:u w:val="dotted"/>
        </w:rPr>
        <w:t xml:space="preserve">                                                </w:t>
      </w:r>
    </w:p>
    <w:p w14:paraId="5C40FF38">
      <w:pPr>
        <w:snapToGrid w:val="0"/>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二、质疑项目基本情况</w:t>
      </w:r>
    </w:p>
    <w:p w14:paraId="39BC4245">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质疑项目的名称：</w:t>
      </w:r>
      <w:r>
        <w:rPr>
          <w:rFonts w:hint="eastAsia" w:ascii="仿宋" w:hAnsi="仿宋" w:eastAsia="仿宋" w:cs="宋体"/>
          <w:color w:val="auto"/>
          <w:sz w:val="24"/>
          <w:highlight w:val="none"/>
          <w:u w:val="dotted"/>
        </w:rPr>
        <w:t xml:space="preserve">                                      </w:t>
      </w:r>
    </w:p>
    <w:p w14:paraId="36C9BE67">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质疑项目的编号：</w:t>
      </w:r>
      <w:r>
        <w:rPr>
          <w:rFonts w:hint="eastAsia" w:ascii="仿宋" w:hAnsi="仿宋" w:eastAsia="仿宋" w:cs="宋体"/>
          <w:color w:val="auto"/>
          <w:sz w:val="24"/>
          <w:highlight w:val="none"/>
          <w:u w:val="dotted"/>
        </w:rPr>
        <w:t xml:space="preserve">               </w:t>
      </w:r>
      <w:r>
        <w:rPr>
          <w:rFonts w:hint="eastAsia" w:ascii="仿宋" w:hAnsi="仿宋" w:eastAsia="仿宋" w:cs="宋体"/>
          <w:color w:val="auto"/>
          <w:sz w:val="24"/>
          <w:highlight w:val="none"/>
        </w:rPr>
        <w:t>包号：</w:t>
      </w:r>
      <w:r>
        <w:rPr>
          <w:rFonts w:hint="eastAsia" w:ascii="仿宋" w:hAnsi="仿宋" w:eastAsia="仿宋" w:cs="宋体"/>
          <w:color w:val="auto"/>
          <w:sz w:val="24"/>
          <w:highlight w:val="none"/>
          <w:u w:val="dotted"/>
        </w:rPr>
        <w:t xml:space="preserve">                 </w:t>
      </w:r>
    </w:p>
    <w:p w14:paraId="3AC3EC0C">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采购人名称：</w:t>
      </w:r>
      <w:r>
        <w:rPr>
          <w:rFonts w:hint="eastAsia" w:ascii="仿宋" w:hAnsi="仿宋" w:eastAsia="仿宋" w:cs="宋体"/>
          <w:color w:val="auto"/>
          <w:sz w:val="24"/>
          <w:highlight w:val="none"/>
          <w:u w:val="dotted"/>
        </w:rPr>
        <w:t xml:space="preserve">                                         </w:t>
      </w:r>
    </w:p>
    <w:p w14:paraId="0CA469DC">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采购文件获取日期：</w:t>
      </w:r>
      <w:r>
        <w:rPr>
          <w:rFonts w:hint="eastAsia" w:ascii="仿宋" w:hAnsi="仿宋" w:eastAsia="仿宋" w:cs="宋体"/>
          <w:color w:val="auto"/>
          <w:sz w:val="24"/>
          <w:highlight w:val="none"/>
          <w:u w:val="dotted"/>
        </w:rPr>
        <w:t xml:space="preserve">                                           </w:t>
      </w:r>
    </w:p>
    <w:p w14:paraId="437FF953">
      <w:pPr>
        <w:snapToGrid w:val="0"/>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三、质疑事项具体内容</w:t>
      </w:r>
    </w:p>
    <w:p w14:paraId="3A634B25">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质疑事项1：</w:t>
      </w:r>
      <w:r>
        <w:rPr>
          <w:rFonts w:hint="eastAsia" w:ascii="仿宋" w:hAnsi="仿宋" w:eastAsia="仿宋" w:cs="宋体"/>
          <w:color w:val="auto"/>
          <w:sz w:val="24"/>
          <w:highlight w:val="none"/>
          <w:u w:val="dotted"/>
        </w:rPr>
        <w:t xml:space="preserve">                                         </w:t>
      </w:r>
    </w:p>
    <w:p w14:paraId="1948C331">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事实依据：</w:t>
      </w:r>
      <w:r>
        <w:rPr>
          <w:rFonts w:hint="eastAsia" w:ascii="仿宋" w:hAnsi="仿宋" w:eastAsia="仿宋" w:cs="宋体"/>
          <w:color w:val="auto"/>
          <w:sz w:val="24"/>
          <w:highlight w:val="none"/>
          <w:u w:val="dotted"/>
        </w:rPr>
        <w:t xml:space="preserve">                                          </w:t>
      </w:r>
    </w:p>
    <w:p w14:paraId="4CFF991B">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u w:val="dotted"/>
        </w:rPr>
        <w:t xml:space="preserve">                                                       </w:t>
      </w:r>
    </w:p>
    <w:p w14:paraId="6F39D436">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法律依据：</w:t>
      </w:r>
      <w:r>
        <w:rPr>
          <w:rFonts w:hint="eastAsia" w:ascii="仿宋" w:hAnsi="仿宋" w:eastAsia="仿宋" w:cs="宋体"/>
          <w:color w:val="auto"/>
          <w:sz w:val="24"/>
          <w:highlight w:val="none"/>
          <w:u w:val="dotted"/>
        </w:rPr>
        <w:t xml:space="preserve">                                          </w:t>
      </w:r>
    </w:p>
    <w:p w14:paraId="097B83C2">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u w:val="dotted"/>
        </w:rPr>
        <w:t xml:space="preserve">                                                     </w:t>
      </w:r>
    </w:p>
    <w:p w14:paraId="6893CC80">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质疑事项2</w:t>
      </w:r>
    </w:p>
    <w:p w14:paraId="204C29EB">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w:t>
      </w:r>
    </w:p>
    <w:p w14:paraId="47752AA7">
      <w:pPr>
        <w:snapToGrid w:val="0"/>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四、与质疑事项相关的质疑请求</w:t>
      </w:r>
    </w:p>
    <w:p w14:paraId="0E26C3B8">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请求：</w:t>
      </w:r>
      <w:r>
        <w:rPr>
          <w:rFonts w:hint="eastAsia" w:ascii="仿宋" w:hAnsi="仿宋" w:eastAsia="仿宋" w:cs="宋体"/>
          <w:color w:val="auto"/>
          <w:sz w:val="24"/>
          <w:highlight w:val="none"/>
          <w:u w:val="dotted"/>
        </w:rPr>
        <w:t xml:space="preserve">                                               </w:t>
      </w:r>
    </w:p>
    <w:p w14:paraId="480685C1">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签字(签章)：                   公章：                      </w:t>
      </w:r>
    </w:p>
    <w:p w14:paraId="478C27B3">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日期：    </w:t>
      </w:r>
    </w:p>
    <w:p w14:paraId="2A83B073">
      <w:pPr>
        <w:spacing w:line="360" w:lineRule="auto"/>
        <w:jc w:val="center"/>
        <w:rPr>
          <w:rFonts w:ascii="仿宋" w:hAnsi="仿宋" w:eastAsia="仿宋" w:cs="宋体"/>
          <w:b/>
          <w:bCs/>
          <w:color w:val="auto"/>
          <w:sz w:val="24"/>
          <w:highlight w:val="none"/>
        </w:rPr>
      </w:pPr>
    </w:p>
    <w:p w14:paraId="2D710455">
      <w:pPr>
        <w:spacing w:line="360" w:lineRule="auto"/>
        <w:rPr>
          <w:rFonts w:ascii="仿宋" w:hAnsi="仿宋" w:eastAsia="仿宋" w:cs="宋体"/>
          <w:b/>
          <w:color w:val="auto"/>
          <w:sz w:val="24"/>
          <w:highlight w:val="none"/>
        </w:rPr>
      </w:pPr>
    </w:p>
    <w:p w14:paraId="1EE956B0">
      <w:pPr>
        <w:spacing w:line="360" w:lineRule="auto"/>
        <w:rPr>
          <w:rFonts w:ascii="仿宋" w:hAnsi="仿宋" w:eastAsia="仿宋" w:cs="宋体"/>
          <w:b/>
          <w:color w:val="auto"/>
          <w:sz w:val="24"/>
          <w:highlight w:val="none"/>
        </w:rPr>
      </w:pPr>
    </w:p>
    <w:p w14:paraId="74EE9E64">
      <w:pPr>
        <w:spacing w:line="360" w:lineRule="auto"/>
        <w:rPr>
          <w:rFonts w:ascii="仿宋" w:hAnsi="仿宋" w:eastAsia="仿宋" w:cs="宋体"/>
          <w:b/>
          <w:color w:val="auto"/>
          <w:sz w:val="24"/>
          <w:highlight w:val="none"/>
        </w:rPr>
      </w:pPr>
    </w:p>
    <w:p w14:paraId="5668E7F6">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质疑函制作说明：</w:t>
      </w:r>
    </w:p>
    <w:p w14:paraId="1635C4B7">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1.供应商提出质疑时，应提交质疑函和必要的证明材料。</w:t>
      </w:r>
    </w:p>
    <w:p w14:paraId="67BB821A">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2.质疑供应商若委托代理人进行质疑的，质疑函应按要求列明“授权代表”的有关内容，并在附件中提交由质疑</w:t>
      </w:r>
      <w:r>
        <w:rPr>
          <w:rFonts w:hint="eastAsia" w:ascii="仿宋" w:hAnsi="仿宋" w:eastAsia="仿宋" w:cs="宋体"/>
          <w:color w:val="auto"/>
          <w:kern w:val="0"/>
          <w:sz w:val="24"/>
          <w:highlight w:val="none"/>
        </w:rPr>
        <w:t>供应商签署的授权委托书。授权委托书应载明代理人的姓名或者名称、代理事项、具体权限、期限和相关事项。</w:t>
      </w:r>
    </w:p>
    <w:p w14:paraId="7872F383">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3.质疑供应商若对项目的某一分包进行质疑，质疑函中应列明具体分包号。</w:t>
      </w:r>
    </w:p>
    <w:p w14:paraId="5C1A21BE">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4.质疑函的质疑事项应具体、明确，并有必要的事实依据和法律依据。</w:t>
      </w:r>
    </w:p>
    <w:p w14:paraId="6FC52E34">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5.质疑函的质疑请求应与质疑事项相关。</w:t>
      </w:r>
    </w:p>
    <w:p w14:paraId="36E5C6D6">
      <w:pPr>
        <w:widowControl/>
        <w:spacing w:line="360" w:lineRule="auto"/>
        <w:ind w:firstLine="480" w:firstLineChars="200"/>
        <w:jc w:val="left"/>
        <w:rPr>
          <w:rFonts w:hint="eastAsia" w:ascii="仿宋" w:hAnsi="仿宋" w:eastAsia="仿宋" w:cs="宋体"/>
          <w:color w:val="auto"/>
          <w:sz w:val="24"/>
          <w:highlight w:val="none"/>
        </w:rPr>
      </w:pPr>
      <w:r>
        <w:rPr>
          <w:rFonts w:hint="eastAsia" w:ascii="仿宋" w:hAnsi="仿宋" w:eastAsia="仿宋"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4B54A64">
      <w:pPr>
        <w:pStyle w:val="27"/>
        <w:rPr>
          <w:color w:val="auto"/>
          <w:highlight w:val="none"/>
        </w:rPr>
      </w:pPr>
    </w:p>
    <w:p w14:paraId="6A6D6A79">
      <w:pPr>
        <w:widowControl/>
        <w:spacing w:line="360" w:lineRule="auto"/>
        <w:ind w:firstLine="600" w:firstLineChars="200"/>
        <w:jc w:val="left"/>
        <w:rPr>
          <w:rFonts w:ascii="仿宋" w:hAnsi="仿宋" w:eastAsia="仿宋" w:cs="宋体"/>
          <w:color w:val="auto"/>
          <w:sz w:val="30"/>
          <w:szCs w:val="30"/>
          <w:highlight w:val="none"/>
        </w:rPr>
      </w:pPr>
    </w:p>
    <w:p w14:paraId="598E5315">
      <w:pPr>
        <w:spacing w:line="360" w:lineRule="auto"/>
        <w:jc w:val="center"/>
        <w:rPr>
          <w:rFonts w:ascii="仿宋" w:hAnsi="仿宋" w:eastAsia="仿宋" w:cs="宋体"/>
          <w:b/>
          <w:color w:val="auto"/>
          <w:spacing w:val="6"/>
          <w:sz w:val="32"/>
          <w:szCs w:val="32"/>
          <w:highlight w:val="none"/>
        </w:rPr>
      </w:pPr>
    </w:p>
    <w:p w14:paraId="0FD5F4E7">
      <w:pPr>
        <w:spacing w:line="360" w:lineRule="auto"/>
        <w:jc w:val="center"/>
        <w:rPr>
          <w:rFonts w:ascii="仿宋" w:hAnsi="仿宋" w:eastAsia="仿宋" w:cs="宋体"/>
          <w:b/>
          <w:color w:val="auto"/>
          <w:spacing w:val="6"/>
          <w:sz w:val="32"/>
          <w:szCs w:val="32"/>
          <w:highlight w:val="none"/>
        </w:rPr>
      </w:pPr>
    </w:p>
    <w:p w14:paraId="0EDEB35E">
      <w:pPr>
        <w:spacing w:line="360" w:lineRule="auto"/>
        <w:jc w:val="center"/>
        <w:rPr>
          <w:rFonts w:ascii="仿宋" w:hAnsi="仿宋" w:eastAsia="仿宋" w:cs="宋体"/>
          <w:b/>
          <w:color w:val="auto"/>
          <w:spacing w:val="6"/>
          <w:sz w:val="32"/>
          <w:szCs w:val="32"/>
          <w:highlight w:val="none"/>
        </w:rPr>
      </w:pPr>
    </w:p>
    <w:p w14:paraId="24983BF2">
      <w:pPr>
        <w:spacing w:line="360" w:lineRule="auto"/>
        <w:jc w:val="center"/>
        <w:rPr>
          <w:rFonts w:ascii="仿宋" w:hAnsi="仿宋" w:eastAsia="仿宋" w:cs="宋体"/>
          <w:b/>
          <w:color w:val="auto"/>
          <w:spacing w:val="6"/>
          <w:sz w:val="32"/>
          <w:szCs w:val="32"/>
          <w:highlight w:val="none"/>
        </w:rPr>
      </w:pPr>
    </w:p>
    <w:p w14:paraId="11E505B3">
      <w:pPr>
        <w:spacing w:line="360" w:lineRule="auto"/>
        <w:jc w:val="center"/>
        <w:rPr>
          <w:rFonts w:ascii="仿宋" w:hAnsi="仿宋" w:eastAsia="仿宋" w:cs="宋体"/>
          <w:b/>
          <w:color w:val="auto"/>
          <w:spacing w:val="6"/>
          <w:sz w:val="32"/>
          <w:szCs w:val="32"/>
          <w:highlight w:val="none"/>
        </w:rPr>
      </w:pPr>
    </w:p>
    <w:p w14:paraId="7DD597A2">
      <w:pPr>
        <w:spacing w:line="360" w:lineRule="auto"/>
        <w:jc w:val="center"/>
        <w:rPr>
          <w:rFonts w:ascii="仿宋" w:hAnsi="仿宋" w:eastAsia="仿宋" w:cs="宋体"/>
          <w:b/>
          <w:color w:val="auto"/>
          <w:spacing w:val="6"/>
          <w:sz w:val="32"/>
          <w:szCs w:val="32"/>
          <w:highlight w:val="none"/>
        </w:rPr>
      </w:pPr>
    </w:p>
    <w:p w14:paraId="5304F65A">
      <w:pPr>
        <w:spacing w:line="360" w:lineRule="auto"/>
        <w:jc w:val="center"/>
        <w:rPr>
          <w:rFonts w:ascii="仿宋" w:hAnsi="仿宋" w:eastAsia="仿宋" w:cs="宋体"/>
          <w:b/>
          <w:color w:val="auto"/>
          <w:spacing w:val="6"/>
          <w:sz w:val="32"/>
          <w:szCs w:val="32"/>
          <w:highlight w:val="none"/>
        </w:rPr>
      </w:pPr>
    </w:p>
    <w:p w14:paraId="3437780E">
      <w:pPr>
        <w:spacing w:line="360" w:lineRule="auto"/>
        <w:jc w:val="center"/>
        <w:rPr>
          <w:rFonts w:ascii="仿宋" w:hAnsi="仿宋" w:eastAsia="仿宋" w:cs="宋体"/>
          <w:b/>
          <w:color w:val="auto"/>
          <w:spacing w:val="6"/>
          <w:sz w:val="32"/>
          <w:szCs w:val="32"/>
          <w:highlight w:val="none"/>
        </w:rPr>
      </w:pPr>
    </w:p>
    <w:p w14:paraId="4299E2D9">
      <w:pPr>
        <w:spacing w:line="360" w:lineRule="auto"/>
        <w:jc w:val="center"/>
        <w:rPr>
          <w:rFonts w:ascii="仿宋" w:hAnsi="仿宋" w:eastAsia="仿宋" w:cs="宋体"/>
          <w:b/>
          <w:color w:val="auto"/>
          <w:spacing w:val="6"/>
          <w:sz w:val="32"/>
          <w:szCs w:val="32"/>
          <w:highlight w:val="none"/>
        </w:rPr>
      </w:pPr>
    </w:p>
    <w:p w14:paraId="49752B59">
      <w:pPr>
        <w:spacing w:line="360" w:lineRule="auto"/>
        <w:jc w:val="center"/>
        <w:rPr>
          <w:rFonts w:ascii="仿宋" w:hAnsi="仿宋" w:eastAsia="仿宋" w:cs="宋体"/>
          <w:b/>
          <w:color w:val="auto"/>
          <w:spacing w:val="6"/>
          <w:sz w:val="32"/>
          <w:szCs w:val="32"/>
          <w:highlight w:val="none"/>
        </w:rPr>
      </w:pPr>
    </w:p>
    <w:p w14:paraId="56465BD9">
      <w:pPr>
        <w:spacing w:line="360" w:lineRule="auto"/>
        <w:jc w:val="center"/>
        <w:rPr>
          <w:rFonts w:ascii="仿宋" w:hAnsi="仿宋" w:eastAsia="仿宋" w:cs="宋体"/>
          <w:b/>
          <w:color w:val="auto"/>
          <w:spacing w:val="6"/>
          <w:sz w:val="32"/>
          <w:szCs w:val="32"/>
          <w:highlight w:val="none"/>
        </w:rPr>
      </w:pPr>
    </w:p>
    <w:p w14:paraId="66FD57CD">
      <w:pPr>
        <w:spacing w:line="360" w:lineRule="auto"/>
        <w:jc w:val="center"/>
        <w:rPr>
          <w:rFonts w:ascii="仿宋" w:hAnsi="仿宋" w:eastAsia="仿宋" w:cs="宋体"/>
          <w:b/>
          <w:color w:val="auto"/>
          <w:spacing w:val="6"/>
          <w:sz w:val="32"/>
          <w:szCs w:val="32"/>
          <w:highlight w:val="none"/>
        </w:rPr>
      </w:pPr>
    </w:p>
    <w:p w14:paraId="1EF36E6E">
      <w:pPr>
        <w:spacing w:line="360" w:lineRule="auto"/>
        <w:jc w:val="left"/>
        <w:rPr>
          <w:rFonts w:ascii="仿宋" w:hAnsi="仿宋" w:eastAsia="仿宋" w:cs="宋体"/>
          <w:b/>
          <w:color w:val="auto"/>
          <w:spacing w:val="6"/>
          <w:sz w:val="32"/>
          <w:szCs w:val="32"/>
          <w:highlight w:val="none"/>
        </w:rPr>
      </w:pPr>
    </w:p>
    <w:p w14:paraId="1FA24457">
      <w:pPr>
        <w:spacing w:line="360" w:lineRule="auto"/>
        <w:jc w:val="left"/>
        <w:rPr>
          <w:rFonts w:ascii="仿宋" w:hAnsi="仿宋" w:eastAsia="仿宋" w:cs="宋体"/>
          <w:b/>
          <w:color w:val="auto"/>
          <w:spacing w:val="6"/>
          <w:sz w:val="32"/>
          <w:szCs w:val="32"/>
          <w:highlight w:val="none"/>
        </w:rPr>
      </w:pPr>
    </w:p>
    <w:p w14:paraId="149D1318">
      <w:pPr>
        <w:spacing w:line="360" w:lineRule="auto"/>
        <w:jc w:val="left"/>
        <w:outlineLvl w:val="2"/>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附件3：投诉书范本及制作说明</w:t>
      </w:r>
    </w:p>
    <w:p w14:paraId="1AB32C27">
      <w:pPr>
        <w:spacing w:line="360" w:lineRule="auto"/>
        <w:jc w:val="center"/>
        <w:rPr>
          <w:rFonts w:ascii="仿宋" w:hAnsi="仿宋" w:eastAsia="仿宋" w:cs="宋体"/>
          <w:b/>
          <w:color w:val="auto"/>
          <w:sz w:val="24"/>
          <w:highlight w:val="none"/>
        </w:rPr>
      </w:pPr>
    </w:p>
    <w:p w14:paraId="0766AC07">
      <w:pPr>
        <w:spacing w:line="360" w:lineRule="auto"/>
        <w:jc w:val="center"/>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投诉书范本</w:t>
      </w:r>
    </w:p>
    <w:p w14:paraId="38D5B708">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一、投诉相关主体基本情况</w:t>
      </w:r>
    </w:p>
    <w:p w14:paraId="752F79E8">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投诉人：</w:t>
      </w:r>
      <w:r>
        <w:rPr>
          <w:rFonts w:hint="eastAsia" w:ascii="仿宋" w:hAnsi="仿宋" w:eastAsia="仿宋" w:cs="宋体"/>
          <w:color w:val="auto"/>
          <w:sz w:val="24"/>
          <w:highlight w:val="none"/>
          <w:u w:val="dotted"/>
        </w:rPr>
        <w:t xml:space="preserve">                                               </w:t>
      </w:r>
    </w:p>
    <w:p w14:paraId="118C8906">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地     址：</w:t>
      </w:r>
      <w:r>
        <w:rPr>
          <w:rFonts w:hint="eastAsia" w:ascii="仿宋" w:hAnsi="仿宋" w:eastAsia="仿宋" w:cs="宋体"/>
          <w:color w:val="auto"/>
          <w:sz w:val="24"/>
          <w:highlight w:val="none"/>
          <w:u w:val="dotted"/>
        </w:rPr>
        <w:t xml:space="preserve">                             </w:t>
      </w:r>
      <w:r>
        <w:rPr>
          <w:rFonts w:hint="eastAsia" w:ascii="仿宋" w:hAnsi="仿宋" w:eastAsia="仿宋" w:cs="宋体"/>
          <w:color w:val="auto"/>
          <w:sz w:val="24"/>
          <w:highlight w:val="none"/>
        </w:rPr>
        <w:t>邮编：</w:t>
      </w:r>
      <w:r>
        <w:rPr>
          <w:rFonts w:hint="eastAsia" w:ascii="仿宋" w:hAnsi="仿宋" w:eastAsia="仿宋" w:cs="宋体"/>
          <w:color w:val="auto"/>
          <w:sz w:val="24"/>
          <w:highlight w:val="none"/>
          <w:u w:val="dotted"/>
        </w:rPr>
        <w:t xml:space="preserve">         </w:t>
      </w:r>
      <w:r>
        <w:rPr>
          <w:rFonts w:hint="eastAsia" w:ascii="仿宋" w:hAnsi="仿宋" w:eastAsia="仿宋" w:cs="宋体"/>
          <w:color w:val="auto"/>
          <w:sz w:val="24"/>
          <w:highlight w:val="none"/>
          <w:u w:val="single"/>
        </w:rPr>
        <w:t xml:space="preserve">   </w:t>
      </w:r>
    </w:p>
    <w:p w14:paraId="7082B77C">
      <w:pPr>
        <w:tabs>
          <w:tab w:val="left" w:pos="6510"/>
        </w:tabs>
        <w:spacing w:line="360" w:lineRule="auto"/>
        <w:jc w:val="left"/>
        <w:rPr>
          <w:rFonts w:ascii="仿宋" w:hAnsi="仿宋" w:eastAsia="仿宋" w:cs="宋体"/>
          <w:color w:val="auto"/>
          <w:sz w:val="24"/>
          <w:highlight w:val="none"/>
        </w:rPr>
      </w:pPr>
      <w:r>
        <w:rPr>
          <w:rFonts w:hint="eastAsia" w:ascii="仿宋" w:hAnsi="仿宋" w:eastAsia="仿宋" w:cs="宋体"/>
          <w:color w:val="auto"/>
          <w:sz w:val="24"/>
          <w:highlight w:val="none"/>
        </w:rPr>
        <w:t>法定代表人/主要负责人：</w:t>
      </w:r>
      <w:r>
        <w:rPr>
          <w:rFonts w:hint="eastAsia" w:ascii="仿宋" w:hAnsi="仿宋" w:eastAsia="仿宋" w:cs="宋体"/>
          <w:color w:val="auto"/>
          <w:sz w:val="24"/>
          <w:highlight w:val="none"/>
          <w:u w:val="dotted"/>
        </w:rPr>
        <w:t xml:space="preserve">                                   </w:t>
      </w:r>
      <w:r>
        <w:rPr>
          <w:rFonts w:hint="eastAsia" w:ascii="仿宋" w:hAnsi="仿宋" w:eastAsia="仿宋" w:cs="宋体"/>
          <w:color w:val="auto"/>
          <w:sz w:val="24"/>
          <w:highlight w:val="none"/>
        </w:rPr>
        <w:t xml:space="preserve">  </w:t>
      </w:r>
    </w:p>
    <w:p w14:paraId="7ACB460F">
      <w:pPr>
        <w:tabs>
          <w:tab w:val="left" w:pos="6510"/>
        </w:tabs>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联系电话：</w:t>
      </w:r>
      <w:r>
        <w:rPr>
          <w:rFonts w:hint="eastAsia" w:ascii="仿宋" w:hAnsi="仿宋" w:eastAsia="仿宋" w:cs="宋体"/>
          <w:color w:val="auto"/>
          <w:sz w:val="24"/>
          <w:highlight w:val="none"/>
          <w:u w:val="dotted"/>
        </w:rPr>
        <w:t xml:space="preserve">                                             </w:t>
      </w:r>
    </w:p>
    <w:p w14:paraId="230AE5E6">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授权代表：</w:t>
      </w:r>
      <w:r>
        <w:rPr>
          <w:rFonts w:hint="eastAsia" w:ascii="仿宋" w:hAnsi="仿宋" w:eastAsia="仿宋" w:cs="宋体"/>
          <w:color w:val="auto"/>
          <w:sz w:val="24"/>
          <w:highlight w:val="none"/>
          <w:u w:val="dotted"/>
        </w:rPr>
        <w:t xml:space="preserve">             </w:t>
      </w:r>
      <w:r>
        <w:rPr>
          <w:rFonts w:hint="eastAsia" w:ascii="仿宋" w:hAnsi="仿宋" w:eastAsia="仿宋" w:cs="宋体"/>
          <w:color w:val="auto"/>
          <w:sz w:val="24"/>
          <w:highlight w:val="none"/>
        </w:rPr>
        <w:t>联系电话</w:t>
      </w:r>
      <w:r>
        <w:rPr>
          <w:rFonts w:hint="eastAsia" w:ascii="仿宋" w:hAnsi="仿宋" w:eastAsia="仿宋" w:cs="宋体"/>
          <w:color w:val="auto"/>
          <w:sz w:val="24"/>
          <w:highlight w:val="none"/>
          <w:u w:val="dotted"/>
        </w:rPr>
        <w:t xml:space="preserve">：                  </w:t>
      </w:r>
    </w:p>
    <w:p w14:paraId="1AD81ABC">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地     址：</w:t>
      </w:r>
      <w:r>
        <w:rPr>
          <w:rFonts w:hint="eastAsia" w:ascii="仿宋" w:hAnsi="仿宋" w:eastAsia="仿宋" w:cs="宋体"/>
          <w:color w:val="auto"/>
          <w:sz w:val="24"/>
          <w:highlight w:val="none"/>
          <w:u w:val="dotted"/>
        </w:rPr>
        <w:t xml:space="preserve">                             </w:t>
      </w:r>
      <w:r>
        <w:rPr>
          <w:rFonts w:hint="eastAsia" w:ascii="仿宋" w:hAnsi="仿宋" w:eastAsia="仿宋" w:cs="宋体"/>
          <w:color w:val="auto"/>
          <w:sz w:val="24"/>
          <w:highlight w:val="none"/>
        </w:rPr>
        <w:t>邮编：</w:t>
      </w:r>
      <w:r>
        <w:rPr>
          <w:rFonts w:hint="eastAsia" w:ascii="仿宋" w:hAnsi="仿宋" w:eastAsia="仿宋" w:cs="宋体"/>
          <w:color w:val="auto"/>
          <w:sz w:val="24"/>
          <w:highlight w:val="none"/>
          <w:u w:val="dotted"/>
        </w:rPr>
        <w:t xml:space="preserve">         </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u w:val="dotted"/>
        </w:rPr>
        <w:t xml:space="preserve">                   </w:t>
      </w:r>
    </w:p>
    <w:p w14:paraId="26EEF517">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被投诉人1：</w:t>
      </w:r>
      <w:r>
        <w:rPr>
          <w:rFonts w:hint="eastAsia" w:ascii="仿宋" w:hAnsi="仿宋" w:eastAsia="仿宋" w:cs="宋体"/>
          <w:color w:val="auto"/>
          <w:sz w:val="24"/>
          <w:highlight w:val="none"/>
          <w:u w:val="dotted"/>
        </w:rPr>
        <w:t xml:space="preserve">                                           </w:t>
      </w:r>
      <w:r>
        <w:rPr>
          <w:rFonts w:hint="eastAsia" w:ascii="仿宋" w:hAnsi="仿宋" w:eastAsia="仿宋" w:cs="宋体"/>
          <w:color w:val="auto"/>
          <w:sz w:val="24"/>
          <w:highlight w:val="none"/>
          <w:u w:val="single"/>
        </w:rPr>
        <w:t xml:space="preserve">  </w:t>
      </w:r>
    </w:p>
    <w:p w14:paraId="62357A64">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地     址：</w:t>
      </w:r>
      <w:r>
        <w:rPr>
          <w:rFonts w:hint="eastAsia" w:ascii="仿宋" w:hAnsi="仿宋" w:eastAsia="仿宋" w:cs="宋体"/>
          <w:color w:val="auto"/>
          <w:sz w:val="24"/>
          <w:highlight w:val="none"/>
          <w:u w:val="dotted"/>
        </w:rPr>
        <w:t xml:space="preserve">                             </w:t>
      </w:r>
      <w:r>
        <w:rPr>
          <w:rFonts w:hint="eastAsia" w:ascii="仿宋" w:hAnsi="仿宋" w:eastAsia="仿宋" w:cs="宋体"/>
          <w:color w:val="auto"/>
          <w:sz w:val="24"/>
          <w:highlight w:val="none"/>
        </w:rPr>
        <w:t>邮编：</w:t>
      </w:r>
      <w:r>
        <w:rPr>
          <w:rFonts w:hint="eastAsia" w:ascii="仿宋" w:hAnsi="仿宋" w:eastAsia="仿宋" w:cs="宋体"/>
          <w:color w:val="auto"/>
          <w:sz w:val="24"/>
          <w:highlight w:val="none"/>
          <w:u w:val="dotted"/>
        </w:rPr>
        <w:t xml:space="preserve">          </w:t>
      </w:r>
      <w:r>
        <w:rPr>
          <w:rFonts w:hint="eastAsia" w:ascii="仿宋" w:hAnsi="仿宋" w:eastAsia="仿宋" w:cs="宋体"/>
          <w:color w:val="auto"/>
          <w:sz w:val="24"/>
          <w:highlight w:val="none"/>
          <w:u w:val="single"/>
        </w:rPr>
        <w:t xml:space="preserve"> </w:t>
      </w:r>
    </w:p>
    <w:p w14:paraId="02DE455A">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联系人：</w:t>
      </w:r>
      <w:r>
        <w:rPr>
          <w:rFonts w:hint="eastAsia" w:ascii="仿宋" w:hAnsi="仿宋" w:eastAsia="仿宋" w:cs="宋体"/>
          <w:color w:val="auto"/>
          <w:sz w:val="24"/>
          <w:highlight w:val="none"/>
          <w:u w:val="dotted"/>
        </w:rPr>
        <w:t xml:space="preserve">               </w:t>
      </w:r>
      <w:r>
        <w:rPr>
          <w:rFonts w:hint="eastAsia" w:ascii="仿宋" w:hAnsi="仿宋" w:eastAsia="仿宋" w:cs="宋体"/>
          <w:color w:val="auto"/>
          <w:sz w:val="24"/>
          <w:highlight w:val="none"/>
        </w:rPr>
        <w:t>联系电话：</w:t>
      </w:r>
      <w:r>
        <w:rPr>
          <w:rFonts w:hint="eastAsia" w:ascii="仿宋" w:hAnsi="仿宋" w:eastAsia="仿宋" w:cs="宋体"/>
          <w:color w:val="auto"/>
          <w:sz w:val="24"/>
          <w:highlight w:val="none"/>
          <w:u w:val="dotted"/>
        </w:rPr>
        <w:t xml:space="preserve">                      </w:t>
      </w:r>
      <w:r>
        <w:rPr>
          <w:rFonts w:hint="eastAsia" w:ascii="仿宋" w:hAnsi="仿宋" w:eastAsia="仿宋" w:cs="宋体"/>
          <w:color w:val="auto"/>
          <w:sz w:val="24"/>
          <w:highlight w:val="none"/>
          <w:u w:val="single"/>
        </w:rPr>
        <w:t xml:space="preserve"> </w:t>
      </w:r>
    </w:p>
    <w:p w14:paraId="71456EE8">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被投诉人2</w:t>
      </w:r>
    </w:p>
    <w:p w14:paraId="03076707">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w:t>
      </w:r>
    </w:p>
    <w:p w14:paraId="7A3372F3">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相关供应商：</w:t>
      </w:r>
      <w:r>
        <w:rPr>
          <w:rFonts w:hint="eastAsia" w:ascii="仿宋" w:hAnsi="仿宋" w:eastAsia="仿宋" w:cs="宋体"/>
          <w:color w:val="auto"/>
          <w:sz w:val="24"/>
          <w:highlight w:val="none"/>
          <w:u w:val="dotted"/>
        </w:rPr>
        <w:t xml:space="preserve">                                           </w:t>
      </w:r>
      <w:r>
        <w:rPr>
          <w:rFonts w:hint="eastAsia" w:ascii="仿宋" w:hAnsi="仿宋" w:eastAsia="仿宋" w:cs="宋体"/>
          <w:color w:val="auto"/>
          <w:sz w:val="24"/>
          <w:highlight w:val="none"/>
          <w:u w:val="single"/>
        </w:rPr>
        <w:t xml:space="preserve">    </w:t>
      </w:r>
    </w:p>
    <w:p w14:paraId="24EC2F23">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地     址：</w:t>
      </w:r>
      <w:r>
        <w:rPr>
          <w:rFonts w:hint="eastAsia" w:ascii="仿宋" w:hAnsi="仿宋" w:eastAsia="仿宋" w:cs="宋体"/>
          <w:color w:val="auto"/>
          <w:sz w:val="24"/>
          <w:highlight w:val="none"/>
          <w:u w:val="dotted"/>
        </w:rPr>
        <w:t xml:space="preserve">                             </w:t>
      </w:r>
      <w:r>
        <w:rPr>
          <w:rFonts w:hint="eastAsia" w:ascii="仿宋" w:hAnsi="仿宋" w:eastAsia="仿宋" w:cs="宋体"/>
          <w:color w:val="auto"/>
          <w:sz w:val="24"/>
          <w:highlight w:val="none"/>
        </w:rPr>
        <w:t>邮编：</w:t>
      </w:r>
      <w:r>
        <w:rPr>
          <w:rFonts w:hint="eastAsia" w:ascii="仿宋" w:hAnsi="仿宋" w:eastAsia="仿宋" w:cs="宋体"/>
          <w:color w:val="auto"/>
          <w:sz w:val="24"/>
          <w:highlight w:val="none"/>
          <w:u w:val="dotted"/>
        </w:rPr>
        <w:t xml:space="preserve">          </w:t>
      </w:r>
      <w:r>
        <w:rPr>
          <w:rFonts w:hint="eastAsia" w:ascii="仿宋" w:hAnsi="仿宋" w:eastAsia="仿宋" w:cs="宋体"/>
          <w:color w:val="auto"/>
          <w:sz w:val="24"/>
          <w:highlight w:val="none"/>
          <w:u w:val="single"/>
        </w:rPr>
        <w:t xml:space="preserve"> </w:t>
      </w:r>
    </w:p>
    <w:p w14:paraId="46F23F9A">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联系人：</w:t>
      </w:r>
      <w:r>
        <w:rPr>
          <w:rFonts w:hint="eastAsia" w:ascii="仿宋" w:hAnsi="仿宋" w:eastAsia="仿宋" w:cs="宋体"/>
          <w:color w:val="auto"/>
          <w:sz w:val="24"/>
          <w:highlight w:val="none"/>
          <w:u w:val="dotted"/>
        </w:rPr>
        <w:t xml:space="preserve">               </w:t>
      </w:r>
      <w:r>
        <w:rPr>
          <w:rFonts w:hint="eastAsia" w:ascii="仿宋" w:hAnsi="仿宋" w:eastAsia="仿宋" w:cs="宋体"/>
          <w:color w:val="auto"/>
          <w:sz w:val="24"/>
          <w:highlight w:val="none"/>
        </w:rPr>
        <w:t>联系电话：</w:t>
      </w:r>
      <w:r>
        <w:rPr>
          <w:rFonts w:hint="eastAsia" w:ascii="仿宋" w:hAnsi="仿宋" w:eastAsia="仿宋" w:cs="宋体"/>
          <w:color w:val="auto"/>
          <w:sz w:val="24"/>
          <w:highlight w:val="none"/>
          <w:u w:val="dotted"/>
        </w:rPr>
        <w:t xml:space="preserve">                      </w:t>
      </w:r>
      <w:r>
        <w:rPr>
          <w:rFonts w:hint="eastAsia" w:ascii="仿宋" w:hAnsi="仿宋" w:eastAsia="仿宋" w:cs="宋体"/>
          <w:color w:val="auto"/>
          <w:sz w:val="24"/>
          <w:highlight w:val="none"/>
          <w:u w:val="single"/>
        </w:rPr>
        <w:t xml:space="preserve">      </w:t>
      </w:r>
    </w:p>
    <w:p w14:paraId="6A191CD6">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二、投诉项目基本情况</w:t>
      </w:r>
    </w:p>
    <w:p w14:paraId="5644D539">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采购项目名称：</w:t>
      </w:r>
      <w:r>
        <w:rPr>
          <w:rFonts w:hint="eastAsia" w:ascii="仿宋" w:hAnsi="仿宋" w:eastAsia="仿宋" w:cs="宋体"/>
          <w:color w:val="auto"/>
          <w:sz w:val="24"/>
          <w:highlight w:val="none"/>
          <w:u w:val="dotted"/>
        </w:rPr>
        <w:t xml:space="preserve">                                        </w:t>
      </w:r>
    </w:p>
    <w:p w14:paraId="61896F6C">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采购项目编号：</w:t>
      </w:r>
      <w:r>
        <w:rPr>
          <w:rFonts w:hint="eastAsia" w:ascii="仿宋" w:hAnsi="仿宋" w:eastAsia="仿宋" w:cs="宋体"/>
          <w:color w:val="auto"/>
          <w:sz w:val="24"/>
          <w:highlight w:val="none"/>
          <w:u w:val="dotted"/>
        </w:rPr>
        <w:t xml:space="preserve">                 </w:t>
      </w:r>
      <w:r>
        <w:rPr>
          <w:rFonts w:hint="eastAsia" w:ascii="仿宋" w:hAnsi="仿宋" w:eastAsia="仿宋" w:cs="宋体"/>
          <w:color w:val="auto"/>
          <w:sz w:val="24"/>
          <w:highlight w:val="none"/>
        </w:rPr>
        <w:t>包号：</w:t>
      </w:r>
      <w:r>
        <w:rPr>
          <w:rFonts w:hint="eastAsia" w:ascii="仿宋" w:hAnsi="仿宋" w:eastAsia="仿宋" w:cs="宋体"/>
          <w:color w:val="auto"/>
          <w:sz w:val="24"/>
          <w:highlight w:val="none"/>
          <w:u w:val="dotted"/>
        </w:rPr>
        <w:t xml:space="preserve">              </w:t>
      </w:r>
    </w:p>
    <w:p w14:paraId="7C921F25">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采购人名称：</w:t>
      </w:r>
      <w:r>
        <w:rPr>
          <w:rFonts w:hint="eastAsia" w:ascii="仿宋" w:hAnsi="仿宋" w:eastAsia="仿宋" w:cs="宋体"/>
          <w:color w:val="auto"/>
          <w:sz w:val="24"/>
          <w:highlight w:val="none"/>
          <w:u w:val="dotted"/>
        </w:rPr>
        <w:t xml:space="preserve">                                           </w:t>
      </w:r>
      <w:r>
        <w:rPr>
          <w:rFonts w:hint="eastAsia" w:ascii="仿宋" w:hAnsi="仿宋" w:eastAsia="仿宋" w:cs="宋体"/>
          <w:color w:val="auto"/>
          <w:sz w:val="24"/>
          <w:highlight w:val="none"/>
          <w:u w:val="single"/>
        </w:rPr>
        <w:t xml:space="preserve">  </w:t>
      </w:r>
    </w:p>
    <w:p w14:paraId="18358158">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代理机构名称：</w:t>
      </w:r>
      <w:r>
        <w:rPr>
          <w:rFonts w:hint="eastAsia" w:ascii="仿宋" w:hAnsi="仿宋" w:eastAsia="仿宋" w:cs="宋体"/>
          <w:color w:val="auto"/>
          <w:sz w:val="24"/>
          <w:highlight w:val="none"/>
          <w:u w:val="dotted"/>
        </w:rPr>
        <w:t xml:space="preserve">                                         </w:t>
      </w:r>
    </w:p>
    <w:p w14:paraId="72D2ECF2">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采购文件公告:</w:t>
      </w:r>
      <w:r>
        <w:rPr>
          <w:rFonts w:hint="eastAsia" w:ascii="仿宋" w:hAnsi="仿宋" w:eastAsia="仿宋" w:cs="宋体"/>
          <w:color w:val="auto"/>
          <w:sz w:val="24"/>
          <w:highlight w:val="none"/>
          <w:u w:val="dotted"/>
        </w:rPr>
        <w:t xml:space="preserve">是/否 </w:t>
      </w:r>
      <w:r>
        <w:rPr>
          <w:rFonts w:hint="eastAsia" w:ascii="仿宋" w:hAnsi="仿宋" w:eastAsia="仿宋" w:cs="宋体"/>
          <w:color w:val="auto"/>
          <w:sz w:val="24"/>
          <w:highlight w:val="none"/>
        </w:rPr>
        <w:t>公告期限：</w:t>
      </w:r>
      <w:r>
        <w:rPr>
          <w:rFonts w:hint="eastAsia" w:ascii="仿宋" w:hAnsi="仿宋" w:eastAsia="仿宋" w:cs="宋体"/>
          <w:color w:val="auto"/>
          <w:sz w:val="24"/>
          <w:highlight w:val="none"/>
          <w:u w:val="dotted"/>
        </w:rPr>
        <w:t xml:space="preserve">                                 </w:t>
      </w:r>
    </w:p>
    <w:p w14:paraId="5DE186C5">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采购结果公告:</w:t>
      </w:r>
      <w:r>
        <w:rPr>
          <w:rFonts w:hint="eastAsia" w:ascii="仿宋" w:hAnsi="仿宋" w:eastAsia="仿宋" w:cs="宋体"/>
          <w:color w:val="auto"/>
          <w:sz w:val="24"/>
          <w:highlight w:val="none"/>
          <w:u w:val="dotted"/>
        </w:rPr>
        <w:t xml:space="preserve">是/否 </w:t>
      </w:r>
      <w:r>
        <w:rPr>
          <w:rFonts w:hint="eastAsia" w:ascii="仿宋" w:hAnsi="仿宋" w:eastAsia="仿宋" w:cs="宋体"/>
          <w:color w:val="auto"/>
          <w:sz w:val="24"/>
          <w:highlight w:val="none"/>
        </w:rPr>
        <w:t>公告期限：</w:t>
      </w:r>
      <w:r>
        <w:rPr>
          <w:rFonts w:hint="eastAsia" w:ascii="仿宋" w:hAnsi="仿宋" w:eastAsia="仿宋" w:cs="宋体"/>
          <w:color w:val="auto"/>
          <w:sz w:val="24"/>
          <w:highlight w:val="none"/>
          <w:u w:val="dotted"/>
        </w:rPr>
        <w:t xml:space="preserve">                        </w:t>
      </w:r>
    </w:p>
    <w:p w14:paraId="54BC188F">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三、质疑基本情况</w:t>
      </w:r>
    </w:p>
    <w:p w14:paraId="41F4AE1E">
      <w:pPr>
        <w:spacing w:line="360" w:lineRule="auto"/>
        <w:ind w:firstLine="480" w:firstLineChars="200"/>
        <w:rPr>
          <w:rFonts w:ascii="仿宋" w:hAnsi="仿宋" w:eastAsia="仿宋" w:cs="宋体"/>
          <w:color w:val="auto"/>
          <w:sz w:val="24"/>
          <w:highlight w:val="none"/>
          <w:u w:val="dotted"/>
        </w:rPr>
      </w:pPr>
      <w:r>
        <w:rPr>
          <w:rFonts w:hint="eastAsia" w:ascii="仿宋" w:hAnsi="仿宋" w:eastAsia="仿宋" w:cs="宋体"/>
          <w:color w:val="auto"/>
          <w:sz w:val="24"/>
          <w:highlight w:val="none"/>
        </w:rPr>
        <w:t>投诉人于</w:t>
      </w:r>
      <w:r>
        <w:rPr>
          <w:rFonts w:hint="eastAsia" w:ascii="仿宋" w:hAnsi="仿宋" w:eastAsia="仿宋" w:cs="宋体"/>
          <w:color w:val="auto"/>
          <w:sz w:val="24"/>
          <w:highlight w:val="none"/>
          <w:u w:val="dotted"/>
        </w:rPr>
        <w:t xml:space="preserve">   </w:t>
      </w:r>
      <w:r>
        <w:rPr>
          <w:rFonts w:hint="eastAsia" w:ascii="仿宋" w:hAnsi="仿宋" w:eastAsia="仿宋" w:cs="宋体"/>
          <w:color w:val="auto"/>
          <w:sz w:val="24"/>
          <w:highlight w:val="none"/>
        </w:rPr>
        <w:t>年</w:t>
      </w:r>
      <w:r>
        <w:rPr>
          <w:rFonts w:hint="eastAsia" w:ascii="仿宋" w:hAnsi="仿宋" w:eastAsia="仿宋" w:cs="宋体"/>
          <w:color w:val="auto"/>
          <w:sz w:val="24"/>
          <w:highlight w:val="none"/>
          <w:u w:val="dotted"/>
        </w:rPr>
        <w:t xml:space="preserve">   </w:t>
      </w:r>
      <w:r>
        <w:rPr>
          <w:rFonts w:hint="eastAsia" w:ascii="仿宋" w:hAnsi="仿宋" w:eastAsia="仿宋" w:cs="宋体"/>
          <w:color w:val="auto"/>
          <w:sz w:val="24"/>
          <w:highlight w:val="none"/>
        </w:rPr>
        <w:t>月</w:t>
      </w:r>
      <w:r>
        <w:rPr>
          <w:rFonts w:hint="eastAsia" w:ascii="仿宋" w:hAnsi="仿宋" w:eastAsia="仿宋" w:cs="宋体"/>
          <w:color w:val="auto"/>
          <w:sz w:val="24"/>
          <w:highlight w:val="none"/>
          <w:u w:val="dotted"/>
        </w:rPr>
        <w:t xml:space="preserve">  </w:t>
      </w:r>
      <w:r>
        <w:rPr>
          <w:rFonts w:hint="eastAsia" w:ascii="仿宋" w:hAnsi="仿宋" w:eastAsia="仿宋" w:cs="宋体"/>
          <w:color w:val="auto"/>
          <w:sz w:val="24"/>
          <w:highlight w:val="none"/>
        </w:rPr>
        <w:t>日,向</w:t>
      </w:r>
      <w:r>
        <w:rPr>
          <w:rFonts w:hint="eastAsia" w:ascii="仿宋" w:hAnsi="仿宋" w:eastAsia="仿宋" w:cs="宋体"/>
          <w:color w:val="auto"/>
          <w:sz w:val="24"/>
          <w:highlight w:val="none"/>
          <w:u w:val="dotted"/>
        </w:rPr>
        <w:t xml:space="preserve">                   </w:t>
      </w:r>
      <w:r>
        <w:rPr>
          <w:rFonts w:hint="eastAsia" w:ascii="仿宋" w:hAnsi="仿宋" w:eastAsia="仿宋" w:cs="宋体"/>
          <w:color w:val="auto"/>
          <w:sz w:val="24"/>
          <w:highlight w:val="none"/>
        </w:rPr>
        <w:t>提出质疑，质疑事项为：</w:t>
      </w:r>
      <w:r>
        <w:rPr>
          <w:rFonts w:hint="eastAsia" w:ascii="仿宋" w:hAnsi="仿宋" w:eastAsia="仿宋" w:cs="宋体"/>
          <w:color w:val="auto"/>
          <w:sz w:val="24"/>
          <w:highlight w:val="none"/>
          <w:u w:val="dotted"/>
        </w:rPr>
        <w:t xml:space="preserve">                                </w:t>
      </w:r>
    </w:p>
    <w:p w14:paraId="4123729F">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u w:val="dotted"/>
        </w:rPr>
        <w:t xml:space="preserve">                                                     </w:t>
      </w:r>
      <w:r>
        <w:rPr>
          <w:rFonts w:hint="eastAsia" w:ascii="仿宋" w:hAnsi="仿宋" w:eastAsia="仿宋" w:cs="宋体"/>
          <w:color w:val="auto"/>
          <w:sz w:val="24"/>
          <w:highlight w:val="none"/>
        </w:rPr>
        <w:t xml:space="preserve">  </w:t>
      </w:r>
    </w:p>
    <w:p w14:paraId="216DFA4E">
      <w:pPr>
        <w:spacing w:line="360" w:lineRule="auto"/>
        <w:ind w:firstLine="360" w:firstLineChars="150"/>
        <w:rPr>
          <w:rFonts w:ascii="仿宋" w:hAnsi="仿宋" w:eastAsia="仿宋" w:cs="宋体"/>
          <w:color w:val="auto"/>
          <w:sz w:val="24"/>
          <w:highlight w:val="none"/>
        </w:rPr>
      </w:pPr>
      <w:r>
        <w:rPr>
          <w:rFonts w:hint="eastAsia" w:ascii="仿宋" w:hAnsi="仿宋" w:eastAsia="仿宋" w:cs="宋体"/>
          <w:color w:val="auto"/>
          <w:sz w:val="24"/>
          <w:highlight w:val="none"/>
          <w:u w:val="dotted"/>
        </w:rPr>
        <w:t>采购人/代理机构</w:t>
      </w:r>
      <w:r>
        <w:rPr>
          <w:rFonts w:hint="eastAsia" w:ascii="仿宋" w:hAnsi="仿宋" w:eastAsia="仿宋" w:cs="宋体"/>
          <w:color w:val="auto"/>
          <w:sz w:val="24"/>
          <w:highlight w:val="none"/>
        </w:rPr>
        <w:t>于</w:t>
      </w:r>
      <w:r>
        <w:rPr>
          <w:rFonts w:hint="eastAsia" w:ascii="仿宋" w:hAnsi="仿宋" w:eastAsia="仿宋" w:cs="宋体"/>
          <w:color w:val="auto"/>
          <w:sz w:val="24"/>
          <w:highlight w:val="none"/>
          <w:u w:val="dotted"/>
        </w:rPr>
        <w:t xml:space="preserve">   </w:t>
      </w:r>
      <w:r>
        <w:rPr>
          <w:rFonts w:hint="eastAsia" w:ascii="仿宋" w:hAnsi="仿宋" w:eastAsia="仿宋" w:cs="宋体"/>
          <w:color w:val="auto"/>
          <w:sz w:val="24"/>
          <w:highlight w:val="none"/>
        </w:rPr>
        <w:t>年</w:t>
      </w:r>
      <w:r>
        <w:rPr>
          <w:rFonts w:hint="eastAsia" w:ascii="仿宋" w:hAnsi="仿宋" w:eastAsia="仿宋" w:cs="宋体"/>
          <w:color w:val="auto"/>
          <w:sz w:val="24"/>
          <w:highlight w:val="none"/>
          <w:u w:val="dotted"/>
        </w:rPr>
        <w:t xml:space="preserve">   </w:t>
      </w:r>
      <w:r>
        <w:rPr>
          <w:rFonts w:hint="eastAsia" w:ascii="仿宋" w:hAnsi="仿宋" w:eastAsia="仿宋" w:cs="宋体"/>
          <w:color w:val="auto"/>
          <w:sz w:val="24"/>
          <w:highlight w:val="none"/>
        </w:rPr>
        <w:t>月</w:t>
      </w:r>
      <w:r>
        <w:rPr>
          <w:rFonts w:hint="eastAsia" w:ascii="仿宋" w:hAnsi="仿宋" w:eastAsia="仿宋" w:cs="宋体"/>
          <w:color w:val="auto"/>
          <w:sz w:val="24"/>
          <w:highlight w:val="none"/>
          <w:u w:val="dotted"/>
        </w:rPr>
        <w:t xml:space="preserve">   </w:t>
      </w:r>
      <w:r>
        <w:rPr>
          <w:rFonts w:hint="eastAsia" w:ascii="仿宋" w:hAnsi="仿宋" w:eastAsia="仿宋" w:cs="宋体"/>
          <w:color w:val="auto"/>
          <w:sz w:val="24"/>
          <w:highlight w:val="none"/>
        </w:rPr>
        <w:t>日,就质疑事项作出了答复/没有在法定期限内作出答复。</w:t>
      </w:r>
    </w:p>
    <w:p w14:paraId="662C0580">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四、投诉事项具体内容</w:t>
      </w:r>
    </w:p>
    <w:p w14:paraId="65380FC8">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投诉事项 1：</w:t>
      </w:r>
      <w:r>
        <w:rPr>
          <w:rFonts w:hint="eastAsia" w:ascii="仿宋" w:hAnsi="仿宋" w:eastAsia="仿宋" w:cs="宋体"/>
          <w:color w:val="auto"/>
          <w:sz w:val="24"/>
          <w:highlight w:val="none"/>
          <w:u w:val="dotted"/>
        </w:rPr>
        <w:t xml:space="preserve">                                       </w:t>
      </w:r>
    </w:p>
    <w:p w14:paraId="0217508F">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事实依据：</w:t>
      </w:r>
      <w:r>
        <w:rPr>
          <w:rFonts w:hint="eastAsia" w:ascii="仿宋" w:hAnsi="仿宋" w:eastAsia="仿宋" w:cs="宋体"/>
          <w:color w:val="auto"/>
          <w:sz w:val="24"/>
          <w:highlight w:val="none"/>
          <w:u w:val="dotted"/>
        </w:rPr>
        <w:t xml:space="preserve">                                         </w:t>
      </w:r>
    </w:p>
    <w:p w14:paraId="4CB20FD2">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u w:val="dotted"/>
        </w:rPr>
        <w:t xml:space="preserve">                                                      </w:t>
      </w:r>
    </w:p>
    <w:p w14:paraId="7253497A">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法律依据：</w:t>
      </w:r>
      <w:r>
        <w:rPr>
          <w:rFonts w:hint="eastAsia" w:ascii="仿宋" w:hAnsi="仿宋" w:eastAsia="仿宋" w:cs="宋体"/>
          <w:color w:val="auto"/>
          <w:sz w:val="24"/>
          <w:highlight w:val="none"/>
          <w:u w:val="dotted"/>
        </w:rPr>
        <w:t xml:space="preserve">                                          </w:t>
      </w:r>
    </w:p>
    <w:p w14:paraId="0629D998">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u w:val="dotted"/>
        </w:rPr>
        <w:t xml:space="preserve">                                                      </w:t>
      </w:r>
    </w:p>
    <w:p w14:paraId="76A6D9E8">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投诉事项2</w:t>
      </w:r>
    </w:p>
    <w:p w14:paraId="6F9A699A">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w:t>
      </w:r>
    </w:p>
    <w:p w14:paraId="562F6C33">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五、与投诉事项相关的投诉请求</w:t>
      </w:r>
    </w:p>
    <w:p w14:paraId="37A8B907">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请求：</w:t>
      </w:r>
      <w:r>
        <w:rPr>
          <w:rFonts w:hint="eastAsia" w:ascii="仿宋" w:hAnsi="仿宋" w:eastAsia="仿宋" w:cs="宋体"/>
          <w:color w:val="auto"/>
          <w:sz w:val="24"/>
          <w:highlight w:val="none"/>
          <w:u w:val="dotted"/>
        </w:rPr>
        <w:t xml:space="preserve">                                              </w:t>
      </w:r>
      <w:r>
        <w:rPr>
          <w:rFonts w:hint="eastAsia" w:ascii="仿宋" w:hAnsi="仿宋" w:eastAsia="仿宋" w:cs="宋体"/>
          <w:color w:val="auto"/>
          <w:sz w:val="24"/>
          <w:highlight w:val="none"/>
        </w:rPr>
        <w:t xml:space="preserve"> </w:t>
      </w:r>
    </w:p>
    <w:p w14:paraId="2ADCFFE6">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 xml:space="preserve">                                                                                                    </w:t>
      </w:r>
    </w:p>
    <w:p w14:paraId="2C2303DB">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签字(签章)：                   公章：                      </w:t>
      </w:r>
    </w:p>
    <w:p w14:paraId="6485C172">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日期：    </w:t>
      </w:r>
    </w:p>
    <w:p w14:paraId="53E1EEFE">
      <w:pPr>
        <w:spacing w:line="360" w:lineRule="auto"/>
        <w:rPr>
          <w:rFonts w:ascii="仿宋" w:hAnsi="仿宋" w:eastAsia="仿宋" w:cs="宋体"/>
          <w:b/>
          <w:color w:val="auto"/>
          <w:sz w:val="24"/>
          <w:highlight w:val="none"/>
        </w:rPr>
      </w:pPr>
    </w:p>
    <w:p w14:paraId="1100EBB9">
      <w:pPr>
        <w:spacing w:line="360" w:lineRule="auto"/>
        <w:rPr>
          <w:rFonts w:ascii="仿宋" w:hAnsi="仿宋" w:eastAsia="仿宋" w:cs="宋体"/>
          <w:b/>
          <w:color w:val="auto"/>
          <w:sz w:val="24"/>
          <w:highlight w:val="none"/>
        </w:rPr>
      </w:pPr>
    </w:p>
    <w:p w14:paraId="762B9065">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投诉书制作说明：</w:t>
      </w:r>
    </w:p>
    <w:p w14:paraId="35D2AAA6">
      <w:pPr>
        <w:widowControl/>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sz w:val="24"/>
          <w:highlight w:val="none"/>
        </w:rPr>
        <w:t>1.投诉人提起投诉时，应当提交投诉书和必要的证明材料，并按照被投诉人和与投诉事项有关的供应商数量提供投诉书副本。</w:t>
      </w:r>
    </w:p>
    <w:p w14:paraId="2AF909BB">
      <w:pPr>
        <w:widowControl/>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sz w:val="24"/>
          <w:highlight w:val="none"/>
        </w:rPr>
        <w:t>2.投诉人若委托代理人进行投诉的，投诉书应按照要求列明“授权代表”的有关内容，并在附件中提交由</w:t>
      </w:r>
      <w:r>
        <w:rPr>
          <w:rFonts w:hint="eastAsia" w:ascii="仿宋" w:hAnsi="仿宋" w:eastAsia="仿宋" w:cs="宋体"/>
          <w:color w:val="auto"/>
          <w:kern w:val="0"/>
          <w:sz w:val="24"/>
          <w:highlight w:val="none"/>
        </w:rPr>
        <w:t>投诉人签署的授权委托书。授权委托书应当载明代理人的姓名或者名称、代理事项、具体权限、期限和相关事项。</w:t>
      </w:r>
    </w:p>
    <w:p w14:paraId="79645B12">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3.投诉人若对项目的某一分包进行投诉，投诉书应列明具体分包号。</w:t>
      </w:r>
    </w:p>
    <w:p w14:paraId="6D1C4734">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4.投诉书应简要列明质疑事项，质疑函、质疑答复等作为附件材料提供。</w:t>
      </w:r>
    </w:p>
    <w:p w14:paraId="1A9DBA2E">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5.投诉书的投诉事项应具体、明确，并有必要的事实依据和法律依据。</w:t>
      </w:r>
    </w:p>
    <w:p w14:paraId="2D0381DF">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6.投诉书的投诉请求应与投诉事项相关。</w:t>
      </w:r>
    </w:p>
    <w:p w14:paraId="1FE0BA09">
      <w:pPr>
        <w:widowControl/>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2B0134B">
      <w:pPr>
        <w:spacing w:line="360" w:lineRule="auto"/>
        <w:rPr>
          <w:rFonts w:ascii="仿宋" w:hAnsi="仿宋" w:eastAsia="仿宋" w:cs="宋体"/>
          <w:b/>
          <w:color w:val="auto"/>
          <w:sz w:val="24"/>
          <w:highlight w:val="none"/>
        </w:rPr>
      </w:pPr>
    </w:p>
    <w:p w14:paraId="59AEEA99">
      <w:pPr>
        <w:autoSpaceDE w:val="0"/>
        <w:autoSpaceDN w:val="0"/>
        <w:jc w:val="center"/>
        <w:rPr>
          <w:rFonts w:ascii="仿宋" w:hAnsi="仿宋" w:eastAsia="仿宋" w:cs="宋体"/>
          <w:b/>
          <w:color w:val="auto"/>
          <w:spacing w:val="6"/>
          <w:sz w:val="32"/>
          <w:szCs w:val="32"/>
          <w:highlight w:val="none"/>
        </w:rPr>
      </w:pPr>
    </w:p>
    <w:p w14:paraId="7000DE64">
      <w:pPr>
        <w:autoSpaceDE w:val="0"/>
        <w:autoSpaceDN w:val="0"/>
        <w:jc w:val="center"/>
        <w:rPr>
          <w:rFonts w:ascii="仿宋" w:hAnsi="仿宋" w:eastAsia="仿宋" w:cs="宋体"/>
          <w:b/>
          <w:color w:val="auto"/>
          <w:spacing w:val="6"/>
          <w:sz w:val="32"/>
          <w:szCs w:val="32"/>
          <w:highlight w:val="none"/>
        </w:rPr>
      </w:pPr>
    </w:p>
    <w:p w14:paraId="2566EC83">
      <w:pPr>
        <w:autoSpaceDE w:val="0"/>
        <w:autoSpaceDN w:val="0"/>
        <w:jc w:val="center"/>
        <w:outlineLvl w:val="2"/>
        <w:rPr>
          <w:rFonts w:ascii="仿宋" w:hAnsi="仿宋" w:eastAsia="仿宋" w:cs="宋体"/>
          <w:b/>
          <w:bCs/>
          <w:color w:val="auto"/>
          <w:sz w:val="32"/>
          <w:szCs w:val="32"/>
          <w:highlight w:val="none"/>
        </w:rPr>
      </w:pPr>
      <w:r>
        <w:rPr>
          <w:rFonts w:hint="eastAsia" w:ascii="仿宋" w:hAnsi="仿宋" w:eastAsia="仿宋" w:cs="宋体"/>
          <w:b/>
          <w:color w:val="auto"/>
          <w:spacing w:val="6"/>
          <w:sz w:val="32"/>
          <w:szCs w:val="32"/>
          <w:highlight w:val="none"/>
        </w:rPr>
        <w:t>附件4：</w:t>
      </w:r>
      <w:r>
        <w:rPr>
          <w:rFonts w:hint="eastAsia" w:ascii="仿宋" w:hAnsi="仿宋" w:eastAsia="仿宋" w:cs="宋体"/>
          <w:b/>
          <w:bCs/>
          <w:color w:val="auto"/>
          <w:sz w:val="32"/>
          <w:szCs w:val="32"/>
          <w:highlight w:val="none"/>
        </w:rPr>
        <w:t>业务专用章使用说明函</w:t>
      </w:r>
    </w:p>
    <w:p w14:paraId="6368DE28">
      <w:pPr>
        <w:spacing w:line="360" w:lineRule="auto"/>
        <w:rPr>
          <w:rFonts w:ascii="仿宋" w:hAnsi="仿宋" w:eastAsia="仿宋" w:cs="宋体"/>
          <w:color w:val="auto"/>
          <w:sz w:val="24"/>
          <w:highlight w:val="none"/>
          <w:u w:val="single"/>
        </w:rPr>
      </w:pPr>
    </w:p>
    <w:p w14:paraId="45184EAD">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u w:val="single"/>
        </w:rPr>
        <w:t>（采购人）、（采购代理机构）：</w:t>
      </w:r>
    </w:p>
    <w:p w14:paraId="59AEB617">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我方</w:t>
      </w:r>
      <w:r>
        <w:rPr>
          <w:rFonts w:hint="eastAsia" w:ascii="仿宋" w:hAnsi="仿宋" w:eastAsia="仿宋" w:cs="宋体"/>
          <w:color w:val="auto"/>
          <w:kern w:val="0"/>
          <w:sz w:val="24"/>
          <w:highlight w:val="none"/>
          <w:u w:val="single"/>
          <w:lang w:val="zh-CN"/>
        </w:rPr>
        <w:t xml:space="preserve">                         </w:t>
      </w:r>
      <w:r>
        <w:rPr>
          <w:rFonts w:hint="eastAsia" w:ascii="仿宋" w:hAnsi="仿宋" w:eastAsia="仿宋" w:cs="宋体"/>
          <w:color w:val="auto"/>
          <w:sz w:val="24"/>
          <w:highlight w:val="none"/>
        </w:rPr>
        <w:t>(投标人全称)是中华人民共和国依法登记注册的合法企业，</w:t>
      </w:r>
      <w:r>
        <w:rPr>
          <w:rFonts w:hint="eastAsia" w:ascii="仿宋" w:hAnsi="仿宋" w:eastAsia="仿宋" w:cs="宋体"/>
          <w:bCs/>
          <w:color w:val="auto"/>
          <w:sz w:val="24"/>
          <w:highlight w:val="none"/>
        </w:rPr>
        <w:t>在参加</w:t>
      </w:r>
      <w:r>
        <w:rPr>
          <w:rFonts w:hint="eastAsia" w:ascii="仿宋" w:hAnsi="仿宋" w:eastAsia="仿宋" w:cs="宋体"/>
          <w:color w:val="auto"/>
          <w:sz w:val="24"/>
          <w:highlight w:val="none"/>
        </w:rPr>
        <w:t>你方组织的（项目名称）【招标编号：（采购编号）】</w:t>
      </w:r>
      <w:r>
        <w:rPr>
          <w:rFonts w:hint="eastAsia" w:ascii="仿宋" w:hAnsi="仿宋" w:eastAsia="仿宋" w:cs="宋体"/>
          <w:bCs/>
          <w:color w:val="auto"/>
          <w:sz w:val="24"/>
          <w:highlight w:val="none"/>
        </w:rPr>
        <w:t>投标活动中作如下说明：</w:t>
      </w:r>
      <w:r>
        <w:rPr>
          <w:rFonts w:hint="eastAsia" w:ascii="仿宋" w:hAnsi="仿宋" w:eastAsia="仿宋" w:cs="宋体"/>
          <w:color w:val="auto"/>
          <w:sz w:val="24"/>
          <w:highlight w:val="none"/>
        </w:rPr>
        <w:t xml:space="preserve">我方所使用的“XX专用章”与法定名称章具有同等的法律效力，对使用“XX专用章”的行为予以完全承认，并愿意承担相应责任。   </w:t>
      </w:r>
    </w:p>
    <w:p w14:paraId="4CE62C73">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特此说明。</w:t>
      </w:r>
    </w:p>
    <w:p w14:paraId="03547599">
      <w:pPr>
        <w:spacing w:line="360" w:lineRule="auto"/>
        <w:ind w:firstLine="494"/>
        <w:rPr>
          <w:rFonts w:ascii="仿宋" w:hAnsi="仿宋" w:eastAsia="仿宋" w:cs="宋体"/>
          <w:color w:val="auto"/>
          <w:sz w:val="24"/>
          <w:highlight w:val="none"/>
        </w:rPr>
      </w:pPr>
    </w:p>
    <w:p w14:paraId="0EFE5974">
      <w:pPr>
        <w:spacing w:line="360" w:lineRule="auto"/>
        <w:ind w:firstLine="494"/>
        <w:rPr>
          <w:rFonts w:ascii="仿宋" w:hAnsi="仿宋" w:eastAsia="仿宋" w:cs="宋体"/>
          <w:color w:val="auto"/>
          <w:sz w:val="24"/>
          <w:highlight w:val="none"/>
        </w:rPr>
      </w:pPr>
    </w:p>
    <w:p w14:paraId="7E3D60F3">
      <w:pPr>
        <w:spacing w:line="360" w:lineRule="auto"/>
        <w:ind w:firstLine="494"/>
        <w:rPr>
          <w:rFonts w:ascii="仿宋" w:hAnsi="仿宋" w:eastAsia="仿宋" w:cs="宋体"/>
          <w:color w:val="auto"/>
          <w:sz w:val="24"/>
          <w:highlight w:val="none"/>
        </w:rPr>
      </w:pPr>
    </w:p>
    <w:p w14:paraId="1F2224A5">
      <w:pPr>
        <w:spacing w:line="360" w:lineRule="auto"/>
        <w:ind w:firstLine="494"/>
        <w:rPr>
          <w:rFonts w:ascii="仿宋" w:hAnsi="仿宋" w:eastAsia="仿宋" w:cs="宋体"/>
          <w:color w:val="auto"/>
          <w:sz w:val="24"/>
          <w:highlight w:val="none"/>
        </w:rPr>
      </w:pPr>
    </w:p>
    <w:p w14:paraId="5C47E88E">
      <w:pPr>
        <w:spacing w:line="360" w:lineRule="auto"/>
        <w:ind w:right="480" w:firstLine="4080" w:firstLineChars="1700"/>
        <w:rPr>
          <w:rFonts w:ascii="仿宋" w:hAnsi="仿宋" w:eastAsia="仿宋" w:cs="宋体"/>
          <w:color w:val="auto"/>
          <w:sz w:val="24"/>
          <w:highlight w:val="none"/>
        </w:rPr>
      </w:pPr>
      <w:r>
        <w:rPr>
          <w:rFonts w:hint="eastAsia" w:ascii="仿宋" w:hAnsi="仿宋" w:eastAsia="仿宋" w:cs="宋体"/>
          <w:color w:val="auto"/>
          <w:sz w:val="24"/>
          <w:highlight w:val="none"/>
        </w:rPr>
        <w:t>投标单位（法定名称章）：</w:t>
      </w:r>
    </w:p>
    <w:p w14:paraId="048858F2">
      <w:pPr>
        <w:ind w:right="1440" w:firstLine="494"/>
        <w:jc w:val="center"/>
        <w:rPr>
          <w:rFonts w:ascii="仿宋" w:hAnsi="仿宋" w:eastAsia="仿宋" w:cs="宋体"/>
          <w:color w:val="auto"/>
          <w:sz w:val="24"/>
          <w:highlight w:val="none"/>
        </w:rPr>
      </w:pPr>
      <w:r>
        <w:rPr>
          <w:rFonts w:hint="eastAsia" w:ascii="仿宋" w:hAnsi="仿宋" w:eastAsia="仿宋" w:cs="宋体"/>
          <w:color w:val="auto"/>
          <w:sz w:val="24"/>
          <w:highlight w:val="none"/>
        </w:rPr>
        <w:t xml:space="preserve">                              日期：       年     月     日</w:t>
      </w:r>
    </w:p>
    <w:p w14:paraId="4758DB28">
      <w:pPr>
        <w:rPr>
          <w:rFonts w:ascii="仿宋" w:hAnsi="仿宋" w:eastAsia="仿宋" w:cs="宋体"/>
          <w:color w:val="auto"/>
          <w:sz w:val="24"/>
          <w:highlight w:val="none"/>
        </w:rPr>
      </w:pPr>
      <w:r>
        <w:rPr>
          <w:rFonts w:hint="eastAsia" w:ascii="仿宋" w:hAnsi="仿宋" w:eastAsia="仿宋" w:cs="宋体"/>
          <w:b/>
          <w:bCs/>
          <w:color w:val="auto"/>
          <w:sz w:val="24"/>
          <w:highlight w:val="none"/>
        </w:rPr>
        <w:t>附：</w:t>
      </w:r>
    </w:p>
    <w:p w14:paraId="4A30419F">
      <w:pPr>
        <w:spacing w:line="360" w:lineRule="auto"/>
        <w:rPr>
          <w:rFonts w:ascii="仿宋" w:hAnsi="仿宋" w:eastAsia="仿宋" w:cs="宋体"/>
          <w:bCs/>
          <w:color w:val="auto"/>
          <w:sz w:val="24"/>
          <w:highlight w:val="none"/>
        </w:rPr>
      </w:pPr>
      <w:r>
        <w:rPr>
          <w:rFonts w:ascii="仿宋" w:hAnsi="仿宋" w:eastAsia="仿宋"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IQVDvzkCAAB+BAAADgAAAAAAAAABACAAAAAnAQAAZHJz&#10;L2Uyb0RvYy54bWxQSwUGAAAAAAYABgBZAQAA0gUAAAAA&#10;">
                <v:fill on="t" focussize="0,0"/>
                <v:stroke color="#000000" miterlimit="2" joinstyle="miter"/>
                <v:imagedata o:title=""/>
                <o:lock v:ext="edit" aspectratio="f"/>
              </v:rect>
            </w:pict>
          </mc:Fallback>
        </mc:AlternateContent>
      </w:r>
      <w:r>
        <w:rPr>
          <w:rFonts w:ascii="仿宋" w:hAnsi="仿宋" w:eastAsia="仿宋"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mMR6bYAAAACgEAAA8AAAAAAAAAAQAgAAAAIgAAAGRycy9kb3du&#10;cmV2LnhtbFBLAQIUABQAAAAIAIdO4kBnfomoOAIAAH4EAAAOAAAAAAAAAAEAIAAAACcBAABkcnMv&#10;ZTJvRG9jLnhtbFBLBQYAAAAABgAGAFkBAADRBQAAAAA=&#10;">
                <v:fill on="t" focussize="0,0"/>
                <v:stroke color="#000000" miterlimit="2" joinstyle="miter"/>
                <v:imagedata o:title=""/>
                <o:lock v:ext="edit" aspectratio="f"/>
              </v:rect>
            </w:pict>
          </mc:Fallback>
        </mc:AlternateContent>
      </w:r>
      <w:r>
        <w:rPr>
          <w:rFonts w:hint="eastAsia" w:ascii="仿宋" w:hAnsi="仿宋" w:eastAsia="仿宋" w:cs="宋体"/>
          <w:color w:val="auto"/>
          <w:sz w:val="24"/>
          <w:highlight w:val="none"/>
        </w:rPr>
        <w:t>投标单位法定名称章（印模）                投标单位“XX专用章”（印模）</w:t>
      </w:r>
    </w:p>
    <w:p w14:paraId="288779AE">
      <w:pPr>
        <w:autoSpaceDE w:val="0"/>
        <w:autoSpaceDN w:val="0"/>
        <w:jc w:val="center"/>
        <w:rPr>
          <w:rFonts w:ascii="仿宋" w:hAnsi="仿宋" w:eastAsia="仿宋" w:cs="宋体"/>
          <w:b/>
          <w:color w:val="auto"/>
          <w:spacing w:val="6"/>
          <w:sz w:val="32"/>
          <w:szCs w:val="32"/>
          <w:highlight w:val="none"/>
        </w:rPr>
      </w:pPr>
    </w:p>
    <w:p w14:paraId="3D310A81">
      <w:pPr>
        <w:autoSpaceDE w:val="0"/>
        <w:autoSpaceDN w:val="0"/>
        <w:jc w:val="center"/>
        <w:rPr>
          <w:rFonts w:ascii="仿宋" w:hAnsi="仿宋" w:eastAsia="仿宋" w:cs="宋体"/>
          <w:b/>
          <w:color w:val="auto"/>
          <w:spacing w:val="6"/>
          <w:sz w:val="32"/>
          <w:szCs w:val="32"/>
          <w:highlight w:val="none"/>
        </w:rPr>
      </w:pPr>
    </w:p>
    <w:p w14:paraId="4E9C57D9">
      <w:pPr>
        <w:autoSpaceDE w:val="0"/>
        <w:autoSpaceDN w:val="0"/>
        <w:jc w:val="center"/>
        <w:rPr>
          <w:rFonts w:ascii="仿宋" w:hAnsi="仿宋" w:eastAsia="仿宋" w:cs="宋体"/>
          <w:b/>
          <w:color w:val="auto"/>
          <w:spacing w:val="6"/>
          <w:sz w:val="32"/>
          <w:szCs w:val="32"/>
          <w:highlight w:val="none"/>
        </w:rPr>
      </w:pPr>
    </w:p>
    <w:p w14:paraId="0EDDBA35">
      <w:pPr>
        <w:autoSpaceDE w:val="0"/>
        <w:autoSpaceDN w:val="0"/>
        <w:jc w:val="center"/>
        <w:rPr>
          <w:rFonts w:ascii="仿宋" w:hAnsi="仿宋" w:eastAsia="仿宋" w:cs="宋体"/>
          <w:b/>
          <w:color w:val="auto"/>
          <w:spacing w:val="6"/>
          <w:sz w:val="32"/>
          <w:szCs w:val="32"/>
          <w:highlight w:val="none"/>
        </w:rPr>
      </w:pPr>
    </w:p>
    <w:p w14:paraId="2645C4F3">
      <w:pPr>
        <w:autoSpaceDE w:val="0"/>
        <w:autoSpaceDN w:val="0"/>
        <w:jc w:val="center"/>
        <w:rPr>
          <w:rFonts w:ascii="仿宋" w:hAnsi="仿宋" w:eastAsia="仿宋" w:cs="宋体"/>
          <w:b/>
          <w:color w:val="auto"/>
          <w:spacing w:val="6"/>
          <w:sz w:val="32"/>
          <w:szCs w:val="32"/>
          <w:highlight w:val="none"/>
        </w:rPr>
      </w:pPr>
    </w:p>
    <w:p w14:paraId="71E49F46">
      <w:pPr>
        <w:autoSpaceDE w:val="0"/>
        <w:autoSpaceDN w:val="0"/>
        <w:jc w:val="center"/>
        <w:rPr>
          <w:rFonts w:ascii="仿宋" w:hAnsi="仿宋" w:eastAsia="仿宋" w:cs="宋体"/>
          <w:b/>
          <w:color w:val="auto"/>
          <w:spacing w:val="6"/>
          <w:sz w:val="32"/>
          <w:szCs w:val="32"/>
          <w:highlight w:val="none"/>
        </w:rPr>
      </w:pPr>
    </w:p>
    <w:p w14:paraId="0BFEC29B">
      <w:pPr>
        <w:autoSpaceDE w:val="0"/>
        <w:autoSpaceDN w:val="0"/>
        <w:jc w:val="center"/>
        <w:rPr>
          <w:rFonts w:ascii="仿宋" w:hAnsi="仿宋" w:eastAsia="仿宋" w:cs="宋体"/>
          <w:b/>
          <w:color w:val="auto"/>
          <w:spacing w:val="6"/>
          <w:sz w:val="32"/>
          <w:szCs w:val="32"/>
          <w:highlight w:val="none"/>
        </w:rPr>
      </w:pPr>
    </w:p>
    <w:p w14:paraId="27DB8F10">
      <w:pPr>
        <w:autoSpaceDE w:val="0"/>
        <w:autoSpaceDN w:val="0"/>
        <w:jc w:val="center"/>
        <w:rPr>
          <w:rFonts w:ascii="仿宋" w:hAnsi="仿宋" w:eastAsia="仿宋" w:cs="宋体"/>
          <w:b/>
          <w:color w:val="auto"/>
          <w:spacing w:val="6"/>
          <w:sz w:val="32"/>
          <w:szCs w:val="32"/>
          <w:highlight w:val="none"/>
        </w:rPr>
      </w:pPr>
    </w:p>
    <w:p w14:paraId="61E23501">
      <w:pPr>
        <w:autoSpaceDE w:val="0"/>
        <w:autoSpaceDN w:val="0"/>
        <w:jc w:val="center"/>
        <w:rPr>
          <w:rFonts w:ascii="仿宋" w:hAnsi="仿宋" w:eastAsia="仿宋" w:cs="宋体"/>
          <w:b/>
          <w:color w:val="auto"/>
          <w:spacing w:val="6"/>
          <w:sz w:val="32"/>
          <w:szCs w:val="32"/>
          <w:highlight w:val="none"/>
        </w:rPr>
      </w:pPr>
    </w:p>
    <w:p w14:paraId="1687C6C6">
      <w:pPr>
        <w:autoSpaceDE w:val="0"/>
        <w:autoSpaceDN w:val="0"/>
        <w:jc w:val="center"/>
        <w:rPr>
          <w:rFonts w:ascii="仿宋" w:hAnsi="仿宋" w:eastAsia="仿宋" w:cs="宋体"/>
          <w:b/>
          <w:color w:val="auto"/>
          <w:spacing w:val="6"/>
          <w:sz w:val="32"/>
          <w:szCs w:val="32"/>
          <w:highlight w:val="none"/>
        </w:rPr>
      </w:pPr>
    </w:p>
    <w:p w14:paraId="080D4A49">
      <w:pPr>
        <w:autoSpaceDE w:val="0"/>
        <w:autoSpaceDN w:val="0"/>
        <w:jc w:val="center"/>
        <w:rPr>
          <w:rFonts w:ascii="仿宋" w:hAnsi="仿宋" w:eastAsia="仿宋" w:cs="宋体"/>
          <w:b/>
          <w:color w:val="auto"/>
          <w:spacing w:val="6"/>
          <w:sz w:val="32"/>
          <w:szCs w:val="32"/>
          <w:highlight w:val="none"/>
        </w:rPr>
      </w:pPr>
    </w:p>
    <w:p w14:paraId="223EC1DF">
      <w:pPr>
        <w:autoSpaceDE w:val="0"/>
        <w:autoSpaceDN w:val="0"/>
        <w:jc w:val="center"/>
        <w:rPr>
          <w:rFonts w:ascii="仿宋" w:hAnsi="仿宋" w:eastAsia="仿宋" w:cs="宋体"/>
          <w:b/>
          <w:color w:val="auto"/>
          <w:spacing w:val="6"/>
          <w:sz w:val="32"/>
          <w:szCs w:val="32"/>
          <w:highlight w:val="none"/>
        </w:rPr>
      </w:pPr>
    </w:p>
    <w:p w14:paraId="72159753">
      <w:pPr>
        <w:autoSpaceDE w:val="0"/>
        <w:autoSpaceDN w:val="0"/>
        <w:jc w:val="center"/>
        <w:rPr>
          <w:rFonts w:ascii="仿宋" w:hAnsi="仿宋" w:eastAsia="仿宋" w:cs="宋体"/>
          <w:b/>
          <w:color w:val="auto"/>
          <w:spacing w:val="6"/>
          <w:sz w:val="32"/>
          <w:szCs w:val="32"/>
          <w:highlight w:val="none"/>
        </w:rPr>
      </w:pPr>
    </w:p>
    <w:p w14:paraId="2CF78468">
      <w:pPr>
        <w:autoSpaceDE w:val="0"/>
        <w:autoSpaceDN w:val="0"/>
        <w:jc w:val="center"/>
        <w:rPr>
          <w:rFonts w:ascii="仿宋" w:hAnsi="仿宋" w:eastAsia="仿宋" w:cs="宋体"/>
          <w:b/>
          <w:color w:val="auto"/>
          <w:spacing w:val="6"/>
          <w:sz w:val="32"/>
          <w:szCs w:val="32"/>
          <w:highlight w:val="none"/>
        </w:rPr>
      </w:pPr>
    </w:p>
    <w:p w14:paraId="35FC3658">
      <w:pPr>
        <w:autoSpaceDE w:val="0"/>
        <w:autoSpaceDN w:val="0"/>
        <w:jc w:val="center"/>
        <w:rPr>
          <w:rFonts w:ascii="仿宋" w:hAnsi="仿宋" w:eastAsia="仿宋" w:cs="宋体"/>
          <w:b/>
          <w:color w:val="auto"/>
          <w:spacing w:val="6"/>
          <w:sz w:val="32"/>
          <w:szCs w:val="32"/>
          <w:highlight w:val="none"/>
        </w:rPr>
      </w:pPr>
    </w:p>
    <w:p w14:paraId="0BC32A9B">
      <w:pPr>
        <w:autoSpaceDE w:val="0"/>
        <w:autoSpaceDN w:val="0"/>
        <w:jc w:val="center"/>
        <w:rPr>
          <w:rFonts w:ascii="仿宋" w:hAnsi="仿宋" w:eastAsia="仿宋" w:cs="宋体"/>
          <w:b/>
          <w:color w:val="auto"/>
          <w:spacing w:val="6"/>
          <w:sz w:val="32"/>
          <w:szCs w:val="32"/>
          <w:highlight w:val="none"/>
        </w:rPr>
      </w:pPr>
    </w:p>
    <w:p w14:paraId="12A6264F">
      <w:pPr>
        <w:autoSpaceDE w:val="0"/>
        <w:autoSpaceDN w:val="0"/>
        <w:jc w:val="center"/>
        <w:rPr>
          <w:rFonts w:ascii="仿宋" w:hAnsi="仿宋" w:eastAsia="仿宋" w:cs="宋体"/>
          <w:b/>
          <w:color w:val="auto"/>
          <w:spacing w:val="6"/>
          <w:sz w:val="32"/>
          <w:szCs w:val="32"/>
          <w:highlight w:val="none"/>
        </w:rPr>
      </w:pPr>
    </w:p>
    <w:p w14:paraId="09DC365D">
      <w:pPr>
        <w:autoSpaceDE w:val="0"/>
        <w:autoSpaceDN w:val="0"/>
        <w:jc w:val="center"/>
        <w:outlineLvl w:val="2"/>
        <w:rPr>
          <w:rFonts w:ascii="仿宋" w:hAnsi="仿宋" w:eastAsia="仿宋" w:cs="宋体"/>
          <w:b/>
          <w:color w:val="auto"/>
          <w:kern w:val="0"/>
          <w:sz w:val="32"/>
          <w:szCs w:val="32"/>
          <w:highlight w:val="none"/>
          <w:lang w:val="zh-CN"/>
        </w:rPr>
      </w:pPr>
      <w:r>
        <w:rPr>
          <w:rFonts w:hint="eastAsia" w:ascii="仿宋" w:hAnsi="仿宋" w:eastAsia="仿宋" w:cs="宋体"/>
          <w:b/>
          <w:color w:val="auto"/>
          <w:spacing w:val="6"/>
          <w:sz w:val="32"/>
          <w:szCs w:val="32"/>
          <w:highlight w:val="none"/>
        </w:rPr>
        <w:br w:type="page"/>
      </w:r>
      <w:r>
        <w:rPr>
          <w:rFonts w:hint="eastAsia" w:ascii="仿宋" w:hAnsi="仿宋" w:eastAsia="仿宋" w:cs="宋体"/>
          <w:b/>
          <w:color w:val="auto"/>
          <w:spacing w:val="6"/>
          <w:sz w:val="32"/>
          <w:szCs w:val="32"/>
          <w:highlight w:val="none"/>
        </w:rPr>
        <w:t>附件</w:t>
      </w:r>
      <w:r>
        <w:rPr>
          <w:rFonts w:ascii="仿宋" w:hAnsi="仿宋" w:eastAsia="仿宋" w:cs="宋体"/>
          <w:b/>
          <w:color w:val="auto"/>
          <w:spacing w:val="6"/>
          <w:sz w:val="32"/>
          <w:szCs w:val="32"/>
          <w:highlight w:val="none"/>
        </w:rPr>
        <w:t>5</w:t>
      </w:r>
      <w:r>
        <w:rPr>
          <w:rFonts w:hint="eastAsia" w:ascii="仿宋" w:hAnsi="仿宋" w:eastAsia="仿宋" w:cs="宋体"/>
          <w:b/>
          <w:color w:val="auto"/>
          <w:spacing w:val="6"/>
          <w:sz w:val="32"/>
          <w:szCs w:val="32"/>
          <w:highlight w:val="none"/>
        </w:rPr>
        <w:t>：</w:t>
      </w:r>
      <w:r>
        <w:rPr>
          <w:rFonts w:hint="eastAsia" w:ascii="仿宋" w:hAnsi="仿宋" w:eastAsia="仿宋" w:cs="宋体"/>
          <w:b/>
          <w:color w:val="auto"/>
          <w:kern w:val="0"/>
          <w:sz w:val="32"/>
          <w:szCs w:val="32"/>
          <w:highlight w:val="none"/>
          <w:lang w:val="zh-CN"/>
        </w:rPr>
        <w:t>联合协议</w:t>
      </w:r>
    </w:p>
    <w:p w14:paraId="6BC15CF0">
      <w:pPr>
        <w:widowControl/>
        <w:spacing w:line="360" w:lineRule="auto"/>
        <w:ind w:firstLine="482" w:firstLineChars="200"/>
        <w:jc w:val="left"/>
        <w:rPr>
          <w:rFonts w:ascii="仿宋" w:hAnsi="仿宋" w:eastAsia="仿宋" w:cs="宋体"/>
          <w:b/>
          <w:color w:val="auto"/>
          <w:sz w:val="24"/>
          <w:highlight w:val="none"/>
        </w:rPr>
      </w:pPr>
      <w:r>
        <w:rPr>
          <w:rFonts w:hint="eastAsia" w:ascii="仿宋" w:hAnsi="仿宋" w:eastAsia="仿宋" w:cs="宋体"/>
          <w:b/>
          <w:color w:val="auto"/>
          <w:sz w:val="24"/>
          <w:highlight w:val="none"/>
        </w:rPr>
        <w:t>（以联合体形式投标的，提供联合协议；本项目不接受联合体投标或者投标人不以联合体形式投标的，则不需要提供）</w:t>
      </w:r>
    </w:p>
    <w:p w14:paraId="4DB27BFF">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u w:val="single"/>
        </w:rPr>
        <w:t>（联合体所有成员名称）</w:t>
      </w:r>
      <w:r>
        <w:rPr>
          <w:rFonts w:hint="eastAsia" w:ascii="仿宋" w:hAnsi="仿宋" w:eastAsia="仿宋" w:cs="宋体"/>
          <w:color w:val="auto"/>
          <w:kern w:val="0"/>
          <w:sz w:val="24"/>
          <w:highlight w:val="none"/>
        </w:rPr>
        <w:t>自愿</w:t>
      </w:r>
      <w:r>
        <w:rPr>
          <w:rFonts w:hint="eastAsia" w:ascii="仿宋" w:hAnsi="仿宋" w:eastAsia="仿宋" w:cs="宋体"/>
          <w:color w:val="auto"/>
          <w:kern w:val="0"/>
          <w:sz w:val="24"/>
          <w:highlight w:val="none"/>
          <w:lang w:val="zh-CN"/>
        </w:rPr>
        <w:t>组成一个联合体，以一个投标人的身份</w:t>
      </w:r>
      <w:r>
        <w:rPr>
          <w:rFonts w:hint="eastAsia" w:ascii="仿宋" w:hAnsi="仿宋" w:eastAsia="仿宋" w:cs="宋体"/>
          <w:color w:val="auto"/>
          <w:kern w:val="0"/>
          <w:sz w:val="24"/>
          <w:highlight w:val="none"/>
        </w:rPr>
        <w:t>参加</w:t>
      </w:r>
      <w:r>
        <w:rPr>
          <w:rFonts w:hint="eastAsia" w:ascii="仿宋" w:hAnsi="仿宋" w:eastAsia="仿宋" w:cs="宋体"/>
          <w:color w:val="auto"/>
          <w:sz w:val="24"/>
          <w:highlight w:val="none"/>
        </w:rPr>
        <w:t>（项目名称）【招标编号：（采购编号）】</w:t>
      </w:r>
      <w:r>
        <w:rPr>
          <w:rFonts w:hint="eastAsia" w:ascii="仿宋" w:hAnsi="仿宋" w:eastAsia="仿宋" w:cs="宋体"/>
          <w:color w:val="auto"/>
          <w:kern w:val="0"/>
          <w:sz w:val="24"/>
          <w:highlight w:val="none"/>
          <w:lang w:val="zh-CN"/>
        </w:rPr>
        <w:t>投标。</w:t>
      </w:r>
    </w:p>
    <w:p w14:paraId="3D3457C9">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一、各方一致决定，</w:t>
      </w:r>
      <w:r>
        <w:rPr>
          <w:rFonts w:hint="eastAsia" w:ascii="仿宋" w:hAnsi="仿宋" w:eastAsia="仿宋" w:cs="宋体"/>
          <w:color w:val="auto"/>
          <w:kern w:val="0"/>
          <w:sz w:val="24"/>
          <w:highlight w:val="none"/>
          <w:u w:val="single"/>
        </w:rPr>
        <w:t>（某联合体成员名称）</w:t>
      </w:r>
      <w:r>
        <w:rPr>
          <w:rFonts w:hint="eastAsia" w:ascii="仿宋" w:hAnsi="仿宋" w:eastAsia="仿宋" w:cs="宋体"/>
          <w:color w:val="auto"/>
          <w:kern w:val="0"/>
          <w:sz w:val="24"/>
          <w:highlight w:val="none"/>
        </w:rPr>
        <w:t>为联合体</w:t>
      </w:r>
      <w:r>
        <w:rPr>
          <w:rFonts w:hint="eastAsia" w:ascii="仿宋" w:hAnsi="仿宋" w:eastAsia="仿宋" w:cs="宋体"/>
          <w:color w:val="auto"/>
          <w:kern w:val="0"/>
          <w:sz w:val="24"/>
          <w:highlight w:val="none"/>
          <w:lang w:val="zh-CN"/>
        </w:rPr>
        <w:t>牵头人</w:t>
      </w:r>
      <w:r>
        <w:rPr>
          <w:rFonts w:hint="eastAsia" w:ascii="仿宋" w:hAnsi="仿宋" w:eastAsia="仿宋" w:cs="宋体"/>
          <w:color w:val="auto"/>
          <w:sz w:val="24"/>
          <w:highlight w:val="none"/>
        </w:rPr>
        <w:t>，代表所有联合体成员负责投标和合同实施阶段的主办、协调工作</w:t>
      </w:r>
      <w:r>
        <w:rPr>
          <w:rFonts w:hint="eastAsia" w:ascii="仿宋" w:hAnsi="仿宋" w:eastAsia="仿宋" w:cs="宋体"/>
          <w:color w:val="auto"/>
          <w:kern w:val="0"/>
          <w:sz w:val="24"/>
          <w:highlight w:val="none"/>
          <w:lang w:val="zh-CN"/>
        </w:rPr>
        <w:t>。</w:t>
      </w:r>
    </w:p>
    <w:p w14:paraId="2C76A651">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二、</w:t>
      </w:r>
      <w:r>
        <w:rPr>
          <w:rFonts w:hint="eastAsia" w:ascii="仿宋" w:hAnsi="仿宋" w:eastAsia="仿宋" w:cs="宋体"/>
          <w:color w:val="auto"/>
          <w:sz w:val="24"/>
          <w:highlight w:val="none"/>
        </w:rPr>
        <w:t>所有联合体成员各方签署授权书，授权书载明的</w:t>
      </w:r>
      <w:r>
        <w:rPr>
          <w:rFonts w:hint="eastAsia" w:ascii="仿宋" w:hAnsi="仿宋" w:eastAsia="仿宋"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703A3907">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三、本次联合投标中，分工如下：</w:t>
      </w:r>
    </w:p>
    <w:p w14:paraId="049F6D68">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u w:val="single"/>
        </w:rPr>
        <w:t>（联合体成员1）</w:t>
      </w:r>
      <w:r>
        <w:rPr>
          <w:rFonts w:hint="eastAsia" w:ascii="仿宋" w:hAnsi="仿宋" w:eastAsia="仿宋" w:cs="宋体"/>
          <w:color w:val="auto"/>
          <w:kern w:val="0"/>
          <w:sz w:val="24"/>
          <w:highlight w:val="none"/>
          <w:lang w:val="zh-CN"/>
        </w:rPr>
        <w:t>承担的工作和义务为：</w:t>
      </w:r>
      <w:r>
        <w:rPr>
          <w:rFonts w:hint="eastAsia" w:ascii="仿宋" w:hAnsi="仿宋" w:eastAsia="仿宋" w:cs="宋体"/>
          <w:color w:val="auto"/>
          <w:highlight w:val="none"/>
          <w:u w:val="single"/>
        </w:rPr>
        <w:t xml:space="preserve">             </w:t>
      </w:r>
      <w:r>
        <w:rPr>
          <w:rFonts w:hint="eastAsia" w:ascii="仿宋" w:hAnsi="仿宋" w:eastAsia="仿宋" w:cs="宋体"/>
          <w:color w:val="auto"/>
          <w:kern w:val="0"/>
          <w:sz w:val="24"/>
          <w:highlight w:val="none"/>
          <w:lang w:val="zh-CN"/>
        </w:rPr>
        <w:t>；</w:t>
      </w:r>
    </w:p>
    <w:p w14:paraId="37609DA5">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u w:val="single"/>
        </w:rPr>
        <w:t>（联合体成员</w:t>
      </w:r>
      <w:r>
        <w:rPr>
          <w:rFonts w:ascii="仿宋" w:hAnsi="仿宋" w:eastAsia="仿宋" w:cs="宋体"/>
          <w:color w:val="auto"/>
          <w:kern w:val="0"/>
          <w:sz w:val="24"/>
          <w:highlight w:val="none"/>
          <w:u w:val="single"/>
        </w:rPr>
        <w:t>2</w:t>
      </w:r>
      <w:r>
        <w:rPr>
          <w:rFonts w:hint="eastAsia"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lang w:val="zh-CN"/>
        </w:rPr>
        <w:t>承担的工作和义务为：</w:t>
      </w:r>
      <w:r>
        <w:rPr>
          <w:rFonts w:hint="eastAsia" w:ascii="仿宋" w:hAnsi="仿宋" w:eastAsia="仿宋" w:cs="宋体"/>
          <w:color w:val="auto"/>
          <w:highlight w:val="none"/>
          <w:u w:val="single"/>
        </w:rPr>
        <w:t xml:space="preserve">             </w:t>
      </w:r>
      <w:r>
        <w:rPr>
          <w:rFonts w:hint="eastAsia" w:ascii="仿宋" w:hAnsi="仿宋" w:eastAsia="仿宋" w:cs="宋体"/>
          <w:color w:val="auto"/>
          <w:kern w:val="0"/>
          <w:sz w:val="24"/>
          <w:highlight w:val="none"/>
          <w:lang w:val="zh-CN"/>
        </w:rPr>
        <w:t>；</w:t>
      </w:r>
    </w:p>
    <w:p w14:paraId="55AAF051">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w:t>
      </w:r>
    </w:p>
    <w:p w14:paraId="3636C8BE">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四、联合体成员中小企业合同份额。</w:t>
      </w:r>
    </w:p>
    <w:p w14:paraId="725A9DC5">
      <w:pPr>
        <w:snapToGrid w:val="0"/>
        <w:spacing w:line="360" w:lineRule="auto"/>
        <w:ind w:firstLine="576"/>
        <w:rPr>
          <w:rFonts w:ascii="仿宋" w:hAnsi="仿宋" w:eastAsia="仿宋" w:cs="宋体"/>
          <w:b/>
          <w:color w:val="auto"/>
          <w:kern w:val="0"/>
          <w:sz w:val="24"/>
          <w:highlight w:val="none"/>
          <w:lang w:val="zh-CN"/>
        </w:rPr>
      </w:pPr>
      <w:r>
        <w:rPr>
          <w:rFonts w:hint="eastAsia" w:ascii="仿宋" w:hAnsi="仿宋" w:eastAsia="仿宋" w:cs="宋体"/>
          <w:color w:val="auto"/>
          <w:kern w:val="0"/>
          <w:sz w:val="24"/>
          <w:highlight w:val="none"/>
          <w:lang w:val="zh-CN"/>
        </w:rPr>
        <w:t>1、</w:t>
      </w:r>
      <w:r>
        <w:rPr>
          <w:rFonts w:hint="eastAsia" w:ascii="仿宋" w:hAnsi="仿宋" w:eastAsia="仿宋" w:cs="宋体"/>
          <w:color w:val="auto"/>
          <w:kern w:val="0"/>
          <w:sz w:val="24"/>
          <w:highlight w:val="none"/>
          <w:u w:val="single"/>
        </w:rPr>
        <w:t>（</w:t>
      </w:r>
      <w:bookmarkStart w:id="430" w:name="_Hlk101131882"/>
      <w:r>
        <w:rPr>
          <w:rFonts w:hint="eastAsia" w:ascii="仿宋" w:hAnsi="仿宋" w:eastAsia="仿宋" w:cs="宋体"/>
          <w:color w:val="auto"/>
          <w:kern w:val="0"/>
          <w:sz w:val="24"/>
          <w:highlight w:val="none"/>
          <w:u w:val="single"/>
        </w:rPr>
        <w:t>联合体成员X</w:t>
      </w:r>
      <w:r>
        <w:rPr>
          <w:rFonts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u w:val="single"/>
        </w:rPr>
        <w:t>……</w:t>
      </w:r>
      <w:bookmarkEnd w:id="430"/>
      <w:r>
        <w:rPr>
          <w:rFonts w:hint="eastAsia"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rPr>
        <w:t>提供的</w:t>
      </w:r>
      <w:r>
        <w:rPr>
          <w:rFonts w:hint="eastAsia" w:ascii="仿宋" w:hAnsi="仿宋" w:eastAsia="仿宋" w:cs="宋体"/>
          <w:color w:val="auto"/>
          <w:kern w:val="0"/>
          <w:sz w:val="24"/>
          <w:highlight w:val="none"/>
          <w:lang w:val="en-US" w:eastAsia="zh-CN"/>
        </w:rPr>
        <w:t>服务</w:t>
      </w:r>
      <w:r>
        <w:rPr>
          <w:rFonts w:hint="eastAsia" w:ascii="仿宋" w:hAnsi="仿宋" w:eastAsia="仿宋" w:cs="宋体"/>
          <w:color w:val="auto"/>
          <w:kern w:val="0"/>
          <w:sz w:val="24"/>
          <w:highlight w:val="none"/>
        </w:rPr>
        <w:t>由小微企业</w:t>
      </w:r>
      <w:r>
        <w:rPr>
          <w:rFonts w:hint="eastAsia" w:ascii="仿宋" w:hAnsi="仿宋" w:eastAsia="仿宋" w:cs="宋体"/>
          <w:color w:val="auto"/>
          <w:kern w:val="0"/>
          <w:sz w:val="24"/>
          <w:highlight w:val="none"/>
          <w:lang w:val="en-US" w:eastAsia="zh-CN"/>
        </w:rPr>
        <w:t>承接</w:t>
      </w:r>
      <w:r>
        <w:rPr>
          <w:rFonts w:hint="eastAsia" w:ascii="仿宋" w:hAnsi="仿宋" w:eastAsia="仿宋" w:cs="宋体"/>
          <w:color w:val="auto"/>
          <w:kern w:val="0"/>
          <w:sz w:val="24"/>
          <w:highlight w:val="none"/>
        </w:rPr>
        <w:t>，其合同份额占到合同总金额</w:t>
      </w:r>
      <w:r>
        <w:rPr>
          <w:rFonts w:hint="eastAsia" w:ascii="仿宋" w:hAnsi="仿宋" w:eastAsia="仿宋" w:cs="宋体"/>
          <w:color w:val="auto"/>
          <w:kern w:val="0"/>
          <w:sz w:val="24"/>
          <w:highlight w:val="none"/>
          <w:u w:val="single"/>
        </w:rPr>
        <w:t xml:space="preserve">     </w:t>
      </w:r>
      <w:r>
        <w:rPr>
          <w:rFonts w:hint="eastAsia" w:ascii="仿宋" w:hAnsi="仿宋" w:eastAsia="仿宋" w:cs="宋体"/>
          <w:color w:val="auto"/>
          <w:kern w:val="0"/>
          <w:sz w:val="24"/>
          <w:highlight w:val="none"/>
        </w:rPr>
        <w:t>%以上</w:t>
      </w:r>
      <w:r>
        <w:rPr>
          <w:rFonts w:hint="eastAsia" w:ascii="仿宋" w:hAnsi="仿宋" w:eastAsia="仿宋" w:cs="宋体"/>
          <w:color w:val="auto"/>
          <w:kern w:val="0"/>
          <w:sz w:val="24"/>
          <w:highlight w:val="none"/>
          <w:lang w:val="zh-CN"/>
        </w:rPr>
        <w:t>。</w:t>
      </w:r>
    </w:p>
    <w:p w14:paraId="1A4D6867">
      <w:pPr>
        <w:spacing w:line="360" w:lineRule="auto"/>
        <w:ind w:firstLine="720" w:firstLineChars="300"/>
        <w:rPr>
          <w:rFonts w:ascii="仿宋" w:hAnsi="仿宋" w:eastAsia="仿宋" w:cs="宋体"/>
          <w:b/>
          <w:bCs/>
          <w:color w:val="auto"/>
          <w:kern w:val="0"/>
          <w:sz w:val="24"/>
          <w:highlight w:val="none"/>
          <w:lang w:val="zh-CN"/>
        </w:rPr>
      </w:pPr>
      <w:r>
        <w:rPr>
          <w:rFonts w:hint="eastAsia" w:ascii="仿宋" w:hAnsi="仿宋" w:eastAsia="仿宋" w:cs="宋体"/>
          <w:color w:val="auto"/>
          <w:sz w:val="24"/>
          <w:highlight w:val="none"/>
        </w:rPr>
        <w:t>2、</w:t>
      </w:r>
      <w:bookmarkStart w:id="431" w:name="_Hlk101133173"/>
      <w:r>
        <w:rPr>
          <w:rFonts w:hint="eastAsia" w:ascii="仿宋" w:hAnsi="仿宋" w:eastAsia="仿宋" w:cs="宋体"/>
          <w:color w:val="auto"/>
          <w:sz w:val="24"/>
          <w:highlight w:val="none"/>
        </w:rPr>
        <w:t>中小企业合同金额达到</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%，小微企业合同金额达到</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w:t>
      </w:r>
      <w:r>
        <w:rPr>
          <w:rFonts w:hint="eastAsia" w:ascii="仿宋" w:hAnsi="仿宋" w:eastAsia="仿宋" w:cs="宋体"/>
          <w:color w:val="auto"/>
          <w:kern w:val="0"/>
          <w:sz w:val="24"/>
          <w:highlight w:val="none"/>
          <w:lang w:val="zh-CN"/>
        </w:rPr>
        <w:t>。</w:t>
      </w:r>
      <w:bookmarkEnd w:id="431"/>
    </w:p>
    <w:p w14:paraId="55D92F48">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五、如果中标，</w:t>
      </w:r>
      <w:r>
        <w:rPr>
          <w:rFonts w:hint="eastAsia" w:ascii="仿宋" w:hAnsi="仿宋" w:eastAsia="仿宋" w:cs="宋体"/>
          <w:color w:val="auto"/>
          <w:sz w:val="24"/>
          <w:highlight w:val="none"/>
        </w:rPr>
        <w:t>联合体各成员方共同与采购人签订合同，并就采购合同约定的事项对采购人承担连带责任。</w:t>
      </w:r>
    </w:p>
    <w:p w14:paraId="1A73B726">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六、有关本次联合投标的其他事宜：</w:t>
      </w:r>
    </w:p>
    <w:p w14:paraId="5B1F082A">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1、联合体各方不再单独参加或者与其他供应商另外组成联合体参加同一合同项下的政府采购活动。</w:t>
      </w:r>
    </w:p>
    <w:p w14:paraId="1E7C7B65">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2、联合体中有同类资质的各方按照联合体分工承担相同工作的，按照资质等级较低的供应商确定资质等级。</w:t>
      </w:r>
    </w:p>
    <w:p w14:paraId="7D2CD5F0">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3、本协议提交采购人、采购机构后，联合体各方不得以任何形式对上述内容进行修改或撤销。</w:t>
      </w:r>
    </w:p>
    <w:p w14:paraId="487AE569">
      <w:pPr>
        <w:snapToGrid w:val="0"/>
        <w:spacing w:line="360" w:lineRule="auto"/>
        <w:ind w:firstLine="5040" w:firstLineChars="21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联合体成员名称(电子签名/公章)：</w:t>
      </w:r>
    </w:p>
    <w:p w14:paraId="62D4A4ED">
      <w:pPr>
        <w:snapToGrid w:val="0"/>
        <w:spacing w:line="360" w:lineRule="auto"/>
        <w:ind w:firstLine="5040" w:firstLineChars="21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联合体成员名称(电子签名/公章)：</w:t>
      </w:r>
    </w:p>
    <w:p w14:paraId="4FBF9ED5">
      <w:pPr>
        <w:snapToGrid w:val="0"/>
        <w:spacing w:line="360" w:lineRule="auto"/>
        <w:ind w:right="960"/>
        <w:jc w:val="center"/>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w:t>
      </w:r>
    </w:p>
    <w:p w14:paraId="26010DF4">
      <w:pPr>
        <w:snapToGrid w:val="0"/>
        <w:spacing w:line="360" w:lineRule="auto"/>
        <w:jc w:val="righ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日期：  年  月   日</w:t>
      </w:r>
    </w:p>
    <w:p w14:paraId="1312EC89">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14:paraId="28B97B3F">
      <w:pPr>
        <w:autoSpaceDE w:val="0"/>
        <w:autoSpaceDN w:val="0"/>
        <w:jc w:val="center"/>
        <w:rPr>
          <w:rFonts w:ascii="仿宋" w:hAnsi="仿宋" w:eastAsia="仿宋" w:cs="宋体"/>
          <w:b/>
          <w:color w:val="auto"/>
          <w:spacing w:val="6"/>
          <w:sz w:val="32"/>
          <w:szCs w:val="32"/>
          <w:highlight w:val="none"/>
        </w:rPr>
      </w:pPr>
    </w:p>
    <w:p w14:paraId="5FDFE990">
      <w:pPr>
        <w:autoSpaceDE w:val="0"/>
        <w:autoSpaceDN w:val="0"/>
        <w:jc w:val="center"/>
        <w:rPr>
          <w:rFonts w:ascii="仿宋" w:hAnsi="仿宋" w:eastAsia="仿宋" w:cs="宋体"/>
          <w:b/>
          <w:color w:val="auto"/>
          <w:spacing w:val="6"/>
          <w:sz w:val="32"/>
          <w:szCs w:val="32"/>
          <w:highlight w:val="none"/>
        </w:rPr>
      </w:pPr>
    </w:p>
    <w:p w14:paraId="4D0EE9BC">
      <w:pPr>
        <w:autoSpaceDE w:val="0"/>
        <w:autoSpaceDN w:val="0"/>
        <w:jc w:val="center"/>
        <w:rPr>
          <w:rFonts w:ascii="仿宋" w:hAnsi="仿宋" w:eastAsia="仿宋" w:cs="宋体"/>
          <w:b/>
          <w:color w:val="auto"/>
          <w:spacing w:val="6"/>
          <w:sz w:val="32"/>
          <w:szCs w:val="32"/>
          <w:highlight w:val="none"/>
        </w:rPr>
      </w:pPr>
    </w:p>
    <w:p w14:paraId="7347F4AA">
      <w:pPr>
        <w:snapToGrid w:val="0"/>
        <w:spacing w:line="360" w:lineRule="auto"/>
        <w:ind w:firstLine="3666" w:firstLineChars="1100"/>
        <w:rPr>
          <w:rFonts w:ascii="仿宋" w:hAnsi="仿宋" w:eastAsia="仿宋" w:cs="宋体"/>
          <w:b/>
          <w:color w:val="auto"/>
          <w:spacing w:val="6"/>
          <w:sz w:val="32"/>
          <w:szCs w:val="32"/>
          <w:highlight w:val="none"/>
        </w:rPr>
      </w:pPr>
    </w:p>
    <w:p w14:paraId="0E3CE9E2">
      <w:pPr>
        <w:widowControl/>
        <w:adjustRightInd/>
        <w:jc w:val="left"/>
        <w:rPr>
          <w:rFonts w:ascii="仿宋" w:hAnsi="仿宋" w:eastAsia="仿宋" w:cs="宋体"/>
          <w:b/>
          <w:color w:val="auto"/>
          <w:spacing w:val="6"/>
          <w:sz w:val="32"/>
          <w:szCs w:val="32"/>
          <w:highlight w:val="none"/>
        </w:rPr>
      </w:pPr>
      <w:r>
        <w:rPr>
          <w:rFonts w:ascii="仿宋" w:hAnsi="仿宋" w:eastAsia="仿宋" w:cs="宋体"/>
          <w:b/>
          <w:color w:val="auto"/>
          <w:spacing w:val="6"/>
          <w:sz w:val="32"/>
          <w:szCs w:val="32"/>
          <w:highlight w:val="none"/>
        </w:rPr>
        <w:br w:type="page"/>
      </w:r>
    </w:p>
    <w:p w14:paraId="34903C74">
      <w:pPr>
        <w:snapToGrid w:val="0"/>
        <w:spacing w:line="360" w:lineRule="auto"/>
        <w:ind w:firstLine="3666" w:firstLineChars="1100"/>
        <w:outlineLvl w:val="2"/>
        <w:rPr>
          <w:rFonts w:ascii="仿宋" w:hAnsi="仿宋" w:eastAsia="仿宋" w:cs="宋体"/>
          <w:b/>
          <w:color w:val="auto"/>
          <w:kern w:val="0"/>
          <w:sz w:val="32"/>
          <w:szCs w:val="32"/>
          <w:highlight w:val="none"/>
        </w:rPr>
      </w:pPr>
      <w:r>
        <w:rPr>
          <w:rFonts w:hint="eastAsia" w:ascii="仿宋" w:hAnsi="仿宋" w:eastAsia="仿宋" w:cs="宋体"/>
          <w:b/>
          <w:color w:val="auto"/>
          <w:spacing w:val="6"/>
          <w:sz w:val="32"/>
          <w:szCs w:val="32"/>
          <w:highlight w:val="none"/>
        </w:rPr>
        <w:t>附件</w:t>
      </w:r>
      <w:r>
        <w:rPr>
          <w:rFonts w:ascii="仿宋" w:hAnsi="仿宋" w:eastAsia="仿宋" w:cs="宋体"/>
          <w:b/>
          <w:color w:val="auto"/>
          <w:spacing w:val="6"/>
          <w:sz w:val="32"/>
          <w:szCs w:val="32"/>
          <w:highlight w:val="none"/>
        </w:rPr>
        <w:t>6</w:t>
      </w:r>
      <w:r>
        <w:rPr>
          <w:rFonts w:hint="eastAsia" w:ascii="仿宋" w:hAnsi="仿宋" w:eastAsia="仿宋" w:cs="宋体"/>
          <w:b/>
          <w:color w:val="auto"/>
          <w:spacing w:val="6"/>
          <w:sz w:val="32"/>
          <w:szCs w:val="32"/>
          <w:highlight w:val="none"/>
        </w:rPr>
        <w:t>：</w:t>
      </w:r>
      <w:r>
        <w:rPr>
          <w:rFonts w:hint="eastAsia" w:ascii="仿宋" w:hAnsi="仿宋" w:eastAsia="仿宋" w:cs="宋体"/>
          <w:b/>
          <w:color w:val="auto"/>
          <w:kern w:val="0"/>
          <w:sz w:val="32"/>
          <w:szCs w:val="32"/>
          <w:highlight w:val="none"/>
        </w:rPr>
        <w:t>分包意向协议</w:t>
      </w:r>
    </w:p>
    <w:p w14:paraId="5B703A83">
      <w:pPr>
        <w:widowControl/>
        <w:spacing w:line="360" w:lineRule="auto"/>
        <w:ind w:firstLine="120" w:firstLineChars="50"/>
        <w:jc w:val="left"/>
        <w:rPr>
          <w:rFonts w:ascii="仿宋" w:hAnsi="仿宋" w:eastAsia="仿宋" w:cs="宋体"/>
          <w:color w:val="auto"/>
          <w:sz w:val="24"/>
          <w:highlight w:val="none"/>
        </w:rPr>
      </w:pPr>
      <w:r>
        <w:rPr>
          <w:rFonts w:hint="eastAsia" w:ascii="仿宋" w:hAnsi="仿宋" w:eastAsia="仿宋" w:cs="宋体"/>
          <w:color w:val="auto"/>
          <w:sz w:val="24"/>
          <w:highlight w:val="none"/>
        </w:rPr>
        <w:t>（</w:t>
      </w:r>
      <w:r>
        <w:rPr>
          <w:rFonts w:hint="eastAsia" w:ascii="仿宋" w:hAnsi="仿宋" w:eastAsia="仿宋" w:cs="宋体"/>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宋体"/>
          <w:color w:val="auto"/>
          <w:sz w:val="24"/>
          <w:highlight w:val="none"/>
        </w:rPr>
        <w:t>）</w:t>
      </w:r>
    </w:p>
    <w:p w14:paraId="45E50045">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u w:val="single"/>
        </w:rPr>
        <w:t>（投标人名称）</w:t>
      </w:r>
      <w:r>
        <w:rPr>
          <w:rFonts w:hint="eastAsia" w:ascii="仿宋" w:hAnsi="仿宋" w:eastAsia="仿宋" w:cs="宋体"/>
          <w:color w:val="auto"/>
          <w:kern w:val="0"/>
          <w:sz w:val="24"/>
          <w:highlight w:val="none"/>
          <w:lang w:val="zh-CN"/>
        </w:rPr>
        <w:t>若成为</w:t>
      </w:r>
      <w:r>
        <w:rPr>
          <w:rFonts w:hint="eastAsia" w:ascii="仿宋" w:hAnsi="仿宋" w:eastAsia="仿宋" w:cs="宋体"/>
          <w:color w:val="auto"/>
          <w:sz w:val="24"/>
          <w:highlight w:val="none"/>
        </w:rPr>
        <w:t>（项目名称）【招标编号：（采购编号）】</w:t>
      </w:r>
      <w:r>
        <w:rPr>
          <w:rFonts w:hint="eastAsia" w:ascii="仿宋" w:hAnsi="仿宋" w:eastAsia="仿宋" w:cs="宋体"/>
          <w:color w:val="auto"/>
          <w:kern w:val="0"/>
          <w:sz w:val="24"/>
          <w:highlight w:val="none"/>
          <w:lang w:val="zh-CN"/>
        </w:rPr>
        <w:t>的中标供应商，将依法采取分包方式履行合同。</w:t>
      </w:r>
      <w:r>
        <w:rPr>
          <w:rFonts w:hint="eastAsia" w:ascii="仿宋" w:hAnsi="仿宋" w:eastAsia="仿宋" w:cs="宋体"/>
          <w:color w:val="auto"/>
          <w:kern w:val="0"/>
          <w:sz w:val="24"/>
          <w:highlight w:val="none"/>
          <w:u w:val="single"/>
        </w:rPr>
        <w:t>（投标人名称）</w:t>
      </w:r>
      <w:r>
        <w:rPr>
          <w:rFonts w:hint="eastAsia" w:ascii="仿宋" w:hAnsi="仿宋" w:eastAsia="仿宋" w:cs="宋体"/>
          <w:color w:val="auto"/>
          <w:kern w:val="0"/>
          <w:sz w:val="24"/>
          <w:highlight w:val="none"/>
        </w:rPr>
        <w:t>与</w:t>
      </w:r>
      <w:r>
        <w:rPr>
          <w:rFonts w:hint="eastAsia" w:ascii="仿宋" w:hAnsi="仿宋" w:eastAsia="仿宋" w:cs="宋体"/>
          <w:color w:val="auto"/>
          <w:kern w:val="0"/>
          <w:sz w:val="24"/>
          <w:highlight w:val="none"/>
          <w:u w:val="single"/>
        </w:rPr>
        <w:t>（所有分包供应商名称）</w:t>
      </w:r>
      <w:r>
        <w:rPr>
          <w:rFonts w:hint="eastAsia" w:ascii="仿宋" w:hAnsi="仿宋" w:eastAsia="仿宋" w:cs="宋体"/>
          <w:color w:val="auto"/>
          <w:kern w:val="0"/>
          <w:sz w:val="24"/>
          <w:highlight w:val="none"/>
        </w:rPr>
        <w:t>达成分包意向协议</w:t>
      </w:r>
      <w:r>
        <w:rPr>
          <w:rFonts w:hint="eastAsia" w:ascii="仿宋" w:hAnsi="仿宋" w:eastAsia="仿宋" w:cs="宋体"/>
          <w:color w:val="auto"/>
          <w:kern w:val="0"/>
          <w:sz w:val="24"/>
          <w:highlight w:val="none"/>
          <w:lang w:val="zh-CN"/>
        </w:rPr>
        <w:t>。</w:t>
      </w:r>
    </w:p>
    <w:p w14:paraId="18F87655">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一、分包标的及数量</w:t>
      </w:r>
    </w:p>
    <w:p w14:paraId="27461478">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u w:val="single"/>
        </w:rPr>
        <w:t>（投标人名称）</w:t>
      </w:r>
      <w:r>
        <w:rPr>
          <w:rFonts w:hint="eastAsia" w:ascii="仿宋" w:hAnsi="仿宋" w:eastAsia="仿宋" w:cs="宋体"/>
          <w:color w:val="auto"/>
          <w:kern w:val="0"/>
          <w:sz w:val="24"/>
          <w:highlight w:val="none"/>
          <w:lang w:val="zh-CN"/>
        </w:rPr>
        <w:t>将</w:t>
      </w:r>
      <w:r>
        <w:rPr>
          <w:rFonts w:hint="eastAsia" w:ascii="仿宋" w:hAnsi="仿宋" w:eastAsia="仿宋" w:cs="宋体"/>
          <w:color w:val="auto"/>
          <w:highlight w:val="none"/>
          <w:u w:val="single"/>
        </w:rPr>
        <w:t xml:space="preserve">  </w:t>
      </w:r>
      <w:r>
        <w:rPr>
          <w:rFonts w:ascii="仿宋" w:hAnsi="仿宋" w:eastAsia="仿宋" w:cs="宋体"/>
          <w:color w:val="auto"/>
          <w:kern w:val="0"/>
          <w:sz w:val="24"/>
          <w:highlight w:val="none"/>
          <w:u w:val="single"/>
        </w:rPr>
        <w:t xml:space="preserve"> XX工作内容   </w:t>
      </w:r>
      <w:r>
        <w:rPr>
          <w:rFonts w:hint="eastAsia" w:ascii="仿宋" w:hAnsi="仿宋" w:eastAsia="仿宋" w:cs="宋体"/>
          <w:color w:val="auto"/>
          <w:sz w:val="24"/>
          <w:highlight w:val="none"/>
        </w:rPr>
        <w:t>分包给</w:t>
      </w:r>
      <w:r>
        <w:rPr>
          <w:rFonts w:hint="eastAsia" w:ascii="仿宋" w:hAnsi="仿宋" w:eastAsia="仿宋" w:cs="宋体"/>
          <w:color w:val="auto"/>
          <w:kern w:val="0"/>
          <w:sz w:val="24"/>
          <w:highlight w:val="none"/>
          <w:u w:val="single"/>
        </w:rPr>
        <w:t>（分包供应商1名称）</w:t>
      </w:r>
      <w:r>
        <w:rPr>
          <w:rFonts w:hint="eastAsia" w:ascii="仿宋" w:hAnsi="仿宋" w:eastAsia="仿宋" w:cs="宋体"/>
          <w:color w:val="auto"/>
          <w:kern w:val="0"/>
          <w:sz w:val="24"/>
          <w:highlight w:val="none"/>
          <w:lang w:val="zh-CN"/>
        </w:rPr>
        <w:t>，</w:t>
      </w:r>
      <w:r>
        <w:rPr>
          <w:rFonts w:hint="eastAsia" w:ascii="仿宋" w:hAnsi="仿宋" w:eastAsia="仿宋" w:cs="宋体"/>
          <w:color w:val="auto"/>
          <w:kern w:val="0"/>
          <w:sz w:val="24"/>
          <w:highlight w:val="none"/>
          <w:u w:val="single"/>
        </w:rPr>
        <w:t>（分包供应商2名称），</w:t>
      </w:r>
      <w:r>
        <w:rPr>
          <w:rFonts w:hint="eastAsia" w:ascii="仿宋" w:hAnsi="仿宋" w:eastAsia="仿宋" w:cs="宋体"/>
          <w:color w:val="auto"/>
          <w:kern w:val="0"/>
          <w:sz w:val="24"/>
          <w:highlight w:val="none"/>
          <w:lang w:val="zh-CN"/>
        </w:rPr>
        <w:t>具备承</w:t>
      </w:r>
      <w:r>
        <w:rPr>
          <w:rFonts w:hint="eastAsia" w:ascii="仿宋" w:hAnsi="仿宋" w:eastAsia="仿宋" w:cs="宋体"/>
          <w:color w:val="auto"/>
          <w:kern w:val="0"/>
          <w:sz w:val="24"/>
          <w:highlight w:val="none"/>
        </w:rPr>
        <w:t>担</w:t>
      </w:r>
      <w:r>
        <w:rPr>
          <w:rFonts w:hint="eastAsia" w:ascii="仿宋" w:hAnsi="仿宋" w:eastAsia="仿宋" w:cs="宋体"/>
          <w:color w:val="auto"/>
          <w:kern w:val="0"/>
          <w:sz w:val="24"/>
          <w:highlight w:val="none"/>
          <w:u w:val="single"/>
          <w:lang w:val="zh-CN"/>
        </w:rPr>
        <w:t>XX工作内容</w:t>
      </w:r>
      <w:r>
        <w:rPr>
          <w:rFonts w:hint="eastAsia" w:ascii="仿宋" w:hAnsi="仿宋" w:eastAsia="仿宋" w:cs="宋体"/>
          <w:color w:val="auto"/>
          <w:kern w:val="0"/>
          <w:sz w:val="24"/>
          <w:highlight w:val="none"/>
          <w:lang w:val="zh-CN"/>
        </w:rPr>
        <w:t>相应资质条件且不得再次分包；</w:t>
      </w:r>
    </w:p>
    <w:p w14:paraId="75119EFD">
      <w:pPr>
        <w:tabs>
          <w:tab w:val="left" w:pos="432"/>
        </w:tabs>
        <w:ind w:left="664" w:leftChars="316" w:firstLine="228" w:firstLineChars="95"/>
        <w:rPr>
          <w:rFonts w:ascii="仿宋" w:eastAsia="仿宋" w:cs="宋体"/>
          <w:color w:val="auto"/>
          <w:kern w:val="0"/>
          <w:sz w:val="24"/>
          <w:highlight w:val="none"/>
        </w:rPr>
      </w:pPr>
      <w:r>
        <w:rPr>
          <w:rFonts w:hint="eastAsia" w:ascii="仿宋" w:eastAsia="仿宋" w:cs="宋体"/>
          <w:color w:val="auto"/>
          <w:kern w:val="0"/>
          <w:sz w:val="24"/>
          <w:highlight w:val="none"/>
        </w:rPr>
        <w:t>……</w:t>
      </w:r>
    </w:p>
    <w:p w14:paraId="466512C0">
      <w:pPr>
        <w:rPr>
          <w:rFonts w:ascii="仿宋" w:hAnsi="仿宋" w:eastAsia="仿宋"/>
          <w:color w:val="auto"/>
          <w:highlight w:val="none"/>
        </w:rPr>
      </w:pPr>
    </w:p>
    <w:p w14:paraId="1A7AC20A">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二、分包供应商中小企业合同份额</w:t>
      </w:r>
    </w:p>
    <w:p w14:paraId="137D20F2">
      <w:pPr>
        <w:snapToGrid w:val="0"/>
        <w:spacing w:line="360" w:lineRule="auto"/>
        <w:ind w:firstLine="576"/>
        <w:rPr>
          <w:rFonts w:ascii="仿宋" w:hAnsi="仿宋" w:eastAsia="仿宋" w:cs="宋体"/>
          <w:b/>
          <w:color w:val="auto"/>
          <w:kern w:val="0"/>
          <w:sz w:val="24"/>
          <w:highlight w:val="none"/>
          <w:lang w:val="zh-CN"/>
        </w:rPr>
      </w:pPr>
      <w:r>
        <w:rPr>
          <w:rFonts w:ascii="仿宋" w:hAnsi="仿宋" w:eastAsia="仿宋" w:cs="宋体"/>
          <w:color w:val="auto"/>
          <w:kern w:val="0"/>
          <w:sz w:val="24"/>
          <w:highlight w:val="none"/>
        </w:rPr>
        <w:t>1、</w:t>
      </w:r>
      <w:r>
        <w:rPr>
          <w:rFonts w:hint="eastAsia" w:ascii="仿宋" w:hAnsi="仿宋" w:eastAsia="仿宋" w:cs="宋体"/>
          <w:color w:val="auto"/>
          <w:kern w:val="0"/>
          <w:sz w:val="24"/>
          <w:highlight w:val="none"/>
          <w:u w:val="single"/>
        </w:rPr>
        <w:t>（分包供应商X</w:t>
      </w:r>
      <w:r>
        <w:rPr>
          <w:rFonts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u w:val="single"/>
        </w:rPr>
        <w:t>……）提供的服务全部由小微企业承接，</w:t>
      </w:r>
      <w:r>
        <w:rPr>
          <w:rFonts w:hint="eastAsia" w:ascii="仿宋" w:hAnsi="仿宋" w:eastAsia="仿宋" w:cs="宋体"/>
          <w:color w:val="auto"/>
          <w:kern w:val="0"/>
          <w:sz w:val="24"/>
          <w:highlight w:val="none"/>
        </w:rPr>
        <w:t>其合同份额占到合同总金额</w:t>
      </w:r>
      <w:r>
        <w:rPr>
          <w:rFonts w:hint="eastAsia" w:ascii="仿宋" w:hAnsi="仿宋" w:eastAsia="仿宋" w:cs="宋体"/>
          <w:color w:val="auto"/>
          <w:kern w:val="0"/>
          <w:sz w:val="24"/>
          <w:highlight w:val="none"/>
          <w:u w:val="single"/>
        </w:rPr>
        <w:t xml:space="preserve">     </w:t>
      </w:r>
      <w:r>
        <w:rPr>
          <w:rFonts w:hint="eastAsia" w:ascii="仿宋" w:hAnsi="仿宋" w:eastAsia="仿宋" w:cs="宋体"/>
          <w:color w:val="auto"/>
          <w:kern w:val="0"/>
          <w:sz w:val="24"/>
          <w:highlight w:val="none"/>
        </w:rPr>
        <w:t>%以上</w:t>
      </w:r>
      <w:r>
        <w:rPr>
          <w:rFonts w:hint="eastAsia" w:ascii="仿宋" w:hAnsi="仿宋" w:eastAsia="仿宋" w:cs="宋体"/>
          <w:color w:val="auto"/>
          <w:highlight w:val="none"/>
        </w:rPr>
        <w:t>。</w:t>
      </w:r>
    </w:p>
    <w:p w14:paraId="7E7A94F1">
      <w:pPr>
        <w:spacing w:line="360" w:lineRule="auto"/>
        <w:ind w:firstLine="480" w:firstLineChars="200"/>
        <w:rPr>
          <w:rFonts w:ascii="仿宋" w:hAnsi="仿宋" w:eastAsia="仿宋" w:cs="宋体"/>
          <w:b/>
          <w:bCs/>
          <w:color w:val="auto"/>
          <w:kern w:val="0"/>
          <w:sz w:val="24"/>
          <w:highlight w:val="none"/>
          <w:lang w:val="zh-CN"/>
        </w:rPr>
      </w:pPr>
      <w:r>
        <w:rPr>
          <w:rFonts w:hint="eastAsia" w:ascii="仿宋" w:hAnsi="仿宋" w:eastAsia="仿宋" w:cs="宋体"/>
          <w:color w:val="auto"/>
          <w:sz w:val="24"/>
          <w:highlight w:val="none"/>
        </w:rPr>
        <w:t>2、中小企业合同金额达到</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%，小微企业合同金额达到</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w:t>
      </w:r>
      <w:r>
        <w:rPr>
          <w:rFonts w:hint="eastAsia" w:ascii="仿宋" w:hAnsi="仿宋" w:eastAsia="仿宋" w:cs="宋体"/>
          <w:color w:val="auto"/>
          <w:kern w:val="0"/>
          <w:sz w:val="24"/>
          <w:highlight w:val="none"/>
          <w:lang w:val="zh-CN"/>
        </w:rPr>
        <w:t>。</w:t>
      </w:r>
    </w:p>
    <w:p w14:paraId="488C529C">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三、分包工作履行期限、地点、方式</w:t>
      </w:r>
    </w:p>
    <w:p w14:paraId="68B42CF1">
      <w:pPr>
        <w:snapToGrid w:val="0"/>
        <w:spacing w:line="360" w:lineRule="auto"/>
        <w:ind w:firstLine="576"/>
        <w:rPr>
          <w:rFonts w:ascii="仿宋" w:hAnsi="仿宋" w:eastAsia="仿宋" w:cs="宋体"/>
          <w:color w:val="auto"/>
          <w:highlight w:val="none"/>
          <w:u w:val="single"/>
        </w:rPr>
      </w:pPr>
      <w:r>
        <w:rPr>
          <w:rFonts w:hint="eastAsia" w:ascii="仿宋" w:hAnsi="仿宋" w:eastAsia="仿宋" w:cs="宋体"/>
          <w:color w:val="auto"/>
          <w:highlight w:val="none"/>
          <w:u w:val="single"/>
        </w:rPr>
        <w:t xml:space="preserve">                                                                                  </w:t>
      </w:r>
    </w:p>
    <w:p w14:paraId="447CA02C">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四、质量</w:t>
      </w:r>
    </w:p>
    <w:p w14:paraId="73B447CE">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highlight w:val="none"/>
          <w:u w:val="single"/>
        </w:rPr>
        <w:t xml:space="preserve">                                                                                       </w:t>
      </w:r>
    </w:p>
    <w:p w14:paraId="3FB8E8A4">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五、价款或者报酬</w:t>
      </w:r>
    </w:p>
    <w:p w14:paraId="618DEB48">
      <w:pPr>
        <w:snapToGrid w:val="0"/>
        <w:spacing w:line="360" w:lineRule="auto"/>
        <w:ind w:left="573" w:leftChars="273"/>
        <w:rPr>
          <w:rFonts w:ascii="仿宋" w:hAnsi="仿宋" w:eastAsia="仿宋" w:cs="宋体"/>
          <w:color w:val="auto"/>
          <w:kern w:val="0"/>
          <w:sz w:val="24"/>
          <w:highlight w:val="none"/>
          <w:lang w:val="zh-CN"/>
        </w:rPr>
      </w:pPr>
      <w:r>
        <w:rPr>
          <w:rFonts w:hint="eastAsia" w:ascii="仿宋" w:hAnsi="仿宋" w:eastAsia="仿宋" w:cs="宋体"/>
          <w:color w:val="auto"/>
          <w:highlight w:val="none"/>
          <w:u w:val="single"/>
        </w:rPr>
        <w:t xml:space="preserve">                                                                                     </w:t>
      </w:r>
    </w:p>
    <w:p w14:paraId="6022F6BF">
      <w:pPr>
        <w:snapToGrid w:val="0"/>
        <w:spacing w:line="360" w:lineRule="auto"/>
        <w:ind w:left="573" w:leftChars="273"/>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六、违约责任</w:t>
      </w:r>
    </w:p>
    <w:p w14:paraId="5DDF4D44">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highlight w:val="none"/>
          <w:u w:val="single"/>
        </w:rPr>
        <w:t xml:space="preserve">                                                                                     </w:t>
      </w:r>
    </w:p>
    <w:p w14:paraId="19075D00">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七、争议解决的办法</w:t>
      </w:r>
    </w:p>
    <w:p w14:paraId="68C51752">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highlight w:val="none"/>
          <w:u w:val="single"/>
        </w:rPr>
        <w:t xml:space="preserve">                                                                                  </w:t>
      </w:r>
    </w:p>
    <w:p w14:paraId="2468787A">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八、其他</w:t>
      </w:r>
    </w:p>
    <w:p w14:paraId="5DDA7227">
      <w:pPr>
        <w:snapToGrid w:val="0"/>
        <w:spacing w:line="360" w:lineRule="auto"/>
        <w:ind w:left="5758" w:leftChars="342" w:hanging="5040" w:hangingChars="2100"/>
        <w:rPr>
          <w:rFonts w:ascii="仿宋" w:hAnsi="仿宋" w:eastAsia="仿宋" w:cs="宋体"/>
          <w:color w:val="auto"/>
          <w:kern w:val="0"/>
          <w:sz w:val="24"/>
          <w:highlight w:val="none"/>
          <w:lang w:val="zh-CN"/>
        </w:rPr>
      </w:pPr>
      <w:r>
        <w:rPr>
          <w:rFonts w:hint="eastAsia" w:ascii="仿宋" w:hAnsi="仿宋" w:eastAsia="仿宋" w:cs="宋体"/>
          <w:color w:val="auto"/>
          <w:sz w:val="24"/>
          <w:highlight w:val="none"/>
        </w:rPr>
        <w:t>中小企业合同金额达到</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%，小微企业合同金额达到</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w:t>
      </w:r>
      <w:r>
        <w:rPr>
          <w:rFonts w:hint="eastAsia" w:ascii="仿宋" w:hAnsi="仿宋" w:eastAsia="仿宋" w:cs="宋体"/>
          <w:color w:val="auto"/>
          <w:kern w:val="0"/>
          <w:sz w:val="24"/>
          <w:highlight w:val="none"/>
          <w:lang w:val="zh-CN"/>
        </w:rPr>
        <w:t xml:space="preserve">  。                                           投标人名称(电子签名)：</w:t>
      </w:r>
    </w:p>
    <w:p w14:paraId="16D9B384">
      <w:pPr>
        <w:snapToGrid w:val="0"/>
        <w:spacing w:line="360" w:lineRule="auto"/>
        <w:jc w:val="righ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分包供应商名称(电子签名/公章)：</w:t>
      </w:r>
    </w:p>
    <w:p w14:paraId="27657377">
      <w:pPr>
        <w:snapToGrid w:val="0"/>
        <w:spacing w:line="360" w:lineRule="auto"/>
        <w:ind w:firstLine="5760" w:firstLineChars="2400"/>
        <w:rPr>
          <w:rFonts w:ascii="仿宋" w:hAnsi="仿宋" w:eastAsia="仿宋" w:cs="宋体"/>
          <w:color w:val="auto"/>
          <w:highlight w:val="none"/>
        </w:rPr>
      </w:pPr>
      <w:r>
        <w:rPr>
          <w:rFonts w:hint="eastAsia" w:ascii="仿宋" w:hAnsi="仿宋" w:eastAsia="仿宋" w:cs="宋体"/>
          <w:color w:val="auto"/>
          <w:kern w:val="0"/>
          <w:sz w:val="24"/>
          <w:highlight w:val="none"/>
          <w:lang w:val="zh-CN"/>
        </w:rPr>
        <w:t>……</w:t>
      </w:r>
    </w:p>
    <w:p w14:paraId="74846853">
      <w:pPr>
        <w:snapToGrid w:val="0"/>
        <w:spacing w:line="360" w:lineRule="auto"/>
        <w:ind w:left="5758" w:leftChars="342" w:hanging="5040" w:hangingChars="21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日期：  年  月   日</w:t>
      </w:r>
    </w:p>
    <w:p w14:paraId="29745976">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14:paraId="31A97DDC">
      <w:pPr>
        <w:autoSpaceDE w:val="0"/>
        <w:autoSpaceDN w:val="0"/>
        <w:jc w:val="center"/>
        <w:rPr>
          <w:rFonts w:ascii="仿宋" w:hAnsi="仿宋" w:eastAsia="仿宋" w:cs="宋体"/>
          <w:b/>
          <w:color w:val="auto"/>
          <w:spacing w:val="6"/>
          <w:sz w:val="32"/>
          <w:szCs w:val="32"/>
          <w:highlight w:val="none"/>
        </w:rPr>
      </w:pPr>
    </w:p>
    <w:p w14:paraId="0B36EE7D">
      <w:pPr>
        <w:widowControl/>
        <w:adjustRightInd/>
        <w:jc w:val="left"/>
        <w:rPr>
          <w:rFonts w:ascii="仿宋" w:hAnsi="仿宋" w:eastAsia="仿宋" w:cs="宋体"/>
          <w:b/>
          <w:color w:val="auto"/>
          <w:spacing w:val="6"/>
          <w:sz w:val="32"/>
          <w:szCs w:val="32"/>
          <w:highlight w:val="none"/>
        </w:rPr>
      </w:pPr>
      <w:r>
        <w:rPr>
          <w:rFonts w:ascii="仿宋" w:hAnsi="仿宋" w:eastAsia="仿宋" w:cs="宋体"/>
          <w:b/>
          <w:color w:val="auto"/>
          <w:spacing w:val="6"/>
          <w:sz w:val="32"/>
          <w:szCs w:val="32"/>
          <w:highlight w:val="none"/>
        </w:rPr>
        <w:br w:type="page"/>
      </w:r>
    </w:p>
    <w:p w14:paraId="17F9BA56">
      <w:pPr>
        <w:spacing w:line="360" w:lineRule="auto"/>
        <w:jc w:val="left"/>
        <w:outlineLvl w:val="2"/>
        <w:rPr>
          <w:rFonts w:ascii="仿宋" w:hAnsi="仿宋" w:eastAsia="仿宋" w:cs="宋体"/>
          <w:b/>
          <w:color w:val="auto"/>
          <w:sz w:val="36"/>
          <w:szCs w:val="20"/>
          <w:highlight w:val="none"/>
        </w:rPr>
      </w:pPr>
      <w:r>
        <w:rPr>
          <w:rFonts w:hint="eastAsia" w:ascii="仿宋" w:hAnsi="仿宋" w:eastAsia="仿宋" w:cs="宋体"/>
          <w:b/>
          <w:color w:val="auto"/>
          <w:sz w:val="36"/>
          <w:szCs w:val="20"/>
          <w:highlight w:val="none"/>
        </w:rPr>
        <w:t>附件</w:t>
      </w:r>
      <w:r>
        <w:rPr>
          <w:rFonts w:ascii="仿宋" w:hAnsi="仿宋" w:eastAsia="仿宋" w:cs="宋体"/>
          <w:b/>
          <w:color w:val="auto"/>
          <w:sz w:val="36"/>
          <w:szCs w:val="20"/>
          <w:highlight w:val="none"/>
        </w:rPr>
        <w:t>7</w:t>
      </w:r>
      <w:r>
        <w:rPr>
          <w:rFonts w:hint="eastAsia" w:ascii="仿宋" w:hAnsi="仿宋" w:eastAsia="仿宋" w:cs="宋体"/>
          <w:b/>
          <w:color w:val="auto"/>
          <w:sz w:val="36"/>
          <w:szCs w:val="20"/>
          <w:highlight w:val="none"/>
        </w:rPr>
        <w:t>：中小企业声明函</w:t>
      </w:r>
    </w:p>
    <w:p w14:paraId="75251C4E">
      <w:pPr>
        <w:spacing w:line="360" w:lineRule="auto"/>
        <w:jc w:val="center"/>
        <w:rPr>
          <w:rFonts w:ascii="仿宋" w:hAnsi="仿宋" w:eastAsia="仿宋" w:cs="宋体"/>
          <w:b/>
          <w:color w:val="auto"/>
          <w:sz w:val="32"/>
          <w:szCs w:val="32"/>
          <w:highlight w:val="none"/>
        </w:rPr>
      </w:pPr>
      <w:r>
        <w:rPr>
          <w:rFonts w:hint="eastAsia" w:ascii="仿宋" w:hAnsi="仿宋" w:eastAsia="仿宋" w:cs="宋体"/>
          <w:b/>
          <w:color w:val="auto"/>
          <w:sz w:val="32"/>
          <w:szCs w:val="32"/>
          <w:highlight w:val="none"/>
        </w:rPr>
        <w:t>中小企业声明函（</w:t>
      </w:r>
      <w:r>
        <w:rPr>
          <w:rFonts w:hint="eastAsia" w:ascii="仿宋" w:hAnsi="仿宋" w:eastAsia="仿宋" w:cs="宋体"/>
          <w:b/>
          <w:color w:val="auto"/>
          <w:sz w:val="32"/>
          <w:szCs w:val="32"/>
          <w:highlight w:val="none"/>
          <w:lang w:val="en-US" w:eastAsia="zh-CN"/>
        </w:rPr>
        <w:t>货物</w:t>
      </w:r>
      <w:r>
        <w:rPr>
          <w:rFonts w:hint="eastAsia" w:ascii="仿宋" w:hAnsi="仿宋" w:eastAsia="仿宋" w:cs="宋体"/>
          <w:b/>
          <w:color w:val="auto"/>
          <w:sz w:val="32"/>
          <w:szCs w:val="32"/>
          <w:highlight w:val="none"/>
        </w:rPr>
        <w:t>）</w:t>
      </w:r>
    </w:p>
    <w:p w14:paraId="4812F97D">
      <w:pPr>
        <w:spacing w:line="360" w:lineRule="auto"/>
        <w:ind w:firstLine="360" w:firstLineChars="150"/>
        <w:jc w:val="left"/>
        <w:rPr>
          <w:rFonts w:ascii="仿宋" w:hAnsi="仿宋" w:eastAsia="仿宋" w:cs="宋体"/>
          <w:color w:val="auto"/>
          <w:sz w:val="24"/>
          <w:highlight w:val="none"/>
        </w:rPr>
      </w:pPr>
      <w:r>
        <w:rPr>
          <w:rFonts w:hint="eastAsia" w:ascii="仿宋" w:hAnsi="仿宋" w:eastAsia="仿宋" w:cs="宋体"/>
          <w:color w:val="auto"/>
          <w:sz w:val="24"/>
          <w:highlight w:val="none"/>
        </w:rPr>
        <w:t>本公司（联合体）郑重声明，根据《政府采购促进中小企业发展管理办法》（财库﹝2020﹞46 号）的规定，本公司（联合体）参加</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u w:val="single"/>
          <w:lang w:eastAsia="zh-CN"/>
        </w:rPr>
        <w:t>杭州市生态环境局拱墅分局</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的</w:t>
      </w:r>
      <w:r>
        <w:rPr>
          <w:rFonts w:hint="eastAsia" w:ascii="仿宋" w:hAnsi="仿宋" w:eastAsia="仿宋" w:cs="宋体"/>
          <w:color w:val="auto"/>
          <w:sz w:val="24"/>
          <w:highlight w:val="none"/>
          <w:u w:val="single"/>
        </w:rPr>
        <w:t xml:space="preserve"> “清净”拱墅多污染协同管控工程建设项目 </w:t>
      </w:r>
      <w:r>
        <w:rPr>
          <w:rFonts w:hint="eastAsia" w:ascii="仿宋" w:hAnsi="仿宋" w:eastAsia="仿宋" w:cs="宋体"/>
          <w:color w:val="auto"/>
          <w:sz w:val="24"/>
          <w:highlight w:val="none"/>
        </w:rPr>
        <w:t>采购活动，提供的货物全部由符合政策要求的中小企业制造。相关企业（含联合体中的中小企业、签订分包意向协议的中小企业）的具体情况如下：</w:t>
      </w:r>
    </w:p>
    <w:p w14:paraId="3EBABDD4">
      <w:pPr>
        <w:numPr>
          <w:ilvl w:val="0"/>
          <w:numId w:val="17"/>
        </w:numPr>
        <w:spacing w:line="360" w:lineRule="auto"/>
        <w:ind w:firstLine="480" w:firstLineChars="200"/>
        <w:jc w:val="left"/>
        <w:rPr>
          <w:rFonts w:hint="eastAsia" w:ascii="仿宋" w:hAnsi="仿宋" w:eastAsia="仿宋" w:cs="宋体"/>
          <w:color w:val="auto"/>
          <w:sz w:val="24"/>
          <w:highlight w:val="none"/>
        </w:rPr>
      </w:pPr>
      <w:r>
        <w:rPr>
          <w:rFonts w:hint="eastAsia" w:ascii="仿宋" w:hAnsi="仿宋" w:eastAsia="仿宋" w:cs="宋体"/>
          <w:color w:val="auto"/>
          <w:kern w:val="0"/>
          <w:sz w:val="24"/>
          <w:highlight w:val="none"/>
          <w:u w:val="single"/>
        </w:rPr>
        <w:t>3D微气象调控系统</w:t>
      </w:r>
      <w:r>
        <w:rPr>
          <w:rFonts w:hint="eastAsia" w:ascii="仿宋" w:hAnsi="仿宋" w:eastAsia="仿宋" w:cs="宋体"/>
          <w:color w:val="auto"/>
          <w:sz w:val="24"/>
          <w:highlight w:val="none"/>
        </w:rPr>
        <w:t>，属于</w:t>
      </w:r>
      <w:r>
        <w:rPr>
          <w:rFonts w:hint="eastAsia" w:ascii="仿宋" w:hAnsi="仿宋" w:eastAsia="仿宋" w:cs="宋体"/>
          <w:color w:val="auto"/>
          <w:sz w:val="24"/>
          <w:highlight w:val="none"/>
          <w:u w:val="single"/>
        </w:rPr>
        <w:t xml:space="preserve"> 工业</w:t>
      </w:r>
      <w:r>
        <w:rPr>
          <w:rFonts w:hint="eastAsia" w:ascii="仿宋" w:hAnsi="仿宋" w:eastAsia="仿宋" w:cs="宋体"/>
          <w:color w:val="auto"/>
          <w:sz w:val="24"/>
          <w:highlight w:val="none"/>
        </w:rPr>
        <w:t xml:space="preserve"> ；</w:t>
      </w:r>
      <w:r>
        <w:rPr>
          <w:rFonts w:hint="eastAsia" w:ascii="仿宋" w:hAnsi="仿宋" w:eastAsia="仿宋" w:cs="仿宋"/>
          <w:iCs/>
          <w:color w:val="auto"/>
          <w:sz w:val="24"/>
          <w:highlight w:val="none"/>
        </w:rPr>
        <w:t>制造商为</w:t>
      </w:r>
      <w:r>
        <w:rPr>
          <w:rFonts w:hint="eastAsia" w:ascii="仿宋" w:hAnsi="仿宋" w:eastAsia="仿宋" w:cs="仿宋"/>
          <w:iCs/>
          <w:color w:val="auto"/>
          <w:sz w:val="24"/>
          <w:highlight w:val="none"/>
          <w:u w:val="single"/>
        </w:rPr>
        <w:t>（企业名称）</w:t>
      </w:r>
      <w:r>
        <w:rPr>
          <w:rFonts w:hint="eastAsia" w:ascii="仿宋" w:hAnsi="仿宋" w:eastAsia="仿宋" w:cs="仿宋"/>
          <w:iCs/>
          <w:color w:val="auto"/>
          <w:sz w:val="24"/>
          <w:highlight w:val="none"/>
        </w:rPr>
        <w:t>，从业人员</w:t>
      </w:r>
      <w:r>
        <w:rPr>
          <w:rFonts w:hint="eastAsia" w:ascii="仿宋" w:hAnsi="仿宋" w:eastAsia="仿宋" w:cs="仿宋"/>
          <w:iCs/>
          <w:color w:val="auto"/>
          <w:sz w:val="24"/>
          <w:highlight w:val="none"/>
          <w:u w:val="single"/>
        </w:rPr>
        <w:t xml:space="preserve"> </w:t>
      </w:r>
      <w:r>
        <w:rPr>
          <w:rFonts w:hint="eastAsia" w:ascii="仿宋" w:hAnsi="仿宋" w:eastAsia="仿宋" w:cs="仿宋"/>
          <w:iCs/>
          <w:color w:val="auto"/>
          <w:sz w:val="24"/>
          <w:highlight w:val="none"/>
          <w:u w:val="single"/>
        </w:rPr>
        <w:tab/>
      </w:r>
      <w:r>
        <w:rPr>
          <w:rFonts w:hint="eastAsia" w:ascii="仿宋" w:hAnsi="仿宋" w:eastAsia="仿宋" w:cs="仿宋"/>
          <w:iCs/>
          <w:color w:val="auto"/>
          <w:sz w:val="24"/>
          <w:highlight w:val="none"/>
        </w:rPr>
        <w:t>人，营业收入为</w:t>
      </w:r>
      <w:r>
        <w:rPr>
          <w:rFonts w:hint="eastAsia" w:ascii="仿宋" w:hAnsi="仿宋" w:eastAsia="仿宋" w:cs="仿宋"/>
          <w:iCs/>
          <w:color w:val="auto"/>
          <w:sz w:val="24"/>
          <w:highlight w:val="none"/>
          <w:u w:val="single"/>
        </w:rPr>
        <w:t xml:space="preserve"> </w:t>
      </w:r>
      <w:r>
        <w:rPr>
          <w:rFonts w:hint="eastAsia" w:ascii="仿宋" w:hAnsi="仿宋" w:eastAsia="仿宋" w:cs="仿宋"/>
          <w:iCs/>
          <w:color w:val="auto"/>
          <w:sz w:val="24"/>
          <w:highlight w:val="none"/>
          <w:u w:val="single"/>
        </w:rPr>
        <w:tab/>
      </w:r>
      <w:r>
        <w:rPr>
          <w:rFonts w:hint="eastAsia" w:ascii="仿宋" w:hAnsi="仿宋" w:eastAsia="仿宋" w:cs="仿宋"/>
          <w:iCs/>
          <w:color w:val="auto"/>
          <w:sz w:val="24"/>
          <w:highlight w:val="none"/>
        </w:rPr>
        <w:t>万元，资产总额为</w:t>
      </w:r>
      <w:r>
        <w:rPr>
          <w:rFonts w:hint="eastAsia" w:ascii="仿宋" w:hAnsi="仿宋" w:eastAsia="仿宋" w:cs="仿宋"/>
          <w:iCs/>
          <w:color w:val="auto"/>
          <w:sz w:val="24"/>
          <w:highlight w:val="none"/>
          <w:u w:val="single"/>
        </w:rPr>
        <w:t xml:space="preserve"> </w:t>
      </w:r>
      <w:r>
        <w:rPr>
          <w:rFonts w:hint="eastAsia" w:ascii="仿宋" w:hAnsi="仿宋" w:eastAsia="仿宋" w:cs="仿宋"/>
          <w:iCs/>
          <w:color w:val="auto"/>
          <w:sz w:val="24"/>
          <w:highlight w:val="none"/>
          <w:u w:val="single"/>
        </w:rPr>
        <w:tab/>
      </w:r>
      <w:r>
        <w:rPr>
          <w:rFonts w:hint="eastAsia" w:ascii="仿宋" w:hAnsi="仿宋" w:eastAsia="仿宋" w:cs="仿宋"/>
          <w:iCs/>
          <w:color w:val="auto"/>
          <w:sz w:val="24"/>
          <w:highlight w:val="none"/>
        </w:rPr>
        <w:t>万元，属于</w:t>
      </w:r>
      <w:r>
        <w:rPr>
          <w:rFonts w:hint="eastAsia" w:ascii="仿宋" w:hAnsi="仿宋" w:eastAsia="仿宋" w:cs="仿宋"/>
          <w:iCs/>
          <w:color w:val="auto"/>
          <w:sz w:val="24"/>
          <w:highlight w:val="none"/>
          <w:u w:val="single"/>
        </w:rPr>
        <w:t>（中型企业、小型企业、微型企业）</w:t>
      </w:r>
      <w:r>
        <w:rPr>
          <w:rFonts w:hint="eastAsia" w:ascii="仿宋" w:hAnsi="仿宋" w:eastAsia="仿宋" w:cs="宋体"/>
          <w:color w:val="auto"/>
          <w:sz w:val="24"/>
          <w:highlight w:val="none"/>
        </w:rPr>
        <w:t>；</w:t>
      </w:r>
    </w:p>
    <w:p w14:paraId="5F8C9AB7">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hint="eastAsia" w:ascii="仿宋" w:hAnsi="仿宋" w:eastAsia="仿宋" w:cs="宋体"/>
          <w:color w:val="auto"/>
          <w:highlight w:val="none"/>
        </w:rPr>
        <w:t xml:space="preserve"> </w:t>
      </w:r>
      <w:r>
        <w:rPr>
          <w:rFonts w:hint="eastAsia" w:ascii="仿宋" w:hAnsi="仿宋" w:eastAsia="仿宋" w:cs="宋体"/>
          <w:color w:val="auto"/>
          <w:kern w:val="0"/>
          <w:sz w:val="24"/>
          <w:highlight w:val="none"/>
          <w:u w:val="single"/>
        </w:rPr>
        <w:t>颗粒物激光雷达</w:t>
      </w:r>
      <w:r>
        <w:rPr>
          <w:rFonts w:hint="eastAsia" w:ascii="仿宋" w:hAnsi="仿宋" w:eastAsia="仿宋" w:cs="宋体"/>
          <w:color w:val="auto"/>
          <w:sz w:val="24"/>
          <w:highlight w:val="none"/>
        </w:rPr>
        <w:t>，属于</w:t>
      </w:r>
      <w:r>
        <w:rPr>
          <w:rFonts w:hint="eastAsia" w:ascii="仿宋" w:hAnsi="仿宋" w:eastAsia="仿宋" w:cs="宋体"/>
          <w:color w:val="auto"/>
          <w:sz w:val="24"/>
          <w:highlight w:val="none"/>
          <w:u w:val="single"/>
        </w:rPr>
        <w:t xml:space="preserve"> 工业</w:t>
      </w:r>
      <w:r>
        <w:rPr>
          <w:rFonts w:hint="eastAsia" w:ascii="仿宋" w:hAnsi="仿宋" w:eastAsia="仿宋" w:cs="宋体"/>
          <w:color w:val="auto"/>
          <w:sz w:val="24"/>
          <w:highlight w:val="none"/>
        </w:rPr>
        <w:t xml:space="preserve"> ；</w:t>
      </w:r>
      <w:r>
        <w:rPr>
          <w:rFonts w:hint="eastAsia" w:ascii="仿宋" w:hAnsi="仿宋" w:eastAsia="仿宋" w:cs="仿宋"/>
          <w:iCs/>
          <w:color w:val="auto"/>
          <w:sz w:val="24"/>
          <w:highlight w:val="none"/>
        </w:rPr>
        <w:t>制造商为</w:t>
      </w:r>
      <w:r>
        <w:rPr>
          <w:rFonts w:hint="eastAsia" w:ascii="仿宋" w:hAnsi="仿宋" w:eastAsia="仿宋" w:cs="仿宋"/>
          <w:iCs/>
          <w:color w:val="auto"/>
          <w:sz w:val="24"/>
          <w:highlight w:val="none"/>
          <w:u w:val="single"/>
        </w:rPr>
        <w:t>（企业名称）</w:t>
      </w:r>
      <w:r>
        <w:rPr>
          <w:rFonts w:hint="eastAsia" w:ascii="仿宋" w:hAnsi="仿宋" w:eastAsia="仿宋" w:cs="仿宋"/>
          <w:iCs/>
          <w:color w:val="auto"/>
          <w:sz w:val="24"/>
          <w:highlight w:val="none"/>
        </w:rPr>
        <w:t>，从业人员</w:t>
      </w:r>
      <w:r>
        <w:rPr>
          <w:rFonts w:hint="eastAsia" w:ascii="仿宋" w:hAnsi="仿宋" w:eastAsia="仿宋" w:cs="仿宋"/>
          <w:iCs/>
          <w:color w:val="auto"/>
          <w:sz w:val="24"/>
          <w:highlight w:val="none"/>
          <w:u w:val="single"/>
        </w:rPr>
        <w:t xml:space="preserve"> </w:t>
      </w:r>
      <w:r>
        <w:rPr>
          <w:rFonts w:hint="eastAsia" w:ascii="仿宋" w:hAnsi="仿宋" w:eastAsia="仿宋" w:cs="仿宋"/>
          <w:iCs/>
          <w:color w:val="auto"/>
          <w:sz w:val="24"/>
          <w:highlight w:val="none"/>
          <w:u w:val="single"/>
        </w:rPr>
        <w:tab/>
      </w:r>
      <w:r>
        <w:rPr>
          <w:rFonts w:hint="eastAsia" w:ascii="仿宋" w:hAnsi="仿宋" w:eastAsia="仿宋" w:cs="仿宋"/>
          <w:iCs/>
          <w:color w:val="auto"/>
          <w:sz w:val="24"/>
          <w:highlight w:val="none"/>
        </w:rPr>
        <w:t>人，营业收入为</w:t>
      </w:r>
      <w:r>
        <w:rPr>
          <w:rFonts w:hint="eastAsia" w:ascii="仿宋" w:hAnsi="仿宋" w:eastAsia="仿宋" w:cs="仿宋"/>
          <w:iCs/>
          <w:color w:val="auto"/>
          <w:sz w:val="24"/>
          <w:highlight w:val="none"/>
          <w:u w:val="single"/>
        </w:rPr>
        <w:t xml:space="preserve"> </w:t>
      </w:r>
      <w:r>
        <w:rPr>
          <w:rFonts w:hint="eastAsia" w:ascii="仿宋" w:hAnsi="仿宋" w:eastAsia="仿宋" w:cs="仿宋"/>
          <w:iCs/>
          <w:color w:val="auto"/>
          <w:sz w:val="24"/>
          <w:highlight w:val="none"/>
          <w:u w:val="single"/>
        </w:rPr>
        <w:tab/>
      </w:r>
      <w:r>
        <w:rPr>
          <w:rFonts w:hint="eastAsia" w:ascii="仿宋" w:hAnsi="仿宋" w:eastAsia="仿宋" w:cs="仿宋"/>
          <w:iCs/>
          <w:color w:val="auto"/>
          <w:sz w:val="24"/>
          <w:highlight w:val="none"/>
        </w:rPr>
        <w:t>万元，资产总额为</w:t>
      </w:r>
      <w:r>
        <w:rPr>
          <w:rFonts w:hint="eastAsia" w:ascii="仿宋" w:hAnsi="仿宋" w:eastAsia="仿宋" w:cs="仿宋"/>
          <w:iCs/>
          <w:color w:val="auto"/>
          <w:sz w:val="24"/>
          <w:highlight w:val="none"/>
          <w:u w:val="single"/>
        </w:rPr>
        <w:t xml:space="preserve"> </w:t>
      </w:r>
      <w:r>
        <w:rPr>
          <w:rFonts w:hint="eastAsia" w:ascii="仿宋" w:hAnsi="仿宋" w:eastAsia="仿宋" w:cs="仿宋"/>
          <w:iCs/>
          <w:color w:val="auto"/>
          <w:sz w:val="24"/>
          <w:highlight w:val="none"/>
          <w:u w:val="single"/>
        </w:rPr>
        <w:tab/>
      </w:r>
      <w:r>
        <w:rPr>
          <w:rFonts w:hint="eastAsia" w:ascii="仿宋" w:hAnsi="仿宋" w:eastAsia="仿宋" w:cs="仿宋"/>
          <w:iCs/>
          <w:color w:val="auto"/>
          <w:sz w:val="24"/>
          <w:highlight w:val="none"/>
        </w:rPr>
        <w:t>万元，属于</w:t>
      </w:r>
      <w:r>
        <w:rPr>
          <w:rFonts w:hint="eastAsia" w:ascii="仿宋" w:hAnsi="仿宋" w:eastAsia="仿宋" w:cs="仿宋"/>
          <w:iCs/>
          <w:color w:val="auto"/>
          <w:sz w:val="24"/>
          <w:highlight w:val="none"/>
          <w:u w:val="single"/>
        </w:rPr>
        <w:t>（中型企业、小型企业、微型企业）</w:t>
      </w:r>
      <w:r>
        <w:rPr>
          <w:rFonts w:hint="eastAsia" w:ascii="仿宋" w:hAnsi="仿宋" w:eastAsia="仿宋" w:cs="宋体"/>
          <w:color w:val="auto"/>
          <w:sz w:val="24"/>
          <w:highlight w:val="none"/>
        </w:rPr>
        <w:t>；</w:t>
      </w:r>
    </w:p>
    <w:p w14:paraId="09E8C7ED">
      <w:pPr>
        <w:pStyle w:val="15"/>
        <w:rPr>
          <w:color w:val="auto"/>
          <w:highlight w:val="none"/>
        </w:rPr>
      </w:pPr>
    </w:p>
    <w:p w14:paraId="53211838">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w:t>
      </w:r>
    </w:p>
    <w:p w14:paraId="3C30820B">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以上企业，不属于大企业的分支机构，不存在控股股东为大企业的情形，也不存在与大企业的负责人为同一人的情形。</w:t>
      </w:r>
    </w:p>
    <w:p w14:paraId="11E225D0">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本企业对上述声明内容的真实性负责。如有虚假，将依法承担相应责任。</w:t>
      </w:r>
    </w:p>
    <w:p w14:paraId="1F71FF27">
      <w:pPr>
        <w:spacing w:line="360" w:lineRule="auto"/>
        <w:ind w:right="1760"/>
        <w:jc w:val="right"/>
        <w:rPr>
          <w:rFonts w:ascii="仿宋" w:hAnsi="仿宋" w:eastAsia="仿宋" w:cs="宋体"/>
          <w:color w:val="auto"/>
          <w:sz w:val="24"/>
          <w:highlight w:val="none"/>
        </w:rPr>
      </w:pPr>
      <w:r>
        <w:rPr>
          <w:rFonts w:hint="eastAsia" w:ascii="仿宋" w:hAnsi="仿宋" w:eastAsia="仿宋" w:cs="宋体"/>
          <w:color w:val="auto"/>
          <w:sz w:val="24"/>
          <w:highlight w:val="none"/>
        </w:rPr>
        <w:t>投标人名称（电子签名）：</w:t>
      </w:r>
    </w:p>
    <w:p w14:paraId="6C113BE8">
      <w:pPr>
        <w:spacing w:line="360" w:lineRule="auto"/>
        <w:ind w:right="1120" w:firstLine="4680" w:firstLineChars="1950"/>
        <w:rPr>
          <w:rFonts w:ascii="仿宋" w:hAnsi="仿宋" w:eastAsia="仿宋" w:cs="宋体"/>
          <w:color w:val="auto"/>
          <w:sz w:val="24"/>
          <w:highlight w:val="none"/>
        </w:rPr>
      </w:pPr>
      <w:r>
        <w:rPr>
          <w:rFonts w:hint="eastAsia" w:ascii="仿宋" w:hAnsi="仿宋" w:eastAsia="仿宋" w:cs="宋体"/>
          <w:color w:val="auto"/>
          <w:sz w:val="24"/>
          <w:highlight w:val="none"/>
        </w:rPr>
        <w:t>日 期：</w:t>
      </w:r>
    </w:p>
    <w:p w14:paraId="179AD5F6">
      <w:pPr>
        <w:spacing w:line="360" w:lineRule="auto"/>
        <w:jc w:val="center"/>
        <w:rPr>
          <w:rFonts w:ascii="仿宋" w:hAnsi="仿宋" w:eastAsia="仿宋" w:cs="宋体"/>
          <w:color w:val="auto"/>
          <w:sz w:val="24"/>
          <w:highlight w:val="none"/>
          <w:u w:val="single"/>
        </w:rPr>
      </w:pPr>
    </w:p>
    <w:p w14:paraId="6085A50D">
      <w:pPr>
        <w:spacing w:line="360" w:lineRule="auto"/>
        <w:ind w:right="420"/>
        <w:rPr>
          <w:rFonts w:ascii="仿宋" w:hAnsi="仿宋" w:eastAsia="仿宋" w:cs="宋体"/>
          <w:color w:val="auto"/>
          <w:sz w:val="24"/>
          <w:highlight w:val="none"/>
        </w:rPr>
      </w:pPr>
    </w:p>
    <w:p w14:paraId="7DD61167">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 xml:space="preserve">   注：</w:t>
      </w:r>
    </w:p>
    <w:p w14:paraId="39E06C02">
      <w:pPr>
        <w:spacing w:line="360" w:lineRule="auto"/>
        <w:ind w:right="420" w:firstLine="480" w:firstLineChars="200"/>
        <w:rPr>
          <w:rFonts w:ascii="仿宋" w:hAnsi="仿宋" w:eastAsia="仿宋" w:cs="宋体"/>
          <w:b/>
          <w:bCs/>
          <w:color w:val="auto"/>
          <w:sz w:val="24"/>
          <w:highlight w:val="none"/>
          <w:u w:val="single"/>
        </w:rPr>
      </w:pPr>
      <w:r>
        <w:rPr>
          <w:rFonts w:hint="eastAsia" w:ascii="仿宋" w:hAnsi="仿宋" w:eastAsia="仿宋" w:cs="宋体"/>
          <w:color w:val="auto"/>
          <w:sz w:val="24"/>
          <w:highlight w:val="none"/>
        </w:rPr>
        <w:t>1、填写要求：</w:t>
      </w:r>
      <w:r>
        <w:rPr>
          <w:rFonts w:hint="eastAsia" w:ascii="仿宋" w:hAnsi="仿宋" w:eastAsia="仿宋" w:cs="宋体"/>
          <w:b/>
          <w:bCs/>
          <w:color w:val="auto"/>
          <w:sz w:val="24"/>
          <w:highlight w:val="none"/>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r>
        <w:rPr>
          <w:rFonts w:hint="eastAsia" w:ascii="仿宋" w:hAnsi="仿宋" w:eastAsia="仿宋" w:cs="宋体"/>
          <w:b/>
          <w:bCs/>
          <w:color w:val="auto"/>
          <w:sz w:val="24"/>
          <w:highlight w:val="none"/>
          <w:lang w:val="en-US" w:eastAsia="zh-CN"/>
        </w:rPr>
        <w:t>③</w:t>
      </w:r>
      <w:r>
        <w:rPr>
          <w:rFonts w:hint="eastAsia" w:ascii="仿宋" w:hAnsi="仿宋" w:eastAsia="仿宋" w:cs="宋体"/>
          <w:b/>
          <w:bCs/>
          <w:color w:val="auto"/>
          <w:sz w:val="24"/>
          <w:highlight w:val="none"/>
        </w:rPr>
        <w:t>《中小企业声明函》</w:t>
      </w:r>
      <w:r>
        <w:rPr>
          <w:rFonts w:hint="eastAsia" w:ascii="仿宋" w:hAnsi="仿宋" w:eastAsia="仿宋" w:cs="宋体"/>
          <w:b/>
          <w:bCs/>
          <w:color w:val="auto"/>
          <w:sz w:val="24"/>
          <w:highlight w:val="none"/>
          <w:lang w:val="en-US" w:eastAsia="zh-CN"/>
        </w:rPr>
        <w:t>因</w:t>
      </w:r>
      <w:r>
        <w:rPr>
          <w:rFonts w:hint="eastAsia" w:ascii="仿宋" w:hAnsi="仿宋" w:eastAsia="仿宋" w:cs="宋体"/>
          <w:b/>
          <w:bCs/>
          <w:color w:val="auto"/>
          <w:sz w:val="24"/>
          <w:highlight w:val="none"/>
        </w:rPr>
        <w:t>填写</w:t>
      </w:r>
      <w:r>
        <w:rPr>
          <w:rFonts w:hint="eastAsia" w:ascii="仿宋" w:hAnsi="仿宋" w:eastAsia="仿宋" w:cs="宋体"/>
          <w:b/>
          <w:bCs/>
          <w:color w:val="auto"/>
          <w:sz w:val="24"/>
          <w:highlight w:val="none"/>
          <w:lang w:val="en-US" w:eastAsia="zh-CN"/>
        </w:rPr>
        <w:t>内容</w:t>
      </w:r>
      <w:r>
        <w:rPr>
          <w:rFonts w:hint="eastAsia" w:ascii="仿宋" w:hAnsi="仿宋" w:eastAsia="仿宋" w:cs="宋体"/>
          <w:b/>
          <w:bCs/>
          <w:color w:val="auto"/>
          <w:sz w:val="24"/>
          <w:highlight w:val="none"/>
        </w:rPr>
        <w:t>错误，</w:t>
      </w:r>
      <w:r>
        <w:rPr>
          <w:rFonts w:hint="eastAsia" w:ascii="仿宋" w:hAnsi="仿宋" w:eastAsia="仿宋" w:cs="宋体"/>
          <w:b/>
          <w:bCs/>
          <w:color w:val="auto"/>
          <w:sz w:val="24"/>
          <w:highlight w:val="none"/>
          <w:lang w:val="en-US" w:eastAsia="zh-CN"/>
        </w:rPr>
        <w:t>而</w:t>
      </w:r>
      <w:r>
        <w:rPr>
          <w:rFonts w:hint="eastAsia" w:ascii="仿宋" w:hAnsi="仿宋" w:eastAsia="仿宋" w:cs="宋体"/>
          <w:b/>
          <w:bCs/>
          <w:color w:val="auto"/>
          <w:sz w:val="24"/>
          <w:highlight w:val="none"/>
        </w:rPr>
        <w:t>导致该企业享受本不能享受的中小企业扶持政策</w:t>
      </w:r>
      <w:r>
        <w:rPr>
          <w:rFonts w:hint="eastAsia" w:ascii="仿宋" w:hAnsi="仿宋" w:eastAsia="仿宋" w:cs="宋体"/>
          <w:b/>
          <w:bCs/>
          <w:color w:val="auto"/>
          <w:sz w:val="24"/>
          <w:highlight w:val="none"/>
          <w:lang w:eastAsia="zh-CN"/>
        </w:rPr>
        <w:t>的，</w:t>
      </w:r>
      <w:r>
        <w:rPr>
          <w:rFonts w:hint="eastAsia" w:ascii="仿宋" w:hAnsi="仿宋" w:eastAsia="仿宋" w:cs="宋体"/>
          <w:b/>
          <w:bCs/>
          <w:color w:val="auto"/>
          <w:sz w:val="24"/>
          <w:highlight w:val="none"/>
          <w:lang w:val="en-US" w:eastAsia="zh-CN"/>
        </w:rPr>
        <w:t>声明函无效</w:t>
      </w:r>
      <w:r>
        <w:rPr>
          <w:rFonts w:hint="eastAsia" w:ascii="仿宋" w:hAnsi="仿宋" w:eastAsia="仿宋" w:cs="宋体"/>
          <w:b/>
          <w:bCs/>
          <w:color w:val="auto"/>
          <w:sz w:val="24"/>
          <w:highlight w:val="none"/>
        </w:rPr>
        <w:t>。</w:t>
      </w:r>
    </w:p>
    <w:p w14:paraId="2D327C1C">
      <w:pPr>
        <w:spacing w:line="360" w:lineRule="auto"/>
        <w:ind w:right="420" w:firstLine="720" w:firstLineChars="300"/>
        <w:rPr>
          <w:rFonts w:ascii="仿宋" w:hAnsi="仿宋" w:eastAsia="仿宋" w:cs="宋体"/>
          <w:color w:val="auto"/>
          <w:sz w:val="24"/>
          <w:highlight w:val="none"/>
        </w:rPr>
      </w:pPr>
      <w:r>
        <w:rPr>
          <w:rFonts w:hint="eastAsia" w:ascii="仿宋" w:hAnsi="仿宋" w:eastAsia="仿宋"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9872029">
      <w:pPr>
        <w:spacing w:line="360" w:lineRule="auto"/>
        <w:ind w:right="420"/>
        <w:rPr>
          <w:color w:val="auto"/>
          <w:highlight w:val="none"/>
        </w:rPr>
      </w:pPr>
    </w:p>
    <w:p w14:paraId="4B00E464">
      <w:pPr>
        <w:pStyle w:val="2"/>
        <w:rPr>
          <w:color w:val="auto"/>
          <w:highlight w:val="none"/>
        </w:rPr>
      </w:pPr>
    </w:p>
    <w:p w14:paraId="70652C38">
      <w:pPr>
        <w:pStyle w:val="3"/>
        <w:rPr>
          <w:color w:val="auto"/>
          <w:highlight w:val="none"/>
        </w:rPr>
      </w:pPr>
    </w:p>
    <w:p w14:paraId="3FE3A0DB">
      <w:pPr>
        <w:rPr>
          <w:color w:val="auto"/>
          <w:highlight w:val="none"/>
        </w:rPr>
      </w:pPr>
    </w:p>
    <w:p w14:paraId="7796F92B">
      <w:pPr>
        <w:pStyle w:val="2"/>
        <w:rPr>
          <w:color w:val="auto"/>
          <w:highlight w:val="none"/>
        </w:rPr>
      </w:pPr>
    </w:p>
    <w:p w14:paraId="50BCB00E">
      <w:pPr>
        <w:pStyle w:val="3"/>
        <w:rPr>
          <w:color w:val="auto"/>
          <w:highlight w:val="none"/>
        </w:rPr>
      </w:pPr>
    </w:p>
    <w:p w14:paraId="651DA8D3">
      <w:pPr>
        <w:rPr>
          <w:color w:val="auto"/>
          <w:highlight w:val="none"/>
        </w:rPr>
      </w:pPr>
    </w:p>
    <w:p w14:paraId="001C1E6D">
      <w:pPr>
        <w:pStyle w:val="2"/>
        <w:rPr>
          <w:color w:val="auto"/>
          <w:highlight w:val="none"/>
        </w:rPr>
      </w:pPr>
    </w:p>
    <w:p w14:paraId="71C6932F">
      <w:pPr>
        <w:pStyle w:val="3"/>
        <w:rPr>
          <w:color w:val="auto"/>
          <w:highlight w:val="none"/>
        </w:rPr>
      </w:pPr>
    </w:p>
    <w:p w14:paraId="68BF56C0">
      <w:pPr>
        <w:rPr>
          <w:color w:val="auto"/>
          <w:highlight w:val="none"/>
        </w:rPr>
      </w:pPr>
    </w:p>
    <w:p w14:paraId="78827B44">
      <w:pPr>
        <w:pStyle w:val="2"/>
        <w:rPr>
          <w:color w:val="auto"/>
          <w:highlight w:val="none"/>
        </w:rPr>
      </w:pPr>
    </w:p>
    <w:p w14:paraId="6F7C7239">
      <w:pPr>
        <w:pStyle w:val="3"/>
        <w:rPr>
          <w:color w:val="auto"/>
          <w:highlight w:val="none"/>
        </w:rPr>
      </w:pPr>
    </w:p>
    <w:p w14:paraId="49E557F3">
      <w:pPr>
        <w:rPr>
          <w:color w:val="auto"/>
          <w:highlight w:val="none"/>
        </w:rPr>
      </w:pPr>
    </w:p>
    <w:p w14:paraId="7E923E32">
      <w:pPr>
        <w:pStyle w:val="2"/>
        <w:rPr>
          <w:color w:val="auto"/>
          <w:highlight w:val="none"/>
        </w:rPr>
      </w:pPr>
    </w:p>
    <w:p w14:paraId="5162D75B">
      <w:pPr>
        <w:pStyle w:val="3"/>
        <w:rPr>
          <w:color w:val="auto"/>
          <w:highlight w:val="none"/>
        </w:rPr>
      </w:pPr>
    </w:p>
    <w:p w14:paraId="4BF59AD6">
      <w:pPr>
        <w:rPr>
          <w:color w:val="auto"/>
          <w:highlight w:val="none"/>
        </w:rPr>
      </w:pPr>
    </w:p>
    <w:p w14:paraId="7E541368">
      <w:pPr>
        <w:pStyle w:val="2"/>
        <w:rPr>
          <w:color w:val="auto"/>
          <w:highlight w:val="none"/>
        </w:rPr>
      </w:pPr>
    </w:p>
    <w:p w14:paraId="15CAC38A">
      <w:pPr>
        <w:pStyle w:val="3"/>
        <w:rPr>
          <w:color w:val="auto"/>
          <w:highlight w:val="none"/>
        </w:rPr>
      </w:pPr>
    </w:p>
    <w:p w14:paraId="3ED9C3F4">
      <w:pPr>
        <w:rPr>
          <w:color w:val="auto"/>
          <w:highlight w:val="none"/>
        </w:rPr>
      </w:pPr>
    </w:p>
    <w:p w14:paraId="0918CEBB">
      <w:pPr>
        <w:pStyle w:val="2"/>
        <w:rPr>
          <w:color w:val="auto"/>
          <w:highlight w:val="none"/>
        </w:rPr>
      </w:pPr>
    </w:p>
    <w:p w14:paraId="4EE9119C">
      <w:pPr>
        <w:pStyle w:val="3"/>
        <w:rPr>
          <w:color w:val="auto"/>
          <w:highlight w:val="none"/>
        </w:rPr>
      </w:pPr>
    </w:p>
    <w:p w14:paraId="4E62A897">
      <w:pPr>
        <w:rPr>
          <w:color w:val="auto"/>
          <w:highlight w:val="none"/>
        </w:rPr>
      </w:pPr>
    </w:p>
    <w:p w14:paraId="4548F6C6">
      <w:pPr>
        <w:pStyle w:val="2"/>
        <w:rPr>
          <w:color w:val="auto"/>
          <w:highlight w:val="none"/>
        </w:rPr>
      </w:pPr>
    </w:p>
    <w:p w14:paraId="24A7E6A7">
      <w:pPr>
        <w:pStyle w:val="3"/>
        <w:rPr>
          <w:color w:val="auto"/>
          <w:highlight w:val="none"/>
        </w:rPr>
      </w:pPr>
    </w:p>
    <w:p w14:paraId="635111F3">
      <w:pPr>
        <w:rPr>
          <w:color w:val="auto"/>
          <w:highlight w:val="none"/>
        </w:rPr>
      </w:pPr>
    </w:p>
    <w:p w14:paraId="7BB5A6D9">
      <w:pPr>
        <w:pStyle w:val="2"/>
        <w:rPr>
          <w:color w:val="auto"/>
          <w:highlight w:val="none"/>
        </w:rPr>
      </w:pPr>
    </w:p>
    <w:p w14:paraId="70E047B1">
      <w:pPr>
        <w:pStyle w:val="3"/>
        <w:rPr>
          <w:color w:val="auto"/>
          <w:highlight w:val="none"/>
        </w:rPr>
      </w:pPr>
    </w:p>
    <w:p w14:paraId="285551E2">
      <w:pPr>
        <w:rPr>
          <w:color w:val="auto"/>
          <w:highlight w:val="none"/>
        </w:rPr>
      </w:pPr>
    </w:p>
    <w:p w14:paraId="74C7A949">
      <w:pPr>
        <w:pStyle w:val="2"/>
        <w:rPr>
          <w:color w:val="auto"/>
          <w:highlight w:val="none"/>
        </w:rPr>
      </w:pPr>
    </w:p>
    <w:p w14:paraId="6513C7E6">
      <w:pPr>
        <w:pStyle w:val="3"/>
        <w:rPr>
          <w:color w:val="auto"/>
          <w:highlight w:val="none"/>
        </w:rPr>
      </w:pPr>
    </w:p>
    <w:p w14:paraId="09E8AB1A">
      <w:pPr>
        <w:spacing w:line="360" w:lineRule="auto"/>
        <w:jc w:val="center"/>
        <w:rPr>
          <w:rFonts w:ascii="仿宋" w:hAnsi="仿宋" w:eastAsia="仿宋" w:cs="宋体"/>
          <w:b/>
          <w:color w:val="auto"/>
          <w:sz w:val="32"/>
          <w:szCs w:val="32"/>
          <w:highlight w:val="none"/>
        </w:rPr>
      </w:pPr>
      <w:r>
        <w:rPr>
          <w:rFonts w:hint="eastAsia" w:ascii="仿宋" w:hAnsi="仿宋" w:eastAsia="仿宋" w:cs="宋体"/>
          <w:b/>
          <w:color w:val="auto"/>
          <w:sz w:val="32"/>
          <w:szCs w:val="32"/>
          <w:highlight w:val="none"/>
        </w:rPr>
        <w:t>中小企业声明函（服务）</w:t>
      </w:r>
    </w:p>
    <w:p w14:paraId="4AC58934">
      <w:pPr>
        <w:spacing w:line="360" w:lineRule="auto"/>
        <w:ind w:firstLine="360" w:firstLineChars="150"/>
        <w:jc w:val="left"/>
        <w:rPr>
          <w:rFonts w:ascii="仿宋" w:hAnsi="仿宋" w:eastAsia="仿宋" w:cs="宋体"/>
          <w:color w:val="auto"/>
          <w:sz w:val="24"/>
          <w:highlight w:val="none"/>
        </w:rPr>
      </w:pPr>
      <w:r>
        <w:rPr>
          <w:rFonts w:hint="eastAsia" w:ascii="仿宋" w:hAnsi="仿宋" w:eastAsia="仿宋" w:cs="宋体"/>
          <w:color w:val="auto"/>
          <w:sz w:val="24"/>
          <w:highlight w:val="none"/>
        </w:rPr>
        <w:t>本公司（联合体）郑重声明，根据《政府采购促进中小企业发展管理办法》（财库﹝2020﹞46 号）的规定，本公司（联合体）参加</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u w:val="single"/>
          <w:lang w:eastAsia="zh-CN"/>
        </w:rPr>
        <w:t>杭州市生态环境局拱墅分局</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的</w:t>
      </w:r>
      <w:r>
        <w:rPr>
          <w:rFonts w:hint="eastAsia" w:ascii="仿宋" w:hAnsi="仿宋" w:eastAsia="仿宋" w:cs="宋体"/>
          <w:color w:val="auto"/>
          <w:sz w:val="24"/>
          <w:highlight w:val="none"/>
          <w:u w:val="single"/>
        </w:rPr>
        <w:t xml:space="preserve"> “清净”拱墅多污染协同管控工程建设项目 </w:t>
      </w:r>
      <w:r>
        <w:rPr>
          <w:rFonts w:hint="eastAsia" w:ascii="仿宋" w:hAnsi="仿宋" w:eastAsia="仿宋" w:cs="宋体"/>
          <w:color w:val="auto"/>
          <w:sz w:val="24"/>
          <w:highlight w:val="none"/>
        </w:rPr>
        <w:t>采购活动，服务全部由符合政策要求的中小企业承接。相关企业（含联合体中的中小企业、签订分包意向协议的中小企业）的具体情况如下：</w:t>
      </w:r>
    </w:p>
    <w:p w14:paraId="028CDBF3">
      <w:pPr>
        <w:numPr>
          <w:ilvl w:val="0"/>
          <w:numId w:val="18"/>
        </w:numPr>
        <w:spacing w:line="360" w:lineRule="auto"/>
        <w:ind w:firstLine="480" w:firstLineChars="200"/>
        <w:jc w:val="left"/>
        <w:rPr>
          <w:rFonts w:hint="eastAsia" w:ascii="仿宋" w:hAnsi="仿宋" w:eastAsia="仿宋" w:cs="宋体"/>
          <w:color w:val="auto"/>
          <w:sz w:val="24"/>
          <w:highlight w:val="none"/>
        </w:rPr>
      </w:pPr>
      <w:r>
        <w:rPr>
          <w:rFonts w:hint="eastAsia" w:ascii="仿宋" w:hAnsi="仿宋" w:eastAsia="仿宋" w:cs="Arial"/>
          <w:b w:val="0"/>
          <w:bCs/>
          <w:color w:val="auto"/>
          <w:sz w:val="24"/>
          <w:highlight w:val="none"/>
          <w:u w:val="single"/>
        </w:rPr>
        <w:t>“清净”拱墅</w:t>
      </w:r>
      <w:r>
        <w:rPr>
          <w:rFonts w:hint="eastAsia" w:ascii="仿宋" w:hAnsi="仿宋" w:eastAsia="仿宋" w:cs="Arial"/>
          <w:b w:val="0"/>
          <w:bCs/>
          <w:color w:val="auto"/>
          <w:sz w:val="24"/>
          <w:highlight w:val="none"/>
          <w:u w:val="single"/>
          <w:lang w:val="en-US" w:eastAsia="zh-CN"/>
        </w:rPr>
        <w:t>环境空气</w:t>
      </w:r>
      <w:r>
        <w:rPr>
          <w:rFonts w:hint="eastAsia" w:ascii="仿宋" w:hAnsi="仿宋" w:eastAsia="仿宋" w:cs="Arial"/>
          <w:b w:val="0"/>
          <w:bCs/>
          <w:color w:val="auto"/>
          <w:sz w:val="24"/>
          <w:highlight w:val="none"/>
          <w:u w:val="single"/>
          <w:lang w:eastAsia="zh-CN"/>
        </w:rPr>
        <w:t>污染</w:t>
      </w:r>
      <w:r>
        <w:rPr>
          <w:rFonts w:hint="eastAsia" w:ascii="仿宋" w:hAnsi="仿宋" w:eastAsia="仿宋" w:cs="Arial"/>
          <w:b w:val="0"/>
          <w:bCs/>
          <w:color w:val="auto"/>
          <w:sz w:val="24"/>
          <w:highlight w:val="none"/>
          <w:u w:val="single"/>
          <w:lang w:val="en-US" w:eastAsia="zh-CN"/>
        </w:rPr>
        <w:t>源</w:t>
      </w:r>
      <w:r>
        <w:rPr>
          <w:rFonts w:hint="eastAsia" w:ascii="仿宋" w:hAnsi="仿宋" w:eastAsia="仿宋" w:cs="Arial"/>
          <w:b w:val="0"/>
          <w:bCs/>
          <w:color w:val="auto"/>
          <w:sz w:val="24"/>
          <w:highlight w:val="none"/>
          <w:u w:val="single"/>
          <w:lang w:eastAsia="zh-CN"/>
        </w:rPr>
        <w:t>治理服务</w:t>
      </w:r>
      <w:r>
        <w:rPr>
          <w:rFonts w:hint="eastAsia" w:ascii="仿宋" w:hAnsi="仿宋" w:eastAsia="仿宋" w:cs="宋体"/>
          <w:color w:val="auto"/>
          <w:sz w:val="24"/>
          <w:highlight w:val="none"/>
        </w:rPr>
        <w:t>，属于</w:t>
      </w:r>
      <w:r>
        <w:rPr>
          <w:rFonts w:hint="eastAsia" w:ascii="仿宋" w:hAnsi="仿宋" w:eastAsia="仿宋" w:cs="宋体"/>
          <w:color w:val="auto"/>
          <w:sz w:val="24"/>
          <w:highlight w:val="none"/>
          <w:u w:val="single"/>
        </w:rPr>
        <w:t xml:space="preserve"> 其他未列明行业</w:t>
      </w:r>
      <w:r>
        <w:rPr>
          <w:rFonts w:hint="eastAsia" w:ascii="仿宋" w:hAnsi="仿宋" w:eastAsia="仿宋" w:cs="宋体"/>
          <w:color w:val="auto"/>
          <w:sz w:val="24"/>
          <w:highlight w:val="none"/>
        </w:rPr>
        <w:t xml:space="preserve"> ；承建（承接）企业为 </w:t>
      </w:r>
      <w:r>
        <w:rPr>
          <w:rFonts w:hint="eastAsia" w:ascii="仿宋" w:hAnsi="仿宋" w:eastAsia="仿宋" w:cs="宋体"/>
          <w:color w:val="auto"/>
          <w:sz w:val="24"/>
          <w:highlight w:val="none"/>
          <w:u w:val="single"/>
        </w:rPr>
        <w:t>（企业名称）</w:t>
      </w:r>
      <w:r>
        <w:rPr>
          <w:rFonts w:hint="eastAsia" w:ascii="仿宋" w:hAnsi="仿宋" w:eastAsia="仿宋" w:cs="宋体"/>
          <w:color w:val="auto"/>
          <w:sz w:val="24"/>
          <w:highlight w:val="none"/>
        </w:rPr>
        <w:t xml:space="preserve"> ，从业人员</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人，营业收入为</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万元，资产总额为</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万元属于</w:t>
      </w:r>
      <w:r>
        <w:rPr>
          <w:rFonts w:hint="eastAsia" w:ascii="仿宋" w:hAnsi="仿宋" w:eastAsia="仿宋" w:cs="宋体"/>
          <w:color w:val="auto"/>
          <w:sz w:val="24"/>
          <w:highlight w:val="none"/>
          <w:u w:val="single"/>
        </w:rPr>
        <w:t xml:space="preserve"> （中型企业、小型企业、微型企业） </w:t>
      </w:r>
      <w:r>
        <w:rPr>
          <w:rFonts w:hint="eastAsia" w:ascii="仿宋" w:hAnsi="仿宋" w:eastAsia="仿宋" w:cs="宋体"/>
          <w:color w:val="auto"/>
          <w:sz w:val="24"/>
          <w:highlight w:val="none"/>
        </w:rPr>
        <w:t>；</w:t>
      </w:r>
    </w:p>
    <w:p w14:paraId="4AA69F85">
      <w:pPr>
        <w:rPr>
          <w:color w:val="auto"/>
          <w:highlight w:val="none"/>
        </w:rPr>
      </w:pPr>
    </w:p>
    <w:p w14:paraId="32AB8973">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w:t>
      </w:r>
    </w:p>
    <w:p w14:paraId="1A5A1288">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以上企业，不属于大企业的分支机构，不存在控股股东为大企业的情形，也不存在与大企业的负责人为同一人的情形。</w:t>
      </w:r>
    </w:p>
    <w:p w14:paraId="6734EF98">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本企业对上述声明内容的真实性负责。如有虚假，将依法承担相应责任。</w:t>
      </w:r>
    </w:p>
    <w:p w14:paraId="35F62458">
      <w:pPr>
        <w:spacing w:line="360" w:lineRule="auto"/>
        <w:ind w:right="1760"/>
        <w:jc w:val="right"/>
        <w:rPr>
          <w:rFonts w:ascii="仿宋" w:hAnsi="仿宋" w:eastAsia="仿宋" w:cs="宋体"/>
          <w:color w:val="auto"/>
          <w:sz w:val="24"/>
          <w:highlight w:val="none"/>
        </w:rPr>
      </w:pPr>
      <w:r>
        <w:rPr>
          <w:rFonts w:hint="eastAsia" w:ascii="仿宋" w:hAnsi="仿宋" w:eastAsia="仿宋" w:cs="宋体"/>
          <w:color w:val="auto"/>
          <w:sz w:val="24"/>
          <w:highlight w:val="none"/>
        </w:rPr>
        <w:t>投标人名称（电子签名）：</w:t>
      </w:r>
    </w:p>
    <w:p w14:paraId="3BE409B8">
      <w:pPr>
        <w:spacing w:line="360" w:lineRule="auto"/>
        <w:ind w:right="1120" w:firstLine="4680" w:firstLineChars="1950"/>
        <w:rPr>
          <w:rFonts w:ascii="仿宋" w:hAnsi="仿宋" w:eastAsia="仿宋" w:cs="宋体"/>
          <w:color w:val="auto"/>
          <w:sz w:val="24"/>
          <w:highlight w:val="none"/>
        </w:rPr>
      </w:pPr>
      <w:r>
        <w:rPr>
          <w:rFonts w:hint="eastAsia" w:ascii="仿宋" w:hAnsi="仿宋" w:eastAsia="仿宋" w:cs="宋体"/>
          <w:color w:val="auto"/>
          <w:sz w:val="24"/>
          <w:highlight w:val="none"/>
        </w:rPr>
        <w:t>日 期：</w:t>
      </w:r>
    </w:p>
    <w:p w14:paraId="1953A9E6">
      <w:pPr>
        <w:rPr>
          <w:color w:val="auto"/>
          <w:highlight w:val="none"/>
        </w:rPr>
      </w:pPr>
    </w:p>
    <w:p w14:paraId="24D6C1CA">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w:t>
      </w:r>
    </w:p>
    <w:p w14:paraId="6D93C601">
      <w:pPr>
        <w:spacing w:line="360" w:lineRule="auto"/>
        <w:ind w:right="420" w:firstLine="480" w:firstLineChars="200"/>
        <w:rPr>
          <w:rFonts w:ascii="仿宋" w:hAnsi="仿宋" w:eastAsia="仿宋" w:cs="宋体"/>
          <w:b/>
          <w:bCs/>
          <w:color w:val="auto"/>
          <w:sz w:val="24"/>
          <w:highlight w:val="none"/>
          <w:u w:val="single"/>
        </w:rPr>
      </w:pPr>
      <w:r>
        <w:rPr>
          <w:rFonts w:hint="eastAsia" w:ascii="仿宋" w:hAnsi="仿宋" w:eastAsia="仿宋" w:cs="宋体"/>
          <w:color w:val="auto"/>
          <w:sz w:val="24"/>
          <w:highlight w:val="none"/>
        </w:rPr>
        <w:t>1、填写要求：</w:t>
      </w:r>
      <w:r>
        <w:rPr>
          <w:rFonts w:hint="eastAsia" w:ascii="仿宋" w:hAnsi="仿宋" w:eastAsia="仿宋" w:cs="宋体"/>
          <w:b/>
          <w:bCs/>
          <w:color w:val="auto"/>
          <w:sz w:val="24"/>
          <w:highlight w:val="none"/>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r>
        <w:rPr>
          <w:rFonts w:hint="eastAsia" w:ascii="仿宋" w:hAnsi="仿宋" w:eastAsia="仿宋" w:cs="宋体"/>
          <w:b/>
          <w:bCs/>
          <w:color w:val="auto"/>
          <w:sz w:val="24"/>
          <w:highlight w:val="none"/>
          <w:lang w:val="en-US" w:eastAsia="zh-CN"/>
        </w:rPr>
        <w:t>③</w:t>
      </w:r>
      <w:r>
        <w:rPr>
          <w:rFonts w:hint="eastAsia" w:ascii="仿宋" w:hAnsi="仿宋" w:eastAsia="仿宋" w:cs="宋体"/>
          <w:b/>
          <w:bCs/>
          <w:color w:val="auto"/>
          <w:sz w:val="24"/>
          <w:highlight w:val="none"/>
        </w:rPr>
        <w:t>《中小企业声明函》</w:t>
      </w:r>
      <w:r>
        <w:rPr>
          <w:rFonts w:hint="eastAsia" w:ascii="仿宋" w:hAnsi="仿宋" w:eastAsia="仿宋" w:cs="宋体"/>
          <w:b/>
          <w:bCs/>
          <w:color w:val="auto"/>
          <w:sz w:val="24"/>
          <w:highlight w:val="none"/>
          <w:lang w:val="en-US" w:eastAsia="zh-CN"/>
        </w:rPr>
        <w:t>因</w:t>
      </w:r>
      <w:r>
        <w:rPr>
          <w:rFonts w:hint="eastAsia" w:ascii="仿宋" w:hAnsi="仿宋" w:eastAsia="仿宋" w:cs="宋体"/>
          <w:b/>
          <w:bCs/>
          <w:color w:val="auto"/>
          <w:sz w:val="24"/>
          <w:highlight w:val="none"/>
        </w:rPr>
        <w:t>填写</w:t>
      </w:r>
      <w:r>
        <w:rPr>
          <w:rFonts w:hint="eastAsia" w:ascii="仿宋" w:hAnsi="仿宋" w:eastAsia="仿宋" w:cs="宋体"/>
          <w:b/>
          <w:bCs/>
          <w:color w:val="auto"/>
          <w:sz w:val="24"/>
          <w:highlight w:val="none"/>
          <w:lang w:val="en-US" w:eastAsia="zh-CN"/>
        </w:rPr>
        <w:t>内容</w:t>
      </w:r>
      <w:r>
        <w:rPr>
          <w:rFonts w:hint="eastAsia" w:ascii="仿宋" w:hAnsi="仿宋" w:eastAsia="仿宋" w:cs="宋体"/>
          <w:b/>
          <w:bCs/>
          <w:color w:val="auto"/>
          <w:sz w:val="24"/>
          <w:highlight w:val="none"/>
        </w:rPr>
        <w:t>错误，</w:t>
      </w:r>
      <w:r>
        <w:rPr>
          <w:rFonts w:hint="eastAsia" w:ascii="仿宋" w:hAnsi="仿宋" w:eastAsia="仿宋" w:cs="宋体"/>
          <w:b/>
          <w:bCs/>
          <w:color w:val="auto"/>
          <w:sz w:val="24"/>
          <w:highlight w:val="none"/>
          <w:lang w:val="en-US" w:eastAsia="zh-CN"/>
        </w:rPr>
        <w:t>而</w:t>
      </w:r>
      <w:r>
        <w:rPr>
          <w:rFonts w:hint="eastAsia" w:ascii="仿宋" w:hAnsi="仿宋" w:eastAsia="仿宋" w:cs="宋体"/>
          <w:b/>
          <w:bCs/>
          <w:color w:val="auto"/>
          <w:sz w:val="24"/>
          <w:highlight w:val="none"/>
        </w:rPr>
        <w:t>导致该企业享受本不能享受的中小企业扶持政策</w:t>
      </w:r>
      <w:r>
        <w:rPr>
          <w:rFonts w:hint="eastAsia" w:ascii="仿宋" w:hAnsi="仿宋" w:eastAsia="仿宋" w:cs="宋体"/>
          <w:b/>
          <w:bCs/>
          <w:color w:val="auto"/>
          <w:sz w:val="24"/>
          <w:highlight w:val="none"/>
          <w:lang w:eastAsia="zh-CN"/>
        </w:rPr>
        <w:t>的，</w:t>
      </w:r>
      <w:r>
        <w:rPr>
          <w:rFonts w:hint="eastAsia" w:ascii="仿宋" w:hAnsi="仿宋" w:eastAsia="仿宋" w:cs="宋体"/>
          <w:b/>
          <w:bCs/>
          <w:color w:val="auto"/>
          <w:sz w:val="24"/>
          <w:highlight w:val="none"/>
          <w:lang w:val="en-US" w:eastAsia="zh-CN"/>
        </w:rPr>
        <w:t>声明函无效</w:t>
      </w:r>
      <w:r>
        <w:rPr>
          <w:rFonts w:hint="eastAsia" w:ascii="仿宋" w:hAnsi="仿宋" w:eastAsia="仿宋" w:cs="宋体"/>
          <w:b/>
          <w:bCs/>
          <w:color w:val="auto"/>
          <w:sz w:val="24"/>
          <w:highlight w:val="none"/>
        </w:rPr>
        <w:t>。</w:t>
      </w:r>
    </w:p>
    <w:p w14:paraId="60E87303">
      <w:pPr>
        <w:ind w:right="420" w:firstLine="720" w:firstLineChars="300"/>
        <w:rPr>
          <w:color w:val="auto"/>
          <w:highlight w:val="none"/>
        </w:rPr>
      </w:pPr>
      <w:r>
        <w:rPr>
          <w:rFonts w:hint="eastAsia" w:ascii="仿宋" w:hAnsi="仿宋" w:eastAsia="仿宋"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roman"/>
    <w:pitch w:val="default"/>
    <w:sig w:usb0="00000000" w:usb1="00000000" w:usb2="0000003F" w:usb3="00000000" w:csb0="603F01FF" w:csb1="FFFF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3CD62">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BB0BA">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99F44">
    <w:pPr>
      <w:pStyle w:val="17"/>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7FF4A8">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97FF4A8">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87B73">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F921C92">
                          <w:pPr>
                            <w:pStyle w:val="17"/>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ZE8m0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2RPJtMQIAAGUEAAAOAAAAAAAAAAEAIAAAAB8BAABkcnMvZTJvRG9jLnhtbFBLBQYA&#10;AAAABgAGAFkBAADCBQAAAAA=&#10;">
              <v:fill on="f" focussize="0,0"/>
              <v:stroke on="f" weight="0.5pt"/>
              <v:imagedata o:title=""/>
              <o:lock v:ext="edit" aspectratio="f"/>
              <v:textbox inset="0mm,0mm,0mm,0mm" style="mso-fit-shape-to-text:t;">
                <w:txbxContent>
                  <w:p w14:paraId="1F921C92">
                    <w:pPr>
                      <w:pStyle w:val="17"/>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9366B">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2AFC6D3">
                          <w:pPr>
                            <w:pStyle w:val="17"/>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Xd1ky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pd3WTICAABlBAAADgAAAAAAAAABACAAAAAfAQAAZHJzL2Uyb0RvYy54bWxQSwUG&#10;AAAAAAYABgBZAQAAwwUAAAAA&#10;">
              <v:fill on="f" focussize="0,0"/>
              <v:stroke on="f" weight="0.5pt"/>
              <v:imagedata o:title=""/>
              <o:lock v:ext="edit" aspectratio="f"/>
              <v:textbox inset="0mm,0mm,0mm,0mm" style="mso-fit-shape-to-text:t;">
                <w:txbxContent>
                  <w:p w14:paraId="32AFC6D3">
                    <w:pPr>
                      <w:pStyle w:val="17"/>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7381E">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50708BC">
                          <w:pPr>
                            <w:pStyle w:val="17"/>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h+NUMz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SE2bMs&#10;bPWD5RE6yuPt6hAgZ1I5itIpge7EA6Yv9anflDjef55T1NO/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h+NUMzAgAAZQQAAA4AAAAAAAAAAQAgAAAAHwEAAGRycy9lMm9Eb2MueG1sUEsF&#10;BgAAAAAGAAYAWQEAAMQFAAAAAA==&#10;">
              <v:fill on="f" focussize="0,0"/>
              <v:stroke on="f" weight="0.5pt"/>
              <v:imagedata o:title=""/>
              <o:lock v:ext="edit" aspectratio="f"/>
              <v:textbox inset="0mm,0mm,0mm,0mm" style="mso-fit-shape-to-text:t;">
                <w:txbxContent>
                  <w:p w14:paraId="750708BC">
                    <w:pPr>
                      <w:pStyle w:val="17"/>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ED425">
    <w:pPr>
      <w:pStyle w:val="17"/>
      <w:rPr>
        <w:rFonts w:ascii="仿宋_GB2312" w:eastAsia="仿宋_GB2312"/>
        <w:szCs w:val="24"/>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0C21529">
                          <w:pPr>
                            <w:pStyle w:val="17"/>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j+QQz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j+QQzAgAAZQQAAA4AAAAAAAAAAQAgAAAAHwEAAGRycy9lMm9Eb2MueG1sUEsF&#10;BgAAAAAGAAYAWQEAAMQFAAAAAA==&#10;">
              <v:fill on="f" focussize="0,0"/>
              <v:stroke on="f" weight="0.5pt"/>
              <v:imagedata o:title=""/>
              <o:lock v:ext="edit" aspectratio="f"/>
              <v:textbox inset="0mm,0mm,0mm,0mm" style="mso-fit-shape-to-text:t;">
                <w:txbxContent>
                  <w:p w14:paraId="70C21529">
                    <w:pPr>
                      <w:pStyle w:val="17"/>
                    </w:pPr>
                    <w:r>
                      <w:fldChar w:fldCharType="begin"/>
                    </w:r>
                    <w:r>
                      <w:instrText xml:space="preserve"> PAGE  \* MERGEFORMAT </w:instrText>
                    </w:r>
                    <w:r>
                      <w:fldChar w:fldCharType="separate"/>
                    </w:r>
                    <w:r>
                      <w:t>78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01FD1">
    <w:pPr>
      <w:pStyle w:val="18"/>
      <w:jc w:val="left"/>
      <w:rPr>
        <w:rFonts w:hint="default" w:eastAsia="宋体"/>
        <w:lang w:val="en-US" w:eastAsia="zh-CN"/>
      </w:rPr>
    </w:pPr>
    <w:r>
      <w:rPr>
        <w:rFonts w:hint="eastAsia"/>
      </w:rPr>
      <w:t>“清净”拱墅多污染协同管控工程建设项目</w:t>
    </w:r>
    <w:r>
      <w:rPr>
        <w:rFonts w:hint="eastAsia"/>
        <w:lang w:val="en-US" w:eastAsia="zh-CN"/>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60A72">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BF028">
    <w:pPr>
      <w:pStyle w:val="18"/>
      <w:jc w:val="both"/>
      <w:rPr>
        <w:rFonts w:ascii="仿宋_GB2312" w:eastAsia="仿宋_GB2312"/>
        <w:b/>
        <w:i/>
        <w:u w:val="single"/>
      </w:rPr>
    </w:pPr>
    <w:r>
      <w:rPr>
        <w:rFonts w:hint="eastAsia"/>
        <w:lang w:eastAsia="zh-CN"/>
      </w:rPr>
      <w:t>“清净”拱墅多污染协同管控工程建设项目</w:t>
    </w:r>
    <w:r>
      <w:rPr>
        <w:rFonts w:hint="eastAsia"/>
      </w:rPr>
      <w:t>公开招标文件</w:t>
    </w:r>
  </w:p>
  <w:p w14:paraId="383D843A">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29EC9">
    <w:pPr>
      <w:pStyle w:val="18"/>
      <w:jc w:val="left"/>
      <w:rPr>
        <w:rFonts w:ascii="仿宋_GB2312"/>
        <w:b/>
        <w:i/>
        <w:u w:val="single"/>
      </w:rPr>
    </w:pPr>
    <w:r>
      <w:rPr>
        <w:rFonts w:hint="eastAsia"/>
      </w:rPr>
      <w:t xml:space="preserve"> </w:t>
    </w:r>
    <w:r>
      <w:rPr>
        <w:rFonts w:hint="eastAsia"/>
        <w:lang w:eastAsia="zh-CN"/>
      </w:rPr>
      <w:t>“清净”拱墅多污染协同管控工程建设项目</w:t>
    </w:r>
    <w:r>
      <w:rPr>
        <w:rFonts w:hint="eastAsia"/>
      </w:rPr>
      <w:t>公开招标文件</w:t>
    </w:r>
  </w:p>
  <w:p w14:paraId="71188075">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9818F">
    <w:pPr>
      <w:pStyle w:val="18"/>
      <w:jc w:val="right"/>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8C257">
    <w:pPr>
      <w:pStyle w:val="18"/>
      <w:jc w:val="left"/>
      <w:rPr>
        <w:rFonts w:ascii="仿宋_GB2312" w:eastAsia="仿宋_GB2312"/>
        <w:b/>
        <w:i/>
        <w:iCs/>
        <w:u w:val="single"/>
      </w:rPr>
    </w:pPr>
    <w:r>
      <w:rPr>
        <w:rFonts w:hint="eastAsia"/>
      </w:rPr>
      <w:t xml:space="preserve"> </w:t>
    </w:r>
    <w:r>
      <w:rPr>
        <w:rFonts w:hint="eastAsia"/>
        <w:lang w:eastAsia="zh-CN"/>
      </w:rPr>
      <w:t>“清净”拱墅多污染协同管控工程建设项目</w:t>
    </w:r>
    <w:r>
      <w:rPr>
        <w:rFonts w:hint="eastAsia"/>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7CC8D1"/>
    <w:multiLevelType w:val="singleLevel"/>
    <w:tmpl w:val="9A7CC8D1"/>
    <w:lvl w:ilvl="0" w:tentative="0">
      <w:start w:val="1"/>
      <w:numFmt w:val="decimal"/>
      <w:lvlText w:val="%1."/>
      <w:lvlJc w:val="left"/>
      <w:pPr>
        <w:ind w:left="425" w:hanging="425"/>
      </w:pPr>
      <w:rPr>
        <w:rFonts w:hint="default"/>
      </w:rPr>
    </w:lvl>
  </w:abstractNum>
  <w:abstractNum w:abstractNumId="1">
    <w:nsid w:val="AEC8C6FA"/>
    <w:multiLevelType w:val="singleLevel"/>
    <w:tmpl w:val="AEC8C6FA"/>
    <w:lvl w:ilvl="0" w:tentative="0">
      <w:start w:val="1"/>
      <w:numFmt w:val="decimal"/>
      <w:suff w:val="nothing"/>
      <w:lvlText w:val="（%1）"/>
      <w:lvlJc w:val="left"/>
    </w:lvl>
  </w:abstractNum>
  <w:abstractNum w:abstractNumId="2">
    <w:nsid w:val="B18D4CF5"/>
    <w:multiLevelType w:val="singleLevel"/>
    <w:tmpl w:val="B18D4CF5"/>
    <w:lvl w:ilvl="0" w:tentative="0">
      <w:start w:val="1"/>
      <w:numFmt w:val="decimal"/>
      <w:suff w:val="nothing"/>
      <w:lvlText w:val="%1"/>
      <w:lvlJc w:val="center"/>
      <w:pPr>
        <w:tabs>
          <w:tab w:val="left" w:pos="0"/>
        </w:tabs>
        <w:ind w:left="0" w:firstLine="0"/>
      </w:pPr>
      <w:rPr>
        <w:rFonts w:hint="default"/>
      </w:rPr>
    </w:lvl>
  </w:abstractNum>
  <w:abstractNum w:abstractNumId="3">
    <w:nsid w:val="B863D470"/>
    <w:multiLevelType w:val="singleLevel"/>
    <w:tmpl w:val="B863D470"/>
    <w:lvl w:ilvl="0" w:tentative="0">
      <w:start w:val="1"/>
      <w:numFmt w:val="decimal"/>
      <w:suff w:val="nothing"/>
      <w:lvlText w:val="%1、"/>
      <w:lvlJc w:val="left"/>
    </w:lvl>
  </w:abstractNum>
  <w:abstractNum w:abstractNumId="4">
    <w:nsid w:val="C8697B33"/>
    <w:multiLevelType w:val="singleLevel"/>
    <w:tmpl w:val="C8697B33"/>
    <w:lvl w:ilvl="0" w:tentative="0">
      <w:start w:val="1"/>
      <w:numFmt w:val="decimal"/>
      <w:suff w:val="nothing"/>
      <w:lvlText w:val="%1"/>
      <w:lvlJc w:val="center"/>
      <w:pPr>
        <w:tabs>
          <w:tab w:val="left" w:pos="0"/>
        </w:tabs>
        <w:ind w:left="0" w:firstLine="0"/>
      </w:pPr>
      <w:rPr>
        <w:rFonts w:hint="default"/>
      </w:rPr>
    </w:lvl>
  </w:abstractNum>
  <w:abstractNum w:abstractNumId="5">
    <w:nsid w:val="CAE2273D"/>
    <w:multiLevelType w:val="singleLevel"/>
    <w:tmpl w:val="CAE2273D"/>
    <w:lvl w:ilvl="0" w:tentative="0">
      <w:start w:val="1"/>
      <w:numFmt w:val="decimal"/>
      <w:suff w:val="nothing"/>
      <w:lvlText w:val="（%1）"/>
      <w:lvlJc w:val="left"/>
    </w:lvl>
  </w:abstractNum>
  <w:abstractNum w:abstractNumId="6">
    <w:nsid w:val="D2CDA2F4"/>
    <w:multiLevelType w:val="singleLevel"/>
    <w:tmpl w:val="D2CDA2F4"/>
    <w:lvl w:ilvl="0" w:tentative="0">
      <w:start w:val="1"/>
      <w:numFmt w:val="decimal"/>
      <w:suff w:val="nothing"/>
      <w:lvlText w:val="（%1）"/>
      <w:lvlJc w:val="left"/>
    </w:lvl>
  </w:abstractNum>
  <w:abstractNum w:abstractNumId="7">
    <w:nsid w:val="DA46C2BC"/>
    <w:multiLevelType w:val="singleLevel"/>
    <w:tmpl w:val="DA46C2BC"/>
    <w:lvl w:ilvl="0" w:tentative="0">
      <w:start w:val="1"/>
      <w:numFmt w:val="decimal"/>
      <w:suff w:val="nothing"/>
      <w:lvlText w:val="（%1）"/>
      <w:lvlJc w:val="left"/>
    </w:lvl>
  </w:abstractNum>
  <w:abstractNum w:abstractNumId="8">
    <w:nsid w:val="DA5C9D7D"/>
    <w:multiLevelType w:val="singleLevel"/>
    <w:tmpl w:val="DA5C9D7D"/>
    <w:lvl w:ilvl="0" w:tentative="0">
      <w:start w:val="1"/>
      <w:numFmt w:val="decimal"/>
      <w:suff w:val="nothing"/>
      <w:lvlText w:val="（%1）"/>
      <w:lvlJc w:val="left"/>
    </w:lvl>
  </w:abstractNum>
  <w:abstractNum w:abstractNumId="9">
    <w:nsid w:val="E772C4B3"/>
    <w:multiLevelType w:val="singleLevel"/>
    <w:tmpl w:val="E772C4B3"/>
    <w:lvl w:ilvl="0" w:tentative="0">
      <w:start w:val="1"/>
      <w:numFmt w:val="decimal"/>
      <w:lvlText w:val="%1."/>
      <w:lvlJc w:val="left"/>
      <w:pPr>
        <w:ind w:left="425" w:hanging="425"/>
      </w:pPr>
      <w:rPr>
        <w:rFonts w:hint="default"/>
      </w:rPr>
    </w:lvl>
  </w:abstractNum>
  <w:abstractNum w:abstractNumId="10">
    <w:nsid w:val="EC8C87C2"/>
    <w:multiLevelType w:val="singleLevel"/>
    <w:tmpl w:val="EC8C87C2"/>
    <w:lvl w:ilvl="0" w:tentative="0">
      <w:start w:val="2"/>
      <w:numFmt w:val="decimal"/>
      <w:suff w:val="space"/>
      <w:lvlText w:val="%1."/>
      <w:lvlJc w:val="left"/>
    </w:lvl>
  </w:abstractNum>
  <w:abstractNum w:abstractNumId="11">
    <w:nsid w:val="00B98E09"/>
    <w:multiLevelType w:val="singleLevel"/>
    <w:tmpl w:val="00B98E09"/>
    <w:lvl w:ilvl="0" w:tentative="0">
      <w:start w:val="1"/>
      <w:numFmt w:val="decimal"/>
      <w:pStyle w:val="7"/>
      <w:lvlText w:val="%1."/>
      <w:lvlJc w:val="left"/>
      <w:pPr>
        <w:tabs>
          <w:tab w:val="left" w:pos="360"/>
        </w:tabs>
        <w:ind w:left="360" w:hanging="360"/>
      </w:pPr>
    </w:lvl>
  </w:abstractNum>
  <w:abstractNum w:abstractNumId="12">
    <w:nsid w:val="021CDEEE"/>
    <w:multiLevelType w:val="singleLevel"/>
    <w:tmpl w:val="021CDEEE"/>
    <w:lvl w:ilvl="0" w:tentative="0">
      <w:start w:val="1"/>
      <w:numFmt w:val="decimal"/>
      <w:suff w:val="space"/>
      <w:lvlText w:val="%1."/>
      <w:lvlJc w:val="left"/>
    </w:lvl>
  </w:abstractNum>
  <w:abstractNum w:abstractNumId="13">
    <w:nsid w:val="121CA0FD"/>
    <w:multiLevelType w:val="singleLevel"/>
    <w:tmpl w:val="121CA0FD"/>
    <w:lvl w:ilvl="0" w:tentative="0">
      <w:start w:val="1"/>
      <w:numFmt w:val="decimal"/>
      <w:suff w:val="nothing"/>
      <w:lvlText w:val="（%1）"/>
      <w:lvlJc w:val="left"/>
    </w:lvl>
  </w:abstractNum>
  <w:abstractNum w:abstractNumId="14">
    <w:nsid w:val="184AAD03"/>
    <w:multiLevelType w:val="singleLevel"/>
    <w:tmpl w:val="184AAD03"/>
    <w:lvl w:ilvl="0" w:tentative="0">
      <w:start w:val="1"/>
      <w:numFmt w:val="decimal"/>
      <w:suff w:val="nothing"/>
      <w:lvlText w:val="（%1）"/>
      <w:lvlJc w:val="left"/>
    </w:lvl>
  </w:abstractNum>
  <w:abstractNum w:abstractNumId="15">
    <w:nsid w:val="1B67E526"/>
    <w:multiLevelType w:val="singleLevel"/>
    <w:tmpl w:val="1B67E526"/>
    <w:lvl w:ilvl="0" w:tentative="0">
      <w:start w:val="1"/>
      <w:numFmt w:val="decimal"/>
      <w:suff w:val="space"/>
      <w:lvlText w:val="%1."/>
      <w:lvlJc w:val="left"/>
    </w:lvl>
  </w:abstractNum>
  <w:abstractNum w:abstractNumId="16">
    <w:nsid w:val="3B500D3E"/>
    <w:multiLevelType w:val="singleLevel"/>
    <w:tmpl w:val="3B500D3E"/>
    <w:lvl w:ilvl="0" w:tentative="0">
      <w:start w:val="1"/>
      <w:numFmt w:val="decimal"/>
      <w:suff w:val="nothing"/>
      <w:lvlText w:val="%1、"/>
      <w:lvlJc w:val="left"/>
    </w:lvl>
  </w:abstractNum>
  <w:abstractNum w:abstractNumId="17">
    <w:nsid w:val="7E4A907A"/>
    <w:multiLevelType w:val="singleLevel"/>
    <w:tmpl w:val="7E4A907A"/>
    <w:lvl w:ilvl="0" w:tentative="0">
      <w:start w:val="1"/>
      <w:numFmt w:val="decimal"/>
      <w:suff w:val="nothing"/>
      <w:lvlText w:val="（%1）"/>
      <w:lvlJc w:val="left"/>
    </w:lvl>
  </w:abstractNum>
  <w:num w:numId="1">
    <w:abstractNumId w:val="11"/>
  </w:num>
  <w:num w:numId="2">
    <w:abstractNumId w:val="10"/>
  </w:num>
  <w:num w:numId="3">
    <w:abstractNumId w:val="6"/>
  </w:num>
  <w:num w:numId="4">
    <w:abstractNumId w:val="14"/>
  </w:num>
  <w:num w:numId="5">
    <w:abstractNumId w:val="8"/>
  </w:num>
  <w:num w:numId="6">
    <w:abstractNumId w:val="5"/>
  </w:num>
  <w:num w:numId="7">
    <w:abstractNumId w:val="1"/>
  </w:num>
  <w:num w:numId="8">
    <w:abstractNumId w:val="13"/>
  </w:num>
  <w:num w:numId="9">
    <w:abstractNumId w:val="17"/>
  </w:num>
  <w:num w:numId="10">
    <w:abstractNumId w:val="3"/>
  </w:num>
  <w:num w:numId="11">
    <w:abstractNumId w:val="0"/>
  </w:num>
  <w:num w:numId="12">
    <w:abstractNumId w:val="9"/>
  </w:num>
  <w:num w:numId="13">
    <w:abstractNumId w:val="4"/>
  </w:num>
  <w:num w:numId="14">
    <w:abstractNumId w:val="7"/>
  </w:num>
  <w:num w:numId="15">
    <w:abstractNumId w:val="16"/>
  </w:num>
  <w:num w:numId="16">
    <w:abstractNumId w:val="2"/>
  </w:num>
  <w:num w:numId="17">
    <w:abstractNumId w:val="1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dit="readOnly" w:enforcement="1" w:cryptProviderType="rsaFull" w:cryptAlgorithmClass="hash" w:cryptAlgorithmType="typeAny" w:cryptAlgorithmSid="4" w:cryptSpinCount="0" w:hash="YPP13eVLeXXDAT9UjDUKtG+EIx8=" w:salt="Do00Sah38hlKDIb/w+w5ew=="/>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zZDVhOWNjOGI3ZWVhMmMxZDAxNGRhYWRkYmZlYzkifQ=="/>
    <w:docVar w:name="KSO_WPS_MARK_KEY" w:val="27cb194f-e42b-415f-a028-1ad1ddd68302"/>
  </w:docVars>
  <w:rsids>
    <w:rsidRoot w:val="54D15849"/>
    <w:rsid w:val="05634C93"/>
    <w:rsid w:val="058A3282"/>
    <w:rsid w:val="0EB475FF"/>
    <w:rsid w:val="14CF0A0C"/>
    <w:rsid w:val="174E4A8E"/>
    <w:rsid w:val="1B682188"/>
    <w:rsid w:val="1BBE5191"/>
    <w:rsid w:val="1BD042EB"/>
    <w:rsid w:val="1BE768C2"/>
    <w:rsid w:val="290A0E41"/>
    <w:rsid w:val="2AAE265D"/>
    <w:rsid w:val="2D9F6483"/>
    <w:rsid w:val="2FF96CC5"/>
    <w:rsid w:val="37272367"/>
    <w:rsid w:val="3A554BD5"/>
    <w:rsid w:val="3BDF3B42"/>
    <w:rsid w:val="3CB13731"/>
    <w:rsid w:val="43423302"/>
    <w:rsid w:val="47E0282E"/>
    <w:rsid w:val="48853CC3"/>
    <w:rsid w:val="48C301EE"/>
    <w:rsid w:val="4A767D68"/>
    <w:rsid w:val="523C2780"/>
    <w:rsid w:val="53383B95"/>
    <w:rsid w:val="54D15849"/>
    <w:rsid w:val="59160071"/>
    <w:rsid w:val="59160707"/>
    <w:rsid w:val="5F6873FE"/>
    <w:rsid w:val="6A8777BC"/>
    <w:rsid w:val="6E073DEA"/>
    <w:rsid w:val="6FFC4D49"/>
    <w:rsid w:val="732456B7"/>
    <w:rsid w:val="73CD2E2A"/>
    <w:rsid w:val="75CD2682"/>
    <w:rsid w:val="76A07D97"/>
    <w:rsid w:val="7AF81948"/>
    <w:rsid w:val="7CC94150"/>
    <w:rsid w:val="7D974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customStyle="1" w:styleId="2">
    <w:name w:val="表格文字"/>
    <w:basedOn w:val="1"/>
    <w:next w:val="3"/>
    <w:qFormat/>
    <w:uiPriority w:val="0"/>
    <w:pPr>
      <w:adjustRightInd/>
      <w:ind w:firstLine="200" w:firstLineChars="200"/>
    </w:pPr>
    <w:rPr>
      <w:rFonts w:ascii="Arial" w:hAnsi="Arial"/>
      <w:spacing w:val="-5"/>
      <w:kern w:val="0"/>
      <w:sz w:val="24"/>
      <w:szCs w:val="20"/>
    </w:rPr>
  </w:style>
  <w:style w:type="paragraph" w:styleId="3">
    <w:name w:val="Body Text"/>
    <w:basedOn w:val="1"/>
    <w:next w:val="1"/>
    <w:qFormat/>
    <w:uiPriority w:val="0"/>
    <w:pPr>
      <w:autoSpaceDE w:val="0"/>
      <w:autoSpaceDN w:val="0"/>
      <w:spacing w:line="360" w:lineRule="auto"/>
    </w:pPr>
    <w:rPr>
      <w:rFonts w:ascii="宋体" w:hAnsi="Arial" w:cs="Arial"/>
      <w:snapToGrid w:val="0"/>
      <w:sz w:val="24"/>
      <w:szCs w:val="21"/>
      <w:lang w:val="zh-CN"/>
    </w:rPr>
  </w:style>
  <w:style w:type="paragraph" w:styleId="7">
    <w:name w:val="List Number"/>
    <w:basedOn w:val="1"/>
    <w:next w:val="8"/>
    <w:qFormat/>
    <w:uiPriority w:val="0"/>
    <w:pPr>
      <w:numPr>
        <w:ilvl w:val="0"/>
        <w:numId w:val="1"/>
      </w:numPr>
    </w:pPr>
  </w:style>
  <w:style w:type="paragraph" w:styleId="8">
    <w:name w:val="Balloon Text"/>
    <w:basedOn w:val="1"/>
    <w:next w:val="9"/>
    <w:qFormat/>
    <w:uiPriority w:val="0"/>
    <w:rPr>
      <w:sz w:val="18"/>
      <w:szCs w:val="18"/>
    </w:rPr>
  </w:style>
  <w:style w:type="paragraph" w:styleId="9">
    <w:name w:val="toc 8"/>
    <w:basedOn w:val="1"/>
    <w:next w:val="1"/>
    <w:qFormat/>
    <w:uiPriority w:val="0"/>
    <w:pPr>
      <w:ind w:left="2940" w:leftChars="1400"/>
    </w:pPr>
  </w:style>
  <w:style w:type="paragraph" w:styleId="10">
    <w:name w:val="Normal Indent"/>
    <w:basedOn w:val="1"/>
    <w:next w:val="1"/>
    <w:qFormat/>
    <w:uiPriority w:val="0"/>
    <w:pPr>
      <w:widowControl/>
      <w:snapToGrid w:val="0"/>
      <w:spacing w:line="480" w:lineRule="exact"/>
      <w:ind w:firstLine="567"/>
    </w:pPr>
    <w:rPr>
      <w:rFonts w:ascii="宋体"/>
      <w:snapToGrid w:val="0"/>
      <w:color w:val="000000"/>
      <w:kern w:val="28"/>
      <w:sz w:val="28"/>
      <w:szCs w:val="20"/>
    </w:rPr>
  </w:style>
  <w:style w:type="paragraph" w:styleId="11">
    <w:name w:val="caption"/>
    <w:basedOn w:val="1"/>
    <w:next w:val="1"/>
    <w:qFormat/>
    <w:uiPriority w:val="0"/>
    <w:rPr>
      <w:b/>
      <w:sz w:val="28"/>
      <w:szCs w:val="20"/>
    </w:rPr>
  </w:style>
  <w:style w:type="paragraph" w:styleId="12">
    <w:name w:val="annotation text"/>
    <w:basedOn w:val="1"/>
    <w:qFormat/>
    <w:uiPriority w:val="99"/>
    <w:pPr>
      <w:jc w:val="left"/>
    </w:pPr>
  </w:style>
  <w:style w:type="paragraph" w:styleId="13">
    <w:name w:val="Body Text Indent"/>
    <w:basedOn w:val="1"/>
    <w:next w:val="7"/>
    <w:qFormat/>
    <w:uiPriority w:val="0"/>
    <w:pPr>
      <w:spacing w:line="480" w:lineRule="exact"/>
      <w:ind w:firstLine="480" w:firstLineChars="200"/>
    </w:pPr>
    <w:rPr>
      <w:rFonts w:ascii="宋体" w:hAnsi="宋体"/>
      <w:sz w:val="24"/>
    </w:rPr>
  </w:style>
  <w:style w:type="paragraph" w:styleId="1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15">
    <w:name w:val="Plain Text"/>
    <w:basedOn w:val="1"/>
    <w:next w:val="16"/>
    <w:qFormat/>
    <w:uiPriority w:val="0"/>
    <w:rPr>
      <w:rFonts w:ascii="宋体" w:hAnsi="Courier New" w:cs="Arial"/>
      <w:snapToGrid w:val="0"/>
      <w:szCs w:val="21"/>
    </w:rPr>
  </w:style>
  <w:style w:type="paragraph" w:styleId="16">
    <w:name w:val="Date"/>
    <w:basedOn w:val="1"/>
    <w:next w:val="1"/>
    <w:qFormat/>
    <w:uiPriority w:val="0"/>
    <w:pPr>
      <w:ind w:left="100" w:leftChars="2500"/>
    </w:pPr>
    <w:rPr>
      <w:rFonts w:ascii="宋体"/>
      <w:sz w:val="24"/>
      <w:szCs w:val="21"/>
      <w:lang w:val="zh-CN"/>
    </w:rPr>
  </w:style>
  <w:style w:type="paragraph" w:styleId="17">
    <w:name w:val="footer"/>
    <w:basedOn w:val="1"/>
    <w:qFormat/>
    <w:uiPriority w:val="99"/>
    <w:pPr>
      <w:tabs>
        <w:tab w:val="center" w:pos="4153"/>
        <w:tab w:val="right" w:pos="8306"/>
      </w:tabs>
      <w:snapToGrid w:val="0"/>
      <w:jc w:val="left"/>
    </w:pPr>
    <w:rPr>
      <w:sz w:val="18"/>
      <w:szCs w:val="18"/>
    </w:rPr>
  </w:style>
  <w:style w:type="paragraph" w:styleId="1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0"/>
  </w:style>
  <w:style w:type="paragraph" w:styleId="20">
    <w:name w:val="toc 2"/>
    <w:basedOn w:val="1"/>
    <w:next w:val="1"/>
    <w:qFormat/>
    <w:uiPriority w:val="0"/>
    <w:pPr>
      <w:ind w:left="420" w:leftChars="200"/>
    </w:pPr>
  </w:style>
  <w:style w:type="paragraph" w:styleId="21">
    <w:name w:val="Body Text First Indent"/>
    <w:basedOn w:val="3"/>
    <w:next w:val="1"/>
    <w:qFormat/>
    <w:uiPriority w:val="0"/>
    <w:pPr>
      <w:ind w:firstLine="420"/>
    </w:pPr>
    <w:rPr>
      <w:rFonts w:hAnsi="Times New Roman" w:cs="Times New Roman"/>
      <w:snapToGrid/>
      <w:szCs w:val="20"/>
    </w:rPr>
  </w:style>
  <w:style w:type="paragraph" w:styleId="22">
    <w:name w:val="Body Text First Indent 2"/>
    <w:basedOn w:val="13"/>
    <w:qFormat/>
    <w:uiPriority w:val="0"/>
    <w:pPr>
      <w:adjustRightInd/>
      <w:spacing w:after="120" w:line="240" w:lineRule="auto"/>
      <w:ind w:left="420" w:leftChars="200" w:firstLine="210"/>
    </w:pPr>
    <w:rPr>
      <w:sz w:val="21"/>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Hyperlink"/>
    <w:qFormat/>
    <w:uiPriority w:val="99"/>
    <w:rPr>
      <w:rFonts w:ascii="Arial" w:hAnsi="Arial" w:eastAsia="黑体" w:cs="Arial"/>
      <w:snapToGrid w:val="0"/>
      <w:color w:val="000000"/>
      <w:kern w:val="0"/>
      <w:sz w:val="18"/>
      <w:szCs w:val="18"/>
      <w:u w:val="none"/>
    </w:rPr>
  </w:style>
  <w:style w:type="paragraph" w:customStyle="1" w:styleId="2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8">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2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0">
    <w:name w:val="正文2"/>
    <w:basedOn w:val="1"/>
    <w:qFormat/>
    <w:uiPriority w:val="0"/>
    <w:pPr>
      <w:spacing w:before="156" w:line="360" w:lineRule="auto"/>
      <w:ind w:firstLine="510" w:firstLineChars="200"/>
    </w:pPr>
    <w:rPr>
      <w:sz w:val="24"/>
      <w:szCs w:val="20"/>
    </w:rPr>
  </w:style>
  <w:style w:type="paragraph" w:customStyle="1" w:styleId="3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2">
    <w:name w:val="正文缩进1"/>
    <w:basedOn w:val="1"/>
    <w:next w:val="1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3">
    <w:name w:val="索引 11"/>
    <w:basedOn w:val="1"/>
    <w:next w:val="1"/>
    <w:qFormat/>
    <w:uiPriority w:val="99"/>
    <w:pPr>
      <w:adjustRightInd/>
      <w:spacing w:line="360" w:lineRule="auto"/>
    </w:pPr>
    <w:rPr>
      <w:rFonts w:ascii="仿宋_GB2312" w:eastAsia="仿宋_GB2312"/>
      <w:sz w:val="24"/>
      <w:szCs w:val="20"/>
    </w:rPr>
  </w:style>
  <w:style w:type="paragraph" w:customStyle="1" w:styleId="34">
    <w:name w:val="正文空2字"/>
    <w:basedOn w:val="3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35">
    <w:name w:val="左对齐正文"/>
    <w:qFormat/>
    <w:uiPriority w:val="99"/>
    <w:rPr>
      <w:rFonts w:ascii="Calibri" w:hAnsi="Calibri" w:eastAsia="仿宋_GB2312" w:cs="Calibri"/>
      <w:kern w:val="2"/>
      <w:sz w:val="32"/>
      <w:szCs w:val="32"/>
      <w:lang w:val="en-US" w:eastAsia="zh-CN" w:bidi="ar-SA"/>
    </w:rPr>
  </w:style>
  <w:style w:type="paragraph" w:customStyle="1" w:styleId="36">
    <w:name w:val="纯文本_0_0"/>
    <w:basedOn w:val="37"/>
    <w:qFormat/>
    <w:uiPriority w:val="0"/>
    <w:rPr>
      <w:rFonts w:ascii="宋体" w:hAnsi="Courier New"/>
      <w:szCs w:val="21"/>
    </w:rPr>
  </w:style>
  <w:style w:type="paragraph" w:customStyle="1" w:styleId="3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9">
    <w:name w:val="纯文本1"/>
    <w:basedOn w:val="40"/>
    <w:qFormat/>
    <w:uiPriority w:val="0"/>
    <w:pPr>
      <w:tabs>
        <w:tab w:val="right" w:leader="dot" w:pos="8268"/>
      </w:tabs>
      <w:adjustRightInd/>
    </w:pPr>
    <w:rPr>
      <w:rFonts w:ascii="宋体" w:eastAsia="宋体"/>
      <w:kern w:val="0"/>
      <w:sz w:val="20"/>
      <w:szCs w:val="20"/>
    </w:rPr>
  </w:style>
  <w:style w:type="paragraph" w:customStyle="1" w:styleId="40">
    <w:name w:val="正文1"/>
    <w:basedOn w:val="14"/>
    <w:next w:val="41"/>
    <w:qFormat/>
    <w:uiPriority w:val="0"/>
    <w:pPr>
      <w:ind w:left="0" w:leftChars="0" w:firstLine="480" w:firstLineChars="200"/>
    </w:pPr>
    <w:rPr>
      <w:rFonts w:ascii="仿宋_GB2312" w:hAnsi="Courier New" w:eastAsia="仿宋_GB2312"/>
      <w:kern w:val="28"/>
      <w:sz w:val="24"/>
    </w:rPr>
  </w:style>
  <w:style w:type="paragraph" w:customStyle="1" w:styleId="41">
    <w:name w:val="目录 11"/>
    <w:basedOn w:val="40"/>
    <w:next w:val="40"/>
    <w:qFormat/>
    <w:uiPriority w:val="0"/>
    <w:pPr>
      <w:spacing w:line="240" w:lineRule="auto"/>
    </w:pPr>
    <w:rPr>
      <w:rFonts w:ascii="宋体" w:hAnsi="宋体" w:eastAsia="黑体" w:cs="宋体"/>
      <w:szCs w:val="21"/>
      <w:lang w:eastAsia="en-US"/>
    </w:rPr>
  </w:style>
  <w:style w:type="paragraph" w:customStyle="1" w:styleId="4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115</Pages>
  <Words>29064</Words>
  <Characters>31510</Characters>
  <Lines>0</Lines>
  <Paragraphs>0</Paragraphs>
  <TotalTime>81</TotalTime>
  <ScaleCrop>false</ScaleCrop>
  <LinksUpToDate>false</LinksUpToDate>
  <CharactersWithSpaces>31834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2025-06-09T09:41:00Z</dcterms:created>
  <dc:creator>WPS_1679370556</dc:creator>
  <cp:lastModifiedBy>佳伦</cp:lastModifiedBy>
  <cp:lastPrinted>2025-06-09T10:15:00Z</cp:lastPrinted>
  <dcterms:modified xsi:type="dcterms:W3CDTF">2025-06-20T12:41:34Z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2104182A47A647A999C9B7BE92CA8927_13</vt:lpwstr>
  </property>
  <property fmtid="{D5CDD505-2E9C-101B-9397-08002B2CF9AE}" pid="4" name="KSOTemplateDocerSaveRecord">
    <vt:lpwstr>eyJoZGlkIjoiMWJmYmVhMGQ2YWQwOTc0ZDFkYmVkZTE0NzFkNThlYzIiLCJ1c2VySWQiOiI0MjgyMjg4ODcifQ==</vt:lpwstr>
  </property>
</Properties>
</file>