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514861">
      <w:pPr>
        <w:adjustRightInd w:val="0"/>
        <w:snapToGrid w:val="0"/>
        <w:jc w:val="both"/>
        <w:rPr>
          <w:rFonts w:hint="eastAsia" w:ascii="黑体" w:hAnsi="黑体" w:eastAsia="黑体" w:cs="黑体"/>
          <w:bCs/>
          <w:color w:val="auto"/>
          <w:sz w:val="36"/>
          <w:szCs w:val="36"/>
          <w:highlight w:val="none"/>
          <w:lang w:eastAsia="zh-CN"/>
        </w:rPr>
      </w:pPr>
      <w:r>
        <w:rPr>
          <w:color w:val="auto"/>
          <w:sz w:val="22"/>
          <w:szCs w:val="28"/>
        </w:rPr>
        <w:drawing>
          <wp:anchor distT="0" distB="0" distL="114300" distR="114300" simplePos="0" relativeHeight="251660288" behindDoc="0" locked="0" layoutInCell="1" allowOverlap="1">
            <wp:simplePos x="0" y="0"/>
            <wp:positionH relativeFrom="column">
              <wp:posOffset>-104775</wp:posOffset>
            </wp:positionH>
            <wp:positionV relativeFrom="paragraph">
              <wp:posOffset>32385</wp:posOffset>
            </wp:positionV>
            <wp:extent cx="800100" cy="798830"/>
            <wp:effectExtent l="0" t="0" r="0" b="1270"/>
            <wp:wrapNone/>
            <wp:docPr id="6" name="图片 2" descr="欧邦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欧邦标志"/>
                    <pic:cNvPicPr>
                      <a:picLocks noChangeAspect="1"/>
                    </pic:cNvPicPr>
                  </pic:nvPicPr>
                  <pic:blipFill>
                    <a:blip r:embed="rId10"/>
                    <a:stretch>
                      <a:fillRect/>
                    </a:stretch>
                  </pic:blipFill>
                  <pic:spPr>
                    <a:xfrm>
                      <a:off x="0" y="0"/>
                      <a:ext cx="800100" cy="798830"/>
                    </a:xfrm>
                    <a:prstGeom prst="rect">
                      <a:avLst/>
                    </a:prstGeom>
                    <a:noFill/>
                    <a:ln>
                      <a:noFill/>
                    </a:ln>
                  </pic:spPr>
                </pic:pic>
              </a:graphicData>
            </a:graphic>
          </wp:anchor>
        </w:drawing>
      </w:r>
    </w:p>
    <w:p w14:paraId="45566425">
      <w:pPr>
        <w:pStyle w:val="21"/>
        <w:rPr>
          <w:rFonts w:hint="eastAsia" w:ascii="黑体" w:hAnsi="黑体" w:eastAsia="黑体" w:cs="黑体"/>
          <w:bCs/>
          <w:color w:val="auto"/>
          <w:sz w:val="36"/>
          <w:szCs w:val="36"/>
          <w:highlight w:val="none"/>
          <w:lang w:eastAsia="zh-CN"/>
        </w:rPr>
      </w:pPr>
    </w:p>
    <w:p w14:paraId="234DD36D">
      <w:pPr>
        <w:pStyle w:val="20"/>
        <w:rPr>
          <w:rFonts w:hint="eastAsia" w:ascii="黑体" w:hAnsi="黑体" w:eastAsia="黑体" w:cs="黑体"/>
          <w:bCs/>
          <w:color w:val="auto"/>
          <w:sz w:val="36"/>
          <w:szCs w:val="36"/>
          <w:highlight w:val="none"/>
          <w:lang w:eastAsia="zh-CN"/>
        </w:rPr>
      </w:pPr>
    </w:p>
    <w:p w14:paraId="188B19B8">
      <w:pPr>
        <w:rPr>
          <w:rFonts w:hint="eastAsia"/>
          <w:color w:val="auto"/>
          <w:lang w:eastAsia="zh-CN"/>
        </w:rPr>
      </w:pPr>
    </w:p>
    <w:p w14:paraId="2106AFD1">
      <w:pPr>
        <w:adjustRightInd w:val="0"/>
        <w:snapToGrid w:val="0"/>
        <w:jc w:val="center"/>
        <w:rPr>
          <w:rFonts w:hint="default" w:ascii="仿宋" w:hAnsi="仿宋" w:eastAsia="仿宋"/>
          <w:color w:val="auto"/>
          <w:sz w:val="44"/>
          <w:szCs w:val="44"/>
          <w:highlight w:val="none"/>
          <w:lang w:val="en-US" w:eastAsia="zh-CN"/>
        </w:rPr>
      </w:pPr>
      <w:r>
        <w:rPr>
          <w:rFonts w:hint="eastAsia" w:ascii="黑体" w:hAnsi="黑体" w:eastAsia="黑体" w:cs="黑体"/>
          <w:bCs/>
          <w:color w:val="auto"/>
          <w:sz w:val="44"/>
          <w:szCs w:val="44"/>
          <w:highlight w:val="none"/>
          <w:lang w:eastAsia="zh-CN"/>
        </w:rPr>
        <w:t>开化县怀玉山区</w:t>
      </w:r>
      <w:bookmarkStart w:id="460" w:name="_GoBack"/>
      <w:bookmarkEnd w:id="460"/>
      <w:r>
        <w:rPr>
          <w:rFonts w:hint="eastAsia" w:ascii="黑体" w:hAnsi="黑体" w:eastAsia="黑体" w:cs="黑体"/>
          <w:bCs/>
          <w:color w:val="auto"/>
          <w:sz w:val="44"/>
          <w:szCs w:val="44"/>
          <w:highlight w:val="none"/>
          <w:lang w:eastAsia="zh-CN"/>
        </w:rPr>
        <w:t>水土保持与生态修复项目监理</w:t>
      </w:r>
    </w:p>
    <w:p w14:paraId="0F16FFC0">
      <w:pPr>
        <w:adjustRightInd w:val="0"/>
        <w:snapToGrid w:val="0"/>
        <w:jc w:val="left"/>
        <w:rPr>
          <w:rFonts w:hint="eastAsia" w:ascii="楷体" w:hAnsi="楷体" w:eastAsia="楷体" w:cs="楷体"/>
          <w:b/>
          <w:bCs/>
          <w:color w:val="auto"/>
          <w:spacing w:val="-45"/>
          <w:sz w:val="108"/>
          <w:szCs w:val="108"/>
          <w:highlight w:val="none"/>
        </w:rPr>
      </w:pPr>
    </w:p>
    <w:p w14:paraId="095DC5A2">
      <w:pPr>
        <w:adjustRightInd w:val="0"/>
        <w:snapToGrid w:val="0"/>
        <w:spacing w:line="240" w:lineRule="exact"/>
        <w:jc w:val="center"/>
        <w:rPr>
          <w:rFonts w:hint="eastAsia" w:ascii="楷体" w:hAnsi="楷体" w:eastAsia="楷体" w:cs="楷体"/>
          <w:b/>
          <w:bCs/>
          <w:color w:val="auto"/>
          <w:spacing w:val="-45"/>
          <w:sz w:val="108"/>
          <w:szCs w:val="108"/>
          <w:highlight w:val="none"/>
        </w:rPr>
      </w:pPr>
    </w:p>
    <w:p w14:paraId="4BC67639">
      <w:pPr>
        <w:pStyle w:val="20"/>
        <w:ind w:firstLine="600"/>
        <w:rPr>
          <w:rFonts w:hint="eastAsia"/>
          <w:color w:val="auto"/>
          <w:highlight w:val="none"/>
        </w:rPr>
      </w:pPr>
    </w:p>
    <w:p w14:paraId="592D51C6">
      <w:pPr>
        <w:rPr>
          <w:rFonts w:hint="eastAsia"/>
          <w:color w:val="auto"/>
          <w:highlight w:val="none"/>
        </w:rPr>
      </w:pPr>
    </w:p>
    <w:p w14:paraId="1192BB3B">
      <w:pPr>
        <w:adjustRightInd w:val="0"/>
        <w:snapToGrid w:val="0"/>
        <w:jc w:val="center"/>
        <w:rPr>
          <w:rFonts w:hint="eastAsia" w:ascii="楷体" w:hAnsi="楷体" w:eastAsia="楷体" w:cs="楷体"/>
          <w:b/>
          <w:bCs/>
          <w:color w:val="auto"/>
          <w:spacing w:val="-28"/>
          <w:sz w:val="108"/>
          <w:szCs w:val="108"/>
          <w:highlight w:val="none"/>
        </w:rPr>
      </w:pPr>
      <w:r>
        <w:rPr>
          <w:rFonts w:hint="eastAsia" w:ascii="楷体" w:hAnsi="楷体" w:eastAsia="楷体" w:cs="楷体"/>
          <w:b/>
          <w:bCs/>
          <w:color w:val="auto"/>
          <w:spacing w:val="-28"/>
          <w:sz w:val="108"/>
          <w:szCs w:val="108"/>
          <w:highlight w:val="none"/>
        </w:rPr>
        <w:t>公开招标采购文件</w:t>
      </w:r>
    </w:p>
    <w:p w14:paraId="5BD6FDD7">
      <w:pPr>
        <w:adjustRightInd w:val="0"/>
        <w:snapToGrid w:val="0"/>
        <w:spacing w:line="100" w:lineRule="exact"/>
        <w:jc w:val="center"/>
        <w:rPr>
          <w:rFonts w:hint="eastAsia" w:ascii="黑体" w:hAnsi="黑体" w:eastAsia="黑体" w:cs="黑体"/>
          <w:color w:val="auto"/>
          <w:sz w:val="28"/>
          <w:szCs w:val="28"/>
          <w:highlight w:val="none"/>
        </w:rPr>
      </w:pPr>
    </w:p>
    <w:p w14:paraId="0941799E">
      <w:pPr>
        <w:adjustRightInd w:val="0"/>
        <w:snapToGrid w:val="0"/>
        <w:spacing w:line="500" w:lineRule="exact"/>
        <w:jc w:val="center"/>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（采购编号：</w:t>
      </w:r>
      <w:r>
        <w:rPr>
          <w:rFonts w:hint="eastAsia" w:ascii="黑体" w:hAnsi="黑体" w:eastAsia="黑体" w:cs="黑体"/>
          <w:color w:val="auto"/>
          <w:sz w:val="28"/>
          <w:szCs w:val="28"/>
          <w:highlight w:val="none"/>
          <w:lang w:eastAsia="zh-CN"/>
        </w:rPr>
        <w:t>OBGCGLZFCG2025-007</w:t>
      </w:r>
      <w:r>
        <w:rPr>
          <w:rFonts w:hint="eastAsia" w:ascii="黑体" w:hAnsi="黑体" w:eastAsia="黑体" w:cs="黑体"/>
          <w:color w:val="auto"/>
          <w:sz w:val="28"/>
          <w:szCs w:val="28"/>
          <w:highlight w:val="none"/>
        </w:rPr>
        <w:t>）</w:t>
      </w:r>
    </w:p>
    <w:p w14:paraId="3A69B9FB">
      <w:pPr>
        <w:pStyle w:val="27"/>
        <w:snapToGrid w:val="0"/>
        <w:spacing w:line="440" w:lineRule="exact"/>
        <w:ind w:firstLine="0"/>
        <w:jc w:val="center"/>
        <w:rPr>
          <w:rFonts w:hint="eastAsia" w:ascii="仿宋" w:hAnsi="仿宋" w:eastAsia="仿宋"/>
          <w:color w:val="auto"/>
          <w:sz w:val="28"/>
          <w:szCs w:val="28"/>
          <w:highlight w:val="none"/>
        </w:rPr>
      </w:pPr>
    </w:p>
    <w:p w14:paraId="607ABAE9">
      <w:pPr>
        <w:pStyle w:val="27"/>
        <w:snapToGrid w:val="0"/>
        <w:spacing w:line="440" w:lineRule="exact"/>
        <w:ind w:firstLine="0"/>
        <w:jc w:val="center"/>
        <w:rPr>
          <w:rFonts w:hint="eastAsia" w:ascii="仿宋" w:hAnsi="仿宋" w:eastAsia="仿宋"/>
          <w:color w:val="auto"/>
          <w:sz w:val="28"/>
          <w:szCs w:val="28"/>
          <w:highlight w:val="none"/>
        </w:rPr>
      </w:pPr>
    </w:p>
    <w:p w14:paraId="45565049">
      <w:pPr>
        <w:pStyle w:val="27"/>
        <w:snapToGrid w:val="0"/>
        <w:spacing w:line="440" w:lineRule="exact"/>
        <w:ind w:firstLine="0"/>
        <w:jc w:val="center"/>
        <w:rPr>
          <w:rFonts w:hint="eastAsia" w:ascii="仿宋" w:hAnsi="仿宋" w:eastAsia="仿宋"/>
          <w:color w:val="auto"/>
          <w:sz w:val="28"/>
          <w:szCs w:val="28"/>
          <w:highlight w:val="none"/>
        </w:rPr>
      </w:pPr>
    </w:p>
    <w:p w14:paraId="5333551C">
      <w:pPr>
        <w:pStyle w:val="27"/>
        <w:snapToGrid w:val="0"/>
        <w:spacing w:line="440" w:lineRule="exact"/>
        <w:ind w:firstLine="0"/>
        <w:jc w:val="center"/>
        <w:rPr>
          <w:rFonts w:hint="eastAsia" w:ascii="仿宋" w:hAnsi="仿宋" w:eastAsia="仿宋"/>
          <w:color w:val="auto"/>
          <w:sz w:val="28"/>
          <w:szCs w:val="28"/>
          <w:highlight w:val="none"/>
        </w:rPr>
      </w:pPr>
    </w:p>
    <w:p w14:paraId="05AF6D48">
      <w:pPr>
        <w:pStyle w:val="27"/>
        <w:snapToGrid w:val="0"/>
        <w:spacing w:line="440" w:lineRule="exact"/>
        <w:ind w:firstLine="0"/>
        <w:jc w:val="center"/>
        <w:rPr>
          <w:rFonts w:hint="eastAsia" w:ascii="仿宋" w:hAnsi="仿宋" w:eastAsia="仿宋"/>
          <w:color w:val="auto"/>
          <w:sz w:val="28"/>
          <w:szCs w:val="28"/>
          <w:highlight w:val="none"/>
        </w:rPr>
      </w:pPr>
    </w:p>
    <w:p w14:paraId="6F0671C2">
      <w:pPr>
        <w:pStyle w:val="27"/>
        <w:snapToGrid w:val="0"/>
        <w:spacing w:line="440" w:lineRule="exact"/>
        <w:ind w:firstLine="0"/>
        <w:jc w:val="center"/>
        <w:rPr>
          <w:rFonts w:hint="eastAsia" w:ascii="仿宋" w:hAnsi="仿宋" w:eastAsia="仿宋"/>
          <w:color w:val="auto"/>
          <w:sz w:val="28"/>
          <w:szCs w:val="28"/>
          <w:highlight w:val="none"/>
        </w:rPr>
      </w:pPr>
    </w:p>
    <w:p w14:paraId="2D6DBCFE">
      <w:pPr>
        <w:pStyle w:val="27"/>
        <w:snapToGrid w:val="0"/>
        <w:spacing w:line="440" w:lineRule="exact"/>
        <w:ind w:firstLine="0"/>
        <w:rPr>
          <w:rFonts w:hint="eastAsia" w:ascii="仿宋" w:hAnsi="仿宋" w:eastAsia="仿宋"/>
          <w:color w:val="auto"/>
          <w:sz w:val="28"/>
          <w:szCs w:val="28"/>
          <w:highlight w:val="none"/>
        </w:rPr>
      </w:pPr>
    </w:p>
    <w:p w14:paraId="2EAFA6C3">
      <w:pPr>
        <w:pStyle w:val="27"/>
        <w:snapToGrid w:val="0"/>
        <w:spacing w:line="440" w:lineRule="exact"/>
        <w:ind w:firstLine="0"/>
        <w:rPr>
          <w:rFonts w:hint="eastAsia" w:ascii="仿宋" w:hAnsi="仿宋" w:eastAsia="仿宋"/>
          <w:color w:val="auto"/>
          <w:sz w:val="28"/>
          <w:szCs w:val="28"/>
          <w:highlight w:val="none"/>
        </w:rPr>
      </w:pPr>
    </w:p>
    <w:p w14:paraId="278890E0">
      <w:pPr>
        <w:pStyle w:val="27"/>
        <w:snapToGrid w:val="0"/>
        <w:spacing w:line="440" w:lineRule="exact"/>
        <w:ind w:firstLine="0"/>
        <w:rPr>
          <w:rFonts w:hint="eastAsia" w:ascii="仿宋" w:hAnsi="仿宋" w:eastAsia="仿宋"/>
          <w:color w:val="auto"/>
          <w:sz w:val="28"/>
          <w:szCs w:val="28"/>
          <w:highlight w:val="none"/>
        </w:rPr>
      </w:pPr>
    </w:p>
    <w:p w14:paraId="69530C45">
      <w:pPr>
        <w:pStyle w:val="27"/>
        <w:snapToGrid w:val="0"/>
        <w:spacing w:line="440" w:lineRule="exact"/>
        <w:ind w:firstLine="0"/>
        <w:rPr>
          <w:rFonts w:hint="eastAsia" w:ascii="仿宋" w:hAnsi="仿宋" w:eastAsia="仿宋"/>
          <w:color w:val="auto"/>
          <w:sz w:val="28"/>
          <w:szCs w:val="28"/>
          <w:highlight w:val="none"/>
        </w:rPr>
      </w:pPr>
    </w:p>
    <w:p w14:paraId="69946F27">
      <w:pPr>
        <w:pStyle w:val="27"/>
        <w:tabs>
          <w:tab w:val="left" w:pos="7305"/>
        </w:tabs>
        <w:snapToGrid w:val="0"/>
        <w:spacing w:line="440" w:lineRule="exact"/>
        <w:ind w:firstLine="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ab/>
      </w:r>
    </w:p>
    <w:p w14:paraId="5ACBBD3F">
      <w:pPr>
        <w:pStyle w:val="27"/>
        <w:keepNext w:val="0"/>
        <w:keepLines w:val="0"/>
        <w:pageBreakBefore w:val="0"/>
        <w:widowControl w:val="0"/>
        <w:kinsoku/>
        <w:wordWrap/>
        <w:overflowPunct/>
        <w:topLinePunct w:val="0"/>
        <w:autoSpaceDE/>
        <w:autoSpaceDN/>
        <w:bidi w:val="0"/>
        <w:adjustRightInd/>
        <w:snapToGrid w:val="0"/>
        <w:spacing w:line="520" w:lineRule="exact"/>
        <w:ind w:left="0" w:leftChars="0" w:firstLine="1800" w:firstLineChars="600"/>
        <w:textAlignment w:val="auto"/>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rPr>
        <w:t>采</w:t>
      </w:r>
      <w:r>
        <w:rPr>
          <w:rFonts w:ascii="黑体" w:hAnsi="黑体" w:eastAsia="黑体" w:cs="黑体"/>
          <w:color w:val="auto"/>
          <w:sz w:val="30"/>
          <w:szCs w:val="30"/>
          <w:highlight w:val="none"/>
        </w:rPr>
        <w:t xml:space="preserve">   </w:t>
      </w:r>
      <w:r>
        <w:rPr>
          <w:rFonts w:hint="eastAsia" w:ascii="黑体" w:hAnsi="黑体" w:eastAsia="黑体" w:cs="黑体"/>
          <w:color w:val="auto"/>
          <w:sz w:val="30"/>
          <w:szCs w:val="30"/>
          <w:highlight w:val="none"/>
        </w:rPr>
        <w:t>购</w:t>
      </w:r>
      <w:r>
        <w:rPr>
          <w:rFonts w:ascii="黑体" w:hAnsi="黑体" w:eastAsia="黑体" w:cs="黑体"/>
          <w:color w:val="auto"/>
          <w:sz w:val="30"/>
          <w:szCs w:val="30"/>
          <w:highlight w:val="none"/>
        </w:rPr>
        <w:t xml:space="preserve">   </w:t>
      </w:r>
      <w:r>
        <w:rPr>
          <w:rFonts w:hint="eastAsia" w:ascii="黑体" w:hAnsi="黑体" w:eastAsia="黑体" w:cs="黑体"/>
          <w:color w:val="auto"/>
          <w:sz w:val="30"/>
          <w:szCs w:val="30"/>
          <w:highlight w:val="none"/>
        </w:rPr>
        <w:t>人：</w:t>
      </w:r>
      <w:r>
        <w:rPr>
          <w:rFonts w:hint="eastAsia" w:ascii="黑体" w:hAnsi="黑体" w:eastAsia="黑体" w:cs="黑体"/>
          <w:color w:val="auto"/>
          <w:sz w:val="30"/>
          <w:szCs w:val="30"/>
          <w:highlight w:val="none"/>
          <w:lang w:eastAsia="zh-CN"/>
        </w:rPr>
        <w:t>开化县林业局</w:t>
      </w:r>
    </w:p>
    <w:p w14:paraId="594ADAB8">
      <w:pPr>
        <w:pStyle w:val="27"/>
        <w:keepNext w:val="0"/>
        <w:keepLines w:val="0"/>
        <w:pageBreakBefore w:val="0"/>
        <w:widowControl w:val="0"/>
        <w:kinsoku/>
        <w:wordWrap/>
        <w:overflowPunct/>
        <w:topLinePunct w:val="0"/>
        <w:autoSpaceDE/>
        <w:autoSpaceDN/>
        <w:bidi w:val="0"/>
        <w:adjustRightInd/>
        <w:snapToGrid w:val="0"/>
        <w:spacing w:line="520" w:lineRule="exact"/>
        <w:ind w:left="0" w:leftChars="0" w:firstLine="1800" w:firstLineChars="600"/>
        <w:textAlignment w:val="auto"/>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rPr>
        <w:t>采购代理机构：</w:t>
      </w:r>
      <w:r>
        <w:rPr>
          <w:rFonts w:hint="eastAsia" w:ascii="黑体" w:hAnsi="黑体" w:eastAsia="黑体" w:cs="黑体"/>
          <w:color w:val="auto"/>
          <w:sz w:val="30"/>
          <w:szCs w:val="30"/>
          <w:highlight w:val="none"/>
          <w:lang w:eastAsia="zh-CN"/>
        </w:rPr>
        <w:t>欧邦工程管理集团有限公司</w:t>
      </w:r>
    </w:p>
    <w:p w14:paraId="79AD14B6">
      <w:pPr>
        <w:pStyle w:val="27"/>
        <w:keepNext w:val="0"/>
        <w:keepLines w:val="0"/>
        <w:pageBreakBefore w:val="0"/>
        <w:widowControl w:val="0"/>
        <w:kinsoku/>
        <w:wordWrap/>
        <w:overflowPunct/>
        <w:topLinePunct w:val="0"/>
        <w:autoSpaceDE/>
        <w:autoSpaceDN/>
        <w:bidi w:val="0"/>
        <w:adjustRightInd/>
        <w:snapToGrid w:val="0"/>
        <w:spacing w:line="520" w:lineRule="exact"/>
        <w:ind w:left="0" w:leftChars="0" w:firstLine="1800" w:firstLineChars="600"/>
        <w:textAlignment w:val="auto"/>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lang w:eastAsia="zh-CN"/>
        </w:rPr>
        <w:t>开  标 时 间：二○二</w:t>
      </w:r>
      <w:r>
        <w:rPr>
          <w:rFonts w:hint="eastAsia" w:ascii="黑体" w:hAnsi="黑体" w:eastAsia="黑体" w:cs="黑体"/>
          <w:color w:val="auto"/>
          <w:sz w:val="30"/>
          <w:szCs w:val="30"/>
          <w:lang w:val="en-US" w:eastAsia="zh-CN"/>
        </w:rPr>
        <w:t>五</w:t>
      </w:r>
      <w:r>
        <w:rPr>
          <w:rFonts w:hint="eastAsia" w:ascii="黑体" w:hAnsi="黑体" w:eastAsia="黑体" w:cs="黑体"/>
          <w:color w:val="auto"/>
          <w:sz w:val="30"/>
          <w:szCs w:val="30"/>
          <w:lang w:eastAsia="zh-CN"/>
        </w:rPr>
        <w:t>年</w:t>
      </w:r>
      <w:r>
        <w:rPr>
          <w:rFonts w:hint="eastAsia" w:ascii="黑体" w:hAnsi="黑体" w:eastAsia="黑体" w:cs="黑体"/>
          <w:color w:val="auto"/>
          <w:sz w:val="30"/>
          <w:szCs w:val="30"/>
          <w:lang w:val="en-US" w:eastAsia="zh-CN"/>
        </w:rPr>
        <w:t>七月二十二</w:t>
      </w:r>
      <w:r>
        <w:rPr>
          <w:rFonts w:hint="eastAsia" w:ascii="黑体" w:hAnsi="黑体" w:eastAsia="黑体" w:cs="黑体"/>
          <w:color w:val="auto"/>
          <w:sz w:val="30"/>
          <w:szCs w:val="30"/>
          <w:lang w:eastAsia="zh-CN"/>
        </w:rPr>
        <w:t>日</w:t>
      </w:r>
    </w:p>
    <w:p w14:paraId="78B1D3CD">
      <w:pPr>
        <w:pStyle w:val="27"/>
        <w:keepNext w:val="0"/>
        <w:keepLines w:val="0"/>
        <w:pageBreakBefore w:val="0"/>
        <w:widowControl w:val="0"/>
        <w:kinsoku/>
        <w:wordWrap/>
        <w:overflowPunct/>
        <w:topLinePunct w:val="0"/>
        <w:autoSpaceDE/>
        <w:autoSpaceDN/>
        <w:bidi w:val="0"/>
        <w:adjustRightInd/>
        <w:snapToGrid w:val="0"/>
        <w:spacing w:line="520" w:lineRule="exact"/>
        <w:ind w:left="0" w:leftChars="0" w:firstLine="0" w:firstLineChars="0"/>
        <w:jc w:val="center"/>
        <w:textAlignment w:val="auto"/>
        <w:rPr>
          <w:rFonts w:hint="eastAsia" w:ascii="黑体" w:hAnsi="黑体" w:eastAsia="黑体" w:cs="黑体"/>
          <w:bCs/>
          <w:color w:val="auto"/>
          <w:sz w:val="44"/>
          <w:szCs w:val="44"/>
          <w:highlight w:val="none"/>
        </w:rPr>
      </w:pPr>
      <w:bookmarkStart w:id="0" w:name="_Toc340582613"/>
      <w:r>
        <w:rPr>
          <w:rFonts w:hint="eastAsia" w:ascii="黑体" w:hAnsi="黑体" w:eastAsia="黑体" w:cs="黑体"/>
          <w:bCs/>
          <w:color w:val="auto"/>
          <w:sz w:val="44"/>
          <w:szCs w:val="44"/>
          <w:highlight w:val="none"/>
        </w:rPr>
        <w:br w:type="page"/>
      </w:r>
      <w:r>
        <w:rPr>
          <w:rFonts w:hint="eastAsia" w:ascii="黑体" w:hAnsi="黑体" w:eastAsia="黑体" w:cs="黑体"/>
          <w:bCs/>
          <w:color w:val="auto"/>
          <w:sz w:val="44"/>
          <w:szCs w:val="44"/>
          <w:highlight w:val="none"/>
        </w:rPr>
        <w:t>目  录</w:t>
      </w:r>
    </w:p>
    <w:p w14:paraId="3DFE81EE">
      <w:pPr>
        <w:pStyle w:val="27"/>
        <w:snapToGrid w:val="0"/>
        <w:spacing w:line="360" w:lineRule="auto"/>
        <w:ind w:firstLine="0"/>
        <w:rPr>
          <w:rFonts w:hint="eastAsia" w:ascii="仿宋" w:hAnsi="仿宋" w:eastAsia="仿宋" w:cs="仿宋"/>
          <w:color w:val="auto"/>
          <w:sz w:val="24"/>
          <w:highlight w:val="none"/>
        </w:rPr>
      </w:pPr>
    </w:p>
    <w:bookmarkEnd w:id="0"/>
    <w:p w14:paraId="3E78DADD">
      <w:pPr>
        <w:pStyle w:val="15"/>
        <w:tabs>
          <w:tab w:val="right" w:leader="dot" w:pos="9071"/>
        </w:tabs>
        <w:spacing w:line="360" w:lineRule="auto"/>
        <w:rPr>
          <w:rFonts w:hint="eastAsia" w:ascii="宋体" w:hAnsi="宋体" w:cs="宋体"/>
          <w:color w:val="auto"/>
          <w:szCs w:val="21"/>
          <w:highlight w:val="none"/>
        </w:rPr>
      </w:pPr>
      <w:bookmarkStart w:id="1" w:name="_Toc7607"/>
      <w:bookmarkStart w:id="2" w:name="_Toc433917257"/>
      <w:bookmarkStart w:id="3" w:name="_Toc326937527"/>
      <w:bookmarkStart w:id="4" w:name="_Toc393201704"/>
      <w:bookmarkStart w:id="5" w:name="_Toc358384685"/>
      <w:bookmarkStart w:id="6" w:name="_Toc333842541"/>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TOC \o "1-3" \h \z \u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_Toc7607 </w:instrText>
      </w:r>
      <w:r>
        <w:rPr>
          <w:rFonts w:hint="eastAsia" w:ascii="宋体" w:hAnsi="宋体" w:cs="宋体"/>
          <w:color w:val="auto"/>
          <w:szCs w:val="21"/>
          <w:highlight w:val="none"/>
        </w:rPr>
        <w:fldChar w:fldCharType="separate"/>
      </w:r>
      <w:r>
        <w:rPr>
          <w:rFonts w:hint="eastAsia" w:ascii="宋体" w:hAnsi="宋体" w:cs="宋体"/>
          <w:bCs/>
          <w:color w:val="auto"/>
          <w:szCs w:val="21"/>
          <w:highlight w:val="none"/>
        </w:rPr>
        <w:t>第一章 招标公告</w:t>
      </w:r>
      <w:r>
        <w:rPr>
          <w:rFonts w:hint="eastAsia" w:ascii="宋体" w:hAnsi="宋体" w:cs="宋体"/>
          <w:color w:val="auto"/>
          <w:szCs w:val="21"/>
          <w:highlight w:val="none"/>
        </w:rPr>
        <w:tab/>
      </w:r>
      <w:r>
        <w:rPr>
          <w:rFonts w:hint="eastAsia" w:ascii="宋体" w:hAnsi="宋体" w:cs="宋体"/>
          <w:color w:val="auto"/>
          <w:szCs w:val="21"/>
          <w:highlight w:val="none"/>
        </w:rPr>
        <w:t>3</w:t>
      </w:r>
      <w:r>
        <w:rPr>
          <w:rFonts w:hint="eastAsia" w:ascii="宋体" w:hAnsi="宋体" w:cs="宋体"/>
          <w:color w:val="auto"/>
          <w:szCs w:val="21"/>
          <w:highlight w:val="none"/>
        </w:rPr>
        <w:fldChar w:fldCharType="end"/>
      </w:r>
    </w:p>
    <w:p w14:paraId="56F58215">
      <w:pPr>
        <w:pStyle w:val="15"/>
        <w:tabs>
          <w:tab w:val="right" w:leader="dot" w:pos="9071"/>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_Toc32706 </w:instrText>
      </w:r>
      <w:r>
        <w:rPr>
          <w:rFonts w:hint="eastAsia" w:ascii="宋体" w:hAnsi="宋体" w:cs="宋体"/>
          <w:color w:val="auto"/>
          <w:szCs w:val="21"/>
          <w:highlight w:val="none"/>
        </w:rPr>
        <w:fldChar w:fldCharType="separate"/>
      </w:r>
      <w:r>
        <w:rPr>
          <w:rFonts w:hint="eastAsia" w:ascii="宋体" w:hAnsi="宋体" w:cs="宋体"/>
          <w:bCs/>
          <w:color w:val="auto"/>
          <w:szCs w:val="21"/>
          <w:highlight w:val="none"/>
        </w:rPr>
        <w:t>第二章 投标人须知及前附表</w:t>
      </w:r>
      <w:r>
        <w:rPr>
          <w:rFonts w:hint="eastAsia" w:ascii="宋体" w:hAnsi="宋体" w:cs="宋体"/>
          <w:color w:val="auto"/>
          <w:szCs w:val="21"/>
          <w:highlight w:val="none"/>
        </w:rPr>
        <w:tab/>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fldChar w:fldCharType="end"/>
      </w:r>
    </w:p>
    <w:p w14:paraId="4F8C59AE">
      <w:pPr>
        <w:pStyle w:val="17"/>
        <w:tabs>
          <w:tab w:val="right" w:leader="dot" w:pos="9071"/>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_Toc21471 </w:instrText>
      </w:r>
      <w:r>
        <w:rPr>
          <w:rFonts w:hint="eastAsia" w:ascii="宋体" w:hAnsi="宋体" w:cs="宋体"/>
          <w:color w:val="auto"/>
          <w:szCs w:val="21"/>
          <w:highlight w:val="none"/>
        </w:rPr>
        <w:fldChar w:fldCharType="separate"/>
      </w:r>
      <w:r>
        <w:rPr>
          <w:rFonts w:hint="eastAsia" w:ascii="宋体" w:hAnsi="宋体" w:cs="宋体"/>
          <w:bCs/>
          <w:color w:val="auto"/>
          <w:kern w:val="0"/>
          <w:szCs w:val="21"/>
          <w:highlight w:val="none"/>
        </w:rPr>
        <w:t>A、投标人须知前附表</w:t>
      </w:r>
      <w:r>
        <w:rPr>
          <w:rFonts w:hint="eastAsia" w:ascii="宋体" w:hAnsi="宋体" w:cs="宋体"/>
          <w:color w:val="auto"/>
          <w:szCs w:val="21"/>
          <w:highlight w:val="none"/>
        </w:rPr>
        <w:tab/>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fldChar w:fldCharType="end"/>
      </w:r>
    </w:p>
    <w:p w14:paraId="62608F78">
      <w:pPr>
        <w:pStyle w:val="17"/>
        <w:tabs>
          <w:tab w:val="right" w:leader="dot" w:pos="9071"/>
        </w:tabs>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_Toc6074 </w:instrText>
      </w:r>
      <w:r>
        <w:rPr>
          <w:rFonts w:hint="eastAsia" w:ascii="宋体" w:hAnsi="宋体" w:cs="宋体"/>
          <w:color w:val="auto"/>
          <w:szCs w:val="21"/>
          <w:highlight w:val="none"/>
        </w:rPr>
        <w:fldChar w:fldCharType="separate"/>
      </w:r>
      <w:r>
        <w:rPr>
          <w:rFonts w:hint="eastAsia" w:ascii="宋体" w:hAnsi="宋体" w:cs="宋体"/>
          <w:bCs/>
          <w:color w:val="auto"/>
          <w:kern w:val="0"/>
          <w:szCs w:val="21"/>
          <w:highlight w:val="none"/>
        </w:rPr>
        <w:t>B、投标人须知</w:t>
      </w:r>
      <w:r>
        <w:rPr>
          <w:rFonts w:hint="eastAsia" w:ascii="宋体" w:hAnsi="宋体" w:cs="宋体"/>
          <w:color w:val="auto"/>
          <w:szCs w:val="21"/>
          <w:highlight w:val="none"/>
        </w:rPr>
        <w:tab/>
      </w:r>
      <w:r>
        <w:rPr>
          <w:rFonts w:hint="eastAsia" w:ascii="宋体" w:hAnsi="宋体" w:cs="宋体"/>
          <w:color w:val="auto"/>
          <w:szCs w:val="21"/>
          <w:highlight w:val="none"/>
        </w:rPr>
        <w:fldChar w:fldCharType="end"/>
      </w:r>
      <w:r>
        <w:rPr>
          <w:rFonts w:hint="eastAsia" w:ascii="宋体" w:hAnsi="宋体" w:cs="宋体"/>
          <w:color w:val="auto"/>
          <w:szCs w:val="21"/>
          <w:highlight w:val="none"/>
          <w:lang w:val="en-US" w:eastAsia="zh-CN"/>
        </w:rPr>
        <w:t>11</w:t>
      </w:r>
    </w:p>
    <w:p w14:paraId="58C4D860">
      <w:pPr>
        <w:pStyle w:val="11"/>
        <w:tabs>
          <w:tab w:val="right" w:leader="dot" w:pos="9071"/>
        </w:tabs>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_Toc16065 </w:instrText>
      </w:r>
      <w:r>
        <w:rPr>
          <w:rFonts w:hint="eastAsia" w:ascii="宋体" w:hAnsi="宋体" w:cs="宋体"/>
          <w:color w:val="auto"/>
          <w:szCs w:val="21"/>
          <w:highlight w:val="none"/>
        </w:rPr>
        <w:fldChar w:fldCharType="separate"/>
      </w:r>
      <w:r>
        <w:rPr>
          <w:rFonts w:hint="eastAsia" w:ascii="宋体" w:hAnsi="宋体" w:cs="宋体"/>
          <w:bCs/>
          <w:color w:val="auto"/>
          <w:kern w:val="0"/>
          <w:szCs w:val="21"/>
          <w:highlight w:val="none"/>
        </w:rPr>
        <w:t>一、总则</w:t>
      </w:r>
      <w:r>
        <w:rPr>
          <w:rFonts w:hint="eastAsia" w:ascii="宋体" w:hAnsi="宋体" w:cs="宋体"/>
          <w:color w:val="auto"/>
          <w:szCs w:val="21"/>
          <w:highlight w:val="none"/>
        </w:rPr>
        <w:tab/>
      </w:r>
      <w:r>
        <w:rPr>
          <w:rFonts w:hint="eastAsia" w:ascii="宋体" w:hAnsi="宋体" w:cs="宋体"/>
          <w:color w:val="auto"/>
          <w:szCs w:val="21"/>
          <w:highlight w:val="none"/>
        </w:rPr>
        <w:fldChar w:fldCharType="end"/>
      </w:r>
      <w:r>
        <w:rPr>
          <w:rFonts w:hint="eastAsia" w:ascii="宋体" w:hAnsi="宋体" w:cs="宋体"/>
          <w:color w:val="auto"/>
          <w:szCs w:val="21"/>
          <w:highlight w:val="none"/>
          <w:lang w:val="en-US" w:eastAsia="zh-CN"/>
        </w:rPr>
        <w:t>11</w:t>
      </w:r>
    </w:p>
    <w:p w14:paraId="656EE9CE">
      <w:pPr>
        <w:pStyle w:val="11"/>
        <w:tabs>
          <w:tab w:val="right" w:leader="dot" w:pos="9071"/>
        </w:tabs>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_Toc6231 </w:instrText>
      </w:r>
      <w:r>
        <w:rPr>
          <w:rFonts w:hint="eastAsia" w:ascii="宋体" w:hAnsi="宋体" w:cs="宋体"/>
          <w:color w:val="auto"/>
          <w:szCs w:val="21"/>
          <w:highlight w:val="none"/>
        </w:rPr>
        <w:fldChar w:fldCharType="separate"/>
      </w:r>
      <w:r>
        <w:rPr>
          <w:rFonts w:hint="eastAsia" w:ascii="宋体" w:hAnsi="宋体" w:cs="宋体"/>
          <w:bCs/>
          <w:color w:val="auto"/>
          <w:kern w:val="0"/>
          <w:szCs w:val="21"/>
          <w:highlight w:val="none"/>
        </w:rPr>
        <w:t>二、招标文件</w:t>
      </w:r>
      <w:r>
        <w:rPr>
          <w:rFonts w:hint="eastAsia" w:ascii="宋体" w:hAnsi="宋体" w:cs="宋体"/>
          <w:color w:val="auto"/>
          <w:szCs w:val="21"/>
          <w:highlight w:val="none"/>
        </w:rPr>
        <w:tab/>
      </w:r>
      <w:r>
        <w:rPr>
          <w:rFonts w:hint="eastAsia" w:ascii="宋体" w:hAnsi="宋体" w:cs="宋体"/>
          <w:color w:val="auto"/>
          <w:szCs w:val="21"/>
          <w:highlight w:val="none"/>
        </w:rPr>
        <w:t>1</w:t>
      </w:r>
      <w:r>
        <w:rPr>
          <w:rFonts w:hint="eastAsia" w:ascii="宋体" w:hAnsi="宋体" w:cs="宋体"/>
          <w:color w:val="auto"/>
          <w:szCs w:val="21"/>
          <w:highlight w:val="none"/>
        </w:rPr>
        <w:fldChar w:fldCharType="end"/>
      </w:r>
      <w:r>
        <w:rPr>
          <w:rFonts w:hint="eastAsia" w:ascii="宋体" w:hAnsi="宋体" w:cs="宋体"/>
          <w:color w:val="auto"/>
          <w:szCs w:val="21"/>
          <w:highlight w:val="none"/>
          <w:lang w:val="en-US" w:eastAsia="zh-CN"/>
        </w:rPr>
        <w:t>3</w:t>
      </w:r>
    </w:p>
    <w:p w14:paraId="31A28CB8">
      <w:pPr>
        <w:pStyle w:val="11"/>
        <w:tabs>
          <w:tab w:val="right" w:leader="dot" w:pos="9071"/>
        </w:tabs>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_Toc27714 </w:instrText>
      </w:r>
      <w:r>
        <w:rPr>
          <w:rFonts w:hint="eastAsia" w:ascii="宋体" w:hAnsi="宋体" w:cs="宋体"/>
          <w:color w:val="auto"/>
          <w:szCs w:val="21"/>
          <w:highlight w:val="none"/>
        </w:rPr>
        <w:fldChar w:fldCharType="separate"/>
      </w:r>
      <w:r>
        <w:rPr>
          <w:rFonts w:hint="eastAsia" w:ascii="宋体" w:hAnsi="宋体" w:cs="宋体"/>
          <w:bCs/>
          <w:color w:val="auto"/>
          <w:kern w:val="0"/>
          <w:szCs w:val="21"/>
          <w:highlight w:val="none"/>
        </w:rPr>
        <w:t>三、投标文件的编制</w:t>
      </w:r>
      <w:r>
        <w:rPr>
          <w:rFonts w:hint="eastAsia" w:ascii="宋体" w:hAnsi="宋体" w:cs="宋体"/>
          <w:color w:val="auto"/>
          <w:szCs w:val="21"/>
          <w:highlight w:val="none"/>
        </w:rPr>
        <w:tab/>
      </w:r>
      <w:r>
        <w:rPr>
          <w:rFonts w:hint="eastAsia" w:ascii="宋体" w:hAnsi="宋体" w:cs="宋体"/>
          <w:color w:val="auto"/>
          <w:szCs w:val="21"/>
          <w:highlight w:val="none"/>
        </w:rPr>
        <w:t>1</w:t>
      </w:r>
      <w:r>
        <w:rPr>
          <w:rFonts w:hint="eastAsia" w:ascii="宋体" w:hAnsi="宋体" w:cs="宋体"/>
          <w:color w:val="auto"/>
          <w:szCs w:val="21"/>
          <w:highlight w:val="none"/>
        </w:rPr>
        <w:fldChar w:fldCharType="end"/>
      </w:r>
      <w:r>
        <w:rPr>
          <w:rFonts w:hint="eastAsia" w:ascii="宋体" w:hAnsi="宋体" w:cs="宋体"/>
          <w:color w:val="auto"/>
          <w:szCs w:val="21"/>
          <w:highlight w:val="none"/>
          <w:lang w:val="en-US" w:eastAsia="zh-CN"/>
        </w:rPr>
        <w:t>3</w:t>
      </w:r>
    </w:p>
    <w:p w14:paraId="0D7A8177">
      <w:pPr>
        <w:pStyle w:val="11"/>
        <w:tabs>
          <w:tab w:val="right" w:leader="dot" w:pos="9071"/>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_Toc10346 </w:instrText>
      </w:r>
      <w:r>
        <w:rPr>
          <w:rFonts w:hint="eastAsia" w:ascii="宋体" w:hAnsi="宋体" w:cs="宋体"/>
          <w:color w:val="auto"/>
          <w:szCs w:val="21"/>
          <w:highlight w:val="none"/>
        </w:rPr>
        <w:fldChar w:fldCharType="separate"/>
      </w:r>
      <w:r>
        <w:rPr>
          <w:rFonts w:hint="eastAsia" w:ascii="宋体" w:hAnsi="宋体" w:cs="宋体"/>
          <w:bCs/>
          <w:color w:val="auto"/>
          <w:kern w:val="0"/>
          <w:szCs w:val="21"/>
          <w:highlight w:val="none"/>
        </w:rPr>
        <w:t>四、投标文件</w:t>
      </w:r>
      <w:r>
        <w:rPr>
          <w:rFonts w:hint="eastAsia" w:ascii="宋体" w:hAnsi="宋体" w:cs="宋体"/>
          <w:bCs/>
          <w:color w:val="auto"/>
          <w:kern w:val="0"/>
          <w:szCs w:val="21"/>
          <w:highlight w:val="none"/>
          <w:lang w:val="en-US" w:eastAsia="zh-CN"/>
        </w:rPr>
        <w:t>的</w:t>
      </w:r>
      <w:r>
        <w:rPr>
          <w:rFonts w:hint="eastAsia" w:ascii="宋体" w:hAnsi="宋体" w:cs="宋体"/>
          <w:bCs/>
          <w:color w:val="auto"/>
          <w:kern w:val="0"/>
          <w:szCs w:val="21"/>
          <w:highlight w:val="none"/>
        </w:rPr>
        <w:t>递交</w:t>
      </w:r>
      <w:r>
        <w:rPr>
          <w:rFonts w:hint="eastAsia" w:ascii="宋体" w:hAnsi="宋体" w:cs="宋体"/>
          <w:color w:val="auto"/>
          <w:szCs w:val="21"/>
          <w:highlight w:val="none"/>
        </w:rPr>
        <w:tab/>
      </w: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fldChar w:fldCharType="end"/>
      </w:r>
    </w:p>
    <w:p w14:paraId="589F9FA7">
      <w:pPr>
        <w:pStyle w:val="11"/>
        <w:tabs>
          <w:tab w:val="right" w:leader="dot" w:pos="9071"/>
        </w:tabs>
        <w:spacing w:line="360" w:lineRule="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_Toc32366 </w:instrText>
      </w:r>
      <w:r>
        <w:rPr>
          <w:rFonts w:hint="eastAsia" w:ascii="宋体" w:hAnsi="宋体" w:cs="宋体"/>
          <w:color w:val="auto"/>
          <w:szCs w:val="21"/>
          <w:highlight w:val="none"/>
        </w:rPr>
        <w:fldChar w:fldCharType="separate"/>
      </w:r>
      <w:r>
        <w:rPr>
          <w:rFonts w:hint="eastAsia" w:ascii="宋体" w:hAnsi="宋体" w:cs="宋体"/>
          <w:bCs/>
          <w:color w:val="auto"/>
          <w:kern w:val="0"/>
          <w:szCs w:val="21"/>
          <w:highlight w:val="none"/>
        </w:rPr>
        <w:t>五、开标、评标和定标</w:t>
      </w:r>
      <w:r>
        <w:rPr>
          <w:rFonts w:hint="eastAsia" w:ascii="宋体" w:hAnsi="宋体" w:cs="宋体"/>
          <w:color w:val="auto"/>
          <w:szCs w:val="21"/>
          <w:highlight w:val="none"/>
        </w:rPr>
        <w:tab/>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fldChar w:fldCharType="end"/>
      </w:r>
      <w:r>
        <w:rPr>
          <w:rFonts w:hint="eastAsia" w:ascii="宋体" w:hAnsi="宋体" w:cs="宋体"/>
          <w:color w:val="auto"/>
          <w:szCs w:val="21"/>
          <w:highlight w:val="none"/>
          <w:lang w:val="en-US" w:eastAsia="zh-CN"/>
        </w:rPr>
        <w:t>6</w:t>
      </w:r>
    </w:p>
    <w:p w14:paraId="2BA72C74">
      <w:pPr>
        <w:pStyle w:val="11"/>
        <w:tabs>
          <w:tab w:val="right" w:leader="dot" w:pos="9071"/>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_Toc1630 </w:instrText>
      </w:r>
      <w:r>
        <w:rPr>
          <w:rFonts w:hint="eastAsia" w:ascii="宋体" w:hAnsi="宋体" w:cs="宋体"/>
          <w:color w:val="auto"/>
          <w:szCs w:val="21"/>
          <w:highlight w:val="none"/>
        </w:rPr>
        <w:fldChar w:fldCharType="separate"/>
      </w:r>
      <w:r>
        <w:rPr>
          <w:rFonts w:hint="eastAsia" w:ascii="宋体" w:hAnsi="宋体" w:cs="宋体"/>
          <w:bCs/>
          <w:color w:val="auto"/>
          <w:kern w:val="0"/>
          <w:szCs w:val="21"/>
          <w:highlight w:val="none"/>
        </w:rPr>
        <w:t>六、合同授予</w:t>
      </w:r>
      <w:r>
        <w:rPr>
          <w:rFonts w:hint="eastAsia" w:ascii="宋体" w:hAnsi="宋体" w:cs="宋体"/>
          <w:color w:val="auto"/>
          <w:szCs w:val="21"/>
          <w:highlight w:val="none"/>
        </w:rPr>
        <w:tab/>
      </w: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fldChar w:fldCharType="end"/>
      </w:r>
    </w:p>
    <w:p w14:paraId="20FD0053">
      <w:pPr>
        <w:pStyle w:val="15"/>
        <w:tabs>
          <w:tab w:val="right" w:leader="dot" w:pos="9071"/>
        </w:tabs>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_Toc5189 </w:instrText>
      </w:r>
      <w:r>
        <w:rPr>
          <w:rFonts w:hint="eastAsia" w:ascii="宋体" w:hAnsi="宋体" w:cs="宋体"/>
          <w:color w:val="auto"/>
          <w:szCs w:val="21"/>
          <w:highlight w:val="none"/>
        </w:rPr>
        <w:fldChar w:fldCharType="separate"/>
      </w:r>
      <w:r>
        <w:rPr>
          <w:rFonts w:hint="eastAsia" w:ascii="宋体" w:hAnsi="宋体" w:cs="宋体"/>
          <w:bCs/>
          <w:color w:val="auto"/>
          <w:szCs w:val="21"/>
          <w:highlight w:val="none"/>
        </w:rPr>
        <w:t>第三章 主要合同条款</w:t>
      </w:r>
      <w:r>
        <w:rPr>
          <w:rFonts w:hint="eastAsia" w:ascii="宋体" w:hAnsi="宋体" w:cs="宋体"/>
          <w:color w:val="auto"/>
          <w:szCs w:val="21"/>
          <w:highlight w:val="none"/>
        </w:rPr>
        <w:tab/>
      </w:r>
      <w:r>
        <w:rPr>
          <w:rFonts w:hint="eastAsia" w:ascii="宋体" w:hAnsi="宋体" w:cs="宋体"/>
          <w:color w:val="auto"/>
          <w:szCs w:val="21"/>
          <w:highlight w:val="none"/>
        </w:rPr>
        <w:t>2</w:t>
      </w:r>
      <w:r>
        <w:rPr>
          <w:rFonts w:hint="eastAsia" w:ascii="宋体" w:hAnsi="宋体" w:cs="宋体"/>
          <w:color w:val="auto"/>
          <w:szCs w:val="21"/>
          <w:highlight w:val="none"/>
        </w:rPr>
        <w:fldChar w:fldCharType="end"/>
      </w:r>
      <w:r>
        <w:rPr>
          <w:rFonts w:hint="eastAsia" w:ascii="宋体" w:hAnsi="宋体" w:cs="宋体"/>
          <w:color w:val="auto"/>
          <w:szCs w:val="21"/>
          <w:highlight w:val="none"/>
          <w:lang w:val="en-US" w:eastAsia="zh-CN"/>
        </w:rPr>
        <w:t>6</w:t>
      </w:r>
    </w:p>
    <w:p w14:paraId="251C8C85">
      <w:pPr>
        <w:pStyle w:val="15"/>
        <w:tabs>
          <w:tab w:val="right" w:leader="dot" w:pos="9071"/>
        </w:tabs>
        <w:spacing w:line="360" w:lineRule="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_Toc31217 </w:instrText>
      </w:r>
      <w:r>
        <w:rPr>
          <w:rFonts w:hint="eastAsia" w:ascii="宋体" w:hAnsi="宋体" w:cs="宋体"/>
          <w:color w:val="auto"/>
          <w:szCs w:val="21"/>
          <w:highlight w:val="none"/>
        </w:rPr>
        <w:fldChar w:fldCharType="separate"/>
      </w:r>
      <w:r>
        <w:rPr>
          <w:rFonts w:hint="eastAsia" w:ascii="宋体" w:hAnsi="宋体" w:cs="宋体"/>
          <w:bCs/>
          <w:color w:val="auto"/>
          <w:szCs w:val="21"/>
          <w:highlight w:val="none"/>
        </w:rPr>
        <w:t>第四章 采购需求</w:t>
      </w:r>
      <w:r>
        <w:rPr>
          <w:rFonts w:hint="eastAsia" w:ascii="宋体" w:hAnsi="宋体" w:cs="宋体"/>
          <w:color w:val="auto"/>
          <w:szCs w:val="21"/>
          <w:highlight w:val="none"/>
        </w:rPr>
        <w:tab/>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fldChar w:fldCharType="end"/>
      </w:r>
      <w:r>
        <w:rPr>
          <w:rFonts w:hint="eastAsia" w:ascii="宋体" w:hAnsi="宋体" w:cs="宋体"/>
          <w:color w:val="auto"/>
          <w:szCs w:val="21"/>
          <w:highlight w:val="none"/>
          <w:lang w:val="en-US" w:eastAsia="zh-CN"/>
        </w:rPr>
        <w:t>1</w:t>
      </w:r>
    </w:p>
    <w:p w14:paraId="10C4A35E">
      <w:pPr>
        <w:pStyle w:val="15"/>
        <w:tabs>
          <w:tab w:val="right" w:leader="dot" w:pos="9071"/>
        </w:tabs>
        <w:spacing w:line="360" w:lineRule="auto"/>
        <w:rPr>
          <w:rFonts w:hint="eastAsia" w:ascii="仿宋" w:hAnsi="仿宋" w:eastAsia="宋体" w:cs="仿宋"/>
          <w:color w:val="auto"/>
          <w:sz w:val="24"/>
          <w:highlight w:val="none"/>
          <w:lang w:val="en-US" w:eastAsia="zh-CN"/>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_Toc14377 </w:instrText>
      </w:r>
      <w:r>
        <w:rPr>
          <w:rFonts w:hint="eastAsia" w:ascii="宋体" w:hAnsi="宋体" w:cs="宋体"/>
          <w:color w:val="auto"/>
          <w:szCs w:val="21"/>
          <w:highlight w:val="none"/>
        </w:rPr>
        <w:fldChar w:fldCharType="separate"/>
      </w:r>
      <w:r>
        <w:rPr>
          <w:rFonts w:hint="eastAsia" w:ascii="宋体" w:hAnsi="宋体" w:cs="宋体"/>
          <w:bCs/>
          <w:color w:val="auto"/>
          <w:kern w:val="0"/>
          <w:szCs w:val="21"/>
          <w:highlight w:val="none"/>
        </w:rPr>
        <w:t>第五章 投标文件格式</w:t>
      </w:r>
      <w:r>
        <w:rPr>
          <w:rFonts w:hint="eastAsia" w:ascii="宋体" w:hAnsi="宋体" w:cs="宋体"/>
          <w:color w:val="auto"/>
          <w:szCs w:val="21"/>
          <w:highlight w:val="none"/>
        </w:rPr>
        <w:tab/>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r>
        <w:rPr>
          <w:rFonts w:hint="eastAsia" w:ascii="宋体" w:hAnsi="宋体" w:cs="宋体"/>
          <w:color w:val="auto"/>
          <w:szCs w:val="21"/>
          <w:highlight w:val="none"/>
          <w:lang w:val="en-US" w:eastAsia="zh-CN"/>
        </w:rPr>
        <w:t>7</w:t>
      </w:r>
    </w:p>
    <w:p w14:paraId="28BD7CDD">
      <w:pPr>
        <w:pStyle w:val="15"/>
        <w:tabs>
          <w:tab w:val="right" w:leader="dot" w:pos="9071"/>
        </w:tabs>
        <w:spacing w:line="360" w:lineRule="auto"/>
        <w:rPr>
          <w:rFonts w:hint="eastAsia" w:ascii="仿宋" w:hAnsi="仿宋" w:eastAsia="仿宋" w:cs="仿宋"/>
          <w:color w:val="auto"/>
          <w:sz w:val="24"/>
          <w:highlight w:val="none"/>
        </w:rPr>
      </w:pPr>
    </w:p>
    <w:p w14:paraId="15339EE0">
      <w:pPr>
        <w:pStyle w:val="15"/>
        <w:tabs>
          <w:tab w:val="right" w:leader="dot" w:pos="9071"/>
        </w:tabs>
        <w:spacing w:line="360" w:lineRule="auto"/>
        <w:rPr>
          <w:rFonts w:hint="eastAsia" w:ascii="仿宋" w:hAnsi="仿宋" w:eastAsia="仿宋" w:cs="仿宋"/>
          <w:color w:val="auto"/>
          <w:sz w:val="24"/>
          <w:highlight w:val="none"/>
        </w:rPr>
      </w:pPr>
    </w:p>
    <w:p w14:paraId="1E2EBE50">
      <w:pPr>
        <w:pStyle w:val="15"/>
        <w:tabs>
          <w:tab w:val="right" w:leader="dot" w:pos="9071"/>
        </w:tabs>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6BC80417">
      <w:pPr>
        <w:pStyle w:val="15"/>
        <w:tabs>
          <w:tab w:val="right" w:leader="dot" w:pos="9071"/>
        </w:tabs>
        <w:spacing w:line="360" w:lineRule="auto"/>
        <w:rPr>
          <w:rFonts w:hint="eastAsia" w:ascii="仿宋" w:hAnsi="仿宋" w:eastAsia="仿宋" w:cs="仿宋"/>
          <w:color w:val="auto"/>
          <w:sz w:val="24"/>
          <w:highlight w:val="none"/>
        </w:rPr>
      </w:pPr>
    </w:p>
    <w:p w14:paraId="5A1CF1EC">
      <w:pPr>
        <w:pStyle w:val="15"/>
        <w:tabs>
          <w:tab w:val="right" w:leader="dot" w:pos="9071"/>
        </w:tabs>
        <w:spacing w:line="360" w:lineRule="auto"/>
        <w:outlineLvl w:val="9"/>
        <w:rPr>
          <w:rFonts w:hint="eastAsia" w:ascii="仿宋" w:hAnsi="仿宋" w:eastAsia="仿宋" w:cs="仿宋"/>
          <w:color w:val="auto"/>
          <w:sz w:val="24"/>
          <w:highlight w:val="none"/>
        </w:rPr>
      </w:pPr>
    </w:p>
    <w:p w14:paraId="642DDF21">
      <w:pPr>
        <w:pStyle w:val="15"/>
        <w:tabs>
          <w:tab w:val="right" w:leader="dot" w:pos="9071"/>
        </w:tabs>
        <w:spacing w:line="360" w:lineRule="auto"/>
        <w:outlineLvl w:val="9"/>
        <w:rPr>
          <w:rFonts w:hint="eastAsia" w:ascii="仿宋" w:hAnsi="仿宋" w:eastAsia="仿宋" w:cs="仿宋"/>
          <w:color w:val="auto"/>
          <w:sz w:val="24"/>
          <w:highlight w:val="none"/>
        </w:rPr>
      </w:pPr>
    </w:p>
    <w:p w14:paraId="2398CFEF">
      <w:pPr>
        <w:outlineLvl w:val="9"/>
        <w:rPr>
          <w:rFonts w:hint="eastAsia" w:ascii="仿宋" w:hAnsi="仿宋" w:eastAsia="仿宋" w:cs="仿宋"/>
          <w:color w:val="auto"/>
          <w:sz w:val="24"/>
          <w:highlight w:val="none"/>
        </w:rPr>
      </w:pPr>
    </w:p>
    <w:p w14:paraId="6CB13823">
      <w:pPr>
        <w:keepLines w:val="0"/>
        <w:outlineLvl w:val="9"/>
        <w:rPr>
          <w:rFonts w:hint="eastAsia" w:ascii="仿宋" w:hAnsi="仿宋" w:eastAsia="仿宋" w:cs="仿宋"/>
          <w:color w:val="auto"/>
          <w:highlight w:val="none"/>
        </w:rPr>
      </w:pPr>
    </w:p>
    <w:p w14:paraId="59BC580D">
      <w:pPr>
        <w:outlineLvl w:val="9"/>
        <w:rPr>
          <w:rFonts w:hint="eastAsia" w:ascii="仿宋" w:hAnsi="仿宋" w:eastAsia="仿宋" w:cs="仿宋"/>
          <w:color w:val="auto"/>
          <w:sz w:val="24"/>
          <w:highlight w:val="none"/>
        </w:rPr>
      </w:pPr>
    </w:p>
    <w:p w14:paraId="1356D375">
      <w:pPr>
        <w:keepLines w:val="0"/>
        <w:outlineLvl w:val="9"/>
        <w:rPr>
          <w:rFonts w:hint="eastAsia" w:ascii="仿宋" w:hAnsi="仿宋" w:eastAsia="仿宋" w:cs="仿宋"/>
          <w:color w:val="auto"/>
          <w:highlight w:val="none"/>
        </w:rPr>
      </w:pPr>
    </w:p>
    <w:p w14:paraId="0111CBA5">
      <w:pPr>
        <w:outlineLvl w:val="9"/>
        <w:rPr>
          <w:rFonts w:hint="eastAsia" w:ascii="仿宋" w:hAnsi="仿宋" w:eastAsia="仿宋" w:cs="仿宋"/>
          <w:color w:val="auto"/>
          <w:sz w:val="24"/>
          <w:highlight w:val="none"/>
        </w:rPr>
      </w:pPr>
    </w:p>
    <w:p w14:paraId="16B3C311">
      <w:pPr>
        <w:keepLines w:val="0"/>
        <w:outlineLvl w:val="9"/>
        <w:rPr>
          <w:rFonts w:hint="eastAsia" w:ascii="仿宋" w:hAnsi="仿宋" w:eastAsia="仿宋" w:cs="仿宋"/>
          <w:color w:val="auto"/>
          <w:highlight w:val="none"/>
        </w:rPr>
      </w:pPr>
    </w:p>
    <w:p w14:paraId="1DB99423">
      <w:pPr>
        <w:outlineLvl w:val="9"/>
        <w:rPr>
          <w:rFonts w:hint="eastAsia" w:ascii="仿宋" w:hAnsi="仿宋" w:eastAsia="仿宋" w:cs="仿宋"/>
          <w:color w:val="auto"/>
          <w:sz w:val="24"/>
          <w:highlight w:val="none"/>
        </w:rPr>
      </w:pPr>
    </w:p>
    <w:p w14:paraId="672CFD43">
      <w:pPr>
        <w:keepLines w:val="0"/>
        <w:outlineLvl w:val="9"/>
        <w:rPr>
          <w:rFonts w:hint="eastAsia"/>
          <w:color w:val="auto"/>
          <w:highlight w:val="none"/>
        </w:rPr>
      </w:pPr>
    </w:p>
    <w:p w14:paraId="3AD1C793">
      <w:pPr>
        <w:pStyle w:val="15"/>
        <w:tabs>
          <w:tab w:val="right" w:leader="dot" w:pos="9071"/>
        </w:tabs>
        <w:spacing w:line="360" w:lineRule="auto"/>
        <w:outlineLvl w:val="9"/>
        <w:rPr>
          <w:rFonts w:hint="eastAsia" w:ascii="仿宋" w:hAnsi="仿宋" w:eastAsia="仿宋"/>
          <w:b/>
          <w:bCs/>
          <w:color w:val="auto"/>
          <w:sz w:val="36"/>
          <w:szCs w:val="36"/>
          <w:highlight w:val="none"/>
        </w:rPr>
      </w:pPr>
    </w:p>
    <w:p w14:paraId="34EA5634">
      <w:pPr>
        <w:pStyle w:val="15"/>
        <w:tabs>
          <w:tab w:val="right" w:leader="dot" w:pos="8730"/>
        </w:tabs>
        <w:spacing w:line="360" w:lineRule="auto"/>
        <w:jc w:val="center"/>
        <w:outlineLvl w:val="0"/>
        <w:rPr>
          <w:rFonts w:ascii="宋体" w:hAnsi="宋体"/>
          <w:color w:val="auto"/>
          <w:highlight w:val="none"/>
        </w:rPr>
      </w:pPr>
      <w:r>
        <w:rPr>
          <w:rFonts w:hint="eastAsia" w:ascii="黑体" w:hAnsi="黑体" w:eastAsia="黑体" w:cs="黑体"/>
          <w:color w:val="auto"/>
          <w:sz w:val="36"/>
          <w:szCs w:val="36"/>
          <w:highlight w:val="none"/>
        </w:rPr>
        <w:br w:type="page"/>
      </w:r>
      <w:r>
        <w:rPr>
          <w:rFonts w:hint="eastAsia" w:ascii="黑体" w:hAnsi="黑体" w:eastAsia="黑体" w:cs="黑体"/>
          <w:color w:val="auto"/>
          <w:sz w:val="36"/>
          <w:szCs w:val="36"/>
          <w:highlight w:val="none"/>
        </w:rPr>
        <w:t>第一章  招标公告</w:t>
      </w:r>
      <w:bookmarkEnd w:id="1"/>
      <w:bookmarkEnd w:id="2"/>
      <w:bookmarkEnd w:id="3"/>
      <w:bookmarkEnd w:id="4"/>
      <w:bookmarkEnd w:id="5"/>
      <w:bookmarkEnd w:id="6"/>
    </w:p>
    <w:p w14:paraId="6134D5F7">
      <w:pPr>
        <w:pBdr>
          <w:top w:val="single" w:color="auto" w:sz="4" w:space="1"/>
          <w:left w:val="single" w:color="auto" w:sz="4" w:space="4"/>
          <w:bottom w:val="single" w:color="auto" w:sz="4" w:space="1"/>
          <w:right w:val="single" w:color="auto" w:sz="4" w:space="4"/>
        </w:pBdr>
        <w:ind w:firstLine="420" w:firstLineChars="200"/>
        <w:rPr>
          <w:rFonts w:ascii="宋体" w:hAnsi="宋体"/>
          <w:color w:val="auto"/>
          <w:highlight w:val="none"/>
        </w:rPr>
      </w:pPr>
      <w:r>
        <w:rPr>
          <w:rFonts w:ascii="宋体" w:hAnsi="宋体"/>
          <w:color w:val="auto"/>
          <w:highlight w:val="none"/>
        </w:rPr>
        <w:t>项目概况</w:t>
      </w:r>
    </w:p>
    <w:p w14:paraId="2964D674">
      <w:pPr>
        <w:pBdr>
          <w:top w:val="single" w:color="auto" w:sz="4" w:space="1"/>
          <w:left w:val="single" w:color="auto" w:sz="4" w:space="4"/>
          <w:bottom w:val="single" w:color="auto" w:sz="4" w:space="1"/>
          <w:right w:val="single" w:color="auto" w:sz="4" w:space="4"/>
        </w:pBdr>
        <w:ind w:firstLine="420" w:firstLineChars="200"/>
        <w:rPr>
          <w:rFonts w:ascii="宋体" w:hAnsi="宋体"/>
          <w:color w:val="auto"/>
          <w:highlight w:val="none"/>
        </w:rPr>
      </w:pPr>
      <w:r>
        <w:rPr>
          <w:rFonts w:hint="eastAsia" w:ascii="宋体" w:hAnsi="宋体"/>
          <w:color w:val="auto"/>
          <w:highlight w:val="none"/>
          <w:lang w:eastAsia="zh-CN"/>
        </w:rPr>
        <w:t>开化县怀玉山区水土保持与生态修复项目监理</w:t>
      </w:r>
      <w:r>
        <w:rPr>
          <w:rFonts w:ascii="宋体" w:hAnsi="宋体"/>
          <w:color w:val="auto"/>
          <w:highlight w:val="none"/>
        </w:rPr>
        <w:t>的潜在投标人</w:t>
      </w:r>
      <w:r>
        <w:rPr>
          <w:rFonts w:hint="eastAsia" w:ascii="宋体" w:hAnsi="宋体"/>
          <w:color w:val="auto"/>
          <w:highlight w:val="none"/>
        </w:rPr>
        <w:t>应在政采云平台（网址：</w:t>
      </w:r>
      <w:r>
        <w:rPr>
          <w:rFonts w:hint="eastAsia" w:ascii="宋体" w:hAnsi="宋体"/>
          <w:color w:val="auto"/>
          <w:highlight w:val="none"/>
        </w:rPr>
        <w:fldChar w:fldCharType="begin"/>
      </w:r>
      <w:r>
        <w:rPr>
          <w:rFonts w:hint="eastAsia" w:ascii="宋体" w:hAnsi="宋体"/>
          <w:color w:val="auto"/>
          <w:highlight w:val="none"/>
        </w:rPr>
        <w:instrText xml:space="preserve"> HYPERLINK "https://login.zcygov.cn/login）获取采购文件（(不是正式供应商不能获取采购文件)）。" </w:instrText>
      </w:r>
      <w:r>
        <w:rPr>
          <w:rFonts w:hint="eastAsia" w:ascii="宋体" w:hAnsi="宋体"/>
          <w:color w:val="auto"/>
          <w:highlight w:val="none"/>
        </w:rPr>
        <w:fldChar w:fldCharType="separate"/>
      </w:r>
      <w:r>
        <w:rPr>
          <w:rFonts w:hint="eastAsia" w:ascii="宋体" w:hAnsi="宋体"/>
          <w:color w:val="auto"/>
          <w:highlight w:val="none"/>
        </w:rPr>
        <w:t>https://login.zcygov.cn/login）</w:t>
      </w:r>
      <w:r>
        <w:rPr>
          <w:rFonts w:hint="eastAsia" w:ascii="宋体" w:hAnsi="宋体"/>
          <w:color w:val="auto"/>
          <w:highlight w:val="none"/>
          <w:lang w:eastAsia="zh-CN"/>
        </w:rPr>
        <w:t>或</w:t>
      </w:r>
      <w:r>
        <w:rPr>
          <w:rFonts w:hint="eastAsia" w:ascii="宋体" w:hAnsi="宋体"/>
          <w:color w:val="auto"/>
          <w:highlight w:val="none"/>
        </w:rPr>
        <w:fldChar w:fldCharType="end"/>
      </w:r>
      <w:r>
        <w:rPr>
          <w:rFonts w:hint="eastAsia" w:ascii="宋体" w:hAnsi="宋体"/>
          <w:color w:val="auto"/>
          <w:highlight w:val="none"/>
        </w:rPr>
        <w:t>浙江政府采购网（http://zfcg.czt.zj.gov.cn）获取招标文件</w:t>
      </w:r>
      <w:r>
        <w:rPr>
          <w:rFonts w:ascii="宋体" w:hAnsi="宋体"/>
          <w:color w:val="auto"/>
          <w:highlight w:val="none"/>
        </w:rPr>
        <w:t>，并于</w:t>
      </w:r>
      <w:r>
        <w:rPr>
          <w:rFonts w:hint="eastAsia" w:ascii="宋体" w:hAnsi="宋体"/>
          <w:color w:val="auto"/>
          <w:highlight w:val="none"/>
          <w:u w:val="single"/>
          <w:lang w:val="en-US" w:eastAsia="zh-CN"/>
        </w:rPr>
        <w:t>2025</w:t>
      </w:r>
      <w:r>
        <w:rPr>
          <w:rFonts w:ascii="宋体" w:hAnsi="宋体"/>
          <w:color w:val="auto"/>
          <w:highlight w:val="none"/>
        </w:rPr>
        <w:t>年</w:t>
      </w:r>
      <w:r>
        <w:rPr>
          <w:rFonts w:hint="eastAsia" w:ascii="宋体" w:hAnsi="宋体"/>
          <w:color w:val="auto"/>
          <w:highlight w:val="none"/>
          <w:u w:val="single"/>
          <w:lang w:val="en-US" w:eastAsia="zh-CN"/>
        </w:rPr>
        <w:t xml:space="preserve"> 07 </w:t>
      </w:r>
      <w:r>
        <w:rPr>
          <w:rFonts w:ascii="宋体" w:hAnsi="宋体"/>
          <w:color w:val="auto"/>
          <w:highlight w:val="none"/>
        </w:rPr>
        <w:t>月</w:t>
      </w:r>
      <w:r>
        <w:rPr>
          <w:rFonts w:hint="eastAsia" w:ascii="宋体" w:hAnsi="宋体"/>
          <w:color w:val="auto"/>
          <w:highlight w:val="none"/>
          <w:u w:val="single"/>
          <w:lang w:val="en-US" w:eastAsia="zh-CN"/>
        </w:rPr>
        <w:t xml:space="preserve"> 22 </w:t>
      </w:r>
      <w:r>
        <w:rPr>
          <w:rFonts w:ascii="宋体" w:hAnsi="宋体"/>
          <w:color w:val="auto"/>
          <w:highlight w:val="none"/>
        </w:rPr>
        <w:t>日</w:t>
      </w:r>
      <w:r>
        <w:rPr>
          <w:rFonts w:hint="eastAsia" w:ascii="宋体" w:hAnsi="宋体"/>
          <w:color w:val="auto"/>
          <w:highlight w:val="none"/>
          <w:u w:val="single"/>
          <w:lang w:val="en-US" w:eastAsia="zh-CN"/>
        </w:rPr>
        <w:t xml:space="preserve"> 09:00 </w:t>
      </w:r>
      <w:r>
        <w:rPr>
          <w:rFonts w:ascii="宋体" w:hAnsi="宋体"/>
          <w:color w:val="auto"/>
          <w:highlight w:val="none"/>
        </w:rPr>
        <w:t>时</w:t>
      </w:r>
      <w:r>
        <w:rPr>
          <w:rFonts w:ascii="宋体" w:hAnsi="宋体"/>
          <w:color w:val="auto"/>
          <w:highlight w:val="none"/>
        </w:rPr>
        <w:t>（北京时间）前递交投标文件。</w:t>
      </w:r>
    </w:p>
    <w:p w14:paraId="5AE9E287">
      <w:pPr>
        <w:spacing w:line="380" w:lineRule="exact"/>
        <w:rPr>
          <w:rFonts w:hint="eastAsia" w:ascii="宋体" w:hAnsi="宋体" w:cs="宋体"/>
          <w:b/>
          <w:bCs/>
          <w:color w:val="auto"/>
          <w:szCs w:val="21"/>
          <w:highlight w:val="none"/>
        </w:rPr>
      </w:pPr>
      <w:r>
        <w:rPr>
          <w:rFonts w:hint="eastAsia" w:ascii="宋体" w:hAnsi="宋体" w:cs="宋体"/>
          <w:b/>
          <w:bCs/>
          <w:color w:val="auto"/>
          <w:szCs w:val="21"/>
          <w:highlight w:val="none"/>
        </w:rPr>
        <w:t>一、项目基本概况：</w:t>
      </w:r>
    </w:p>
    <w:p w14:paraId="4371238C">
      <w:pPr>
        <w:spacing w:line="38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1.项目编号：</w:t>
      </w:r>
      <w:r>
        <w:rPr>
          <w:rFonts w:hint="eastAsia" w:ascii="宋体" w:hAnsi="宋体" w:cs="宋体"/>
          <w:color w:val="auto"/>
          <w:szCs w:val="21"/>
          <w:highlight w:val="none"/>
          <w:lang w:eastAsia="zh-CN"/>
        </w:rPr>
        <w:t>OBGCGLZFCG2025-007</w:t>
      </w:r>
    </w:p>
    <w:p w14:paraId="29489916">
      <w:pPr>
        <w:spacing w:line="380" w:lineRule="exact"/>
        <w:ind w:left="1680" w:leftChars="200" w:hanging="1260" w:hangingChars="6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2.项目名称：</w:t>
      </w:r>
      <w:r>
        <w:rPr>
          <w:rFonts w:hint="eastAsia" w:ascii="宋体" w:hAnsi="宋体" w:cs="宋体"/>
          <w:color w:val="auto"/>
          <w:szCs w:val="21"/>
          <w:highlight w:val="none"/>
          <w:lang w:eastAsia="zh-CN"/>
        </w:rPr>
        <w:t>开化县怀玉山区水土保持与生态修复项目监理</w:t>
      </w:r>
    </w:p>
    <w:p w14:paraId="49CAF046">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3.预算金额：</w:t>
      </w:r>
      <w:r>
        <w:rPr>
          <w:rFonts w:hint="eastAsia" w:ascii="宋体" w:hAnsi="宋体" w:eastAsia="宋体" w:cs="宋体"/>
          <w:color w:val="auto"/>
          <w:sz w:val="21"/>
          <w:szCs w:val="21"/>
          <w:u w:val="single"/>
          <w:lang w:val="en-US" w:eastAsia="zh-CN"/>
        </w:rPr>
        <w:t>357.7046</w:t>
      </w:r>
      <w:r>
        <w:rPr>
          <w:rFonts w:hint="eastAsia" w:ascii="宋体" w:hAnsi="宋体" w:cs="宋体"/>
          <w:color w:val="auto"/>
          <w:szCs w:val="21"/>
          <w:highlight w:val="none"/>
        </w:rPr>
        <w:t>万元</w:t>
      </w:r>
    </w:p>
    <w:p w14:paraId="18B21812">
      <w:pPr>
        <w:spacing w:line="380" w:lineRule="exact"/>
        <w:ind w:firstLine="630" w:firstLineChars="3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标项1：</w:t>
      </w:r>
      <w:r>
        <w:rPr>
          <w:rFonts w:hint="eastAsia" w:ascii="宋体" w:hAnsi="宋体" w:eastAsia="宋体" w:cs="宋体"/>
          <w:color w:val="auto"/>
          <w:sz w:val="21"/>
          <w:szCs w:val="21"/>
          <w:u w:val="single"/>
          <w:lang w:val="en-US" w:eastAsia="zh-CN"/>
        </w:rPr>
        <w:t>164.4500</w:t>
      </w:r>
      <w:r>
        <w:rPr>
          <w:rFonts w:hint="eastAsia" w:ascii="宋体" w:hAnsi="宋体" w:cs="宋体"/>
          <w:color w:val="auto"/>
          <w:szCs w:val="21"/>
          <w:highlight w:val="none"/>
          <w:lang w:eastAsia="zh-CN"/>
        </w:rPr>
        <w:t>万元</w:t>
      </w:r>
    </w:p>
    <w:p w14:paraId="1115A1C9">
      <w:pPr>
        <w:spacing w:line="380" w:lineRule="exact"/>
        <w:ind w:firstLine="630" w:firstLineChars="3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标项2：</w:t>
      </w:r>
      <w:r>
        <w:rPr>
          <w:rFonts w:hint="eastAsia" w:ascii="宋体" w:hAnsi="宋体" w:eastAsia="宋体" w:cs="宋体"/>
          <w:color w:val="auto"/>
          <w:sz w:val="21"/>
          <w:szCs w:val="21"/>
          <w:u w:val="single"/>
          <w:lang w:val="en-US" w:eastAsia="zh-CN"/>
        </w:rPr>
        <w:t>193.2546</w:t>
      </w:r>
      <w:r>
        <w:rPr>
          <w:rFonts w:hint="eastAsia" w:ascii="宋体" w:hAnsi="宋体" w:cs="宋体"/>
          <w:color w:val="auto"/>
          <w:szCs w:val="21"/>
          <w:highlight w:val="none"/>
          <w:lang w:eastAsia="zh-CN"/>
        </w:rPr>
        <w:t>万元</w:t>
      </w:r>
    </w:p>
    <w:p w14:paraId="1C457C8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cs="宋体"/>
          <w:color w:val="auto"/>
          <w:szCs w:val="21"/>
          <w:highlight w:val="none"/>
          <w:lang w:eastAsia="zh-CN"/>
        </w:rPr>
      </w:pPr>
      <w:r>
        <w:rPr>
          <w:rFonts w:hint="eastAsia" w:ascii="宋体" w:hAnsi="宋体" w:cs="宋体"/>
          <w:color w:val="auto"/>
          <w:szCs w:val="21"/>
          <w:highlight w:val="none"/>
        </w:rPr>
        <w:t>4.最高限价：</w:t>
      </w:r>
      <w:r>
        <w:rPr>
          <w:rFonts w:hint="eastAsia" w:ascii="宋体" w:hAnsi="宋体" w:eastAsia="宋体" w:cs="宋体"/>
          <w:color w:val="auto"/>
          <w:sz w:val="21"/>
          <w:szCs w:val="21"/>
          <w:u w:val="single"/>
          <w:lang w:val="en-US" w:eastAsia="zh-CN"/>
        </w:rPr>
        <w:t>357.7046</w:t>
      </w:r>
      <w:r>
        <w:rPr>
          <w:rFonts w:hint="eastAsia" w:ascii="宋体" w:hAnsi="宋体" w:cs="宋体"/>
          <w:color w:val="auto"/>
          <w:szCs w:val="21"/>
          <w:highlight w:val="none"/>
        </w:rPr>
        <w:t>万元</w:t>
      </w:r>
    </w:p>
    <w:p w14:paraId="03225031">
      <w:pPr>
        <w:spacing w:line="380" w:lineRule="exact"/>
        <w:ind w:firstLine="630" w:firstLineChars="3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标项1：</w:t>
      </w:r>
      <w:r>
        <w:rPr>
          <w:rFonts w:hint="eastAsia" w:ascii="宋体" w:hAnsi="宋体" w:eastAsia="宋体" w:cs="宋体"/>
          <w:color w:val="auto"/>
          <w:sz w:val="21"/>
          <w:szCs w:val="21"/>
          <w:u w:val="single"/>
          <w:lang w:val="en-US" w:eastAsia="zh-CN"/>
        </w:rPr>
        <w:t>164.4500</w:t>
      </w:r>
      <w:r>
        <w:rPr>
          <w:rFonts w:hint="eastAsia" w:ascii="宋体" w:hAnsi="宋体" w:cs="宋体"/>
          <w:color w:val="auto"/>
          <w:szCs w:val="21"/>
          <w:highlight w:val="none"/>
          <w:lang w:eastAsia="zh-CN"/>
        </w:rPr>
        <w:t>万元</w:t>
      </w:r>
    </w:p>
    <w:p w14:paraId="22551880">
      <w:pPr>
        <w:spacing w:line="380" w:lineRule="exact"/>
        <w:ind w:firstLine="630" w:firstLineChars="30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标项2：</w:t>
      </w:r>
      <w:r>
        <w:rPr>
          <w:rFonts w:hint="eastAsia" w:ascii="宋体" w:hAnsi="宋体" w:eastAsia="宋体" w:cs="宋体"/>
          <w:color w:val="auto"/>
          <w:sz w:val="21"/>
          <w:szCs w:val="21"/>
          <w:u w:val="single"/>
          <w:lang w:val="en-US" w:eastAsia="zh-CN"/>
        </w:rPr>
        <w:t>193.2546</w:t>
      </w:r>
      <w:r>
        <w:rPr>
          <w:rFonts w:hint="eastAsia" w:ascii="宋体" w:hAnsi="宋体" w:cs="宋体"/>
          <w:color w:val="auto"/>
          <w:szCs w:val="21"/>
          <w:highlight w:val="none"/>
          <w:lang w:eastAsia="zh-CN"/>
        </w:rPr>
        <w:t>万元</w:t>
      </w:r>
    </w:p>
    <w:p w14:paraId="4F6575D9">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5.采购需求：</w:t>
      </w:r>
    </w:p>
    <w:tbl>
      <w:tblPr>
        <w:tblStyle w:val="22"/>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05"/>
        <w:gridCol w:w="3366"/>
        <w:gridCol w:w="850"/>
        <w:gridCol w:w="763"/>
        <w:gridCol w:w="2750"/>
        <w:gridCol w:w="768"/>
      </w:tblGrid>
      <w:tr w14:paraId="1BCF9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4" w:hRule="atLeast"/>
        </w:trPr>
        <w:tc>
          <w:tcPr>
            <w:tcW w:w="905" w:type="dxa"/>
            <w:tcBorders>
              <w:top w:val="single" w:color="auto" w:sz="4" w:space="0"/>
              <w:left w:val="single" w:color="auto" w:sz="4" w:space="0"/>
              <w:bottom w:val="single" w:color="auto" w:sz="4" w:space="0"/>
              <w:right w:val="single" w:color="auto" w:sz="4" w:space="0"/>
            </w:tcBorders>
            <w:noWrap w:val="0"/>
            <w:vAlign w:val="center"/>
          </w:tcPr>
          <w:p w14:paraId="09CC590D">
            <w:pPr>
              <w:jc w:val="center"/>
              <w:rPr>
                <w:rFonts w:hint="eastAsia" w:ascii="宋体" w:hAnsi="宋体" w:cs="宋体"/>
                <w:color w:val="auto"/>
                <w:szCs w:val="21"/>
                <w:highlight w:val="none"/>
              </w:rPr>
            </w:pPr>
            <w:r>
              <w:rPr>
                <w:rFonts w:hint="eastAsia" w:ascii="宋体" w:hAnsi="宋体" w:cs="宋体"/>
                <w:color w:val="auto"/>
                <w:szCs w:val="21"/>
                <w:highlight w:val="none"/>
              </w:rPr>
              <w:t>标项序号</w:t>
            </w:r>
          </w:p>
        </w:tc>
        <w:tc>
          <w:tcPr>
            <w:tcW w:w="3366" w:type="dxa"/>
            <w:tcBorders>
              <w:top w:val="single" w:color="auto" w:sz="4" w:space="0"/>
              <w:left w:val="single" w:color="auto" w:sz="4" w:space="0"/>
              <w:bottom w:val="single" w:color="auto" w:sz="4" w:space="0"/>
              <w:right w:val="single" w:color="auto" w:sz="4" w:space="0"/>
            </w:tcBorders>
            <w:noWrap w:val="0"/>
            <w:vAlign w:val="center"/>
          </w:tcPr>
          <w:p w14:paraId="24DB6C83">
            <w:pPr>
              <w:jc w:val="center"/>
              <w:rPr>
                <w:rFonts w:hint="eastAsia" w:ascii="宋体" w:hAnsi="宋体" w:cs="宋体"/>
                <w:color w:val="auto"/>
                <w:szCs w:val="21"/>
                <w:highlight w:val="none"/>
              </w:rPr>
            </w:pPr>
            <w:r>
              <w:rPr>
                <w:rFonts w:hint="eastAsia" w:ascii="宋体" w:hAnsi="宋体" w:cs="宋体"/>
                <w:color w:val="auto"/>
                <w:szCs w:val="21"/>
                <w:highlight w:val="none"/>
              </w:rPr>
              <w:t>标项内容</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5BFD8756">
            <w:pPr>
              <w:jc w:val="center"/>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54DA90FF">
            <w:pPr>
              <w:jc w:val="center"/>
              <w:rPr>
                <w:rFonts w:hint="eastAsia" w:ascii="宋体" w:hAnsi="宋体" w:cs="宋体"/>
                <w:color w:val="auto"/>
                <w:szCs w:val="21"/>
                <w:highlight w:val="none"/>
              </w:rPr>
            </w:pPr>
            <w:r>
              <w:rPr>
                <w:rFonts w:hint="eastAsia" w:ascii="宋体" w:hAnsi="宋体" w:cs="宋体"/>
                <w:color w:val="auto"/>
                <w:szCs w:val="21"/>
                <w:highlight w:val="none"/>
              </w:rPr>
              <w:t>单位</w:t>
            </w:r>
          </w:p>
        </w:tc>
        <w:tc>
          <w:tcPr>
            <w:tcW w:w="2750" w:type="dxa"/>
            <w:tcBorders>
              <w:top w:val="single" w:color="auto" w:sz="4" w:space="0"/>
              <w:left w:val="single" w:color="auto" w:sz="4" w:space="0"/>
              <w:bottom w:val="single" w:color="auto" w:sz="4" w:space="0"/>
              <w:right w:val="single" w:color="auto" w:sz="4" w:space="0"/>
            </w:tcBorders>
            <w:noWrap w:val="0"/>
            <w:vAlign w:val="center"/>
          </w:tcPr>
          <w:p w14:paraId="2B8406FA">
            <w:pPr>
              <w:jc w:val="center"/>
              <w:rPr>
                <w:rFonts w:hint="eastAsia" w:ascii="宋体" w:hAnsi="宋体" w:cs="宋体"/>
                <w:color w:val="auto"/>
                <w:szCs w:val="21"/>
                <w:highlight w:val="none"/>
              </w:rPr>
            </w:pPr>
            <w:r>
              <w:rPr>
                <w:rFonts w:hint="eastAsia" w:ascii="宋体" w:hAnsi="宋体" w:cs="宋体"/>
                <w:color w:val="auto"/>
                <w:szCs w:val="21"/>
                <w:highlight w:val="none"/>
              </w:rPr>
              <w:t>简要技术要求、用途</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2247B6B7">
            <w:pPr>
              <w:jc w:val="center"/>
              <w:rPr>
                <w:rFonts w:hint="eastAsia" w:ascii="宋体" w:hAnsi="宋体" w:cs="宋体"/>
                <w:color w:val="auto"/>
                <w:szCs w:val="21"/>
                <w:highlight w:val="none"/>
              </w:rPr>
            </w:pPr>
            <w:r>
              <w:rPr>
                <w:rFonts w:hint="eastAsia" w:ascii="宋体" w:hAnsi="宋体" w:cs="宋体"/>
                <w:color w:val="auto"/>
                <w:szCs w:val="21"/>
                <w:highlight w:val="none"/>
              </w:rPr>
              <w:t>备注</w:t>
            </w:r>
          </w:p>
        </w:tc>
      </w:tr>
      <w:tr w14:paraId="15D20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4" w:hRule="atLeast"/>
        </w:trPr>
        <w:tc>
          <w:tcPr>
            <w:tcW w:w="905" w:type="dxa"/>
            <w:tcBorders>
              <w:top w:val="single" w:color="auto" w:sz="4" w:space="0"/>
              <w:left w:val="single" w:color="auto" w:sz="4" w:space="0"/>
              <w:bottom w:val="single" w:color="auto" w:sz="4" w:space="0"/>
              <w:right w:val="single" w:color="auto" w:sz="4" w:space="0"/>
            </w:tcBorders>
            <w:noWrap w:val="0"/>
            <w:vAlign w:val="center"/>
          </w:tcPr>
          <w:p w14:paraId="79C49CB8">
            <w:pPr>
              <w:jc w:val="center"/>
              <w:rPr>
                <w:rFonts w:hint="eastAsia" w:ascii="宋体" w:hAnsi="宋体" w:cs="宋体"/>
                <w:color w:val="auto"/>
                <w:szCs w:val="21"/>
                <w:highlight w:val="none"/>
              </w:rPr>
            </w:pPr>
            <w:bookmarkStart w:id="7" w:name="B10_序号"/>
            <w:r>
              <w:rPr>
                <w:rFonts w:hint="eastAsia" w:ascii="宋体" w:hAnsi="宋体" w:cs="宋体"/>
                <w:color w:val="auto"/>
                <w:szCs w:val="21"/>
                <w:highlight w:val="none"/>
              </w:rPr>
              <w:t>1</w:t>
            </w:r>
            <w:bookmarkEnd w:id="7"/>
          </w:p>
        </w:tc>
        <w:tc>
          <w:tcPr>
            <w:tcW w:w="3366" w:type="dxa"/>
            <w:tcBorders>
              <w:top w:val="single" w:color="auto" w:sz="4" w:space="0"/>
              <w:left w:val="single" w:color="auto" w:sz="4" w:space="0"/>
              <w:bottom w:val="single" w:color="auto" w:sz="4" w:space="0"/>
              <w:right w:val="single" w:color="auto" w:sz="4" w:space="0"/>
            </w:tcBorders>
            <w:noWrap w:val="0"/>
            <w:vAlign w:val="center"/>
          </w:tcPr>
          <w:p w14:paraId="37030D53">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开化县怀玉山区水土保持与生态修复项目监理（</w:t>
            </w:r>
            <w:r>
              <w:rPr>
                <w:rFonts w:hint="eastAsia" w:ascii="宋体" w:hAnsi="宋体" w:cs="宋体"/>
                <w:color w:val="auto"/>
                <w:szCs w:val="21"/>
                <w:highlight w:val="none"/>
                <w:lang w:val="en-US" w:eastAsia="zh-CN"/>
              </w:rPr>
              <w:t>采伐修复-不补植</w:t>
            </w:r>
            <w:r>
              <w:rPr>
                <w:rFonts w:hint="eastAsia" w:ascii="宋体" w:hAnsi="宋体" w:cs="宋体"/>
                <w:color w:val="auto"/>
                <w:szCs w:val="21"/>
                <w:highlight w:val="none"/>
                <w:lang w:eastAsia="zh-CN"/>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7AED395E">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52A677F9">
            <w:pPr>
              <w:jc w:val="center"/>
              <w:rPr>
                <w:rFonts w:hint="eastAsia" w:ascii="宋体" w:hAnsi="宋体" w:cs="宋体"/>
                <w:color w:val="auto"/>
                <w:kern w:val="21"/>
                <w:highlight w:val="none"/>
              </w:rPr>
            </w:pPr>
            <w:r>
              <w:rPr>
                <w:rFonts w:hint="eastAsia" w:ascii="宋体" w:hAnsi="宋体" w:cs="宋体"/>
                <w:color w:val="auto"/>
                <w:kern w:val="21"/>
                <w:highlight w:val="none"/>
              </w:rPr>
              <w:t>项</w:t>
            </w:r>
          </w:p>
        </w:tc>
        <w:tc>
          <w:tcPr>
            <w:tcW w:w="2750" w:type="dxa"/>
            <w:tcBorders>
              <w:top w:val="single" w:color="auto" w:sz="4" w:space="0"/>
              <w:left w:val="single" w:color="auto" w:sz="4" w:space="0"/>
              <w:bottom w:val="single" w:color="auto" w:sz="4" w:space="0"/>
              <w:right w:val="single" w:color="auto" w:sz="4" w:space="0"/>
            </w:tcBorders>
            <w:noWrap w:val="0"/>
            <w:vAlign w:val="center"/>
          </w:tcPr>
          <w:p w14:paraId="168609E2">
            <w:pPr>
              <w:jc w:val="center"/>
              <w:rPr>
                <w:rFonts w:hint="eastAsia" w:ascii="宋体" w:hAnsi="宋体" w:cs="宋体"/>
                <w:color w:val="auto"/>
                <w:szCs w:val="21"/>
                <w:highlight w:val="none"/>
              </w:rPr>
            </w:pPr>
            <w:r>
              <w:rPr>
                <w:rFonts w:hint="eastAsia" w:ascii="宋体" w:hAnsi="宋体" w:cs="宋体"/>
                <w:color w:val="auto"/>
                <w:kern w:val="21"/>
                <w:highlight w:val="none"/>
              </w:rPr>
              <w:t>详见第四章《采购需求》</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4FDF5BBA">
            <w:pPr>
              <w:jc w:val="center"/>
              <w:rPr>
                <w:rFonts w:hint="eastAsia" w:ascii="宋体" w:hAnsi="宋体" w:cs="宋体"/>
                <w:color w:val="auto"/>
                <w:szCs w:val="21"/>
                <w:highlight w:val="none"/>
              </w:rPr>
            </w:pPr>
            <w:bookmarkStart w:id="8" w:name="B15_备注"/>
            <w:bookmarkEnd w:id="8"/>
          </w:p>
        </w:tc>
      </w:tr>
      <w:tr w14:paraId="0FF55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4" w:hRule="atLeast"/>
        </w:trPr>
        <w:tc>
          <w:tcPr>
            <w:tcW w:w="905" w:type="dxa"/>
            <w:tcBorders>
              <w:top w:val="single" w:color="auto" w:sz="4" w:space="0"/>
              <w:left w:val="single" w:color="auto" w:sz="4" w:space="0"/>
              <w:right w:val="single" w:color="auto" w:sz="4" w:space="0"/>
            </w:tcBorders>
            <w:noWrap w:val="0"/>
            <w:vAlign w:val="center"/>
          </w:tcPr>
          <w:p w14:paraId="59D6ADCC">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3366" w:type="dxa"/>
            <w:tcBorders>
              <w:top w:val="single" w:color="auto" w:sz="4" w:space="0"/>
              <w:left w:val="single" w:color="auto" w:sz="4" w:space="0"/>
              <w:bottom w:val="single" w:color="auto" w:sz="4" w:space="0"/>
              <w:right w:val="single" w:color="auto" w:sz="4" w:space="0"/>
            </w:tcBorders>
            <w:noWrap w:val="0"/>
            <w:vAlign w:val="center"/>
          </w:tcPr>
          <w:p w14:paraId="5B0EE18F">
            <w:pPr>
              <w:jc w:val="center"/>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开化县怀玉山区水土保持与生态修复项目监理（</w:t>
            </w:r>
            <w:r>
              <w:rPr>
                <w:rFonts w:hint="eastAsia" w:ascii="宋体" w:hAnsi="宋体" w:cs="宋体"/>
                <w:color w:val="auto"/>
                <w:szCs w:val="21"/>
                <w:highlight w:val="none"/>
                <w:lang w:val="en-US" w:eastAsia="zh-CN"/>
              </w:rPr>
              <w:t>采伐修复-补植、更替修复、人工造林</w:t>
            </w:r>
            <w:r>
              <w:rPr>
                <w:rFonts w:hint="eastAsia" w:ascii="宋体" w:hAnsi="宋体" w:cs="宋体"/>
                <w:color w:val="auto"/>
                <w:szCs w:val="21"/>
                <w:highlight w:val="none"/>
                <w:lang w:eastAsia="zh-CN"/>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2FEF9DD2">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763" w:type="dxa"/>
            <w:tcBorders>
              <w:top w:val="single" w:color="auto" w:sz="4" w:space="0"/>
              <w:left w:val="single" w:color="auto" w:sz="4" w:space="0"/>
              <w:right w:val="single" w:color="auto" w:sz="4" w:space="0"/>
            </w:tcBorders>
            <w:noWrap w:val="0"/>
            <w:vAlign w:val="center"/>
          </w:tcPr>
          <w:p w14:paraId="19CBF169">
            <w:pPr>
              <w:jc w:val="center"/>
              <w:rPr>
                <w:rFonts w:hint="eastAsia" w:ascii="宋体" w:hAnsi="宋体" w:cs="宋体"/>
                <w:color w:val="auto"/>
                <w:kern w:val="21"/>
                <w:highlight w:val="none"/>
              </w:rPr>
            </w:pPr>
            <w:r>
              <w:rPr>
                <w:rFonts w:hint="eastAsia" w:ascii="宋体" w:hAnsi="宋体" w:cs="宋体"/>
                <w:color w:val="auto"/>
                <w:kern w:val="21"/>
                <w:highlight w:val="none"/>
              </w:rPr>
              <w:t>项</w:t>
            </w:r>
          </w:p>
        </w:tc>
        <w:tc>
          <w:tcPr>
            <w:tcW w:w="2750" w:type="dxa"/>
            <w:tcBorders>
              <w:top w:val="single" w:color="auto" w:sz="4" w:space="0"/>
              <w:left w:val="single" w:color="auto" w:sz="4" w:space="0"/>
              <w:right w:val="single" w:color="auto" w:sz="4" w:space="0"/>
            </w:tcBorders>
            <w:noWrap w:val="0"/>
            <w:vAlign w:val="center"/>
          </w:tcPr>
          <w:p w14:paraId="5EBDA786">
            <w:pPr>
              <w:jc w:val="center"/>
              <w:rPr>
                <w:rFonts w:hint="eastAsia" w:ascii="宋体" w:hAnsi="宋体" w:cs="宋体"/>
                <w:color w:val="auto"/>
                <w:kern w:val="21"/>
                <w:highlight w:val="none"/>
              </w:rPr>
            </w:pPr>
            <w:r>
              <w:rPr>
                <w:rFonts w:hint="eastAsia" w:ascii="宋体" w:hAnsi="宋体" w:cs="宋体"/>
                <w:color w:val="auto"/>
                <w:kern w:val="21"/>
                <w:highlight w:val="none"/>
              </w:rPr>
              <w:t>详见第四章《采购需求》</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376D1D7B">
            <w:pPr>
              <w:jc w:val="center"/>
              <w:rPr>
                <w:rFonts w:hint="eastAsia" w:ascii="宋体" w:hAnsi="宋体" w:cs="宋体"/>
                <w:color w:val="auto"/>
                <w:szCs w:val="21"/>
                <w:highlight w:val="none"/>
              </w:rPr>
            </w:pPr>
          </w:p>
        </w:tc>
      </w:tr>
    </w:tbl>
    <w:p w14:paraId="07F57144">
      <w:pPr>
        <w:pStyle w:val="19"/>
        <w:keepNext w:val="0"/>
        <w:keepLines w:val="0"/>
        <w:pageBreakBefore w:val="0"/>
        <w:widowControl w:val="0"/>
        <w:kinsoku/>
        <w:wordWrap/>
        <w:overflowPunct/>
        <w:topLinePunct w:val="0"/>
        <w:autoSpaceDE/>
        <w:autoSpaceDN/>
        <w:bidi w:val="0"/>
        <w:adjustRightInd/>
        <w:snapToGrid/>
        <w:spacing w:before="0" w:after="0" w:line="400" w:lineRule="exact"/>
        <w:jc w:val="both"/>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highlight w:val="none"/>
          <w:lang w:eastAsia="zh-CN"/>
        </w:rPr>
        <w:t>▲注：</w:t>
      </w:r>
      <w:r>
        <w:rPr>
          <w:rFonts w:hint="eastAsia" w:ascii="宋体" w:hAnsi="宋体" w:eastAsia="宋体" w:cs="宋体"/>
          <w:b/>
          <w:color w:val="auto"/>
          <w:sz w:val="21"/>
          <w:szCs w:val="21"/>
          <w:highlight w:val="none"/>
        </w:rPr>
        <w:t>投标人可任选一个或</w:t>
      </w:r>
      <w:r>
        <w:rPr>
          <w:rFonts w:hint="eastAsia" w:ascii="宋体" w:hAnsi="宋体" w:cs="宋体"/>
          <w:b/>
          <w:color w:val="auto"/>
          <w:sz w:val="21"/>
          <w:szCs w:val="21"/>
          <w:highlight w:val="none"/>
          <w:lang w:val="en-US" w:eastAsia="zh-CN"/>
        </w:rPr>
        <w:t>两</w:t>
      </w:r>
      <w:r>
        <w:rPr>
          <w:rFonts w:hint="eastAsia" w:ascii="宋体" w:hAnsi="宋体" w:eastAsia="宋体" w:cs="宋体"/>
          <w:b/>
          <w:color w:val="auto"/>
          <w:sz w:val="21"/>
          <w:szCs w:val="21"/>
          <w:highlight w:val="none"/>
        </w:rPr>
        <w:t>个标项进行投标</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投标文件须分标项制作</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一个投标人最多只能中</w:t>
      </w: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个标项，</w:t>
      </w:r>
      <w:r>
        <w:rPr>
          <w:rFonts w:hint="eastAsia" w:ascii="宋体" w:hAnsi="宋体" w:eastAsia="宋体" w:cs="宋体"/>
          <w:b/>
          <w:color w:val="auto"/>
          <w:sz w:val="21"/>
          <w:szCs w:val="21"/>
          <w:highlight w:val="none"/>
          <w:lang w:eastAsia="zh-CN"/>
        </w:rPr>
        <w:t>按</w:t>
      </w:r>
      <w:r>
        <w:rPr>
          <w:rFonts w:hint="eastAsia" w:ascii="宋体" w:hAnsi="宋体" w:eastAsia="宋体" w:cs="宋体"/>
          <w:b/>
          <w:color w:val="auto"/>
          <w:sz w:val="21"/>
          <w:szCs w:val="21"/>
          <w:highlight w:val="none"/>
        </w:rPr>
        <w:t>标项</w:t>
      </w: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标项</w:t>
      </w: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顺序开标，投标单位已经被确定为中标候选人的不再参加后面标项的开</w:t>
      </w:r>
      <w:r>
        <w:rPr>
          <w:rFonts w:hint="eastAsia" w:ascii="宋体" w:hAnsi="宋体" w:eastAsia="宋体" w:cs="宋体"/>
          <w:b/>
          <w:color w:val="auto"/>
          <w:sz w:val="21"/>
          <w:szCs w:val="21"/>
          <w:highlight w:val="none"/>
          <w:lang w:eastAsia="zh-CN"/>
        </w:rPr>
        <w:t>评</w:t>
      </w:r>
      <w:r>
        <w:rPr>
          <w:rFonts w:hint="eastAsia" w:ascii="宋体" w:hAnsi="宋体" w:eastAsia="宋体" w:cs="宋体"/>
          <w:b/>
          <w:color w:val="auto"/>
          <w:sz w:val="21"/>
          <w:szCs w:val="21"/>
          <w:highlight w:val="none"/>
        </w:rPr>
        <w:t>标。</w:t>
      </w:r>
    </w:p>
    <w:p w14:paraId="57C11B9B">
      <w:pPr>
        <w:pageBreakBefore w:val="0"/>
        <w:numPr>
          <w:ilvl w:val="0"/>
          <w:numId w:val="0"/>
        </w:numPr>
        <w:kinsoku/>
        <w:wordWrap/>
        <w:overflowPunct/>
        <w:topLinePunct w:val="0"/>
        <w:bidi w:val="0"/>
        <w:spacing w:line="400" w:lineRule="exact"/>
        <w:ind w:left="0" w:lef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6.工期（服务期限）要求</w:t>
      </w:r>
      <w:r>
        <w:rPr>
          <w:rFonts w:hint="eastAsia" w:ascii="宋体" w:hAnsi="宋体" w:cs="宋体"/>
          <w:color w:val="auto"/>
          <w:sz w:val="21"/>
          <w:szCs w:val="21"/>
          <w:lang w:eastAsia="zh-CN"/>
        </w:rPr>
        <w:t>（标项1、标项2）</w:t>
      </w:r>
      <w:r>
        <w:rPr>
          <w:rFonts w:hint="eastAsia" w:ascii="宋体" w:hAnsi="宋体" w:cs="宋体"/>
          <w:color w:val="auto"/>
          <w:szCs w:val="21"/>
          <w:highlight w:val="none"/>
        </w:rPr>
        <w:t>：</w:t>
      </w:r>
      <w:r>
        <w:rPr>
          <w:rFonts w:hint="eastAsia" w:ascii="宋体" w:hAnsi="宋体" w:eastAsia="宋体" w:cs="宋体"/>
          <w:color w:val="auto"/>
          <w:kern w:val="0"/>
          <w:highlight w:val="none"/>
          <w:u w:val="single"/>
        </w:rPr>
        <w:t>从签订合同之日起至工程竣工</w:t>
      </w:r>
      <w:r>
        <w:rPr>
          <w:rFonts w:hint="eastAsia" w:ascii="宋体" w:hAnsi="宋体" w:eastAsia="宋体" w:cs="宋体"/>
          <w:color w:val="auto"/>
          <w:kern w:val="0"/>
          <w:highlight w:val="none"/>
          <w:u w:val="single"/>
          <w:lang w:val="en-US" w:eastAsia="zh-CN"/>
        </w:rPr>
        <w:t>验收合格</w:t>
      </w:r>
      <w:r>
        <w:rPr>
          <w:rFonts w:hint="eastAsia" w:ascii="宋体" w:hAnsi="宋体" w:eastAsia="宋体" w:cs="宋体"/>
          <w:color w:val="auto"/>
          <w:kern w:val="0"/>
          <w:highlight w:val="none"/>
          <w:u w:val="single"/>
        </w:rPr>
        <w:t>且工程</w:t>
      </w:r>
      <w:r>
        <w:rPr>
          <w:rFonts w:hint="eastAsia" w:ascii="宋体" w:hAnsi="宋体" w:eastAsia="宋体" w:cs="宋体"/>
          <w:color w:val="auto"/>
          <w:kern w:val="0"/>
          <w:highlight w:val="none"/>
          <w:u w:val="single"/>
          <w:lang w:val="en-US" w:eastAsia="zh-CN"/>
        </w:rPr>
        <w:t>结</w:t>
      </w:r>
      <w:r>
        <w:rPr>
          <w:rFonts w:hint="eastAsia" w:ascii="宋体" w:hAnsi="宋体" w:eastAsia="宋体" w:cs="宋体"/>
          <w:color w:val="auto"/>
          <w:kern w:val="0"/>
          <w:highlight w:val="none"/>
          <w:u w:val="single"/>
        </w:rPr>
        <w:t>算完毕为止</w:t>
      </w:r>
      <w:r>
        <w:rPr>
          <w:rFonts w:hint="eastAsia" w:ascii="宋体" w:hAnsi="宋体" w:eastAsia="宋体" w:cs="宋体"/>
          <w:color w:val="auto"/>
          <w:kern w:val="0"/>
          <w:sz w:val="21"/>
          <w:szCs w:val="21"/>
          <w:highlight w:val="none"/>
          <w:lang w:val="en-US" w:eastAsia="zh-CN" w:bidi="ar"/>
        </w:rPr>
        <w:t>。</w:t>
      </w:r>
    </w:p>
    <w:p w14:paraId="73273F58">
      <w:pPr>
        <w:pStyle w:val="12"/>
        <w:spacing w:line="380" w:lineRule="exact"/>
        <w:rPr>
          <w:rFonts w:hint="eastAsia" w:hAnsi="宋体" w:eastAsia="宋体" w:cs="宋体"/>
          <w:b/>
          <w:color w:val="auto"/>
          <w:szCs w:val="21"/>
          <w:highlight w:val="none"/>
          <w:lang w:val="en-US" w:eastAsia="zh-CN"/>
        </w:rPr>
      </w:pPr>
      <w:r>
        <w:rPr>
          <w:rFonts w:hint="eastAsia" w:hAnsi="宋体" w:cs="宋体"/>
          <w:b/>
          <w:bCs/>
          <w:color w:val="auto"/>
          <w:szCs w:val="21"/>
          <w:highlight w:val="none"/>
        </w:rPr>
        <w:t>二、</w:t>
      </w:r>
      <w:r>
        <w:rPr>
          <w:rFonts w:hint="eastAsia" w:hAnsi="宋体" w:cs="宋体"/>
          <w:b/>
          <w:color w:val="auto"/>
          <w:szCs w:val="21"/>
          <w:highlight w:val="none"/>
        </w:rPr>
        <w:t>申请人资格要求：</w:t>
      </w:r>
      <w:r>
        <w:rPr>
          <w:rFonts w:hint="eastAsia" w:hAnsi="宋体" w:cs="宋体"/>
          <w:b/>
          <w:color w:val="auto"/>
          <w:szCs w:val="21"/>
          <w:highlight w:val="none"/>
          <w:lang w:val="en-US" w:eastAsia="zh-CN"/>
        </w:rPr>
        <w:t xml:space="preserve"> </w:t>
      </w:r>
    </w:p>
    <w:p w14:paraId="40CFD249">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w:t>
      </w:r>
    </w:p>
    <w:p w14:paraId="237E51FD">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2.必须为未被列入“信用中国”网站(www.creditchina.gov.cn)、中国政府采购网(www.ccgp.gov.cn)渠道信用记录失信被执行人、重大税收违法案件当事人名单、政府采购严重违法失信行为记录名单的投标人；</w:t>
      </w:r>
    </w:p>
    <w:p w14:paraId="78232F1E">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3.落实政府采购政策需满足的资格要求：</w:t>
      </w:r>
      <w:r>
        <w:rPr>
          <w:rFonts w:hint="eastAsia" w:ascii="宋体" w:hAnsi="宋体" w:cs="宋体"/>
          <w:color w:val="auto"/>
          <w:szCs w:val="21"/>
          <w:highlight w:val="none"/>
          <w:u w:val="single"/>
        </w:rPr>
        <w:t>本项目专门面向中小企业</w:t>
      </w:r>
      <w:r>
        <w:rPr>
          <w:rFonts w:hint="eastAsia" w:ascii="宋体" w:hAnsi="宋体" w:eastAsia="宋体" w:cs="宋体"/>
          <w:color w:val="auto"/>
          <w:kern w:val="0"/>
          <w:sz w:val="21"/>
          <w:szCs w:val="21"/>
          <w:highlight w:val="none"/>
          <w:u w:val="single"/>
          <w:shd w:val="clear" w:color="auto" w:fill="FFFFFF"/>
          <w:lang w:val="en-US" w:eastAsia="zh-CN"/>
        </w:rPr>
        <w:t>；</w:t>
      </w:r>
    </w:p>
    <w:p w14:paraId="5FB28475">
      <w:pPr>
        <w:spacing w:line="380" w:lineRule="exact"/>
        <w:ind w:firstLine="420" w:firstLineChars="200"/>
        <w:rPr>
          <w:rFonts w:hint="eastAsia" w:ascii="宋体" w:hAnsi="宋体" w:cs="宋体"/>
          <w:color w:val="auto"/>
          <w:szCs w:val="21"/>
          <w:highlight w:val="none"/>
          <w:u w:val="none"/>
        </w:rPr>
      </w:pPr>
      <w:r>
        <w:rPr>
          <w:rFonts w:hint="eastAsia" w:ascii="宋体" w:hAnsi="宋体" w:cs="宋体"/>
          <w:color w:val="auto"/>
          <w:szCs w:val="21"/>
          <w:highlight w:val="none"/>
        </w:rPr>
        <w:t>4.本项目的特定资格</w:t>
      </w:r>
      <w:r>
        <w:rPr>
          <w:rFonts w:hint="eastAsia" w:ascii="宋体" w:hAnsi="宋体" w:cs="宋体"/>
          <w:color w:val="auto"/>
          <w:sz w:val="21"/>
          <w:szCs w:val="21"/>
          <w:lang w:eastAsia="zh-CN"/>
        </w:rPr>
        <w:t>（标项1、标项2）</w:t>
      </w:r>
      <w:r>
        <w:rPr>
          <w:rFonts w:hint="eastAsia" w:ascii="宋体" w:hAnsi="宋体" w:cs="宋体"/>
          <w:color w:val="auto"/>
          <w:szCs w:val="21"/>
          <w:highlight w:val="none"/>
        </w:rPr>
        <w:t>要求：</w:t>
      </w:r>
      <w:r>
        <w:rPr>
          <w:rFonts w:hint="eastAsia" w:ascii="宋体" w:hAnsi="宋体" w:eastAsia="宋体" w:cs="宋体"/>
          <w:color w:val="auto"/>
          <w:szCs w:val="21"/>
          <w:highlight w:val="none"/>
          <w:u w:val="single"/>
        </w:rPr>
        <w:t>须具备建设行政主管部门核发有效的工程监理综合资质</w:t>
      </w:r>
      <w:r>
        <w:rPr>
          <w:rFonts w:hint="eastAsia" w:ascii="宋体" w:hAnsi="宋体" w:eastAsia="宋体" w:cs="宋体"/>
          <w:color w:val="auto"/>
          <w:szCs w:val="21"/>
          <w:highlight w:val="none"/>
          <w:u w:val="single"/>
          <w:lang w:eastAsia="zh-CN"/>
        </w:rPr>
        <w:t>和</w:t>
      </w:r>
      <w:r>
        <w:rPr>
          <w:rFonts w:hint="eastAsia" w:ascii="宋体" w:hAnsi="宋体" w:eastAsia="宋体" w:cs="宋体"/>
          <w:color w:val="auto"/>
          <w:szCs w:val="21"/>
          <w:highlight w:val="none"/>
          <w:u w:val="single"/>
        </w:rPr>
        <w:t>林业工程建设协会颁发的林业调查规划设计</w:t>
      </w:r>
      <w:r>
        <w:rPr>
          <w:rFonts w:hint="eastAsia" w:ascii="宋体" w:hAnsi="宋体" w:eastAsia="宋体" w:cs="宋体"/>
          <w:color w:val="auto"/>
          <w:szCs w:val="21"/>
          <w:highlight w:val="none"/>
          <w:u w:val="single"/>
          <w:lang w:val="en-US" w:eastAsia="zh-CN"/>
        </w:rPr>
        <w:t>丙</w:t>
      </w:r>
      <w:r>
        <w:rPr>
          <w:rFonts w:hint="eastAsia" w:ascii="宋体" w:hAnsi="宋体" w:eastAsia="宋体" w:cs="宋体"/>
          <w:color w:val="auto"/>
          <w:szCs w:val="21"/>
          <w:highlight w:val="none"/>
          <w:u w:val="single"/>
        </w:rPr>
        <w:t>级及以上资质（根据林建协〔2021〕28 号关于印发《林业调查规划设计单位资格认证管理规定》的通知</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none"/>
        </w:rPr>
        <w:t>。</w:t>
      </w:r>
    </w:p>
    <w:p w14:paraId="4D72CD8B">
      <w:pPr>
        <w:spacing w:line="380" w:lineRule="exact"/>
        <w:ind w:firstLine="422" w:firstLineChars="200"/>
        <w:rPr>
          <w:rFonts w:hint="eastAsia"/>
          <w:color w:val="auto"/>
        </w:rPr>
      </w:pPr>
      <w:r>
        <w:rPr>
          <w:rFonts w:hint="eastAsia" w:ascii="宋体" w:hAnsi="宋体" w:eastAsia="宋体" w:cs="宋体"/>
          <w:b/>
          <w:bCs/>
          <w:color w:val="auto"/>
          <w:sz w:val="21"/>
          <w:szCs w:val="21"/>
          <w:lang w:eastAsia="zh-CN"/>
        </w:rPr>
        <w:t>5.本项目接受联合体投标。联合体须满足申请人资格要求，联合体各方签订共同投标协议后，不得再以自己名义单独投标，也不得组成新的联合体或参加其他联合体在同一项目中投标（</w:t>
      </w:r>
      <w:r>
        <w:rPr>
          <w:rFonts w:hint="eastAsia" w:ascii="宋体" w:hAnsi="宋体" w:cs="宋体"/>
          <w:b/>
          <w:bCs/>
          <w:color w:val="auto"/>
          <w:sz w:val="21"/>
          <w:szCs w:val="21"/>
          <w:lang w:eastAsia="zh-CN"/>
        </w:rPr>
        <w:t>联合体所有成员数量不得超过2家</w:t>
      </w:r>
      <w:r>
        <w:rPr>
          <w:rFonts w:hint="eastAsia" w:ascii="宋体" w:hAnsi="宋体" w:eastAsia="宋体" w:cs="宋体"/>
          <w:b/>
          <w:bCs/>
          <w:color w:val="auto"/>
          <w:sz w:val="21"/>
          <w:szCs w:val="21"/>
          <w:lang w:eastAsia="zh-CN"/>
        </w:rPr>
        <w:t>）。</w:t>
      </w:r>
    </w:p>
    <w:p w14:paraId="2F0B4C62">
      <w:pPr>
        <w:pStyle w:val="18"/>
        <w:widowControl w:val="0"/>
        <w:spacing w:beforeAutospacing="0" w:afterAutospacing="0" w:line="380" w:lineRule="exact"/>
        <w:rPr>
          <w:rFonts w:hint="eastAsia" w:ascii="宋体" w:hAnsi="宋体" w:cs="宋体"/>
          <w:bCs/>
          <w:color w:val="auto"/>
          <w:sz w:val="21"/>
          <w:szCs w:val="21"/>
          <w:highlight w:val="none"/>
        </w:rPr>
      </w:pPr>
      <w:r>
        <w:rPr>
          <w:rFonts w:hint="eastAsia" w:ascii="宋体" w:hAnsi="宋体" w:cs="宋体"/>
          <w:b/>
          <w:bCs/>
          <w:color w:val="auto"/>
          <w:sz w:val="21"/>
          <w:szCs w:val="21"/>
          <w:highlight w:val="none"/>
        </w:rPr>
        <w:t>三、获取招标文件方式：</w:t>
      </w:r>
    </w:p>
    <w:p w14:paraId="671757C8">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color w:val="auto"/>
          <w:szCs w:val="21"/>
          <w:highlight w:val="none"/>
          <w:u w:val="single"/>
        </w:rPr>
        <w:t>/</w:t>
      </w:r>
      <w:r>
        <w:rPr>
          <w:rFonts w:hint="eastAsia" w:ascii="宋体" w:hAnsi="宋体" w:cs="宋体"/>
          <w:color w:val="auto"/>
          <w:szCs w:val="21"/>
          <w:highlight w:val="none"/>
        </w:rPr>
        <w:t>日至</w:t>
      </w:r>
      <w:r>
        <w:rPr>
          <w:rFonts w:hint="eastAsia" w:ascii="宋体" w:hAnsi="宋体"/>
          <w:color w:val="auto"/>
          <w:highlight w:val="none"/>
          <w:u w:val="single"/>
          <w:lang w:val="en-US" w:eastAsia="zh-CN"/>
        </w:rPr>
        <w:t>2025</w:t>
      </w:r>
      <w:r>
        <w:rPr>
          <w:rFonts w:ascii="宋体" w:hAnsi="宋体"/>
          <w:color w:val="auto"/>
          <w:highlight w:val="none"/>
        </w:rPr>
        <w:t>年</w:t>
      </w:r>
      <w:r>
        <w:rPr>
          <w:rFonts w:hint="eastAsia" w:ascii="宋体" w:hAnsi="宋体"/>
          <w:color w:val="auto"/>
          <w:highlight w:val="none"/>
          <w:u w:val="single"/>
          <w:lang w:val="en-US" w:eastAsia="zh-CN"/>
        </w:rPr>
        <w:t xml:space="preserve"> 07 </w:t>
      </w:r>
      <w:r>
        <w:rPr>
          <w:rFonts w:ascii="宋体" w:hAnsi="宋体"/>
          <w:color w:val="auto"/>
          <w:highlight w:val="none"/>
        </w:rPr>
        <w:t>月</w:t>
      </w:r>
      <w:r>
        <w:rPr>
          <w:rFonts w:hint="eastAsia" w:ascii="宋体" w:hAnsi="宋体"/>
          <w:color w:val="auto"/>
          <w:highlight w:val="none"/>
          <w:u w:val="single"/>
          <w:lang w:val="en-US" w:eastAsia="zh-CN"/>
        </w:rPr>
        <w:t xml:space="preserve"> 22 </w:t>
      </w:r>
      <w:r>
        <w:rPr>
          <w:rFonts w:ascii="宋体" w:hAnsi="宋体"/>
          <w:color w:val="auto"/>
          <w:highlight w:val="none"/>
        </w:rPr>
        <w:t>日</w:t>
      </w:r>
      <w:r>
        <w:rPr>
          <w:rFonts w:hint="eastAsia" w:ascii="宋体" w:hAnsi="宋体"/>
          <w:color w:val="auto"/>
          <w:highlight w:val="none"/>
          <w:u w:val="single"/>
          <w:lang w:val="en-US" w:eastAsia="zh-CN"/>
        </w:rPr>
        <w:t>09:00</w:t>
      </w:r>
      <w:r>
        <w:rPr>
          <w:rFonts w:ascii="宋体" w:hAnsi="宋体"/>
          <w:color w:val="auto"/>
          <w:highlight w:val="none"/>
        </w:rPr>
        <w:t>时</w:t>
      </w:r>
      <w:r>
        <w:rPr>
          <w:rFonts w:hint="eastAsia" w:ascii="宋体" w:hAnsi="宋体" w:cs="宋体"/>
          <w:color w:val="auto"/>
          <w:szCs w:val="21"/>
          <w:highlight w:val="none"/>
        </w:rPr>
        <w:t>（</w:t>
      </w:r>
      <w:r>
        <w:rPr>
          <w:rFonts w:hint="eastAsia" w:ascii="宋体" w:hAnsi="宋体" w:cs="宋体"/>
          <w:color w:val="auto"/>
          <w:szCs w:val="21"/>
          <w:highlight w:val="none"/>
        </w:rPr>
        <w:t>北京时间）</w:t>
      </w:r>
    </w:p>
    <w:p w14:paraId="31DC147A">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地点：政采云平台（网址：</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"https://login.zcygov.cn/login）获取采购文件（(不是正式供应商不能获取采购文件)）。" </w:instrText>
      </w:r>
      <w:r>
        <w:rPr>
          <w:rFonts w:hint="eastAsia" w:ascii="宋体" w:hAnsi="宋体" w:cs="宋体"/>
          <w:color w:val="auto"/>
          <w:szCs w:val="21"/>
          <w:highlight w:val="none"/>
        </w:rPr>
        <w:fldChar w:fldCharType="separate"/>
      </w:r>
      <w:r>
        <w:rPr>
          <w:rStyle w:val="25"/>
          <w:rFonts w:hint="eastAsia" w:ascii="宋体" w:hAnsi="宋体" w:cs="宋体"/>
          <w:color w:val="auto"/>
          <w:szCs w:val="21"/>
          <w:highlight w:val="none"/>
          <w:u w:val="none"/>
        </w:rPr>
        <w:t>https://login.zcygov.cn/login）、</w:t>
      </w:r>
      <w:r>
        <w:rPr>
          <w:rFonts w:hint="eastAsia" w:ascii="宋体" w:hAnsi="宋体" w:cs="宋体"/>
          <w:color w:val="auto"/>
          <w:szCs w:val="21"/>
          <w:highlight w:val="none"/>
        </w:rPr>
        <w:fldChar w:fldCharType="end"/>
      </w:r>
      <w:r>
        <w:rPr>
          <w:rFonts w:hint="eastAsia" w:ascii="宋体" w:hAnsi="宋体" w:cs="宋体"/>
          <w:color w:val="auto"/>
          <w:szCs w:val="21"/>
          <w:highlight w:val="none"/>
        </w:rPr>
        <w:t>浙江政府采购网（http://zfcg.czt.zj.gov.cn/）免费下载。</w:t>
      </w:r>
    </w:p>
    <w:p w14:paraId="7838ED23">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方式：已在浙江省政府采购网注册的供应商可登录政采云平台（网址：</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"https://login.zcygov.cn/login）获取采购文件（(不是正式供应商不能获取采购文件)）。"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https://login.zcygov.cn/login）进入政采云系统“项目采购”模块“获取采购文件”菜单依法获取采购文件；</w:t>
      </w:r>
      <w:r>
        <w:rPr>
          <w:rFonts w:hint="eastAsia" w:ascii="宋体" w:hAnsi="宋体" w:cs="宋体"/>
          <w:color w:val="auto"/>
          <w:szCs w:val="21"/>
          <w:highlight w:val="none"/>
        </w:rPr>
        <w:fldChar w:fldCharType="end"/>
      </w:r>
      <w:r>
        <w:rPr>
          <w:rFonts w:hint="eastAsia" w:ascii="宋体" w:hAnsi="宋体" w:cs="宋体"/>
          <w:color w:val="auto"/>
          <w:szCs w:val="21"/>
          <w:highlight w:val="none"/>
        </w:rPr>
        <w:t>未在浙江省政府采购网注册的供应商可在浙江政府采购网（</w:t>
      </w:r>
      <w:r>
        <w:rPr>
          <w:rStyle w:val="25"/>
          <w:rFonts w:hint="eastAsia" w:ascii="宋体" w:hAnsi="宋体" w:cs="宋体"/>
          <w:color w:val="auto"/>
          <w:szCs w:val="21"/>
          <w:highlight w:val="none"/>
          <w:u w:val="none"/>
        </w:rPr>
        <w:t>http://zfcg.czt.zj.gov.cn/</w:t>
      </w:r>
      <w:r>
        <w:rPr>
          <w:rFonts w:hint="eastAsia" w:ascii="宋体" w:hAnsi="宋体" w:cs="宋体"/>
          <w:color w:val="auto"/>
          <w:szCs w:val="21"/>
          <w:highlight w:val="none"/>
        </w:rPr>
        <w:t>）选择“潜在供应商”获取采购文件或“游客”浏览采购文件。</w:t>
      </w:r>
    </w:p>
    <w:p w14:paraId="31EEFFA9">
      <w:pPr>
        <w:keepNext w:val="0"/>
        <w:keepLines w:val="0"/>
        <w:spacing w:line="400" w:lineRule="exact"/>
        <w:ind w:firstLine="420" w:firstLineChars="200"/>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售价：0元</w:t>
      </w:r>
    </w:p>
    <w:p w14:paraId="1CCDB7A2">
      <w:pPr>
        <w:keepLines w:val="0"/>
        <w:spacing w:line="400" w:lineRule="exact"/>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四、提交投标文件截止时间、开标时间和地点</w:t>
      </w:r>
    </w:p>
    <w:p w14:paraId="2AF5F527">
      <w:pPr>
        <w:spacing w:line="400" w:lineRule="exact"/>
        <w:ind w:firstLine="420" w:firstLineChars="200"/>
        <w:outlineLvl w:val="9"/>
        <w:rPr>
          <w:rFonts w:hint="eastAsia" w:ascii="宋体" w:hAnsi="宋体" w:cs="宋体"/>
          <w:color w:val="auto"/>
          <w:szCs w:val="21"/>
          <w:highlight w:val="none"/>
        </w:rPr>
      </w:pPr>
      <w:r>
        <w:rPr>
          <w:rFonts w:hint="eastAsia" w:ascii="宋体" w:hAnsi="宋体" w:cs="宋体"/>
          <w:color w:val="auto"/>
          <w:szCs w:val="21"/>
          <w:highlight w:val="none"/>
        </w:rPr>
        <w:t>提交投标文件截止时间：</w:t>
      </w:r>
      <w:r>
        <w:rPr>
          <w:rFonts w:hint="eastAsia" w:ascii="宋体" w:hAnsi="宋体"/>
          <w:color w:val="auto"/>
          <w:highlight w:val="none"/>
          <w:u w:val="single"/>
          <w:lang w:val="en-US" w:eastAsia="zh-CN"/>
        </w:rPr>
        <w:t>2025</w:t>
      </w:r>
      <w:r>
        <w:rPr>
          <w:rFonts w:ascii="宋体" w:hAnsi="宋体"/>
          <w:color w:val="auto"/>
          <w:highlight w:val="none"/>
        </w:rPr>
        <w:t>年</w:t>
      </w:r>
      <w:r>
        <w:rPr>
          <w:rFonts w:hint="eastAsia" w:ascii="宋体" w:hAnsi="宋体"/>
          <w:color w:val="auto"/>
          <w:highlight w:val="none"/>
          <w:u w:val="single"/>
          <w:lang w:val="en-US" w:eastAsia="zh-CN"/>
        </w:rPr>
        <w:t xml:space="preserve"> 07 </w:t>
      </w:r>
      <w:r>
        <w:rPr>
          <w:rFonts w:ascii="宋体" w:hAnsi="宋体"/>
          <w:color w:val="auto"/>
          <w:highlight w:val="none"/>
        </w:rPr>
        <w:t>月</w:t>
      </w:r>
      <w:r>
        <w:rPr>
          <w:rFonts w:hint="eastAsia" w:ascii="宋体" w:hAnsi="宋体"/>
          <w:color w:val="auto"/>
          <w:highlight w:val="none"/>
          <w:u w:val="single"/>
          <w:lang w:val="en-US" w:eastAsia="zh-CN"/>
        </w:rPr>
        <w:t xml:space="preserve"> 22 </w:t>
      </w:r>
      <w:r>
        <w:rPr>
          <w:rFonts w:ascii="宋体" w:hAnsi="宋体"/>
          <w:color w:val="auto"/>
          <w:highlight w:val="none"/>
        </w:rPr>
        <w:t>日</w:t>
      </w:r>
      <w:r>
        <w:rPr>
          <w:rFonts w:hint="eastAsia" w:ascii="宋体" w:hAnsi="宋体"/>
          <w:color w:val="auto"/>
          <w:highlight w:val="none"/>
          <w:u w:val="single"/>
          <w:lang w:val="en-US" w:eastAsia="zh-CN"/>
        </w:rPr>
        <w:t>09:00</w:t>
      </w:r>
      <w:r>
        <w:rPr>
          <w:rFonts w:ascii="宋体" w:hAnsi="宋体"/>
          <w:color w:val="auto"/>
          <w:highlight w:val="none"/>
        </w:rPr>
        <w:t>时</w:t>
      </w:r>
      <w:r>
        <w:rPr>
          <w:rFonts w:hint="eastAsia" w:ascii="宋体" w:hAnsi="宋体" w:cs="宋体"/>
          <w:bCs/>
          <w:color w:val="auto"/>
          <w:szCs w:val="21"/>
          <w:highlight w:val="none"/>
        </w:rPr>
        <w:t>（北京时间）</w:t>
      </w:r>
    </w:p>
    <w:p w14:paraId="47739A40">
      <w:pPr>
        <w:spacing w:line="400" w:lineRule="exact"/>
        <w:ind w:firstLine="420" w:firstLineChars="200"/>
        <w:outlineLvl w:val="9"/>
        <w:rPr>
          <w:rFonts w:hint="eastAsia" w:ascii="宋体" w:hAnsi="宋体" w:cs="宋体"/>
          <w:color w:val="auto"/>
          <w:szCs w:val="21"/>
          <w:highlight w:val="none"/>
        </w:rPr>
      </w:pPr>
      <w:r>
        <w:rPr>
          <w:rFonts w:hint="eastAsia" w:ascii="宋体" w:hAnsi="宋体" w:cs="宋体"/>
          <w:color w:val="auto"/>
          <w:szCs w:val="21"/>
          <w:highlight w:val="none"/>
        </w:rPr>
        <w:t>开标时间：</w:t>
      </w:r>
      <w:r>
        <w:rPr>
          <w:rFonts w:hint="eastAsia" w:ascii="宋体" w:hAnsi="宋体"/>
          <w:color w:val="auto"/>
          <w:highlight w:val="none"/>
          <w:u w:val="single"/>
          <w:lang w:val="en-US" w:eastAsia="zh-CN"/>
        </w:rPr>
        <w:t>2025</w:t>
      </w:r>
      <w:r>
        <w:rPr>
          <w:rFonts w:ascii="宋体" w:hAnsi="宋体"/>
          <w:color w:val="auto"/>
          <w:highlight w:val="none"/>
        </w:rPr>
        <w:t>年</w:t>
      </w:r>
      <w:r>
        <w:rPr>
          <w:rFonts w:hint="eastAsia" w:ascii="宋体" w:hAnsi="宋体"/>
          <w:color w:val="auto"/>
          <w:highlight w:val="none"/>
          <w:u w:val="single"/>
          <w:lang w:val="en-US" w:eastAsia="zh-CN"/>
        </w:rPr>
        <w:t xml:space="preserve"> 07 </w:t>
      </w:r>
      <w:r>
        <w:rPr>
          <w:rFonts w:ascii="宋体" w:hAnsi="宋体"/>
          <w:color w:val="auto"/>
          <w:highlight w:val="none"/>
        </w:rPr>
        <w:t>月</w:t>
      </w:r>
      <w:r>
        <w:rPr>
          <w:rFonts w:hint="eastAsia" w:ascii="宋体" w:hAnsi="宋体"/>
          <w:color w:val="auto"/>
          <w:highlight w:val="none"/>
          <w:u w:val="single"/>
          <w:lang w:val="en-US" w:eastAsia="zh-CN"/>
        </w:rPr>
        <w:t xml:space="preserve"> 22 </w:t>
      </w:r>
      <w:r>
        <w:rPr>
          <w:rFonts w:ascii="宋体" w:hAnsi="宋体"/>
          <w:color w:val="auto"/>
          <w:highlight w:val="none"/>
        </w:rPr>
        <w:t>日</w:t>
      </w:r>
      <w:r>
        <w:rPr>
          <w:rFonts w:hint="eastAsia" w:ascii="宋体" w:hAnsi="宋体"/>
          <w:color w:val="auto"/>
          <w:highlight w:val="none"/>
          <w:u w:val="single"/>
          <w:lang w:val="en-US" w:eastAsia="zh-CN"/>
        </w:rPr>
        <w:t>09:00</w:t>
      </w:r>
      <w:r>
        <w:rPr>
          <w:rFonts w:ascii="宋体" w:hAnsi="宋体"/>
          <w:color w:val="auto"/>
          <w:highlight w:val="none"/>
        </w:rPr>
        <w:t>时</w:t>
      </w:r>
      <w:r>
        <w:rPr>
          <w:rFonts w:hint="eastAsia" w:ascii="宋体" w:hAnsi="宋体" w:cs="宋体"/>
          <w:bCs/>
          <w:color w:val="auto"/>
          <w:szCs w:val="21"/>
          <w:highlight w:val="none"/>
        </w:rPr>
        <w:t>（北京时间）</w:t>
      </w:r>
    </w:p>
    <w:p w14:paraId="58E7DBEE">
      <w:pPr>
        <w:spacing w:line="400" w:lineRule="exact"/>
        <w:ind w:firstLine="420" w:firstLineChars="200"/>
        <w:outlineLvl w:val="9"/>
        <w:rPr>
          <w:rFonts w:hint="eastAsia" w:ascii="宋体" w:hAnsi="宋体" w:cs="宋体"/>
          <w:b/>
          <w:bCs/>
          <w:color w:val="auto"/>
          <w:kern w:val="2"/>
          <w:sz w:val="21"/>
          <w:szCs w:val="21"/>
          <w:highlight w:val="none"/>
          <w:lang w:eastAsia="zh-CN" w:bidi="ar-SA"/>
        </w:rPr>
      </w:pPr>
      <w:r>
        <w:rPr>
          <w:rFonts w:hint="eastAsia" w:ascii="宋体" w:hAnsi="宋体" w:cs="宋体"/>
          <w:color w:val="auto"/>
          <w:szCs w:val="21"/>
          <w:highlight w:val="none"/>
        </w:rPr>
        <w:t>开标地点（网址）：</w:t>
      </w:r>
      <w:r>
        <w:rPr>
          <w:rFonts w:hint="eastAsia" w:ascii="宋体" w:hAnsi="宋体" w:cs="宋体"/>
          <w:b/>
          <w:bCs/>
          <w:color w:val="auto"/>
          <w:kern w:val="2"/>
          <w:sz w:val="21"/>
          <w:szCs w:val="21"/>
          <w:highlight w:val="none"/>
          <w:lang w:eastAsia="zh-CN" w:bidi="ar-SA"/>
        </w:rPr>
        <w:t>本项目实行电子投标，应按照本项目招标文件和政采云平台的要求编制、加密并递交投标文件。供应商在使用系统进行投标的过程中遇到涉及平台使用的任何问题，可致电政采云平台技术支持热线咨询，联系方式：</w:t>
      </w:r>
      <w:r>
        <w:rPr>
          <w:rFonts w:hint="eastAsia" w:ascii="宋体" w:hAnsi="宋体" w:cs="宋体"/>
          <w:b/>
          <w:bCs/>
          <w:color w:val="auto"/>
          <w:kern w:val="2"/>
          <w:sz w:val="21"/>
          <w:szCs w:val="21"/>
          <w:highlight w:val="none"/>
          <w:lang w:val="en-US" w:eastAsia="zh-CN" w:bidi="ar-SA"/>
        </w:rPr>
        <w:t>95763</w:t>
      </w:r>
      <w:r>
        <w:rPr>
          <w:rFonts w:hint="eastAsia" w:ascii="宋体" w:hAnsi="宋体" w:cs="宋体"/>
          <w:b/>
          <w:bCs/>
          <w:color w:val="auto"/>
          <w:kern w:val="2"/>
          <w:sz w:val="21"/>
          <w:szCs w:val="21"/>
          <w:highlight w:val="none"/>
          <w:lang w:eastAsia="zh-CN" w:bidi="ar-SA"/>
        </w:rPr>
        <w:t>。</w:t>
      </w:r>
    </w:p>
    <w:p w14:paraId="15C17AE8">
      <w:pPr>
        <w:spacing w:line="400" w:lineRule="exact"/>
        <w:ind w:firstLine="420" w:firstLineChars="200"/>
        <w:rPr>
          <w:rFonts w:hint="eastAsia"/>
          <w:color w:val="auto"/>
          <w:highlight w:val="none"/>
        </w:rPr>
      </w:pPr>
      <w:r>
        <w:rPr>
          <w:rFonts w:hint="eastAsia" w:ascii="宋体" w:hAnsi="宋体" w:cs="宋体"/>
          <w:color w:val="auto"/>
          <w:szCs w:val="21"/>
          <w:highlight w:val="none"/>
        </w:rPr>
        <w:t>如认为需要，投标人可以选择递交以介质（U盘）存储的数据电文形式的“备份投标文件”，“备份投标文件”应当密封包装并在包装上标注投标项目名称、投标单位名称并加盖公章，且在投标截止时间前，通过邮寄或现场送达等方式送至指定地点，逾期送达或未密封将被拒收（邮寄收件地址：</w:t>
      </w:r>
      <w:r>
        <w:rPr>
          <w:rFonts w:hint="eastAsia" w:ascii="宋体" w:hAnsi="宋体" w:cs="宋体"/>
          <w:color w:val="auto"/>
          <w:szCs w:val="21"/>
          <w:highlight w:val="none"/>
          <w:lang w:eastAsia="zh-CN"/>
        </w:rPr>
        <w:t>浙江省衢州市开化县芹阳办事处江宁路72号</w:t>
      </w: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欧邦工程管理集团有限公司</w:t>
      </w:r>
      <w:r>
        <w:rPr>
          <w:rFonts w:hint="eastAsia" w:ascii="宋体" w:hAnsi="宋体" w:cs="宋体"/>
          <w:color w:val="auto"/>
          <w:szCs w:val="21"/>
          <w:highlight w:val="none"/>
        </w:rPr>
        <w:t xml:space="preserve">  邮编：324300</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收件人：</w:t>
      </w:r>
      <w:r>
        <w:rPr>
          <w:rFonts w:hint="eastAsia" w:ascii="宋体" w:hAnsi="宋体" w:cs="宋体"/>
          <w:color w:val="auto"/>
          <w:szCs w:val="21"/>
          <w:highlight w:val="none"/>
          <w:lang w:eastAsia="zh-CN"/>
        </w:rPr>
        <w:t>欧邦工程管理集团有限公司</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张吉丽</w:t>
      </w:r>
      <w:r>
        <w:rPr>
          <w:rFonts w:hint="eastAsia" w:ascii="宋体" w:hAnsi="宋体" w:cs="宋体"/>
          <w:color w:val="auto"/>
          <w:szCs w:val="21"/>
          <w:highlight w:val="none"/>
        </w:rPr>
        <w:t xml:space="preserve">  联系电话：</w:t>
      </w:r>
      <w:r>
        <w:rPr>
          <w:rFonts w:hint="eastAsia" w:ascii="宋体" w:hAnsi="宋体" w:cs="宋体"/>
          <w:color w:val="auto"/>
          <w:szCs w:val="21"/>
          <w:highlight w:val="none"/>
          <w:lang w:val="en-US" w:eastAsia="zh-CN"/>
        </w:rPr>
        <w:t>15068930503</w:t>
      </w:r>
      <w:r>
        <w:rPr>
          <w:rFonts w:hint="eastAsia" w:ascii="宋体" w:hAnsi="宋体" w:cs="宋体"/>
          <w:color w:val="auto"/>
          <w:szCs w:val="21"/>
          <w:highlight w:val="none"/>
        </w:rPr>
        <w:t>）。</w:t>
      </w:r>
    </w:p>
    <w:p w14:paraId="31952EEA">
      <w:pPr>
        <w:spacing w:line="400" w:lineRule="exact"/>
        <w:rPr>
          <w:rFonts w:ascii="宋体" w:hAnsi="宋体" w:cs="宋体"/>
          <w:b/>
          <w:bCs/>
          <w:color w:val="auto"/>
          <w:szCs w:val="21"/>
          <w:highlight w:val="none"/>
        </w:rPr>
      </w:pPr>
      <w:r>
        <w:rPr>
          <w:rFonts w:ascii="宋体" w:hAnsi="宋体" w:cs="宋体"/>
          <w:b/>
          <w:bCs/>
          <w:color w:val="auto"/>
          <w:szCs w:val="21"/>
          <w:highlight w:val="none"/>
        </w:rPr>
        <w:t>五、公告期限</w:t>
      </w:r>
    </w:p>
    <w:p w14:paraId="23C9D737">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自本公告发布之日起5个工作日。</w:t>
      </w:r>
    </w:p>
    <w:p w14:paraId="2DE263A8">
      <w:pPr>
        <w:spacing w:line="400" w:lineRule="exact"/>
        <w:rPr>
          <w:rFonts w:ascii="宋体" w:hAnsi="宋体" w:cs="宋体"/>
          <w:b/>
          <w:bCs/>
          <w:color w:val="auto"/>
          <w:szCs w:val="21"/>
          <w:highlight w:val="none"/>
        </w:rPr>
      </w:pPr>
      <w:r>
        <w:rPr>
          <w:rFonts w:ascii="宋体" w:hAnsi="宋体" w:cs="宋体"/>
          <w:b/>
          <w:bCs/>
          <w:color w:val="auto"/>
          <w:szCs w:val="21"/>
          <w:highlight w:val="none"/>
        </w:rPr>
        <w:t>六、其他补充事宜</w:t>
      </w:r>
    </w:p>
    <w:p w14:paraId="164FF91A">
      <w:pPr>
        <w:pStyle w:val="18"/>
        <w:widowControl w:val="0"/>
        <w:spacing w:beforeAutospacing="0" w:afterAutospacing="0" w:line="400" w:lineRule="exact"/>
        <w:ind w:firstLine="422" w:firstLineChars="200"/>
        <w:rPr>
          <w:rFonts w:ascii="宋体" w:hAnsi="宋体" w:cs="宋体"/>
          <w:b/>
          <w:color w:val="auto"/>
          <w:sz w:val="21"/>
          <w:szCs w:val="21"/>
          <w:highlight w:val="none"/>
          <w:shd w:val="clear" w:color="auto" w:fill="FFFFFF"/>
        </w:rPr>
      </w:pPr>
      <w:r>
        <w:rPr>
          <w:rFonts w:ascii="宋体" w:hAnsi="宋体" w:cs="宋体"/>
          <w:b/>
          <w:color w:val="auto"/>
          <w:sz w:val="21"/>
          <w:szCs w:val="21"/>
          <w:highlight w:val="none"/>
          <w:shd w:val="clear" w:color="auto" w:fill="FFFFFF"/>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0CD75F22">
      <w:pPr>
        <w:pStyle w:val="18"/>
        <w:widowControl w:val="0"/>
        <w:spacing w:beforeAutospacing="0" w:afterAutospacing="0" w:line="400" w:lineRule="exact"/>
        <w:rPr>
          <w:rFonts w:ascii="宋体" w:hAnsi="宋体" w:cs="宋体"/>
          <w:b/>
          <w:color w:val="auto"/>
          <w:sz w:val="21"/>
          <w:szCs w:val="21"/>
          <w:highlight w:val="none"/>
          <w:shd w:val="clear" w:color="auto" w:fill="FFFFFF"/>
        </w:rPr>
      </w:pPr>
      <w:r>
        <w:rPr>
          <w:rFonts w:ascii="宋体" w:hAnsi="宋体" w:cs="宋体"/>
          <w:b/>
          <w:color w:val="auto"/>
          <w:sz w:val="21"/>
          <w:szCs w:val="21"/>
          <w:highlight w:val="none"/>
          <w:shd w:val="clear" w:color="auto" w:fill="FFFFFF"/>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8F4B87D">
      <w:pPr>
        <w:pStyle w:val="18"/>
        <w:widowControl w:val="0"/>
        <w:spacing w:beforeAutospacing="0" w:afterAutospacing="0" w:line="400" w:lineRule="exact"/>
        <w:rPr>
          <w:rFonts w:ascii="宋体" w:hAnsi="宋体" w:cs="宋体"/>
          <w:b/>
          <w:color w:val="auto"/>
          <w:sz w:val="21"/>
          <w:szCs w:val="21"/>
          <w:highlight w:val="none"/>
          <w:shd w:val="clear" w:color="auto" w:fill="FFFFFF"/>
        </w:rPr>
      </w:pPr>
      <w:r>
        <w:rPr>
          <w:rFonts w:ascii="宋体" w:hAnsi="宋体" w:cs="宋体"/>
          <w:b/>
          <w:color w:val="auto"/>
          <w:sz w:val="21"/>
          <w:szCs w:val="21"/>
          <w:highlight w:val="none"/>
          <w:shd w:val="clear" w:color="auto" w:fill="FFFFFF"/>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F1164D7">
      <w:pPr>
        <w:pStyle w:val="18"/>
        <w:widowControl w:val="0"/>
        <w:spacing w:beforeAutospacing="0" w:afterAutospacing="0" w:line="400" w:lineRule="exact"/>
        <w:ind w:firstLine="422" w:firstLineChars="200"/>
        <w:rPr>
          <w:rFonts w:ascii="宋体" w:hAnsi="宋体" w:cs="宋体"/>
          <w:b/>
          <w:color w:val="auto"/>
          <w:sz w:val="21"/>
          <w:szCs w:val="21"/>
          <w:highlight w:val="none"/>
          <w:shd w:val="clear" w:color="auto" w:fill="FFFFFF"/>
        </w:rPr>
      </w:pPr>
      <w:r>
        <w:rPr>
          <w:rFonts w:ascii="宋体" w:hAnsi="宋体" w:cs="宋体"/>
          <w:b/>
          <w:color w:val="auto"/>
          <w:sz w:val="21"/>
          <w:szCs w:val="21"/>
          <w:highlight w:val="none"/>
          <w:shd w:val="clear" w:color="auto" w:fill="FFFFFF"/>
        </w:rPr>
        <w:t>4. 其他事项</w:t>
      </w:r>
    </w:p>
    <w:p w14:paraId="3875BED9">
      <w:pPr>
        <w:pStyle w:val="18"/>
        <w:widowControl w:val="0"/>
        <w:spacing w:beforeAutospacing="0" w:afterAutospacing="0" w:line="400" w:lineRule="exact"/>
        <w:ind w:firstLine="422" w:firstLineChars="200"/>
        <w:rPr>
          <w:rFonts w:ascii="宋体" w:hAnsi="宋体" w:cs="宋体"/>
          <w:b/>
          <w:color w:val="auto"/>
          <w:sz w:val="21"/>
          <w:szCs w:val="21"/>
          <w:highlight w:val="none"/>
          <w:shd w:val="clear" w:color="auto" w:fill="FFFFFF"/>
        </w:rPr>
      </w:pPr>
      <w:r>
        <w:rPr>
          <w:rFonts w:ascii="宋体" w:hAnsi="宋体" w:cs="宋体"/>
          <w:b/>
          <w:color w:val="auto"/>
          <w:sz w:val="21"/>
          <w:szCs w:val="21"/>
          <w:highlight w:val="none"/>
          <w:shd w:val="clear" w:color="auto" w:fill="FFFFFF"/>
        </w:rPr>
        <w:t>4.1.质疑和投诉相关规定详见《政府采购质疑和投诉办法》（财政部令94令）。</w:t>
      </w:r>
    </w:p>
    <w:p w14:paraId="7597A9D1">
      <w:pPr>
        <w:spacing w:line="400" w:lineRule="exact"/>
        <w:ind w:firstLine="422" w:firstLineChars="200"/>
        <w:rPr>
          <w:rFonts w:ascii="宋体" w:hAnsi="宋体" w:cs="宋体"/>
          <w:color w:val="auto"/>
          <w:szCs w:val="21"/>
          <w:highlight w:val="none"/>
        </w:rPr>
      </w:pPr>
      <w:r>
        <w:rPr>
          <w:rFonts w:ascii="宋体" w:hAnsi="宋体" w:cs="宋体"/>
          <w:b/>
          <w:color w:val="auto"/>
          <w:szCs w:val="21"/>
          <w:highlight w:val="none"/>
        </w:rPr>
        <w:t>4.2.投标说明</w:t>
      </w:r>
    </w:p>
    <w:p w14:paraId="5F818642">
      <w:pPr>
        <w:spacing w:line="400" w:lineRule="exact"/>
        <w:ind w:firstLine="422" w:firstLineChars="200"/>
        <w:rPr>
          <w:rFonts w:ascii="宋体" w:hAnsi="宋体" w:cs="宋体"/>
          <w:color w:val="auto"/>
          <w:szCs w:val="21"/>
          <w:highlight w:val="none"/>
        </w:rPr>
      </w:pPr>
      <w:r>
        <w:rPr>
          <w:rFonts w:ascii="宋体" w:hAnsi="宋体" w:cs="宋体"/>
          <w:b/>
          <w:color w:val="auto"/>
          <w:szCs w:val="21"/>
          <w:highlight w:val="none"/>
        </w:rPr>
        <w:t>(1)本项目实行电子投标，应按照本项目招标文件和政采云平台的要求编制、加密并递交投标文件。</w:t>
      </w:r>
    </w:p>
    <w:p w14:paraId="10886626">
      <w:pPr>
        <w:pStyle w:val="12"/>
        <w:wordWrap w:val="0"/>
        <w:adjustRightInd w:val="0"/>
        <w:snapToGrid w:val="0"/>
        <w:spacing w:line="400" w:lineRule="exact"/>
        <w:ind w:firstLine="422" w:firstLineChars="200"/>
        <w:rPr>
          <w:rFonts w:cs="宋体"/>
          <w:b/>
          <w:color w:val="auto"/>
          <w:szCs w:val="21"/>
          <w:highlight w:val="none"/>
        </w:rPr>
      </w:pPr>
      <w:r>
        <w:rPr>
          <w:rFonts w:cs="宋体"/>
          <w:b/>
          <w:color w:val="auto"/>
          <w:szCs w:val="21"/>
          <w:highlight w:val="none"/>
        </w:rPr>
        <w:t>(2)投标人应在开标前完成CA数字证书办理。（办理流程详见</w:t>
      </w:r>
      <w:r>
        <w:rPr>
          <w:rFonts w:cs="宋体"/>
          <w:b/>
          <w:color w:val="auto"/>
          <w:szCs w:val="21"/>
          <w:highlight w:val="none"/>
        </w:rPr>
        <w:fldChar w:fldCharType="begin"/>
      </w:r>
      <w:r>
        <w:rPr>
          <w:rFonts w:cs="宋体"/>
          <w:b/>
          <w:color w:val="auto"/>
          <w:szCs w:val="21"/>
          <w:highlight w:val="none"/>
        </w:rPr>
        <w:instrText xml:space="preserve"> HYPERLINK "http://zfcg.czt.zj.gov.cn/bidClientTemplate/2019-05-27/12945.html" </w:instrText>
      </w:r>
      <w:r>
        <w:rPr>
          <w:rFonts w:cs="宋体"/>
          <w:b/>
          <w:color w:val="auto"/>
          <w:szCs w:val="21"/>
          <w:highlight w:val="none"/>
        </w:rPr>
        <w:fldChar w:fldCharType="separate"/>
      </w:r>
      <w:r>
        <w:rPr>
          <w:rFonts w:cs="宋体"/>
          <w:b/>
          <w:color w:val="auto"/>
          <w:szCs w:val="21"/>
          <w:highlight w:val="none"/>
        </w:rPr>
        <w:t>http://zfcg.czt.zj.gov.cn/bidClientTemplate/2019-05-27/12945.html</w:t>
      </w:r>
      <w:r>
        <w:rPr>
          <w:rFonts w:cs="宋体"/>
          <w:b/>
          <w:color w:val="auto"/>
          <w:szCs w:val="21"/>
          <w:highlight w:val="none"/>
        </w:rPr>
        <w:fldChar w:fldCharType="end"/>
      </w:r>
      <w:r>
        <w:rPr>
          <w:rFonts w:cs="宋体"/>
          <w:b/>
          <w:color w:val="auto"/>
          <w:szCs w:val="21"/>
          <w:highlight w:val="none"/>
        </w:rPr>
        <w:t>）。完成CA数字证书办理预计一周左右，建议各投标人抓紧时间办理。</w:t>
      </w:r>
    </w:p>
    <w:p w14:paraId="425E65AF">
      <w:pPr>
        <w:wordWrap w:val="0"/>
        <w:snapToGrid w:val="0"/>
        <w:spacing w:line="400" w:lineRule="exact"/>
        <w:ind w:firstLine="422" w:firstLineChars="200"/>
        <w:rPr>
          <w:rFonts w:ascii="宋体" w:hAnsi="宋体" w:cs="宋体"/>
          <w:b/>
          <w:color w:val="auto"/>
          <w:szCs w:val="21"/>
          <w:highlight w:val="none"/>
        </w:rPr>
      </w:pPr>
      <w:r>
        <w:rPr>
          <w:rFonts w:ascii="宋体" w:hAnsi="宋体" w:cs="宋体"/>
          <w:b/>
          <w:color w:val="auto"/>
          <w:szCs w:val="21"/>
          <w:highlight w:val="none"/>
        </w:rPr>
        <w:t>(3)投标人通过政采云平台电子投标工具制作投标文件，电子投标工具请供应商自行前往浙江省政府采购网下载并安装，（下载网址：http://zfcg.czt.zj.gov.cn/bidClientTemplate/2019-09-24/12975.html）。</w:t>
      </w:r>
    </w:p>
    <w:p w14:paraId="3A205FA0">
      <w:pPr>
        <w:wordWrap w:val="0"/>
        <w:snapToGrid w:val="0"/>
        <w:spacing w:line="400" w:lineRule="exact"/>
        <w:ind w:firstLine="422" w:firstLineChars="200"/>
        <w:rPr>
          <w:rFonts w:ascii="宋体" w:hAnsi="宋体" w:cs="宋体"/>
          <w:b/>
          <w:color w:val="auto"/>
          <w:szCs w:val="21"/>
          <w:highlight w:val="none"/>
        </w:rPr>
      </w:pPr>
      <w:r>
        <w:rPr>
          <w:rFonts w:ascii="宋体" w:hAnsi="宋体" w:cs="宋体"/>
          <w:b/>
          <w:color w:val="auto"/>
          <w:szCs w:val="21"/>
          <w:highlight w:val="none"/>
        </w:rPr>
        <w:t>(4)投标人应当在投标截止时间前完成投标文件的传输递交，投标截止时间前可以补充、修改或者撤回投标文件。补充或者修改投标文件的，应当先行撤回原文件，补充、修改后重新传输递交。投标截止时间前未完成传输的，视为未提供投标文件，投标无效。投标截止时间后递交的投标文件，将被政采云平台拒收。</w:t>
      </w:r>
    </w:p>
    <w:p w14:paraId="7780907C">
      <w:pPr>
        <w:wordWrap w:val="0"/>
        <w:snapToGrid w:val="0"/>
        <w:spacing w:line="400" w:lineRule="exact"/>
        <w:ind w:firstLine="422" w:firstLineChars="200"/>
        <w:rPr>
          <w:rFonts w:ascii="宋体" w:hAnsi="宋体" w:cs="宋体"/>
          <w:b/>
          <w:color w:val="auto"/>
          <w:szCs w:val="21"/>
          <w:highlight w:val="none"/>
        </w:rPr>
      </w:pPr>
      <w:r>
        <w:rPr>
          <w:rFonts w:ascii="宋体" w:hAnsi="宋体" w:cs="宋体"/>
          <w:b/>
          <w:color w:val="auto"/>
          <w:szCs w:val="21"/>
          <w:highlight w:val="none"/>
        </w:rPr>
        <w:t>4.3.中小企业信用融资及电子保函</w:t>
      </w:r>
    </w:p>
    <w:p w14:paraId="29D0A813">
      <w:pPr>
        <w:pStyle w:val="18"/>
        <w:widowControl w:val="0"/>
        <w:spacing w:beforeAutospacing="0" w:afterAutospacing="0" w:line="400" w:lineRule="exact"/>
        <w:ind w:firstLine="420"/>
        <w:rPr>
          <w:rFonts w:ascii="宋体" w:hAnsi="宋体" w:cs="宋体"/>
          <w:b/>
          <w:color w:val="auto"/>
          <w:sz w:val="21"/>
          <w:szCs w:val="21"/>
          <w:highlight w:val="none"/>
        </w:rPr>
      </w:pPr>
      <w:r>
        <w:rPr>
          <w:rFonts w:ascii="宋体" w:hAnsi="宋体" w:cs="宋体"/>
          <w:b/>
          <w:color w:val="auto"/>
          <w:sz w:val="21"/>
          <w:szCs w:val="21"/>
          <w:highlight w:val="none"/>
        </w:rPr>
        <w:t>投标人中标后也可在“政采云”平台申请政采贷：操作路径：登录政采云平台 - 金融服务中心 -【融资服务】，可在热门申请中选择产品直接申请，也可点击云智贷匹配适合产品进行申请，或者在可申请项目中根据该项目进行申请,也可通过登录浙江政务网-“衢融通”平台-【采购质押融资申请】。</w:t>
      </w:r>
    </w:p>
    <w:p w14:paraId="26D34B14">
      <w:pPr>
        <w:wordWrap w:val="0"/>
        <w:snapToGrid w:val="0"/>
        <w:spacing w:line="400" w:lineRule="exact"/>
        <w:ind w:firstLine="422" w:firstLineChars="200"/>
        <w:rPr>
          <w:rFonts w:hint="eastAsia" w:ascii="宋体" w:hAnsi="宋体" w:cs="宋体"/>
          <w:b/>
          <w:color w:val="auto"/>
          <w:szCs w:val="21"/>
          <w:highlight w:val="none"/>
        </w:rPr>
      </w:pPr>
      <w:r>
        <w:rPr>
          <w:rFonts w:ascii="宋体" w:hAnsi="宋体" w:cs="宋体"/>
          <w:b/>
          <w:color w:val="auto"/>
          <w:szCs w:val="21"/>
          <w:highlight w:val="none"/>
        </w:rPr>
        <w:t>投标人若有办理电子保函意向的可登录浙江政府采购网“浙江政采贷”（网址：</w:t>
      </w:r>
      <w:r>
        <w:rPr>
          <w:rFonts w:ascii="宋体" w:hAnsi="宋体" w:cs="宋体"/>
          <w:b/>
          <w:color w:val="auto"/>
          <w:szCs w:val="21"/>
          <w:highlight w:val="none"/>
        </w:rPr>
        <w:fldChar w:fldCharType="begin"/>
      </w:r>
      <w:r>
        <w:rPr>
          <w:rFonts w:ascii="宋体" w:hAnsi="宋体" w:cs="宋体"/>
          <w:b/>
          <w:color w:val="auto"/>
          <w:szCs w:val="21"/>
          <w:highlight w:val="none"/>
        </w:rPr>
        <w:instrText xml:space="preserve"> HYPERLINK "https://jinrong.zcygov.cn" </w:instrText>
      </w:r>
      <w:r>
        <w:rPr>
          <w:rFonts w:ascii="宋体" w:hAnsi="宋体" w:cs="宋体"/>
          <w:b/>
          <w:color w:val="auto"/>
          <w:szCs w:val="21"/>
          <w:highlight w:val="none"/>
        </w:rPr>
        <w:fldChar w:fldCharType="separate"/>
      </w:r>
      <w:r>
        <w:rPr>
          <w:rFonts w:ascii="宋体" w:hAnsi="宋体" w:cs="宋体"/>
          <w:b/>
          <w:color w:val="auto"/>
          <w:szCs w:val="21"/>
          <w:highlight w:val="none"/>
        </w:rPr>
        <w:t>https://jinrong.zcygov.cn</w:t>
      </w:r>
      <w:r>
        <w:rPr>
          <w:rFonts w:ascii="宋体" w:hAnsi="宋体" w:cs="宋体"/>
          <w:b/>
          <w:color w:val="auto"/>
          <w:szCs w:val="21"/>
          <w:highlight w:val="none"/>
        </w:rPr>
        <w:fldChar w:fldCharType="end"/>
      </w:r>
      <w:r>
        <w:rPr>
          <w:rFonts w:ascii="宋体" w:hAnsi="宋体" w:cs="宋体"/>
          <w:b/>
          <w:color w:val="auto"/>
          <w:szCs w:val="21"/>
          <w:highlight w:val="none"/>
        </w:rPr>
        <w:t>，政府采购云平台金融服务中心）查看相关政策和服务方案。</w:t>
      </w:r>
    </w:p>
    <w:p w14:paraId="082DD5A9">
      <w:pPr>
        <w:pStyle w:val="18"/>
        <w:widowControl w:val="0"/>
        <w:spacing w:beforeAutospacing="0" w:afterAutospacing="0" w:line="400" w:lineRule="exact"/>
        <w:rPr>
          <w:rFonts w:ascii="宋体" w:hAnsi="宋体" w:cs="宋体"/>
          <w:b/>
          <w:bCs/>
          <w:color w:val="auto"/>
          <w:kern w:val="2"/>
          <w:sz w:val="21"/>
          <w:szCs w:val="21"/>
          <w:highlight w:val="none"/>
        </w:rPr>
      </w:pPr>
      <w:r>
        <w:rPr>
          <w:rFonts w:ascii="宋体" w:hAnsi="宋体" w:cs="宋体"/>
          <w:b/>
          <w:bCs/>
          <w:color w:val="auto"/>
          <w:kern w:val="2"/>
          <w:sz w:val="21"/>
          <w:szCs w:val="21"/>
          <w:highlight w:val="none"/>
        </w:rPr>
        <w:t>七、对本次招标提出询问、质疑、投诉，请按以下方式联系</w:t>
      </w:r>
    </w:p>
    <w:p w14:paraId="1B476322">
      <w:pPr>
        <w:pStyle w:val="18"/>
        <w:keepNext w:val="0"/>
        <w:keepLines w:val="0"/>
        <w:pageBreakBefore w:val="0"/>
        <w:widowControl w:val="0"/>
        <w:kinsoku/>
        <w:wordWrap/>
        <w:overflowPunct/>
        <w:topLinePunct w:val="0"/>
        <w:autoSpaceDE/>
        <w:autoSpaceDN/>
        <w:bidi w:val="0"/>
        <w:adjustRightInd/>
        <w:snapToGrid/>
        <w:spacing w:beforeAutospacing="0" w:afterAutospacing="0" w:line="380" w:lineRule="atLeast"/>
        <w:ind w:firstLine="420" w:firstLineChars="200"/>
        <w:textAlignment w:val="auto"/>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1.采购人信息</w:t>
      </w:r>
    </w:p>
    <w:p w14:paraId="27D21BDB">
      <w:pPr>
        <w:pStyle w:val="18"/>
        <w:keepNext w:val="0"/>
        <w:keepLines w:val="0"/>
        <w:pageBreakBefore w:val="0"/>
        <w:widowControl w:val="0"/>
        <w:kinsoku/>
        <w:wordWrap/>
        <w:overflowPunct/>
        <w:topLinePunct w:val="0"/>
        <w:autoSpaceDE/>
        <w:autoSpaceDN/>
        <w:bidi w:val="0"/>
        <w:adjustRightInd/>
        <w:snapToGrid/>
        <w:spacing w:beforeAutospacing="0" w:afterAutospacing="0" w:line="380" w:lineRule="atLeas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kern w:val="2"/>
          <w:sz w:val="21"/>
          <w:szCs w:val="21"/>
          <w:highlight w:val="none"/>
        </w:rPr>
        <w:t>名  称：</w:t>
      </w:r>
      <w:r>
        <w:rPr>
          <w:rFonts w:hint="eastAsia" w:ascii="宋体" w:hAnsi="宋体" w:cs="宋体"/>
          <w:color w:val="auto"/>
          <w:sz w:val="21"/>
          <w:szCs w:val="21"/>
          <w:highlight w:val="none"/>
          <w:lang w:eastAsia="zh-CN"/>
        </w:rPr>
        <w:t>开化县林业局</w:t>
      </w:r>
    </w:p>
    <w:p w14:paraId="1149139F">
      <w:pPr>
        <w:pStyle w:val="18"/>
        <w:keepNext w:val="0"/>
        <w:keepLines w:val="0"/>
        <w:pageBreakBefore w:val="0"/>
        <w:widowControl w:val="0"/>
        <w:kinsoku/>
        <w:wordWrap/>
        <w:overflowPunct/>
        <w:topLinePunct w:val="0"/>
        <w:autoSpaceDE/>
        <w:autoSpaceDN/>
        <w:bidi w:val="0"/>
        <w:adjustRightInd/>
        <w:snapToGrid/>
        <w:spacing w:beforeAutospacing="0" w:afterAutospacing="0" w:line="380" w:lineRule="atLeas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kern w:val="2"/>
          <w:sz w:val="21"/>
          <w:szCs w:val="21"/>
          <w:highlight w:val="none"/>
        </w:rPr>
        <w:t>地  址：</w:t>
      </w:r>
      <w:r>
        <w:rPr>
          <w:rFonts w:hint="eastAsia" w:ascii="宋体" w:hAnsi="宋体" w:cs="宋体"/>
          <w:color w:val="auto"/>
          <w:kern w:val="2"/>
          <w:sz w:val="21"/>
          <w:szCs w:val="21"/>
          <w:highlight w:val="none"/>
          <w:lang w:val="en-US" w:eastAsia="zh-CN"/>
        </w:rPr>
        <w:t>开化县永吉二路行政中心4号楼10-11楼</w:t>
      </w:r>
    </w:p>
    <w:p w14:paraId="21176B60">
      <w:pPr>
        <w:pStyle w:val="18"/>
        <w:keepNext w:val="0"/>
        <w:keepLines w:val="0"/>
        <w:pageBreakBefore w:val="0"/>
        <w:widowControl w:val="0"/>
        <w:kinsoku/>
        <w:wordWrap/>
        <w:overflowPunct/>
        <w:topLinePunct w:val="0"/>
        <w:autoSpaceDE/>
        <w:autoSpaceDN/>
        <w:bidi w:val="0"/>
        <w:adjustRightInd/>
        <w:snapToGrid/>
        <w:spacing w:beforeAutospacing="0" w:afterAutospacing="0" w:line="380" w:lineRule="atLeast"/>
        <w:ind w:firstLine="420" w:firstLineChars="200"/>
        <w:textAlignment w:val="auto"/>
        <w:rPr>
          <w:rFonts w:hint="eastAsia" w:ascii="宋体" w:hAnsi="宋体" w:cs="宋体"/>
          <w:color w:val="auto"/>
          <w:sz w:val="21"/>
          <w:szCs w:val="21"/>
          <w:highlight w:val="none"/>
        </w:rPr>
      </w:pPr>
      <w:r>
        <w:rPr>
          <w:rFonts w:hint="eastAsia" w:ascii="宋体" w:hAnsi="宋体" w:cs="宋体"/>
          <w:bCs/>
          <w:color w:val="auto"/>
          <w:kern w:val="2"/>
          <w:sz w:val="21"/>
          <w:szCs w:val="21"/>
          <w:highlight w:val="none"/>
        </w:rPr>
        <w:t>传  真：/  </w:t>
      </w:r>
    </w:p>
    <w:p w14:paraId="53374CE3">
      <w:pPr>
        <w:pStyle w:val="18"/>
        <w:keepNext w:val="0"/>
        <w:keepLines w:val="0"/>
        <w:pageBreakBefore w:val="0"/>
        <w:kinsoku/>
        <w:wordWrap/>
        <w:overflowPunct/>
        <w:topLinePunct w:val="0"/>
        <w:autoSpaceDE/>
        <w:autoSpaceDN/>
        <w:bidi w:val="0"/>
        <w:adjustRightInd/>
        <w:snapToGrid/>
        <w:spacing w:beforeAutospacing="0" w:afterAutospacing="0" w:line="380" w:lineRule="atLeas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kern w:val="2"/>
          <w:sz w:val="21"/>
          <w:szCs w:val="21"/>
          <w:highlight w:val="none"/>
        </w:rPr>
        <w:t>项目联系人（询问）</w:t>
      </w:r>
      <w:r>
        <w:rPr>
          <w:rFonts w:hint="eastAsia" w:ascii="宋体" w:hAnsi="宋体" w:cs="宋体"/>
          <w:color w:val="auto"/>
          <w:sz w:val="21"/>
          <w:szCs w:val="21"/>
          <w:highlight w:val="none"/>
        </w:rPr>
        <w:t>：</w:t>
      </w:r>
      <w:r>
        <w:rPr>
          <w:rFonts w:hint="eastAsia" w:ascii="宋体" w:hAnsi="宋体" w:cs="宋体"/>
          <w:color w:val="auto"/>
          <w:kern w:val="2"/>
          <w:sz w:val="21"/>
          <w:szCs w:val="21"/>
          <w:highlight w:val="none"/>
          <w:lang w:val="en-US" w:eastAsia="zh-CN"/>
        </w:rPr>
        <w:t>卫嵘</w:t>
      </w:r>
    </w:p>
    <w:p w14:paraId="78B865F0">
      <w:pPr>
        <w:pStyle w:val="18"/>
        <w:keepNext w:val="0"/>
        <w:keepLines w:val="0"/>
        <w:pageBreakBefore w:val="0"/>
        <w:kinsoku/>
        <w:wordWrap/>
        <w:overflowPunct/>
        <w:topLinePunct w:val="0"/>
        <w:autoSpaceDE/>
        <w:autoSpaceDN/>
        <w:bidi w:val="0"/>
        <w:adjustRightInd/>
        <w:snapToGrid/>
        <w:spacing w:beforeAutospacing="0" w:afterAutospacing="0" w:line="380" w:lineRule="atLeas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kern w:val="2"/>
          <w:sz w:val="21"/>
          <w:szCs w:val="21"/>
          <w:highlight w:val="none"/>
        </w:rPr>
        <w:t>项目联系方式（询问）</w:t>
      </w:r>
      <w:r>
        <w:rPr>
          <w:rFonts w:hint="eastAsia" w:ascii="宋体" w:hAnsi="宋体" w:cs="宋体"/>
          <w:color w:val="auto"/>
          <w:sz w:val="21"/>
          <w:szCs w:val="21"/>
          <w:highlight w:val="none"/>
        </w:rPr>
        <w:t>：</w:t>
      </w:r>
      <w:r>
        <w:rPr>
          <w:rFonts w:hint="eastAsia" w:ascii="宋体" w:hAnsi="宋体" w:cs="宋体"/>
          <w:color w:val="auto"/>
          <w:kern w:val="2"/>
          <w:sz w:val="21"/>
          <w:szCs w:val="21"/>
          <w:highlight w:val="none"/>
          <w:lang w:val="en-US" w:eastAsia="zh-CN"/>
        </w:rPr>
        <w:t>13750702397</w:t>
      </w:r>
    </w:p>
    <w:p w14:paraId="16623ECC">
      <w:pPr>
        <w:pStyle w:val="18"/>
        <w:keepNext w:val="0"/>
        <w:keepLines w:val="0"/>
        <w:pageBreakBefore w:val="0"/>
        <w:kinsoku/>
        <w:wordWrap/>
        <w:overflowPunct/>
        <w:topLinePunct w:val="0"/>
        <w:autoSpaceDE/>
        <w:autoSpaceDN/>
        <w:bidi w:val="0"/>
        <w:adjustRightInd/>
        <w:snapToGrid/>
        <w:spacing w:beforeAutospacing="0" w:afterAutospacing="0" w:line="380" w:lineRule="atLeast"/>
        <w:ind w:firstLine="420" w:firstLineChars="200"/>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rPr>
        <w:t>质疑联系人：</w:t>
      </w:r>
      <w:r>
        <w:rPr>
          <w:rFonts w:hint="eastAsia" w:ascii="宋体" w:hAnsi="宋体" w:cs="宋体"/>
          <w:color w:val="auto"/>
          <w:kern w:val="2"/>
          <w:sz w:val="21"/>
          <w:szCs w:val="21"/>
          <w:highlight w:val="none"/>
          <w:lang w:val="en-US" w:eastAsia="zh-CN"/>
        </w:rPr>
        <w:t>汪清华</w:t>
      </w:r>
    </w:p>
    <w:p w14:paraId="175198CD">
      <w:pPr>
        <w:pStyle w:val="18"/>
        <w:keepNext w:val="0"/>
        <w:keepLines w:val="0"/>
        <w:pageBreakBefore w:val="0"/>
        <w:kinsoku/>
        <w:wordWrap/>
        <w:overflowPunct/>
        <w:topLinePunct w:val="0"/>
        <w:autoSpaceDE/>
        <w:autoSpaceDN/>
        <w:bidi w:val="0"/>
        <w:adjustRightInd/>
        <w:snapToGrid/>
        <w:spacing w:beforeAutospacing="0" w:afterAutospacing="0" w:line="380" w:lineRule="atLeast"/>
        <w:ind w:firstLine="420" w:firstLineChars="200"/>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rPr>
        <w:t>质疑联系方式：</w:t>
      </w:r>
      <w:r>
        <w:rPr>
          <w:rFonts w:hint="eastAsia" w:ascii="宋体" w:hAnsi="宋体" w:cs="宋体"/>
          <w:color w:val="auto"/>
          <w:kern w:val="2"/>
          <w:sz w:val="21"/>
          <w:szCs w:val="21"/>
          <w:highlight w:val="none"/>
          <w:lang w:val="en-US" w:eastAsia="zh-CN"/>
        </w:rPr>
        <w:t>13575643949</w:t>
      </w:r>
    </w:p>
    <w:p w14:paraId="6C4FC341">
      <w:pPr>
        <w:pStyle w:val="18"/>
        <w:keepNext w:val="0"/>
        <w:keepLines w:val="0"/>
        <w:pageBreakBefore w:val="0"/>
        <w:widowControl w:val="0"/>
        <w:kinsoku/>
        <w:wordWrap/>
        <w:overflowPunct/>
        <w:topLinePunct w:val="0"/>
        <w:autoSpaceDE/>
        <w:autoSpaceDN/>
        <w:bidi w:val="0"/>
        <w:adjustRightInd/>
        <w:snapToGrid/>
        <w:spacing w:beforeAutospacing="0" w:afterAutospacing="0" w:line="380" w:lineRule="atLeas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2.采购代理机构信息</w:t>
      </w:r>
    </w:p>
    <w:p w14:paraId="2F1C9754">
      <w:pPr>
        <w:pStyle w:val="18"/>
        <w:keepNext w:val="0"/>
        <w:keepLines w:val="0"/>
        <w:pageBreakBefore w:val="0"/>
        <w:widowControl w:val="0"/>
        <w:kinsoku/>
        <w:wordWrap/>
        <w:overflowPunct/>
        <w:topLinePunct w:val="0"/>
        <w:autoSpaceDE/>
        <w:autoSpaceDN/>
        <w:bidi w:val="0"/>
        <w:adjustRightInd/>
        <w:snapToGrid/>
        <w:spacing w:beforeAutospacing="0" w:afterAutospacing="0" w:line="380" w:lineRule="atLeast"/>
        <w:ind w:firstLine="420" w:firstLineChars="200"/>
        <w:textAlignment w:val="auto"/>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名  称：</w:t>
      </w:r>
      <w:r>
        <w:rPr>
          <w:rFonts w:hint="eastAsia" w:ascii="宋体" w:hAnsi="宋体" w:cs="宋体"/>
          <w:color w:val="auto"/>
          <w:sz w:val="21"/>
          <w:szCs w:val="21"/>
          <w:highlight w:val="none"/>
          <w:lang w:eastAsia="zh-CN"/>
        </w:rPr>
        <w:t>欧邦工程管理集团有限公司</w:t>
      </w:r>
      <w:r>
        <w:rPr>
          <w:rFonts w:hint="eastAsia" w:ascii="宋体" w:hAnsi="宋体" w:cs="宋体"/>
          <w:color w:val="auto"/>
          <w:kern w:val="2"/>
          <w:sz w:val="21"/>
          <w:szCs w:val="21"/>
          <w:highlight w:val="none"/>
        </w:rPr>
        <w:t> </w:t>
      </w:r>
    </w:p>
    <w:p w14:paraId="2B1F49FD">
      <w:pPr>
        <w:pStyle w:val="18"/>
        <w:keepNext w:val="0"/>
        <w:keepLines w:val="0"/>
        <w:pageBreakBefore w:val="0"/>
        <w:widowControl w:val="0"/>
        <w:kinsoku/>
        <w:wordWrap/>
        <w:overflowPunct/>
        <w:topLinePunct w:val="0"/>
        <w:autoSpaceDE/>
        <w:autoSpaceDN/>
        <w:bidi w:val="0"/>
        <w:adjustRightInd/>
        <w:snapToGrid/>
        <w:spacing w:beforeAutospacing="0" w:afterAutospacing="0" w:line="380" w:lineRule="atLeas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kern w:val="2"/>
          <w:sz w:val="21"/>
          <w:szCs w:val="21"/>
          <w:highlight w:val="none"/>
        </w:rPr>
        <w:t>地  址：</w:t>
      </w:r>
      <w:r>
        <w:rPr>
          <w:rFonts w:hint="eastAsia" w:ascii="宋体" w:hAnsi="宋体" w:cs="宋体"/>
          <w:color w:val="auto"/>
          <w:sz w:val="21"/>
          <w:szCs w:val="21"/>
          <w:highlight w:val="none"/>
          <w:lang w:eastAsia="zh-CN"/>
        </w:rPr>
        <w:t>开化县芹阳办事处江宁路72号</w:t>
      </w:r>
    </w:p>
    <w:p w14:paraId="13347847">
      <w:pPr>
        <w:pStyle w:val="18"/>
        <w:keepNext w:val="0"/>
        <w:keepLines w:val="0"/>
        <w:pageBreakBefore w:val="0"/>
        <w:widowControl w:val="0"/>
        <w:kinsoku/>
        <w:wordWrap/>
        <w:overflowPunct/>
        <w:topLinePunct w:val="0"/>
        <w:autoSpaceDE/>
        <w:autoSpaceDN/>
        <w:bidi w:val="0"/>
        <w:adjustRightInd/>
        <w:snapToGrid/>
        <w:spacing w:beforeAutospacing="0" w:afterAutospacing="0" w:line="380" w:lineRule="atLeast"/>
        <w:ind w:firstLine="420" w:firstLineChars="200"/>
        <w:textAlignment w:val="auto"/>
        <w:rPr>
          <w:rFonts w:hint="eastAsia" w:ascii="宋体" w:hAnsi="宋体" w:cs="宋体"/>
          <w:color w:val="auto"/>
          <w:sz w:val="21"/>
          <w:szCs w:val="21"/>
          <w:highlight w:val="none"/>
        </w:rPr>
      </w:pPr>
      <w:r>
        <w:rPr>
          <w:rFonts w:hint="eastAsia" w:ascii="宋体" w:hAnsi="宋体" w:cs="宋体"/>
          <w:bCs/>
          <w:color w:val="auto"/>
          <w:kern w:val="2"/>
          <w:sz w:val="21"/>
          <w:szCs w:val="21"/>
          <w:highlight w:val="none"/>
        </w:rPr>
        <w:t>传 真：/  </w:t>
      </w:r>
    </w:p>
    <w:p w14:paraId="76679F4D">
      <w:pPr>
        <w:pStyle w:val="18"/>
        <w:keepNext w:val="0"/>
        <w:keepLines w:val="0"/>
        <w:pageBreakBefore w:val="0"/>
        <w:widowControl w:val="0"/>
        <w:kinsoku/>
        <w:wordWrap/>
        <w:overflowPunct/>
        <w:topLinePunct w:val="0"/>
        <w:autoSpaceDE/>
        <w:autoSpaceDN/>
        <w:bidi w:val="0"/>
        <w:adjustRightInd/>
        <w:snapToGrid/>
        <w:spacing w:beforeAutospacing="0" w:afterAutospacing="0" w:line="380" w:lineRule="atLeast"/>
        <w:ind w:firstLine="420" w:firstLineChars="200"/>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rPr>
        <w:t>项目联系人（询问）：</w:t>
      </w:r>
      <w:r>
        <w:rPr>
          <w:rFonts w:hint="eastAsia" w:ascii="宋体" w:hAnsi="宋体" w:cs="宋体"/>
          <w:color w:val="auto"/>
          <w:kern w:val="2"/>
          <w:sz w:val="21"/>
          <w:szCs w:val="21"/>
          <w:highlight w:val="none"/>
          <w:lang w:val="en-US" w:eastAsia="zh-CN"/>
        </w:rPr>
        <w:t>左菲</w:t>
      </w:r>
    </w:p>
    <w:p w14:paraId="6BE8FC28">
      <w:pPr>
        <w:pStyle w:val="18"/>
        <w:keepNext w:val="0"/>
        <w:keepLines w:val="0"/>
        <w:pageBreakBefore w:val="0"/>
        <w:widowControl w:val="0"/>
        <w:kinsoku/>
        <w:wordWrap/>
        <w:overflowPunct/>
        <w:topLinePunct w:val="0"/>
        <w:autoSpaceDE/>
        <w:autoSpaceDN/>
        <w:bidi w:val="0"/>
        <w:adjustRightInd/>
        <w:snapToGrid/>
        <w:spacing w:beforeAutospacing="0" w:afterAutospacing="0" w:line="380" w:lineRule="atLeast"/>
        <w:ind w:firstLine="420" w:firstLineChars="200"/>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rPr>
        <w:t>项目联系方式（询问）：</w:t>
      </w:r>
      <w:r>
        <w:rPr>
          <w:rFonts w:hint="eastAsia" w:ascii="宋体" w:hAnsi="宋体" w:cs="宋体"/>
          <w:color w:val="auto"/>
          <w:kern w:val="2"/>
          <w:sz w:val="21"/>
          <w:szCs w:val="21"/>
          <w:highlight w:val="none"/>
          <w:lang w:val="en-US" w:eastAsia="zh-CN"/>
        </w:rPr>
        <w:t>15857031276</w:t>
      </w:r>
    </w:p>
    <w:p w14:paraId="145B77CC">
      <w:pPr>
        <w:pStyle w:val="18"/>
        <w:keepNext w:val="0"/>
        <w:keepLines w:val="0"/>
        <w:pageBreakBefore w:val="0"/>
        <w:widowControl w:val="0"/>
        <w:kinsoku/>
        <w:wordWrap/>
        <w:overflowPunct/>
        <w:topLinePunct w:val="0"/>
        <w:autoSpaceDE/>
        <w:autoSpaceDN/>
        <w:bidi w:val="0"/>
        <w:adjustRightInd/>
        <w:snapToGrid/>
        <w:spacing w:beforeAutospacing="0" w:afterAutospacing="0" w:line="380" w:lineRule="atLeast"/>
        <w:ind w:firstLine="420" w:firstLineChars="200"/>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rPr>
        <w:t>质疑联系人：</w:t>
      </w:r>
      <w:r>
        <w:rPr>
          <w:rFonts w:hint="eastAsia" w:ascii="宋体" w:hAnsi="宋体" w:cs="宋体"/>
          <w:color w:val="auto"/>
          <w:kern w:val="2"/>
          <w:sz w:val="21"/>
          <w:szCs w:val="21"/>
          <w:highlight w:val="none"/>
          <w:lang w:val="en-US" w:eastAsia="zh-CN"/>
        </w:rPr>
        <w:t>夏韵</w:t>
      </w:r>
    </w:p>
    <w:p w14:paraId="42FAFBAC">
      <w:pPr>
        <w:pStyle w:val="18"/>
        <w:keepNext w:val="0"/>
        <w:keepLines w:val="0"/>
        <w:pageBreakBefore w:val="0"/>
        <w:widowControl w:val="0"/>
        <w:kinsoku/>
        <w:wordWrap/>
        <w:overflowPunct/>
        <w:topLinePunct w:val="0"/>
        <w:autoSpaceDE/>
        <w:autoSpaceDN/>
        <w:bidi w:val="0"/>
        <w:adjustRightInd/>
        <w:snapToGrid/>
        <w:spacing w:beforeAutospacing="0" w:afterAutospacing="0" w:line="380" w:lineRule="atLeast"/>
        <w:ind w:firstLine="420" w:firstLineChars="200"/>
        <w:textAlignment w:val="auto"/>
        <w:rPr>
          <w:rFonts w:hint="eastAsia" w:ascii="宋体" w:hAnsi="宋体" w:eastAsia="宋体" w:cs="宋体"/>
          <w:color w:val="auto"/>
          <w:kern w:val="2"/>
          <w:sz w:val="21"/>
          <w:szCs w:val="21"/>
          <w:highlight w:val="none"/>
          <w:lang w:eastAsia="zh-CN"/>
        </w:rPr>
      </w:pPr>
      <w:r>
        <w:rPr>
          <w:rFonts w:hint="eastAsia" w:ascii="宋体" w:hAnsi="宋体" w:cs="宋体"/>
          <w:color w:val="auto"/>
          <w:kern w:val="2"/>
          <w:sz w:val="21"/>
          <w:szCs w:val="21"/>
          <w:highlight w:val="none"/>
        </w:rPr>
        <w:t>质疑联系方式：</w:t>
      </w:r>
      <w:r>
        <w:rPr>
          <w:rFonts w:hint="eastAsia" w:ascii="宋体" w:hAnsi="宋体" w:cs="宋体"/>
          <w:color w:val="auto"/>
          <w:kern w:val="2"/>
          <w:sz w:val="21"/>
          <w:szCs w:val="21"/>
          <w:highlight w:val="none"/>
          <w:lang w:eastAsia="zh-CN"/>
        </w:rPr>
        <w:t>0570-6023598</w:t>
      </w:r>
    </w:p>
    <w:p w14:paraId="26B9D676">
      <w:pPr>
        <w:pStyle w:val="18"/>
        <w:keepNext w:val="0"/>
        <w:keepLines w:val="0"/>
        <w:pageBreakBefore w:val="0"/>
        <w:widowControl w:val="0"/>
        <w:kinsoku/>
        <w:wordWrap/>
        <w:overflowPunct/>
        <w:topLinePunct w:val="0"/>
        <w:autoSpaceDE/>
        <w:autoSpaceDN/>
        <w:bidi w:val="0"/>
        <w:adjustRightInd/>
        <w:snapToGrid/>
        <w:spacing w:beforeAutospacing="0" w:afterAutospacing="0" w:line="380" w:lineRule="atLeast"/>
        <w:ind w:firstLine="420" w:firstLineChars="200"/>
        <w:textAlignment w:val="auto"/>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3.同级政府采购监督管理部门</w:t>
      </w:r>
    </w:p>
    <w:p w14:paraId="7029F969">
      <w:pPr>
        <w:pStyle w:val="18"/>
        <w:keepNext w:val="0"/>
        <w:keepLines w:val="0"/>
        <w:pageBreakBefore w:val="0"/>
        <w:widowControl w:val="0"/>
        <w:kinsoku/>
        <w:wordWrap/>
        <w:overflowPunct/>
        <w:topLinePunct w:val="0"/>
        <w:autoSpaceDE/>
        <w:autoSpaceDN/>
        <w:bidi w:val="0"/>
        <w:adjustRightInd/>
        <w:snapToGrid/>
        <w:spacing w:beforeAutospacing="0" w:afterAutospacing="0" w:line="380" w:lineRule="atLeast"/>
        <w:ind w:firstLine="420" w:firstLineChars="200"/>
        <w:textAlignment w:val="auto"/>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名  称：开化县财政局政府采购监管科（</w:t>
      </w:r>
      <w:r>
        <w:rPr>
          <w:rFonts w:hint="eastAsia" w:ascii="宋体" w:hAnsi="宋体" w:cs="宋体"/>
          <w:bCs/>
          <w:color w:val="auto"/>
          <w:kern w:val="2"/>
          <w:sz w:val="21"/>
          <w:szCs w:val="21"/>
          <w:highlight w:val="none"/>
        </w:rPr>
        <w:t>以下简称采监科</w:t>
      </w:r>
      <w:r>
        <w:rPr>
          <w:rFonts w:hint="eastAsia" w:ascii="宋体" w:hAnsi="宋体" w:cs="宋体"/>
          <w:color w:val="auto"/>
          <w:kern w:val="2"/>
          <w:sz w:val="21"/>
          <w:szCs w:val="21"/>
          <w:highlight w:val="none"/>
        </w:rPr>
        <w:t>）</w:t>
      </w:r>
    </w:p>
    <w:p w14:paraId="7DAD6249">
      <w:pPr>
        <w:pStyle w:val="18"/>
        <w:keepNext w:val="0"/>
        <w:keepLines w:val="0"/>
        <w:pageBreakBefore w:val="0"/>
        <w:widowControl w:val="0"/>
        <w:kinsoku/>
        <w:wordWrap/>
        <w:overflowPunct/>
        <w:topLinePunct w:val="0"/>
        <w:autoSpaceDE/>
        <w:autoSpaceDN/>
        <w:bidi w:val="0"/>
        <w:adjustRightInd/>
        <w:snapToGrid/>
        <w:spacing w:beforeAutospacing="0" w:afterAutospacing="0" w:line="380" w:lineRule="atLeast"/>
        <w:ind w:firstLine="420" w:firstLineChars="200"/>
        <w:textAlignment w:val="auto"/>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地  址：开化县永吉二路8号</w:t>
      </w:r>
    </w:p>
    <w:p w14:paraId="2BBEF9B0">
      <w:pPr>
        <w:pStyle w:val="18"/>
        <w:keepNext w:val="0"/>
        <w:keepLines w:val="0"/>
        <w:pageBreakBefore w:val="0"/>
        <w:widowControl w:val="0"/>
        <w:kinsoku/>
        <w:wordWrap/>
        <w:overflowPunct/>
        <w:topLinePunct w:val="0"/>
        <w:autoSpaceDE/>
        <w:autoSpaceDN/>
        <w:bidi w:val="0"/>
        <w:adjustRightInd/>
        <w:snapToGrid/>
        <w:spacing w:beforeAutospacing="0" w:afterAutospacing="0" w:line="380" w:lineRule="atLeast"/>
        <w:ind w:firstLine="420" w:firstLineChars="200"/>
        <w:textAlignment w:val="auto"/>
        <w:rPr>
          <w:rFonts w:hint="eastAsia" w:ascii="宋体" w:hAnsi="宋体" w:cs="宋体"/>
          <w:color w:val="auto"/>
          <w:kern w:val="2"/>
          <w:sz w:val="21"/>
          <w:szCs w:val="21"/>
          <w:highlight w:val="none"/>
        </w:rPr>
      </w:pPr>
      <w:r>
        <w:rPr>
          <w:rFonts w:hint="eastAsia" w:ascii="宋体" w:hAnsi="宋体" w:cs="宋体"/>
          <w:bCs/>
          <w:color w:val="auto"/>
          <w:kern w:val="2"/>
          <w:sz w:val="21"/>
          <w:szCs w:val="21"/>
          <w:highlight w:val="none"/>
        </w:rPr>
        <w:t>传 真：/  </w:t>
      </w:r>
    </w:p>
    <w:p w14:paraId="4CA12716">
      <w:pPr>
        <w:pStyle w:val="18"/>
        <w:keepNext w:val="0"/>
        <w:keepLines w:val="0"/>
        <w:pageBreakBefore w:val="0"/>
        <w:widowControl w:val="0"/>
        <w:kinsoku/>
        <w:wordWrap/>
        <w:overflowPunct/>
        <w:topLinePunct w:val="0"/>
        <w:autoSpaceDE/>
        <w:autoSpaceDN/>
        <w:bidi w:val="0"/>
        <w:adjustRightInd/>
        <w:snapToGrid/>
        <w:spacing w:beforeAutospacing="0" w:afterAutospacing="0" w:line="380" w:lineRule="atLeast"/>
        <w:ind w:firstLine="420" w:firstLineChars="200"/>
        <w:textAlignment w:val="auto"/>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联系人：</w:t>
      </w:r>
      <w:r>
        <w:rPr>
          <w:rFonts w:hint="eastAsia" w:ascii="宋体" w:hAnsi="宋体" w:eastAsia="宋体" w:cs="宋体"/>
          <w:bCs/>
          <w:color w:val="auto"/>
          <w:kern w:val="2"/>
          <w:sz w:val="21"/>
          <w:szCs w:val="21"/>
          <w:lang w:val="en-US" w:eastAsia="zh-CN" w:bidi="ar-SA"/>
        </w:rPr>
        <w:t>江</w:t>
      </w:r>
      <w:r>
        <w:rPr>
          <w:rFonts w:hint="eastAsia" w:ascii="宋体" w:hAnsi="宋体" w:cs="宋体"/>
          <w:bCs/>
          <w:color w:val="auto"/>
          <w:kern w:val="2"/>
          <w:sz w:val="21"/>
          <w:szCs w:val="21"/>
          <w:lang w:val="en-US" w:eastAsia="zh-CN" w:bidi="ar-SA"/>
        </w:rPr>
        <w:t>科</w:t>
      </w:r>
    </w:p>
    <w:p w14:paraId="5568090E">
      <w:pPr>
        <w:pStyle w:val="18"/>
        <w:keepNext w:val="0"/>
        <w:keepLines w:val="0"/>
        <w:pageBreakBefore w:val="0"/>
        <w:widowControl w:val="0"/>
        <w:kinsoku/>
        <w:wordWrap/>
        <w:overflowPunct/>
        <w:topLinePunct w:val="0"/>
        <w:autoSpaceDE/>
        <w:autoSpaceDN/>
        <w:bidi w:val="0"/>
        <w:adjustRightInd/>
        <w:snapToGrid/>
        <w:spacing w:beforeAutospacing="0" w:afterAutospacing="0" w:line="380" w:lineRule="atLeast"/>
        <w:ind w:firstLine="420" w:firstLineChars="200"/>
        <w:textAlignment w:val="auto"/>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监督投诉电话：0570-6013637 </w:t>
      </w:r>
    </w:p>
    <w:p w14:paraId="27816915">
      <w:pPr>
        <w:pStyle w:val="18"/>
        <w:keepNext w:val="0"/>
        <w:keepLines w:val="0"/>
        <w:pageBreakBefore w:val="0"/>
        <w:widowControl w:val="0"/>
        <w:kinsoku/>
        <w:wordWrap/>
        <w:overflowPunct/>
        <w:topLinePunct w:val="0"/>
        <w:autoSpaceDE/>
        <w:autoSpaceDN/>
        <w:bidi w:val="0"/>
        <w:adjustRightInd/>
        <w:snapToGrid/>
        <w:spacing w:beforeAutospacing="0" w:afterAutospacing="0" w:line="380" w:lineRule="atLeast"/>
        <w:ind w:firstLine="422" w:firstLineChars="200"/>
        <w:textAlignment w:val="auto"/>
        <w:rPr>
          <w:rFonts w:hint="eastAsia" w:ascii="宋体" w:hAnsi="宋体" w:cs="宋体"/>
          <w:b/>
          <w:bCs/>
          <w:color w:val="auto"/>
          <w:kern w:val="2"/>
          <w:sz w:val="21"/>
          <w:szCs w:val="21"/>
          <w:highlight w:val="none"/>
        </w:rPr>
      </w:pPr>
      <w:r>
        <w:rPr>
          <w:rFonts w:hint="eastAsia" w:ascii="宋体" w:hAnsi="宋体" w:cs="宋体"/>
          <w:b/>
          <w:bCs/>
          <w:color w:val="auto"/>
          <w:kern w:val="2"/>
          <w:sz w:val="21"/>
          <w:szCs w:val="21"/>
          <w:highlight w:val="none"/>
        </w:rPr>
        <w:t>若对项目采购电子交易系统操作有疑问，可登录政采云（https://www.zcygov.cn/），点击右侧6013959咨询小采，获取采小蜜智能服务管家帮助，或拨打政采云服务热线</w:t>
      </w:r>
      <w:r>
        <w:rPr>
          <w:rFonts w:hint="eastAsia" w:ascii="宋体" w:hAnsi="宋体" w:cs="宋体"/>
          <w:b/>
          <w:bCs/>
          <w:color w:val="auto"/>
          <w:kern w:val="2"/>
          <w:sz w:val="21"/>
          <w:szCs w:val="21"/>
          <w:highlight w:val="none"/>
          <w:lang w:val="en-US" w:eastAsia="zh-CN"/>
        </w:rPr>
        <w:t>95763</w:t>
      </w:r>
      <w:r>
        <w:rPr>
          <w:rFonts w:hint="eastAsia" w:ascii="宋体" w:hAnsi="宋体" w:cs="宋体"/>
          <w:b/>
          <w:bCs/>
          <w:color w:val="auto"/>
          <w:kern w:val="2"/>
          <w:sz w:val="21"/>
          <w:szCs w:val="21"/>
          <w:highlight w:val="none"/>
        </w:rPr>
        <w:t>获取热线服务帮助。</w:t>
      </w:r>
    </w:p>
    <w:p w14:paraId="24FF7130">
      <w:pPr>
        <w:pStyle w:val="18"/>
        <w:keepNext w:val="0"/>
        <w:keepLines w:val="0"/>
        <w:pageBreakBefore w:val="0"/>
        <w:widowControl w:val="0"/>
        <w:kinsoku/>
        <w:wordWrap/>
        <w:overflowPunct/>
        <w:topLinePunct w:val="0"/>
        <w:autoSpaceDE/>
        <w:autoSpaceDN/>
        <w:bidi w:val="0"/>
        <w:adjustRightInd/>
        <w:snapToGrid/>
        <w:spacing w:beforeAutospacing="0" w:afterAutospacing="0" w:line="380" w:lineRule="atLeast"/>
        <w:ind w:firstLine="422" w:firstLineChars="200"/>
        <w:textAlignment w:val="auto"/>
        <w:rPr>
          <w:rFonts w:hint="eastAsia" w:ascii="宋体" w:hAnsi="宋体" w:cs="宋体"/>
          <w:bCs/>
          <w:color w:val="auto"/>
          <w:sz w:val="21"/>
          <w:szCs w:val="21"/>
          <w:highlight w:val="none"/>
        </w:rPr>
      </w:pPr>
      <w:r>
        <w:rPr>
          <w:rFonts w:hint="eastAsia" w:ascii="宋体" w:hAnsi="宋体" w:cs="宋体"/>
          <w:b/>
          <w:bCs/>
          <w:color w:val="auto"/>
          <w:kern w:val="2"/>
          <w:sz w:val="21"/>
          <w:szCs w:val="21"/>
          <w:highlight w:val="none"/>
        </w:rPr>
        <w:t>CA问题联系电话（人工）：汇信CA 400-888-4636；天谷CA 400-087-8198。</w:t>
      </w:r>
    </w:p>
    <w:p w14:paraId="20E31FFA">
      <w:pPr>
        <w:spacing w:line="440" w:lineRule="exact"/>
        <w:jc w:val="center"/>
        <w:outlineLvl w:val="0"/>
        <w:rPr>
          <w:rFonts w:hint="eastAsia" w:ascii="黑体" w:hAnsi="黑体" w:eastAsia="黑体" w:cs="黑体"/>
          <w:color w:val="auto"/>
          <w:sz w:val="36"/>
          <w:szCs w:val="36"/>
          <w:highlight w:val="none"/>
        </w:rPr>
      </w:pPr>
      <w:bookmarkStart w:id="9" w:name="_Toc326937528"/>
      <w:bookmarkStart w:id="10" w:name="_Toc358384686"/>
      <w:bookmarkStart w:id="11" w:name="_Toc32706"/>
      <w:bookmarkStart w:id="12" w:name="_Toc433917258"/>
      <w:bookmarkStart w:id="13" w:name="_Toc393201705"/>
      <w:bookmarkStart w:id="14" w:name="_Toc333842542"/>
      <w:r>
        <w:rPr>
          <w:rFonts w:hint="eastAsia" w:ascii="黑体" w:hAnsi="黑体" w:eastAsia="黑体" w:cs="黑体"/>
          <w:color w:val="auto"/>
          <w:sz w:val="36"/>
          <w:szCs w:val="36"/>
          <w:highlight w:val="none"/>
        </w:rPr>
        <w:br w:type="page"/>
      </w:r>
      <w:r>
        <w:rPr>
          <w:rFonts w:hint="eastAsia" w:ascii="黑体" w:hAnsi="黑体" w:eastAsia="黑体" w:cs="黑体"/>
          <w:color w:val="auto"/>
          <w:sz w:val="36"/>
          <w:szCs w:val="36"/>
          <w:highlight w:val="none"/>
        </w:rPr>
        <w:t>第二章  投标人须知及前附表</w:t>
      </w:r>
      <w:bookmarkEnd w:id="9"/>
      <w:bookmarkEnd w:id="10"/>
      <w:bookmarkEnd w:id="11"/>
      <w:bookmarkEnd w:id="12"/>
      <w:bookmarkEnd w:id="13"/>
      <w:bookmarkEnd w:id="14"/>
    </w:p>
    <w:p w14:paraId="256F6F72">
      <w:pPr>
        <w:spacing w:line="400" w:lineRule="exact"/>
        <w:outlineLvl w:val="9"/>
        <w:rPr>
          <w:rFonts w:ascii="仿宋" w:hAnsi="仿宋" w:eastAsia="仿宋" w:cs="宋体"/>
          <w:b/>
          <w:bCs/>
          <w:color w:val="auto"/>
          <w:kern w:val="0"/>
          <w:sz w:val="30"/>
          <w:szCs w:val="30"/>
          <w:highlight w:val="none"/>
        </w:rPr>
      </w:pPr>
      <w:bookmarkStart w:id="15" w:name="_Toc358384687"/>
      <w:bookmarkStart w:id="16" w:name="_Toc433917259"/>
      <w:bookmarkStart w:id="17" w:name="_Toc393201706"/>
      <w:bookmarkStart w:id="18" w:name="_Toc326937529"/>
      <w:bookmarkStart w:id="19" w:name="_Toc333842543"/>
      <w:bookmarkStart w:id="20" w:name="_Toc21471"/>
    </w:p>
    <w:p w14:paraId="467EF7ED">
      <w:pPr>
        <w:outlineLvl w:val="1"/>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A、投标人须知前附表</w:t>
      </w:r>
      <w:bookmarkEnd w:id="15"/>
      <w:bookmarkEnd w:id="16"/>
      <w:bookmarkEnd w:id="17"/>
      <w:bookmarkEnd w:id="18"/>
      <w:bookmarkEnd w:id="19"/>
      <w:bookmarkEnd w:id="20"/>
    </w:p>
    <w:tbl>
      <w:tblPr>
        <w:tblStyle w:val="22"/>
        <w:tblW w:w="9545"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71" w:type="dxa"/>
          <w:bottom w:w="15" w:type="dxa"/>
          <w:right w:w="71" w:type="dxa"/>
        </w:tblCellMar>
      </w:tblPr>
      <w:tblGrid>
        <w:gridCol w:w="705"/>
        <w:gridCol w:w="1697"/>
        <w:gridCol w:w="7143"/>
      </w:tblGrid>
      <w:tr w14:paraId="1D82FD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71" w:type="dxa"/>
            <w:bottom w:w="15" w:type="dxa"/>
            <w:right w:w="71" w:type="dxa"/>
          </w:tblCellMar>
        </w:tblPrEx>
        <w:trPr>
          <w:trHeight w:val="378" w:hRule="atLeast"/>
          <w:jc w:val="center"/>
        </w:trPr>
        <w:tc>
          <w:tcPr>
            <w:tcW w:w="705" w:type="dxa"/>
            <w:shd w:val="clear" w:color="000000" w:fill="auto"/>
            <w:noWrap w:val="0"/>
            <w:vAlign w:val="center"/>
          </w:tcPr>
          <w:p w14:paraId="40ED46A4">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cs="宋体"/>
                <w:b/>
                <w:color w:val="auto"/>
                <w:szCs w:val="21"/>
                <w:highlight w:val="none"/>
              </w:rPr>
            </w:pPr>
            <w:r>
              <w:rPr>
                <w:rFonts w:hint="eastAsia" w:ascii="宋体" w:hAnsi="宋体" w:cs="宋体"/>
                <w:b/>
                <w:color w:val="auto"/>
                <w:szCs w:val="21"/>
                <w:highlight w:val="none"/>
              </w:rPr>
              <w:t xml:space="preserve">序号 </w:t>
            </w:r>
          </w:p>
        </w:tc>
        <w:tc>
          <w:tcPr>
            <w:tcW w:w="1697" w:type="dxa"/>
            <w:shd w:val="clear" w:color="000000" w:fill="auto"/>
            <w:noWrap w:val="0"/>
            <w:vAlign w:val="center"/>
          </w:tcPr>
          <w:p w14:paraId="24DDF890">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cs="宋体"/>
                <w:b/>
                <w:color w:val="auto"/>
                <w:szCs w:val="21"/>
                <w:highlight w:val="none"/>
              </w:rPr>
            </w:pPr>
            <w:r>
              <w:rPr>
                <w:rFonts w:hint="eastAsia" w:ascii="宋体" w:hAnsi="宋体" w:cs="宋体"/>
                <w:b/>
                <w:color w:val="auto"/>
                <w:szCs w:val="21"/>
                <w:highlight w:val="none"/>
              </w:rPr>
              <w:t>内容</w:t>
            </w:r>
          </w:p>
        </w:tc>
        <w:tc>
          <w:tcPr>
            <w:tcW w:w="7143" w:type="dxa"/>
            <w:shd w:val="clear" w:color="000000" w:fill="auto"/>
            <w:noWrap w:val="0"/>
            <w:vAlign w:val="center"/>
          </w:tcPr>
          <w:p w14:paraId="0EE6EEA7">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cs="宋体"/>
                <w:b/>
                <w:color w:val="auto"/>
                <w:szCs w:val="21"/>
                <w:highlight w:val="none"/>
              </w:rPr>
            </w:pPr>
            <w:r>
              <w:rPr>
                <w:rFonts w:hint="eastAsia" w:ascii="宋体" w:hAnsi="宋体" w:cs="宋体"/>
                <w:b/>
                <w:color w:val="auto"/>
                <w:szCs w:val="21"/>
                <w:highlight w:val="none"/>
              </w:rPr>
              <w:t>须     知</w:t>
            </w:r>
          </w:p>
        </w:tc>
      </w:tr>
      <w:tr w14:paraId="19D666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71" w:type="dxa"/>
            <w:bottom w:w="15" w:type="dxa"/>
            <w:right w:w="71" w:type="dxa"/>
          </w:tblCellMar>
        </w:tblPrEx>
        <w:trPr>
          <w:trHeight w:val="2015" w:hRule="atLeast"/>
          <w:jc w:val="center"/>
        </w:trPr>
        <w:tc>
          <w:tcPr>
            <w:tcW w:w="705" w:type="dxa"/>
            <w:shd w:val="clear" w:color="000000" w:fill="auto"/>
            <w:noWrap w:val="0"/>
            <w:vAlign w:val="center"/>
          </w:tcPr>
          <w:p w14:paraId="465B0607">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1</w:t>
            </w:r>
          </w:p>
        </w:tc>
        <w:tc>
          <w:tcPr>
            <w:tcW w:w="1697" w:type="dxa"/>
            <w:shd w:val="clear" w:color="000000" w:fill="auto"/>
            <w:noWrap w:val="0"/>
            <w:vAlign w:val="center"/>
          </w:tcPr>
          <w:p w14:paraId="6601B07D">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采购项目</w:t>
            </w:r>
            <w:r>
              <w:rPr>
                <w:rStyle w:val="28"/>
                <w:rFonts w:hint="default" w:cs="宋体"/>
                <w:color w:val="auto"/>
                <w:sz w:val="21"/>
                <w:szCs w:val="21"/>
                <w:highlight w:val="none"/>
              </w:rPr>
              <w:t>概况</w:t>
            </w:r>
          </w:p>
        </w:tc>
        <w:tc>
          <w:tcPr>
            <w:tcW w:w="7143" w:type="dxa"/>
            <w:shd w:val="clear" w:color="000000" w:fill="auto"/>
            <w:noWrap w:val="0"/>
            <w:vAlign w:val="center"/>
          </w:tcPr>
          <w:p w14:paraId="691E7B58">
            <w:pPr>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采购人：</w:t>
            </w:r>
            <w:r>
              <w:rPr>
                <w:rFonts w:hint="eastAsia" w:ascii="宋体" w:hAnsi="宋体" w:cs="宋体"/>
                <w:color w:val="auto"/>
                <w:szCs w:val="21"/>
                <w:highlight w:val="none"/>
                <w:lang w:eastAsia="zh-CN"/>
              </w:rPr>
              <w:t>开化县林业局</w:t>
            </w:r>
          </w:p>
          <w:p w14:paraId="0A7F1207">
            <w:pPr>
              <w:keepNext w:val="0"/>
              <w:keepLines w:val="0"/>
              <w:pageBreakBefore w:val="0"/>
              <w:kinsoku/>
              <w:overflowPunct/>
              <w:topLinePunct w:val="0"/>
              <w:autoSpaceDE/>
              <w:autoSpaceDN/>
              <w:bidi w:val="0"/>
              <w:adjustRightInd/>
              <w:snapToGrid/>
              <w:spacing w:line="400" w:lineRule="exact"/>
              <w:textAlignment w:val="auto"/>
              <w:rPr>
                <w:rStyle w:val="29"/>
                <w:rFonts w:hint="default" w:cs="宋体"/>
                <w:color w:val="auto"/>
                <w:highlight w:val="none"/>
              </w:rPr>
            </w:pPr>
            <w:r>
              <w:rPr>
                <w:rStyle w:val="29"/>
                <w:rFonts w:hint="default" w:cs="宋体"/>
                <w:color w:val="auto"/>
                <w:highlight w:val="none"/>
              </w:rPr>
              <w:t>采购内容：</w:t>
            </w:r>
            <w:r>
              <w:rPr>
                <w:rStyle w:val="29"/>
                <w:rFonts w:hint="eastAsia" w:cs="宋体"/>
                <w:color w:val="auto"/>
                <w:highlight w:val="none"/>
                <w:lang w:eastAsia="zh-CN"/>
              </w:rPr>
              <w:t>开化县怀玉山区水土保持与生态修复项目监理</w:t>
            </w:r>
            <w:r>
              <w:rPr>
                <w:rStyle w:val="29"/>
                <w:rFonts w:hint="default" w:cs="宋体"/>
                <w:color w:val="auto"/>
                <w:highlight w:val="none"/>
              </w:rPr>
              <w:t>（详见第四章《采购需求》）</w:t>
            </w:r>
          </w:p>
          <w:p w14:paraId="4282B7AB">
            <w:pPr>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lang w:eastAsia="zh-CN"/>
              </w:rPr>
            </w:pPr>
            <w:r>
              <w:rPr>
                <w:rStyle w:val="29"/>
                <w:rFonts w:hint="default" w:cs="宋体"/>
                <w:color w:val="auto"/>
                <w:highlight w:val="none"/>
              </w:rPr>
              <w:t>项目编号：</w:t>
            </w:r>
            <w:r>
              <w:rPr>
                <w:rFonts w:hint="eastAsia" w:ascii="宋体" w:hAnsi="宋体" w:cs="宋体"/>
                <w:color w:val="auto"/>
                <w:szCs w:val="21"/>
                <w:highlight w:val="none"/>
                <w:lang w:eastAsia="zh-CN"/>
              </w:rPr>
              <w:t>OBGCGLZFCG2025-007</w:t>
            </w:r>
          </w:p>
          <w:p w14:paraId="5CB0C363">
            <w:pPr>
              <w:keepNext w:val="0"/>
              <w:keepLines w:val="0"/>
              <w:pageBreakBefore w:val="0"/>
              <w:kinsoku/>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预算金额：</w:t>
            </w:r>
            <w:r>
              <w:rPr>
                <w:rFonts w:hint="eastAsia" w:ascii="宋体" w:hAnsi="宋体" w:eastAsia="宋体" w:cs="宋体"/>
                <w:color w:val="auto"/>
                <w:sz w:val="21"/>
                <w:szCs w:val="21"/>
                <w:u w:val="single"/>
                <w:lang w:val="en-US" w:eastAsia="zh-CN"/>
              </w:rPr>
              <w:t>357.7046</w:t>
            </w:r>
            <w:r>
              <w:rPr>
                <w:rFonts w:hint="eastAsia" w:ascii="宋体" w:hAnsi="宋体" w:cs="宋体"/>
                <w:color w:val="auto"/>
                <w:szCs w:val="21"/>
                <w:highlight w:val="none"/>
              </w:rPr>
              <w:t>万元</w:t>
            </w:r>
          </w:p>
          <w:p w14:paraId="423F046D">
            <w:pPr>
              <w:keepNext w:val="0"/>
              <w:keepLines w:val="0"/>
              <w:pageBreakBefore w:val="0"/>
              <w:kinsoku/>
              <w:overflowPunct/>
              <w:topLinePunct w:val="0"/>
              <w:autoSpaceDE/>
              <w:autoSpaceDN/>
              <w:bidi w:val="0"/>
              <w:adjustRightInd/>
              <w:snapToGrid/>
              <w:spacing w:line="400" w:lineRule="exac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标项1：</w:t>
            </w:r>
            <w:r>
              <w:rPr>
                <w:rFonts w:hint="eastAsia" w:ascii="宋体" w:hAnsi="宋体" w:eastAsia="宋体" w:cs="宋体"/>
                <w:color w:val="auto"/>
                <w:sz w:val="21"/>
                <w:szCs w:val="21"/>
                <w:u w:val="single"/>
                <w:lang w:val="en-US" w:eastAsia="zh-CN"/>
              </w:rPr>
              <w:t>164.4500</w:t>
            </w:r>
            <w:r>
              <w:rPr>
                <w:rFonts w:hint="eastAsia" w:ascii="宋体" w:hAnsi="宋体" w:cs="宋体"/>
                <w:color w:val="auto"/>
                <w:szCs w:val="21"/>
                <w:highlight w:val="none"/>
                <w:lang w:eastAsia="zh-CN"/>
              </w:rPr>
              <w:t>万元</w:t>
            </w:r>
          </w:p>
          <w:p w14:paraId="74043FFF">
            <w:pPr>
              <w:keepNext w:val="0"/>
              <w:keepLines w:val="0"/>
              <w:pageBreakBefore w:val="0"/>
              <w:kinsoku/>
              <w:overflowPunct/>
              <w:topLinePunct w:val="0"/>
              <w:autoSpaceDE/>
              <w:autoSpaceDN/>
              <w:bidi w:val="0"/>
              <w:adjustRightInd/>
              <w:snapToGrid/>
              <w:spacing w:line="400" w:lineRule="exac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标项2：</w:t>
            </w:r>
            <w:r>
              <w:rPr>
                <w:rFonts w:hint="eastAsia" w:ascii="宋体" w:hAnsi="宋体" w:eastAsia="宋体" w:cs="宋体"/>
                <w:color w:val="auto"/>
                <w:sz w:val="21"/>
                <w:szCs w:val="21"/>
                <w:u w:val="single"/>
                <w:lang w:val="en-US" w:eastAsia="zh-CN"/>
              </w:rPr>
              <w:t>193.2546</w:t>
            </w:r>
            <w:r>
              <w:rPr>
                <w:rFonts w:hint="eastAsia" w:ascii="宋体" w:hAnsi="宋体" w:cs="宋体"/>
                <w:color w:val="auto"/>
                <w:szCs w:val="21"/>
                <w:highlight w:val="none"/>
                <w:lang w:eastAsia="zh-CN"/>
              </w:rPr>
              <w:t>万元</w:t>
            </w:r>
          </w:p>
          <w:p w14:paraId="57EA5D7D">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cs="宋体"/>
                <w:color w:val="auto"/>
                <w:szCs w:val="21"/>
                <w:highlight w:val="none"/>
                <w:lang w:eastAsia="zh-CN"/>
              </w:rPr>
            </w:pPr>
            <w:r>
              <w:rPr>
                <w:rFonts w:hint="eastAsia" w:ascii="宋体" w:hAnsi="宋体" w:cs="宋体"/>
                <w:color w:val="auto"/>
                <w:szCs w:val="21"/>
                <w:highlight w:val="none"/>
              </w:rPr>
              <w:t>最高限价：</w:t>
            </w:r>
            <w:r>
              <w:rPr>
                <w:rFonts w:hint="eastAsia" w:ascii="宋体" w:hAnsi="宋体" w:eastAsia="宋体" w:cs="宋体"/>
                <w:color w:val="auto"/>
                <w:sz w:val="21"/>
                <w:szCs w:val="21"/>
                <w:u w:val="single"/>
                <w:lang w:val="en-US" w:eastAsia="zh-CN"/>
              </w:rPr>
              <w:t>357.7046</w:t>
            </w:r>
            <w:r>
              <w:rPr>
                <w:rFonts w:hint="eastAsia" w:ascii="宋体" w:hAnsi="宋体" w:cs="宋体"/>
                <w:color w:val="auto"/>
                <w:szCs w:val="21"/>
                <w:highlight w:val="none"/>
              </w:rPr>
              <w:t>万元</w:t>
            </w:r>
          </w:p>
          <w:p w14:paraId="004A59FA">
            <w:pPr>
              <w:keepNext w:val="0"/>
              <w:keepLines w:val="0"/>
              <w:pageBreakBefore w:val="0"/>
              <w:kinsoku/>
              <w:overflowPunct/>
              <w:topLinePunct w:val="0"/>
              <w:autoSpaceDE/>
              <w:autoSpaceDN/>
              <w:bidi w:val="0"/>
              <w:adjustRightInd/>
              <w:snapToGrid/>
              <w:spacing w:line="400" w:lineRule="exac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标项1：</w:t>
            </w:r>
            <w:r>
              <w:rPr>
                <w:rFonts w:hint="eastAsia" w:ascii="宋体" w:hAnsi="宋体" w:eastAsia="宋体" w:cs="宋体"/>
                <w:color w:val="auto"/>
                <w:sz w:val="21"/>
                <w:szCs w:val="21"/>
                <w:u w:val="single"/>
                <w:lang w:val="en-US" w:eastAsia="zh-CN"/>
              </w:rPr>
              <w:t>164.4500</w:t>
            </w:r>
            <w:r>
              <w:rPr>
                <w:rFonts w:hint="eastAsia" w:ascii="宋体" w:hAnsi="宋体" w:cs="宋体"/>
                <w:color w:val="auto"/>
                <w:szCs w:val="21"/>
                <w:highlight w:val="none"/>
                <w:lang w:eastAsia="zh-CN"/>
              </w:rPr>
              <w:t>万元</w:t>
            </w:r>
          </w:p>
          <w:p w14:paraId="508DD861">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cs="宋体"/>
                <w:color w:val="auto"/>
                <w:szCs w:val="21"/>
                <w:highlight w:val="yellow"/>
              </w:rPr>
            </w:pPr>
            <w:r>
              <w:rPr>
                <w:rFonts w:hint="eastAsia" w:ascii="宋体" w:hAnsi="宋体" w:cs="宋体"/>
                <w:color w:val="auto"/>
                <w:szCs w:val="21"/>
                <w:highlight w:val="none"/>
                <w:lang w:val="en-US" w:eastAsia="zh-CN"/>
              </w:rPr>
              <w:t>标项2：</w:t>
            </w:r>
            <w:r>
              <w:rPr>
                <w:rFonts w:hint="eastAsia" w:ascii="宋体" w:hAnsi="宋体" w:eastAsia="宋体" w:cs="宋体"/>
                <w:color w:val="auto"/>
                <w:sz w:val="21"/>
                <w:szCs w:val="21"/>
                <w:u w:val="single"/>
                <w:lang w:val="en-US" w:eastAsia="zh-CN"/>
              </w:rPr>
              <w:t>193.2546</w:t>
            </w:r>
            <w:r>
              <w:rPr>
                <w:rFonts w:hint="eastAsia" w:ascii="宋体" w:hAnsi="宋体" w:cs="宋体"/>
                <w:color w:val="auto"/>
                <w:szCs w:val="21"/>
                <w:highlight w:val="none"/>
                <w:lang w:eastAsia="zh-CN"/>
              </w:rPr>
              <w:t>万元</w:t>
            </w:r>
          </w:p>
          <w:p w14:paraId="0FD7CD97">
            <w:pPr>
              <w:keepNext w:val="0"/>
              <w:keepLines w:val="0"/>
              <w:pageBreakBefore w:val="0"/>
              <w:numPr>
                <w:ilvl w:val="0"/>
                <w:numId w:val="0"/>
              </w:numPr>
              <w:kinsoku/>
              <w:wordWrap/>
              <w:overflowPunct/>
              <w:topLinePunct w:val="0"/>
              <w:autoSpaceDE/>
              <w:autoSpaceDN/>
              <w:bidi w:val="0"/>
              <w:adjustRightInd/>
              <w:snapToGrid/>
              <w:spacing w:line="400" w:lineRule="exact"/>
              <w:jc w:val="left"/>
              <w:textAlignment w:val="auto"/>
              <w:rPr>
                <w:rStyle w:val="29"/>
                <w:rFonts w:hint="default" w:cs="宋体"/>
                <w:bCs/>
                <w:color w:val="auto"/>
                <w:highlight w:val="none"/>
              </w:rPr>
            </w:pPr>
            <w:r>
              <w:rPr>
                <w:rFonts w:hint="eastAsia" w:ascii="宋体" w:hAnsi="宋体" w:cs="宋体"/>
                <w:color w:val="auto"/>
                <w:szCs w:val="21"/>
                <w:highlight w:val="none"/>
              </w:rPr>
              <w:t>工期（服务期限）要求</w:t>
            </w:r>
            <w:r>
              <w:rPr>
                <w:rFonts w:hint="eastAsia" w:ascii="宋体" w:hAnsi="宋体" w:cs="宋体"/>
                <w:color w:val="auto"/>
                <w:sz w:val="21"/>
                <w:szCs w:val="21"/>
                <w:lang w:eastAsia="zh-CN"/>
              </w:rPr>
              <w:t>（标项1、标项2）</w:t>
            </w:r>
            <w:r>
              <w:rPr>
                <w:rFonts w:hint="eastAsia" w:ascii="宋体" w:hAnsi="宋体" w:cs="宋体"/>
                <w:color w:val="auto"/>
                <w:szCs w:val="21"/>
                <w:highlight w:val="none"/>
              </w:rPr>
              <w:t>：</w:t>
            </w:r>
            <w:r>
              <w:rPr>
                <w:rFonts w:hint="eastAsia" w:ascii="宋体" w:hAnsi="宋体" w:cs="宋体"/>
                <w:color w:val="auto"/>
                <w:kern w:val="0"/>
                <w:sz w:val="21"/>
                <w:szCs w:val="21"/>
                <w:highlight w:val="none"/>
                <w:lang w:val="en-US" w:eastAsia="zh-CN" w:bidi="ar"/>
              </w:rPr>
              <w:t>从签订合同之日起至工程竣工验收合格且工程结算完毕为止</w:t>
            </w:r>
            <w:r>
              <w:rPr>
                <w:rFonts w:hint="eastAsia" w:ascii="宋体" w:hAnsi="宋体" w:cs="宋体"/>
                <w:color w:val="auto"/>
                <w:szCs w:val="21"/>
                <w:highlight w:val="none"/>
                <w:lang w:val="en-US" w:eastAsia="zh-CN"/>
              </w:rPr>
              <w:t>。</w:t>
            </w:r>
          </w:p>
        </w:tc>
      </w:tr>
      <w:tr w14:paraId="27F1AB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71" w:type="dxa"/>
            <w:bottom w:w="15" w:type="dxa"/>
            <w:right w:w="71" w:type="dxa"/>
          </w:tblCellMar>
        </w:tblPrEx>
        <w:trPr>
          <w:trHeight w:val="3493" w:hRule="atLeast"/>
          <w:jc w:val="center"/>
        </w:trPr>
        <w:tc>
          <w:tcPr>
            <w:tcW w:w="705" w:type="dxa"/>
            <w:shd w:val="clear" w:color="000000" w:fill="auto"/>
            <w:noWrap w:val="0"/>
            <w:vAlign w:val="center"/>
          </w:tcPr>
          <w:p w14:paraId="57A83CC0">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2</w:t>
            </w:r>
          </w:p>
        </w:tc>
        <w:tc>
          <w:tcPr>
            <w:tcW w:w="1697" w:type="dxa"/>
            <w:shd w:val="clear" w:color="000000" w:fill="auto"/>
            <w:noWrap w:val="0"/>
            <w:vAlign w:val="center"/>
          </w:tcPr>
          <w:p w14:paraId="4545965B">
            <w:pPr>
              <w:pStyle w:val="12"/>
              <w:keepNext w:val="0"/>
              <w:keepLines w:val="0"/>
              <w:pageBreakBefore w:val="0"/>
              <w:kinsoku/>
              <w:overflowPunct/>
              <w:topLinePunct w:val="0"/>
              <w:autoSpaceDE/>
              <w:autoSpaceDN/>
              <w:bidi w:val="0"/>
              <w:adjustRightInd/>
              <w:snapToGrid/>
              <w:spacing w:line="400" w:lineRule="exact"/>
              <w:jc w:val="center"/>
              <w:textAlignment w:val="auto"/>
              <w:rPr>
                <w:rFonts w:hint="eastAsia" w:hAnsi="宋体" w:cs="宋体"/>
                <w:color w:val="auto"/>
                <w:szCs w:val="21"/>
                <w:highlight w:val="none"/>
              </w:rPr>
            </w:pPr>
            <w:r>
              <w:rPr>
                <w:rFonts w:hint="eastAsia" w:hAnsi="宋体" w:cs="宋体"/>
                <w:color w:val="auto"/>
                <w:szCs w:val="21"/>
                <w:highlight w:val="none"/>
              </w:rPr>
              <w:t>信用查询</w:t>
            </w:r>
          </w:p>
        </w:tc>
        <w:tc>
          <w:tcPr>
            <w:tcW w:w="7143" w:type="dxa"/>
            <w:shd w:val="clear" w:color="000000" w:fill="auto"/>
            <w:noWrap w:val="0"/>
            <w:vAlign w:val="center"/>
          </w:tcPr>
          <w:p w14:paraId="453CF7B8">
            <w:pPr>
              <w:pStyle w:val="12"/>
              <w:keepNext w:val="0"/>
              <w:keepLines w:val="0"/>
              <w:pageBreakBefore w:val="0"/>
              <w:kinsoku/>
              <w:overflowPunct/>
              <w:topLinePunct w:val="0"/>
              <w:autoSpaceDE/>
              <w:autoSpaceDN/>
              <w:bidi w:val="0"/>
              <w:adjustRightInd/>
              <w:snapToGrid/>
              <w:spacing w:line="400" w:lineRule="exact"/>
              <w:textAlignment w:val="auto"/>
              <w:rPr>
                <w:rFonts w:hint="eastAsia" w:hAnsi="宋体" w:cs="宋体"/>
                <w:color w:val="auto"/>
                <w:szCs w:val="21"/>
                <w:highlight w:val="none"/>
              </w:rPr>
            </w:pPr>
            <w:r>
              <w:rPr>
                <w:rFonts w:hint="eastAsia" w:hAnsi="宋体" w:cs="宋体"/>
                <w:color w:val="auto"/>
                <w:szCs w:val="21"/>
                <w:highlight w:val="none"/>
              </w:rPr>
              <w:t>根据《关于在政府采购活动中查询及使用信用记录有关问题的通知》财库[2016]125号的规定：</w:t>
            </w:r>
          </w:p>
          <w:p w14:paraId="47237A95">
            <w:pPr>
              <w:pStyle w:val="12"/>
              <w:keepNext w:val="0"/>
              <w:keepLines w:val="0"/>
              <w:pageBreakBefore w:val="0"/>
              <w:kinsoku/>
              <w:overflowPunct/>
              <w:topLinePunct w:val="0"/>
              <w:autoSpaceDE/>
              <w:autoSpaceDN/>
              <w:bidi w:val="0"/>
              <w:adjustRightInd/>
              <w:snapToGrid/>
              <w:spacing w:line="400" w:lineRule="exact"/>
              <w:textAlignment w:val="auto"/>
              <w:rPr>
                <w:rFonts w:hint="eastAsia" w:hAnsi="宋体" w:cs="宋体"/>
                <w:color w:val="auto"/>
                <w:szCs w:val="21"/>
                <w:highlight w:val="none"/>
              </w:rPr>
            </w:pPr>
            <w:r>
              <w:rPr>
                <w:rFonts w:hint="eastAsia" w:hAnsi="宋体" w:cs="宋体"/>
                <w:color w:val="auto"/>
                <w:szCs w:val="21"/>
                <w:highlight w:val="none"/>
              </w:rPr>
              <w:t>1.采购人或采购代理机构在开标当日将对本项目投标人的信用记录进行查询。查询渠道为信用中国网站（www.creditchina.gov.cn）和中国政府采购网（www.ccgp.gov.cn）等。</w:t>
            </w:r>
          </w:p>
          <w:p w14:paraId="0E6BB78B">
            <w:pPr>
              <w:pStyle w:val="12"/>
              <w:keepNext w:val="0"/>
              <w:keepLines w:val="0"/>
              <w:pageBreakBefore w:val="0"/>
              <w:kinsoku/>
              <w:overflowPunct/>
              <w:topLinePunct w:val="0"/>
              <w:autoSpaceDE/>
              <w:autoSpaceDN/>
              <w:bidi w:val="0"/>
              <w:adjustRightInd/>
              <w:snapToGrid/>
              <w:spacing w:line="400" w:lineRule="exact"/>
              <w:textAlignment w:val="auto"/>
              <w:rPr>
                <w:rFonts w:hint="eastAsia" w:hAnsi="宋体" w:cs="宋体"/>
                <w:color w:val="auto"/>
                <w:szCs w:val="21"/>
                <w:highlight w:val="none"/>
              </w:rPr>
            </w:pPr>
            <w:r>
              <w:rPr>
                <w:rFonts w:hint="eastAsia" w:hAnsi="宋体" w:cs="宋体"/>
                <w:color w:val="auto"/>
                <w:szCs w:val="21"/>
                <w:highlight w:val="none"/>
              </w:rPr>
              <w:t>2.信用信息查询的截止时点：提交投标文件（响应文件）截止时间前3年内；</w:t>
            </w:r>
          </w:p>
          <w:p w14:paraId="081B69CA">
            <w:pPr>
              <w:pStyle w:val="12"/>
              <w:keepNext w:val="0"/>
              <w:keepLines w:val="0"/>
              <w:pageBreakBefore w:val="0"/>
              <w:kinsoku/>
              <w:overflowPunct/>
              <w:topLinePunct w:val="0"/>
              <w:autoSpaceDE/>
              <w:autoSpaceDN/>
              <w:bidi w:val="0"/>
              <w:adjustRightInd/>
              <w:snapToGrid/>
              <w:spacing w:line="400" w:lineRule="exact"/>
              <w:textAlignment w:val="auto"/>
              <w:rPr>
                <w:rFonts w:hint="eastAsia" w:hAnsi="宋体" w:cs="宋体"/>
                <w:b/>
                <w:bCs/>
                <w:color w:val="auto"/>
                <w:szCs w:val="21"/>
                <w:highlight w:val="none"/>
              </w:rPr>
            </w:pPr>
            <w:r>
              <w:rPr>
                <w:rFonts w:hint="eastAsia" w:hAnsi="宋体" w:cs="宋体"/>
                <w:color w:val="auto"/>
                <w:szCs w:val="21"/>
                <w:highlight w:val="none"/>
              </w:rPr>
              <w:t>3.使用规则：被列入失信被执行人、重大税收违法案件当事人名单、政府采购严重违法失信行为记录名单及其它不符合《中华人民共和国政府采购法》第二十二条规定条件的，</w:t>
            </w:r>
            <w:r>
              <w:rPr>
                <w:rFonts w:hint="eastAsia" w:hAnsi="宋体" w:cs="宋体"/>
                <w:b/>
                <w:bCs/>
                <w:color w:val="auto"/>
                <w:szCs w:val="21"/>
                <w:highlight w:val="none"/>
              </w:rPr>
              <w:t>其投标将被拒绝。</w:t>
            </w:r>
          </w:p>
          <w:p w14:paraId="29DE4870">
            <w:pPr>
              <w:pStyle w:val="12"/>
              <w:keepNext w:val="0"/>
              <w:keepLines w:val="0"/>
              <w:pageBreakBefore w:val="0"/>
              <w:kinsoku/>
              <w:overflowPunct/>
              <w:topLinePunct w:val="0"/>
              <w:autoSpaceDE/>
              <w:autoSpaceDN/>
              <w:bidi w:val="0"/>
              <w:adjustRightInd/>
              <w:snapToGrid/>
              <w:spacing w:line="400" w:lineRule="exact"/>
              <w:textAlignment w:val="auto"/>
              <w:rPr>
                <w:rFonts w:hint="eastAsia" w:hAnsi="宋体" w:cs="宋体"/>
                <w:color w:val="auto"/>
                <w:szCs w:val="21"/>
                <w:highlight w:val="none"/>
              </w:rPr>
            </w:pPr>
            <w:r>
              <w:rPr>
                <w:rFonts w:hint="eastAsia" w:hAnsi="宋体" w:cs="宋体"/>
                <w:color w:val="auto"/>
                <w:szCs w:val="21"/>
                <w:highlight w:val="none"/>
              </w:rPr>
              <w:t>4.联合体成员任意一方存在不良信用记录的，视同联合体存在不良信用记录。</w:t>
            </w:r>
          </w:p>
        </w:tc>
      </w:tr>
      <w:tr w14:paraId="1CE77F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71" w:type="dxa"/>
            <w:bottom w:w="15" w:type="dxa"/>
            <w:right w:w="71" w:type="dxa"/>
          </w:tblCellMar>
        </w:tblPrEx>
        <w:trPr>
          <w:trHeight w:val="90" w:hRule="atLeast"/>
          <w:jc w:val="center"/>
        </w:trPr>
        <w:tc>
          <w:tcPr>
            <w:tcW w:w="705" w:type="dxa"/>
            <w:shd w:val="clear" w:color="000000" w:fill="auto"/>
            <w:noWrap w:val="0"/>
            <w:vAlign w:val="center"/>
          </w:tcPr>
          <w:p w14:paraId="282CF0B4">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3</w:t>
            </w:r>
          </w:p>
        </w:tc>
        <w:tc>
          <w:tcPr>
            <w:tcW w:w="1697" w:type="dxa"/>
            <w:shd w:val="clear" w:color="000000" w:fill="auto"/>
            <w:noWrap w:val="0"/>
            <w:vAlign w:val="center"/>
          </w:tcPr>
          <w:p w14:paraId="42E581F8">
            <w:pPr>
              <w:keepNext w:val="0"/>
              <w:keepLines w:val="0"/>
              <w:pageBreakBefore w:val="0"/>
              <w:kinsoku/>
              <w:overflowPunct/>
              <w:topLinePunct w:val="0"/>
              <w:autoSpaceDE/>
              <w:autoSpaceDN/>
              <w:bidi w:val="0"/>
              <w:adjustRightInd/>
              <w:snapToGrid/>
              <w:spacing w:line="400" w:lineRule="exact"/>
              <w:jc w:val="center"/>
              <w:textAlignment w:val="auto"/>
              <w:rPr>
                <w:rFonts w:hint="eastAsia" w:hAnsi="宋体" w:cs="宋体"/>
                <w:color w:val="auto"/>
                <w:szCs w:val="21"/>
                <w:highlight w:val="none"/>
              </w:rPr>
            </w:pPr>
            <w:r>
              <w:rPr>
                <w:rFonts w:hint="eastAsia" w:ascii="宋体" w:hAnsi="宋体" w:cs="宋体"/>
                <w:color w:val="auto"/>
                <w:szCs w:val="21"/>
                <w:highlight w:val="none"/>
              </w:rPr>
              <w:t>中小企业预留份额情况</w:t>
            </w:r>
          </w:p>
        </w:tc>
        <w:tc>
          <w:tcPr>
            <w:tcW w:w="7143" w:type="dxa"/>
            <w:shd w:val="clear" w:color="000000" w:fill="auto"/>
            <w:noWrap w:val="0"/>
            <w:vAlign w:val="center"/>
          </w:tcPr>
          <w:p w14:paraId="38B164F3">
            <w:pPr>
              <w:keepNext w:val="0"/>
              <w:keepLines w:val="0"/>
              <w:pageBreakBefore w:val="0"/>
              <w:kinsoku/>
              <w:overflowPunct/>
              <w:topLinePunct w:val="0"/>
              <w:autoSpaceDE/>
              <w:autoSpaceDN/>
              <w:bidi w:val="0"/>
              <w:adjustRightInd/>
              <w:snapToGrid/>
              <w:spacing w:line="400" w:lineRule="exact"/>
              <w:jc w:val="left"/>
              <w:textAlignment w:val="auto"/>
              <w:rPr>
                <w:rFonts w:hint="eastAsia" w:hAnsi="宋体" w:cs="宋体"/>
                <w:color w:val="auto"/>
                <w:szCs w:val="21"/>
                <w:highlight w:val="none"/>
              </w:rPr>
            </w:pPr>
            <w:r>
              <w:rPr>
                <w:rFonts w:hint="eastAsia" w:ascii="宋体" w:hAnsi="宋体" w:cs="宋体"/>
                <w:color w:val="auto"/>
                <w:szCs w:val="21"/>
                <w:highlight w:val="none"/>
              </w:rPr>
              <w:t>根据《政府采购促进中小企业发展管理办法》财库〔2020〕46号文件的规定，本项目（</w:t>
            </w:r>
            <w:r>
              <w:rPr>
                <w:rFonts w:hint="eastAsia" w:ascii="宋体" w:hAnsi="宋体" w:cs="宋体"/>
                <w:color w:val="auto"/>
                <w:szCs w:val="21"/>
                <w:highlight w:val="none"/>
                <w:lang w:eastAsia="zh-CN"/>
              </w:rPr>
              <w:t>☑</w:t>
            </w:r>
            <w:r>
              <w:rPr>
                <w:rFonts w:hint="eastAsia" w:ascii="宋体" w:hAnsi="宋体" w:cs="宋体"/>
                <w:color w:val="auto"/>
                <w:szCs w:val="21"/>
                <w:highlight w:val="none"/>
              </w:rPr>
              <w:t>是</w:t>
            </w:r>
            <w:r>
              <w:rPr>
                <w:rFonts w:hint="eastAsia" w:ascii="宋体" w:hAnsi="宋体" w:cs="宋体"/>
                <w:color w:val="auto"/>
                <w:szCs w:val="21"/>
                <w:highlight w:val="none"/>
                <w:lang w:eastAsia="zh-CN"/>
              </w:rPr>
              <w:t>□</w:t>
            </w:r>
            <w:r>
              <w:rPr>
                <w:rFonts w:hint="eastAsia" w:ascii="宋体" w:hAnsi="宋体" w:cs="宋体"/>
                <w:color w:val="auto"/>
                <w:szCs w:val="21"/>
                <w:highlight w:val="none"/>
              </w:rPr>
              <w:t>否）属于预留份额专门面向中小企业采购的项目。</w:t>
            </w:r>
          </w:p>
        </w:tc>
      </w:tr>
      <w:tr w14:paraId="3889FE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71" w:type="dxa"/>
            <w:bottom w:w="15" w:type="dxa"/>
            <w:right w:w="71" w:type="dxa"/>
          </w:tblCellMar>
        </w:tblPrEx>
        <w:trPr>
          <w:trHeight w:val="753" w:hRule="atLeast"/>
          <w:jc w:val="center"/>
        </w:trPr>
        <w:tc>
          <w:tcPr>
            <w:tcW w:w="705" w:type="dxa"/>
            <w:shd w:val="clear" w:color="000000" w:fill="auto"/>
            <w:noWrap w:val="0"/>
            <w:vAlign w:val="center"/>
          </w:tcPr>
          <w:p w14:paraId="4F74E0A8">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4</w:t>
            </w:r>
          </w:p>
        </w:tc>
        <w:tc>
          <w:tcPr>
            <w:tcW w:w="1697" w:type="dxa"/>
            <w:shd w:val="clear" w:color="000000" w:fill="auto"/>
            <w:noWrap w:val="0"/>
            <w:vAlign w:val="center"/>
          </w:tcPr>
          <w:p w14:paraId="1330B4BB">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中小企业优惠</w:t>
            </w:r>
          </w:p>
          <w:p w14:paraId="08025A42">
            <w:pPr>
              <w:keepNext w:val="0"/>
              <w:keepLines w:val="0"/>
              <w:pageBreakBefore w:val="0"/>
              <w:kinsoku/>
              <w:overflowPunct/>
              <w:topLinePunct w:val="0"/>
              <w:autoSpaceDE/>
              <w:autoSpaceDN/>
              <w:bidi w:val="0"/>
              <w:adjustRightInd/>
              <w:snapToGrid/>
              <w:spacing w:line="400" w:lineRule="exact"/>
              <w:jc w:val="center"/>
              <w:textAlignment w:val="auto"/>
              <w:rPr>
                <w:rFonts w:hint="eastAsia" w:hAnsi="宋体" w:cs="宋体"/>
                <w:color w:val="auto"/>
                <w:szCs w:val="21"/>
                <w:highlight w:val="none"/>
              </w:rPr>
            </w:pPr>
            <w:r>
              <w:rPr>
                <w:rFonts w:hint="eastAsia" w:ascii="宋体" w:hAnsi="宋体" w:cs="宋体"/>
                <w:color w:val="auto"/>
                <w:szCs w:val="21"/>
                <w:highlight w:val="none"/>
              </w:rPr>
              <w:t>措施</w:t>
            </w:r>
          </w:p>
        </w:tc>
        <w:tc>
          <w:tcPr>
            <w:tcW w:w="7143" w:type="dxa"/>
            <w:shd w:val="clear" w:color="000000" w:fill="auto"/>
            <w:noWrap w:val="0"/>
            <w:vAlign w:val="center"/>
          </w:tcPr>
          <w:p w14:paraId="29CF5F52">
            <w:pPr>
              <w:pStyle w:val="30"/>
              <w:keepNext w:val="0"/>
              <w:keepLines w:val="0"/>
              <w:pageBreakBefore w:val="0"/>
              <w:widowControl w:val="0"/>
              <w:kinsoku/>
              <w:overflowPunct/>
              <w:topLinePunct w:val="0"/>
              <w:autoSpaceDE/>
              <w:autoSpaceDN/>
              <w:bidi w:val="0"/>
              <w:adjustRightInd/>
              <w:snapToGrid/>
              <w:spacing w:line="400" w:lineRule="exact"/>
              <w:ind w:firstLine="0" w:firstLineChars="0"/>
              <w:textAlignment w:val="auto"/>
              <w:rPr>
                <w:rFonts w:hint="eastAsia"/>
                <w:bCs/>
                <w:color w:val="auto"/>
                <w:sz w:val="21"/>
                <w:szCs w:val="21"/>
                <w:highlight w:val="none"/>
                <w:u w:val="single"/>
              </w:rPr>
            </w:pPr>
            <w:r>
              <w:rPr>
                <w:rFonts w:hint="eastAsia"/>
                <w:bCs/>
                <w:color w:val="auto"/>
                <w:sz w:val="21"/>
                <w:szCs w:val="21"/>
                <w:highlight w:val="none"/>
              </w:rPr>
              <w:t xml:space="preserve">1.项目属性:□货物类  ☑服务类  □工程类 </w:t>
            </w:r>
          </w:p>
          <w:p w14:paraId="1362901C">
            <w:pPr>
              <w:pStyle w:val="30"/>
              <w:keepNext w:val="0"/>
              <w:keepLines w:val="0"/>
              <w:pageBreakBefore w:val="0"/>
              <w:widowControl w:val="0"/>
              <w:kinsoku/>
              <w:overflowPunct/>
              <w:topLinePunct w:val="0"/>
              <w:autoSpaceDE/>
              <w:autoSpaceDN/>
              <w:bidi w:val="0"/>
              <w:adjustRightInd/>
              <w:snapToGrid/>
              <w:spacing w:line="400" w:lineRule="exact"/>
              <w:ind w:firstLine="0" w:firstLineChars="0"/>
              <w:jc w:val="both"/>
              <w:textAlignment w:val="auto"/>
              <w:rPr>
                <w:rFonts w:hint="eastAsia"/>
                <w:color w:val="auto"/>
                <w:sz w:val="21"/>
                <w:szCs w:val="21"/>
                <w:highlight w:val="none"/>
              </w:rPr>
            </w:pPr>
            <w:r>
              <w:rPr>
                <w:rFonts w:hint="eastAsia"/>
                <w:color w:val="auto"/>
                <w:sz w:val="21"/>
                <w:szCs w:val="21"/>
                <w:highlight w:val="none"/>
              </w:rPr>
              <w:t>2.中小企业划分标准所属行业根据《中小企业划型标准规定》执行，但按财库〔2020〕46号文件规定，与大企业的负责人为同一人、或者与大企业存在直接控股、管理关系的除外。</w:t>
            </w:r>
          </w:p>
          <w:p w14:paraId="509028C6">
            <w:pPr>
              <w:keepNext w:val="0"/>
              <w:keepLines w:val="0"/>
              <w:pageBreakBefore w:val="0"/>
              <w:kinsoku/>
              <w:overflowPunct/>
              <w:topLinePunct w:val="0"/>
              <w:autoSpaceDE/>
              <w:autoSpaceDN/>
              <w:bidi w:val="0"/>
              <w:adjustRightInd/>
              <w:snapToGrid/>
              <w:spacing w:line="400" w:lineRule="exact"/>
              <w:textAlignment w:val="auto"/>
              <w:rPr>
                <w:rFonts w:hint="eastAsia" w:ascii="宋体" w:hAnsi="宋体" w:cs="宋体"/>
                <w:bCs/>
                <w:color w:val="auto"/>
                <w:szCs w:val="21"/>
                <w:highlight w:val="none"/>
                <w:u w:val="single"/>
              </w:rPr>
            </w:pPr>
            <w:r>
              <w:rPr>
                <w:rFonts w:hint="eastAsia" w:ascii="宋体" w:hAnsi="宋体" w:cs="宋体"/>
                <w:bCs/>
                <w:color w:val="auto"/>
                <w:szCs w:val="21"/>
                <w:highlight w:val="none"/>
              </w:rPr>
              <w:t>3.采购标的名称：</w:t>
            </w:r>
            <w:r>
              <w:rPr>
                <w:rFonts w:hint="eastAsia" w:ascii="宋体" w:hAnsi="宋体" w:cs="宋体"/>
                <w:bCs/>
                <w:color w:val="auto"/>
                <w:szCs w:val="21"/>
                <w:highlight w:val="none"/>
                <w:u w:val="single"/>
                <w:lang w:eastAsia="zh-CN"/>
              </w:rPr>
              <w:t>开化县怀玉山区水土保持与生态修复项目监理</w:t>
            </w:r>
            <w:r>
              <w:rPr>
                <w:rFonts w:hint="eastAsia" w:ascii="宋体" w:hAnsi="宋体" w:cs="宋体"/>
                <w:bCs/>
                <w:color w:val="auto"/>
                <w:szCs w:val="21"/>
                <w:highlight w:val="none"/>
              </w:rPr>
              <w:t>，所属行业：</w:t>
            </w:r>
            <w:r>
              <w:rPr>
                <w:rFonts w:hint="eastAsia" w:ascii="宋体" w:hAnsi="宋体" w:eastAsia="宋体" w:cs="宋体"/>
                <w:bCs/>
                <w:color w:val="auto"/>
                <w:szCs w:val="21"/>
                <w:highlight w:val="none"/>
                <w:u w:val="single"/>
                <w:lang w:eastAsia="zh-CN"/>
              </w:rPr>
              <w:t>农、林、牧、渔业</w:t>
            </w:r>
            <w:r>
              <w:rPr>
                <w:rFonts w:hint="eastAsia" w:ascii="宋体" w:hAnsi="宋体" w:eastAsia="宋体" w:cs="宋体"/>
                <w:bCs/>
                <w:color w:val="auto"/>
                <w:szCs w:val="21"/>
                <w:highlight w:val="none"/>
                <w:u w:val="none"/>
                <w:lang w:eastAsia="zh-CN"/>
              </w:rPr>
              <w:t>。</w:t>
            </w:r>
          </w:p>
          <w:p w14:paraId="7C396888">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strike/>
                <w:color w:val="auto"/>
                <w:sz w:val="21"/>
                <w:szCs w:val="21"/>
                <w:highlight w:val="none"/>
              </w:rPr>
            </w:pP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rPr>
              <w:t>根据财库〔2020〕46号的</w:t>
            </w:r>
            <w:r>
              <w:rPr>
                <w:rFonts w:hint="eastAsia" w:ascii="宋体" w:hAnsi="宋体" w:eastAsia="宋体" w:cs="宋体"/>
                <w:b w:val="0"/>
                <w:bCs/>
                <w:color w:val="auto"/>
                <w:sz w:val="21"/>
                <w:szCs w:val="21"/>
                <w:highlight w:val="none"/>
                <w:lang w:val="en-US" w:eastAsia="zh-CN"/>
              </w:rPr>
              <w:t>第十一条</w:t>
            </w:r>
            <w:r>
              <w:rPr>
                <w:rFonts w:hint="eastAsia" w:ascii="宋体" w:hAnsi="宋体" w:eastAsia="宋体" w:cs="宋体"/>
                <w:b w:val="0"/>
                <w:bCs/>
                <w:color w:val="auto"/>
                <w:sz w:val="21"/>
                <w:szCs w:val="21"/>
                <w:highlight w:val="none"/>
              </w:rPr>
              <w:t>规定，中小企业参加政府采购活动，应当出具本办法规定的《中小企业声明函》，否则不得享受相关中小企业扶持政策。</w:t>
            </w:r>
          </w:p>
          <w:p w14:paraId="58DD4BEA">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14:paraId="267661D0">
            <w:pPr>
              <w:keepNext w:val="0"/>
              <w:keepLines w:val="0"/>
              <w:pageBreakBefore w:val="0"/>
              <w:kinsoku/>
              <w:wordWrap/>
              <w:overflowPunct/>
              <w:topLinePunct w:val="0"/>
              <w:autoSpaceDE/>
              <w:autoSpaceDN/>
              <w:bidi w:val="0"/>
              <w:adjustRightInd/>
              <w:snapToGrid/>
              <w:spacing w:line="400" w:lineRule="exact"/>
              <w:textAlignment w:val="auto"/>
              <w:rPr>
                <w:rFonts w:hint="eastAsia"/>
                <w:color w:val="auto"/>
              </w:rPr>
            </w:pPr>
            <w:r>
              <w:rPr>
                <w:rFonts w:hint="eastAsia" w:ascii="宋体" w:hAnsi="宋体" w:eastAsia="宋体" w:cs="宋体"/>
                <w:b w:val="0"/>
                <w:bCs/>
                <w:color w:val="auto"/>
                <w:sz w:val="21"/>
                <w:szCs w:val="21"/>
                <w:highlight w:val="none"/>
                <w:lang w:val="en-US" w:eastAsia="zh-CN"/>
              </w:rPr>
              <w:t>6.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r>
              <w:rPr>
                <w:rFonts w:hint="eastAsia" w:ascii="宋体" w:hAnsi="宋体" w:eastAsia="宋体" w:cs="宋体"/>
                <w:color w:val="auto"/>
                <w:sz w:val="21"/>
                <w:szCs w:val="21"/>
                <w:highlight w:val="none"/>
                <w:lang w:val="en-US" w:eastAsia="zh-CN"/>
              </w:rPr>
              <w:t>本项目专门面向中小企业采购的标项，不再执行价格评审优惠的扶持政策。</w:t>
            </w:r>
          </w:p>
        </w:tc>
      </w:tr>
      <w:tr w14:paraId="1C34B8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71" w:type="dxa"/>
            <w:bottom w:w="15" w:type="dxa"/>
            <w:right w:w="71" w:type="dxa"/>
          </w:tblCellMar>
        </w:tblPrEx>
        <w:trPr>
          <w:trHeight w:val="399" w:hRule="atLeast"/>
          <w:jc w:val="center"/>
        </w:trPr>
        <w:tc>
          <w:tcPr>
            <w:tcW w:w="705" w:type="dxa"/>
            <w:shd w:val="clear" w:color="000000" w:fill="auto"/>
            <w:noWrap w:val="0"/>
            <w:vAlign w:val="center"/>
          </w:tcPr>
          <w:p w14:paraId="15A335D5">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5</w:t>
            </w:r>
          </w:p>
        </w:tc>
        <w:tc>
          <w:tcPr>
            <w:tcW w:w="1697" w:type="dxa"/>
            <w:shd w:val="clear" w:color="000000" w:fill="auto"/>
            <w:noWrap w:val="0"/>
            <w:vAlign w:val="center"/>
          </w:tcPr>
          <w:p w14:paraId="2836C235">
            <w:pPr>
              <w:keepNext w:val="0"/>
              <w:keepLines w:val="0"/>
              <w:pageBreakBefore w:val="0"/>
              <w:kinsoku/>
              <w:overflowPunct/>
              <w:topLinePunct w:val="0"/>
              <w:autoSpaceDE/>
              <w:autoSpaceDN/>
              <w:bidi w:val="0"/>
              <w:adjustRightInd/>
              <w:snapToGrid/>
              <w:spacing w:line="400" w:lineRule="exact"/>
              <w:jc w:val="center"/>
              <w:textAlignment w:val="auto"/>
              <w:rPr>
                <w:rStyle w:val="29"/>
                <w:rFonts w:hint="default" w:cs="宋体"/>
                <w:color w:val="auto"/>
                <w:highlight w:val="none"/>
              </w:rPr>
            </w:pPr>
            <w:r>
              <w:rPr>
                <w:rFonts w:hint="eastAsia" w:ascii="宋体" w:hAnsi="宋体" w:cs="宋体"/>
                <w:color w:val="auto"/>
                <w:szCs w:val="21"/>
                <w:highlight w:val="none"/>
              </w:rPr>
              <w:t>政府采购节能环保产品</w:t>
            </w:r>
          </w:p>
        </w:tc>
        <w:tc>
          <w:tcPr>
            <w:tcW w:w="7143" w:type="dxa"/>
            <w:shd w:val="clear" w:color="000000" w:fill="auto"/>
            <w:noWrap w:val="0"/>
            <w:vAlign w:val="center"/>
          </w:tcPr>
          <w:p w14:paraId="243A51B6">
            <w:pPr>
              <w:keepNext w:val="0"/>
              <w:keepLines w:val="0"/>
              <w:pageBreakBefore w:val="0"/>
              <w:kinsoku/>
              <w:overflowPunct/>
              <w:topLinePunct w:val="0"/>
              <w:autoSpaceDE/>
              <w:autoSpaceDN/>
              <w:bidi w:val="0"/>
              <w:adjustRightInd/>
              <w:snapToGrid/>
              <w:spacing w:line="400" w:lineRule="exact"/>
              <w:textAlignment w:val="auto"/>
              <w:rPr>
                <w:rFonts w:hint="eastAsia" w:ascii="宋体" w:hAnsi="宋体" w:cs="宋体"/>
                <w:color w:val="auto"/>
                <w:sz w:val="21"/>
                <w:szCs w:val="21"/>
                <w:highlight w:val="none"/>
                <w:lang w:eastAsia="zh-CN"/>
              </w:rPr>
            </w:pPr>
            <w:r>
              <w:rPr>
                <w:rFonts w:hint="eastAsia" w:ascii="宋体" w:hAnsi="宋体" w:cs="宋体"/>
                <w:color w:val="auto"/>
                <w:szCs w:val="21"/>
                <w:highlight w:val="none"/>
              </w:rPr>
              <w:t>本项目是否适用政府采购节能环保产品：□是  ☑否</w:t>
            </w:r>
          </w:p>
          <w:p w14:paraId="07619249">
            <w:pPr>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投标产品若属于节能（环保）产品的，请提供财政部、生态环境部发布有效期内《环境标志产品政府采购品目清单》以及财政部、发展改革委联合发布</w:t>
            </w:r>
            <w:r>
              <w:rPr>
                <w:rFonts w:hint="eastAsia" w:ascii="宋体" w:hAnsi="宋体" w:eastAsia="宋体" w:cs="宋体"/>
                <w:color w:val="auto"/>
                <w:sz w:val="21"/>
                <w:szCs w:val="21"/>
                <w:highlight w:val="none"/>
                <w:lang w:eastAsia="zh-CN"/>
              </w:rPr>
              <w:t>有效期内《节能产品政府采购品目清单》。</w:t>
            </w:r>
          </w:p>
          <w:p w14:paraId="779FC63C">
            <w:pPr>
              <w:keepNext w:val="0"/>
              <w:keepLines w:val="0"/>
              <w:pageBreakBefore w:val="0"/>
              <w:kinsoku/>
              <w:overflowPunct/>
              <w:topLinePunct w:val="0"/>
              <w:autoSpaceDE/>
              <w:autoSpaceDN/>
              <w:bidi w:val="0"/>
              <w:adjustRightInd/>
              <w:snapToGrid/>
              <w:spacing w:line="400" w:lineRule="exact"/>
              <w:textAlignment w:val="auto"/>
              <w:rPr>
                <w:rStyle w:val="29"/>
                <w:rFonts w:hint="default" w:cs="宋体"/>
                <w:color w:val="auto"/>
                <w:highlight w:val="none"/>
              </w:rPr>
            </w:pPr>
            <w:r>
              <w:rPr>
                <w:rFonts w:hint="eastAsia" w:ascii="宋体" w:hAnsi="宋体" w:eastAsia="宋体" w:cs="宋体"/>
                <w:color w:val="auto"/>
                <w:sz w:val="21"/>
                <w:szCs w:val="21"/>
                <w:highlight w:val="none"/>
                <w:lang w:eastAsia="zh-CN"/>
              </w:rPr>
              <w:t>《采购需求》中要求提供的产品属于《节能产品政府采购品目清单》中政府强制采购产品的，投标人须提供该清单内产品，</w:t>
            </w:r>
            <w:r>
              <w:rPr>
                <w:rFonts w:hint="eastAsia" w:ascii="宋体" w:hAnsi="宋体" w:eastAsia="宋体" w:cs="宋体"/>
                <w:b/>
                <w:bCs/>
                <w:color w:val="auto"/>
                <w:sz w:val="21"/>
                <w:szCs w:val="21"/>
                <w:highlight w:val="none"/>
                <w:lang w:eastAsia="zh-CN"/>
              </w:rPr>
              <w:t>否则其投标将作为无效标处理。</w:t>
            </w:r>
          </w:p>
        </w:tc>
      </w:tr>
      <w:tr w14:paraId="6BF892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71" w:type="dxa"/>
            <w:bottom w:w="15" w:type="dxa"/>
            <w:right w:w="71" w:type="dxa"/>
          </w:tblCellMar>
        </w:tblPrEx>
        <w:trPr>
          <w:trHeight w:val="514" w:hRule="atLeast"/>
          <w:jc w:val="center"/>
        </w:trPr>
        <w:tc>
          <w:tcPr>
            <w:tcW w:w="705" w:type="dxa"/>
            <w:shd w:val="clear" w:color="000000" w:fill="auto"/>
            <w:noWrap w:val="0"/>
            <w:vAlign w:val="center"/>
          </w:tcPr>
          <w:p w14:paraId="2806312D">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6</w:t>
            </w:r>
          </w:p>
        </w:tc>
        <w:tc>
          <w:tcPr>
            <w:tcW w:w="1697" w:type="dxa"/>
            <w:shd w:val="clear" w:color="000000" w:fill="auto"/>
            <w:noWrap w:val="0"/>
            <w:vAlign w:val="center"/>
          </w:tcPr>
          <w:p w14:paraId="436A946D">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是否允许进口</w:t>
            </w:r>
          </w:p>
          <w:p w14:paraId="32551E01">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产品</w:t>
            </w:r>
          </w:p>
        </w:tc>
        <w:tc>
          <w:tcPr>
            <w:tcW w:w="7143" w:type="dxa"/>
            <w:shd w:val="clear" w:color="000000" w:fill="auto"/>
            <w:noWrap w:val="0"/>
            <w:vAlign w:val="center"/>
          </w:tcPr>
          <w:p w14:paraId="4C90BE6D">
            <w:pPr>
              <w:pStyle w:val="5"/>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   ☑否</w:t>
            </w:r>
          </w:p>
        </w:tc>
      </w:tr>
      <w:tr w14:paraId="32E90F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71" w:type="dxa"/>
            <w:bottom w:w="15" w:type="dxa"/>
            <w:right w:w="71" w:type="dxa"/>
          </w:tblCellMar>
        </w:tblPrEx>
        <w:trPr>
          <w:trHeight w:val="419" w:hRule="atLeast"/>
          <w:jc w:val="center"/>
        </w:trPr>
        <w:tc>
          <w:tcPr>
            <w:tcW w:w="705" w:type="dxa"/>
            <w:shd w:val="clear" w:color="000000" w:fill="auto"/>
            <w:noWrap w:val="0"/>
            <w:vAlign w:val="center"/>
          </w:tcPr>
          <w:p w14:paraId="117687B5">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7</w:t>
            </w:r>
          </w:p>
        </w:tc>
        <w:tc>
          <w:tcPr>
            <w:tcW w:w="1697" w:type="dxa"/>
            <w:shd w:val="clear" w:color="000000" w:fill="auto"/>
            <w:noWrap w:val="0"/>
            <w:vAlign w:val="center"/>
          </w:tcPr>
          <w:p w14:paraId="6E8AA94A">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是否允许转包与分包</w:t>
            </w:r>
          </w:p>
        </w:tc>
        <w:tc>
          <w:tcPr>
            <w:tcW w:w="7143" w:type="dxa"/>
            <w:shd w:val="clear" w:color="000000" w:fill="auto"/>
            <w:noWrap w:val="0"/>
            <w:vAlign w:val="center"/>
          </w:tcPr>
          <w:p w14:paraId="48EB52A9">
            <w:pPr>
              <w:keepNext w:val="0"/>
              <w:keepLines w:val="0"/>
              <w:pageBreakBefore w:val="0"/>
              <w:kinsoku/>
              <w:overflowPunct/>
              <w:topLinePunct w:val="0"/>
              <w:autoSpaceDE/>
              <w:autoSpaceDN/>
              <w:bidi w:val="0"/>
              <w:adjustRightInd/>
              <w:snapToGrid/>
              <w:spacing w:line="400" w:lineRule="exact"/>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转包：□是   ☑否</w:t>
            </w:r>
          </w:p>
          <w:p w14:paraId="6088F760">
            <w:pPr>
              <w:keepNext w:val="0"/>
              <w:keepLines w:val="0"/>
              <w:pageBreakBefore w:val="0"/>
              <w:kinsoku/>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分包：□是   ☑否</w:t>
            </w:r>
          </w:p>
        </w:tc>
      </w:tr>
      <w:tr w14:paraId="01744A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71" w:type="dxa"/>
            <w:bottom w:w="15" w:type="dxa"/>
            <w:right w:w="71" w:type="dxa"/>
          </w:tblCellMar>
        </w:tblPrEx>
        <w:trPr>
          <w:trHeight w:val="671" w:hRule="atLeast"/>
          <w:jc w:val="center"/>
        </w:trPr>
        <w:tc>
          <w:tcPr>
            <w:tcW w:w="705" w:type="dxa"/>
            <w:shd w:val="clear" w:color="000000" w:fill="auto"/>
            <w:noWrap w:val="0"/>
            <w:vAlign w:val="center"/>
          </w:tcPr>
          <w:p w14:paraId="357AA20C">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8</w:t>
            </w:r>
          </w:p>
        </w:tc>
        <w:tc>
          <w:tcPr>
            <w:tcW w:w="1697" w:type="dxa"/>
            <w:shd w:val="clear" w:color="000000" w:fill="auto"/>
            <w:noWrap w:val="0"/>
            <w:vAlign w:val="center"/>
          </w:tcPr>
          <w:p w14:paraId="0D1BA935">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是否接受联合体投标</w:t>
            </w:r>
          </w:p>
        </w:tc>
        <w:tc>
          <w:tcPr>
            <w:tcW w:w="7143" w:type="dxa"/>
            <w:shd w:val="clear" w:color="000000" w:fill="auto"/>
            <w:noWrap w:val="0"/>
            <w:vAlign w:val="center"/>
          </w:tcPr>
          <w:p w14:paraId="675C1838">
            <w:pPr>
              <w:keepNext w:val="0"/>
              <w:keepLines w:val="0"/>
              <w:pageBreakBefore w:val="0"/>
              <w:kinsoku/>
              <w:overflowPunct/>
              <w:topLinePunct w:val="0"/>
              <w:autoSpaceDE/>
              <w:autoSpaceDN/>
              <w:bidi w:val="0"/>
              <w:adjustRightInd/>
              <w:snapToGrid/>
              <w:spacing w:line="400" w:lineRule="exact"/>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是   </w:t>
            </w:r>
            <w:r>
              <w:rPr>
                <w:rFonts w:hint="eastAsia" w:ascii="宋体" w:hAnsi="宋体" w:cs="宋体"/>
                <w:color w:val="auto"/>
                <w:szCs w:val="21"/>
                <w:highlight w:val="none"/>
                <w:lang w:eastAsia="zh-CN"/>
              </w:rPr>
              <w:t>□</w:t>
            </w:r>
            <w:r>
              <w:rPr>
                <w:rFonts w:hint="eastAsia" w:ascii="宋体" w:hAnsi="宋体" w:cs="宋体"/>
                <w:color w:val="auto"/>
                <w:szCs w:val="21"/>
                <w:highlight w:val="none"/>
              </w:rPr>
              <w:t>否</w:t>
            </w:r>
          </w:p>
        </w:tc>
      </w:tr>
      <w:tr w14:paraId="24A130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71" w:type="dxa"/>
            <w:bottom w:w="15" w:type="dxa"/>
            <w:right w:w="71" w:type="dxa"/>
          </w:tblCellMar>
        </w:tblPrEx>
        <w:trPr>
          <w:trHeight w:val="671" w:hRule="atLeast"/>
          <w:jc w:val="center"/>
        </w:trPr>
        <w:tc>
          <w:tcPr>
            <w:tcW w:w="705" w:type="dxa"/>
            <w:shd w:val="clear" w:color="000000" w:fill="auto"/>
            <w:noWrap w:val="0"/>
            <w:vAlign w:val="center"/>
          </w:tcPr>
          <w:p w14:paraId="5EC02538">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9</w:t>
            </w:r>
          </w:p>
        </w:tc>
        <w:tc>
          <w:tcPr>
            <w:tcW w:w="1697" w:type="dxa"/>
            <w:shd w:val="clear" w:color="000000" w:fill="auto"/>
            <w:noWrap w:val="0"/>
            <w:vAlign w:val="center"/>
          </w:tcPr>
          <w:p w14:paraId="28B1929E">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是否组织踏勘</w:t>
            </w:r>
          </w:p>
          <w:p w14:paraId="754AC832">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现场</w:t>
            </w:r>
          </w:p>
        </w:tc>
        <w:tc>
          <w:tcPr>
            <w:tcW w:w="7143" w:type="dxa"/>
            <w:shd w:val="clear" w:color="000000" w:fill="auto"/>
            <w:noWrap w:val="0"/>
            <w:vAlign w:val="center"/>
          </w:tcPr>
          <w:p w14:paraId="6DD29397">
            <w:pPr>
              <w:keepNext w:val="0"/>
              <w:keepLines w:val="0"/>
              <w:pageBreakBefore w:val="0"/>
              <w:kinsoku/>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投标人自行组织踏勘现场，费用自理。</w:t>
            </w:r>
          </w:p>
        </w:tc>
      </w:tr>
      <w:tr w14:paraId="6302E3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71" w:type="dxa"/>
            <w:bottom w:w="15" w:type="dxa"/>
            <w:right w:w="71" w:type="dxa"/>
          </w:tblCellMar>
        </w:tblPrEx>
        <w:trPr>
          <w:trHeight w:val="725" w:hRule="atLeast"/>
          <w:jc w:val="center"/>
        </w:trPr>
        <w:tc>
          <w:tcPr>
            <w:tcW w:w="705" w:type="dxa"/>
            <w:shd w:val="clear" w:color="000000" w:fill="auto"/>
            <w:noWrap w:val="0"/>
            <w:vAlign w:val="center"/>
          </w:tcPr>
          <w:p w14:paraId="40621FD8">
            <w:pPr>
              <w:keepNext w:val="0"/>
              <w:keepLines w:val="0"/>
              <w:pageBreakBefore w:val="0"/>
              <w:kinsoku/>
              <w:overflowPunct/>
              <w:topLinePunct w:val="0"/>
              <w:autoSpaceDE/>
              <w:autoSpaceDN/>
              <w:bidi w:val="0"/>
              <w:adjustRightInd/>
              <w:snapToGri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10</w:t>
            </w:r>
          </w:p>
        </w:tc>
        <w:tc>
          <w:tcPr>
            <w:tcW w:w="1697" w:type="dxa"/>
            <w:shd w:val="clear" w:color="000000" w:fill="auto"/>
            <w:noWrap w:val="0"/>
            <w:vAlign w:val="center"/>
          </w:tcPr>
          <w:p w14:paraId="1C66CF82">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答疑与澄清</w:t>
            </w:r>
          </w:p>
        </w:tc>
        <w:tc>
          <w:tcPr>
            <w:tcW w:w="7143" w:type="dxa"/>
            <w:shd w:val="clear" w:color="000000" w:fill="auto"/>
            <w:noWrap w:val="0"/>
            <w:vAlign w:val="center"/>
          </w:tcPr>
          <w:p w14:paraId="4AF7DC29">
            <w:pPr>
              <w:keepNext w:val="0"/>
              <w:keepLines w:val="0"/>
              <w:pageBreakBefore w:val="0"/>
              <w:kinsoku/>
              <w:overflowPunct/>
              <w:topLinePunct w:val="0"/>
              <w:autoSpaceDE/>
              <w:autoSpaceDN/>
              <w:bidi w:val="0"/>
              <w:adjustRightInd/>
              <w:snapToGrid/>
              <w:spacing w:line="400" w:lineRule="exact"/>
              <w:textAlignment w:val="auto"/>
              <w:rPr>
                <w:rFonts w:hint="eastAsia" w:ascii="宋体" w:hAnsi="宋体" w:cs="宋体"/>
                <w:bCs/>
                <w:color w:val="auto"/>
                <w:szCs w:val="21"/>
                <w:highlight w:val="none"/>
              </w:rPr>
            </w:pPr>
            <w:r>
              <w:rPr>
                <w:rFonts w:hint="eastAsia" w:ascii="宋体" w:hAnsi="宋体" w:cs="宋体"/>
                <w:color w:val="auto"/>
                <w:szCs w:val="21"/>
                <w:highlight w:val="none"/>
              </w:rPr>
              <w:t>投标人如对招标文件有异议，应当于公告发布之日起至公告期限满第7个工作日内，以书面形式向采购人提出，逾期不予受理。</w:t>
            </w:r>
          </w:p>
        </w:tc>
      </w:tr>
      <w:tr w14:paraId="1D41B0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71" w:type="dxa"/>
            <w:bottom w:w="15" w:type="dxa"/>
            <w:right w:w="71" w:type="dxa"/>
          </w:tblCellMar>
        </w:tblPrEx>
        <w:trPr>
          <w:trHeight w:val="378" w:hRule="atLeast"/>
          <w:jc w:val="center"/>
        </w:trPr>
        <w:tc>
          <w:tcPr>
            <w:tcW w:w="705" w:type="dxa"/>
            <w:shd w:val="clear" w:color="000000" w:fill="auto"/>
            <w:noWrap w:val="0"/>
            <w:vAlign w:val="center"/>
          </w:tcPr>
          <w:p w14:paraId="5B060CD3">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11</w:t>
            </w:r>
          </w:p>
        </w:tc>
        <w:tc>
          <w:tcPr>
            <w:tcW w:w="1697" w:type="dxa"/>
            <w:shd w:val="clear" w:color="000000" w:fill="auto"/>
            <w:noWrap w:val="0"/>
            <w:vAlign w:val="center"/>
          </w:tcPr>
          <w:p w14:paraId="405CB6D1">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投标有效期</w:t>
            </w:r>
          </w:p>
        </w:tc>
        <w:tc>
          <w:tcPr>
            <w:tcW w:w="7143" w:type="dxa"/>
            <w:shd w:val="clear" w:color="000000" w:fill="auto"/>
            <w:noWrap w:val="0"/>
            <w:vAlign w:val="center"/>
          </w:tcPr>
          <w:p w14:paraId="2391DBD7">
            <w:pPr>
              <w:keepNext w:val="0"/>
              <w:keepLines w:val="0"/>
              <w:pageBreakBefore w:val="0"/>
              <w:kinsoku/>
              <w:overflowPunct/>
              <w:topLinePunct w:val="0"/>
              <w:autoSpaceDE/>
              <w:autoSpaceDN/>
              <w:bidi w:val="0"/>
              <w:adjustRightInd/>
              <w:snapToGrid/>
              <w:spacing w:line="400" w:lineRule="exact"/>
              <w:textAlignment w:val="auto"/>
              <w:rPr>
                <w:rFonts w:hint="eastAsia" w:ascii="宋体" w:hAnsi="宋体" w:cs="宋体"/>
                <w:strike/>
                <w:color w:val="auto"/>
                <w:szCs w:val="21"/>
                <w:highlight w:val="none"/>
              </w:rPr>
            </w:pPr>
            <w:r>
              <w:rPr>
                <w:rFonts w:hint="eastAsia" w:ascii="宋体" w:hAnsi="宋体" w:cs="宋体"/>
                <w:color w:val="auto"/>
                <w:szCs w:val="21"/>
                <w:highlight w:val="none"/>
              </w:rPr>
              <w:t>投标文件提交截止日起90日内。</w:t>
            </w:r>
          </w:p>
        </w:tc>
      </w:tr>
      <w:tr w14:paraId="1642A6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71" w:type="dxa"/>
            <w:bottom w:w="15" w:type="dxa"/>
            <w:right w:w="71" w:type="dxa"/>
          </w:tblCellMar>
        </w:tblPrEx>
        <w:trPr>
          <w:trHeight w:val="1710" w:hRule="atLeast"/>
          <w:jc w:val="center"/>
        </w:trPr>
        <w:tc>
          <w:tcPr>
            <w:tcW w:w="705" w:type="dxa"/>
            <w:shd w:val="clear" w:color="000000" w:fill="auto"/>
            <w:noWrap w:val="0"/>
            <w:vAlign w:val="center"/>
          </w:tcPr>
          <w:p w14:paraId="22CF4214">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12</w:t>
            </w:r>
          </w:p>
        </w:tc>
        <w:tc>
          <w:tcPr>
            <w:tcW w:w="1697" w:type="dxa"/>
            <w:shd w:val="clear" w:color="000000" w:fill="auto"/>
            <w:noWrap w:val="0"/>
            <w:vAlign w:val="center"/>
          </w:tcPr>
          <w:p w14:paraId="2C395F98">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投标文件</w:t>
            </w:r>
          </w:p>
          <w:p w14:paraId="7D51EAE5">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递交</w:t>
            </w:r>
          </w:p>
        </w:tc>
        <w:tc>
          <w:tcPr>
            <w:tcW w:w="7143" w:type="dxa"/>
            <w:shd w:val="clear" w:color="000000" w:fill="auto"/>
            <w:noWrap w:val="0"/>
            <w:vAlign w:val="center"/>
          </w:tcPr>
          <w:p w14:paraId="29F66E96">
            <w:pPr>
              <w:keepNext w:val="0"/>
              <w:keepLines w:val="0"/>
              <w:pageBreakBefore w:val="0"/>
              <w:kinsoku/>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投标人应当在投标截止时间前完成投标文件的传输递交，投标截止时间前可以补充、修改或者撤回投标文件。补充或者修改投标文件的，应当先行撤回原文件，补充、修改后重新传输递交。投标截止时间前未完成传输的，视为未提供投标文件，投标无效。投标截止时间后递交的投标文件，将被政采云平台拒收。</w:t>
            </w:r>
          </w:p>
        </w:tc>
      </w:tr>
      <w:tr w14:paraId="6170E5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71" w:type="dxa"/>
            <w:bottom w:w="15" w:type="dxa"/>
            <w:right w:w="71" w:type="dxa"/>
          </w:tblCellMar>
        </w:tblPrEx>
        <w:trPr>
          <w:trHeight w:val="394" w:hRule="atLeast"/>
          <w:jc w:val="center"/>
        </w:trPr>
        <w:tc>
          <w:tcPr>
            <w:tcW w:w="705" w:type="dxa"/>
            <w:shd w:val="clear" w:color="000000" w:fill="auto"/>
            <w:noWrap w:val="0"/>
            <w:vAlign w:val="center"/>
          </w:tcPr>
          <w:p w14:paraId="39EBC01F">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13</w:t>
            </w:r>
          </w:p>
        </w:tc>
        <w:tc>
          <w:tcPr>
            <w:tcW w:w="1697" w:type="dxa"/>
            <w:shd w:val="clear" w:color="000000" w:fill="auto"/>
            <w:noWrap w:val="0"/>
            <w:vAlign w:val="center"/>
          </w:tcPr>
          <w:p w14:paraId="5560B423">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联系方式</w:t>
            </w:r>
          </w:p>
        </w:tc>
        <w:tc>
          <w:tcPr>
            <w:tcW w:w="7143" w:type="dxa"/>
            <w:shd w:val="clear" w:color="000000" w:fill="auto"/>
            <w:noWrap w:val="0"/>
            <w:vAlign w:val="center"/>
          </w:tcPr>
          <w:p w14:paraId="15CA2176">
            <w:pPr>
              <w:keepNext w:val="0"/>
              <w:keepLines w:val="0"/>
              <w:pageBreakBefore w:val="0"/>
              <w:kinsoku/>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lang w:eastAsia="zh-CN"/>
              </w:rPr>
              <w:t>0570-6023598</w:t>
            </w:r>
            <w:r>
              <w:rPr>
                <w:rFonts w:hint="eastAsia" w:ascii="宋体" w:hAnsi="宋体" w:cs="宋体"/>
                <w:color w:val="auto"/>
                <w:szCs w:val="21"/>
                <w:highlight w:val="none"/>
              </w:rPr>
              <w:t xml:space="preserve">    电子邮箱：</w:t>
            </w:r>
            <w:r>
              <w:rPr>
                <w:rFonts w:hint="eastAsia" w:ascii="宋体" w:hAnsi="宋体" w:cs="宋体"/>
                <w:color w:val="auto"/>
                <w:szCs w:val="21"/>
                <w:highlight w:val="none"/>
                <w:u w:val="none"/>
              </w:rPr>
              <w:fldChar w:fldCharType="begin"/>
            </w:r>
            <w:r>
              <w:rPr>
                <w:rFonts w:hint="eastAsia" w:ascii="宋体" w:hAnsi="宋体" w:cs="宋体"/>
                <w:color w:val="auto"/>
                <w:szCs w:val="21"/>
                <w:highlight w:val="none"/>
                <w:u w:val="none"/>
              </w:rPr>
              <w:instrText xml:space="preserve"> HYPERLINK "mailto:khxztbzx@163.com" </w:instrText>
            </w:r>
            <w:r>
              <w:rPr>
                <w:rFonts w:hint="eastAsia" w:ascii="宋体" w:hAnsi="宋体" w:cs="宋体"/>
                <w:color w:val="auto"/>
                <w:szCs w:val="21"/>
                <w:highlight w:val="none"/>
                <w:u w:val="none"/>
              </w:rPr>
              <w:fldChar w:fldCharType="separate"/>
            </w:r>
            <w:r>
              <w:rPr>
                <w:rStyle w:val="25"/>
                <w:rFonts w:hint="eastAsia" w:ascii="宋体" w:hAnsi="宋体" w:cs="宋体"/>
                <w:color w:val="auto"/>
                <w:szCs w:val="21"/>
                <w:highlight w:val="none"/>
                <w:u w:val="none"/>
                <w:lang w:val="en-US" w:eastAsia="zh-CN"/>
              </w:rPr>
              <w:t>380970556@qq.com</w:t>
            </w:r>
            <w:r>
              <w:rPr>
                <w:rFonts w:hint="eastAsia" w:ascii="宋体" w:hAnsi="宋体" w:cs="宋体"/>
                <w:color w:val="auto"/>
                <w:szCs w:val="21"/>
                <w:highlight w:val="none"/>
                <w:u w:val="none"/>
              </w:rPr>
              <w:fldChar w:fldCharType="end"/>
            </w:r>
          </w:p>
        </w:tc>
      </w:tr>
      <w:tr w14:paraId="2B8F2D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71" w:type="dxa"/>
            <w:bottom w:w="15" w:type="dxa"/>
            <w:right w:w="71" w:type="dxa"/>
          </w:tblCellMar>
        </w:tblPrEx>
        <w:trPr>
          <w:trHeight w:val="719" w:hRule="atLeast"/>
          <w:jc w:val="center"/>
        </w:trPr>
        <w:tc>
          <w:tcPr>
            <w:tcW w:w="705" w:type="dxa"/>
            <w:shd w:val="clear" w:color="000000" w:fill="auto"/>
            <w:noWrap w:val="0"/>
            <w:vAlign w:val="center"/>
          </w:tcPr>
          <w:p w14:paraId="7B944658">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14</w:t>
            </w:r>
          </w:p>
        </w:tc>
        <w:tc>
          <w:tcPr>
            <w:tcW w:w="1697" w:type="dxa"/>
            <w:shd w:val="clear" w:color="000000" w:fill="auto"/>
            <w:noWrap w:val="0"/>
            <w:vAlign w:val="center"/>
          </w:tcPr>
          <w:p w14:paraId="3FA6F920">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bCs/>
                <w:color w:val="auto"/>
                <w:kern w:val="0"/>
                <w:szCs w:val="21"/>
                <w:highlight w:val="none"/>
              </w:rPr>
              <w:t>投标材料形式、制作及组成</w:t>
            </w:r>
          </w:p>
        </w:tc>
        <w:tc>
          <w:tcPr>
            <w:tcW w:w="7143" w:type="dxa"/>
            <w:shd w:val="clear" w:color="000000" w:fill="auto"/>
            <w:noWrap w:val="0"/>
            <w:vAlign w:val="center"/>
          </w:tcPr>
          <w:p w14:paraId="061B8CC5">
            <w:pPr>
              <w:keepNext w:val="0"/>
              <w:keepLines w:val="0"/>
              <w:pageBreakBefore w:val="0"/>
              <w:kinsoku/>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1.供应商应准备投标文件，按政采云平台项目采购-电子招投标操作指南</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"https://help.zcy.gov.cn/web/site_2/2018/12-28/2573.html）及本招标文件要求递交。"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及本招标文件要求递交。</w:t>
            </w:r>
            <w:r>
              <w:rPr>
                <w:rFonts w:hint="eastAsia" w:ascii="宋体" w:hAnsi="宋体" w:cs="宋体"/>
                <w:color w:val="auto"/>
                <w:szCs w:val="21"/>
                <w:highlight w:val="none"/>
              </w:rPr>
              <w:fldChar w:fldCharType="end"/>
            </w:r>
          </w:p>
          <w:p w14:paraId="0970CFE6">
            <w:pPr>
              <w:keepNext w:val="0"/>
              <w:keepLines w:val="0"/>
              <w:pageBreakBefore w:val="0"/>
              <w:kinsoku/>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2.投标文件均由资格证明文件、技术商务文件、报价文件三部分组成。</w:t>
            </w:r>
          </w:p>
          <w:p w14:paraId="24ECC302">
            <w:pPr>
              <w:keepNext w:val="0"/>
              <w:keepLines w:val="0"/>
              <w:pageBreakBefore w:val="0"/>
              <w:kinsoku/>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3.如认为需要，投标人可以选择递交以介质（U盘）存储的数据电文形式的“备份投标文件”，“备份投标文件”应当密封包装并在包装上标注投标项目名称、投标单位名称并加盖公章，且在投标截止时间前，通过邮寄或现场送达等方式送至指定地点，逾期送达或未密封将被拒收。（邮寄收件地址：</w:t>
            </w:r>
            <w:r>
              <w:rPr>
                <w:rFonts w:hint="eastAsia" w:ascii="宋体" w:hAnsi="宋体" w:cs="宋体"/>
                <w:color w:val="auto"/>
                <w:szCs w:val="21"/>
                <w:highlight w:val="none"/>
                <w:lang w:eastAsia="zh-CN"/>
              </w:rPr>
              <w:t>浙江省衢州市开化县芹阳办事处江宁路72号</w:t>
            </w: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欧邦工程管理集团有限公司</w:t>
            </w:r>
            <w:r>
              <w:rPr>
                <w:rFonts w:hint="eastAsia" w:ascii="宋体" w:hAnsi="宋体" w:cs="宋体"/>
                <w:color w:val="auto"/>
                <w:szCs w:val="21"/>
                <w:highlight w:val="none"/>
              </w:rPr>
              <w:t xml:space="preserve">  邮编：324300收件人：</w:t>
            </w:r>
            <w:r>
              <w:rPr>
                <w:rFonts w:hint="eastAsia" w:ascii="宋体" w:hAnsi="宋体" w:cs="宋体"/>
                <w:color w:val="auto"/>
                <w:szCs w:val="21"/>
                <w:highlight w:val="none"/>
                <w:lang w:eastAsia="zh-CN"/>
              </w:rPr>
              <w:t>欧邦工程管理集团有限公司</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张吉丽</w:t>
            </w:r>
            <w:r>
              <w:rPr>
                <w:rFonts w:hint="eastAsia" w:ascii="宋体" w:hAnsi="宋体" w:cs="宋体"/>
                <w:color w:val="auto"/>
                <w:szCs w:val="21"/>
                <w:highlight w:val="none"/>
              </w:rPr>
              <w:t xml:space="preserve">  联系电话：</w:t>
            </w:r>
            <w:r>
              <w:rPr>
                <w:rFonts w:hint="eastAsia" w:ascii="宋体" w:hAnsi="宋体" w:cs="宋体"/>
                <w:color w:val="auto"/>
                <w:szCs w:val="21"/>
                <w:highlight w:val="none"/>
                <w:lang w:val="en-US" w:eastAsia="zh-CN"/>
              </w:rPr>
              <w:t>15068930503</w:t>
            </w:r>
            <w:r>
              <w:rPr>
                <w:rFonts w:hint="eastAsia" w:ascii="宋体" w:hAnsi="宋体" w:cs="宋体"/>
                <w:color w:val="auto"/>
                <w:szCs w:val="21"/>
                <w:highlight w:val="none"/>
              </w:rPr>
              <w:t>）</w:t>
            </w:r>
          </w:p>
          <w:p w14:paraId="55D2667C">
            <w:pPr>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lang w:val="en-US" w:eastAsia="zh-CN"/>
              </w:rPr>
            </w:pPr>
            <w:r>
              <w:rPr>
                <w:rFonts w:hint="eastAsia" w:ascii="宋体" w:hAnsi="宋体" w:cs="宋体"/>
                <w:b/>
                <w:bCs/>
                <w:color w:val="auto"/>
                <w:szCs w:val="21"/>
                <w:highlight w:val="none"/>
                <w:lang w:val="en-US" w:eastAsia="zh-CN"/>
              </w:rPr>
              <w:t>4.中标人在领取成交通知书后需另行提供纸质版投标文件3份（一正二副）。</w:t>
            </w:r>
          </w:p>
        </w:tc>
      </w:tr>
      <w:tr w14:paraId="6C2006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71" w:type="dxa"/>
            <w:bottom w:w="15" w:type="dxa"/>
            <w:right w:w="71" w:type="dxa"/>
          </w:tblCellMar>
        </w:tblPrEx>
        <w:trPr>
          <w:trHeight w:val="454" w:hRule="atLeast"/>
          <w:jc w:val="center"/>
        </w:trPr>
        <w:tc>
          <w:tcPr>
            <w:tcW w:w="705" w:type="dxa"/>
            <w:shd w:val="clear" w:color="000000" w:fill="auto"/>
            <w:noWrap w:val="0"/>
            <w:vAlign w:val="center"/>
          </w:tcPr>
          <w:p w14:paraId="5AF361DC">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highlight w:val="none"/>
              </w:rPr>
              <w:t>15</w:t>
            </w:r>
          </w:p>
        </w:tc>
        <w:tc>
          <w:tcPr>
            <w:tcW w:w="1697" w:type="dxa"/>
            <w:shd w:val="clear" w:color="000000" w:fill="auto"/>
            <w:noWrap w:val="0"/>
            <w:vAlign w:val="center"/>
          </w:tcPr>
          <w:p w14:paraId="0887C350">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投标截止时间</w:t>
            </w:r>
          </w:p>
        </w:tc>
        <w:tc>
          <w:tcPr>
            <w:tcW w:w="7143" w:type="dxa"/>
            <w:shd w:val="clear" w:color="000000" w:fill="auto"/>
            <w:noWrap w:val="0"/>
            <w:vAlign w:val="center"/>
          </w:tcPr>
          <w:p w14:paraId="7FF02E88">
            <w:pPr>
              <w:keepNext w:val="0"/>
              <w:keepLines w:val="0"/>
              <w:pageBreakBefore w:val="0"/>
              <w:kinsoku/>
              <w:overflowPunct/>
              <w:topLinePunct w:val="0"/>
              <w:autoSpaceDE/>
              <w:autoSpaceDN/>
              <w:bidi w:val="0"/>
              <w:adjustRightInd/>
              <w:snapToGrid/>
              <w:spacing w:line="400" w:lineRule="exact"/>
              <w:textAlignment w:val="auto"/>
              <w:rPr>
                <w:rFonts w:hint="eastAsia" w:ascii="宋体" w:hAnsi="宋体" w:cs="宋体"/>
                <w:color w:val="auto"/>
                <w:kern w:val="0"/>
                <w:szCs w:val="21"/>
                <w:highlight w:val="none"/>
              </w:rPr>
            </w:pPr>
            <w:r>
              <w:rPr>
                <w:rFonts w:hint="eastAsia" w:ascii="宋体" w:hAnsi="宋体"/>
                <w:color w:val="auto"/>
                <w:highlight w:val="none"/>
                <w:u w:val="single"/>
                <w:lang w:val="en-US" w:eastAsia="zh-CN"/>
              </w:rPr>
              <w:t>2025</w:t>
            </w:r>
            <w:r>
              <w:rPr>
                <w:rFonts w:ascii="宋体" w:hAnsi="宋体"/>
                <w:color w:val="auto"/>
                <w:highlight w:val="none"/>
              </w:rPr>
              <w:t>年</w:t>
            </w:r>
            <w:r>
              <w:rPr>
                <w:rFonts w:hint="eastAsia" w:ascii="宋体" w:hAnsi="宋体"/>
                <w:color w:val="auto"/>
                <w:highlight w:val="none"/>
                <w:u w:val="single"/>
                <w:lang w:val="en-US" w:eastAsia="zh-CN"/>
              </w:rPr>
              <w:t>07</w:t>
            </w:r>
            <w:r>
              <w:rPr>
                <w:rFonts w:ascii="宋体" w:hAnsi="宋体"/>
                <w:color w:val="auto"/>
                <w:highlight w:val="none"/>
              </w:rPr>
              <w:t>月</w:t>
            </w:r>
            <w:r>
              <w:rPr>
                <w:rFonts w:hint="eastAsia" w:ascii="宋体" w:hAnsi="宋体"/>
                <w:color w:val="auto"/>
                <w:highlight w:val="none"/>
                <w:u w:val="single"/>
                <w:lang w:val="en-US" w:eastAsia="zh-CN"/>
              </w:rPr>
              <w:t xml:space="preserve"> 22 </w:t>
            </w:r>
            <w:r>
              <w:rPr>
                <w:rFonts w:ascii="宋体" w:hAnsi="宋体"/>
                <w:color w:val="auto"/>
                <w:highlight w:val="none"/>
              </w:rPr>
              <w:t>日</w:t>
            </w:r>
            <w:r>
              <w:rPr>
                <w:rFonts w:hint="eastAsia" w:ascii="宋体" w:hAnsi="宋体"/>
                <w:color w:val="auto"/>
                <w:highlight w:val="none"/>
                <w:u w:val="single"/>
                <w:lang w:val="en-US" w:eastAsia="zh-CN"/>
              </w:rPr>
              <w:t xml:space="preserve">09:00 </w:t>
            </w:r>
            <w:r>
              <w:rPr>
                <w:rFonts w:ascii="宋体" w:hAnsi="宋体"/>
                <w:color w:val="auto"/>
                <w:highlight w:val="none"/>
              </w:rPr>
              <w:t>时</w:t>
            </w:r>
            <w:r>
              <w:rPr>
                <w:rFonts w:hint="eastAsia" w:ascii="宋体" w:hAnsi="宋体" w:cs="宋体"/>
                <w:bCs/>
                <w:color w:val="auto"/>
                <w:szCs w:val="21"/>
                <w:highlight w:val="none"/>
              </w:rPr>
              <w:t>（北京时间）</w:t>
            </w:r>
          </w:p>
        </w:tc>
      </w:tr>
      <w:tr w14:paraId="3D82C6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71" w:type="dxa"/>
            <w:bottom w:w="15" w:type="dxa"/>
            <w:right w:w="71" w:type="dxa"/>
          </w:tblCellMar>
        </w:tblPrEx>
        <w:trPr>
          <w:trHeight w:val="529" w:hRule="atLeast"/>
          <w:jc w:val="center"/>
        </w:trPr>
        <w:tc>
          <w:tcPr>
            <w:tcW w:w="705" w:type="dxa"/>
            <w:shd w:val="clear" w:color="000000" w:fill="auto"/>
            <w:noWrap w:val="0"/>
            <w:vAlign w:val="center"/>
          </w:tcPr>
          <w:p w14:paraId="7EBEC7F1">
            <w:pPr>
              <w:keepNext w:val="0"/>
              <w:keepLines w:val="0"/>
              <w:pageBreakBefore w:val="0"/>
              <w:kinsoku/>
              <w:overflowPunct/>
              <w:topLinePunct w:val="0"/>
              <w:autoSpaceDE/>
              <w:autoSpaceDN/>
              <w:bidi w:val="0"/>
              <w:adjustRightInd/>
              <w:snapToGri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16</w:t>
            </w:r>
          </w:p>
        </w:tc>
        <w:tc>
          <w:tcPr>
            <w:tcW w:w="1697" w:type="dxa"/>
            <w:shd w:val="clear" w:color="000000" w:fill="auto"/>
            <w:noWrap w:val="0"/>
            <w:vAlign w:val="center"/>
          </w:tcPr>
          <w:p w14:paraId="565C51E7">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开标时间</w:t>
            </w:r>
          </w:p>
          <w:p w14:paraId="41273BDD">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及</w:t>
            </w:r>
            <w:r>
              <w:rPr>
                <w:rStyle w:val="28"/>
                <w:rFonts w:hint="default" w:cs="宋体"/>
                <w:color w:val="auto"/>
                <w:sz w:val="21"/>
                <w:szCs w:val="21"/>
                <w:highlight w:val="none"/>
              </w:rPr>
              <w:t>地点</w:t>
            </w:r>
          </w:p>
        </w:tc>
        <w:tc>
          <w:tcPr>
            <w:tcW w:w="7143" w:type="dxa"/>
            <w:shd w:val="clear" w:color="000000" w:fill="auto"/>
            <w:noWrap w:val="0"/>
            <w:vAlign w:val="center"/>
          </w:tcPr>
          <w:p w14:paraId="040F4CB5">
            <w:pPr>
              <w:keepNext w:val="0"/>
              <w:keepLines w:val="0"/>
              <w:pageBreakBefore w:val="0"/>
              <w:kinsoku/>
              <w:overflowPunct/>
              <w:topLinePunct w:val="0"/>
              <w:autoSpaceDE/>
              <w:autoSpaceDN/>
              <w:bidi w:val="0"/>
              <w:adjustRightInd/>
              <w:snapToGrid/>
              <w:spacing w:line="400" w:lineRule="exact"/>
              <w:textAlignment w:val="auto"/>
              <w:rPr>
                <w:rFonts w:hint="eastAsia" w:ascii="宋体" w:hAnsi="宋体" w:cs="宋体"/>
                <w:bCs/>
                <w:color w:val="auto"/>
                <w:szCs w:val="21"/>
                <w:highlight w:val="none"/>
              </w:rPr>
            </w:pPr>
            <w:r>
              <w:rPr>
                <w:rFonts w:hint="eastAsia" w:ascii="宋体" w:hAnsi="宋体"/>
                <w:color w:val="auto"/>
                <w:highlight w:val="none"/>
                <w:u w:val="single"/>
                <w:lang w:val="en-US" w:eastAsia="zh-CN"/>
              </w:rPr>
              <w:t>2025</w:t>
            </w:r>
            <w:r>
              <w:rPr>
                <w:rFonts w:ascii="宋体" w:hAnsi="宋体"/>
                <w:color w:val="auto"/>
                <w:highlight w:val="none"/>
              </w:rPr>
              <w:t>年</w:t>
            </w:r>
            <w:r>
              <w:rPr>
                <w:rFonts w:hint="eastAsia" w:ascii="宋体" w:hAnsi="宋体"/>
                <w:color w:val="auto"/>
                <w:highlight w:val="none"/>
                <w:u w:val="single"/>
                <w:lang w:val="en-US" w:eastAsia="zh-CN"/>
              </w:rPr>
              <w:t>07</w:t>
            </w:r>
            <w:r>
              <w:rPr>
                <w:rFonts w:ascii="宋体" w:hAnsi="宋体"/>
                <w:color w:val="auto"/>
                <w:highlight w:val="none"/>
              </w:rPr>
              <w:t>月</w:t>
            </w:r>
            <w:r>
              <w:rPr>
                <w:rFonts w:hint="eastAsia" w:ascii="宋体" w:hAnsi="宋体"/>
                <w:color w:val="auto"/>
                <w:highlight w:val="none"/>
                <w:u w:val="single"/>
                <w:lang w:val="en-US" w:eastAsia="zh-CN"/>
              </w:rPr>
              <w:t xml:space="preserve"> 22 </w:t>
            </w:r>
            <w:r>
              <w:rPr>
                <w:rFonts w:ascii="宋体" w:hAnsi="宋体"/>
                <w:color w:val="auto"/>
                <w:highlight w:val="none"/>
              </w:rPr>
              <w:t>日</w:t>
            </w:r>
            <w:r>
              <w:rPr>
                <w:rFonts w:hint="eastAsia" w:ascii="宋体" w:hAnsi="宋体"/>
                <w:color w:val="auto"/>
                <w:highlight w:val="none"/>
                <w:u w:val="single"/>
                <w:lang w:val="en-US" w:eastAsia="zh-CN"/>
              </w:rPr>
              <w:t xml:space="preserve">09:00 </w:t>
            </w:r>
            <w:r>
              <w:rPr>
                <w:rFonts w:ascii="宋体" w:hAnsi="宋体"/>
                <w:color w:val="auto"/>
                <w:highlight w:val="none"/>
              </w:rPr>
              <w:t>时</w:t>
            </w:r>
            <w:r>
              <w:rPr>
                <w:rFonts w:hint="eastAsia" w:ascii="宋体" w:hAnsi="宋体" w:cs="宋体"/>
                <w:bCs/>
                <w:color w:val="auto"/>
                <w:szCs w:val="21"/>
                <w:highlight w:val="none"/>
              </w:rPr>
              <w:t>（北京时间）</w:t>
            </w:r>
          </w:p>
          <w:p w14:paraId="3D8D8D60">
            <w:pPr>
              <w:keepNext w:val="0"/>
              <w:keepLines w:val="0"/>
              <w:pageBreakBefore w:val="0"/>
              <w:kinsoku/>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bCs/>
                <w:color w:val="auto"/>
                <w:szCs w:val="21"/>
                <w:highlight w:val="none"/>
              </w:rPr>
              <w:t>开标地点：开化县公共资源交易中心开标区(开化县凤凰南路2号5楼)</w:t>
            </w:r>
          </w:p>
        </w:tc>
      </w:tr>
      <w:tr w14:paraId="4455FD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71" w:type="dxa"/>
            <w:bottom w:w="15" w:type="dxa"/>
            <w:right w:w="71" w:type="dxa"/>
          </w:tblCellMar>
        </w:tblPrEx>
        <w:trPr>
          <w:trHeight w:val="390" w:hRule="atLeast"/>
          <w:jc w:val="center"/>
        </w:trPr>
        <w:tc>
          <w:tcPr>
            <w:tcW w:w="705" w:type="dxa"/>
            <w:shd w:val="clear" w:color="000000" w:fill="auto"/>
            <w:noWrap w:val="0"/>
            <w:vAlign w:val="center"/>
          </w:tcPr>
          <w:p w14:paraId="1C2E3086">
            <w:pPr>
              <w:keepNext w:val="0"/>
              <w:keepLines w:val="0"/>
              <w:pageBreakBefore w:val="0"/>
              <w:kinsoku/>
              <w:overflowPunct/>
              <w:topLinePunct w:val="0"/>
              <w:autoSpaceDE/>
              <w:autoSpaceDN/>
              <w:bidi w:val="0"/>
              <w:adjustRightInd/>
              <w:snapToGrid/>
              <w:spacing w:line="400" w:lineRule="exact"/>
              <w:jc w:val="center"/>
              <w:textAlignment w:val="auto"/>
              <w:rPr>
                <w:rFonts w:ascii="宋体" w:hAnsi="宋体" w:cs="宋体"/>
                <w:color w:val="auto"/>
                <w:szCs w:val="21"/>
                <w:highlight w:val="none"/>
              </w:rPr>
            </w:pPr>
            <w:bookmarkStart w:id="21" w:name="_Toc433917260"/>
            <w:bookmarkStart w:id="22" w:name="_Toc326937530"/>
            <w:bookmarkStart w:id="23" w:name="_Toc333842544"/>
            <w:bookmarkStart w:id="24" w:name="_Toc393201707"/>
            <w:bookmarkStart w:id="25" w:name="_Toc358384688"/>
            <w:r>
              <w:rPr>
                <w:rFonts w:hint="eastAsia" w:ascii="宋体" w:hAnsi="宋体" w:cs="宋体"/>
                <w:color w:val="auto"/>
                <w:szCs w:val="21"/>
                <w:highlight w:val="none"/>
              </w:rPr>
              <w:t>17</w:t>
            </w:r>
          </w:p>
        </w:tc>
        <w:tc>
          <w:tcPr>
            <w:tcW w:w="1697" w:type="dxa"/>
            <w:shd w:val="clear" w:color="000000" w:fill="auto"/>
            <w:noWrap w:val="0"/>
            <w:vAlign w:val="center"/>
          </w:tcPr>
          <w:p w14:paraId="6FBC8946">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投标人出席</w:t>
            </w:r>
          </w:p>
          <w:p w14:paraId="489B24F2">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招标会议</w:t>
            </w:r>
          </w:p>
        </w:tc>
        <w:tc>
          <w:tcPr>
            <w:tcW w:w="7143" w:type="dxa"/>
            <w:shd w:val="clear" w:color="000000" w:fill="auto"/>
            <w:noWrap w:val="0"/>
            <w:vAlign w:val="center"/>
          </w:tcPr>
          <w:p w14:paraId="2C242E42">
            <w:pPr>
              <w:keepNext w:val="0"/>
              <w:keepLines w:val="0"/>
              <w:pageBreakBefore w:val="0"/>
              <w:kinsoku/>
              <w:overflowPunct/>
              <w:topLinePunct w:val="0"/>
              <w:autoSpaceDE/>
              <w:autoSpaceDN/>
              <w:bidi w:val="0"/>
              <w:adjustRightInd/>
              <w:snapToGrid/>
              <w:spacing w:line="400" w:lineRule="exact"/>
              <w:textAlignment w:val="auto"/>
              <w:rPr>
                <w:rStyle w:val="29"/>
                <w:rFonts w:hint="default" w:cs="宋体"/>
                <w:color w:val="auto"/>
                <w:highlight w:val="none"/>
              </w:rPr>
            </w:pPr>
            <w:r>
              <w:rPr>
                <w:rStyle w:val="29"/>
                <w:rFonts w:hint="default" w:cs="宋体"/>
                <w:color w:val="auto"/>
                <w:highlight w:val="none"/>
              </w:rPr>
              <w:t>本项目实行电子交易，投标人代表无须出席开标现场。</w:t>
            </w:r>
          </w:p>
          <w:p w14:paraId="12B395AD">
            <w:pPr>
              <w:keepNext w:val="0"/>
              <w:keepLines w:val="0"/>
              <w:pageBreakBefore w:val="0"/>
              <w:kinsoku/>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1、投标人须提前下载“钉钉”app，并安装注册。投标人代表可通过搜索群号</w:t>
            </w:r>
            <w:r>
              <w:rPr>
                <w:rFonts w:hint="eastAsia" w:ascii="宋体" w:hAnsi="宋体" w:cs="宋体"/>
                <w:b w:val="0"/>
                <w:bCs w:val="0"/>
                <w:color w:val="auto"/>
                <w:szCs w:val="21"/>
                <w:highlight w:val="none"/>
                <w:u w:val="single"/>
                <w:lang w:val="en-US" w:eastAsia="zh-CN"/>
              </w:rPr>
              <w:t>118085008559</w:t>
            </w:r>
            <w:r>
              <w:rPr>
                <w:rFonts w:hint="eastAsia" w:ascii="宋体" w:hAnsi="宋体" w:cs="宋体"/>
                <w:color w:val="auto"/>
                <w:szCs w:val="21"/>
                <w:highlight w:val="none"/>
              </w:rPr>
              <w:t>加入项目钉钉直播群，观看现场直播。每个投标人仅限授权委托人加入钉钉直播群，申请加入时需进行身份验证，注明“公司名称+授权委托人姓名”，否则验证不通过。</w:t>
            </w:r>
          </w:p>
          <w:p w14:paraId="3CE19182">
            <w:pPr>
              <w:keepNext w:val="0"/>
              <w:keepLines w:val="0"/>
              <w:pageBreakBefore w:val="0"/>
              <w:kinsoku/>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2、若因网络或操作等原因造成不能正常直播或直播有缺陷的，将在项目结束后将现场音视频录像分享至钉钉直播群，供投标人回放。</w:t>
            </w:r>
          </w:p>
          <w:p w14:paraId="1A72A60F">
            <w:pPr>
              <w:keepNext w:val="0"/>
              <w:keepLines w:val="0"/>
              <w:pageBreakBefore w:val="0"/>
              <w:kinsoku/>
              <w:overflowPunct/>
              <w:topLinePunct w:val="0"/>
              <w:autoSpaceDE/>
              <w:autoSpaceDN/>
              <w:bidi w:val="0"/>
              <w:adjustRightInd/>
              <w:snapToGrid/>
              <w:spacing w:line="400" w:lineRule="exact"/>
              <w:textAlignment w:val="auto"/>
              <w:rPr>
                <w:rFonts w:hint="eastAsia" w:ascii="宋体" w:hAnsi="宋体" w:cs="宋体"/>
                <w:bCs/>
                <w:color w:val="auto"/>
                <w:szCs w:val="21"/>
                <w:highlight w:val="none"/>
              </w:rPr>
            </w:pPr>
            <w:r>
              <w:rPr>
                <w:rFonts w:hint="eastAsia" w:ascii="宋体" w:hAnsi="宋体" w:cs="宋体"/>
                <w:color w:val="auto"/>
                <w:szCs w:val="21"/>
                <w:highlight w:val="none"/>
              </w:rPr>
              <w:t>3、因采用钉钉直播“不见面”方式招标，建议投标人安排一名能熟练使用“钉钉”APP或有较高网络操作能力的投标代表。</w:t>
            </w:r>
          </w:p>
        </w:tc>
      </w:tr>
      <w:tr w14:paraId="357E10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71" w:type="dxa"/>
            <w:bottom w:w="15" w:type="dxa"/>
            <w:right w:w="71" w:type="dxa"/>
          </w:tblCellMar>
        </w:tblPrEx>
        <w:trPr>
          <w:trHeight w:val="90" w:hRule="atLeast"/>
          <w:jc w:val="center"/>
        </w:trPr>
        <w:tc>
          <w:tcPr>
            <w:tcW w:w="705" w:type="dxa"/>
            <w:shd w:val="clear" w:color="000000" w:fill="auto"/>
            <w:noWrap w:val="0"/>
            <w:vAlign w:val="center"/>
          </w:tcPr>
          <w:p w14:paraId="204F3544">
            <w:pPr>
              <w:keepNext w:val="0"/>
              <w:keepLines w:val="0"/>
              <w:pageBreakBefore w:val="0"/>
              <w:kinsoku/>
              <w:overflowPunct/>
              <w:topLinePunct w:val="0"/>
              <w:autoSpaceDE/>
              <w:autoSpaceDN/>
              <w:bidi w:val="0"/>
              <w:adjustRightInd/>
              <w:snapToGri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18</w:t>
            </w:r>
          </w:p>
        </w:tc>
        <w:tc>
          <w:tcPr>
            <w:tcW w:w="1697" w:type="dxa"/>
            <w:shd w:val="clear" w:color="000000" w:fill="auto"/>
            <w:noWrap w:val="0"/>
            <w:vAlign w:val="center"/>
          </w:tcPr>
          <w:p w14:paraId="5B5F35CE">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中标公告</w:t>
            </w:r>
          </w:p>
          <w:p w14:paraId="7A9FE942">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及中标通知书</w:t>
            </w:r>
          </w:p>
        </w:tc>
        <w:tc>
          <w:tcPr>
            <w:tcW w:w="7143" w:type="dxa"/>
            <w:shd w:val="clear" w:color="000000" w:fill="auto"/>
            <w:noWrap w:val="0"/>
            <w:vAlign w:val="center"/>
          </w:tcPr>
          <w:p w14:paraId="714B8563">
            <w:pPr>
              <w:keepNext w:val="0"/>
              <w:keepLines w:val="0"/>
              <w:pageBreakBefore w:val="0"/>
              <w:kinsoku/>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在中标供应商确定之日起2个工作日内发布中标公告及《中标通知书》，中标公告发布网址：浙江政府采购网(http://zfcg.czt.zj.gov.cn/)</w:t>
            </w:r>
            <w:r>
              <w:rPr>
                <w:rFonts w:hint="eastAsia" w:ascii="宋体" w:hAnsi="宋体" w:cs="宋体"/>
                <w:color w:val="auto"/>
                <w:szCs w:val="21"/>
                <w:highlight w:val="none"/>
                <w:lang w:eastAsia="zh-CN"/>
              </w:rPr>
              <w:t>。</w:t>
            </w:r>
            <w:r>
              <w:rPr>
                <w:rFonts w:hint="eastAsia" w:ascii="宋体" w:hAnsi="宋体" w:cs="宋体"/>
                <w:b/>
                <w:bCs/>
                <w:color w:val="auto"/>
                <w:szCs w:val="21"/>
                <w:highlight w:val="none"/>
              </w:rPr>
              <w:t>发布中标公告时同步公开评标委员会对每个投标人的《得分汇总表》情况；</w:t>
            </w:r>
            <w:r>
              <w:rPr>
                <w:rStyle w:val="31"/>
                <w:rFonts w:hint="eastAsia" w:ascii="宋体" w:hAnsi="宋体" w:eastAsia="宋体" w:cs="宋体"/>
                <w:b/>
                <w:bCs/>
                <w:color w:val="auto"/>
                <w:sz w:val="21"/>
                <w:szCs w:val="21"/>
                <w:highlight w:val="none"/>
                <w:lang w:eastAsia="zh-CN"/>
              </w:rPr>
              <w:t>若中标人为中小企业的，中标结果同时公告《中小企业声明函》；公告期限为1个工作日。</w:t>
            </w:r>
          </w:p>
        </w:tc>
      </w:tr>
      <w:tr w14:paraId="6D03A0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71" w:type="dxa"/>
            <w:bottom w:w="15" w:type="dxa"/>
            <w:right w:w="71" w:type="dxa"/>
          </w:tblCellMar>
        </w:tblPrEx>
        <w:trPr>
          <w:trHeight w:val="1099" w:hRule="atLeast"/>
          <w:jc w:val="center"/>
        </w:trPr>
        <w:tc>
          <w:tcPr>
            <w:tcW w:w="705" w:type="dxa"/>
            <w:shd w:val="clear" w:color="000000" w:fill="auto"/>
            <w:noWrap w:val="0"/>
            <w:vAlign w:val="center"/>
          </w:tcPr>
          <w:p w14:paraId="2A840566">
            <w:pPr>
              <w:keepNext w:val="0"/>
              <w:keepLines w:val="0"/>
              <w:pageBreakBefore w:val="0"/>
              <w:kinsoku/>
              <w:overflowPunct/>
              <w:topLinePunct w:val="0"/>
              <w:autoSpaceDE/>
              <w:autoSpaceDN/>
              <w:bidi w:val="0"/>
              <w:adjustRightInd/>
              <w:snapToGri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19</w:t>
            </w:r>
          </w:p>
        </w:tc>
        <w:tc>
          <w:tcPr>
            <w:tcW w:w="1697" w:type="dxa"/>
            <w:shd w:val="clear" w:color="000000" w:fill="auto"/>
            <w:noWrap w:val="0"/>
            <w:vAlign w:val="center"/>
          </w:tcPr>
          <w:p w14:paraId="171F1DDB">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履约保证金</w:t>
            </w:r>
          </w:p>
        </w:tc>
        <w:tc>
          <w:tcPr>
            <w:tcW w:w="7143" w:type="dxa"/>
            <w:shd w:val="clear" w:color="000000" w:fill="auto"/>
            <w:noWrap w:val="0"/>
            <w:vAlign w:val="center"/>
          </w:tcPr>
          <w:p w14:paraId="324839B1">
            <w:pPr>
              <w:keepNext w:val="0"/>
              <w:keepLines w:val="0"/>
              <w:pageBreakBefore w:val="0"/>
              <w:kinsoku/>
              <w:overflowPunct/>
              <w:topLinePunct w:val="0"/>
              <w:autoSpaceDE/>
              <w:autoSpaceDN/>
              <w:bidi w:val="0"/>
              <w:adjustRightInd/>
              <w:snapToGrid/>
              <w:spacing w:line="400" w:lineRule="exact"/>
              <w:textAlignment w:val="auto"/>
              <w:rPr>
                <w:rFonts w:ascii="宋体" w:hAnsi="宋体" w:cs="宋体"/>
                <w:color w:val="auto"/>
                <w:szCs w:val="21"/>
                <w:highlight w:val="none"/>
              </w:rPr>
            </w:pPr>
            <w:r>
              <w:rPr>
                <w:rFonts w:hint="eastAsia" w:ascii="宋体" w:hAnsi="宋体" w:cs="宋体"/>
                <w:color w:val="auto"/>
                <w:szCs w:val="21"/>
                <w:highlight w:val="none"/>
                <w:lang w:eastAsia="zh-CN"/>
              </w:rPr>
              <w:t>□</w:t>
            </w:r>
            <w:r>
              <w:rPr>
                <w:rFonts w:ascii="宋体" w:hAnsi="宋体" w:cs="宋体"/>
                <w:color w:val="auto"/>
                <w:szCs w:val="21"/>
                <w:highlight w:val="none"/>
              </w:rPr>
              <w:t>本项目不收取履约保证金。</w:t>
            </w:r>
          </w:p>
          <w:p w14:paraId="2973BD88">
            <w:pPr>
              <w:keepNext w:val="0"/>
              <w:keepLines w:val="0"/>
              <w:pageBreakBefore w:val="0"/>
              <w:kinsoku/>
              <w:overflowPunct/>
              <w:topLinePunct w:val="0"/>
              <w:autoSpaceDE/>
              <w:autoSpaceDN/>
              <w:bidi w:val="0"/>
              <w:adjustRightInd/>
              <w:snapToGrid/>
              <w:spacing w:line="400" w:lineRule="exact"/>
              <w:textAlignment w:val="auto"/>
              <w:rPr>
                <w:rFonts w:ascii="宋体" w:hAnsi="宋体" w:cs="宋体"/>
                <w:color w:val="auto"/>
                <w:szCs w:val="21"/>
                <w:highlight w:val="none"/>
              </w:rPr>
            </w:pPr>
            <w:r>
              <w:rPr>
                <w:rFonts w:hint="eastAsia" w:ascii="宋体" w:hAnsi="宋体" w:cs="宋体"/>
                <w:color w:val="auto"/>
                <w:szCs w:val="21"/>
                <w:highlight w:val="none"/>
                <w:lang w:eastAsia="zh-CN"/>
              </w:rPr>
              <w:t>☑</w:t>
            </w:r>
            <w:r>
              <w:rPr>
                <w:rFonts w:ascii="宋体" w:hAnsi="宋体" w:cs="宋体"/>
                <w:color w:val="auto"/>
                <w:szCs w:val="21"/>
                <w:highlight w:val="none"/>
              </w:rPr>
              <w:t>合同签订时，中标人通过电汇、转账、银行或保险公司出具履约保函向采购人交纳中标金额</w:t>
            </w:r>
            <w:r>
              <w:rPr>
                <w:rFonts w:hint="eastAsia" w:ascii="宋体" w:hAnsi="宋体" w:cs="宋体"/>
                <w:color w:val="auto"/>
                <w:szCs w:val="21"/>
                <w:highlight w:val="none"/>
                <w:u w:val="single"/>
                <w:lang w:val="en-US" w:eastAsia="zh-CN"/>
              </w:rPr>
              <w:t xml:space="preserve"> 1 </w:t>
            </w:r>
            <w:r>
              <w:rPr>
                <w:rFonts w:ascii="宋体" w:hAnsi="宋体" w:cs="宋体"/>
                <w:color w:val="auto"/>
                <w:szCs w:val="21"/>
                <w:highlight w:val="none"/>
              </w:rPr>
              <w:t>%的履约保证金。</w:t>
            </w:r>
          </w:p>
        </w:tc>
      </w:tr>
      <w:tr w14:paraId="579623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71" w:type="dxa"/>
            <w:bottom w:w="15" w:type="dxa"/>
            <w:right w:w="71" w:type="dxa"/>
          </w:tblCellMar>
        </w:tblPrEx>
        <w:trPr>
          <w:trHeight w:val="390" w:hRule="atLeast"/>
          <w:jc w:val="center"/>
        </w:trPr>
        <w:tc>
          <w:tcPr>
            <w:tcW w:w="705" w:type="dxa"/>
            <w:shd w:val="clear" w:color="000000" w:fill="auto"/>
            <w:noWrap w:val="0"/>
            <w:vAlign w:val="center"/>
          </w:tcPr>
          <w:p w14:paraId="36D259F7">
            <w:pPr>
              <w:keepNext w:val="0"/>
              <w:keepLines w:val="0"/>
              <w:pageBreakBefore w:val="0"/>
              <w:kinsoku/>
              <w:overflowPunct/>
              <w:topLinePunct w:val="0"/>
              <w:autoSpaceDE/>
              <w:autoSpaceDN/>
              <w:bidi w:val="0"/>
              <w:adjustRightInd/>
              <w:snapToGri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20</w:t>
            </w:r>
          </w:p>
        </w:tc>
        <w:tc>
          <w:tcPr>
            <w:tcW w:w="1697" w:type="dxa"/>
            <w:shd w:val="clear" w:color="000000" w:fill="auto"/>
            <w:noWrap w:val="0"/>
            <w:vAlign w:val="center"/>
          </w:tcPr>
          <w:p w14:paraId="3CED472F">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签订合同</w:t>
            </w:r>
          </w:p>
          <w:p w14:paraId="78BE6FAA">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时间</w:t>
            </w:r>
          </w:p>
        </w:tc>
        <w:tc>
          <w:tcPr>
            <w:tcW w:w="7143" w:type="dxa"/>
            <w:shd w:val="clear" w:color="000000" w:fill="auto"/>
            <w:noWrap w:val="0"/>
            <w:vAlign w:val="center"/>
          </w:tcPr>
          <w:p w14:paraId="29FF9C3C">
            <w:pPr>
              <w:keepNext w:val="0"/>
              <w:keepLines w:val="0"/>
              <w:pageBreakBefore w:val="0"/>
              <w:kinsoku/>
              <w:overflowPunct/>
              <w:topLinePunct w:val="0"/>
              <w:autoSpaceDE/>
              <w:autoSpaceDN/>
              <w:bidi w:val="0"/>
              <w:adjustRightInd/>
              <w:snapToGrid/>
              <w:spacing w:line="400" w:lineRule="exact"/>
              <w:textAlignment w:val="auto"/>
              <w:rPr>
                <w:rFonts w:ascii="宋体" w:hAnsi="宋体" w:cs="宋体"/>
                <w:color w:val="auto"/>
                <w:szCs w:val="21"/>
                <w:highlight w:val="none"/>
              </w:rPr>
            </w:pPr>
            <w:r>
              <w:rPr>
                <w:rFonts w:hint="eastAsia" w:ascii="宋体" w:hAnsi="宋体" w:cs="宋体"/>
                <w:color w:val="auto"/>
                <w:szCs w:val="21"/>
                <w:highlight w:val="none"/>
              </w:rPr>
              <w:t>中标通知书发出之日起</w:t>
            </w:r>
            <w:r>
              <w:rPr>
                <w:rFonts w:hint="eastAsia" w:ascii="宋体" w:hAnsi="宋体" w:cs="宋体"/>
                <w:b/>
                <w:i w:val="0"/>
                <w:iCs/>
                <w:color w:val="auto"/>
                <w:kern w:val="0"/>
                <w:szCs w:val="21"/>
                <w:highlight w:val="none"/>
                <w:u w:val="single"/>
                <w:lang w:val="en-US" w:eastAsia="zh-CN"/>
              </w:rPr>
              <w:t>30</w:t>
            </w:r>
            <w:r>
              <w:rPr>
                <w:rFonts w:hint="eastAsia" w:ascii="宋体" w:hAnsi="宋体" w:cs="宋体"/>
                <w:b/>
                <w:i w:val="0"/>
                <w:iCs/>
                <w:color w:val="auto"/>
                <w:kern w:val="0"/>
                <w:szCs w:val="21"/>
                <w:highlight w:val="none"/>
                <w:u w:val="single"/>
              </w:rPr>
              <w:t>日</w:t>
            </w:r>
            <w:r>
              <w:rPr>
                <w:rFonts w:hint="eastAsia" w:ascii="宋体" w:hAnsi="宋体" w:cs="宋体"/>
                <w:color w:val="auto"/>
                <w:kern w:val="0"/>
                <w:szCs w:val="21"/>
                <w:highlight w:val="none"/>
              </w:rPr>
              <w:t>内</w:t>
            </w:r>
            <w:r>
              <w:rPr>
                <w:rFonts w:hint="eastAsia" w:ascii="宋体" w:hAnsi="宋体" w:cs="宋体"/>
                <w:color w:val="auto"/>
                <w:szCs w:val="21"/>
                <w:highlight w:val="none"/>
              </w:rPr>
              <w:t>。</w:t>
            </w:r>
          </w:p>
        </w:tc>
      </w:tr>
      <w:tr w14:paraId="357ACA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71" w:type="dxa"/>
            <w:bottom w:w="15" w:type="dxa"/>
            <w:right w:w="71" w:type="dxa"/>
          </w:tblCellMar>
        </w:tblPrEx>
        <w:trPr>
          <w:trHeight w:val="390" w:hRule="atLeast"/>
          <w:jc w:val="center"/>
        </w:trPr>
        <w:tc>
          <w:tcPr>
            <w:tcW w:w="705" w:type="dxa"/>
            <w:shd w:val="clear" w:color="000000" w:fill="auto"/>
            <w:noWrap w:val="0"/>
            <w:vAlign w:val="center"/>
          </w:tcPr>
          <w:p w14:paraId="63A02068">
            <w:pPr>
              <w:keepNext w:val="0"/>
              <w:keepLines w:val="0"/>
              <w:pageBreakBefore w:val="0"/>
              <w:kinsoku/>
              <w:overflowPunct/>
              <w:topLinePunct w:val="0"/>
              <w:autoSpaceDE/>
              <w:autoSpaceDN/>
              <w:bidi w:val="0"/>
              <w:adjustRightInd/>
              <w:snapToGri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21</w:t>
            </w:r>
          </w:p>
        </w:tc>
        <w:tc>
          <w:tcPr>
            <w:tcW w:w="1697" w:type="dxa"/>
            <w:shd w:val="clear" w:color="000000" w:fill="auto"/>
            <w:noWrap w:val="0"/>
            <w:vAlign w:val="center"/>
          </w:tcPr>
          <w:p w14:paraId="137DC342">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合同价格</w:t>
            </w:r>
          </w:p>
          <w:p w14:paraId="61749FAB">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条款</w:t>
            </w:r>
          </w:p>
        </w:tc>
        <w:tc>
          <w:tcPr>
            <w:tcW w:w="7143" w:type="dxa"/>
            <w:shd w:val="clear" w:color="000000" w:fill="auto"/>
            <w:noWrap w:val="0"/>
            <w:vAlign w:val="center"/>
          </w:tcPr>
          <w:p w14:paraId="7DB8BB40">
            <w:pPr>
              <w:keepNext w:val="0"/>
              <w:keepLines w:val="0"/>
              <w:pageBreakBefore w:val="0"/>
              <w:kinsoku/>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固定</w:t>
            </w:r>
            <w:r>
              <w:rPr>
                <w:rFonts w:hint="eastAsia" w:ascii="宋体" w:hAnsi="宋体" w:cs="宋体"/>
                <w:color w:val="auto"/>
                <w:szCs w:val="21"/>
                <w:highlight w:val="none"/>
                <w:lang w:eastAsia="zh-CN"/>
              </w:rPr>
              <w:t>总</w:t>
            </w:r>
            <w:r>
              <w:rPr>
                <w:rFonts w:hint="eastAsia" w:ascii="宋体" w:hAnsi="宋体" w:cs="宋体"/>
                <w:color w:val="auto"/>
                <w:szCs w:val="21"/>
                <w:highlight w:val="none"/>
              </w:rPr>
              <w:t>价合同，以中标价为基准，政策性变化均不允许调整，材料价差变动不准调整。</w:t>
            </w:r>
          </w:p>
        </w:tc>
      </w:tr>
      <w:tr w14:paraId="1F38C1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71" w:type="dxa"/>
            <w:bottom w:w="15" w:type="dxa"/>
            <w:right w:w="71" w:type="dxa"/>
          </w:tblCellMar>
        </w:tblPrEx>
        <w:trPr>
          <w:trHeight w:val="1280" w:hRule="atLeast"/>
          <w:jc w:val="center"/>
        </w:trPr>
        <w:tc>
          <w:tcPr>
            <w:tcW w:w="705" w:type="dxa"/>
            <w:shd w:val="clear" w:color="000000" w:fill="auto"/>
            <w:noWrap w:val="0"/>
            <w:vAlign w:val="center"/>
          </w:tcPr>
          <w:p w14:paraId="2922BDD7">
            <w:pPr>
              <w:keepNext w:val="0"/>
              <w:keepLines w:val="0"/>
              <w:pageBreakBefore w:val="0"/>
              <w:kinsoku/>
              <w:overflowPunct/>
              <w:topLinePunct w:val="0"/>
              <w:autoSpaceDE/>
              <w:autoSpaceDN/>
              <w:bidi w:val="0"/>
              <w:adjustRightInd/>
              <w:snapToGri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22</w:t>
            </w:r>
          </w:p>
        </w:tc>
        <w:tc>
          <w:tcPr>
            <w:tcW w:w="1697" w:type="dxa"/>
            <w:shd w:val="clear" w:color="000000" w:fill="auto"/>
            <w:noWrap w:val="0"/>
            <w:vAlign w:val="center"/>
          </w:tcPr>
          <w:p w14:paraId="6BDB510B">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中小企业信用融资及电子保函</w:t>
            </w:r>
          </w:p>
        </w:tc>
        <w:tc>
          <w:tcPr>
            <w:tcW w:w="7143" w:type="dxa"/>
            <w:shd w:val="clear" w:color="000000" w:fill="auto"/>
            <w:noWrap w:val="0"/>
            <w:vAlign w:val="center"/>
          </w:tcPr>
          <w:p w14:paraId="365E85F5">
            <w:pPr>
              <w:keepNext w:val="0"/>
              <w:keepLines w:val="0"/>
              <w:pageBreakBefore w:val="0"/>
              <w:kinsoku/>
              <w:overflowPunct/>
              <w:topLinePunct w:val="0"/>
              <w:autoSpaceDE/>
              <w:autoSpaceDN/>
              <w:bidi w:val="0"/>
              <w:adjustRightInd/>
              <w:snapToGrid/>
              <w:spacing w:line="400" w:lineRule="exact"/>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投标人中标后也可在“政采云”平台申请政采贷：操作路径：登录政采云平台 - 金融服务中心 -【融资服务】，可在热门申请中选择产品直接申请，也可点击云智贷匹配适合产品进行申请，或者在可申请项目中根据该项目进行申请,也可通过登录浙江政务网-“衢融通”平台-【采购质押融资申请】。</w:t>
            </w:r>
          </w:p>
          <w:p w14:paraId="5C8D13C6">
            <w:pPr>
              <w:keepNext w:val="0"/>
              <w:keepLines w:val="0"/>
              <w:pageBreakBefore w:val="0"/>
              <w:kinsoku/>
              <w:overflowPunct/>
              <w:topLinePunct w:val="0"/>
              <w:autoSpaceDE/>
              <w:autoSpaceDN/>
              <w:bidi w:val="0"/>
              <w:adjustRightInd/>
              <w:snapToGrid/>
              <w:spacing w:line="400" w:lineRule="exact"/>
              <w:textAlignment w:val="auto"/>
              <w:rPr>
                <w:rFonts w:hint="eastAsia" w:ascii="宋体" w:hAnsi="宋体" w:cs="宋体"/>
                <w:color w:val="auto"/>
                <w:kern w:val="0"/>
                <w:szCs w:val="21"/>
                <w:highlight w:val="none"/>
              </w:rPr>
            </w:pPr>
            <w:r>
              <w:rPr>
                <w:rFonts w:hint="eastAsia" w:ascii="宋体" w:hAnsi="宋体" w:cs="宋体"/>
                <w:b/>
                <w:bCs/>
                <w:color w:val="auto"/>
                <w:kern w:val="0"/>
                <w:szCs w:val="21"/>
                <w:highlight w:val="none"/>
              </w:rPr>
              <w:t>投标人若有办理电子保函意向的可登录浙江政府采购网“浙江政采贷”（网址：</w:t>
            </w:r>
            <w:r>
              <w:rPr>
                <w:rFonts w:hint="eastAsia" w:ascii="宋体" w:hAnsi="宋体" w:cs="宋体"/>
                <w:b/>
                <w:bCs/>
                <w:color w:val="auto"/>
                <w:kern w:val="0"/>
                <w:szCs w:val="21"/>
                <w:highlight w:val="none"/>
              </w:rPr>
              <w:fldChar w:fldCharType="begin"/>
            </w:r>
            <w:r>
              <w:rPr>
                <w:rFonts w:hint="eastAsia" w:ascii="宋体" w:hAnsi="宋体" w:cs="宋体"/>
                <w:b/>
                <w:bCs/>
                <w:color w:val="auto"/>
                <w:kern w:val="0"/>
                <w:szCs w:val="21"/>
                <w:highlight w:val="none"/>
              </w:rPr>
              <w:instrText xml:space="preserve"> HYPERLINK "https://jinrong.zcygov.cn" </w:instrText>
            </w:r>
            <w:r>
              <w:rPr>
                <w:rFonts w:hint="eastAsia" w:ascii="宋体" w:hAnsi="宋体" w:cs="宋体"/>
                <w:b/>
                <w:bCs/>
                <w:color w:val="auto"/>
                <w:kern w:val="0"/>
                <w:szCs w:val="21"/>
                <w:highlight w:val="none"/>
              </w:rPr>
              <w:fldChar w:fldCharType="separate"/>
            </w:r>
            <w:r>
              <w:rPr>
                <w:rFonts w:hint="eastAsia" w:ascii="宋体" w:hAnsi="宋体" w:cs="宋体"/>
                <w:b/>
                <w:bCs/>
                <w:color w:val="auto"/>
                <w:kern w:val="0"/>
                <w:szCs w:val="21"/>
                <w:highlight w:val="none"/>
              </w:rPr>
              <w:t>https://jinrong.zcygov.cn</w:t>
            </w:r>
            <w:r>
              <w:rPr>
                <w:rFonts w:hint="eastAsia" w:ascii="宋体" w:hAnsi="宋体" w:cs="宋体"/>
                <w:b/>
                <w:bCs/>
                <w:color w:val="auto"/>
                <w:kern w:val="0"/>
                <w:szCs w:val="21"/>
                <w:highlight w:val="none"/>
              </w:rPr>
              <w:fldChar w:fldCharType="end"/>
            </w:r>
            <w:r>
              <w:rPr>
                <w:rFonts w:hint="eastAsia" w:ascii="宋体" w:hAnsi="宋体" w:cs="宋体"/>
                <w:b/>
                <w:bCs/>
                <w:color w:val="auto"/>
                <w:kern w:val="0"/>
                <w:szCs w:val="21"/>
                <w:highlight w:val="none"/>
              </w:rPr>
              <w:t>，政府采购云平台金融服务中心）查看相关政策和服务方案。</w:t>
            </w:r>
          </w:p>
        </w:tc>
      </w:tr>
      <w:tr w14:paraId="01236B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71" w:type="dxa"/>
            <w:bottom w:w="15" w:type="dxa"/>
            <w:right w:w="71" w:type="dxa"/>
          </w:tblCellMar>
        </w:tblPrEx>
        <w:trPr>
          <w:trHeight w:val="390" w:hRule="atLeast"/>
          <w:jc w:val="center"/>
        </w:trPr>
        <w:tc>
          <w:tcPr>
            <w:tcW w:w="705" w:type="dxa"/>
            <w:shd w:val="clear" w:color="000000" w:fill="auto"/>
            <w:noWrap w:val="0"/>
            <w:vAlign w:val="center"/>
          </w:tcPr>
          <w:p w14:paraId="0C51DF9C">
            <w:pPr>
              <w:keepNext w:val="0"/>
              <w:keepLines w:val="0"/>
              <w:pageBreakBefore w:val="0"/>
              <w:kinsoku/>
              <w:overflowPunct/>
              <w:topLinePunct w:val="0"/>
              <w:autoSpaceDE/>
              <w:autoSpaceDN/>
              <w:bidi w:val="0"/>
              <w:adjustRightInd/>
              <w:snapToGri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23</w:t>
            </w:r>
          </w:p>
        </w:tc>
        <w:tc>
          <w:tcPr>
            <w:tcW w:w="1697" w:type="dxa"/>
            <w:shd w:val="clear" w:color="000000" w:fill="auto"/>
            <w:noWrap w:val="0"/>
            <w:vAlign w:val="center"/>
          </w:tcPr>
          <w:p w14:paraId="11C0F74D">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重要提醒</w:t>
            </w:r>
          </w:p>
        </w:tc>
        <w:tc>
          <w:tcPr>
            <w:tcW w:w="7143" w:type="dxa"/>
            <w:shd w:val="clear" w:color="000000" w:fill="auto"/>
            <w:noWrap w:val="0"/>
            <w:vAlign w:val="center"/>
          </w:tcPr>
          <w:p w14:paraId="21443D96">
            <w:pPr>
              <w:keepNext w:val="0"/>
              <w:keepLines w:val="0"/>
              <w:pageBreakBefore w:val="0"/>
              <w:kinsoku/>
              <w:overflowPunct/>
              <w:topLinePunct w:val="0"/>
              <w:autoSpaceDE/>
              <w:autoSpaceDN/>
              <w:bidi w:val="0"/>
              <w:adjustRightInd/>
              <w:snapToGrid/>
              <w:spacing w:line="400" w:lineRule="exact"/>
              <w:jc w:val="left"/>
              <w:textAlignment w:val="auto"/>
              <w:rPr>
                <w:rFonts w:hint="eastAsia" w:ascii="宋体" w:hAnsi="宋体" w:cs="宋体"/>
                <w:b/>
                <w:bCs/>
                <w:color w:val="auto"/>
                <w:szCs w:val="21"/>
                <w:highlight w:val="none"/>
              </w:rPr>
            </w:pPr>
            <w:r>
              <w:rPr>
                <w:rStyle w:val="31"/>
                <w:rFonts w:hint="default" w:cs="宋体"/>
                <w:b/>
                <w:color w:val="auto"/>
                <w:highlight w:val="none"/>
              </w:rPr>
              <w:t>1.投标截止时间后，所有供应商均应当准时在线参加。</w:t>
            </w:r>
            <w:r>
              <w:rPr>
                <w:rStyle w:val="32"/>
                <w:rFonts w:hint="default" w:cs="宋体"/>
                <w:b/>
                <w:bCs/>
                <w:color w:val="auto"/>
                <w:kern w:val="0"/>
                <w:highlight w:val="none"/>
              </w:rPr>
              <w:t>在</w:t>
            </w:r>
            <w:r>
              <w:rPr>
                <w:rFonts w:hint="eastAsia" w:ascii="宋体" w:hAnsi="宋体" w:cs="宋体"/>
                <w:b/>
                <w:bCs/>
                <w:color w:val="auto"/>
                <w:szCs w:val="21"/>
                <w:highlight w:val="none"/>
              </w:rPr>
              <w:t>开标后登录政采云平台，用“项目采购-开标评标”功能对投标文件进行在线解密。在线解密投标文件时间为开标时间起30分钟内。</w:t>
            </w:r>
          </w:p>
          <w:p w14:paraId="3A62A93C">
            <w:pPr>
              <w:keepNext w:val="0"/>
              <w:keepLines w:val="0"/>
              <w:pageBreakBefore w:val="0"/>
              <w:kinsoku/>
              <w:overflowPunct/>
              <w:topLinePunct w:val="0"/>
              <w:autoSpaceDE/>
              <w:autoSpaceDN/>
              <w:bidi w:val="0"/>
              <w:adjustRightInd/>
              <w:snapToGrid/>
              <w:spacing w:line="400" w:lineRule="exact"/>
              <w:jc w:val="left"/>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2.所有询标流程，均在线上完成，请各投标人务必不要离开电脑太久，并留意手机短信。投标人的联系电话在投标当天保持通信畅通，因通信问题无法联系到投标人造成的后果由投标人自行承担。（请提前检查“政采云”内，关于“项目采购”的岗位权限是否已勾选上。如有问题，请致电</w:t>
            </w:r>
            <w:r>
              <w:rPr>
                <w:rFonts w:hint="eastAsia" w:ascii="宋体" w:hAnsi="宋体" w:cs="宋体"/>
                <w:b/>
                <w:bCs/>
                <w:color w:val="auto"/>
                <w:szCs w:val="21"/>
                <w:highlight w:val="none"/>
                <w:lang w:val="en-US" w:eastAsia="zh-CN"/>
              </w:rPr>
              <w:t>95763</w:t>
            </w:r>
            <w:r>
              <w:rPr>
                <w:rFonts w:hint="eastAsia" w:ascii="宋体" w:hAnsi="宋体" w:cs="宋体"/>
                <w:b/>
                <w:bCs/>
                <w:color w:val="auto"/>
                <w:szCs w:val="21"/>
                <w:highlight w:val="none"/>
              </w:rPr>
              <w:t>）。</w:t>
            </w:r>
          </w:p>
          <w:p w14:paraId="77D052BF">
            <w:pPr>
              <w:keepNext w:val="0"/>
              <w:keepLines w:val="0"/>
              <w:pageBreakBefore w:val="0"/>
              <w:widowControl w:val="0"/>
              <w:kinsoku/>
              <w:wordWrap/>
              <w:overflowPunct/>
              <w:topLinePunct w:val="0"/>
              <w:autoSpaceDE/>
              <w:autoSpaceDN/>
              <w:bidi w:val="0"/>
              <w:adjustRightInd/>
              <w:snapToGrid/>
              <w:spacing w:line="400" w:lineRule="exact"/>
              <w:textAlignment w:val="auto"/>
              <w:rPr>
                <w:rStyle w:val="31"/>
                <w:rFonts w:hint="default" w:cs="宋体"/>
                <w:color w:val="auto"/>
                <w:highlight w:val="none"/>
                <w:lang w:eastAsia="zh-CN"/>
              </w:rPr>
            </w:pPr>
            <w:r>
              <w:rPr>
                <w:rStyle w:val="31"/>
                <w:rFonts w:hint="eastAsia" w:cs="宋体"/>
                <w:color w:val="auto"/>
                <w:highlight w:val="none"/>
                <w:lang w:val="en-US" w:eastAsia="zh-CN"/>
              </w:rPr>
              <w:t>3</w:t>
            </w:r>
            <w:r>
              <w:rPr>
                <w:rStyle w:val="31"/>
                <w:rFonts w:hint="default" w:cs="宋体"/>
                <w:color w:val="auto"/>
                <w:highlight w:val="none"/>
                <w:lang w:eastAsia="zh-CN"/>
              </w:rPr>
              <w:t>、本次招标采用综合评分法。满分为100分，其中报价分值</w:t>
            </w:r>
            <w:r>
              <w:rPr>
                <w:rStyle w:val="31"/>
                <w:rFonts w:hint="eastAsia" w:cs="宋体"/>
                <w:color w:val="auto"/>
                <w:highlight w:val="none"/>
                <w:lang w:val="en-US" w:eastAsia="zh-CN"/>
              </w:rPr>
              <w:t>20</w:t>
            </w:r>
            <w:r>
              <w:rPr>
                <w:rStyle w:val="31"/>
                <w:rFonts w:hint="default" w:cs="宋体"/>
                <w:color w:val="auto"/>
                <w:highlight w:val="none"/>
                <w:lang w:eastAsia="zh-CN"/>
              </w:rPr>
              <w:t>分，技术商务等分值</w:t>
            </w:r>
            <w:r>
              <w:rPr>
                <w:rStyle w:val="31"/>
                <w:rFonts w:hint="eastAsia" w:cs="宋体"/>
                <w:color w:val="auto"/>
                <w:highlight w:val="none"/>
                <w:lang w:val="en-US" w:eastAsia="zh-CN"/>
              </w:rPr>
              <w:t>80</w:t>
            </w:r>
            <w:r>
              <w:rPr>
                <w:rStyle w:val="31"/>
                <w:rFonts w:hint="default" w:cs="宋体"/>
                <w:color w:val="auto"/>
                <w:highlight w:val="none"/>
                <w:lang w:eastAsia="zh-CN"/>
              </w:rPr>
              <w:t>分。评标委员会根据投标文件对各投标人的技术、商务等进行量化打分。</w:t>
            </w:r>
          </w:p>
          <w:p w14:paraId="64329C7C">
            <w:pPr>
              <w:keepNext w:val="0"/>
              <w:keepLines w:val="0"/>
              <w:pageBreakBefore w:val="0"/>
              <w:widowControl w:val="0"/>
              <w:kinsoku/>
              <w:wordWrap/>
              <w:overflowPunct/>
              <w:topLinePunct w:val="0"/>
              <w:autoSpaceDE/>
              <w:autoSpaceDN/>
              <w:bidi w:val="0"/>
              <w:adjustRightInd/>
              <w:snapToGrid/>
              <w:spacing w:line="400" w:lineRule="exact"/>
              <w:textAlignment w:val="auto"/>
              <w:rPr>
                <w:rStyle w:val="31"/>
                <w:rFonts w:hint="default" w:cs="宋体"/>
                <w:color w:val="auto"/>
                <w:highlight w:val="none"/>
                <w:lang w:eastAsia="zh-CN"/>
              </w:rPr>
            </w:pPr>
            <w:r>
              <w:rPr>
                <w:rStyle w:val="31"/>
                <w:rFonts w:hint="eastAsia" w:cs="宋体"/>
                <w:color w:val="auto"/>
                <w:highlight w:val="none"/>
                <w:lang w:val="en-US" w:eastAsia="zh-CN"/>
              </w:rPr>
              <w:t>4</w:t>
            </w:r>
            <w:r>
              <w:rPr>
                <w:rStyle w:val="31"/>
                <w:rFonts w:hint="default" w:cs="宋体"/>
                <w:color w:val="auto"/>
                <w:highlight w:val="none"/>
                <w:lang w:eastAsia="zh-CN"/>
              </w:rPr>
              <w:t>、投标人应根据本采购项目的具体应用情况，在报价中充分考虑项目实施中可能发生的一切费用。</w:t>
            </w:r>
          </w:p>
          <w:p w14:paraId="2826A8FC">
            <w:pPr>
              <w:keepNext w:val="0"/>
              <w:keepLines w:val="0"/>
              <w:pageBreakBefore w:val="0"/>
              <w:widowControl w:val="0"/>
              <w:kinsoku/>
              <w:wordWrap/>
              <w:overflowPunct/>
              <w:topLinePunct w:val="0"/>
              <w:autoSpaceDE/>
              <w:autoSpaceDN/>
              <w:bidi w:val="0"/>
              <w:adjustRightInd/>
              <w:snapToGrid/>
              <w:spacing w:line="400" w:lineRule="exact"/>
              <w:textAlignment w:val="auto"/>
              <w:rPr>
                <w:rStyle w:val="31"/>
                <w:rFonts w:hint="default" w:cs="宋体"/>
                <w:color w:val="auto"/>
                <w:highlight w:val="none"/>
                <w:lang w:eastAsia="zh-CN"/>
              </w:rPr>
            </w:pPr>
            <w:r>
              <w:rPr>
                <w:rStyle w:val="31"/>
                <w:rFonts w:hint="eastAsia" w:cs="宋体"/>
                <w:color w:val="auto"/>
                <w:highlight w:val="none"/>
                <w:lang w:val="en-US" w:eastAsia="zh-CN"/>
              </w:rPr>
              <w:t>5</w:t>
            </w:r>
            <w:r>
              <w:rPr>
                <w:rStyle w:val="31"/>
                <w:rFonts w:hint="default" w:cs="宋体"/>
                <w:color w:val="auto"/>
                <w:highlight w:val="none"/>
                <w:lang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113FDCD">
            <w:pPr>
              <w:keepNext w:val="0"/>
              <w:keepLines w:val="0"/>
              <w:pageBreakBefore w:val="0"/>
              <w:widowControl w:val="0"/>
              <w:kinsoku/>
              <w:wordWrap/>
              <w:overflowPunct/>
              <w:topLinePunct w:val="0"/>
              <w:autoSpaceDE/>
              <w:autoSpaceDN/>
              <w:bidi w:val="0"/>
              <w:adjustRightInd/>
              <w:snapToGrid/>
              <w:spacing w:line="400" w:lineRule="exact"/>
              <w:textAlignment w:val="auto"/>
              <w:rPr>
                <w:rStyle w:val="31"/>
                <w:rFonts w:hint="default" w:cs="宋体"/>
                <w:b/>
                <w:color w:val="auto"/>
                <w:highlight w:val="none"/>
                <w:lang w:eastAsia="zh-CN"/>
              </w:rPr>
            </w:pPr>
            <w:r>
              <w:rPr>
                <w:rStyle w:val="31"/>
                <w:rFonts w:hint="eastAsia" w:cs="宋体"/>
                <w:b/>
                <w:color w:val="auto"/>
                <w:highlight w:val="none"/>
                <w:lang w:val="en-US" w:eastAsia="zh-CN"/>
              </w:rPr>
              <w:t>6</w:t>
            </w:r>
            <w:r>
              <w:rPr>
                <w:rStyle w:val="31"/>
                <w:rFonts w:hint="default" w:cs="宋体"/>
                <w:b/>
                <w:color w:val="auto"/>
                <w:highlight w:val="none"/>
                <w:lang w:eastAsia="zh-CN"/>
              </w:rPr>
              <w:t>、带“▲”为必须满足的实质性内容。</w:t>
            </w:r>
          </w:p>
          <w:p w14:paraId="072B927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bCs/>
                <w:color w:val="auto"/>
                <w:kern w:val="0"/>
                <w:szCs w:val="21"/>
                <w:highlight w:val="none"/>
              </w:rPr>
            </w:pPr>
            <w:r>
              <w:rPr>
                <w:rStyle w:val="31"/>
                <w:rFonts w:hint="eastAsia" w:cs="宋体"/>
                <w:color w:val="auto"/>
                <w:highlight w:val="none"/>
                <w:lang w:val="en-US" w:eastAsia="zh-CN"/>
              </w:rPr>
              <w:t>7</w:t>
            </w:r>
            <w:r>
              <w:rPr>
                <w:rStyle w:val="31"/>
                <w:rFonts w:hint="default" w:cs="宋体"/>
                <w:color w:val="auto"/>
                <w:highlight w:val="none"/>
                <w:lang w:eastAsia="zh-CN"/>
              </w:rPr>
              <w:t>、本采购文件未尽事项按法律法规及行业主管部门文件执行。</w:t>
            </w:r>
          </w:p>
        </w:tc>
      </w:tr>
      <w:tr w14:paraId="63D4C7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71" w:type="dxa"/>
            <w:bottom w:w="15" w:type="dxa"/>
            <w:right w:w="71" w:type="dxa"/>
          </w:tblCellMar>
        </w:tblPrEx>
        <w:trPr>
          <w:trHeight w:val="390" w:hRule="atLeast"/>
          <w:jc w:val="center"/>
        </w:trPr>
        <w:tc>
          <w:tcPr>
            <w:tcW w:w="705" w:type="dxa"/>
            <w:shd w:val="clear" w:color="000000" w:fill="auto"/>
            <w:noWrap w:val="0"/>
            <w:vAlign w:val="center"/>
          </w:tcPr>
          <w:p w14:paraId="5FEB8957">
            <w:pPr>
              <w:keepNext w:val="0"/>
              <w:keepLines w:val="0"/>
              <w:pageBreakBefore w:val="0"/>
              <w:kinsoku/>
              <w:overflowPunct/>
              <w:topLinePunct w:val="0"/>
              <w:autoSpaceDE/>
              <w:autoSpaceDN/>
              <w:bidi w:val="0"/>
              <w:adjustRightInd/>
              <w:snapToGrid/>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24</w:t>
            </w:r>
          </w:p>
        </w:tc>
        <w:tc>
          <w:tcPr>
            <w:tcW w:w="1697" w:type="dxa"/>
            <w:shd w:val="clear" w:color="000000" w:fill="auto"/>
            <w:noWrap w:val="0"/>
            <w:vAlign w:val="center"/>
          </w:tcPr>
          <w:p w14:paraId="34ED6C7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rPr>
            </w:pPr>
            <w:r>
              <w:rPr>
                <w:rStyle w:val="31"/>
                <w:rFonts w:hint="eastAsia" w:ascii="宋体" w:hAnsi="宋体" w:eastAsia="宋体" w:cs="宋体"/>
                <w:color w:val="auto"/>
                <w:highlight w:val="none"/>
                <w:lang w:val="en-US" w:eastAsia="zh-CN"/>
              </w:rPr>
              <w:t>合同公告时间</w:t>
            </w:r>
          </w:p>
        </w:tc>
        <w:tc>
          <w:tcPr>
            <w:tcW w:w="7143" w:type="dxa"/>
            <w:shd w:val="clear" w:color="000000" w:fill="auto"/>
            <w:noWrap w:val="0"/>
            <w:vAlign w:val="center"/>
          </w:tcPr>
          <w:p w14:paraId="056E2D73">
            <w:pPr>
              <w:keepNext w:val="0"/>
              <w:keepLines w:val="0"/>
              <w:pageBreakBefore w:val="0"/>
              <w:widowControl/>
              <w:kinsoku/>
              <w:wordWrap w:val="0"/>
              <w:overflowPunct/>
              <w:topLinePunct w:val="0"/>
              <w:autoSpaceDE/>
              <w:autoSpaceDN/>
              <w:bidi w:val="0"/>
              <w:adjustRightInd/>
              <w:snapToGrid/>
              <w:spacing w:line="400" w:lineRule="exact"/>
              <w:textAlignment w:val="auto"/>
              <w:rPr>
                <w:rStyle w:val="31"/>
                <w:rFonts w:hint="eastAsia" w:cs="宋体"/>
                <w:color w:val="auto"/>
                <w:highlight w:val="none"/>
                <w:lang w:val="en-US" w:eastAsia="zh-CN"/>
              </w:rPr>
            </w:pPr>
            <w:r>
              <w:rPr>
                <w:rStyle w:val="31"/>
                <w:rFonts w:hint="eastAsia" w:ascii="宋体" w:hAnsi="宋体" w:eastAsia="宋体" w:cs="宋体"/>
                <w:color w:val="auto"/>
                <w:highlight w:val="none"/>
                <w:lang w:val="en-US" w:eastAsia="zh-CN"/>
              </w:rPr>
              <w:t>自政府采购合同签订之日起2个工作日内在浙江省政府采购网(http://zfcg.czt.zj.gov.cn/)发布。</w:t>
            </w:r>
          </w:p>
        </w:tc>
      </w:tr>
    </w:tbl>
    <w:p w14:paraId="48186438">
      <w:pPr>
        <w:keepLines w:val="0"/>
        <w:pageBreakBefore w:val="0"/>
        <w:kinsoku/>
        <w:wordWrap/>
        <w:overflowPunct/>
        <w:topLinePunct w:val="0"/>
        <w:bidi w:val="0"/>
        <w:spacing w:line="440" w:lineRule="exact"/>
        <w:textAlignment w:val="auto"/>
        <w:outlineLvl w:val="1"/>
        <w:rPr>
          <w:rFonts w:hint="eastAsia" w:ascii="宋体" w:hAnsi="宋体" w:cs="宋体"/>
          <w:b/>
          <w:bCs/>
          <w:color w:val="auto"/>
          <w:kern w:val="0"/>
          <w:szCs w:val="30"/>
          <w:highlight w:val="none"/>
        </w:rPr>
      </w:pPr>
      <w:bookmarkStart w:id="26" w:name="_Toc6074"/>
      <w:r>
        <w:rPr>
          <w:rFonts w:hint="eastAsia"/>
          <w:color w:val="auto"/>
          <w:highlight w:val="none"/>
        </w:rPr>
        <w:br w:type="page"/>
      </w:r>
      <w:r>
        <w:rPr>
          <w:rFonts w:hint="eastAsia" w:ascii="宋体" w:hAnsi="宋体" w:cs="宋体"/>
          <w:b/>
          <w:bCs/>
          <w:color w:val="auto"/>
          <w:kern w:val="0"/>
          <w:sz w:val="28"/>
          <w:szCs w:val="40"/>
          <w:highlight w:val="none"/>
        </w:rPr>
        <w:t>B、投标人须知</w:t>
      </w:r>
      <w:bookmarkEnd w:id="21"/>
      <w:bookmarkEnd w:id="22"/>
      <w:bookmarkEnd w:id="23"/>
      <w:bookmarkEnd w:id="24"/>
      <w:bookmarkEnd w:id="25"/>
      <w:bookmarkEnd w:id="26"/>
    </w:p>
    <w:p w14:paraId="1FE3A0FC">
      <w:pPr>
        <w:keepLines w:val="0"/>
        <w:pageBreakBefore w:val="0"/>
        <w:kinsoku/>
        <w:wordWrap/>
        <w:overflowPunct/>
        <w:topLinePunct w:val="0"/>
        <w:bidi w:val="0"/>
        <w:spacing w:line="440" w:lineRule="exact"/>
        <w:jc w:val="center"/>
        <w:textAlignment w:val="auto"/>
        <w:outlineLvl w:val="2"/>
        <w:rPr>
          <w:rFonts w:hint="eastAsia" w:ascii="宋体" w:hAnsi="宋体" w:cs="宋体"/>
          <w:b/>
          <w:bCs/>
          <w:color w:val="auto"/>
          <w:kern w:val="0"/>
          <w:sz w:val="28"/>
          <w:szCs w:val="28"/>
          <w:highlight w:val="none"/>
        </w:rPr>
      </w:pPr>
      <w:bookmarkStart w:id="27" w:name="_Toc326937531"/>
      <w:bookmarkStart w:id="28" w:name="_Toc358384689"/>
      <w:bookmarkStart w:id="29" w:name="_Toc16065"/>
      <w:bookmarkStart w:id="30" w:name="_Toc433917261"/>
      <w:bookmarkStart w:id="31" w:name="_Toc333842545"/>
      <w:bookmarkStart w:id="32" w:name="_Toc393201708"/>
      <w:r>
        <w:rPr>
          <w:rFonts w:hint="eastAsia" w:ascii="宋体" w:hAnsi="宋体" w:cs="宋体"/>
          <w:b/>
          <w:bCs/>
          <w:color w:val="auto"/>
          <w:kern w:val="0"/>
          <w:sz w:val="28"/>
          <w:szCs w:val="28"/>
          <w:highlight w:val="none"/>
        </w:rPr>
        <w:t>一、总 则</w:t>
      </w:r>
      <w:bookmarkEnd w:id="27"/>
      <w:bookmarkEnd w:id="28"/>
      <w:bookmarkEnd w:id="29"/>
      <w:bookmarkEnd w:id="30"/>
      <w:bookmarkEnd w:id="31"/>
      <w:bookmarkEnd w:id="32"/>
    </w:p>
    <w:p w14:paraId="389EF77F">
      <w:pPr>
        <w:keepLines w:val="0"/>
        <w:pageBreakBefore w:val="0"/>
        <w:kinsoku/>
        <w:wordWrap/>
        <w:overflowPunct/>
        <w:topLinePunct w:val="0"/>
        <w:bidi w:val="0"/>
        <w:spacing w:line="440" w:lineRule="exact"/>
        <w:ind w:firstLine="422" w:firstLineChars="200"/>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1.项目概况</w:t>
      </w:r>
    </w:p>
    <w:p w14:paraId="1A633974">
      <w:pPr>
        <w:keepLines w:val="0"/>
        <w:pageBreakBefore w:val="0"/>
        <w:kinsoku/>
        <w:wordWrap/>
        <w:overflowPunct/>
        <w:topLinePunct w:val="0"/>
        <w:bidi w:val="0"/>
        <w:spacing w:line="440" w:lineRule="exact"/>
        <w:ind w:right="-178" w:rightChars="-85" w:firstLine="420" w:firstLineChars="200"/>
        <w:jc w:val="left"/>
        <w:textAlignment w:val="auto"/>
        <w:rPr>
          <w:rFonts w:hint="eastAsia" w:ascii="宋体" w:hAnsi="宋体" w:eastAsia="宋体" w:cs="宋体"/>
          <w:bCs/>
          <w:color w:val="auto"/>
          <w:szCs w:val="21"/>
          <w:highlight w:val="none"/>
          <w:lang w:eastAsia="zh-CN"/>
        </w:rPr>
      </w:pPr>
      <w:r>
        <w:rPr>
          <w:rFonts w:hint="eastAsia" w:ascii="宋体" w:hAnsi="宋体" w:cs="宋体"/>
          <w:bCs/>
          <w:color w:val="auto"/>
          <w:kern w:val="0"/>
          <w:szCs w:val="21"/>
          <w:highlight w:val="none"/>
        </w:rPr>
        <w:t>1.1采购人：</w:t>
      </w:r>
      <w:r>
        <w:rPr>
          <w:rFonts w:hint="eastAsia" w:ascii="宋体" w:hAnsi="宋体" w:cs="宋体"/>
          <w:color w:val="auto"/>
          <w:szCs w:val="21"/>
          <w:highlight w:val="none"/>
          <w:lang w:eastAsia="zh-CN"/>
        </w:rPr>
        <w:t>开化县林业局</w:t>
      </w:r>
    </w:p>
    <w:p w14:paraId="71603840">
      <w:pPr>
        <w:keepLines w:val="0"/>
        <w:pageBreakBefore w:val="0"/>
        <w:kinsoku/>
        <w:wordWrap/>
        <w:overflowPunct/>
        <w:topLinePunct w:val="0"/>
        <w:bidi w:val="0"/>
        <w:spacing w:line="440" w:lineRule="exact"/>
        <w:ind w:firstLine="420" w:firstLineChars="200"/>
        <w:jc w:val="left"/>
        <w:textAlignment w:val="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1.2采购内容：</w:t>
      </w:r>
      <w:r>
        <w:rPr>
          <w:rFonts w:hint="eastAsia" w:ascii="宋体" w:hAnsi="宋体" w:cs="宋体"/>
          <w:bCs/>
          <w:color w:val="auto"/>
          <w:kern w:val="0"/>
          <w:szCs w:val="21"/>
          <w:highlight w:val="none"/>
          <w:lang w:val="en-US" w:eastAsia="zh-CN"/>
        </w:rPr>
        <w:t>开化县怀玉山区水土保持与生态修复项目监理</w:t>
      </w:r>
      <w:r>
        <w:rPr>
          <w:rFonts w:hint="eastAsia" w:ascii="宋体" w:hAnsi="宋体" w:cs="宋体"/>
          <w:color w:val="auto"/>
          <w:kern w:val="0"/>
          <w:szCs w:val="21"/>
          <w:highlight w:val="none"/>
        </w:rPr>
        <w:t>（详见《采购需求》）</w:t>
      </w:r>
    </w:p>
    <w:p w14:paraId="25A515A3">
      <w:pPr>
        <w:keepLines w:val="0"/>
        <w:pageBreakBefore w:val="0"/>
        <w:kinsoku/>
        <w:wordWrap/>
        <w:overflowPunct/>
        <w:topLinePunct w:val="0"/>
        <w:bidi w:val="0"/>
        <w:spacing w:line="440" w:lineRule="exact"/>
        <w:ind w:firstLine="420" w:firstLineChars="200"/>
        <w:jc w:val="left"/>
        <w:textAlignment w:val="auto"/>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rPr>
        <w:t>1.3项目编号：</w:t>
      </w:r>
      <w:r>
        <w:rPr>
          <w:rFonts w:hint="eastAsia" w:ascii="宋体" w:hAnsi="宋体" w:cs="宋体"/>
          <w:color w:val="auto"/>
          <w:szCs w:val="21"/>
          <w:highlight w:val="none"/>
          <w:lang w:eastAsia="zh-CN"/>
        </w:rPr>
        <w:t>OBGCGLZFCG2025-007</w:t>
      </w:r>
    </w:p>
    <w:p w14:paraId="5E7D27A2">
      <w:pPr>
        <w:keepLines w:val="0"/>
        <w:pageBreakBefore w:val="0"/>
        <w:kinsoku/>
        <w:wordWrap/>
        <w:overflowPunct/>
        <w:topLinePunct w:val="0"/>
        <w:bidi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预算金额：</w:t>
      </w:r>
      <w:r>
        <w:rPr>
          <w:rFonts w:hint="eastAsia" w:ascii="宋体" w:hAnsi="宋体" w:eastAsia="宋体" w:cs="宋体"/>
          <w:color w:val="auto"/>
          <w:sz w:val="21"/>
          <w:szCs w:val="21"/>
          <w:u w:val="single"/>
          <w:lang w:val="en-US" w:eastAsia="zh-CN"/>
        </w:rPr>
        <w:t>357.7046</w:t>
      </w:r>
      <w:r>
        <w:rPr>
          <w:rFonts w:hint="eastAsia" w:ascii="宋体" w:hAnsi="宋体" w:cs="宋体"/>
          <w:color w:val="auto"/>
          <w:szCs w:val="21"/>
          <w:highlight w:val="none"/>
        </w:rPr>
        <w:t>万元</w:t>
      </w:r>
    </w:p>
    <w:p w14:paraId="7E41FB3E">
      <w:pPr>
        <w:keepLines w:val="0"/>
        <w:pageBreakBefore w:val="0"/>
        <w:kinsoku/>
        <w:wordWrap/>
        <w:overflowPunct/>
        <w:topLinePunct w:val="0"/>
        <w:bidi w:val="0"/>
        <w:spacing w:line="440" w:lineRule="exact"/>
        <w:ind w:firstLine="840" w:firstLineChars="4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标项1：</w:t>
      </w:r>
      <w:r>
        <w:rPr>
          <w:rFonts w:hint="eastAsia" w:ascii="宋体" w:hAnsi="宋体" w:eastAsia="宋体" w:cs="宋体"/>
          <w:color w:val="auto"/>
          <w:sz w:val="21"/>
          <w:szCs w:val="21"/>
          <w:u w:val="single"/>
          <w:lang w:val="en-US" w:eastAsia="zh-CN"/>
        </w:rPr>
        <w:t>164.4500</w:t>
      </w:r>
      <w:r>
        <w:rPr>
          <w:rFonts w:hint="eastAsia" w:ascii="宋体" w:hAnsi="宋体" w:cs="宋体"/>
          <w:color w:val="auto"/>
          <w:szCs w:val="21"/>
          <w:highlight w:val="none"/>
          <w:lang w:eastAsia="zh-CN"/>
        </w:rPr>
        <w:t>万元</w:t>
      </w:r>
    </w:p>
    <w:p w14:paraId="28273773">
      <w:pPr>
        <w:keepLines w:val="0"/>
        <w:pageBreakBefore w:val="0"/>
        <w:kinsoku/>
        <w:wordWrap/>
        <w:overflowPunct/>
        <w:topLinePunct w:val="0"/>
        <w:bidi w:val="0"/>
        <w:spacing w:line="440" w:lineRule="exact"/>
        <w:ind w:firstLine="840" w:firstLineChars="4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标项2：</w:t>
      </w:r>
      <w:r>
        <w:rPr>
          <w:rFonts w:hint="eastAsia" w:ascii="宋体" w:hAnsi="宋体" w:eastAsia="宋体" w:cs="宋体"/>
          <w:color w:val="auto"/>
          <w:sz w:val="21"/>
          <w:szCs w:val="21"/>
          <w:u w:val="single"/>
          <w:lang w:val="en-US" w:eastAsia="zh-CN"/>
        </w:rPr>
        <w:t>193.2546</w:t>
      </w:r>
      <w:r>
        <w:rPr>
          <w:rFonts w:hint="eastAsia" w:ascii="宋体" w:hAnsi="宋体" w:cs="宋体"/>
          <w:color w:val="auto"/>
          <w:szCs w:val="21"/>
          <w:highlight w:val="none"/>
          <w:lang w:eastAsia="zh-CN"/>
        </w:rPr>
        <w:t>万元</w:t>
      </w:r>
    </w:p>
    <w:p w14:paraId="2665635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最高限价：</w:t>
      </w:r>
      <w:r>
        <w:rPr>
          <w:rFonts w:hint="eastAsia" w:ascii="宋体" w:hAnsi="宋体" w:eastAsia="宋体" w:cs="宋体"/>
          <w:color w:val="auto"/>
          <w:sz w:val="21"/>
          <w:szCs w:val="21"/>
          <w:u w:val="single"/>
          <w:lang w:val="en-US" w:eastAsia="zh-CN"/>
        </w:rPr>
        <w:t>357.7046</w:t>
      </w:r>
      <w:r>
        <w:rPr>
          <w:rFonts w:hint="eastAsia" w:ascii="宋体" w:hAnsi="宋体" w:cs="宋体"/>
          <w:color w:val="auto"/>
          <w:szCs w:val="21"/>
          <w:highlight w:val="none"/>
        </w:rPr>
        <w:t>万元</w:t>
      </w:r>
    </w:p>
    <w:p w14:paraId="5EA94DEE">
      <w:pPr>
        <w:keepLines w:val="0"/>
        <w:pageBreakBefore w:val="0"/>
        <w:kinsoku/>
        <w:wordWrap/>
        <w:overflowPunct/>
        <w:topLinePunct w:val="0"/>
        <w:bidi w:val="0"/>
        <w:spacing w:line="440" w:lineRule="exact"/>
        <w:ind w:firstLine="840" w:firstLineChars="4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标项1：</w:t>
      </w:r>
      <w:r>
        <w:rPr>
          <w:rFonts w:hint="eastAsia" w:ascii="宋体" w:hAnsi="宋体" w:eastAsia="宋体" w:cs="宋体"/>
          <w:color w:val="auto"/>
          <w:sz w:val="21"/>
          <w:szCs w:val="21"/>
          <w:u w:val="single"/>
          <w:lang w:val="en-US" w:eastAsia="zh-CN"/>
        </w:rPr>
        <w:t>164.4500</w:t>
      </w:r>
      <w:r>
        <w:rPr>
          <w:rFonts w:hint="eastAsia" w:ascii="宋体" w:hAnsi="宋体" w:cs="宋体"/>
          <w:color w:val="auto"/>
          <w:szCs w:val="21"/>
          <w:highlight w:val="none"/>
          <w:lang w:eastAsia="zh-CN"/>
        </w:rPr>
        <w:t>万元</w:t>
      </w:r>
    </w:p>
    <w:p w14:paraId="64812C60">
      <w:pPr>
        <w:keepLines w:val="0"/>
        <w:pageBreakBefore w:val="0"/>
        <w:numPr>
          <w:ilvl w:val="0"/>
          <w:numId w:val="0"/>
        </w:numPr>
        <w:kinsoku/>
        <w:wordWrap/>
        <w:overflowPunct/>
        <w:topLinePunct w:val="0"/>
        <w:bidi w:val="0"/>
        <w:spacing w:line="440" w:lineRule="exact"/>
        <w:ind w:firstLine="840" w:firstLineChars="400"/>
        <w:jc w:val="left"/>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标项2：</w:t>
      </w:r>
      <w:r>
        <w:rPr>
          <w:rFonts w:hint="eastAsia" w:ascii="宋体" w:hAnsi="宋体" w:eastAsia="宋体" w:cs="宋体"/>
          <w:color w:val="auto"/>
          <w:sz w:val="21"/>
          <w:szCs w:val="21"/>
          <w:u w:val="single"/>
          <w:lang w:val="en-US" w:eastAsia="zh-CN"/>
        </w:rPr>
        <w:t>193.2546</w:t>
      </w:r>
      <w:r>
        <w:rPr>
          <w:rFonts w:hint="eastAsia" w:ascii="宋体" w:hAnsi="宋体" w:cs="宋体"/>
          <w:color w:val="auto"/>
          <w:szCs w:val="21"/>
          <w:highlight w:val="none"/>
          <w:lang w:eastAsia="zh-CN"/>
        </w:rPr>
        <w:t>万元</w:t>
      </w:r>
    </w:p>
    <w:p w14:paraId="153FF027">
      <w:pPr>
        <w:keepLines w:val="0"/>
        <w:pageBreakBefore w:val="0"/>
        <w:numPr>
          <w:ilvl w:val="0"/>
          <w:numId w:val="0"/>
        </w:numPr>
        <w:kinsoku/>
        <w:wordWrap/>
        <w:overflowPunct/>
        <w:topLinePunct w:val="0"/>
        <w:bidi w:val="0"/>
        <w:spacing w:line="440" w:lineRule="exact"/>
        <w:ind w:firstLine="420" w:firstLineChars="200"/>
        <w:jc w:val="left"/>
        <w:textAlignment w:val="auto"/>
        <w:rPr>
          <w:rFonts w:hint="eastAsia" w:ascii="宋体" w:hAnsi="宋体" w:cs="宋体"/>
          <w:bCs/>
          <w:color w:val="auto"/>
          <w:kern w:val="0"/>
          <w:szCs w:val="21"/>
          <w:highlight w:val="none"/>
        </w:rPr>
      </w:pPr>
      <w:r>
        <w:rPr>
          <w:rFonts w:hint="eastAsia" w:ascii="宋体" w:hAnsi="宋体" w:cs="宋体"/>
          <w:color w:val="auto"/>
          <w:szCs w:val="21"/>
          <w:highlight w:val="none"/>
        </w:rPr>
        <w:t>1.6工期（服务期限）要求</w:t>
      </w:r>
      <w:r>
        <w:rPr>
          <w:rFonts w:hint="eastAsia" w:ascii="宋体" w:hAnsi="宋体" w:cs="宋体"/>
          <w:color w:val="auto"/>
          <w:sz w:val="21"/>
          <w:szCs w:val="21"/>
          <w:lang w:eastAsia="zh-CN"/>
        </w:rPr>
        <w:t>（标项1、标项2）</w:t>
      </w:r>
      <w:r>
        <w:rPr>
          <w:rFonts w:hint="eastAsia" w:ascii="宋体" w:hAnsi="宋体" w:cs="宋体"/>
          <w:color w:val="auto"/>
          <w:szCs w:val="21"/>
          <w:highlight w:val="none"/>
        </w:rPr>
        <w:t>：</w:t>
      </w:r>
      <w:r>
        <w:rPr>
          <w:rFonts w:hint="eastAsia" w:ascii="宋体" w:hAnsi="宋体" w:cs="宋体"/>
          <w:color w:val="auto"/>
          <w:kern w:val="0"/>
          <w:sz w:val="21"/>
          <w:szCs w:val="21"/>
          <w:highlight w:val="none"/>
          <w:lang w:val="en-US" w:eastAsia="zh-CN" w:bidi="ar"/>
        </w:rPr>
        <w:t>从签订合同之日起至工程竣工验收合格且工程结算完毕为止</w:t>
      </w:r>
      <w:r>
        <w:rPr>
          <w:rFonts w:hint="eastAsia" w:ascii="宋体" w:hAnsi="宋体" w:cs="宋体"/>
          <w:color w:val="auto"/>
          <w:szCs w:val="21"/>
          <w:highlight w:val="none"/>
          <w:lang w:val="en-US" w:eastAsia="zh-CN"/>
        </w:rPr>
        <w:t>。</w:t>
      </w:r>
    </w:p>
    <w:p w14:paraId="634EC21D">
      <w:pPr>
        <w:keepLines w:val="0"/>
        <w:pageBreakBefore w:val="0"/>
        <w:kinsoku/>
        <w:wordWrap/>
        <w:overflowPunct/>
        <w:topLinePunct w:val="0"/>
        <w:bidi w:val="0"/>
        <w:spacing w:line="440" w:lineRule="exact"/>
        <w:ind w:firstLine="211" w:firstLineChars="100"/>
        <w:jc w:val="left"/>
        <w:textAlignment w:val="auto"/>
        <w:rPr>
          <w:rFonts w:hint="eastAsia" w:ascii="宋体" w:hAnsi="宋体" w:cs="宋体"/>
          <w:bCs/>
          <w:color w:val="auto"/>
          <w:kern w:val="0"/>
          <w:szCs w:val="21"/>
          <w:highlight w:val="none"/>
        </w:rPr>
      </w:pPr>
      <w:r>
        <w:rPr>
          <w:rFonts w:hint="eastAsia" w:ascii="宋体" w:hAnsi="宋体" w:cs="宋体"/>
          <w:b/>
          <w:bCs/>
          <w:color w:val="auto"/>
          <w:kern w:val="0"/>
          <w:szCs w:val="21"/>
          <w:highlight w:val="none"/>
        </w:rPr>
        <w:t>▲2.投标人资格</w:t>
      </w:r>
    </w:p>
    <w:p w14:paraId="00BA80CF">
      <w:pPr>
        <w:pStyle w:val="33"/>
        <w:keepLines w:val="0"/>
        <w:pageBreakBefore w:val="0"/>
        <w:widowControl w:val="0"/>
        <w:kinsoku/>
        <w:wordWrap/>
        <w:overflowPunct/>
        <w:topLinePunct w:val="0"/>
        <w:bidi w:val="0"/>
        <w:spacing w:line="440" w:lineRule="exact"/>
        <w:ind w:left="0" w:firstLine="420" w:firstLineChars="200"/>
        <w:textAlignment w:val="auto"/>
        <w:rPr>
          <w:rFonts w:hint="eastAsia"/>
          <w:color w:val="auto"/>
          <w:sz w:val="21"/>
          <w:szCs w:val="21"/>
          <w:highlight w:val="none"/>
        </w:rPr>
      </w:pPr>
      <w:r>
        <w:rPr>
          <w:rFonts w:hint="eastAsia"/>
          <w:color w:val="auto"/>
          <w:sz w:val="21"/>
          <w:szCs w:val="21"/>
          <w:highlight w:val="none"/>
        </w:rPr>
        <w:t>2.1满足《中华人民共和国政府采购法》第二十二条规定；</w:t>
      </w:r>
    </w:p>
    <w:p w14:paraId="3DE04ADD">
      <w:pPr>
        <w:pStyle w:val="33"/>
        <w:keepLines w:val="0"/>
        <w:pageBreakBefore w:val="0"/>
        <w:widowControl w:val="0"/>
        <w:kinsoku/>
        <w:wordWrap/>
        <w:overflowPunct/>
        <w:topLinePunct w:val="0"/>
        <w:bidi w:val="0"/>
        <w:spacing w:line="440" w:lineRule="exact"/>
        <w:ind w:left="0" w:firstLine="420" w:firstLineChars="200"/>
        <w:textAlignment w:val="auto"/>
        <w:rPr>
          <w:rFonts w:hint="eastAsia"/>
          <w:color w:val="auto"/>
          <w:sz w:val="21"/>
          <w:szCs w:val="21"/>
          <w:highlight w:val="none"/>
        </w:rPr>
      </w:pPr>
      <w:r>
        <w:rPr>
          <w:rFonts w:hint="eastAsia"/>
          <w:color w:val="auto"/>
          <w:sz w:val="21"/>
          <w:szCs w:val="21"/>
          <w:highlight w:val="none"/>
        </w:rPr>
        <w:t>2.2必须为未被列入“信用中国”网站(www.creditchina.gov.cn)、中国政府采购网(www.ccgp.gov.cn)渠道信用记录失信被执行人、重大税收违法案件当事人名单、政府采购严重违法失信行为记录名单的投标人。</w:t>
      </w:r>
    </w:p>
    <w:p w14:paraId="15229707">
      <w:pPr>
        <w:keepLines w:val="0"/>
        <w:pageBreakBefore w:val="0"/>
        <w:kinsoku/>
        <w:wordWrap/>
        <w:overflowPunct/>
        <w:topLinePunct w:val="0"/>
        <w:bidi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2.3落实政府采购政策需满足的资格要求：</w:t>
      </w:r>
      <w:r>
        <w:rPr>
          <w:rFonts w:hint="eastAsia" w:ascii="宋体" w:hAnsi="宋体" w:cs="宋体"/>
          <w:color w:val="auto"/>
          <w:szCs w:val="21"/>
          <w:highlight w:val="none"/>
          <w:u w:val="single"/>
        </w:rPr>
        <w:t>本项目专门面向中小企业</w:t>
      </w:r>
      <w:r>
        <w:rPr>
          <w:rFonts w:hint="eastAsia" w:ascii="宋体" w:hAnsi="宋体" w:cs="宋体"/>
          <w:color w:val="auto"/>
          <w:szCs w:val="21"/>
          <w:highlight w:val="none"/>
        </w:rPr>
        <w:t>。</w:t>
      </w:r>
    </w:p>
    <w:p w14:paraId="6FF531E8">
      <w:pPr>
        <w:keepLines w:val="0"/>
        <w:pageBreakBefore w:val="0"/>
        <w:kinsoku/>
        <w:wordWrap/>
        <w:overflowPunct/>
        <w:topLinePunct w:val="0"/>
        <w:bidi w:val="0"/>
        <w:spacing w:line="440" w:lineRule="exact"/>
        <w:ind w:firstLine="420" w:firstLineChars="200"/>
        <w:textAlignment w:val="auto"/>
        <w:rPr>
          <w:rFonts w:hint="eastAsia" w:ascii="宋体" w:hAnsi="宋体" w:cs="宋体"/>
          <w:color w:val="auto"/>
          <w:szCs w:val="21"/>
          <w:highlight w:val="none"/>
          <w:u w:val="none"/>
        </w:rPr>
      </w:pPr>
      <w:r>
        <w:rPr>
          <w:rFonts w:hint="eastAsia" w:ascii="宋体" w:hAnsi="宋体" w:cs="宋体"/>
          <w:color w:val="auto"/>
          <w:szCs w:val="21"/>
          <w:highlight w:val="none"/>
        </w:rPr>
        <w:t>2.4本项目的特定资格要求：</w:t>
      </w:r>
      <w:r>
        <w:rPr>
          <w:rFonts w:hint="eastAsia" w:ascii="宋体" w:hAnsi="宋体" w:eastAsia="宋体" w:cs="宋体"/>
          <w:color w:val="auto"/>
          <w:szCs w:val="21"/>
          <w:highlight w:val="none"/>
          <w:u w:val="single"/>
        </w:rPr>
        <w:t>须具备建设行政主管部门核发有效的工程监理综合资质</w:t>
      </w:r>
      <w:r>
        <w:rPr>
          <w:rFonts w:hint="eastAsia" w:ascii="宋体" w:hAnsi="宋体" w:eastAsia="宋体" w:cs="宋体"/>
          <w:color w:val="auto"/>
          <w:szCs w:val="21"/>
          <w:highlight w:val="none"/>
          <w:u w:val="single"/>
          <w:lang w:eastAsia="zh-CN"/>
        </w:rPr>
        <w:t>和</w:t>
      </w:r>
      <w:r>
        <w:rPr>
          <w:rFonts w:hint="eastAsia" w:ascii="宋体" w:hAnsi="宋体" w:eastAsia="宋体" w:cs="宋体"/>
          <w:color w:val="auto"/>
          <w:szCs w:val="21"/>
          <w:highlight w:val="none"/>
          <w:u w:val="single"/>
        </w:rPr>
        <w:t>林业工程建设协会颁发的林业调查规划设计</w:t>
      </w:r>
      <w:r>
        <w:rPr>
          <w:rFonts w:hint="eastAsia" w:ascii="宋体" w:hAnsi="宋体" w:eastAsia="宋体" w:cs="宋体"/>
          <w:color w:val="auto"/>
          <w:szCs w:val="21"/>
          <w:highlight w:val="none"/>
          <w:u w:val="single"/>
          <w:lang w:val="en-US" w:eastAsia="zh-CN"/>
        </w:rPr>
        <w:t>丙</w:t>
      </w:r>
      <w:r>
        <w:rPr>
          <w:rFonts w:hint="eastAsia" w:ascii="宋体" w:hAnsi="宋体" w:eastAsia="宋体" w:cs="宋体"/>
          <w:color w:val="auto"/>
          <w:szCs w:val="21"/>
          <w:highlight w:val="none"/>
          <w:u w:val="single"/>
        </w:rPr>
        <w:t>级及以上资质（根据林建协〔2021〕28 号关于印发《林业调查规划设计单位资格认证管理规定》的通知</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none"/>
        </w:rPr>
        <w:t>。</w:t>
      </w:r>
    </w:p>
    <w:p w14:paraId="487D3C5B">
      <w:pPr>
        <w:keepLines w:val="0"/>
        <w:pageBreakBefore w:val="0"/>
        <w:kinsoku/>
        <w:wordWrap/>
        <w:overflowPunct/>
        <w:topLinePunct w:val="0"/>
        <w:bidi w:val="0"/>
        <w:spacing w:line="440" w:lineRule="exact"/>
        <w:ind w:firstLine="422" w:firstLineChars="200"/>
        <w:textAlignment w:val="auto"/>
        <w:outlineLvl w:val="9"/>
        <w:rPr>
          <w:rFonts w:hint="eastAsia"/>
          <w:color w:val="auto"/>
        </w:rPr>
      </w:pPr>
      <w:r>
        <w:rPr>
          <w:rFonts w:hint="eastAsia" w:ascii="宋体" w:hAnsi="宋体" w:eastAsia="宋体" w:cs="宋体"/>
          <w:b/>
          <w:bCs/>
          <w:color w:val="auto"/>
          <w:sz w:val="21"/>
          <w:szCs w:val="21"/>
          <w:lang w:val="en-US" w:eastAsia="zh-CN"/>
        </w:rPr>
        <w:t>2.5</w:t>
      </w:r>
      <w:r>
        <w:rPr>
          <w:rFonts w:hint="eastAsia" w:ascii="宋体" w:hAnsi="宋体" w:eastAsia="宋体" w:cs="宋体"/>
          <w:b/>
          <w:bCs/>
          <w:color w:val="auto"/>
          <w:sz w:val="21"/>
          <w:szCs w:val="21"/>
          <w:lang w:eastAsia="zh-CN"/>
        </w:rPr>
        <w:t>本项目接受联合体投标。联合体须满足申请人资格要求，联合体各方签订共同投标协议后，不得再以自己名义单独投标，也不得组成新的联合体或参加其他联合体在同一项目中投标（联合体所有成员数量不得超过2家）。</w:t>
      </w:r>
    </w:p>
    <w:p w14:paraId="34ADE3F7">
      <w:pPr>
        <w:keepNext w:val="0"/>
        <w:keepLines w:val="0"/>
        <w:pageBreakBefore w:val="0"/>
        <w:kinsoku/>
        <w:wordWrap/>
        <w:overflowPunct/>
        <w:topLinePunct w:val="0"/>
        <w:autoSpaceDE/>
        <w:autoSpaceDN/>
        <w:bidi w:val="0"/>
        <w:spacing w:line="440" w:lineRule="exact"/>
        <w:ind w:firstLine="413" w:firstLineChars="196"/>
        <w:textAlignment w:val="auto"/>
        <w:rPr>
          <w:rFonts w:hint="eastAsia" w:ascii="宋体" w:hAnsi="宋体" w:cs="宋体"/>
          <w:b/>
          <w:bCs/>
          <w:color w:val="auto"/>
          <w:sz w:val="21"/>
          <w:szCs w:val="21"/>
          <w:lang w:eastAsia="zh-CN"/>
        </w:rPr>
      </w:pPr>
      <w:r>
        <w:rPr>
          <w:rFonts w:hint="eastAsia" w:ascii="宋体" w:hAnsi="宋体" w:cs="宋体"/>
          <w:b/>
          <w:bCs/>
          <w:color w:val="auto"/>
          <w:sz w:val="21"/>
          <w:szCs w:val="21"/>
          <w:lang w:eastAsia="zh-CN"/>
        </w:rPr>
        <w:t>3、投标费用</w:t>
      </w:r>
    </w:p>
    <w:p w14:paraId="38228474">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cs="宋体"/>
          <w:bCs/>
          <w:color w:val="auto"/>
          <w:sz w:val="21"/>
          <w:szCs w:val="21"/>
          <w:lang w:eastAsia="zh-CN"/>
        </w:rPr>
      </w:pPr>
      <w:r>
        <w:rPr>
          <w:rFonts w:hint="eastAsia" w:ascii="宋体" w:hAnsi="宋体" w:cs="宋体"/>
          <w:bCs/>
          <w:color w:val="auto"/>
          <w:sz w:val="21"/>
          <w:szCs w:val="21"/>
          <w:lang w:eastAsia="zh-CN"/>
        </w:rPr>
        <w:t>不论投标结果如何，投标人均自行承担所有与参加投标有关的全部费用。</w:t>
      </w:r>
    </w:p>
    <w:p w14:paraId="19306627">
      <w:pPr>
        <w:keepNext w:val="0"/>
        <w:keepLines w:val="0"/>
        <w:pageBreakBefore w:val="0"/>
        <w:kinsoku/>
        <w:wordWrap/>
        <w:overflowPunct/>
        <w:topLinePunct w:val="0"/>
        <w:autoSpaceDE/>
        <w:autoSpaceDN/>
        <w:bidi w:val="0"/>
        <w:adjustRightInd/>
        <w:spacing w:line="440" w:lineRule="exact"/>
        <w:ind w:firstLine="422" w:firstLineChars="200"/>
        <w:textAlignment w:val="auto"/>
        <w:rPr>
          <w:rFonts w:hint="eastAsia" w:ascii="宋体" w:hAnsi="宋体" w:cs="宋体"/>
          <w:b/>
          <w:color w:val="auto"/>
          <w:sz w:val="21"/>
          <w:szCs w:val="21"/>
          <w:u w:val="single"/>
          <w:lang w:val="zh-CN" w:eastAsia="zh-CN"/>
        </w:rPr>
      </w:pPr>
      <w:r>
        <w:rPr>
          <w:rFonts w:hint="eastAsia" w:ascii="宋体" w:hAnsi="宋体" w:cs="宋体"/>
          <w:b/>
          <w:color w:val="auto"/>
          <w:sz w:val="21"/>
          <w:szCs w:val="21"/>
          <w:u w:val="single"/>
          <w:lang w:val="zh-CN" w:eastAsia="zh-CN"/>
        </w:rPr>
        <w:t>招标代理费由中标单位支付，招标代理费按《招标代理服务收费管理暂行办法》计价格〔2002〕1980号收费</w:t>
      </w:r>
      <w:r>
        <w:rPr>
          <w:rFonts w:hint="eastAsia" w:ascii="宋体" w:hAnsi="宋体" w:cs="宋体"/>
          <w:b/>
          <w:color w:val="auto"/>
          <w:sz w:val="21"/>
          <w:szCs w:val="21"/>
          <w:u w:val="single"/>
          <w:lang w:val="en-US" w:eastAsia="zh-CN"/>
        </w:rPr>
        <w:t>服务类</w:t>
      </w:r>
      <w:r>
        <w:rPr>
          <w:rFonts w:hint="eastAsia" w:ascii="宋体" w:hAnsi="宋体" w:cs="宋体"/>
          <w:b/>
          <w:color w:val="auto"/>
          <w:sz w:val="21"/>
          <w:szCs w:val="21"/>
          <w:u w:val="single"/>
          <w:lang w:val="zh-CN" w:eastAsia="zh-CN"/>
        </w:rPr>
        <w:t>标准的</w:t>
      </w:r>
      <w:r>
        <w:rPr>
          <w:rFonts w:hint="eastAsia" w:ascii="宋体" w:hAnsi="宋体" w:cs="宋体"/>
          <w:b/>
          <w:color w:val="auto"/>
          <w:sz w:val="21"/>
          <w:szCs w:val="21"/>
          <w:u w:val="single"/>
          <w:lang w:val="en-US" w:eastAsia="zh-CN"/>
        </w:rPr>
        <w:t>61.74%</w:t>
      </w:r>
      <w:r>
        <w:rPr>
          <w:rFonts w:hint="eastAsia" w:ascii="宋体" w:hAnsi="宋体" w:cs="宋体"/>
          <w:b/>
          <w:color w:val="auto"/>
          <w:sz w:val="21"/>
          <w:szCs w:val="21"/>
          <w:u w:val="single"/>
          <w:lang w:val="zh-CN" w:eastAsia="zh-CN"/>
        </w:rPr>
        <w:t>收取（</w:t>
      </w:r>
      <w:r>
        <w:rPr>
          <w:rFonts w:hint="eastAsia" w:ascii="宋体" w:hAnsi="宋体" w:cs="宋体"/>
          <w:b/>
          <w:color w:val="auto"/>
          <w:sz w:val="21"/>
          <w:szCs w:val="21"/>
          <w:u w:val="single"/>
          <w:lang w:val="en-US" w:eastAsia="zh-CN"/>
        </w:rPr>
        <w:t>差额定率累进法</w:t>
      </w:r>
      <w:r>
        <w:rPr>
          <w:rFonts w:hint="eastAsia" w:ascii="宋体" w:hAnsi="宋体" w:cs="宋体"/>
          <w:b/>
          <w:color w:val="auto"/>
          <w:sz w:val="21"/>
          <w:szCs w:val="21"/>
          <w:u w:val="single"/>
          <w:lang w:val="zh-CN" w:eastAsia="zh-CN"/>
        </w:rPr>
        <w:t>）。</w:t>
      </w:r>
    </w:p>
    <w:p w14:paraId="19252E51">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招标代理费的收取标准：</w:t>
      </w:r>
    </w:p>
    <w:tbl>
      <w:tblPr>
        <w:tblStyle w:val="22"/>
        <w:tblW w:w="8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384"/>
        <w:gridCol w:w="2328"/>
      </w:tblGrid>
      <w:tr w14:paraId="4B4F7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9" w:hRule="atLeast"/>
          <w:jc w:val="center"/>
        </w:trPr>
        <w:tc>
          <w:tcPr>
            <w:tcW w:w="6384" w:type="dxa"/>
            <w:tcBorders>
              <w:tl2br w:val="single" w:color="auto" w:sz="4" w:space="0"/>
            </w:tcBorders>
            <w:noWrap w:val="0"/>
            <w:tcMar>
              <w:top w:w="30" w:type="dxa"/>
              <w:left w:w="150" w:type="dxa"/>
              <w:bottom w:w="30" w:type="dxa"/>
              <w:right w:w="150" w:type="dxa"/>
            </w:tcMar>
            <w:vAlign w:val="center"/>
          </w:tcPr>
          <w:p w14:paraId="1A085B15">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 xml:space="preserve">             </w:t>
            </w:r>
            <w:r>
              <w:rPr>
                <w:rFonts w:hint="eastAsia" w:ascii="宋体" w:hAnsi="宋体" w:cs="宋体"/>
                <w:color w:val="auto"/>
                <w:sz w:val="21"/>
                <w:szCs w:val="21"/>
                <w:lang w:val="en-US" w:eastAsia="zh-CN"/>
              </w:rPr>
              <w:t xml:space="preserve">             </w:t>
            </w:r>
            <w:r>
              <w:rPr>
                <w:rFonts w:hint="eastAsia" w:ascii="宋体" w:hAnsi="宋体" w:cs="宋体"/>
                <w:color w:val="auto"/>
                <w:sz w:val="21"/>
                <w:szCs w:val="21"/>
                <w:lang w:eastAsia="zh-CN"/>
              </w:rPr>
              <w:t>服务费率类型</w:t>
            </w:r>
          </w:p>
          <w:p w14:paraId="6EBC220A">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中标金额（万元）</w:t>
            </w:r>
          </w:p>
        </w:tc>
        <w:tc>
          <w:tcPr>
            <w:tcW w:w="2328" w:type="dxa"/>
            <w:noWrap w:val="0"/>
            <w:tcMar>
              <w:top w:w="30" w:type="dxa"/>
              <w:left w:w="150" w:type="dxa"/>
              <w:bottom w:w="30" w:type="dxa"/>
              <w:right w:w="150" w:type="dxa"/>
            </w:tcMar>
            <w:vAlign w:val="center"/>
          </w:tcPr>
          <w:p w14:paraId="514AB8C2">
            <w:pPr>
              <w:keepNext w:val="0"/>
              <w:keepLines w:val="0"/>
              <w:pageBreakBefore w:val="0"/>
              <w:kinsoku/>
              <w:wordWrap/>
              <w:overflowPunct/>
              <w:topLinePunct w:val="0"/>
              <w:autoSpaceDE/>
              <w:autoSpaceDN/>
              <w:bidi w:val="0"/>
              <w:adjustRightInd/>
              <w:snapToGrid w:val="0"/>
              <w:spacing w:line="440" w:lineRule="exact"/>
              <w:jc w:val="center"/>
              <w:textAlignment w:val="auto"/>
              <w:rPr>
                <w:rFonts w:hint="eastAsia" w:ascii="宋体" w:hAnsi="宋体" w:cs="宋体"/>
                <w:color w:val="auto"/>
                <w:sz w:val="21"/>
                <w:szCs w:val="21"/>
              </w:rPr>
            </w:pPr>
            <w:r>
              <w:rPr>
                <w:rFonts w:hint="eastAsia" w:ascii="宋体" w:hAnsi="宋体" w:cs="宋体"/>
                <w:color w:val="auto"/>
                <w:sz w:val="21"/>
                <w:szCs w:val="21"/>
                <w:lang w:val="en-US" w:eastAsia="zh-CN"/>
              </w:rPr>
              <w:t>服务</w:t>
            </w:r>
            <w:r>
              <w:rPr>
                <w:rFonts w:hint="eastAsia" w:ascii="宋体" w:hAnsi="宋体" w:cs="宋体"/>
                <w:color w:val="auto"/>
                <w:sz w:val="21"/>
                <w:szCs w:val="21"/>
              </w:rPr>
              <w:t>招标</w:t>
            </w:r>
          </w:p>
        </w:tc>
      </w:tr>
      <w:tr w14:paraId="1B205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5" w:hRule="atLeast"/>
          <w:jc w:val="center"/>
        </w:trPr>
        <w:tc>
          <w:tcPr>
            <w:tcW w:w="6384" w:type="dxa"/>
            <w:noWrap w:val="0"/>
            <w:tcMar>
              <w:top w:w="30" w:type="dxa"/>
              <w:left w:w="150" w:type="dxa"/>
              <w:bottom w:w="30" w:type="dxa"/>
              <w:right w:w="150" w:type="dxa"/>
            </w:tcMar>
            <w:vAlign w:val="center"/>
          </w:tcPr>
          <w:p w14:paraId="78D7E45B">
            <w:pPr>
              <w:keepNext w:val="0"/>
              <w:keepLines w:val="0"/>
              <w:pageBreakBefore w:val="0"/>
              <w:kinsoku/>
              <w:wordWrap/>
              <w:overflowPunct/>
              <w:topLinePunct w:val="0"/>
              <w:autoSpaceDE/>
              <w:autoSpaceDN/>
              <w:bidi w:val="0"/>
              <w:adjustRightInd/>
              <w:snapToGrid w:val="0"/>
              <w:spacing w:line="440" w:lineRule="exact"/>
              <w:jc w:val="center"/>
              <w:textAlignment w:val="auto"/>
              <w:rPr>
                <w:rFonts w:hint="eastAsia" w:ascii="宋体" w:hAnsi="宋体" w:cs="宋体"/>
                <w:color w:val="auto"/>
                <w:sz w:val="21"/>
                <w:szCs w:val="21"/>
              </w:rPr>
            </w:pPr>
            <w:r>
              <w:rPr>
                <w:rFonts w:hint="eastAsia" w:ascii="宋体" w:hAnsi="宋体" w:cs="宋体"/>
                <w:color w:val="auto"/>
                <w:sz w:val="21"/>
                <w:szCs w:val="21"/>
              </w:rPr>
              <w:t>100以下</w:t>
            </w:r>
          </w:p>
        </w:tc>
        <w:tc>
          <w:tcPr>
            <w:tcW w:w="2328" w:type="dxa"/>
            <w:noWrap w:val="0"/>
            <w:tcMar>
              <w:top w:w="30" w:type="dxa"/>
              <w:left w:w="150" w:type="dxa"/>
              <w:bottom w:w="30" w:type="dxa"/>
              <w:right w:w="150" w:type="dxa"/>
            </w:tcMar>
            <w:vAlign w:val="center"/>
          </w:tcPr>
          <w:p w14:paraId="077190AC">
            <w:pPr>
              <w:keepNext w:val="0"/>
              <w:keepLines w:val="0"/>
              <w:pageBreakBefore w:val="0"/>
              <w:kinsoku/>
              <w:wordWrap/>
              <w:overflowPunct/>
              <w:topLinePunct w:val="0"/>
              <w:autoSpaceDE/>
              <w:autoSpaceDN/>
              <w:bidi w:val="0"/>
              <w:adjustRightInd/>
              <w:snapToGrid w:val="0"/>
              <w:spacing w:line="440" w:lineRule="exact"/>
              <w:jc w:val="center"/>
              <w:textAlignment w:val="auto"/>
              <w:rPr>
                <w:rFonts w:hint="eastAsia" w:ascii="宋体" w:hAnsi="宋体" w:cs="宋体"/>
                <w:color w:val="auto"/>
                <w:sz w:val="21"/>
                <w:szCs w:val="21"/>
              </w:rPr>
            </w:pPr>
            <w:r>
              <w:rPr>
                <w:rFonts w:hint="eastAsia" w:ascii="宋体" w:hAnsi="宋体" w:cs="宋体"/>
                <w:color w:val="auto"/>
                <w:sz w:val="21"/>
                <w:szCs w:val="21"/>
              </w:rPr>
              <w:t>1.5%</w:t>
            </w:r>
          </w:p>
        </w:tc>
      </w:tr>
      <w:tr w14:paraId="68466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5" w:hRule="atLeast"/>
          <w:jc w:val="center"/>
        </w:trPr>
        <w:tc>
          <w:tcPr>
            <w:tcW w:w="6384" w:type="dxa"/>
            <w:noWrap w:val="0"/>
            <w:tcMar>
              <w:top w:w="30" w:type="dxa"/>
              <w:left w:w="150" w:type="dxa"/>
              <w:bottom w:w="30" w:type="dxa"/>
              <w:right w:w="150" w:type="dxa"/>
            </w:tcMar>
            <w:vAlign w:val="center"/>
          </w:tcPr>
          <w:p w14:paraId="622A5E52">
            <w:pPr>
              <w:keepNext w:val="0"/>
              <w:keepLines w:val="0"/>
              <w:pageBreakBefore w:val="0"/>
              <w:kinsoku/>
              <w:wordWrap/>
              <w:overflowPunct/>
              <w:topLinePunct w:val="0"/>
              <w:autoSpaceDE/>
              <w:autoSpaceDN/>
              <w:bidi w:val="0"/>
              <w:adjustRightInd/>
              <w:snapToGrid w:val="0"/>
              <w:spacing w:line="440" w:lineRule="exact"/>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100-500</w:t>
            </w:r>
          </w:p>
        </w:tc>
        <w:tc>
          <w:tcPr>
            <w:tcW w:w="2328" w:type="dxa"/>
            <w:noWrap w:val="0"/>
            <w:tcMar>
              <w:top w:w="30" w:type="dxa"/>
              <w:left w:w="150" w:type="dxa"/>
              <w:bottom w:w="30" w:type="dxa"/>
              <w:right w:w="150" w:type="dxa"/>
            </w:tcMar>
            <w:vAlign w:val="center"/>
          </w:tcPr>
          <w:p w14:paraId="033E5C63">
            <w:pPr>
              <w:keepNext w:val="0"/>
              <w:keepLines w:val="0"/>
              <w:pageBreakBefore w:val="0"/>
              <w:kinsoku/>
              <w:wordWrap/>
              <w:overflowPunct/>
              <w:topLinePunct w:val="0"/>
              <w:autoSpaceDE/>
              <w:autoSpaceDN/>
              <w:bidi w:val="0"/>
              <w:adjustRightInd/>
              <w:snapToGrid w:val="0"/>
              <w:spacing w:line="440" w:lineRule="exact"/>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0.8%</w:t>
            </w:r>
          </w:p>
        </w:tc>
      </w:tr>
    </w:tbl>
    <w:p w14:paraId="351FE11F">
      <w:pPr>
        <w:keepNext w:val="0"/>
        <w:keepLines w:val="0"/>
        <w:pageBreakBefore w:val="0"/>
        <w:kinsoku/>
        <w:wordWrap/>
        <w:overflowPunct/>
        <w:topLinePunct w:val="0"/>
        <w:autoSpaceDE/>
        <w:autoSpaceDN/>
        <w:bidi w:val="0"/>
        <w:adjustRightInd/>
        <w:spacing w:line="440" w:lineRule="exact"/>
        <w:ind w:firstLine="411" w:firstLineChars="196"/>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开户名称：欧邦工程管理集团有限公司开化分公司</w:t>
      </w:r>
    </w:p>
    <w:p w14:paraId="15792728">
      <w:pPr>
        <w:keepNext w:val="0"/>
        <w:keepLines w:val="0"/>
        <w:pageBreakBefore w:val="0"/>
        <w:kinsoku/>
        <w:wordWrap/>
        <w:overflowPunct/>
        <w:topLinePunct w:val="0"/>
        <w:autoSpaceDE/>
        <w:autoSpaceDN/>
        <w:bidi w:val="0"/>
        <w:adjustRightInd/>
        <w:spacing w:line="440" w:lineRule="exact"/>
        <w:ind w:firstLine="411" w:firstLineChars="196"/>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开户银行：浙江开化农村商业银行股份有限公司</w:t>
      </w:r>
    </w:p>
    <w:p w14:paraId="4E161648">
      <w:pPr>
        <w:keepNext w:val="0"/>
        <w:keepLines w:val="0"/>
        <w:pageBreakBefore w:val="0"/>
        <w:kinsoku/>
        <w:wordWrap/>
        <w:overflowPunct/>
        <w:topLinePunct w:val="0"/>
        <w:autoSpaceDE/>
        <w:autoSpaceDN/>
        <w:bidi w:val="0"/>
        <w:adjustRightInd/>
        <w:spacing w:line="440" w:lineRule="exact"/>
        <w:ind w:firstLine="411" w:firstLineChars="196"/>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 xml:space="preserve">账   号：201000176434293 </w:t>
      </w:r>
    </w:p>
    <w:p w14:paraId="44755D87">
      <w:pPr>
        <w:keepNext w:val="0"/>
        <w:keepLines w:val="0"/>
        <w:pageBreakBefore w:val="0"/>
        <w:kinsoku/>
        <w:wordWrap/>
        <w:overflowPunct/>
        <w:topLinePunct w:val="0"/>
        <w:autoSpaceDE/>
        <w:autoSpaceDN/>
        <w:bidi w:val="0"/>
        <w:adjustRightInd/>
        <w:spacing w:line="440" w:lineRule="exact"/>
        <w:ind w:firstLine="411" w:firstLineChars="196"/>
        <w:textAlignment w:val="auto"/>
        <w:rPr>
          <w:rFonts w:hint="eastAsia" w:ascii="宋体" w:hAnsi="宋体" w:cs="宋体"/>
          <w:b/>
          <w:bCs/>
          <w:color w:val="auto"/>
          <w:sz w:val="21"/>
          <w:szCs w:val="21"/>
          <w:lang w:eastAsia="zh-CN"/>
        </w:rPr>
      </w:pPr>
      <w:r>
        <w:rPr>
          <w:rFonts w:hint="eastAsia" w:ascii="宋体" w:hAnsi="宋体" w:cs="宋体"/>
          <w:color w:val="auto"/>
          <w:sz w:val="21"/>
          <w:szCs w:val="21"/>
          <w:lang w:eastAsia="zh-CN"/>
        </w:rPr>
        <w:t>税    号：91330824MA29T2Y09T</w:t>
      </w:r>
    </w:p>
    <w:p w14:paraId="30D811D2">
      <w:pPr>
        <w:keepLines w:val="0"/>
        <w:pageBreakBefore w:val="0"/>
        <w:kinsoku/>
        <w:wordWrap/>
        <w:overflowPunct/>
        <w:topLinePunct w:val="0"/>
        <w:bidi w:val="0"/>
        <w:spacing w:line="440" w:lineRule="exact"/>
        <w:ind w:firstLine="413" w:firstLineChars="196"/>
        <w:jc w:val="left"/>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▲4.投标委托</w:t>
      </w:r>
    </w:p>
    <w:p w14:paraId="666B8298">
      <w:pPr>
        <w:keepLines w:val="0"/>
        <w:pageBreakBefore w:val="0"/>
        <w:kinsoku/>
        <w:wordWrap/>
        <w:overflowPunct/>
        <w:topLinePunct w:val="0"/>
        <w:bidi w:val="0"/>
        <w:snapToGrid w:val="0"/>
        <w:spacing w:line="440" w:lineRule="exact"/>
        <w:ind w:firstLine="411" w:firstLineChars="196"/>
        <w:textAlignment w:val="auto"/>
        <w:rPr>
          <w:rFonts w:hint="eastAsia" w:ascii="宋体" w:hAnsi="宋体" w:cs="宋体"/>
          <w:color w:val="auto"/>
          <w:szCs w:val="21"/>
          <w:highlight w:val="none"/>
        </w:rPr>
      </w:pPr>
      <w:r>
        <w:rPr>
          <w:rFonts w:hint="eastAsia" w:ascii="宋体" w:hAnsi="宋体" w:cs="宋体"/>
          <w:color w:val="auto"/>
          <w:szCs w:val="21"/>
          <w:highlight w:val="none"/>
        </w:rPr>
        <w:t>投标人代表无须出席开标现场，电子投标文件中的授权委托书须加盖单位公章。</w:t>
      </w:r>
    </w:p>
    <w:p w14:paraId="6111D916">
      <w:pPr>
        <w:keepLines w:val="0"/>
        <w:pageBreakBefore w:val="0"/>
        <w:kinsoku/>
        <w:wordWrap/>
        <w:overflowPunct/>
        <w:topLinePunct w:val="0"/>
        <w:bidi w:val="0"/>
        <w:spacing w:line="440" w:lineRule="exact"/>
        <w:ind w:firstLine="413" w:firstLineChars="196"/>
        <w:jc w:val="left"/>
        <w:textAlignment w:val="auto"/>
        <w:rPr>
          <w:rFonts w:hint="eastAsia" w:ascii="宋体" w:hAnsi="宋体" w:cs="宋体"/>
          <w:b/>
          <w:color w:val="auto"/>
          <w:szCs w:val="21"/>
          <w:highlight w:val="none"/>
        </w:rPr>
      </w:pPr>
      <w:r>
        <w:rPr>
          <w:rFonts w:hint="eastAsia" w:ascii="宋体" w:hAnsi="宋体" w:cs="宋体"/>
          <w:b/>
          <w:color w:val="auto"/>
          <w:szCs w:val="21"/>
          <w:highlight w:val="none"/>
        </w:rPr>
        <w:t>5.关于中小企业参与政府采购活动的规定</w:t>
      </w:r>
    </w:p>
    <w:p w14:paraId="4506448B">
      <w:pPr>
        <w:keepLines w:val="0"/>
        <w:pageBreakBefore w:val="0"/>
        <w:kinsoku/>
        <w:wordWrap/>
        <w:overflowPunct/>
        <w:topLinePunct w:val="0"/>
        <w:bidi w:val="0"/>
        <w:snapToGrid w:val="0"/>
        <w:spacing w:line="44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5.1根据《中小企业划型标准规定》（工信部联企业〔2011〕300号）、《政府采购促进中小企业发展管理办法》（财库〔2020〕46号）的有关规定，《政府采购促进中小企业发展管理办法》所称中小企业（含中型、小型、微型企业，下同）应当同时符合以下条件：</w:t>
      </w:r>
    </w:p>
    <w:p w14:paraId="3292EA1E">
      <w:pPr>
        <w:keepLines w:val="0"/>
        <w:pageBreakBefore w:val="0"/>
        <w:kinsoku/>
        <w:wordWrap/>
        <w:overflowPunct/>
        <w:topLinePunct w:val="0"/>
        <w:bidi w:val="0"/>
        <w:snapToGrid w:val="0"/>
        <w:spacing w:line="44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（一）在货物采购项目中，货物由中小企业制造，即货物由中小企业生产且使用该中小企业商号或者注册商标；</w:t>
      </w:r>
    </w:p>
    <w:p w14:paraId="74227E42">
      <w:pPr>
        <w:keepLines w:val="0"/>
        <w:pageBreakBefore w:val="0"/>
        <w:kinsoku/>
        <w:wordWrap/>
        <w:overflowPunct/>
        <w:topLinePunct w:val="0"/>
        <w:bidi w:val="0"/>
        <w:snapToGrid w:val="0"/>
        <w:spacing w:line="44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（二）在工程采购项目中，工程由中小企业承建，即工程施工单位为中小企业；</w:t>
      </w:r>
    </w:p>
    <w:p w14:paraId="2011D4EA">
      <w:pPr>
        <w:keepLines w:val="0"/>
        <w:pageBreakBefore w:val="0"/>
        <w:kinsoku/>
        <w:wordWrap/>
        <w:overflowPunct/>
        <w:topLinePunct w:val="0"/>
        <w:bidi w:val="0"/>
        <w:snapToGrid w:val="0"/>
        <w:spacing w:line="44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（三）在服务采购项目中，服务由中小企业承接，即提供服务的人员为中小企业依照《中华人民共和国劳动合同法》订立劳动合同的从业人员。</w:t>
      </w:r>
    </w:p>
    <w:p w14:paraId="72BE3F70">
      <w:pPr>
        <w:keepLines w:val="0"/>
        <w:pageBreakBefore w:val="0"/>
        <w:kinsoku/>
        <w:wordWrap/>
        <w:overflowPunct/>
        <w:topLinePunct w:val="0"/>
        <w:bidi w:val="0"/>
        <w:snapToGrid w:val="0"/>
        <w:spacing w:line="44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在货物采购项目中，供应商提供的货物既有中小企业制造货物，也有大型企业制造货物的，不享受本办法规定的中小企业扶持政策。</w:t>
      </w:r>
    </w:p>
    <w:p w14:paraId="3B429BBB">
      <w:pPr>
        <w:keepLines w:val="0"/>
        <w:pageBreakBefore w:val="0"/>
        <w:kinsoku/>
        <w:wordWrap/>
        <w:overflowPunct/>
        <w:topLinePunct w:val="0"/>
        <w:bidi w:val="0"/>
        <w:snapToGrid w:val="0"/>
        <w:spacing w:line="44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 w:val="21"/>
          <w:szCs w:val="21"/>
          <w:lang w:eastAsia="zh-CN"/>
        </w:rPr>
        <w:t>以联合体形式参加政府采购活动，联合体各方均为中小企业的，联合体视同中小企业。其中，联合体各方均为小微企业的，联合体视同小微企业。</w:t>
      </w:r>
    </w:p>
    <w:p w14:paraId="42E22CE6">
      <w:pPr>
        <w:keepLines w:val="0"/>
        <w:pageBreakBefore w:val="0"/>
        <w:kinsoku/>
        <w:wordWrap/>
        <w:overflowPunct/>
        <w:topLinePunct w:val="0"/>
        <w:bidi w:val="0"/>
        <w:snapToGrid w:val="0"/>
        <w:spacing w:line="44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5.2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14:paraId="09731869">
      <w:pPr>
        <w:keepLines w:val="0"/>
        <w:pageBreakBefore w:val="0"/>
        <w:kinsoku/>
        <w:wordWrap/>
        <w:overflowPunct/>
        <w:topLinePunct w:val="0"/>
        <w:bidi w:val="0"/>
        <w:snapToGrid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5.3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14:paraId="5AFEC9C9">
      <w:pPr>
        <w:keepLines w:val="0"/>
        <w:pageBreakBefore w:val="0"/>
        <w:kinsoku/>
        <w:wordWrap/>
        <w:overflowPunct/>
        <w:topLinePunct w:val="0"/>
        <w:bidi w:val="0"/>
        <w:snapToGrid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5.4小型、微型企业参加投标时，应提供《中小企业声明函》；监狱或戒毒企业参加投标时应提供《省级以上监狱管理局、戒毒管理局（含新疆生产建设兵团）出具的属于监狱企业的证明文件》；残疾人福利性单位参加投标时应提供残疾人福利性单位声明函。</w:t>
      </w:r>
    </w:p>
    <w:p w14:paraId="1DB9D6E2">
      <w:pPr>
        <w:keepNext w:val="0"/>
        <w:keepLines w:val="0"/>
        <w:pageBreakBefore w:val="0"/>
        <w:kinsoku/>
        <w:wordWrap/>
        <w:overflowPunct/>
        <w:topLinePunct w:val="0"/>
        <w:autoSpaceDE/>
        <w:autoSpaceDN/>
        <w:bidi w:val="0"/>
        <w:snapToGrid w:val="0"/>
        <w:spacing w:line="440" w:lineRule="exact"/>
        <w:ind w:firstLine="420" w:firstLineChars="200"/>
        <w:textAlignment w:val="auto"/>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lang w:eastAsia="zh-CN"/>
        </w:rPr>
        <w:t>5.5</w:t>
      </w:r>
      <w:r>
        <w:rPr>
          <w:rFonts w:hint="eastAsia" w:ascii="宋体" w:hAnsi="宋体" w:cs="宋体"/>
          <w:b w:val="0"/>
          <w:bCs w:val="0"/>
          <w:color w:val="auto"/>
          <w:kern w:val="2"/>
          <w:sz w:val="21"/>
          <w:szCs w:val="21"/>
          <w:lang w:eastAsia="zh-CN" w:bidi="ar"/>
        </w:rPr>
        <w:t>专门面向中小企业采购的标项，不再执行价格评审优惠的扶持政策。</w:t>
      </w:r>
    </w:p>
    <w:p w14:paraId="3E3B30C3">
      <w:pPr>
        <w:keepNext w:val="0"/>
        <w:keepLines w:val="0"/>
        <w:pageBreakBefore w:val="0"/>
        <w:kinsoku/>
        <w:wordWrap/>
        <w:overflowPunct/>
        <w:topLinePunct w:val="0"/>
        <w:autoSpaceDE/>
        <w:autoSpaceDN/>
        <w:bidi w:val="0"/>
        <w:snapToGrid w:val="0"/>
        <w:spacing w:line="440" w:lineRule="exact"/>
        <w:ind w:firstLine="211" w:firstLineChars="100"/>
        <w:textAlignment w:val="auto"/>
        <w:rPr>
          <w:rFonts w:hint="eastAsia" w:ascii="宋体" w:hAnsi="宋体" w:cs="宋体"/>
          <w:b/>
          <w:bCs/>
          <w:color w:val="auto"/>
          <w:sz w:val="21"/>
          <w:szCs w:val="21"/>
          <w:highlight w:val="none"/>
          <w:lang w:eastAsia="zh-CN"/>
        </w:rPr>
      </w:pPr>
      <w:r>
        <w:rPr>
          <w:rFonts w:hint="eastAsia" w:ascii="宋体" w:hAnsi="宋体" w:cs="宋体"/>
          <w:b/>
          <w:bCs/>
          <w:color w:val="auto"/>
          <w:sz w:val="21"/>
          <w:szCs w:val="21"/>
          <w:highlight w:val="none"/>
          <w:lang w:eastAsia="zh-CN"/>
        </w:rPr>
        <w:t>▲5.6本项目专门面向中小企业采购，符合条件但不提供以上材料（中小企业声明函或残疾人福利性单位声明函或监狱企业的证明文件）的投标人作为投标无效处理。</w:t>
      </w:r>
    </w:p>
    <w:p w14:paraId="36A28324">
      <w:pPr>
        <w:keepLines w:val="0"/>
        <w:pageBreakBefore w:val="0"/>
        <w:kinsoku/>
        <w:wordWrap/>
        <w:overflowPunct/>
        <w:topLinePunct w:val="0"/>
        <w:bidi w:val="0"/>
        <w:spacing w:line="440" w:lineRule="exact"/>
        <w:ind w:firstLine="207" w:firstLineChars="98"/>
        <w:jc w:val="left"/>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▲6.特别说明</w:t>
      </w:r>
    </w:p>
    <w:p w14:paraId="2E2769F5">
      <w:pPr>
        <w:keepLines w:val="0"/>
        <w:pageBreakBefore w:val="0"/>
        <w:kinsoku/>
        <w:wordWrap/>
        <w:overflowPunct/>
        <w:topLinePunct w:val="0"/>
        <w:bidi w:val="0"/>
        <w:snapToGrid w:val="0"/>
        <w:spacing w:line="44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6.1供应商所使用的资格、信誉、荣誉、业绩与企业认证必须为本法人所拥有(且在有效期内)。</w:t>
      </w:r>
    </w:p>
    <w:p w14:paraId="6240753E">
      <w:pPr>
        <w:pStyle w:val="18"/>
        <w:keepLines w:val="0"/>
        <w:pageBreakBefore w:val="0"/>
        <w:widowControl w:val="0"/>
        <w:kinsoku/>
        <w:wordWrap/>
        <w:overflowPunct/>
        <w:topLinePunct w:val="0"/>
        <w:bidi w:val="0"/>
        <w:spacing w:beforeAutospacing="0" w:afterAutospacing="0" w:line="44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6.2投标人应仔细阅读招标文件的所有内容，按照招标文件的要求提交投标文件，并对所提供的全部资料的真实性承担法律责任。</w:t>
      </w:r>
    </w:p>
    <w:p w14:paraId="21E50EE5">
      <w:pPr>
        <w:pStyle w:val="18"/>
        <w:keepLines w:val="0"/>
        <w:pageBreakBefore w:val="0"/>
        <w:widowControl w:val="0"/>
        <w:kinsoku/>
        <w:wordWrap/>
        <w:overflowPunct/>
        <w:topLinePunct w:val="0"/>
        <w:bidi w:val="0"/>
        <w:spacing w:beforeAutospacing="0" w:afterAutospacing="0" w:line="44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6.3招标文件中如有描述歧义或前后不一致的地方，评标委员会有权按公平、合理的原则进行评判，但对同一条款的评判适用于每个投标人。</w:t>
      </w:r>
    </w:p>
    <w:p w14:paraId="7D77B5D0">
      <w:pPr>
        <w:pStyle w:val="18"/>
        <w:keepLines w:val="0"/>
        <w:pageBreakBefore w:val="0"/>
        <w:widowControl w:val="0"/>
        <w:kinsoku/>
        <w:wordWrap/>
        <w:overflowPunct/>
        <w:topLinePunct w:val="0"/>
        <w:bidi w:val="0"/>
        <w:spacing w:beforeAutospacing="0" w:afterAutospacing="0" w:line="440" w:lineRule="exact"/>
        <w:ind w:firstLine="420" w:firstLineChars="200"/>
        <w:textAlignment w:val="auto"/>
        <w:rPr>
          <w:rFonts w:hint="eastAsia" w:ascii="宋体" w:hAnsi="宋体" w:cs="宋体"/>
          <w:b/>
          <w:color w:val="auto"/>
          <w:sz w:val="21"/>
          <w:szCs w:val="21"/>
          <w:highlight w:val="none"/>
        </w:rPr>
      </w:pPr>
      <w:r>
        <w:rPr>
          <w:rFonts w:hint="eastAsia" w:ascii="宋体" w:hAnsi="宋体" w:cs="宋体"/>
          <w:color w:val="auto"/>
          <w:sz w:val="21"/>
          <w:szCs w:val="21"/>
          <w:highlight w:val="none"/>
        </w:rPr>
        <w:t>6.4投标文件对实质性条款必须做出承诺并能响应或优于招标文件的规定。投标文件的响应内容必须真实、明确、准确。否则，评标委员会将对其作出不利的评审。</w:t>
      </w:r>
    </w:p>
    <w:p w14:paraId="02A8680F">
      <w:pPr>
        <w:keepLines w:val="0"/>
        <w:pageBreakBefore w:val="0"/>
        <w:kinsoku/>
        <w:wordWrap/>
        <w:overflowPunct/>
        <w:topLinePunct w:val="0"/>
        <w:bidi w:val="0"/>
        <w:spacing w:line="440" w:lineRule="exact"/>
        <w:ind w:firstLine="413" w:firstLineChars="196"/>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7.解释权 </w:t>
      </w:r>
    </w:p>
    <w:p w14:paraId="60F83754">
      <w:pPr>
        <w:keepLines w:val="0"/>
        <w:pageBreakBefore w:val="0"/>
        <w:kinsoku/>
        <w:wordWrap/>
        <w:overflowPunct/>
        <w:topLinePunct w:val="0"/>
        <w:bidi w:val="0"/>
        <w:spacing w:line="440" w:lineRule="exact"/>
        <w:ind w:firstLine="420" w:firstLineChars="200"/>
        <w:textAlignment w:val="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本招标文件的《采购需求》、《评审方法》解释权归采购人，其余部分归采购代理机构。</w:t>
      </w:r>
      <w:bookmarkStart w:id="33" w:name="_Toc333842546"/>
      <w:bookmarkStart w:id="34" w:name="_Toc358384690"/>
      <w:bookmarkStart w:id="35" w:name="_Toc326937532"/>
    </w:p>
    <w:p w14:paraId="2079AAD8">
      <w:pPr>
        <w:keepLines w:val="0"/>
        <w:pageBreakBefore w:val="0"/>
        <w:kinsoku/>
        <w:wordWrap/>
        <w:overflowPunct/>
        <w:topLinePunct w:val="0"/>
        <w:bidi w:val="0"/>
        <w:spacing w:line="440" w:lineRule="exact"/>
        <w:jc w:val="center"/>
        <w:textAlignment w:val="auto"/>
        <w:outlineLvl w:val="2"/>
        <w:rPr>
          <w:rFonts w:hint="eastAsia" w:ascii="宋体" w:hAnsi="宋体" w:cs="宋体"/>
          <w:b/>
          <w:bCs/>
          <w:color w:val="auto"/>
          <w:kern w:val="0"/>
          <w:sz w:val="28"/>
          <w:szCs w:val="28"/>
          <w:highlight w:val="none"/>
        </w:rPr>
      </w:pPr>
      <w:bookmarkStart w:id="36" w:name="_Toc393201709"/>
      <w:bookmarkStart w:id="37" w:name="_Toc433917262"/>
      <w:bookmarkStart w:id="38" w:name="_Toc6231"/>
      <w:r>
        <w:rPr>
          <w:rFonts w:hint="eastAsia" w:ascii="宋体" w:hAnsi="宋体" w:cs="宋体"/>
          <w:b/>
          <w:bCs/>
          <w:color w:val="auto"/>
          <w:kern w:val="0"/>
          <w:sz w:val="28"/>
          <w:szCs w:val="28"/>
          <w:highlight w:val="none"/>
        </w:rPr>
        <w:t>二、招标文件</w:t>
      </w:r>
      <w:bookmarkEnd w:id="33"/>
      <w:bookmarkEnd w:id="34"/>
      <w:bookmarkEnd w:id="35"/>
      <w:bookmarkEnd w:id="36"/>
      <w:bookmarkEnd w:id="37"/>
      <w:bookmarkEnd w:id="38"/>
    </w:p>
    <w:p w14:paraId="281A996C">
      <w:pPr>
        <w:keepLines w:val="0"/>
        <w:pageBreakBefore w:val="0"/>
        <w:kinsoku/>
        <w:wordWrap/>
        <w:overflowPunct/>
        <w:topLinePunct w:val="0"/>
        <w:bidi w:val="0"/>
        <w:spacing w:line="440" w:lineRule="exact"/>
        <w:ind w:firstLine="413" w:firstLineChars="196"/>
        <w:jc w:val="left"/>
        <w:textAlignment w:val="auto"/>
        <w:rPr>
          <w:rFonts w:hint="eastAsia" w:ascii="宋体" w:hAnsi="宋体" w:cs="宋体"/>
          <w:color w:val="auto"/>
          <w:kern w:val="0"/>
          <w:szCs w:val="21"/>
          <w:highlight w:val="none"/>
        </w:rPr>
      </w:pPr>
      <w:r>
        <w:rPr>
          <w:rFonts w:hint="eastAsia" w:ascii="宋体" w:hAnsi="宋体" w:cs="宋体"/>
          <w:b/>
          <w:bCs/>
          <w:color w:val="auto"/>
          <w:kern w:val="0"/>
          <w:szCs w:val="21"/>
          <w:highlight w:val="none"/>
        </w:rPr>
        <w:t>8.招标文件构成</w:t>
      </w:r>
    </w:p>
    <w:p w14:paraId="6B056FD8">
      <w:pPr>
        <w:keepLines w:val="0"/>
        <w:pageBreakBefore w:val="0"/>
        <w:kinsoku/>
        <w:wordWrap/>
        <w:overflowPunct/>
        <w:topLinePunct w:val="0"/>
        <w:bidi w:val="0"/>
        <w:spacing w:line="440" w:lineRule="exact"/>
        <w:ind w:firstLine="42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8.1 招标文件包括 </w:t>
      </w:r>
    </w:p>
    <w:p w14:paraId="6FD9844B">
      <w:pPr>
        <w:keepLines w:val="0"/>
        <w:pageBreakBefore w:val="0"/>
        <w:kinsoku/>
        <w:wordWrap/>
        <w:overflowPunct/>
        <w:topLinePunct w:val="0"/>
        <w:bidi w:val="0"/>
        <w:spacing w:line="440" w:lineRule="exact"/>
        <w:ind w:firstLine="42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第一章  招标公告</w:t>
      </w:r>
    </w:p>
    <w:p w14:paraId="10048270">
      <w:pPr>
        <w:keepLines w:val="0"/>
        <w:pageBreakBefore w:val="0"/>
        <w:kinsoku/>
        <w:wordWrap/>
        <w:overflowPunct/>
        <w:topLinePunct w:val="0"/>
        <w:bidi w:val="0"/>
        <w:spacing w:line="440" w:lineRule="exact"/>
        <w:ind w:firstLine="42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第二章  </w:t>
      </w:r>
      <w:r>
        <w:rPr>
          <w:rFonts w:hint="eastAsia" w:ascii="宋体" w:hAnsi="宋体" w:cs="宋体"/>
          <w:bCs/>
          <w:color w:val="auto"/>
          <w:kern w:val="0"/>
          <w:szCs w:val="21"/>
          <w:highlight w:val="none"/>
        </w:rPr>
        <w:t>投标人须知及前附表</w:t>
      </w:r>
    </w:p>
    <w:p w14:paraId="6EC6574D">
      <w:pPr>
        <w:keepLines w:val="0"/>
        <w:pageBreakBefore w:val="0"/>
        <w:kinsoku/>
        <w:wordWrap/>
        <w:overflowPunct/>
        <w:topLinePunct w:val="0"/>
        <w:bidi w:val="0"/>
        <w:spacing w:line="440" w:lineRule="exact"/>
        <w:ind w:firstLine="42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第三章  合同条款及前附表 </w:t>
      </w:r>
    </w:p>
    <w:p w14:paraId="5E0E5F10">
      <w:pPr>
        <w:keepLines w:val="0"/>
        <w:pageBreakBefore w:val="0"/>
        <w:kinsoku/>
        <w:wordWrap/>
        <w:overflowPunct/>
        <w:topLinePunct w:val="0"/>
        <w:bidi w:val="0"/>
        <w:spacing w:line="440" w:lineRule="exact"/>
        <w:ind w:firstLine="42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第四章  采购需求</w:t>
      </w:r>
    </w:p>
    <w:p w14:paraId="275FCEFD">
      <w:pPr>
        <w:keepLines w:val="0"/>
        <w:pageBreakBefore w:val="0"/>
        <w:kinsoku/>
        <w:wordWrap/>
        <w:overflowPunct/>
        <w:topLinePunct w:val="0"/>
        <w:bidi w:val="0"/>
        <w:spacing w:line="440" w:lineRule="exact"/>
        <w:ind w:firstLine="42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第五章  投标文件格式</w:t>
      </w:r>
    </w:p>
    <w:p w14:paraId="70F7FDEF">
      <w:pPr>
        <w:keepLines w:val="0"/>
        <w:pageBreakBefore w:val="0"/>
        <w:kinsoku/>
        <w:wordWrap/>
        <w:overflowPunct/>
        <w:topLinePunct w:val="0"/>
        <w:bidi w:val="0"/>
        <w:spacing w:line="440" w:lineRule="exact"/>
        <w:ind w:firstLine="42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8.2 投标人应认真阅读招标文件中所有的事项、格式、条款和规范等要求，从而对招标文件做出实质性的响应。如果没有按照招标文件的要求提交全部投标文件或资料，没有对招标文件作出实质性响应，其风险应当由投标人自行承担。</w:t>
      </w:r>
    </w:p>
    <w:p w14:paraId="578E2F96">
      <w:pPr>
        <w:keepLines w:val="0"/>
        <w:pageBreakBefore w:val="0"/>
        <w:kinsoku/>
        <w:wordWrap/>
        <w:overflowPunct/>
        <w:topLinePunct w:val="0"/>
        <w:bidi w:val="0"/>
        <w:spacing w:line="440" w:lineRule="exact"/>
        <w:ind w:firstLine="413" w:firstLineChars="196"/>
        <w:jc w:val="left"/>
        <w:textAlignment w:val="auto"/>
        <w:rPr>
          <w:rFonts w:hint="eastAsia" w:ascii="宋体" w:hAnsi="宋体" w:cs="宋体"/>
          <w:color w:val="auto"/>
          <w:kern w:val="0"/>
          <w:szCs w:val="21"/>
          <w:highlight w:val="none"/>
        </w:rPr>
      </w:pPr>
      <w:r>
        <w:rPr>
          <w:rFonts w:hint="eastAsia" w:ascii="宋体" w:hAnsi="宋体" w:cs="宋体"/>
          <w:b/>
          <w:bCs/>
          <w:color w:val="auto"/>
          <w:kern w:val="0"/>
          <w:szCs w:val="21"/>
          <w:highlight w:val="none"/>
        </w:rPr>
        <w:t>9.招标文件的修改、澄清</w:t>
      </w:r>
    </w:p>
    <w:p w14:paraId="316274D7">
      <w:pPr>
        <w:pStyle w:val="18"/>
        <w:keepLines w:val="0"/>
        <w:pageBreakBefore w:val="0"/>
        <w:widowControl w:val="0"/>
        <w:kinsoku/>
        <w:wordWrap/>
        <w:overflowPunct/>
        <w:topLinePunct w:val="0"/>
        <w:bidi w:val="0"/>
        <w:spacing w:beforeAutospacing="0" w:afterAutospacing="0" w:line="440" w:lineRule="exact"/>
        <w:ind w:firstLine="420" w:firstLineChars="200"/>
        <w:textAlignment w:val="auto"/>
        <w:rPr>
          <w:rFonts w:hint="eastAsia" w:ascii="宋体" w:hAnsi="宋体" w:cs="宋体"/>
          <w:color w:val="auto"/>
          <w:sz w:val="21"/>
          <w:szCs w:val="21"/>
          <w:highlight w:val="none"/>
        </w:rPr>
      </w:pPr>
      <w:bookmarkStart w:id="39" w:name="_Toc393201710"/>
      <w:bookmarkStart w:id="40" w:name="_Toc333842547"/>
      <w:bookmarkStart w:id="41" w:name="_Toc358384691"/>
      <w:bookmarkStart w:id="42" w:name="_Toc326937533"/>
      <w:r>
        <w:rPr>
          <w:rFonts w:hint="eastAsia" w:ascii="宋体" w:hAnsi="宋体" w:cs="宋体"/>
          <w:color w:val="auto"/>
          <w:sz w:val="21"/>
          <w:szCs w:val="21"/>
          <w:highlight w:val="none"/>
        </w:rPr>
        <w:t>9.1采购人或者采购代理机构可以对已发出的招标文件进行必要的澄清或者修改，但不得改变采购标的和资格条件。澄清或者修改应当在原公告发布媒体上发布澄清（更正）公告。澄清或者修改的内容为招标文件的组成部分。</w:t>
      </w:r>
    </w:p>
    <w:p w14:paraId="65FFBD3C">
      <w:pPr>
        <w:keepLines w:val="0"/>
        <w:pageBreakBefore w:val="0"/>
        <w:tabs>
          <w:tab w:val="left" w:pos="527"/>
        </w:tabs>
        <w:kinsoku/>
        <w:wordWrap/>
        <w:overflowPunct/>
        <w:topLinePunct w:val="0"/>
        <w:bidi w:val="0"/>
        <w:spacing w:line="44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9.2澄清或者修改的内容可能影响投标文件编制的，采购人或者采购代理机构应当在投标截止时间至少15日前(不足15日的，应当顺延提交投标文件的截止时间)。</w:t>
      </w:r>
    </w:p>
    <w:p w14:paraId="70310040">
      <w:pPr>
        <w:keepLines w:val="0"/>
        <w:pageBreakBefore w:val="0"/>
        <w:kinsoku/>
        <w:wordWrap/>
        <w:overflowPunct/>
        <w:topLinePunct w:val="0"/>
        <w:bidi w:val="0"/>
        <w:spacing w:line="44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9.3不论采购人向投标人发送的资料文件，还是投标人提出的问题，均采用信息发布网上公告形式，任何口头提问及答复一律无效。</w:t>
      </w:r>
    </w:p>
    <w:p w14:paraId="13B8A9FF">
      <w:pPr>
        <w:keepLines w:val="0"/>
        <w:pageBreakBefore w:val="0"/>
        <w:kinsoku/>
        <w:wordWrap/>
        <w:overflowPunct/>
        <w:topLinePunct w:val="0"/>
        <w:bidi w:val="0"/>
        <w:spacing w:line="440" w:lineRule="exact"/>
        <w:jc w:val="center"/>
        <w:textAlignment w:val="auto"/>
        <w:outlineLvl w:val="2"/>
        <w:rPr>
          <w:rFonts w:hint="eastAsia" w:ascii="宋体" w:hAnsi="宋体" w:cs="宋体"/>
          <w:b/>
          <w:bCs/>
          <w:color w:val="auto"/>
          <w:kern w:val="0"/>
          <w:sz w:val="28"/>
          <w:szCs w:val="28"/>
          <w:highlight w:val="none"/>
        </w:rPr>
      </w:pPr>
      <w:bookmarkStart w:id="43" w:name="_Toc433917263"/>
      <w:bookmarkStart w:id="44" w:name="_Toc27714"/>
      <w:r>
        <w:rPr>
          <w:rFonts w:hint="eastAsia" w:ascii="宋体" w:hAnsi="宋体" w:cs="宋体"/>
          <w:b/>
          <w:bCs/>
          <w:color w:val="auto"/>
          <w:kern w:val="0"/>
          <w:sz w:val="28"/>
          <w:szCs w:val="28"/>
          <w:highlight w:val="none"/>
        </w:rPr>
        <w:t>三、投标文件的编制</w:t>
      </w:r>
      <w:bookmarkEnd w:id="39"/>
      <w:bookmarkEnd w:id="40"/>
      <w:bookmarkEnd w:id="41"/>
      <w:bookmarkEnd w:id="42"/>
      <w:bookmarkEnd w:id="43"/>
      <w:bookmarkEnd w:id="44"/>
    </w:p>
    <w:p w14:paraId="152F004E">
      <w:pPr>
        <w:keepLines w:val="0"/>
        <w:pageBreakBefore w:val="0"/>
        <w:kinsoku/>
        <w:wordWrap/>
        <w:overflowPunct/>
        <w:topLinePunct w:val="0"/>
        <w:bidi w:val="0"/>
        <w:spacing w:line="440" w:lineRule="exact"/>
        <w:ind w:firstLine="422" w:firstLineChars="200"/>
        <w:jc w:val="left"/>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10.投标文件的构成</w:t>
      </w:r>
    </w:p>
    <w:p w14:paraId="474B8457">
      <w:pPr>
        <w:keepLines w:val="0"/>
        <w:pageBreakBefore w:val="0"/>
        <w:kinsoku/>
        <w:wordWrap/>
        <w:overflowPunct/>
        <w:topLinePunct w:val="0"/>
        <w:bidi w:val="0"/>
        <w:adjustRightInd w:val="0"/>
        <w:snapToGrid w:val="0"/>
        <w:spacing w:line="44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投标文件由资格证明文件、技术商务文件、报价文件三部分组成。</w:t>
      </w:r>
      <w:r>
        <w:rPr>
          <w:rFonts w:hint="eastAsia" w:ascii="宋体" w:hAnsi="宋体" w:cs="宋体"/>
          <w:bCs/>
          <w:color w:val="auto"/>
          <w:kern w:val="0"/>
          <w:szCs w:val="21"/>
          <w:highlight w:val="none"/>
        </w:rPr>
        <w:t>电子投标文件中须加盖公章部分均采用CA签章。</w:t>
      </w:r>
    </w:p>
    <w:p w14:paraId="0D20C852">
      <w:pPr>
        <w:keepLines w:val="0"/>
        <w:pageBreakBefore w:val="0"/>
        <w:kinsoku/>
        <w:wordWrap/>
        <w:overflowPunct/>
        <w:topLinePunct w:val="0"/>
        <w:bidi w:val="0"/>
        <w:spacing w:line="440" w:lineRule="exact"/>
        <w:ind w:firstLine="210" w:firstLineChars="100"/>
        <w:jc w:val="left"/>
        <w:textAlignment w:val="auto"/>
        <w:rPr>
          <w:rFonts w:hint="eastAsia" w:ascii="宋体" w:hAnsi="宋体" w:cs="宋体"/>
          <w:b/>
          <w:bCs/>
          <w:color w:val="auto"/>
          <w:kern w:val="0"/>
          <w:szCs w:val="21"/>
          <w:highlight w:val="none"/>
        </w:rPr>
      </w:pPr>
      <w:r>
        <w:rPr>
          <w:rFonts w:hint="eastAsia" w:ascii="宋体" w:hAnsi="宋体" w:cs="宋体"/>
          <w:color w:val="auto"/>
          <w:szCs w:val="21"/>
          <w:highlight w:val="none"/>
        </w:rPr>
        <w:t>▲</w:t>
      </w:r>
      <w:r>
        <w:rPr>
          <w:rFonts w:hint="eastAsia" w:ascii="宋体" w:hAnsi="宋体" w:cs="宋体"/>
          <w:b/>
          <w:bCs/>
          <w:color w:val="auto"/>
          <w:kern w:val="0"/>
          <w:szCs w:val="21"/>
          <w:highlight w:val="none"/>
        </w:rPr>
        <w:t>10.1资格证明文件</w:t>
      </w:r>
      <w:r>
        <w:rPr>
          <w:rFonts w:hint="eastAsia" w:ascii="宋体" w:hAnsi="宋体" w:cs="宋体"/>
          <w:b/>
          <w:bCs/>
          <w:color w:val="auto"/>
          <w:sz w:val="21"/>
          <w:szCs w:val="21"/>
          <w:lang w:eastAsia="zh-CN"/>
        </w:rPr>
        <w:t>（</w:t>
      </w:r>
      <w:r>
        <w:rPr>
          <w:rFonts w:hint="eastAsia" w:ascii="宋体" w:hAnsi="宋体" w:cs="宋体"/>
          <w:b/>
          <w:bCs/>
          <w:color w:val="auto"/>
          <w:sz w:val="21"/>
          <w:szCs w:val="21"/>
          <w:lang w:val="en-US" w:eastAsia="zh-CN"/>
        </w:rPr>
        <w:t>标项1、标项2</w:t>
      </w:r>
      <w:r>
        <w:rPr>
          <w:rFonts w:hint="eastAsia" w:ascii="宋体" w:hAnsi="宋体" w:cs="宋体"/>
          <w:b/>
          <w:bCs/>
          <w:color w:val="auto"/>
          <w:sz w:val="21"/>
          <w:szCs w:val="21"/>
          <w:lang w:eastAsia="zh-CN"/>
        </w:rPr>
        <w:t>）</w:t>
      </w:r>
    </w:p>
    <w:p w14:paraId="0D845AD1">
      <w:pPr>
        <w:keepLines w:val="0"/>
        <w:pageBreakBefore w:val="0"/>
        <w:kinsoku/>
        <w:wordWrap/>
        <w:overflowPunct/>
        <w:topLinePunct w:val="0"/>
        <w:bidi w:val="0"/>
        <w:spacing w:line="440" w:lineRule="exact"/>
        <w:ind w:firstLine="413" w:firstLineChars="197"/>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10.1.1包括但不限于以下内容：</w:t>
      </w:r>
    </w:p>
    <w:p w14:paraId="2AB87629">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（1）联合投标协议书（如有，格式附后）；</w:t>
      </w:r>
    </w:p>
    <w:p w14:paraId="0AC32FA6">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（2）联合投标授权委托书（如有，格式附后）；</w:t>
      </w:r>
    </w:p>
    <w:p w14:paraId="7B5BFA96">
      <w:pPr>
        <w:keepNext w:val="0"/>
        <w:keepLines w:val="0"/>
        <w:pageBreakBefore w:val="0"/>
        <w:widowControl w:val="0"/>
        <w:tabs>
          <w:tab w:val="center" w:pos="4715"/>
        </w:tabs>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）投标声明书（格式附后）；</w:t>
      </w:r>
    </w:p>
    <w:p w14:paraId="568C682F">
      <w:pPr>
        <w:keepLines w:val="0"/>
        <w:pageBreakBefore w:val="0"/>
        <w:numPr>
          <w:ilvl w:val="0"/>
          <w:numId w:val="0"/>
        </w:numPr>
        <w:kinsoku/>
        <w:wordWrap/>
        <w:overflowPunct/>
        <w:topLinePunct w:val="0"/>
        <w:bidi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eastAsia="宋体" w:cs="宋体"/>
          <w:color w:val="auto"/>
          <w:kern w:val="2"/>
          <w:sz w:val="21"/>
          <w:szCs w:val="21"/>
          <w:lang w:val="en-US" w:eastAsia="zh-CN" w:bidi="ar-SA"/>
        </w:rPr>
        <w:t>（</w:t>
      </w:r>
      <w:r>
        <w:rPr>
          <w:rFonts w:hint="eastAsia" w:ascii="宋体" w:hAnsi="宋体" w:cs="宋体"/>
          <w:color w:val="auto"/>
          <w:kern w:val="2"/>
          <w:sz w:val="21"/>
          <w:szCs w:val="21"/>
          <w:lang w:val="en-US" w:eastAsia="zh-CN" w:bidi="ar-SA"/>
        </w:rPr>
        <w:t>4</w:t>
      </w:r>
      <w:r>
        <w:rPr>
          <w:rFonts w:hint="eastAsia" w:ascii="宋体" w:hAnsi="宋体" w:eastAsia="宋体" w:cs="宋体"/>
          <w:color w:val="auto"/>
          <w:kern w:val="2"/>
          <w:sz w:val="21"/>
          <w:szCs w:val="21"/>
          <w:lang w:val="en-US" w:eastAsia="zh-CN" w:bidi="ar-SA"/>
        </w:rPr>
        <w:t>）</w:t>
      </w:r>
      <w:r>
        <w:rPr>
          <w:rFonts w:hint="eastAsia" w:ascii="宋体" w:hAnsi="宋体" w:cs="宋体"/>
          <w:color w:val="auto"/>
          <w:szCs w:val="21"/>
          <w:highlight w:val="none"/>
        </w:rPr>
        <w:t>符合参加政府采购活动应当具备的一般条件的承诺函（格式附后）；</w:t>
      </w:r>
    </w:p>
    <w:p w14:paraId="0EC58DC1">
      <w:pPr>
        <w:keepLines w:val="0"/>
        <w:pageBreakBefore w:val="0"/>
        <w:numPr>
          <w:ilvl w:val="0"/>
          <w:numId w:val="0"/>
        </w:numPr>
        <w:kinsoku/>
        <w:wordWrap/>
        <w:overflowPunct/>
        <w:topLinePunct w:val="0"/>
        <w:bidi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eastAsia="宋体" w:cs="宋体"/>
          <w:color w:val="auto"/>
          <w:kern w:val="2"/>
          <w:sz w:val="21"/>
          <w:szCs w:val="21"/>
          <w:lang w:val="en-US" w:eastAsia="zh-CN" w:bidi="ar-SA"/>
        </w:rPr>
        <w:t>（</w:t>
      </w:r>
      <w:r>
        <w:rPr>
          <w:rFonts w:hint="eastAsia" w:ascii="宋体" w:hAnsi="宋体" w:cs="宋体"/>
          <w:color w:val="auto"/>
          <w:kern w:val="2"/>
          <w:sz w:val="21"/>
          <w:szCs w:val="21"/>
          <w:lang w:val="en-US" w:eastAsia="zh-CN" w:bidi="ar-SA"/>
        </w:rPr>
        <w:t>5</w:t>
      </w:r>
      <w:r>
        <w:rPr>
          <w:rFonts w:hint="eastAsia" w:ascii="宋体" w:hAnsi="宋体" w:eastAsia="宋体" w:cs="宋体"/>
          <w:color w:val="auto"/>
          <w:kern w:val="2"/>
          <w:sz w:val="21"/>
          <w:szCs w:val="21"/>
          <w:lang w:val="en-US" w:eastAsia="zh-CN" w:bidi="ar-SA"/>
        </w:rPr>
        <w:t>）</w:t>
      </w:r>
      <w:r>
        <w:rPr>
          <w:rFonts w:hint="eastAsia" w:ascii="宋体" w:hAnsi="宋体" w:cs="宋体"/>
          <w:color w:val="auto"/>
          <w:szCs w:val="21"/>
          <w:highlight w:val="none"/>
        </w:rPr>
        <w:t>中小企业声明函（格式附后）</w:t>
      </w:r>
      <w:r>
        <w:rPr>
          <w:rFonts w:hint="eastAsia" w:ascii="宋体" w:hAnsi="宋体" w:cs="宋体"/>
          <w:color w:val="auto"/>
          <w:szCs w:val="21"/>
          <w:highlight w:val="none"/>
          <w:lang w:eastAsia="zh-CN"/>
        </w:rPr>
        <w:t>；</w:t>
      </w:r>
    </w:p>
    <w:p w14:paraId="1A19DE9D">
      <w:pPr>
        <w:keepLines w:val="0"/>
        <w:pageBreakBefore w:val="0"/>
        <w:numPr>
          <w:ilvl w:val="0"/>
          <w:numId w:val="0"/>
        </w:numPr>
        <w:kinsoku/>
        <w:wordWrap/>
        <w:overflowPunct/>
        <w:topLinePunct w:val="0"/>
        <w:bidi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eastAsia="宋体" w:cs="宋体"/>
          <w:color w:val="auto"/>
          <w:kern w:val="2"/>
          <w:sz w:val="21"/>
          <w:szCs w:val="21"/>
          <w:lang w:val="en-US" w:eastAsia="zh-CN" w:bidi="ar-SA"/>
        </w:rPr>
        <w:t>（</w:t>
      </w:r>
      <w:r>
        <w:rPr>
          <w:rFonts w:hint="eastAsia" w:ascii="宋体" w:hAnsi="宋体" w:cs="宋体"/>
          <w:color w:val="auto"/>
          <w:kern w:val="2"/>
          <w:sz w:val="21"/>
          <w:szCs w:val="21"/>
          <w:lang w:val="en-US" w:eastAsia="zh-CN" w:bidi="ar-SA"/>
        </w:rPr>
        <w:t>6</w:t>
      </w:r>
      <w:r>
        <w:rPr>
          <w:rFonts w:hint="eastAsia" w:ascii="宋体" w:hAnsi="宋体" w:eastAsia="宋体" w:cs="宋体"/>
          <w:color w:val="auto"/>
          <w:kern w:val="2"/>
          <w:sz w:val="21"/>
          <w:szCs w:val="21"/>
          <w:lang w:val="en-US" w:eastAsia="zh-CN" w:bidi="ar-SA"/>
        </w:rPr>
        <w:t>）</w:t>
      </w:r>
      <w:r>
        <w:rPr>
          <w:rFonts w:hint="eastAsia" w:ascii="宋体" w:hAnsi="宋体" w:cs="宋体"/>
          <w:color w:val="auto"/>
          <w:szCs w:val="21"/>
          <w:highlight w:val="none"/>
        </w:rPr>
        <w:t>残疾人福利性单位声明函（若有，格式附后）；</w:t>
      </w:r>
    </w:p>
    <w:p w14:paraId="449E1505">
      <w:pPr>
        <w:keepLines w:val="0"/>
        <w:pageBreakBefore w:val="0"/>
        <w:numPr>
          <w:ilvl w:val="0"/>
          <w:numId w:val="0"/>
        </w:numPr>
        <w:kinsoku/>
        <w:wordWrap/>
        <w:overflowPunct/>
        <w:topLinePunct w:val="0"/>
        <w:bidi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eastAsia="宋体" w:cs="宋体"/>
          <w:color w:val="auto"/>
          <w:kern w:val="2"/>
          <w:sz w:val="21"/>
          <w:szCs w:val="21"/>
          <w:lang w:val="en-US" w:eastAsia="zh-CN" w:bidi="ar-SA"/>
        </w:rPr>
        <w:t>（</w:t>
      </w:r>
      <w:r>
        <w:rPr>
          <w:rFonts w:hint="eastAsia" w:ascii="宋体" w:hAnsi="宋体" w:cs="宋体"/>
          <w:color w:val="auto"/>
          <w:kern w:val="2"/>
          <w:sz w:val="21"/>
          <w:szCs w:val="21"/>
          <w:lang w:val="en-US" w:eastAsia="zh-CN" w:bidi="ar-SA"/>
        </w:rPr>
        <w:t>7</w:t>
      </w:r>
      <w:r>
        <w:rPr>
          <w:rFonts w:hint="eastAsia" w:ascii="宋体" w:hAnsi="宋体" w:eastAsia="宋体" w:cs="宋体"/>
          <w:color w:val="auto"/>
          <w:kern w:val="2"/>
          <w:sz w:val="21"/>
          <w:szCs w:val="21"/>
          <w:lang w:val="en-US" w:eastAsia="zh-CN" w:bidi="ar-SA"/>
        </w:rPr>
        <w:t>）</w:t>
      </w:r>
      <w:r>
        <w:rPr>
          <w:rFonts w:hint="eastAsia" w:ascii="宋体" w:hAnsi="宋体" w:cs="宋体"/>
          <w:color w:val="auto"/>
          <w:szCs w:val="21"/>
          <w:highlight w:val="none"/>
        </w:rPr>
        <w:t>省级以上监狱管理局、戒毒管理局（含新疆生产建设兵团）出具的属于监狱企业的证明文件（若有）；</w:t>
      </w:r>
    </w:p>
    <w:p w14:paraId="72747C22">
      <w:pPr>
        <w:keepLines w:val="0"/>
        <w:pageBreakBefore w:val="0"/>
        <w:kinsoku/>
        <w:wordWrap/>
        <w:overflowPunct/>
        <w:topLinePunct w:val="0"/>
        <w:bidi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）法人或者其他组织的营业执照等证明文件；</w:t>
      </w:r>
    </w:p>
    <w:p w14:paraId="0A30EDDF">
      <w:pPr>
        <w:keepLines w:val="0"/>
        <w:pageBreakBefore w:val="0"/>
        <w:kinsoku/>
        <w:wordWrap/>
        <w:overflowPunct/>
        <w:topLinePunct w:val="0"/>
        <w:bidi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u w:val="none"/>
        </w:rPr>
        <w:t>（</w:t>
      </w:r>
      <w:r>
        <w:rPr>
          <w:rFonts w:hint="eastAsia" w:ascii="宋体" w:hAnsi="宋体" w:cs="宋体"/>
          <w:color w:val="auto"/>
          <w:szCs w:val="21"/>
          <w:highlight w:val="none"/>
          <w:u w:val="none"/>
          <w:lang w:val="en-US" w:eastAsia="zh-CN"/>
        </w:rPr>
        <w:t>9</w:t>
      </w:r>
      <w:r>
        <w:rPr>
          <w:rFonts w:hint="eastAsia" w:ascii="宋体" w:hAnsi="宋体" w:cs="宋体"/>
          <w:color w:val="auto"/>
          <w:szCs w:val="21"/>
          <w:highlight w:val="none"/>
          <w:u w:val="none"/>
        </w:rPr>
        <w:t>）</w:t>
      </w:r>
      <w:r>
        <w:rPr>
          <w:rFonts w:hint="eastAsia" w:ascii="宋体" w:hAnsi="宋体" w:eastAsia="宋体" w:cs="宋体"/>
          <w:color w:val="auto"/>
          <w:sz w:val="21"/>
          <w:szCs w:val="21"/>
          <w:highlight w:val="none"/>
          <w:lang w:val="zh-CN" w:eastAsia="zh-CN"/>
        </w:rPr>
        <w:t>本项目的特定资格要求证明材料</w:t>
      </w:r>
      <w:r>
        <w:rPr>
          <w:rFonts w:hint="eastAsia" w:ascii="宋体" w:hAnsi="宋体" w:cs="宋体"/>
          <w:color w:val="auto"/>
          <w:szCs w:val="21"/>
          <w:highlight w:val="none"/>
          <w:u w:val="none"/>
        </w:rPr>
        <w:t>；</w:t>
      </w:r>
    </w:p>
    <w:p w14:paraId="5285C679">
      <w:pPr>
        <w:keepLines w:val="0"/>
        <w:pageBreakBefore w:val="0"/>
        <w:kinsoku/>
        <w:wordWrap/>
        <w:overflowPunct/>
        <w:topLinePunct w:val="0"/>
        <w:bidi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）法定代表人身份证明及身份证（正、反面）（格式附后）；</w:t>
      </w:r>
    </w:p>
    <w:p w14:paraId="31B611C6">
      <w:pPr>
        <w:keepLines w:val="0"/>
        <w:pageBreakBefore w:val="0"/>
        <w:kinsoku/>
        <w:wordWrap/>
        <w:overflowPunct/>
        <w:topLinePunct w:val="0"/>
        <w:bidi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lang w:eastAsia="zh-CN"/>
        </w:rPr>
        <w:t>）</w:t>
      </w:r>
      <w:r>
        <w:rPr>
          <w:rFonts w:hint="eastAsia" w:ascii="宋体" w:hAnsi="宋体" w:cs="宋体"/>
          <w:color w:val="auto"/>
          <w:szCs w:val="21"/>
          <w:highlight w:val="none"/>
        </w:rPr>
        <w:t>法定代表人授权委托书（如为授权委托人参加投标，格式附后）；</w:t>
      </w:r>
    </w:p>
    <w:p w14:paraId="3B7E4644">
      <w:pPr>
        <w:keepNext w:val="0"/>
        <w:keepLines w:val="0"/>
        <w:pageBreakBefore w:val="0"/>
        <w:widowControl/>
        <w:kinsoku/>
        <w:wordWrap/>
        <w:overflowPunct/>
        <w:topLinePunct w:val="0"/>
        <w:autoSpaceDE/>
        <w:autoSpaceDN/>
        <w:bidi w:val="0"/>
        <w:snapToGrid/>
        <w:spacing w:line="440" w:lineRule="exact"/>
        <w:ind w:firstLine="420" w:firstLineChars="200"/>
        <w:textAlignment w:val="auto"/>
        <w:rPr>
          <w:rFonts w:hint="eastAsia" w:ascii="宋体" w:hAnsi="宋体" w:cs="宋体"/>
          <w:color w:val="auto"/>
          <w:sz w:val="21"/>
          <w:szCs w:val="21"/>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12</w:t>
      </w:r>
      <w:r>
        <w:rPr>
          <w:rFonts w:hint="eastAsia" w:ascii="宋体" w:hAnsi="宋体" w:cs="宋体"/>
          <w:color w:val="auto"/>
          <w:sz w:val="21"/>
          <w:szCs w:val="21"/>
          <w:highlight w:val="none"/>
          <w:lang w:eastAsia="zh-CN"/>
        </w:rPr>
        <w:t>）</w:t>
      </w:r>
      <w:r>
        <w:rPr>
          <w:rFonts w:hint="eastAsia" w:ascii="宋体" w:hAnsi="宋体" w:cs="宋体"/>
          <w:color w:val="auto"/>
          <w:sz w:val="21"/>
          <w:szCs w:val="21"/>
          <w:lang w:eastAsia="zh-CN"/>
        </w:rPr>
        <w:t>开标前三年内在经营活动中没有重大违法记录的承诺书；</w:t>
      </w:r>
    </w:p>
    <w:p w14:paraId="02F25F19">
      <w:pPr>
        <w:keepLines w:val="0"/>
        <w:pageBreakBefore w:val="0"/>
        <w:kinsoku/>
        <w:wordWrap/>
        <w:overflowPunct/>
        <w:topLinePunct w:val="0"/>
        <w:bidi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13</w:t>
      </w:r>
      <w:r>
        <w:rPr>
          <w:rFonts w:hint="eastAsia" w:ascii="宋体" w:hAnsi="宋体" w:cs="宋体"/>
          <w:color w:val="auto"/>
          <w:szCs w:val="21"/>
          <w:highlight w:val="none"/>
        </w:rPr>
        <w:t>）投标人需要说明的其他文件和说明（格式自拟）。</w:t>
      </w:r>
    </w:p>
    <w:p w14:paraId="2982F145">
      <w:pPr>
        <w:keepLines w:val="0"/>
        <w:pageBreakBefore w:val="0"/>
        <w:kinsoku/>
        <w:wordWrap/>
        <w:overflowPunct/>
        <w:topLinePunct w:val="0"/>
        <w:bidi w:val="0"/>
        <w:spacing w:line="440" w:lineRule="exact"/>
        <w:ind w:firstLine="422" w:firstLineChars="200"/>
        <w:textAlignment w:val="auto"/>
        <w:rPr>
          <w:rFonts w:hint="eastAsia" w:ascii="宋体" w:hAnsi="宋体" w:cs="宋体"/>
          <w:color w:val="auto"/>
          <w:szCs w:val="21"/>
          <w:highlight w:val="none"/>
        </w:rPr>
      </w:pPr>
      <w:r>
        <w:rPr>
          <w:rFonts w:hint="eastAsia" w:ascii="宋体" w:hAnsi="宋体" w:cs="宋体"/>
          <w:b/>
          <w:bCs/>
          <w:color w:val="auto"/>
          <w:szCs w:val="21"/>
          <w:highlight w:val="none"/>
        </w:rPr>
        <w:t>▲其中（</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）中小企业声明函、（</w:t>
      </w:r>
      <w:r>
        <w:rPr>
          <w:rFonts w:hint="eastAsia" w:ascii="宋体" w:hAnsi="宋体" w:cs="宋体"/>
          <w:b/>
          <w:bCs/>
          <w:color w:val="auto"/>
          <w:szCs w:val="21"/>
          <w:highlight w:val="none"/>
          <w:lang w:val="en-US" w:eastAsia="zh-CN"/>
        </w:rPr>
        <w:t>6</w:t>
      </w:r>
      <w:r>
        <w:rPr>
          <w:rFonts w:hint="eastAsia" w:ascii="宋体" w:hAnsi="宋体" w:cs="宋体"/>
          <w:b/>
          <w:bCs/>
          <w:color w:val="auto"/>
          <w:szCs w:val="21"/>
          <w:highlight w:val="none"/>
        </w:rPr>
        <w:t>）残疾人福利性单位声明函、（</w:t>
      </w:r>
      <w:r>
        <w:rPr>
          <w:rFonts w:hint="eastAsia" w:ascii="宋体" w:hAnsi="宋体" w:cs="宋体"/>
          <w:b/>
          <w:bCs/>
          <w:color w:val="auto"/>
          <w:szCs w:val="21"/>
          <w:highlight w:val="none"/>
          <w:lang w:val="en-US" w:eastAsia="zh-CN"/>
        </w:rPr>
        <w:t>7</w:t>
      </w:r>
      <w:r>
        <w:rPr>
          <w:rFonts w:hint="eastAsia" w:ascii="宋体" w:hAnsi="宋体" w:cs="宋体"/>
          <w:b/>
          <w:bCs/>
          <w:color w:val="auto"/>
          <w:szCs w:val="21"/>
          <w:highlight w:val="none"/>
        </w:rPr>
        <w:t>）省级以上监狱管理局、戒毒管理局（含新疆生产建设兵团）出具的属于监狱企业的证明文件投标人投标时必须提供其中的一项，否则作无效标处理。</w:t>
      </w:r>
    </w:p>
    <w:p w14:paraId="27425CD6">
      <w:pPr>
        <w:keepLines w:val="0"/>
        <w:pageBreakBefore w:val="0"/>
        <w:kinsoku/>
        <w:wordWrap/>
        <w:overflowPunct/>
        <w:topLinePunct w:val="0"/>
        <w:bidi w:val="0"/>
        <w:spacing w:line="440" w:lineRule="exact"/>
        <w:ind w:firstLine="422" w:firstLineChars="200"/>
        <w:textAlignment w:val="auto"/>
        <w:rPr>
          <w:rFonts w:hint="eastAsia" w:ascii="宋体" w:hAnsi="宋体" w:eastAsia="宋体" w:cs="宋体"/>
          <w:b/>
          <w:bCs/>
          <w:color w:val="auto"/>
          <w:kern w:val="0"/>
          <w:szCs w:val="21"/>
          <w:highlight w:val="none"/>
        </w:rPr>
      </w:pPr>
      <w:r>
        <w:rPr>
          <w:rFonts w:hint="eastAsia" w:ascii="宋体" w:hAnsi="宋体" w:cs="宋体"/>
          <w:b/>
          <w:bCs/>
          <w:color w:val="auto"/>
          <w:kern w:val="0"/>
          <w:szCs w:val="21"/>
          <w:highlight w:val="none"/>
        </w:rPr>
        <w:t>10.2技术商务文件</w:t>
      </w: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lang w:val="en-US" w:eastAsia="zh-CN"/>
        </w:rPr>
        <w:t>标项1、标项2</w:t>
      </w:r>
      <w:r>
        <w:rPr>
          <w:rFonts w:hint="eastAsia" w:ascii="宋体" w:hAnsi="宋体" w:eastAsia="宋体" w:cs="宋体"/>
          <w:b/>
          <w:bCs/>
          <w:color w:val="auto"/>
          <w:kern w:val="0"/>
          <w:szCs w:val="21"/>
          <w:highlight w:val="none"/>
          <w:lang w:eastAsia="zh-CN"/>
        </w:rPr>
        <w:t>）</w:t>
      </w:r>
    </w:p>
    <w:p w14:paraId="34880EC3">
      <w:pPr>
        <w:keepLines w:val="0"/>
        <w:pageBreakBefore w:val="0"/>
        <w:kinsoku/>
        <w:wordWrap/>
        <w:overflowPunct/>
        <w:topLinePunct w:val="0"/>
        <w:bidi w:val="0"/>
        <w:spacing w:line="440" w:lineRule="exact"/>
        <w:ind w:firstLine="413" w:firstLineChars="197"/>
        <w:jc w:val="left"/>
        <w:textAlignment w:val="auto"/>
        <w:rPr>
          <w:rFonts w:hint="eastAsia"/>
          <w:color w:val="auto"/>
          <w:highlight w:val="none"/>
        </w:rPr>
      </w:pPr>
      <w:r>
        <w:rPr>
          <w:rFonts w:hint="eastAsia" w:ascii="宋体" w:hAnsi="宋体" w:cs="宋体"/>
          <w:color w:val="auto"/>
          <w:szCs w:val="21"/>
          <w:highlight w:val="none"/>
        </w:rPr>
        <w:t>10.2.1包括但不限于以下内容：</w:t>
      </w:r>
    </w:p>
    <w:p w14:paraId="6EAD7205">
      <w:pPr>
        <w:pStyle w:val="11"/>
        <w:keepLines w:val="0"/>
        <w:pageBreakBefore w:val="0"/>
        <w:tabs>
          <w:tab w:val="right" w:leader="dot" w:pos="9061"/>
        </w:tabs>
        <w:kinsoku/>
        <w:wordWrap/>
        <w:overflowPunct/>
        <w:topLinePunct w:val="0"/>
        <w:bidi w:val="0"/>
        <w:spacing w:line="440" w:lineRule="exact"/>
        <w:ind w:left="0" w:leftChars="0"/>
        <w:textAlignment w:val="auto"/>
        <w:rPr>
          <w:rStyle w:val="25"/>
          <w:rFonts w:hint="eastAsia" w:ascii="宋体" w:hAnsi="宋体" w:cs="宋体"/>
          <w:color w:val="auto"/>
          <w:kern w:val="0"/>
          <w:szCs w:val="22"/>
          <w:highlight w:val="none"/>
          <w:u w:val="none"/>
        </w:rPr>
      </w:pPr>
      <w:r>
        <w:rPr>
          <w:rStyle w:val="25"/>
          <w:rFonts w:hint="eastAsia" w:ascii="宋体" w:hAnsi="宋体" w:cs="宋体"/>
          <w:color w:val="auto"/>
          <w:kern w:val="0"/>
          <w:highlight w:val="none"/>
          <w:u w:val="none"/>
        </w:rPr>
        <w:t xml:space="preserve">  ▲</w:t>
      </w:r>
      <w:r>
        <w:rPr>
          <w:rStyle w:val="25"/>
          <w:rFonts w:hint="eastAsia" w:ascii="宋体" w:hAnsi="宋体" w:cs="宋体"/>
          <w:color w:val="auto"/>
          <w:kern w:val="0"/>
          <w:szCs w:val="22"/>
          <w:highlight w:val="none"/>
          <w:u w:val="none"/>
        </w:rPr>
        <w:t>（1）政府采购项目供应商技术商务评分索引表；</w:t>
      </w:r>
    </w:p>
    <w:p w14:paraId="1DCD3235">
      <w:pPr>
        <w:keepLines w:val="0"/>
        <w:pageBreakBefore w:val="0"/>
        <w:kinsoku/>
        <w:wordWrap/>
        <w:overflowPunct/>
        <w:topLinePunct w:val="0"/>
        <w:bidi w:val="0"/>
        <w:spacing w:line="440" w:lineRule="exact"/>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（2）企业业绩</w:t>
      </w:r>
      <w:r>
        <w:rPr>
          <w:rFonts w:hint="eastAsia" w:ascii="宋体" w:hAnsi="宋体" w:cs="宋体"/>
          <w:color w:val="auto"/>
          <w:szCs w:val="21"/>
          <w:highlight w:val="none"/>
          <w:lang w:val="en-US" w:eastAsia="zh-CN"/>
        </w:rPr>
        <w:t>；</w:t>
      </w:r>
    </w:p>
    <w:p w14:paraId="3940FBB0">
      <w:pPr>
        <w:keepLines w:val="0"/>
        <w:pageBreakBefore w:val="0"/>
        <w:kinsoku/>
        <w:wordWrap/>
        <w:overflowPunct/>
        <w:topLinePunct w:val="0"/>
        <w:bidi w:val="0"/>
        <w:spacing w:line="440" w:lineRule="exact"/>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（3）项目组成人员</w:t>
      </w:r>
      <w:r>
        <w:rPr>
          <w:rFonts w:hint="eastAsia" w:ascii="宋体" w:hAnsi="宋体" w:cs="宋体"/>
          <w:color w:val="auto"/>
          <w:szCs w:val="21"/>
          <w:highlight w:val="none"/>
          <w:lang w:val="en-US" w:eastAsia="zh-CN"/>
        </w:rPr>
        <w:t>；</w:t>
      </w:r>
    </w:p>
    <w:p w14:paraId="12069F8D">
      <w:pPr>
        <w:keepNext w:val="0"/>
        <w:keepLines w:val="0"/>
        <w:pageBreakBefore w:val="0"/>
        <w:kinsoku/>
        <w:wordWrap/>
        <w:overflowPunct/>
        <w:topLinePunct w:val="0"/>
        <w:bidi w:val="0"/>
        <w:snapToGrid/>
        <w:spacing w:line="44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（4）监理工作</w:t>
      </w:r>
      <w:r>
        <w:rPr>
          <w:rFonts w:hint="eastAsia" w:ascii="宋体" w:hAnsi="宋体" w:cs="宋体"/>
          <w:color w:val="auto"/>
          <w:szCs w:val="21"/>
          <w:highlight w:val="none"/>
          <w:lang w:val="en-US" w:eastAsia="zh-CN"/>
        </w:rPr>
        <w:t>实施</w:t>
      </w:r>
      <w:r>
        <w:rPr>
          <w:rFonts w:hint="eastAsia" w:ascii="宋体" w:hAnsi="宋体" w:eastAsia="宋体" w:cs="宋体"/>
          <w:color w:val="auto"/>
          <w:szCs w:val="21"/>
          <w:highlight w:val="none"/>
          <w:lang w:val="en-US" w:eastAsia="zh-CN"/>
        </w:rPr>
        <w:t>方案</w:t>
      </w:r>
      <w:r>
        <w:rPr>
          <w:rFonts w:hint="eastAsia" w:ascii="宋体" w:hAnsi="宋体" w:cs="宋体"/>
          <w:color w:val="auto"/>
          <w:szCs w:val="21"/>
          <w:highlight w:val="none"/>
          <w:lang w:val="en-US" w:eastAsia="zh-CN"/>
        </w:rPr>
        <w:t>；</w:t>
      </w:r>
    </w:p>
    <w:p w14:paraId="3ECB50AA">
      <w:pPr>
        <w:keepNext w:val="0"/>
        <w:keepLines w:val="0"/>
        <w:pageBreakBefore w:val="0"/>
        <w:kinsoku/>
        <w:wordWrap/>
        <w:overflowPunct/>
        <w:topLinePunct w:val="0"/>
        <w:bidi w:val="0"/>
        <w:snapToGrid/>
        <w:spacing w:line="440" w:lineRule="exact"/>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（5）技术力量投入及设施保障</w:t>
      </w:r>
      <w:r>
        <w:rPr>
          <w:rFonts w:hint="eastAsia" w:ascii="宋体" w:hAnsi="宋体" w:cs="宋体"/>
          <w:color w:val="auto"/>
          <w:szCs w:val="21"/>
          <w:highlight w:val="none"/>
          <w:lang w:val="en-US" w:eastAsia="zh-CN"/>
        </w:rPr>
        <w:t>；</w:t>
      </w:r>
    </w:p>
    <w:p w14:paraId="15BFC615">
      <w:pPr>
        <w:keepNext w:val="0"/>
        <w:keepLines w:val="0"/>
        <w:pageBreakBefore w:val="0"/>
        <w:kinsoku/>
        <w:wordWrap/>
        <w:overflowPunct/>
        <w:topLinePunct w:val="0"/>
        <w:bidi w:val="0"/>
        <w:snapToGrid/>
        <w:spacing w:line="44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）质量保障措施</w:t>
      </w:r>
      <w:r>
        <w:rPr>
          <w:rFonts w:hint="eastAsia" w:ascii="宋体" w:hAnsi="宋体" w:cs="宋体"/>
          <w:color w:val="auto"/>
          <w:szCs w:val="21"/>
          <w:highlight w:val="none"/>
          <w:lang w:val="en-US" w:eastAsia="zh-CN"/>
        </w:rPr>
        <w:t>；</w:t>
      </w:r>
    </w:p>
    <w:p w14:paraId="66FE337A">
      <w:pPr>
        <w:keepNext w:val="0"/>
        <w:keepLines w:val="0"/>
        <w:pageBreakBefore w:val="0"/>
        <w:kinsoku/>
        <w:wordWrap/>
        <w:overflowPunct/>
        <w:topLinePunct w:val="0"/>
        <w:bidi w:val="0"/>
        <w:snapToGrid/>
        <w:spacing w:line="44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val="en-US" w:eastAsia="zh-CN"/>
        </w:rPr>
        <w:t>）安全保障措施</w:t>
      </w:r>
      <w:r>
        <w:rPr>
          <w:rFonts w:hint="eastAsia" w:ascii="宋体" w:hAnsi="宋体" w:cs="宋体"/>
          <w:color w:val="auto"/>
          <w:szCs w:val="21"/>
          <w:highlight w:val="none"/>
          <w:lang w:val="en-US" w:eastAsia="zh-CN"/>
        </w:rPr>
        <w:t>；</w:t>
      </w:r>
    </w:p>
    <w:p w14:paraId="6D992049">
      <w:pPr>
        <w:keepNext w:val="0"/>
        <w:keepLines w:val="0"/>
        <w:pageBreakBefore w:val="0"/>
        <w:kinsoku/>
        <w:wordWrap/>
        <w:overflowPunct/>
        <w:topLinePunct w:val="0"/>
        <w:bidi w:val="0"/>
        <w:snapToGrid/>
        <w:spacing w:line="440" w:lineRule="exact"/>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档案管理方案；</w:t>
      </w:r>
    </w:p>
    <w:p w14:paraId="615FA9EB">
      <w:pPr>
        <w:keepNext w:val="0"/>
        <w:keepLines w:val="0"/>
        <w:pageBreakBefore w:val="0"/>
        <w:kinsoku/>
        <w:wordWrap/>
        <w:overflowPunct/>
        <w:topLinePunct w:val="0"/>
        <w:bidi w:val="0"/>
        <w:snapToGrid/>
        <w:spacing w:line="44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应急方案及</w:t>
      </w:r>
      <w:r>
        <w:rPr>
          <w:rFonts w:hint="eastAsia" w:ascii="宋体" w:hAnsi="宋体" w:eastAsia="宋体" w:cs="宋体"/>
          <w:color w:val="auto"/>
          <w:szCs w:val="21"/>
          <w:highlight w:val="none"/>
          <w:lang w:val="en-US" w:eastAsia="zh-CN"/>
        </w:rPr>
        <w:t>措施</w:t>
      </w:r>
      <w:r>
        <w:rPr>
          <w:rFonts w:hint="eastAsia" w:ascii="宋体" w:hAnsi="宋体" w:cs="宋体"/>
          <w:color w:val="auto"/>
          <w:szCs w:val="21"/>
          <w:highlight w:val="none"/>
          <w:lang w:val="en-US" w:eastAsia="zh-CN"/>
        </w:rPr>
        <w:t>；</w:t>
      </w:r>
    </w:p>
    <w:p w14:paraId="7801455A">
      <w:pPr>
        <w:keepNext w:val="0"/>
        <w:keepLines w:val="0"/>
        <w:pageBreakBefore w:val="0"/>
        <w:kinsoku/>
        <w:wordWrap/>
        <w:overflowPunct/>
        <w:topLinePunct w:val="0"/>
        <w:bidi w:val="0"/>
        <w:snapToGrid/>
        <w:spacing w:line="440" w:lineRule="exact"/>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0</w:t>
      </w:r>
      <w:r>
        <w:rPr>
          <w:rFonts w:hint="eastAsia" w:ascii="宋体" w:hAnsi="宋体" w:eastAsia="宋体" w:cs="宋体"/>
          <w:color w:val="auto"/>
          <w:szCs w:val="21"/>
          <w:highlight w:val="none"/>
          <w:lang w:val="en-US" w:eastAsia="zh-CN"/>
        </w:rPr>
        <w:t>）后续服务方案</w:t>
      </w:r>
      <w:r>
        <w:rPr>
          <w:rFonts w:hint="eastAsia" w:ascii="宋体" w:hAnsi="宋体" w:cs="宋体"/>
          <w:color w:val="auto"/>
          <w:szCs w:val="21"/>
          <w:highlight w:val="none"/>
          <w:lang w:val="en-US" w:eastAsia="zh-CN"/>
        </w:rPr>
        <w:t>；</w:t>
      </w:r>
    </w:p>
    <w:p w14:paraId="1D79D6F0">
      <w:pPr>
        <w:keepNext w:val="0"/>
        <w:keepLines w:val="0"/>
        <w:pageBreakBefore w:val="0"/>
        <w:kinsoku/>
        <w:wordWrap/>
        <w:overflowPunct/>
        <w:topLinePunct w:val="0"/>
        <w:bidi w:val="0"/>
        <w:snapToGrid/>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）投标人需要说明的其他文件和说明</w:t>
      </w:r>
      <w:r>
        <w:rPr>
          <w:rFonts w:hint="eastAsia" w:ascii="宋体" w:hAnsi="宋体" w:cs="宋体"/>
          <w:color w:val="auto"/>
          <w:szCs w:val="21"/>
          <w:highlight w:val="none"/>
          <w:lang w:val="en-US" w:eastAsia="zh-CN"/>
        </w:rPr>
        <w:t>。</w:t>
      </w:r>
    </w:p>
    <w:p w14:paraId="54512914">
      <w:pPr>
        <w:keepNext w:val="0"/>
        <w:keepLines w:val="0"/>
        <w:pageBreakBefore w:val="0"/>
        <w:tabs>
          <w:tab w:val="left" w:pos="527"/>
        </w:tabs>
        <w:kinsoku/>
        <w:wordWrap/>
        <w:overflowPunct/>
        <w:topLinePunct w:val="0"/>
        <w:bidi w:val="0"/>
        <w:snapToGrid/>
        <w:spacing w:line="440" w:lineRule="exact"/>
        <w:ind w:firstLine="422" w:firstLineChars="200"/>
        <w:jc w:val="left"/>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10.3 报价文件</w:t>
      </w:r>
      <w:r>
        <w:rPr>
          <w:rFonts w:hint="eastAsia" w:ascii="宋体" w:hAnsi="宋体" w:cs="宋体"/>
          <w:b/>
          <w:bCs/>
          <w:color w:val="auto"/>
          <w:sz w:val="21"/>
          <w:szCs w:val="21"/>
          <w:lang w:eastAsia="zh-CN"/>
        </w:rPr>
        <w:t>（</w:t>
      </w:r>
      <w:r>
        <w:rPr>
          <w:rFonts w:hint="eastAsia" w:ascii="宋体" w:hAnsi="宋体" w:cs="宋体"/>
          <w:b/>
          <w:bCs/>
          <w:color w:val="auto"/>
          <w:sz w:val="21"/>
          <w:szCs w:val="21"/>
          <w:lang w:val="en-US" w:eastAsia="zh-CN"/>
        </w:rPr>
        <w:t>标项1、标项2</w:t>
      </w:r>
      <w:r>
        <w:rPr>
          <w:rFonts w:hint="eastAsia" w:ascii="宋体" w:hAnsi="宋体" w:cs="宋体"/>
          <w:b/>
          <w:bCs/>
          <w:color w:val="auto"/>
          <w:sz w:val="21"/>
          <w:szCs w:val="21"/>
          <w:lang w:eastAsia="zh-CN"/>
        </w:rPr>
        <w:t>）</w:t>
      </w:r>
    </w:p>
    <w:p w14:paraId="672F8BF9">
      <w:pPr>
        <w:keepNext w:val="0"/>
        <w:keepLines w:val="0"/>
        <w:pageBreakBefore w:val="0"/>
        <w:tabs>
          <w:tab w:val="left" w:pos="527"/>
        </w:tabs>
        <w:kinsoku/>
        <w:wordWrap/>
        <w:overflowPunct/>
        <w:topLinePunct w:val="0"/>
        <w:bidi w:val="0"/>
        <w:snapToGrid/>
        <w:spacing w:line="440" w:lineRule="exact"/>
        <w:ind w:firstLine="420" w:firstLineChars="200"/>
        <w:jc w:val="left"/>
        <w:textAlignment w:val="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包括但不限于以下内容：</w:t>
      </w:r>
    </w:p>
    <w:p w14:paraId="708634D4">
      <w:pPr>
        <w:keepNext w:val="0"/>
        <w:keepLines w:val="0"/>
        <w:pageBreakBefore w:val="0"/>
        <w:tabs>
          <w:tab w:val="left" w:pos="527"/>
        </w:tabs>
        <w:kinsoku/>
        <w:wordWrap/>
        <w:overflowPunct/>
        <w:topLinePunct w:val="0"/>
        <w:bidi w:val="0"/>
        <w:snapToGrid/>
        <w:spacing w:line="440" w:lineRule="exact"/>
        <w:ind w:firstLine="210" w:firstLineChars="100"/>
        <w:jc w:val="left"/>
        <w:textAlignment w:val="auto"/>
        <w:rPr>
          <w:rFonts w:hint="eastAsia"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（1）投标函（格式附后）；</w:t>
      </w:r>
    </w:p>
    <w:p w14:paraId="742151CB">
      <w:pPr>
        <w:keepNext w:val="0"/>
        <w:keepLines w:val="0"/>
        <w:pageBreakBefore w:val="0"/>
        <w:kinsoku/>
        <w:wordWrap/>
        <w:overflowPunct/>
        <w:topLinePunct w:val="0"/>
        <w:bidi w:val="0"/>
        <w:snapToGrid/>
        <w:spacing w:line="440" w:lineRule="exact"/>
        <w:ind w:firstLine="210" w:firstLineChars="100"/>
        <w:textAlignment w:val="auto"/>
        <w:rPr>
          <w:rFonts w:hint="eastAsia" w:ascii="宋体" w:hAnsi="宋体" w:cs="宋体"/>
          <w:b/>
          <w:bCs/>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（2）开标一览表（格式附后）；</w:t>
      </w:r>
    </w:p>
    <w:p w14:paraId="0BEEFBC8">
      <w:pPr>
        <w:keepNext w:val="0"/>
        <w:keepLines w:val="0"/>
        <w:pageBreakBefore w:val="0"/>
        <w:widowControl/>
        <w:kinsoku/>
        <w:wordWrap/>
        <w:overflowPunct/>
        <w:topLinePunct w:val="0"/>
        <w:bidi w:val="0"/>
        <w:snapToGrid/>
        <w:spacing w:line="44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）投标人需要说明的其他文件和说明。</w:t>
      </w:r>
    </w:p>
    <w:p w14:paraId="6173E50D">
      <w:pPr>
        <w:keepNext w:val="0"/>
        <w:keepLines w:val="0"/>
        <w:pageBreakBefore w:val="0"/>
        <w:kinsoku/>
        <w:wordWrap/>
        <w:overflowPunct/>
        <w:topLinePunct w:val="0"/>
        <w:bidi w:val="0"/>
        <w:snapToGrid/>
        <w:spacing w:line="440" w:lineRule="exact"/>
        <w:ind w:firstLine="422" w:firstLineChars="200"/>
        <w:jc w:val="left"/>
        <w:textAlignment w:val="auto"/>
        <w:rPr>
          <w:rFonts w:hint="eastAsia" w:ascii="宋体" w:hAnsi="宋体" w:cs="宋体"/>
          <w:b/>
          <w:color w:val="auto"/>
          <w:kern w:val="0"/>
          <w:szCs w:val="21"/>
          <w:highlight w:val="none"/>
        </w:rPr>
      </w:pPr>
      <w:r>
        <w:rPr>
          <w:rFonts w:hint="eastAsia" w:ascii="宋体" w:hAnsi="宋体" w:cs="宋体"/>
          <w:b/>
          <w:color w:val="auto"/>
          <w:kern w:val="0"/>
          <w:szCs w:val="21"/>
          <w:highlight w:val="none"/>
        </w:rPr>
        <w:t>11.投标文件的语言及计量单位</w:t>
      </w:r>
    </w:p>
    <w:p w14:paraId="4C1BB8CE">
      <w:pPr>
        <w:keepNext w:val="0"/>
        <w:keepLines w:val="0"/>
        <w:pageBreakBefore w:val="0"/>
        <w:kinsoku/>
        <w:wordWrap/>
        <w:overflowPunct/>
        <w:topLinePunct w:val="0"/>
        <w:bidi w:val="0"/>
        <w:snapToGrid/>
        <w:spacing w:line="440" w:lineRule="exact"/>
        <w:ind w:firstLine="42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11.1投标文件以及投标人与采购人就有关投标事宜的所有来往函电，均应以中文汉语书写。除签名、盖章、专用名称等特殊情形外，以中文汉语以外的文字表述的投标文件视同未提供。</w:t>
      </w:r>
    </w:p>
    <w:p w14:paraId="0943CD54">
      <w:pPr>
        <w:keepNext w:val="0"/>
        <w:keepLines w:val="0"/>
        <w:pageBreakBefore w:val="0"/>
        <w:kinsoku/>
        <w:wordWrap/>
        <w:overflowPunct/>
        <w:topLinePunct w:val="0"/>
        <w:bidi w:val="0"/>
        <w:snapToGrid/>
        <w:spacing w:line="440" w:lineRule="exact"/>
        <w:ind w:firstLine="420" w:firstLineChars="200"/>
        <w:jc w:val="left"/>
        <w:textAlignment w:val="auto"/>
        <w:rPr>
          <w:rFonts w:hint="eastAsia" w:ascii="宋体" w:hAnsi="宋体" w:cs="宋体"/>
          <w:color w:val="auto"/>
          <w:kern w:val="0"/>
          <w:szCs w:val="21"/>
          <w:highlight w:val="none"/>
        </w:rPr>
      </w:pPr>
      <w:r>
        <w:rPr>
          <w:rFonts w:hint="eastAsia" w:ascii="宋体" w:hAnsi="宋体" w:cs="宋体"/>
          <w:bCs/>
          <w:color w:val="auto"/>
          <w:kern w:val="0"/>
          <w:szCs w:val="21"/>
          <w:highlight w:val="none"/>
        </w:rPr>
        <w:t>11</w:t>
      </w:r>
      <w:r>
        <w:rPr>
          <w:rFonts w:hint="eastAsia" w:ascii="宋体" w:hAnsi="宋体" w:cs="宋体"/>
          <w:color w:val="auto"/>
          <w:kern w:val="0"/>
          <w:szCs w:val="21"/>
          <w:highlight w:val="none"/>
        </w:rPr>
        <w:t>.2除技术性能中另有规定外，投标文件所使用的计量单位，一律使用法定计量单位。</w:t>
      </w:r>
    </w:p>
    <w:p w14:paraId="5DD78D6F">
      <w:pPr>
        <w:keepNext w:val="0"/>
        <w:keepLines w:val="0"/>
        <w:pageBreakBefore w:val="0"/>
        <w:kinsoku/>
        <w:wordWrap/>
        <w:overflowPunct/>
        <w:topLinePunct w:val="0"/>
        <w:bidi w:val="0"/>
        <w:snapToGrid/>
        <w:spacing w:line="440" w:lineRule="exact"/>
        <w:ind w:firstLine="420" w:firstLineChars="200"/>
        <w:jc w:val="left"/>
        <w:textAlignment w:val="auto"/>
        <w:rPr>
          <w:rFonts w:hint="eastAsia" w:ascii="宋体" w:hAnsi="宋体" w:cs="宋体"/>
          <w:color w:val="auto"/>
          <w:kern w:val="0"/>
          <w:szCs w:val="21"/>
          <w:highlight w:val="none"/>
        </w:rPr>
      </w:pPr>
      <w:r>
        <w:rPr>
          <w:rFonts w:hint="eastAsia" w:ascii="宋体" w:hAnsi="宋体" w:cs="宋体"/>
          <w:bCs/>
          <w:color w:val="auto"/>
          <w:kern w:val="0"/>
          <w:szCs w:val="21"/>
          <w:highlight w:val="none"/>
        </w:rPr>
        <w:t>11</w:t>
      </w:r>
      <w:r>
        <w:rPr>
          <w:rFonts w:hint="eastAsia" w:ascii="宋体" w:hAnsi="宋体" w:cs="宋体"/>
          <w:color w:val="auto"/>
          <w:kern w:val="0"/>
          <w:szCs w:val="21"/>
          <w:highlight w:val="none"/>
        </w:rPr>
        <w:t>.3招标文件已有明确规定的，使用招标文件规定的计量单位；招标文件没有规定的，应采用中华人民共和国法定计量单位（货币单位：人民币元），否则视同未响应。</w:t>
      </w:r>
    </w:p>
    <w:p w14:paraId="17543A48">
      <w:pPr>
        <w:keepNext w:val="0"/>
        <w:keepLines w:val="0"/>
        <w:pageBreakBefore w:val="0"/>
        <w:tabs>
          <w:tab w:val="center" w:pos="4771"/>
        </w:tabs>
        <w:kinsoku/>
        <w:wordWrap/>
        <w:overflowPunct/>
        <w:topLinePunct w:val="0"/>
        <w:bidi w:val="0"/>
        <w:snapToGrid/>
        <w:spacing w:line="440" w:lineRule="exact"/>
        <w:ind w:firstLine="207" w:firstLineChars="98"/>
        <w:jc w:val="left"/>
        <w:textAlignment w:val="auto"/>
        <w:rPr>
          <w:rFonts w:hint="eastAsia" w:ascii="宋体" w:hAnsi="宋体" w:cs="宋体"/>
          <w:color w:val="auto"/>
          <w:kern w:val="0"/>
          <w:szCs w:val="21"/>
          <w:highlight w:val="none"/>
        </w:rPr>
      </w:pPr>
      <w:r>
        <w:rPr>
          <w:rFonts w:hint="eastAsia" w:ascii="宋体" w:hAnsi="宋体" w:cs="宋体"/>
          <w:b/>
          <w:bCs/>
          <w:color w:val="auto"/>
          <w:kern w:val="0"/>
          <w:szCs w:val="21"/>
          <w:highlight w:val="none"/>
        </w:rPr>
        <w:t>▲12.投标报价</w:t>
      </w:r>
    </w:p>
    <w:p w14:paraId="272FBC2F">
      <w:pPr>
        <w:keepNext w:val="0"/>
        <w:keepLines w:val="0"/>
        <w:pageBreakBefore w:val="0"/>
        <w:tabs>
          <w:tab w:val="center" w:pos="4156"/>
        </w:tabs>
        <w:kinsoku/>
        <w:wordWrap/>
        <w:overflowPunct/>
        <w:topLinePunct w:val="0"/>
        <w:autoSpaceDE w:val="0"/>
        <w:autoSpaceDN w:val="0"/>
        <w:bidi w:val="0"/>
        <w:adjustRightInd w:val="0"/>
        <w:snapToGrid/>
        <w:spacing w:line="440" w:lineRule="exact"/>
        <w:ind w:firstLine="560"/>
        <w:textAlignment w:val="auto"/>
        <w:rPr>
          <w:rFonts w:hint="eastAsia" w:ascii="宋体" w:hAnsi="宋体" w:cs="宋体"/>
          <w:b/>
          <w:bCs/>
          <w:color w:val="auto"/>
          <w:kern w:val="0"/>
          <w:szCs w:val="21"/>
          <w:highlight w:val="none"/>
        </w:rPr>
      </w:pPr>
      <w:r>
        <w:rPr>
          <w:rFonts w:hint="eastAsia" w:ascii="宋体" w:hAnsi="宋体" w:cs="宋体"/>
          <w:color w:val="auto"/>
          <w:kern w:val="0"/>
          <w:szCs w:val="21"/>
          <w:highlight w:val="none"/>
        </w:rPr>
        <w:t>12.1</w:t>
      </w:r>
      <w:r>
        <w:rPr>
          <w:rFonts w:hint="eastAsia" w:ascii="宋体" w:hAnsi="宋体" w:cs="宋体"/>
          <w:b/>
          <w:bCs/>
          <w:color w:val="auto"/>
          <w:kern w:val="0"/>
          <w:szCs w:val="21"/>
          <w:highlight w:val="none"/>
          <w:lang w:val="zh-CN"/>
        </w:rPr>
        <w:t>投标报价是履行合同的最终价格，采购范围内相应服务的全部内容，包括完成开化县怀玉山区水土保持与生态修复项目监理（详见本招标文件第四章内容）和合同条款约定的一切费用</w:t>
      </w:r>
      <w:r>
        <w:rPr>
          <w:rFonts w:hint="eastAsia" w:ascii="宋体" w:hAnsi="宋体" w:cs="宋体"/>
          <w:b/>
          <w:color w:val="auto"/>
          <w:sz w:val="21"/>
          <w:szCs w:val="21"/>
          <w:highlight w:val="none"/>
          <w:u w:val="none"/>
          <w:lang w:eastAsia="zh-CN"/>
        </w:rPr>
        <w:t>，投标人的投标报价为整个采购项目的总报价，如有漏项，视同已包含在其总项目中，合同总价不做调整。</w:t>
      </w:r>
    </w:p>
    <w:p w14:paraId="6374D751">
      <w:pPr>
        <w:keepNext w:val="0"/>
        <w:keepLines w:val="0"/>
        <w:pageBreakBefore w:val="0"/>
        <w:kinsoku/>
        <w:wordWrap/>
        <w:overflowPunct/>
        <w:topLinePunct w:val="0"/>
        <w:bidi w:val="0"/>
        <w:snapToGrid/>
        <w:spacing w:line="440" w:lineRule="exact"/>
        <w:ind w:firstLine="42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12.2 投标人对所投项目只能提出一个不变总价，采购人不接受任何选择价。</w:t>
      </w:r>
    </w:p>
    <w:p w14:paraId="7E762D36">
      <w:pPr>
        <w:keepNext w:val="0"/>
        <w:keepLines w:val="0"/>
        <w:pageBreakBefore w:val="0"/>
        <w:widowControl/>
        <w:kinsoku/>
        <w:wordWrap/>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b/>
          <w:bCs/>
          <w:color w:val="auto"/>
          <w:kern w:val="0"/>
          <w:sz w:val="21"/>
          <w:szCs w:val="21"/>
          <w:highlight w:val="none"/>
        </w:rPr>
      </w:pPr>
      <w:bookmarkStart w:id="45" w:name="_Toc10346"/>
      <w:bookmarkStart w:id="46" w:name="_Toc433917264"/>
      <w:bookmarkStart w:id="47" w:name="_Toc358384692"/>
      <w:bookmarkStart w:id="48" w:name="_Toc333842548"/>
      <w:bookmarkStart w:id="49" w:name="_Toc393201711"/>
      <w:bookmarkStart w:id="50" w:name="_Toc326937534"/>
      <w:r>
        <w:rPr>
          <w:rFonts w:hint="eastAsia" w:ascii="宋体" w:hAnsi="宋体" w:eastAsia="宋体" w:cs="宋体"/>
          <w:b/>
          <w:bCs/>
          <w:color w:val="auto"/>
          <w:kern w:val="0"/>
          <w:sz w:val="21"/>
          <w:szCs w:val="21"/>
          <w:highlight w:val="none"/>
        </w:rPr>
        <w:t>13、投标文件的制作、编写要求</w:t>
      </w:r>
    </w:p>
    <w:p w14:paraId="07D95DB0">
      <w:pPr>
        <w:keepNext w:val="0"/>
        <w:keepLines w:val="0"/>
        <w:pageBreakBefore w:val="0"/>
        <w:widowControl/>
        <w:kinsoku/>
        <w:wordWrap/>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13.1投标文件按“政采云供应商项目采购-电子招投标操作指南”及本招标文件要求制作、加密并递交。</w:t>
      </w:r>
    </w:p>
    <w:p w14:paraId="73B9AE3B">
      <w:pPr>
        <w:keepNext w:val="0"/>
        <w:keepLines w:val="0"/>
        <w:pageBreakBefore w:val="0"/>
        <w:widowControl/>
        <w:kinsoku/>
        <w:wordWrap/>
        <w:overflowPunct/>
        <w:topLinePunct w:val="0"/>
        <w:autoSpaceDE/>
        <w:autoSpaceDN/>
        <w:bidi w:val="0"/>
        <w:snapToGrid/>
        <w:spacing w:line="440" w:lineRule="exact"/>
        <w:ind w:firstLine="420" w:firstLineChars="200"/>
        <w:jc w:val="left"/>
        <w:textAlignment w:val="auto"/>
        <w:outlineLvl w:val="9"/>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13.2投标人应按本招标文件规定的格式和顺序编制并标注页码，投标文件内容不完整、编排混乱导致投标文件被误读、漏读或者查找不到相关内容的，为投标人的责任。</w:t>
      </w:r>
    </w:p>
    <w:p w14:paraId="733D9029">
      <w:pPr>
        <w:keepNext w:val="0"/>
        <w:keepLines w:val="0"/>
        <w:pageBreakBefore w:val="0"/>
        <w:widowControl/>
        <w:kinsoku/>
        <w:wordWrap/>
        <w:overflowPunct/>
        <w:topLinePunct w:val="0"/>
        <w:autoSpaceDE/>
        <w:autoSpaceDN/>
        <w:bidi w:val="0"/>
        <w:snapToGrid/>
        <w:spacing w:line="440" w:lineRule="exact"/>
        <w:ind w:firstLine="420" w:firstLineChars="200"/>
        <w:jc w:val="left"/>
        <w:textAlignment w:val="auto"/>
        <w:outlineLvl w:val="9"/>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▲13.3保证所提供的全部资料的真实性、完整性及有效性，对招标文件作出实质性响应。否则，其投标文件可能被拒绝。</w:t>
      </w:r>
    </w:p>
    <w:p w14:paraId="3DFCADFB">
      <w:pPr>
        <w:keepNext w:val="0"/>
        <w:keepLines w:val="0"/>
        <w:pageBreakBefore w:val="0"/>
        <w:kinsoku/>
        <w:wordWrap/>
        <w:overflowPunct/>
        <w:topLinePunct w:val="0"/>
        <w:bidi w:val="0"/>
        <w:snapToGrid/>
        <w:spacing w:line="440" w:lineRule="exact"/>
        <w:ind w:firstLine="422" w:firstLineChars="200"/>
        <w:jc w:val="left"/>
        <w:textAlignment w:val="auto"/>
        <w:rPr>
          <w:rFonts w:hint="eastAsia" w:ascii="宋体" w:hAnsi="宋体" w:cs="宋体"/>
          <w:b/>
          <w:bCs/>
          <w:color w:val="auto"/>
          <w:spacing w:val="0"/>
          <w:kern w:val="0"/>
          <w:sz w:val="21"/>
          <w:szCs w:val="21"/>
          <w:highlight w:val="none"/>
        </w:rPr>
      </w:pPr>
      <w:r>
        <w:rPr>
          <w:rFonts w:hint="eastAsia" w:ascii="宋体" w:hAnsi="宋体" w:cs="宋体"/>
          <w:b/>
          <w:bCs/>
          <w:color w:val="auto"/>
          <w:spacing w:val="0"/>
          <w:kern w:val="0"/>
          <w:sz w:val="21"/>
          <w:szCs w:val="21"/>
          <w:highlight w:val="none"/>
        </w:rPr>
        <w:t>1</w:t>
      </w:r>
      <w:r>
        <w:rPr>
          <w:rFonts w:hint="eastAsia" w:ascii="宋体" w:hAnsi="宋体" w:cs="宋体"/>
          <w:b/>
          <w:bCs/>
          <w:color w:val="auto"/>
          <w:spacing w:val="0"/>
          <w:kern w:val="0"/>
          <w:sz w:val="21"/>
          <w:szCs w:val="21"/>
          <w:highlight w:val="none"/>
          <w:lang w:val="en-US" w:eastAsia="zh-CN"/>
        </w:rPr>
        <w:t>4</w:t>
      </w:r>
      <w:r>
        <w:rPr>
          <w:rFonts w:hint="eastAsia" w:ascii="宋体" w:hAnsi="宋体" w:cs="宋体"/>
          <w:b/>
          <w:bCs/>
          <w:color w:val="auto"/>
          <w:spacing w:val="0"/>
          <w:kern w:val="0"/>
          <w:sz w:val="21"/>
          <w:szCs w:val="21"/>
          <w:highlight w:val="none"/>
        </w:rPr>
        <w:t>.投标的有效期</w:t>
      </w:r>
    </w:p>
    <w:p w14:paraId="1E0C2627">
      <w:pPr>
        <w:keepNext w:val="0"/>
        <w:keepLines w:val="0"/>
        <w:pageBreakBefore w:val="0"/>
        <w:kinsoku/>
        <w:wordWrap/>
        <w:overflowPunct/>
        <w:topLinePunct w:val="0"/>
        <w:bidi w:val="0"/>
        <w:snapToGrid/>
        <w:spacing w:line="440" w:lineRule="exact"/>
        <w:ind w:firstLine="420" w:firstLineChars="200"/>
        <w:jc w:val="left"/>
        <w:textAlignment w:val="auto"/>
        <w:rPr>
          <w:rFonts w:hint="eastAsia" w:ascii="宋体" w:hAnsi="宋体" w:cs="宋体"/>
          <w:color w:val="auto"/>
          <w:spacing w:val="0"/>
          <w:sz w:val="21"/>
          <w:szCs w:val="21"/>
          <w:highlight w:val="none"/>
        </w:rPr>
      </w:pPr>
      <w:r>
        <w:rPr>
          <w:rFonts w:hint="eastAsia" w:ascii="宋体" w:hAnsi="宋体" w:cs="宋体"/>
          <w:color w:val="auto"/>
          <w:spacing w:val="0"/>
          <w:kern w:val="0"/>
          <w:sz w:val="21"/>
          <w:szCs w:val="21"/>
          <w:highlight w:val="none"/>
        </w:rPr>
        <w:t>1</w:t>
      </w:r>
      <w:r>
        <w:rPr>
          <w:rFonts w:hint="eastAsia" w:ascii="宋体" w:hAnsi="宋体" w:cs="宋体"/>
          <w:color w:val="auto"/>
          <w:spacing w:val="0"/>
          <w:kern w:val="0"/>
          <w:sz w:val="21"/>
          <w:szCs w:val="21"/>
          <w:highlight w:val="none"/>
          <w:lang w:val="en-US" w:eastAsia="zh-CN"/>
        </w:rPr>
        <w:t>4</w:t>
      </w:r>
      <w:r>
        <w:rPr>
          <w:rFonts w:hint="eastAsia" w:ascii="宋体" w:hAnsi="宋体" w:cs="宋体"/>
          <w:color w:val="auto"/>
          <w:spacing w:val="0"/>
          <w:kern w:val="0"/>
          <w:sz w:val="21"/>
          <w:szCs w:val="21"/>
          <w:highlight w:val="none"/>
        </w:rPr>
        <w:t>.1</w:t>
      </w:r>
      <w:r>
        <w:rPr>
          <w:rFonts w:hint="eastAsia" w:ascii="宋体" w:hAnsi="宋体" w:cs="宋体"/>
          <w:color w:val="auto"/>
          <w:spacing w:val="0"/>
          <w:sz w:val="21"/>
          <w:szCs w:val="21"/>
          <w:highlight w:val="none"/>
        </w:rPr>
        <w:t>投标文件提交截止日起90日内。</w:t>
      </w:r>
    </w:p>
    <w:p w14:paraId="37B86D69">
      <w:pPr>
        <w:keepNext w:val="0"/>
        <w:keepLines w:val="0"/>
        <w:pageBreakBefore w:val="0"/>
        <w:kinsoku/>
        <w:wordWrap/>
        <w:overflowPunct/>
        <w:topLinePunct w:val="0"/>
        <w:bidi w:val="0"/>
        <w:snapToGrid/>
        <w:spacing w:line="440" w:lineRule="exact"/>
        <w:ind w:firstLine="420" w:firstLineChars="200"/>
        <w:jc w:val="left"/>
        <w:textAlignment w:val="auto"/>
        <w:rPr>
          <w:rFonts w:hint="eastAsia" w:ascii="宋体" w:hAnsi="宋体" w:cs="宋体"/>
          <w:color w:val="auto"/>
          <w:spacing w:val="0"/>
          <w:kern w:val="0"/>
          <w:sz w:val="21"/>
          <w:szCs w:val="21"/>
          <w:highlight w:val="none"/>
        </w:rPr>
      </w:pPr>
      <w:r>
        <w:rPr>
          <w:rFonts w:hint="eastAsia" w:ascii="宋体" w:hAnsi="宋体" w:cs="宋体"/>
          <w:color w:val="auto"/>
          <w:spacing w:val="0"/>
          <w:kern w:val="0"/>
          <w:sz w:val="21"/>
          <w:szCs w:val="21"/>
          <w:highlight w:val="none"/>
        </w:rPr>
        <w:t>1</w:t>
      </w:r>
      <w:r>
        <w:rPr>
          <w:rFonts w:hint="eastAsia" w:ascii="宋体" w:hAnsi="宋体" w:cs="宋体"/>
          <w:color w:val="auto"/>
          <w:spacing w:val="0"/>
          <w:kern w:val="0"/>
          <w:sz w:val="21"/>
          <w:szCs w:val="21"/>
          <w:highlight w:val="none"/>
          <w:lang w:val="en-US" w:eastAsia="zh-CN"/>
        </w:rPr>
        <w:t>4</w:t>
      </w:r>
      <w:r>
        <w:rPr>
          <w:rFonts w:hint="eastAsia" w:ascii="宋体" w:hAnsi="宋体" w:cs="宋体"/>
          <w:color w:val="auto"/>
          <w:spacing w:val="0"/>
          <w:kern w:val="0"/>
          <w:sz w:val="21"/>
          <w:szCs w:val="21"/>
          <w:highlight w:val="none"/>
        </w:rPr>
        <w:t>.2 特殊情况下，采购人可与投标人协商延长投标文件的有效期。</w:t>
      </w:r>
    </w:p>
    <w:p w14:paraId="2A93145C">
      <w:pPr>
        <w:keepNext w:val="0"/>
        <w:keepLines w:val="0"/>
        <w:pageBreakBefore w:val="0"/>
        <w:kinsoku/>
        <w:wordWrap/>
        <w:overflowPunct/>
        <w:topLinePunct w:val="0"/>
        <w:bidi w:val="0"/>
        <w:snapToGrid/>
        <w:spacing w:line="440" w:lineRule="exact"/>
        <w:jc w:val="center"/>
        <w:textAlignment w:val="auto"/>
        <w:outlineLvl w:val="2"/>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四、投标文件的递交</w:t>
      </w:r>
      <w:bookmarkEnd w:id="45"/>
      <w:bookmarkEnd w:id="46"/>
      <w:bookmarkEnd w:id="47"/>
      <w:bookmarkEnd w:id="48"/>
      <w:bookmarkEnd w:id="49"/>
      <w:bookmarkEnd w:id="50"/>
    </w:p>
    <w:p w14:paraId="420C9639">
      <w:pPr>
        <w:keepLines w:val="0"/>
        <w:pageBreakBefore w:val="0"/>
        <w:kinsoku/>
        <w:wordWrap/>
        <w:overflowPunct/>
        <w:topLinePunct w:val="0"/>
        <w:bidi w:val="0"/>
        <w:spacing w:line="440" w:lineRule="exact"/>
        <w:ind w:firstLine="422" w:firstLineChars="200"/>
        <w:jc w:val="left"/>
        <w:textAlignment w:val="auto"/>
        <w:rPr>
          <w:rFonts w:hint="eastAsia" w:ascii="宋体" w:hAnsi="宋体" w:cs="宋体"/>
          <w:b/>
          <w:bCs/>
          <w:color w:val="auto"/>
          <w:kern w:val="0"/>
          <w:szCs w:val="21"/>
          <w:highlight w:val="none"/>
        </w:rPr>
      </w:pPr>
      <w:bookmarkStart w:id="51" w:name="_Toc333842549"/>
      <w:bookmarkStart w:id="52" w:name="_Toc326937535"/>
      <w:bookmarkStart w:id="53" w:name="_Toc32366"/>
      <w:bookmarkStart w:id="54" w:name="_Toc433917265"/>
      <w:bookmarkStart w:id="55" w:name="_Toc358384693"/>
      <w:bookmarkStart w:id="56" w:name="_Toc393201712"/>
      <w:r>
        <w:rPr>
          <w:rFonts w:hint="eastAsia" w:ascii="宋体" w:hAnsi="宋体" w:cs="宋体"/>
          <w:b/>
          <w:bCs/>
          <w:color w:val="auto"/>
          <w:kern w:val="0"/>
          <w:szCs w:val="21"/>
          <w:highlight w:val="none"/>
        </w:rPr>
        <w:t>1</w:t>
      </w:r>
      <w:r>
        <w:rPr>
          <w:rFonts w:hint="eastAsia" w:ascii="宋体" w:hAnsi="宋体" w:cs="宋体"/>
          <w:b/>
          <w:bCs/>
          <w:color w:val="auto"/>
          <w:kern w:val="0"/>
          <w:szCs w:val="21"/>
          <w:highlight w:val="none"/>
          <w:lang w:val="en-US" w:eastAsia="zh-CN"/>
        </w:rPr>
        <w:t>5</w:t>
      </w:r>
      <w:r>
        <w:rPr>
          <w:rFonts w:hint="eastAsia" w:ascii="宋体" w:hAnsi="宋体" w:cs="宋体"/>
          <w:b/>
          <w:bCs/>
          <w:color w:val="auto"/>
          <w:kern w:val="0"/>
          <w:szCs w:val="21"/>
          <w:highlight w:val="none"/>
        </w:rPr>
        <w:t>.投标文件的签署</w:t>
      </w:r>
    </w:p>
    <w:p w14:paraId="3F5FBF35">
      <w:pPr>
        <w:keepLines w:val="0"/>
        <w:pageBreakBefore w:val="0"/>
        <w:kinsoku/>
        <w:wordWrap/>
        <w:overflowPunct/>
        <w:topLinePunct w:val="0"/>
        <w:bidi w:val="0"/>
        <w:spacing w:line="44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.1投标文件按“政采云平台供应商项目采购-电子招投标操作指南”</w:t>
      </w:r>
      <w:r>
        <w:rPr>
          <w:rFonts w:hint="eastAsia" w:ascii="宋体" w:hAnsi="宋体" w:cs="宋体"/>
          <w:bCs/>
          <w:color w:val="auto"/>
          <w:szCs w:val="21"/>
          <w:highlight w:val="none"/>
        </w:rPr>
        <w:fldChar w:fldCharType="begin"/>
      </w:r>
      <w:r>
        <w:rPr>
          <w:rFonts w:hint="eastAsia" w:ascii="宋体" w:hAnsi="宋体" w:cs="宋体"/>
          <w:bCs/>
          <w:color w:val="auto"/>
          <w:szCs w:val="21"/>
          <w:highlight w:val="none"/>
        </w:rPr>
        <w:instrText xml:space="preserve"> HYPERLINK "https://help.zcy.gov.cn/web/site_2/2018/12-28/2573.html）及本招标文件规定的格式和顺序编制电子投标文件并进行关联定位。" </w:instrText>
      </w:r>
      <w:r>
        <w:rPr>
          <w:rFonts w:hint="eastAsia" w:ascii="宋体" w:hAnsi="宋体" w:cs="宋体"/>
          <w:bCs/>
          <w:color w:val="auto"/>
          <w:szCs w:val="21"/>
          <w:highlight w:val="none"/>
        </w:rPr>
        <w:fldChar w:fldCharType="separate"/>
      </w:r>
      <w:r>
        <w:rPr>
          <w:rFonts w:hint="eastAsia" w:ascii="宋体" w:hAnsi="宋体" w:cs="宋体"/>
          <w:bCs/>
          <w:color w:val="auto"/>
          <w:szCs w:val="21"/>
          <w:highlight w:val="none"/>
        </w:rPr>
        <w:t>及本招标文件规定的格式和顺序编制投标文件并进行关联定位，投标文件内容不完整、编排混乱、关联错误导致投标文件被误读、漏读或者查找不到相关内容的，是投标人的责任。</w:t>
      </w:r>
      <w:r>
        <w:rPr>
          <w:rFonts w:hint="eastAsia" w:ascii="宋体" w:hAnsi="宋体" w:cs="宋体"/>
          <w:bCs/>
          <w:color w:val="auto"/>
          <w:szCs w:val="21"/>
          <w:highlight w:val="none"/>
        </w:rPr>
        <w:fldChar w:fldCharType="end"/>
      </w:r>
    </w:p>
    <w:p w14:paraId="38621DD5">
      <w:pPr>
        <w:keepLines w:val="0"/>
        <w:pageBreakBefore w:val="0"/>
        <w:kinsoku/>
        <w:wordWrap/>
        <w:overflowPunct/>
        <w:topLinePunct w:val="0"/>
        <w:bidi w:val="0"/>
        <w:snapToGrid w:val="0"/>
        <w:spacing w:line="440" w:lineRule="exact"/>
        <w:ind w:firstLine="210" w:firstLineChars="1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.2投标文件中须加盖公章部分均采用CA签章。</w:t>
      </w:r>
    </w:p>
    <w:p w14:paraId="79B692B7">
      <w:pPr>
        <w:keepLines w:val="0"/>
        <w:pageBreakBefore w:val="0"/>
        <w:kinsoku/>
        <w:wordWrap/>
        <w:overflowPunct/>
        <w:topLinePunct w:val="0"/>
        <w:bidi w:val="0"/>
        <w:adjustRightInd w:val="0"/>
        <w:snapToGrid w:val="0"/>
        <w:spacing w:line="440" w:lineRule="exact"/>
        <w:ind w:firstLine="422" w:firstLineChars="200"/>
        <w:textAlignment w:val="auto"/>
        <w:rPr>
          <w:rFonts w:hint="eastAsia" w:ascii="宋体" w:hAnsi="宋体" w:cs="宋体"/>
          <w:bCs/>
          <w:color w:val="auto"/>
          <w:szCs w:val="21"/>
          <w:highlight w:val="none"/>
        </w:rPr>
      </w:pPr>
      <w:r>
        <w:rPr>
          <w:rFonts w:hint="eastAsia" w:ascii="宋体" w:hAnsi="宋体" w:cs="宋体"/>
          <w:b/>
          <w:bCs/>
          <w:color w:val="auto"/>
          <w:kern w:val="0"/>
          <w:szCs w:val="21"/>
          <w:highlight w:val="none"/>
        </w:rPr>
        <w:t>1</w:t>
      </w: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rPr>
        <w:t>.投标截止时间和开标地点</w:t>
      </w:r>
    </w:p>
    <w:p w14:paraId="5237042E">
      <w:pPr>
        <w:pStyle w:val="18"/>
        <w:keepLines w:val="0"/>
        <w:pageBreakBefore w:val="0"/>
        <w:widowControl w:val="0"/>
        <w:tabs>
          <w:tab w:val="left" w:pos="6930"/>
        </w:tabs>
        <w:kinsoku/>
        <w:wordWrap/>
        <w:overflowPunct/>
        <w:topLinePunct w:val="0"/>
        <w:bidi w:val="0"/>
        <w:spacing w:beforeAutospacing="0" w:afterAutospacing="0" w:line="440" w:lineRule="exact"/>
        <w:ind w:firstLine="420" w:firstLineChars="200"/>
        <w:textAlignment w:val="auto"/>
        <w:rPr>
          <w:rFonts w:hint="eastAsia" w:ascii="宋体" w:hAnsi="宋体" w:cs="宋体"/>
          <w:color w:val="auto"/>
          <w:sz w:val="21"/>
          <w:szCs w:val="21"/>
          <w:highlight w:val="none"/>
        </w:rPr>
      </w:pPr>
      <w:r>
        <w:rPr>
          <w:rFonts w:hint="eastAsia" w:ascii="宋体" w:hAnsi="宋体" w:cs="宋体"/>
          <w:bCs/>
          <w:color w:val="auto"/>
          <w:sz w:val="21"/>
          <w:szCs w:val="21"/>
          <w:highlight w:val="none"/>
        </w:rPr>
        <w:t>1</w:t>
      </w:r>
      <w:r>
        <w:rPr>
          <w:rFonts w:hint="eastAsia" w:ascii="宋体" w:hAnsi="宋体" w:cs="宋体"/>
          <w:bCs/>
          <w:color w:val="auto"/>
          <w:sz w:val="21"/>
          <w:szCs w:val="21"/>
          <w:highlight w:val="none"/>
          <w:lang w:val="en-US" w:eastAsia="zh-CN"/>
        </w:rPr>
        <w:t>6</w:t>
      </w:r>
      <w:r>
        <w:rPr>
          <w:rFonts w:hint="eastAsia" w:ascii="宋体" w:hAnsi="宋体" w:cs="宋体"/>
          <w:bCs/>
          <w:color w:val="auto"/>
          <w:sz w:val="21"/>
          <w:szCs w:val="21"/>
          <w:highlight w:val="none"/>
        </w:rPr>
        <w:t>.1截止</w:t>
      </w:r>
      <w:r>
        <w:rPr>
          <w:rFonts w:hint="eastAsia" w:ascii="宋体" w:hAnsi="宋体" w:cs="宋体"/>
          <w:color w:val="auto"/>
          <w:sz w:val="21"/>
          <w:szCs w:val="21"/>
          <w:highlight w:val="none"/>
        </w:rPr>
        <w:t>时间：</w:t>
      </w:r>
      <w:r>
        <w:rPr>
          <w:rFonts w:hint="eastAsia" w:ascii="宋体" w:hAnsi="宋体"/>
          <w:color w:val="auto"/>
          <w:sz w:val="21"/>
          <w:szCs w:val="21"/>
          <w:highlight w:val="none"/>
          <w:u w:val="single"/>
          <w:lang w:val="en-US" w:eastAsia="zh-CN"/>
        </w:rPr>
        <w:t>2025</w:t>
      </w:r>
      <w:r>
        <w:rPr>
          <w:rFonts w:ascii="宋体" w:hAnsi="宋体"/>
          <w:color w:val="auto"/>
          <w:sz w:val="21"/>
          <w:szCs w:val="21"/>
          <w:highlight w:val="none"/>
        </w:rPr>
        <w:t>年</w:t>
      </w:r>
      <w:r>
        <w:rPr>
          <w:rFonts w:hint="eastAsia" w:ascii="宋体" w:hAnsi="宋体"/>
          <w:color w:val="auto"/>
          <w:sz w:val="21"/>
          <w:szCs w:val="21"/>
          <w:highlight w:val="none"/>
          <w:u w:val="single"/>
          <w:lang w:val="en-US" w:eastAsia="zh-CN"/>
        </w:rPr>
        <w:t xml:space="preserve"> 07</w:t>
      </w:r>
      <w:r>
        <w:rPr>
          <w:rFonts w:ascii="宋体" w:hAnsi="宋体"/>
          <w:color w:val="auto"/>
          <w:sz w:val="21"/>
          <w:szCs w:val="21"/>
          <w:highlight w:val="none"/>
        </w:rPr>
        <w:t>月</w:t>
      </w:r>
      <w:r>
        <w:rPr>
          <w:rFonts w:hint="eastAsia" w:ascii="宋体" w:hAnsi="宋体"/>
          <w:color w:val="auto"/>
          <w:sz w:val="21"/>
          <w:szCs w:val="21"/>
          <w:highlight w:val="none"/>
          <w:u w:val="single"/>
          <w:lang w:val="en-US" w:eastAsia="zh-CN"/>
        </w:rPr>
        <w:t xml:space="preserve"> 22 </w:t>
      </w:r>
      <w:r>
        <w:rPr>
          <w:rFonts w:ascii="宋体" w:hAnsi="宋体"/>
          <w:color w:val="auto"/>
          <w:sz w:val="21"/>
          <w:szCs w:val="21"/>
          <w:highlight w:val="none"/>
        </w:rPr>
        <w:t>日</w:t>
      </w:r>
      <w:r>
        <w:rPr>
          <w:rFonts w:hint="eastAsia" w:ascii="宋体" w:hAnsi="宋体"/>
          <w:color w:val="auto"/>
          <w:sz w:val="21"/>
          <w:szCs w:val="21"/>
          <w:highlight w:val="none"/>
          <w:u w:val="single"/>
          <w:lang w:val="en-US" w:eastAsia="zh-CN"/>
        </w:rPr>
        <w:t xml:space="preserve">09:00 </w:t>
      </w:r>
      <w:r>
        <w:rPr>
          <w:rFonts w:ascii="宋体" w:hAnsi="宋体"/>
          <w:color w:val="auto"/>
          <w:sz w:val="21"/>
          <w:szCs w:val="21"/>
          <w:highlight w:val="none"/>
        </w:rPr>
        <w:t>时</w:t>
      </w:r>
      <w:r>
        <w:rPr>
          <w:rFonts w:hint="eastAsia" w:ascii="宋体" w:hAnsi="宋体" w:cs="宋体"/>
          <w:color w:val="auto"/>
          <w:sz w:val="21"/>
          <w:szCs w:val="21"/>
          <w:highlight w:val="none"/>
        </w:rPr>
        <w:t>（北京时间）</w:t>
      </w:r>
      <w:r>
        <w:rPr>
          <w:rFonts w:hint="eastAsia" w:ascii="宋体" w:hAnsi="宋体" w:cs="宋体"/>
          <w:color w:val="auto"/>
          <w:sz w:val="21"/>
          <w:szCs w:val="21"/>
          <w:highlight w:val="none"/>
        </w:rPr>
        <w:t>，逾期不受理；</w:t>
      </w:r>
    </w:p>
    <w:p w14:paraId="608E3978">
      <w:pPr>
        <w:pStyle w:val="12"/>
        <w:keepLines w:val="0"/>
        <w:pageBreakBefore w:val="0"/>
        <w:kinsoku/>
        <w:wordWrap/>
        <w:overflowPunct/>
        <w:topLinePunct w:val="0"/>
        <w:bidi w:val="0"/>
        <w:adjustRightInd w:val="0"/>
        <w:snapToGrid w:val="0"/>
        <w:spacing w:line="440" w:lineRule="exact"/>
        <w:ind w:firstLine="420" w:firstLineChars="200"/>
        <w:textAlignment w:val="auto"/>
        <w:rPr>
          <w:rFonts w:hint="eastAsia" w:hAnsi="宋体" w:cs="宋体"/>
          <w:b/>
          <w:strike/>
          <w:color w:val="auto"/>
          <w:szCs w:val="21"/>
          <w:highlight w:val="none"/>
        </w:rPr>
      </w:pPr>
      <w:r>
        <w:rPr>
          <w:rFonts w:hint="eastAsia" w:hAnsi="宋体" w:cs="宋体"/>
          <w:bCs/>
          <w:color w:val="auto"/>
          <w:szCs w:val="21"/>
          <w:highlight w:val="none"/>
        </w:rPr>
        <w:t>1</w:t>
      </w:r>
      <w:r>
        <w:rPr>
          <w:rFonts w:hint="eastAsia" w:hAnsi="宋体" w:cs="宋体"/>
          <w:bCs/>
          <w:color w:val="auto"/>
          <w:szCs w:val="21"/>
          <w:highlight w:val="none"/>
          <w:lang w:val="en-US" w:eastAsia="zh-CN"/>
        </w:rPr>
        <w:t>6</w:t>
      </w:r>
      <w:r>
        <w:rPr>
          <w:rFonts w:hint="eastAsia" w:hAnsi="宋体" w:cs="宋体"/>
          <w:bCs/>
          <w:color w:val="auto"/>
          <w:szCs w:val="21"/>
          <w:highlight w:val="none"/>
        </w:rPr>
        <w:t>.2开标地点：开化县公共资源交易中心开标区(开化县凤凰南路2号5楼)。</w:t>
      </w:r>
    </w:p>
    <w:p w14:paraId="0B4DA1BC">
      <w:pPr>
        <w:keepLines w:val="0"/>
        <w:pageBreakBefore w:val="0"/>
        <w:kinsoku/>
        <w:wordWrap/>
        <w:overflowPunct/>
        <w:topLinePunct w:val="0"/>
        <w:bidi w:val="0"/>
        <w:spacing w:line="440" w:lineRule="exact"/>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.投标文件的补充、修改和撤回</w:t>
      </w:r>
    </w:p>
    <w:p w14:paraId="5A2F4A0B">
      <w:pPr>
        <w:keepLines w:val="0"/>
        <w:pageBreakBefore w:val="0"/>
        <w:kinsoku/>
        <w:wordWrap/>
        <w:overflowPunct/>
        <w:topLinePunct w:val="0"/>
        <w:autoSpaceDE w:val="0"/>
        <w:autoSpaceDN w:val="0"/>
        <w:bidi w:val="0"/>
        <w:adjustRightInd w:val="0"/>
        <w:snapToGrid w:val="0"/>
        <w:spacing w:line="44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.1</w:t>
      </w:r>
      <w:r>
        <w:rPr>
          <w:rFonts w:hint="eastAsia" w:ascii="宋体" w:hAnsi="宋体" w:cs="宋体"/>
          <w:color w:val="auto"/>
          <w:szCs w:val="21"/>
          <w:highlight w:val="none"/>
        </w:rPr>
        <w:t>投标人应当在投标截止时间前完成投标文件的传输递交，投标截止时间前可以补充、修改或者撤回投标文件。补充或者修改投标文件的，应当先行撤回原文件，补充、修改后重新传输递交。投标截止时间前未完成传输的，视为未提供投标文件，投标无效。投标截止时间后递交的投标文件，将被政采云平台拒收。</w:t>
      </w:r>
    </w:p>
    <w:p w14:paraId="2A6F4415">
      <w:pPr>
        <w:keepLines w:val="0"/>
        <w:pageBreakBefore w:val="0"/>
        <w:kinsoku/>
        <w:wordWrap/>
        <w:overflowPunct/>
        <w:topLinePunct w:val="0"/>
        <w:bidi w:val="0"/>
        <w:spacing w:line="440" w:lineRule="exact"/>
        <w:ind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.2投标人修改后的投标文件应按原来的规定编制、标记和递交。</w:t>
      </w:r>
    </w:p>
    <w:p w14:paraId="4E39E903">
      <w:pPr>
        <w:keepLines w:val="0"/>
        <w:pageBreakBefore w:val="0"/>
        <w:kinsoku/>
        <w:wordWrap/>
        <w:overflowPunct/>
        <w:topLinePunct w:val="0"/>
        <w:bidi w:val="0"/>
        <w:snapToGrid w:val="0"/>
        <w:spacing w:line="44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.3在递交投标文件截止期之后，投标人不得对其投标文件做任何修改。</w:t>
      </w:r>
    </w:p>
    <w:p w14:paraId="26981762">
      <w:pPr>
        <w:keepLines w:val="0"/>
        <w:pageBreakBefore w:val="0"/>
        <w:kinsoku/>
        <w:wordWrap/>
        <w:overflowPunct/>
        <w:topLinePunct w:val="0"/>
        <w:bidi w:val="0"/>
        <w:snapToGrid w:val="0"/>
        <w:spacing w:line="44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.4递交投标文件截止期后，投标人不得撤回其投标文件。</w:t>
      </w:r>
    </w:p>
    <w:p w14:paraId="0BA47A3F">
      <w:pPr>
        <w:keepLines w:val="0"/>
        <w:pageBreakBefore w:val="0"/>
        <w:kinsoku/>
        <w:wordWrap/>
        <w:overflowPunct/>
        <w:topLinePunct w:val="0"/>
        <w:bidi w:val="0"/>
        <w:snapToGrid w:val="0"/>
        <w:spacing w:line="440" w:lineRule="exact"/>
        <w:ind w:firstLine="420" w:firstLineChars="200"/>
        <w:textAlignment w:val="auto"/>
        <w:outlineLvl w:val="9"/>
        <w:rPr>
          <w:rFonts w:hint="eastAsia" w:ascii="宋体" w:hAnsi="宋体" w:cs="宋体"/>
          <w:b/>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.5实质上没有响应本文件要求的投标文件将被拒绝。投标人不得通过修正或撤销不合要求的偏离或保留从而使其投标文件成为实质上响应的文件。</w:t>
      </w:r>
    </w:p>
    <w:p w14:paraId="3254E339">
      <w:pPr>
        <w:keepLines w:val="0"/>
        <w:pageBreakBefore w:val="0"/>
        <w:kinsoku/>
        <w:wordWrap/>
        <w:overflowPunct/>
        <w:topLinePunct w:val="0"/>
        <w:bidi w:val="0"/>
        <w:spacing w:line="440" w:lineRule="exact"/>
        <w:jc w:val="center"/>
        <w:textAlignment w:val="auto"/>
        <w:outlineLvl w:val="2"/>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五、开标、评标</w:t>
      </w:r>
      <w:bookmarkEnd w:id="51"/>
      <w:bookmarkEnd w:id="52"/>
      <w:r>
        <w:rPr>
          <w:rFonts w:hint="eastAsia" w:ascii="宋体" w:hAnsi="宋体" w:cs="宋体"/>
          <w:b/>
          <w:bCs/>
          <w:color w:val="auto"/>
          <w:kern w:val="0"/>
          <w:sz w:val="28"/>
          <w:szCs w:val="28"/>
          <w:highlight w:val="none"/>
        </w:rPr>
        <w:t>和定标</w:t>
      </w:r>
      <w:bookmarkEnd w:id="53"/>
      <w:bookmarkEnd w:id="54"/>
      <w:bookmarkEnd w:id="55"/>
      <w:bookmarkEnd w:id="56"/>
    </w:p>
    <w:p w14:paraId="0047C990">
      <w:pPr>
        <w:keepLines w:val="0"/>
        <w:pageBreakBefore w:val="0"/>
        <w:kinsoku/>
        <w:wordWrap/>
        <w:overflowPunct/>
        <w:topLinePunct w:val="0"/>
        <w:bidi w:val="0"/>
        <w:spacing w:line="440" w:lineRule="exact"/>
        <w:ind w:firstLine="413" w:firstLineChars="196"/>
        <w:jc w:val="left"/>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1</w:t>
      </w:r>
      <w:r>
        <w:rPr>
          <w:rFonts w:hint="eastAsia" w:ascii="宋体" w:hAnsi="宋体" w:cs="宋体"/>
          <w:b/>
          <w:bCs/>
          <w:color w:val="auto"/>
          <w:kern w:val="0"/>
          <w:szCs w:val="21"/>
          <w:highlight w:val="none"/>
          <w:lang w:val="en-US" w:eastAsia="zh-CN"/>
        </w:rPr>
        <w:t>8</w:t>
      </w:r>
      <w:r>
        <w:rPr>
          <w:rFonts w:hint="eastAsia" w:ascii="宋体" w:hAnsi="宋体" w:cs="宋体"/>
          <w:b/>
          <w:bCs/>
          <w:color w:val="auto"/>
          <w:kern w:val="0"/>
          <w:szCs w:val="21"/>
          <w:highlight w:val="none"/>
        </w:rPr>
        <w:t>.开评标程序</w:t>
      </w:r>
      <w:r>
        <w:rPr>
          <w:rFonts w:hint="eastAsia" w:ascii="宋体" w:hAnsi="宋体" w:cs="宋体"/>
          <w:b/>
          <w:bCs/>
          <w:color w:val="auto"/>
          <w:sz w:val="21"/>
          <w:szCs w:val="21"/>
          <w:lang w:eastAsia="zh-CN"/>
        </w:rPr>
        <w:t>（</w:t>
      </w:r>
      <w:r>
        <w:rPr>
          <w:rFonts w:hint="eastAsia" w:ascii="宋体" w:hAnsi="宋体" w:cs="宋体"/>
          <w:b/>
          <w:bCs/>
          <w:color w:val="auto"/>
          <w:sz w:val="21"/>
          <w:szCs w:val="21"/>
          <w:lang w:val="en-US" w:eastAsia="zh-CN"/>
        </w:rPr>
        <w:t>标项1、标项2</w:t>
      </w:r>
      <w:r>
        <w:rPr>
          <w:rFonts w:hint="eastAsia" w:ascii="宋体" w:hAnsi="宋体" w:cs="宋体"/>
          <w:b/>
          <w:bCs/>
          <w:color w:val="auto"/>
          <w:sz w:val="21"/>
          <w:szCs w:val="21"/>
          <w:lang w:eastAsia="zh-CN"/>
        </w:rPr>
        <w:t>）</w:t>
      </w:r>
    </w:p>
    <w:p w14:paraId="4FC3BCBA">
      <w:pPr>
        <w:keepLines w:val="0"/>
        <w:pageBreakBefore w:val="0"/>
        <w:kinsoku/>
        <w:wordWrap/>
        <w:overflowPunct/>
        <w:topLinePunct w:val="0"/>
        <w:bidi w:val="0"/>
        <w:spacing w:line="44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采购代理机构将按照招标文件规定的时间、地点和程序组织开标，投标人应派法定代表人或其授权委托人准时参加线上开标会议，无关人员不得进入开标现场。投标人如未准时在线参加的，事后不得对采购相关人员、开标过程和开标结果提出异议。</w:t>
      </w:r>
    </w:p>
    <w:p w14:paraId="79D74C5B">
      <w:pPr>
        <w:pStyle w:val="12"/>
        <w:keepLines w:val="0"/>
        <w:pageBreakBefore w:val="0"/>
        <w:kinsoku/>
        <w:wordWrap/>
        <w:overflowPunct/>
        <w:topLinePunct w:val="0"/>
        <w:bidi w:val="0"/>
        <w:snapToGrid w:val="0"/>
        <w:spacing w:line="440" w:lineRule="exact"/>
        <w:ind w:firstLine="413" w:firstLineChars="196"/>
        <w:textAlignment w:val="auto"/>
        <w:rPr>
          <w:rFonts w:hint="eastAsia" w:hAnsi="宋体" w:cs="宋体"/>
          <w:b/>
          <w:bCs/>
          <w:color w:val="auto"/>
          <w:szCs w:val="21"/>
          <w:highlight w:val="none"/>
        </w:rPr>
      </w:pPr>
      <w:r>
        <w:rPr>
          <w:rFonts w:hint="eastAsia" w:hAnsi="宋体" w:cs="宋体"/>
          <w:b/>
          <w:color w:val="auto"/>
          <w:szCs w:val="21"/>
          <w:highlight w:val="none"/>
        </w:rPr>
        <w:t>1</w:t>
      </w:r>
      <w:r>
        <w:rPr>
          <w:rFonts w:hint="eastAsia" w:hAnsi="宋体" w:cs="宋体"/>
          <w:b/>
          <w:color w:val="auto"/>
          <w:szCs w:val="21"/>
          <w:highlight w:val="none"/>
          <w:lang w:val="en-US" w:eastAsia="zh-CN"/>
        </w:rPr>
        <w:t>8</w:t>
      </w:r>
      <w:r>
        <w:rPr>
          <w:rFonts w:hint="eastAsia" w:hAnsi="宋体" w:cs="宋体"/>
          <w:b/>
          <w:color w:val="auto"/>
          <w:szCs w:val="21"/>
          <w:highlight w:val="none"/>
        </w:rPr>
        <w:t>.2</w:t>
      </w:r>
      <w:r>
        <w:rPr>
          <w:rFonts w:hint="eastAsia" w:hAnsi="宋体" w:cs="宋体"/>
          <w:b/>
          <w:bCs/>
          <w:color w:val="auto"/>
          <w:szCs w:val="21"/>
          <w:highlight w:val="none"/>
        </w:rPr>
        <w:t>开标及评审程序</w:t>
      </w:r>
    </w:p>
    <w:p w14:paraId="721F4970">
      <w:pPr>
        <w:keepLines w:val="0"/>
        <w:pageBreakBefore w:val="0"/>
        <w:kinsoku/>
        <w:wordWrap/>
        <w:overflowPunct/>
        <w:topLinePunct w:val="0"/>
        <w:bidi w:val="0"/>
        <w:spacing w:line="44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.2.1采购代理机构落实工作场地、设施，检查录音录像采集设备运行情况，验证电子交易平台是否能正常登录；</w:t>
      </w:r>
    </w:p>
    <w:p w14:paraId="642FDCF7">
      <w:pPr>
        <w:keepLines w:val="0"/>
        <w:pageBreakBefore w:val="0"/>
        <w:kinsoku/>
        <w:wordWrap/>
        <w:overflowPunct/>
        <w:topLinePunct w:val="0"/>
        <w:bidi w:val="0"/>
        <w:spacing w:line="44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.2.2开标由采购代理机构主持，主持人介绍开标现场的人员情况，告知投标人代表相关权利、义务、开评标纪律、应当回避的情形等注意事项；</w:t>
      </w:r>
    </w:p>
    <w:p w14:paraId="26A1B0B8">
      <w:pPr>
        <w:keepLines w:val="0"/>
        <w:pageBreakBefore w:val="0"/>
        <w:kinsoku/>
        <w:wordWrap/>
        <w:overflowPunct/>
        <w:topLinePunct w:val="0"/>
        <w:bidi w:val="0"/>
        <w:spacing w:line="44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.2.3投标截止时，电子交易平台自动提取所有电子投标文件。采购代理机构点击[开始解密]按钮后，投标人用“项目采购-开标评标”功能对投标文件进行在线解密。解密时限为30分钟；</w:t>
      </w:r>
    </w:p>
    <w:p w14:paraId="07A38DC8">
      <w:pPr>
        <w:keepLines w:val="0"/>
        <w:pageBreakBefore w:val="0"/>
        <w:kinsoku/>
        <w:wordWrap/>
        <w:overflowPunct/>
        <w:topLinePunct w:val="0"/>
        <w:bidi w:val="0"/>
        <w:spacing w:line="44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.2.4投标人应当在解密时限内完成解密，如所有投标人的电子投标文件都已经解密完成的，则电子交易平台自动结束解密。如有任一投标人未解密，电子交易平台会在解密时限截止时自动结束解密；</w:t>
      </w:r>
    </w:p>
    <w:p w14:paraId="091A1E33">
      <w:pPr>
        <w:keepLines w:val="0"/>
        <w:pageBreakBefore w:val="0"/>
        <w:kinsoku/>
        <w:wordWrap/>
        <w:overflowPunct/>
        <w:topLinePunct w:val="0"/>
        <w:bidi w:val="0"/>
        <w:spacing w:line="44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.2.5解密时限内未完成解密且按规定提供了备份投标文件的，招标方将拆封其备份投标文件，并导入电子交易平台；</w:t>
      </w:r>
    </w:p>
    <w:p w14:paraId="193593DC">
      <w:pPr>
        <w:keepLines w:val="0"/>
        <w:pageBreakBefore w:val="0"/>
        <w:kinsoku/>
        <w:wordWrap/>
        <w:overflowPunct/>
        <w:topLinePunct w:val="0"/>
        <w:bidi w:val="0"/>
        <w:spacing w:line="44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.2.6由采购人代表对资格证明文件进行评审，公布资格证明文件评审结果；</w:t>
      </w:r>
    </w:p>
    <w:p w14:paraId="61FFFD3C">
      <w:pPr>
        <w:keepLines w:val="0"/>
        <w:pageBreakBefore w:val="0"/>
        <w:kinsoku/>
        <w:wordWrap/>
        <w:overflowPunct/>
        <w:topLinePunct w:val="0"/>
        <w:bidi w:val="0"/>
        <w:spacing w:line="44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.2.7由评标委员会对技术商务文件进行评审，公布商务和技术评审无效投标人名称及理由，有效投标人的商务和技术得分情况；</w:t>
      </w:r>
    </w:p>
    <w:p w14:paraId="688BE651">
      <w:pPr>
        <w:keepLines w:val="0"/>
        <w:pageBreakBefore w:val="0"/>
        <w:kinsoku/>
        <w:wordWrap/>
        <w:overflowPunct/>
        <w:topLinePunct w:val="0"/>
        <w:bidi w:val="0"/>
        <w:spacing w:line="44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bCs/>
          <w:color w:val="auto"/>
          <w:szCs w:val="21"/>
          <w:highlight w:val="none"/>
        </w:rPr>
        <w:t>1</w:t>
      </w:r>
      <w:r>
        <w:rPr>
          <w:rFonts w:hint="eastAsia" w:ascii="宋体" w:hAnsi="宋体" w:cs="宋体"/>
          <w:bCs/>
          <w:color w:val="auto"/>
          <w:szCs w:val="21"/>
          <w:highlight w:val="none"/>
          <w:lang w:val="en-US" w:eastAsia="zh-CN"/>
        </w:rPr>
        <w:t>8</w:t>
      </w:r>
      <w:r>
        <w:rPr>
          <w:rFonts w:hint="eastAsia" w:ascii="宋体" w:hAnsi="宋体" w:cs="宋体"/>
          <w:bCs/>
          <w:color w:val="auto"/>
          <w:szCs w:val="21"/>
          <w:highlight w:val="none"/>
        </w:rPr>
        <w:t>.2.8</w:t>
      </w:r>
      <w:r>
        <w:rPr>
          <w:rFonts w:hint="eastAsia" w:ascii="宋体" w:hAnsi="宋体" w:cs="宋体"/>
          <w:color w:val="auto"/>
          <w:kern w:val="0"/>
          <w:szCs w:val="21"/>
          <w:highlight w:val="none"/>
        </w:rPr>
        <w:t>在电子交易平台开启投标人的报价文件信息，投标人对报价信息进行确认。投标人对报价信息不予确认的不影响后续评标过程；</w:t>
      </w:r>
    </w:p>
    <w:p w14:paraId="65861F5C">
      <w:pPr>
        <w:keepLines w:val="0"/>
        <w:pageBreakBefore w:val="0"/>
        <w:kinsoku/>
        <w:wordWrap/>
        <w:overflowPunct/>
        <w:topLinePunct w:val="0"/>
        <w:bidi w:val="0"/>
        <w:spacing w:line="44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.2.9评标委员会对报价情况进行评审；</w:t>
      </w:r>
    </w:p>
    <w:p w14:paraId="3845EAB6">
      <w:pPr>
        <w:keepLines w:val="0"/>
        <w:pageBreakBefore w:val="0"/>
        <w:kinsoku/>
        <w:wordWrap/>
        <w:overflowPunct/>
        <w:topLinePunct w:val="0"/>
        <w:bidi w:val="0"/>
        <w:spacing w:line="44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w:t>
      </w:r>
      <w:r>
        <w:rPr>
          <w:rFonts w:hint="eastAsia" w:ascii="宋体" w:hAnsi="宋体" w:cs="宋体"/>
          <w:bCs/>
          <w:color w:val="auto"/>
          <w:szCs w:val="21"/>
          <w:highlight w:val="none"/>
          <w:lang w:val="en-US" w:eastAsia="zh-CN"/>
        </w:rPr>
        <w:t>8</w:t>
      </w:r>
      <w:r>
        <w:rPr>
          <w:rFonts w:hint="eastAsia" w:ascii="宋体" w:hAnsi="宋体" w:cs="宋体"/>
          <w:bCs/>
          <w:color w:val="auto"/>
          <w:szCs w:val="21"/>
          <w:highlight w:val="none"/>
        </w:rPr>
        <w:t>.2.10公布评审结果。</w:t>
      </w:r>
    </w:p>
    <w:p w14:paraId="24165507">
      <w:pPr>
        <w:keepLines w:val="0"/>
        <w:pageBreakBefore w:val="0"/>
        <w:kinsoku/>
        <w:wordWrap/>
        <w:overflowPunct/>
        <w:topLinePunct w:val="0"/>
        <w:bidi w:val="0"/>
        <w:spacing w:line="440" w:lineRule="exact"/>
        <w:ind w:firstLine="413" w:firstLineChars="196"/>
        <w:jc w:val="left"/>
        <w:textAlignment w:val="auto"/>
        <w:rPr>
          <w:rFonts w:hint="eastAsia" w:ascii="宋体" w:hAnsi="宋体" w:cs="宋体"/>
          <w:color w:val="auto"/>
          <w:kern w:val="0"/>
          <w:szCs w:val="21"/>
          <w:highlight w:val="none"/>
        </w:rPr>
      </w:pPr>
      <w:r>
        <w:rPr>
          <w:rFonts w:hint="eastAsia" w:ascii="宋体" w:hAnsi="宋体" w:cs="宋体"/>
          <w:b/>
          <w:bCs/>
          <w:color w:val="auto"/>
          <w:kern w:val="0"/>
          <w:szCs w:val="21"/>
          <w:highlight w:val="none"/>
          <w:lang w:val="en-US" w:eastAsia="zh-CN"/>
        </w:rPr>
        <w:t>19</w:t>
      </w:r>
      <w:r>
        <w:rPr>
          <w:rFonts w:hint="eastAsia" w:ascii="宋体" w:hAnsi="宋体" w:cs="宋体"/>
          <w:b/>
          <w:bCs/>
          <w:color w:val="auto"/>
          <w:kern w:val="0"/>
          <w:szCs w:val="21"/>
          <w:highlight w:val="none"/>
        </w:rPr>
        <w:t>.</w:t>
      </w:r>
      <w:r>
        <w:rPr>
          <w:rFonts w:hint="eastAsia" w:ascii="宋体" w:hAnsi="宋体" w:cs="宋体"/>
          <w:b/>
          <w:color w:val="auto"/>
          <w:kern w:val="0"/>
          <w:szCs w:val="21"/>
          <w:highlight w:val="none"/>
        </w:rPr>
        <w:t>组建</w:t>
      </w:r>
      <w:r>
        <w:rPr>
          <w:rFonts w:hint="eastAsia" w:ascii="宋体" w:hAnsi="宋体" w:cs="宋体"/>
          <w:b/>
          <w:bCs/>
          <w:color w:val="auto"/>
          <w:kern w:val="0"/>
          <w:szCs w:val="21"/>
          <w:highlight w:val="none"/>
        </w:rPr>
        <w:t>评标委员会</w:t>
      </w:r>
    </w:p>
    <w:p w14:paraId="6EB0267D">
      <w:pPr>
        <w:keepLines w:val="0"/>
        <w:pageBreakBefore w:val="0"/>
        <w:kinsoku/>
        <w:wordWrap/>
        <w:overflowPunct/>
        <w:topLinePunct w:val="0"/>
        <w:bidi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kern w:val="0"/>
          <w:szCs w:val="21"/>
          <w:highlight w:val="none"/>
          <w:lang w:val="en-US" w:eastAsia="zh-CN"/>
        </w:rPr>
        <w:t>19</w:t>
      </w:r>
      <w:r>
        <w:rPr>
          <w:rFonts w:hint="eastAsia" w:ascii="宋体" w:hAnsi="宋体" w:cs="宋体"/>
          <w:color w:val="auto"/>
          <w:kern w:val="0"/>
          <w:szCs w:val="21"/>
          <w:highlight w:val="none"/>
        </w:rPr>
        <w:t>.1评标工作由评标委员会负责，</w:t>
      </w:r>
      <w:r>
        <w:rPr>
          <w:rFonts w:hint="eastAsia" w:ascii="宋体" w:hAnsi="宋体" w:cs="宋体"/>
          <w:color w:val="auto"/>
          <w:szCs w:val="21"/>
          <w:highlight w:val="none"/>
        </w:rPr>
        <w:t>评标委员会由采购人代表和评审专家组成，成员人数为</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人，其中评审专家不得少于成员总数的三分之二。</w:t>
      </w:r>
    </w:p>
    <w:p w14:paraId="16086C99">
      <w:pPr>
        <w:keepLines w:val="0"/>
        <w:pageBreakBefore w:val="0"/>
        <w:kinsoku/>
        <w:wordWrap/>
        <w:overflowPunct/>
        <w:topLinePunct w:val="0"/>
        <w:bidi w:val="0"/>
        <w:spacing w:line="440" w:lineRule="exact"/>
        <w:ind w:firstLine="42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19</w:t>
      </w:r>
      <w:r>
        <w:rPr>
          <w:rFonts w:hint="eastAsia" w:ascii="宋体" w:hAnsi="宋体" w:cs="宋体"/>
          <w:color w:val="auto"/>
          <w:kern w:val="0"/>
          <w:szCs w:val="21"/>
          <w:highlight w:val="none"/>
        </w:rPr>
        <w:t>.2</w:t>
      </w:r>
      <w:r>
        <w:rPr>
          <w:rFonts w:hint="eastAsia" w:ascii="宋体" w:hAnsi="宋体" w:cs="宋体"/>
          <w:color w:val="auto"/>
          <w:szCs w:val="21"/>
          <w:highlight w:val="none"/>
        </w:rPr>
        <w:t>评标组长</w:t>
      </w:r>
      <w:r>
        <w:rPr>
          <w:rFonts w:hint="eastAsia" w:ascii="宋体" w:hAnsi="宋体" w:cs="宋体"/>
          <w:color w:val="auto"/>
          <w:kern w:val="0"/>
          <w:szCs w:val="21"/>
          <w:highlight w:val="none"/>
        </w:rPr>
        <w:t>由</w:t>
      </w:r>
      <w:r>
        <w:rPr>
          <w:rFonts w:hint="eastAsia" w:ascii="宋体" w:hAnsi="宋体" w:cs="宋体"/>
          <w:bCs/>
          <w:color w:val="auto"/>
          <w:kern w:val="0"/>
          <w:szCs w:val="21"/>
          <w:highlight w:val="none"/>
        </w:rPr>
        <w:t>评标委员会</w:t>
      </w:r>
      <w:r>
        <w:rPr>
          <w:rFonts w:hint="eastAsia" w:ascii="宋体" w:hAnsi="宋体" w:cs="宋体"/>
          <w:color w:val="auto"/>
          <w:kern w:val="0"/>
          <w:szCs w:val="21"/>
          <w:highlight w:val="none"/>
        </w:rPr>
        <w:t>成员推荐产生，采购人代表不得担任</w:t>
      </w:r>
      <w:r>
        <w:rPr>
          <w:rFonts w:hint="eastAsia" w:ascii="宋体" w:hAnsi="宋体" w:cs="宋体"/>
          <w:color w:val="auto"/>
          <w:szCs w:val="21"/>
          <w:highlight w:val="none"/>
        </w:rPr>
        <w:t>评标组长。</w:t>
      </w:r>
    </w:p>
    <w:p w14:paraId="24532251">
      <w:pPr>
        <w:keepLines w:val="0"/>
        <w:pageBreakBefore w:val="0"/>
        <w:kinsoku/>
        <w:wordWrap/>
        <w:overflowPunct/>
        <w:topLinePunct w:val="0"/>
        <w:bidi w:val="0"/>
        <w:spacing w:line="440" w:lineRule="exact"/>
        <w:ind w:firstLine="413" w:firstLineChars="196"/>
        <w:jc w:val="left"/>
        <w:textAlignment w:val="auto"/>
        <w:rPr>
          <w:rFonts w:hint="eastAsia" w:ascii="宋体" w:hAnsi="宋体" w:cs="宋体"/>
          <w:b/>
          <w:bCs/>
          <w:iCs/>
          <w:color w:val="auto"/>
          <w:kern w:val="0"/>
          <w:szCs w:val="21"/>
          <w:highlight w:val="none"/>
        </w:rPr>
      </w:pPr>
      <w:r>
        <w:rPr>
          <w:rFonts w:hint="eastAsia" w:ascii="宋体" w:hAnsi="宋体" w:cs="宋体"/>
          <w:b/>
          <w:bCs/>
          <w:iCs/>
          <w:color w:val="auto"/>
          <w:kern w:val="0"/>
          <w:szCs w:val="21"/>
          <w:highlight w:val="none"/>
        </w:rPr>
        <w:t>2</w:t>
      </w:r>
      <w:r>
        <w:rPr>
          <w:rFonts w:hint="eastAsia" w:ascii="宋体" w:hAnsi="宋体" w:cs="宋体"/>
          <w:b/>
          <w:bCs/>
          <w:iCs/>
          <w:color w:val="auto"/>
          <w:kern w:val="0"/>
          <w:szCs w:val="21"/>
          <w:highlight w:val="none"/>
          <w:lang w:val="en-US" w:eastAsia="zh-CN"/>
        </w:rPr>
        <w:t>0</w:t>
      </w:r>
      <w:r>
        <w:rPr>
          <w:rFonts w:hint="eastAsia" w:ascii="宋体" w:hAnsi="宋体" w:cs="宋体"/>
          <w:b/>
          <w:bCs/>
          <w:iCs/>
          <w:color w:val="auto"/>
          <w:kern w:val="0"/>
          <w:szCs w:val="21"/>
          <w:highlight w:val="none"/>
        </w:rPr>
        <w:t>.组织评标程序</w:t>
      </w:r>
    </w:p>
    <w:p w14:paraId="4039F3AB">
      <w:pPr>
        <w:pStyle w:val="12"/>
        <w:keepLines w:val="0"/>
        <w:pageBreakBefore w:val="0"/>
        <w:kinsoku/>
        <w:wordWrap/>
        <w:overflowPunct/>
        <w:topLinePunct w:val="0"/>
        <w:bidi w:val="0"/>
        <w:snapToGrid w:val="0"/>
        <w:spacing w:line="440" w:lineRule="exact"/>
        <w:ind w:firstLine="411" w:firstLineChars="196"/>
        <w:textAlignment w:val="auto"/>
        <w:rPr>
          <w:rFonts w:hint="eastAsia" w:hAnsi="宋体" w:cs="宋体"/>
          <w:iCs/>
          <w:color w:val="auto"/>
          <w:kern w:val="0"/>
          <w:szCs w:val="21"/>
          <w:highlight w:val="none"/>
        </w:rPr>
      </w:pPr>
      <w:r>
        <w:rPr>
          <w:rFonts w:hint="eastAsia" w:hAnsi="宋体" w:cs="宋体"/>
          <w:iCs/>
          <w:color w:val="auto"/>
          <w:kern w:val="0"/>
          <w:szCs w:val="21"/>
          <w:highlight w:val="none"/>
        </w:rPr>
        <w:t>采购组织机构要按照采购文件规定的时间、地点及程序组织评标，各评审专家及相关人员应参加评审活动并接受核验、签到，无关人员不得进入评审现场。</w:t>
      </w:r>
    </w:p>
    <w:p w14:paraId="1BD86FA8">
      <w:pPr>
        <w:pStyle w:val="12"/>
        <w:keepLines w:val="0"/>
        <w:pageBreakBefore w:val="0"/>
        <w:kinsoku/>
        <w:wordWrap/>
        <w:overflowPunct/>
        <w:topLinePunct w:val="0"/>
        <w:bidi w:val="0"/>
        <w:snapToGrid w:val="0"/>
        <w:spacing w:line="440" w:lineRule="exact"/>
        <w:ind w:firstLine="411" w:firstLineChars="196"/>
        <w:textAlignment w:val="auto"/>
        <w:rPr>
          <w:rFonts w:hint="eastAsia" w:hAnsi="宋体" w:cs="宋体"/>
          <w:iCs/>
          <w:color w:val="auto"/>
          <w:kern w:val="0"/>
          <w:szCs w:val="21"/>
          <w:highlight w:val="none"/>
        </w:rPr>
      </w:pPr>
      <w:r>
        <w:rPr>
          <w:rFonts w:hint="eastAsia" w:hAnsi="宋体" w:cs="宋体"/>
          <w:iCs/>
          <w:color w:val="auto"/>
          <w:kern w:val="0"/>
          <w:szCs w:val="21"/>
          <w:highlight w:val="none"/>
        </w:rPr>
        <w:t>2</w:t>
      </w:r>
      <w:r>
        <w:rPr>
          <w:rFonts w:hint="eastAsia" w:hAnsi="宋体" w:cs="宋体"/>
          <w:iCs/>
          <w:color w:val="auto"/>
          <w:kern w:val="0"/>
          <w:szCs w:val="21"/>
          <w:highlight w:val="none"/>
          <w:lang w:val="en-US" w:eastAsia="zh-CN"/>
        </w:rPr>
        <w:t>0</w:t>
      </w:r>
      <w:r>
        <w:rPr>
          <w:rFonts w:hint="eastAsia" w:hAnsi="宋体" w:cs="宋体"/>
          <w:iCs/>
          <w:color w:val="auto"/>
          <w:kern w:val="0"/>
          <w:szCs w:val="21"/>
          <w:highlight w:val="none"/>
        </w:rPr>
        <w:t>.1开启开标场地录音录像采集设备，并确保正常运行。</w:t>
      </w:r>
    </w:p>
    <w:p w14:paraId="1F5D5BD6">
      <w:pPr>
        <w:pStyle w:val="12"/>
        <w:keepLines w:val="0"/>
        <w:pageBreakBefore w:val="0"/>
        <w:kinsoku/>
        <w:wordWrap/>
        <w:overflowPunct/>
        <w:topLinePunct w:val="0"/>
        <w:bidi w:val="0"/>
        <w:snapToGrid w:val="0"/>
        <w:spacing w:line="440" w:lineRule="exact"/>
        <w:ind w:firstLine="411" w:firstLineChars="196"/>
        <w:textAlignment w:val="auto"/>
        <w:rPr>
          <w:rFonts w:hint="eastAsia" w:hAnsi="宋体" w:cs="宋体"/>
          <w:iCs/>
          <w:color w:val="auto"/>
          <w:kern w:val="0"/>
          <w:szCs w:val="21"/>
          <w:highlight w:val="none"/>
        </w:rPr>
      </w:pPr>
      <w:r>
        <w:rPr>
          <w:rFonts w:hint="eastAsia" w:hAnsi="宋体" w:cs="宋体"/>
          <w:iCs/>
          <w:color w:val="auto"/>
          <w:kern w:val="0"/>
          <w:szCs w:val="21"/>
          <w:highlight w:val="none"/>
        </w:rPr>
        <w:t>2</w:t>
      </w:r>
      <w:r>
        <w:rPr>
          <w:rFonts w:hint="eastAsia" w:hAnsi="宋体" w:cs="宋体"/>
          <w:iCs/>
          <w:color w:val="auto"/>
          <w:kern w:val="0"/>
          <w:szCs w:val="21"/>
          <w:highlight w:val="none"/>
          <w:lang w:val="en-US" w:eastAsia="zh-CN"/>
        </w:rPr>
        <w:t>0</w:t>
      </w:r>
      <w:r>
        <w:rPr>
          <w:rFonts w:hint="eastAsia" w:hAnsi="宋体" w:cs="宋体"/>
          <w:iCs/>
          <w:color w:val="auto"/>
          <w:kern w:val="0"/>
          <w:szCs w:val="21"/>
          <w:highlight w:val="none"/>
        </w:rPr>
        <w:t>.2按规定统一收缴、保存评标现场相关人员通讯工具。</w:t>
      </w:r>
    </w:p>
    <w:p w14:paraId="7A4CFA97">
      <w:pPr>
        <w:pStyle w:val="12"/>
        <w:keepLines w:val="0"/>
        <w:pageBreakBefore w:val="0"/>
        <w:kinsoku/>
        <w:wordWrap/>
        <w:overflowPunct/>
        <w:topLinePunct w:val="0"/>
        <w:bidi w:val="0"/>
        <w:snapToGrid w:val="0"/>
        <w:spacing w:line="440" w:lineRule="exact"/>
        <w:ind w:firstLine="411" w:firstLineChars="196"/>
        <w:textAlignment w:val="auto"/>
        <w:rPr>
          <w:rFonts w:hint="eastAsia" w:hAnsi="宋体" w:cs="宋体"/>
          <w:iCs/>
          <w:color w:val="auto"/>
          <w:kern w:val="0"/>
          <w:szCs w:val="21"/>
          <w:highlight w:val="none"/>
        </w:rPr>
      </w:pPr>
      <w:r>
        <w:rPr>
          <w:rFonts w:hint="eastAsia" w:hAnsi="宋体" w:cs="宋体"/>
          <w:iCs/>
          <w:color w:val="auto"/>
          <w:kern w:val="0"/>
          <w:szCs w:val="21"/>
          <w:highlight w:val="none"/>
        </w:rPr>
        <w:t>2</w:t>
      </w:r>
      <w:r>
        <w:rPr>
          <w:rFonts w:hint="eastAsia" w:hAnsi="宋体" w:cs="宋体"/>
          <w:iCs/>
          <w:color w:val="auto"/>
          <w:kern w:val="0"/>
          <w:szCs w:val="21"/>
          <w:highlight w:val="none"/>
          <w:lang w:val="en-US" w:eastAsia="zh-CN"/>
        </w:rPr>
        <w:t>0</w:t>
      </w:r>
      <w:r>
        <w:rPr>
          <w:rFonts w:hint="eastAsia" w:hAnsi="宋体" w:cs="宋体"/>
          <w:iCs/>
          <w:color w:val="auto"/>
          <w:kern w:val="0"/>
          <w:szCs w:val="21"/>
          <w:highlight w:val="none"/>
        </w:rPr>
        <w:t>.3介绍评审现场的人员情况，宣布评审工作纪律，告知评审人员应当回避情形；组织推选评标委员会组长。</w:t>
      </w:r>
    </w:p>
    <w:p w14:paraId="259B18C9">
      <w:pPr>
        <w:keepLines w:val="0"/>
        <w:pageBreakBefore w:val="0"/>
        <w:kinsoku/>
        <w:wordWrap/>
        <w:overflowPunct/>
        <w:topLinePunct w:val="0"/>
        <w:bidi w:val="0"/>
        <w:spacing w:line="440" w:lineRule="exact"/>
        <w:ind w:firstLine="411" w:firstLineChars="196"/>
        <w:jc w:val="left"/>
        <w:textAlignment w:val="auto"/>
        <w:rPr>
          <w:rFonts w:hint="eastAsia" w:ascii="宋体" w:hAnsi="宋体" w:cs="宋体"/>
          <w:iCs/>
          <w:color w:val="auto"/>
          <w:kern w:val="0"/>
          <w:szCs w:val="21"/>
          <w:highlight w:val="none"/>
        </w:rPr>
      </w:pPr>
      <w:r>
        <w:rPr>
          <w:rFonts w:hint="eastAsia" w:ascii="宋体" w:hAnsi="宋体" w:cs="宋体"/>
          <w:iCs/>
          <w:color w:val="auto"/>
          <w:kern w:val="0"/>
          <w:szCs w:val="21"/>
          <w:highlight w:val="none"/>
        </w:rPr>
        <w:t>2</w:t>
      </w:r>
      <w:r>
        <w:rPr>
          <w:rFonts w:hint="eastAsia" w:ascii="宋体" w:hAnsi="宋体" w:cs="宋体"/>
          <w:iCs/>
          <w:color w:val="auto"/>
          <w:kern w:val="0"/>
          <w:szCs w:val="21"/>
          <w:highlight w:val="none"/>
          <w:lang w:val="en-US" w:eastAsia="zh-CN"/>
        </w:rPr>
        <w:t>0</w:t>
      </w:r>
      <w:r>
        <w:rPr>
          <w:rFonts w:hint="eastAsia" w:ascii="宋体" w:hAnsi="宋体" w:cs="宋体"/>
          <w:iCs/>
          <w:color w:val="auto"/>
          <w:kern w:val="0"/>
          <w:szCs w:val="21"/>
          <w:highlight w:val="none"/>
        </w:rPr>
        <w:t>.4宣读提交投标文件的供应商名单，组织评标委员会各位成员签订纸质形式的《政府采购评审人员廉洁自律承诺书》。</w:t>
      </w:r>
    </w:p>
    <w:p w14:paraId="0E52AEB6">
      <w:pPr>
        <w:pStyle w:val="12"/>
        <w:keepLines w:val="0"/>
        <w:pageBreakBefore w:val="0"/>
        <w:kinsoku/>
        <w:wordWrap/>
        <w:overflowPunct/>
        <w:topLinePunct w:val="0"/>
        <w:bidi w:val="0"/>
        <w:snapToGrid w:val="0"/>
        <w:spacing w:line="440" w:lineRule="exact"/>
        <w:ind w:firstLine="420" w:firstLineChars="200"/>
        <w:textAlignment w:val="auto"/>
        <w:rPr>
          <w:rFonts w:hint="eastAsia" w:hAnsi="宋体" w:cs="宋体"/>
          <w:iCs/>
          <w:color w:val="auto"/>
          <w:kern w:val="0"/>
          <w:szCs w:val="21"/>
          <w:highlight w:val="none"/>
        </w:rPr>
      </w:pPr>
      <w:r>
        <w:rPr>
          <w:rFonts w:hint="eastAsia" w:hAnsi="宋体" w:cs="宋体"/>
          <w:iCs/>
          <w:color w:val="auto"/>
          <w:kern w:val="0"/>
          <w:szCs w:val="21"/>
          <w:highlight w:val="none"/>
        </w:rPr>
        <w:t>2</w:t>
      </w:r>
      <w:r>
        <w:rPr>
          <w:rFonts w:hint="eastAsia" w:hAnsi="宋体" w:cs="宋体"/>
          <w:iCs/>
          <w:color w:val="auto"/>
          <w:kern w:val="0"/>
          <w:szCs w:val="21"/>
          <w:highlight w:val="none"/>
          <w:lang w:val="en-US" w:eastAsia="zh-CN"/>
        </w:rPr>
        <w:t>0</w:t>
      </w:r>
      <w:r>
        <w:rPr>
          <w:rFonts w:hint="eastAsia" w:hAnsi="宋体" w:cs="宋体"/>
          <w:iCs/>
          <w:color w:val="auto"/>
          <w:kern w:val="0"/>
          <w:szCs w:val="21"/>
          <w:highlight w:val="none"/>
        </w:rPr>
        <w:t>.5采购人可以在评标前说明项目背景和采购需求，说明内容不得含有歧视性、倾向性意见，不得超出招标文件所述范围。说明应当提交书面材料，并随采购文件一并存档。</w:t>
      </w:r>
    </w:p>
    <w:p w14:paraId="4AD5C44F">
      <w:pPr>
        <w:pStyle w:val="12"/>
        <w:keepLines w:val="0"/>
        <w:pageBreakBefore w:val="0"/>
        <w:kinsoku/>
        <w:wordWrap/>
        <w:overflowPunct/>
        <w:topLinePunct w:val="0"/>
        <w:bidi w:val="0"/>
        <w:snapToGrid w:val="0"/>
        <w:spacing w:line="440" w:lineRule="exact"/>
        <w:ind w:firstLine="420" w:firstLineChars="200"/>
        <w:textAlignment w:val="auto"/>
        <w:rPr>
          <w:rFonts w:hint="eastAsia" w:hAnsi="宋体" w:cs="宋体"/>
          <w:bCs/>
          <w:color w:val="auto"/>
          <w:szCs w:val="21"/>
          <w:highlight w:val="none"/>
        </w:rPr>
      </w:pPr>
      <w:r>
        <w:rPr>
          <w:rFonts w:hint="eastAsia" w:hAnsi="宋体" w:cs="宋体"/>
          <w:bCs/>
          <w:color w:val="auto"/>
          <w:szCs w:val="21"/>
          <w:highlight w:val="none"/>
        </w:rPr>
        <w:t>2</w:t>
      </w:r>
      <w:r>
        <w:rPr>
          <w:rFonts w:hint="eastAsia" w:hAnsi="宋体" w:cs="宋体"/>
          <w:bCs/>
          <w:color w:val="auto"/>
          <w:szCs w:val="21"/>
          <w:highlight w:val="none"/>
          <w:lang w:val="en-US" w:eastAsia="zh-CN"/>
        </w:rPr>
        <w:t>0</w:t>
      </w:r>
      <w:r>
        <w:rPr>
          <w:rFonts w:hint="eastAsia" w:hAnsi="宋体" w:cs="宋体"/>
          <w:bCs/>
          <w:color w:val="auto"/>
          <w:szCs w:val="21"/>
          <w:highlight w:val="none"/>
        </w:rPr>
        <w:t>.6评标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40308D89">
      <w:pPr>
        <w:pStyle w:val="12"/>
        <w:keepLines w:val="0"/>
        <w:pageBreakBefore w:val="0"/>
        <w:kinsoku/>
        <w:wordWrap/>
        <w:overflowPunct/>
        <w:topLinePunct w:val="0"/>
        <w:bidi w:val="0"/>
        <w:snapToGrid w:val="0"/>
        <w:spacing w:line="440" w:lineRule="exact"/>
        <w:ind w:firstLine="420" w:firstLineChars="200"/>
        <w:textAlignment w:val="auto"/>
        <w:rPr>
          <w:rFonts w:hint="eastAsia" w:hAnsi="宋体" w:cs="宋体"/>
          <w:bCs/>
          <w:color w:val="auto"/>
          <w:szCs w:val="21"/>
          <w:highlight w:val="none"/>
        </w:rPr>
      </w:pPr>
      <w:r>
        <w:rPr>
          <w:rFonts w:hint="eastAsia" w:hAnsi="宋体" w:cs="宋体"/>
          <w:bCs/>
          <w:color w:val="auto"/>
          <w:szCs w:val="21"/>
          <w:highlight w:val="none"/>
        </w:rPr>
        <w:t>2</w:t>
      </w:r>
      <w:r>
        <w:rPr>
          <w:rFonts w:hint="eastAsia" w:hAnsi="宋体" w:cs="宋体"/>
          <w:bCs/>
          <w:color w:val="auto"/>
          <w:szCs w:val="21"/>
          <w:highlight w:val="none"/>
          <w:lang w:val="en-US" w:eastAsia="zh-CN"/>
        </w:rPr>
        <w:t>0</w:t>
      </w:r>
      <w:r>
        <w:rPr>
          <w:rFonts w:hint="eastAsia" w:hAnsi="宋体" w:cs="宋体"/>
          <w:bCs/>
          <w:color w:val="auto"/>
          <w:szCs w:val="21"/>
          <w:highlight w:val="none"/>
        </w:rPr>
        <w:t>.7评标委员会对各供应商投标文件的有效性、完整性和响应程度进行审查，确定是否对招标文件作出实质性响应。</w:t>
      </w:r>
    </w:p>
    <w:p w14:paraId="3C9A98F0">
      <w:pPr>
        <w:pStyle w:val="12"/>
        <w:keepLines w:val="0"/>
        <w:pageBreakBefore w:val="0"/>
        <w:kinsoku/>
        <w:wordWrap/>
        <w:overflowPunct/>
        <w:topLinePunct w:val="0"/>
        <w:bidi w:val="0"/>
        <w:snapToGrid w:val="0"/>
        <w:spacing w:line="440" w:lineRule="exact"/>
        <w:ind w:firstLine="420" w:firstLineChars="200"/>
        <w:textAlignment w:val="auto"/>
        <w:rPr>
          <w:rFonts w:hint="eastAsia" w:hAnsi="宋体" w:cs="宋体"/>
          <w:bCs/>
          <w:color w:val="auto"/>
          <w:szCs w:val="21"/>
          <w:highlight w:val="none"/>
        </w:rPr>
      </w:pPr>
      <w:r>
        <w:rPr>
          <w:rFonts w:hint="eastAsia" w:hAnsi="宋体" w:cs="宋体"/>
          <w:bCs/>
          <w:color w:val="auto"/>
          <w:szCs w:val="21"/>
          <w:highlight w:val="none"/>
        </w:rPr>
        <w:t>2</w:t>
      </w:r>
      <w:r>
        <w:rPr>
          <w:rFonts w:hint="eastAsia" w:hAnsi="宋体" w:cs="宋体"/>
          <w:bCs/>
          <w:color w:val="auto"/>
          <w:szCs w:val="21"/>
          <w:highlight w:val="none"/>
          <w:lang w:val="en-US" w:eastAsia="zh-CN"/>
        </w:rPr>
        <w:t>0</w:t>
      </w:r>
      <w:r>
        <w:rPr>
          <w:rFonts w:hint="eastAsia" w:hAnsi="宋体" w:cs="宋体"/>
          <w:bCs/>
          <w:color w:val="auto"/>
          <w:szCs w:val="21"/>
          <w:highlight w:val="none"/>
        </w:rPr>
        <w:t>.8评标委员会按招标文件规定的评审方法和评审标准，依法独立对供应商投标文件进行评估、比较，并给予评价或打分，不受任何单位和个人的干预。</w:t>
      </w:r>
    </w:p>
    <w:p w14:paraId="5D3064FF">
      <w:pPr>
        <w:pStyle w:val="12"/>
        <w:keepLines w:val="0"/>
        <w:pageBreakBefore w:val="0"/>
        <w:kinsoku/>
        <w:wordWrap/>
        <w:overflowPunct/>
        <w:topLinePunct w:val="0"/>
        <w:bidi w:val="0"/>
        <w:snapToGrid w:val="0"/>
        <w:spacing w:line="440" w:lineRule="exact"/>
        <w:ind w:firstLine="420" w:firstLineChars="200"/>
        <w:textAlignment w:val="auto"/>
        <w:rPr>
          <w:rFonts w:hint="eastAsia" w:hAnsi="宋体" w:cs="宋体"/>
          <w:bCs/>
          <w:color w:val="auto"/>
          <w:szCs w:val="21"/>
          <w:highlight w:val="none"/>
        </w:rPr>
      </w:pPr>
      <w:r>
        <w:rPr>
          <w:rFonts w:hint="eastAsia" w:hAnsi="宋体" w:cs="宋体"/>
          <w:bCs/>
          <w:color w:val="auto"/>
          <w:szCs w:val="21"/>
          <w:highlight w:val="none"/>
        </w:rPr>
        <w:t>2</w:t>
      </w:r>
      <w:r>
        <w:rPr>
          <w:rFonts w:hint="eastAsia" w:hAnsi="宋体" w:cs="宋体"/>
          <w:bCs/>
          <w:color w:val="auto"/>
          <w:szCs w:val="21"/>
          <w:highlight w:val="none"/>
          <w:lang w:val="en-US" w:eastAsia="zh-CN"/>
        </w:rPr>
        <w:t>0</w:t>
      </w:r>
      <w:r>
        <w:rPr>
          <w:rFonts w:hint="eastAsia" w:hAnsi="宋体" w:cs="宋体"/>
          <w:bCs/>
          <w:color w:val="auto"/>
          <w:szCs w:val="21"/>
          <w:highlight w:val="none"/>
        </w:rPr>
        <w:t>.9评标委员会对各供应商投标文件非实质性内容有疑议或异议，或者审查发现明显的文字或计算错误等，及时向评标组长提出。经评标委员会商议认为需要供应商作出必要澄清或说明的，应通过政采云平台线上发送询标函给供应商，供应商应通过政采云平台线上及时作出澄清或说明。询标函及澄清说明文件应作为政府采购项目档案归档留存。</w:t>
      </w:r>
    </w:p>
    <w:p w14:paraId="390363F4">
      <w:pPr>
        <w:pStyle w:val="12"/>
        <w:keepLines w:val="0"/>
        <w:pageBreakBefore w:val="0"/>
        <w:kinsoku/>
        <w:wordWrap/>
        <w:overflowPunct/>
        <w:topLinePunct w:val="0"/>
        <w:bidi w:val="0"/>
        <w:snapToGrid w:val="0"/>
        <w:spacing w:line="440" w:lineRule="exact"/>
        <w:ind w:firstLine="420" w:firstLineChars="200"/>
        <w:textAlignment w:val="auto"/>
        <w:rPr>
          <w:rFonts w:hint="eastAsia" w:hAnsi="宋体" w:cs="宋体"/>
          <w:bCs/>
          <w:color w:val="auto"/>
          <w:szCs w:val="21"/>
          <w:highlight w:val="none"/>
        </w:rPr>
      </w:pPr>
      <w:r>
        <w:rPr>
          <w:rFonts w:hint="eastAsia" w:hAnsi="宋体" w:cs="宋体"/>
          <w:bCs/>
          <w:color w:val="auto"/>
          <w:szCs w:val="21"/>
          <w:highlight w:val="none"/>
        </w:rPr>
        <w:t>2</w:t>
      </w:r>
      <w:r>
        <w:rPr>
          <w:rFonts w:hint="eastAsia" w:hAnsi="宋体" w:cs="宋体"/>
          <w:bCs/>
          <w:color w:val="auto"/>
          <w:szCs w:val="21"/>
          <w:highlight w:val="none"/>
          <w:lang w:val="en-US" w:eastAsia="zh-CN"/>
        </w:rPr>
        <w:t>0</w:t>
      </w:r>
      <w:r>
        <w:rPr>
          <w:rFonts w:hint="eastAsia" w:hAnsi="宋体" w:cs="宋体"/>
          <w:bCs/>
          <w:color w:val="auto"/>
          <w:szCs w:val="21"/>
          <w:highlight w:val="none"/>
        </w:rPr>
        <w:t>.10评标委员会需对采购代理机构唱票或统计的评审结果进行确认，现场监督员应对评审结果签署监督意见。如发现分值汇总计算错误的、分项评分超出评分标准范围、对客观评审因素评分不一致的以及经评标委员会认定评分畸高、畸低的（其总评分偏离平均分30%以上的），应由相关人员当场改正或作出说明；拒不改正又不作说明的，由现场监督员如实记载后存入项目档案资料。</w:t>
      </w:r>
    </w:p>
    <w:p w14:paraId="71B891F0">
      <w:pPr>
        <w:pStyle w:val="12"/>
        <w:keepLines w:val="0"/>
        <w:pageBreakBefore w:val="0"/>
        <w:kinsoku/>
        <w:wordWrap/>
        <w:overflowPunct/>
        <w:topLinePunct w:val="0"/>
        <w:bidi w:val="0"/>
        <w:snapToGrid w:val="0"/>
        <w:spacing w:line="440" w:lineRule="exact"/>
        <w:ind w:firstLine="420" w:firstLineChars="200"/>
        <w:textAlignment w:val="auto"/>
        <w:rPr>
          <w:rFonts w:hint="eastAsia" w:hAnsi="宋体" w:cs="宋体"/>
          <w:bCs/>
          <w:color w:val="auto"/>
          <w:szCs w:val="21"/>
          <w:highlight w:val="none"/>
        </w:rPr>
      </w:pPr>
      <w:r>
        <w:rPr>
          <w:rFonts w:hint="eastAsia" w:hAnsi="宋体" w:cs="宋体"/>
          <w:bCs/>
          <w:color w:val="auto"/>
          <w:szCs w:val="21"/>
          <w:highlight w:val="none"/>
        </w:rPr>
        <w:t>2</w:t>
      </w:r>
      <w:r>
        <w:rPr>
          <w:rFonts w:hint="eastAsia" w:hAnsi="宋体" w:cs="宋体"/>
          <w:bCs/>
          <w:color w:val="auto"/>
          <w:szCs w:val="21"/>
          <w:highlight w:val="none"/>
          <w:lang w:val="en-US" w:eastAsia="zh-CN"/>
        </w:rPr>
        <w:t>0</w:t>
      </w:r>
      <w:r>
        <w:rPr>
          <w:rFonts w:hint="eastAsia" w:hAnsi="宋体" w:cs="宋体"/>
          <w:bCs/>
          <w:color w:val="auto"/>
          <w:szCs w:val="21"/>
          <w:highlight w:val="none"/>
        </w:rPr>
        <w:t xml:space="preserve">.11评标委员会根据评审汇总情况和招标文件规定确定中标候选供应商排序名单。 </w:t>
      </w:r>
    </w:p>
    <w:p w14:paraId="4918756A">
      <w:pPr>
        <w:pStyle w:val="12"/>
        <w:keepLines w:val="0"/>
        <w:pageBreakBefore w:val="0"/>
        <w:kinsoku/>
        <w:wordWrap/>
        <w:overflowPunct/>
        <w:topLinePunct w:val="0"/>
        <w:bidi w:val="0"/>
        <w:snapToGrid w:val="0"/>
        <w:spacing w:line="440" w:lineRule="exact"/>
        <w:ind w:firstLine="420" w:firstLineChars="200"/>
        <w:textAlignment w:val="auto"/>
        <w:rPr>
          <w:rFonts w:hint="eastAsia" w:hAnsi="宋体" w:cs="宋体"/>
          <w:bCs/>
          <w:color w:val="auto"/>
          <w:szCs w:val="21"/>
          <w:highlight w:val="none"/>
        </w:rPr>
      </w:pPr>
      <w:r>
        <w:rPr>
          <w:rFonts w:hint="eastAsia" w:hAnsi="宋体" w:cs="宋体"/>
          <w:bCs/>
          <w:color w:val="auto"/>
          <w:szCs w:val="21"/>
          <w:highlight w:val="none"/>
        </w:rPr>
        <w:t>2</w:t>
      </w:r>
      <w:r>
        <w:rPr>
          <w:rFonts w:hint="eastAsia" w:hAnsi="宋体" w:cs="宋体"/>
          <w:bCs/>
          <w:color w:val="auto"/>
          <w:szCs w:val="21"/>
          <w:highlight w:val="none"/>
          <w:lang w:val="en-US" w:eastAsia="zh-CN"/>
        </w:rPr>
        <w:t>0</w:t>
      </w:r>
      <w:r>
        <w:rPr>
          <w:rFonts w:hint="eastAsia" w:hAnsi="宋体" w:cs="宋体"/>
          <w:bCs/>
          <w:color w:val="auto"/>
          <w:szCs w:val="21"/>
          <w:highlight w:val="none"/>
        </w:rPr>
        <w:t>.12起草评标报告，所有评标委员会须在评标报告上签字确认。</w:t>
      </w:r>
    </w:p>
    <w:p w14:paraId="58B4E5A9">
      <w:pPr>
        <w:keepLines w:val="0"/>
        <w:pageBreakBefore w:val="0"/>
        <w:kinsoku/>
        <w:wordWrap/>
        <w:overflowPunct/>
        <w:topLinePunct w:val="0"/>
        <w:bidi w:val="0"/>
        <w:spacing w:line="440" w:lineRule="exact"/>
        <w:ind w:firstLine="413" w:firstLineChars="196"/>
        <w:jc w:val="left"/>
        <w:textAlignment w:val="auto"/>
        <w:rPr>
          <w:rFonts w:hint="eastAsia" w:ascii="宋体" w:hAnsi="宋体" w:cs="宋体"/>
          <w:b/>
          <w:color w:val="auto"/>
          <w:kern w:val="0"/>
          <w:szCs w:val="21"/>
          <w:highlight w:val="none"/>
        </w:rPr>
      </w:pPr>
      <w:r>
        <w:rPr>
          <w:rFonts w:hint="eastAsia" w:ascii="宋体" w:hAnsi="宋体" w:cs="宋体"/>
          <w:b/>
          <w:color w:val="auto"/>
          <w:kern w:val="0"/>
          <w:szCs w:val="21"/>
          <w:highlight w:val="none"/>
        </w:rPr>
        <w:t>2</w:t>
      </w:r>
      <w:r>
        <w:rPr>
          <w:rFonts w:hint="eastAsia" w:ascii="宋体" w:hAnsi="宋体" w:cs="宋体"/>
          <w:b/>
          <w:color w:val="auto"/>
          <w:kern w:val="0"/>
          <w:szCs w:val="21"/>
          <w:highlight w:val="none"/>
          <w:lang w:val="en-US" w:eastAsia="zh-CN"/>
        </w:rPr>
        <w:t>1</w:t>
      </w:r>
      <w:r>
        <w:rPr>
          <w:rFonts w:hint="eastAsia" w:ascii="宋体" w:hAnsi="宋体" w:cs="宋体"/>
          <w:b/>
          <w:color w:val="auto"/>
          <w:kern w:val="0"/>
          <w:szCs w:val="21"/>
          <w:highlight w:val="none"/>
        </w:rPr>
        <w:t>.评标原则</w:t>
      </w:r>
    </w:p>
    <w:p w14:paraId="224C9FC3">
      <w:pPr>
        <w:pStyle w:val="12"/>
        <w:keepLines w:val="0"/>
        <w:pageBreakBefore w:val="0"/>
        <w:kinsoku/>
        <w:wordWrap/>
        <w:overflowPunct/>
        <w:topLinePunct w:val="0"/>
        <w:bidi w:val="0"/>
        <w:snapToGrid w:val="0"/>
        <w:spacing w:line="440" w:lineRule="exact"/>
        <w:ind w:firstLine="420" w:firstLineChars="200"/>
        <w:textAlignment w:val="auto"/>
        <w:rPr>
          <w:rFonts w:hint="eastAsia" w:hAnsi="宋体" w:cs="宋体"/>
          <w:color w:val="auto"/>
          <w:szCs w:val="21"/>
          <w:highlight w:val="none"/>
        </w:rPr>
      </w:pPr>
      <w:r>
        <w:rPr>
          <w:rFonts w:hint="eastAsia" w:hAnsi="宋体" w:cs="宋体"/>
          <w:color w:val="auto"/>
          <w:szCs w:val="21"/>
          <w:highlight w:val="none"/>
        </w:rPr>
        <w:t>2</w:t>
      </w:r>
      <w:r>
        <w:rPr>
          <w:rFonts w:hint="eastAsia" w:hAnsi="宋体" w:cs="宋体"/>
          <w:color w:val="auto"/>
          <w:szCs w:val="21"/>
          <w:highlight w:val="none"/>
          <w:lang w:val="en-US" w:eastAsia="zh-CN"/>
        </w:rPr>
        <w:t>1</w:t>
      </w:r>
      <w:r>
        <w:rPr>
          <w:rFonts w:hint="eastAsia" w:hAnsi="宋体" w:cs="宋体"/>
          <w:color w:val="auto"/>
          <w:szCs w:val="21"/>
          <w:highlight w:val="none"/>
        </w:rPr>
        <w:t>.1评标委员会必须公平、公正、客观，不带任何倾向性和启发性；不得向外界透露任何与评标有关的内容；任何单位和个人不得干扰、影响评标的正常进行；评标委员会及有关工作人员不得私下与投标人接触。</w:t>
      </w:r>
    </w:p>
    <w:p w14:paraId="0A6B8097">
      <w:pPr>
        <w:pStyle w:val="12"/>
        <w:keepLines w:val="0"/>
        <w:pageBreakBefore w:val="0"/>
        <w:kinsoku/>
        <w:wordWrap/>
        <w:overflowPunct/>
        <w:topLinePunct w:val="0"/>
        <w:bidi w:val="0"/>
        <w:snapToGrid w:val="0"/>
        <w:spacing w:line="440" w:lineRule="exact"/>
        <w:ind w:firstLine="411" w:firstLineChars="196"/>
        <w:textAlignment w:val="auto"/>
        <w:rPr>
          <w:rFonts w:hint="eastAsia" w:hAnsi="宋体" w:cs="宋体"/>
          <w:bCs/>
          <w:color w:val="auto"/>
          <w:szCs w:val="21"/>
          <w:highlight w:val="none"/>
        </w:rPr>
      </w:pPr>
      <w:r>
        <w:rPr>
          <w:rFonts w:hint="eastAsia" w:hAnsi="宋体" w:cs="宋体"/>
          <w:bCs/>
          <w:color w:val="auto"/>
          <w:szCs w:val="21"/>
          <w:highlight w:val="none"/>
        </w:rPr>
        <w:t>2</w:t>
      </w:r>
      <w:r>
        <w:rPr>
          <w:rFonts w:hint="eastAsia" w:hAnsi="宋体" w:cs="宋体"/>
          <w:bCs/>
          <w:color w:val="auto"/>
          <w:szCs w:val="21"/>
          <w:highlight w:val="none"/>
          <w:lang w:val="en-US" w:eastAsia="zh-CN"/>
        </w:rPr>
        <w:t>1</w:t>
      </w:r>
      <w:r>
        <w:rPr>
          <w:rFonts w:hint="eastAsia" w:hAnsi="宋体" w:cs="宋体"/>
          <w:bCs/>
          <w:color w:val="auto"/>
          <w:szCs w:val="21"/>
          <w:highlight w:val="none"/>
        </w:rPr>
        <w:t>.2</w:t>
      </w:r>
      <w:r>
        <w:rPr>
          <w:rFonts w:hint="eastAsia" w:hAnsi="宋体" w:cs="宋体"/>
          <w:color w:val="auto"/>
          <w:szCs w:val="21"/>
          <w:highlight w:val="none"/>
        </w:rPr>
        <w:t>评标中因评标委员会成员缺席、回避或者健康等特殊原因导致评标委员会组成不符合本办法规定的，采购人或者采购代理机构应当依法补足后继续评标。被更换的评标委员会成员所作出的评标意见无效</w:t>
      </w:r>
      <w:r>
        <w:rPr>
          <w:rFonts w:hint="eastAsia" w:hAnsi="宋体" w:cs="宋体"/>
          <w:bCs/>
          <w:color w:val="auto"/>
          <w:szCs w:val="21"/>
          <w:highlight w:val="none"/>
        </w:rPr>
        <w:t>，由更换后的评标委员会重新进行评审。</w:t>
      </w:r>
      <w:r>
        <w:rPr>
          <w:rFonts w:hint="eastAsia" w:hAnsi="宋体" w:cs="宋体"/>
          <w:color w:val="auto"/>
          <w:szCs w:val="21"/>
          <w:highlight w:val="none"/>
        </w:rPr>
        <w:t>无法及时补足评标委员会成员的，应当停止评标活动，封存所有投标文件和开标、评标资料</w:t>
      </w:r>
      <w:r>
        <w:rPr>
          <w:rFonts w:hint="eastAsia" w:hAnsi="宋体" w:cs="宋体"/>
          <w:bCs/>
          <w:color w:val="auto"/>
          <w:szCs w:val="21"/>
          <w:highlight w:val="none"/>
        </w:rPr>
        <w:t>，并告知供应商择期重新评审的时间和地点。</w:t>
      </w:r>
    </w:p>
    <w:p w14:paraId="05E8DE14">
      <w:pPr>
        <w:pStyle w:val="12"/>
        <w:keepLines w:val="0"/>
        <w:pageBreakBefore w:val="0"/>
        <w:kinsoku/>
        <w:wordWrap/>
        <w:overflowPunct/>
        <w:topLinePunct w:val="0"/>
        <w:bidi w:val="0"/>
        <w:snapToGrid w:val="0"/>
        <w:spacing w:line="440" w:lineRule="exact"/>
        <w:ind w:firstLine="411" w:firstLineChars="196"/>
        <w:textAlignment w:val="auto"/>
        <w:rPr>
          <w:rFonts w:hint="eastAsia" w:hAnsi="宋体" w:cs="宋体"/>
          <w:bCs/>
          <w:color w:val="auto"/>
          <w:szCs w:val="21"/>
          <w:highlight w:val="none"/>
        </w:rPr>
      </w:pPr>
      <w:r>
        <w:rPr>
          <w:rFonts w:hint="eastAsia" w:hAnsi="宋体" w:cs="宋体"/>
          <w:bCs/>
          <w:color w:val="auto"/>
          <w:szCs w:val="21"/>
          <w:highlight w:val="none"/>
        </w:rPr>
        <w:t>2</w:t>
      </w:r>
      <w:r>
        <w:rPr>
          <w:rFonts w:hint="eastAsia" w:hAnsi="宋体" w:cs="宋体"/>
          <w:bCs/>
          <w:color w:val="auto"/>
          <w:szCs w:val="21"/>
          <w:highlight w:val="none"/>
          <w:lang w:val="en-US" w:eastAsia="zh-CN"/>
        </w:rPr>
        <w:t>1</w:t>
      </w:r>
      <w:r>
        <w:rPr>
          <w:rFonts w:hint="eastAsia" w:hAnsi="宋体" w:cs="宋体"/>
          <w:bCs/>
          <w:color w:val="auto"/>
          <w:szCs w:val="21"/>
          <w:highlight w:val="none"/>
        </w:rPr>
        <w:t>.3评标委员会判断投标文件的响应性，仅基于投标文件本身而不靠外部证据。</w:t>
      </w:r>
    </w:p>
    <w:p w14:paraId="583B49E5">
      <w:pPr>
        <w:pStyle w:val="12"/>
        <w:keepNext w:val="0"/>
        <w:keepLines w:val="0"/>
        <w:pageBreakBefore w:val="0"/>
        <w:kinsoku/>
        <w:wordWrap/>
        <w:overflowPunct/>
        <w:topLinePunct w:val="0"/>
        <w:autoSpaceDE/>
        <w:autoSpaceDN/>
        <w:bidi w:val="0"/>
        <w:adjustRightInd/>
        <w:snapToGrid w:val="0"/>
        <w:spacing w:line="440" w:lineRule="exact"/>
        <w:ind w:firstLine="411" w:firstLineChars="196"/>
        <w:textAlignment w:val="auto"/>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2</w:t>
      </w:r>
      <w:r>
        <w:rPr>
          <w:rFonts w:hint="eastAsia"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.4</w:t>
      </w:r>
      <w:r>
        <w:rPr>
          <w:rFonts w:hint="eastAsia" w:ascii="宋体" w:hAnsi="宋体" w:eastAsia="宋体" w:cs="宋体"/>
          <w:color w:val="auto"/>
          <w:sz w:val="21"/>
          <w:szCs w:val="21"/>
          <w:highlight w:val="none"/>
        </w:rPr>
        <w:t>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32B6642">
      <w:pPr>
        <w:pStyle w:val="12"/>
        <w:keepNext w:val="0"/>
        <w:keepLines w:val="0"/>
        <w:pageBreakBefore w:val="0"/>
        <w:kinsoku/>
        <w:wordWrap/>
        <w:overflowPunct/>
        <w:topLinePunct w:val="0"/>
        <w:autoSpaceDE/>
        <w:autoSpaceDN/>
        <w:bidi w:val="0"/>
        <w:adjustRightInd/>
        <w:snapToGrid w:val="0"/>
        <w:spacing w:line="440" w:lineRule="exact"/>
        <w:ind w:firstLine="411" w:firstLineChars="19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非单一产品采购项目，采购人应当根据采购项目技术构成、产品价格比重等合理确定核心产品，并在招标文件中载明。多家投标人提供的核心产品品牌相同的，按前款规定处理。</w:t>
      </w:r>
    </w:p>
    <w:p w14:paraId="7327588B">
      <w:pPr>
        <w:pStyle w:val="12"/>
        <w:keepNext w:val="0"/>
        <w:keepLines w:val="0"/>
        <w:pageBreakBefore w:val="0"/>
        <w:kinsoku/>
        <w:wordWrap/>
        <w:overflowPunct/>
        <w:topLinePunct w:val="0"/>
        <w:autoSpaceDE/>
        <w:autoSpaceDN/>
        <w:bidi w:val="0"/>
        <w:adjustRightInd/>
        <w:snapToGrid w:val="0"/>
        <w:spacing w:line="440" w:lineRule="exact"/>
        <w:ind w:firstLine="413" w:firstLineChars="196"/>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政府采购评审中出现下列情形之一的，</w:t>
      </w:r>
      <w:r>
        <w:rPr>
          <w:rFonts w:hint="eastAsia" w:hAnsi="宋体" w:eastAsia="宋体" w:cs="宋体"/>
          <w:b/>
          <w:bCs/>
          <w:color w:val="auto"/>
          <w:sz w:val="21"/>
          <w:szCs w:val="21"/>
          <w:highlight w:val="none"/>
          <w:lang w:eastAsia="zh-CN"/>
        </w:rPr>
        <w:t>评标委员会</w:t>
      </w:r>
      <w:r>
        <w:rPr>
          <w:rFonts w:hint="eastAsia" w:ascii="宋体" w:hAnsi="宋体" w:eastAsia="宋体" w:cs="宋体"/>
          <w:b/>
          <w:bCs/>
          <w:color w:val="auto"/>
          <w:sz w:val="21"/>
          <w:szCs w:val="21"/>
          <w:highlight w:val="none"/>
        </w:rPr>
        <w:t>应当启动异常低价</w:t>
      </w:r>
      <w:r>
        <w:rPr>
          <w:rFonts w:hint="eastAsia" w:hAnsi="宋体" w:eastAsia="宋体" w:cs="宋体"/>
          <w:b/>
          <w:bCs/>
          <w:color w:val="auto"/>
          <w:sz w:val="21"/>
          <w:szCs w:val="21"/>
          <w:highlight w:val="none"/>
          <w:lang w:eastAsia="zh-CN"/>
        </w:rPr>
        <w:t>投标</w:t>
      </w:r>
      <w:r>
        <w:rPr>
          <w:rFonts w:hint="eastAsia" w:ascii="宋体" w:hAnsi="宋体" w:eastAsia="宋体" w:cs="宋体"/>
          <w:b/>
          <w:bCs/>
          <w:color w:val="auto"/>
          <w:sz w:val="21"/>
          <w:szCs w:val="21"/>
          <w:highlight w:val="none"/>
        </w:rPr>
        <w:t>审查程序：（一）</w:t>
      </w:r>
      <w:r>
        <w:rPr>
          <w:rFonts w:hint="eastAsia" w:hAnsi="宋体" w:eastAsia="宋体" w:cs="宋体"/>
          <w:b/>
          <w:bCs/>
          <w:color w:val="auto"/>
          <w:sz w:val="21"/>
          <w:szCs w:val="21"/>
          <w:highlight w:val="none"/>
          <w:lang w:eastAsia="zh-CN"/>
        </w:rPr>
        <w:t>投标</w:t>
      </w:r>
      <w:r>
        <w:rPr>
          <w:rFonts w:hint="eastAsia" w:ascii="宋体" w:hAnsi="宋体" w:eastAsia="宋体" w:cs="宋体"/>
          <w:b/>
          <w:bCs/>
          <w:color w:val="auto"/>
          <w:sz w:val="21"/>
          <w:szCs w:val="21"/>
          <w:highlight w:val="none"/>
        </w:rPr>
        <w:t>报价低于全部通过符合性审查供应商</w:t>
      </w:r>
      <w:r>
        <w:rPr>
          <w:rFonts w:hint="eastAsia" w:hAnsi="宋体" w:eastAsia="宋体" w:cs="宋体"/>
          <w:b/>
          <w:bCs/>
          <w:color w:val="auto"/>
          <w:sz w:val="21"/>
          <w:szCs w:val="21"/>
          <w:highlight w:val="none"/>
          <w:lang w:eastAsia="zh-CN"/>
        </w:rPr>
        <w:t>投标</w:t>
      </w:r>
      <w:r>
        <w:rPr>
          <w:rFonts w:hint="eastAsia" w:ascii="宋体" w:hAnsi="宋体" w:eastAsia="宋体" w:cs="宋体"/>
          <w:b/>
          <w:bCs/>
          <w:color w:val="auto"/>
          <w:sz w:val="21"/>
          <w:szCs w:val="21"/>
          <w:highlight w:val="none"/>
        </w:rPr>
        <w:t>报价平均值50%的，即</w:t>
      </w:r>
      <w:r>
        <w:rPr>
          <w:rFonts w:hint="eastAsia" w:hAnsi="宋体" w:eastAsia="宋体" w:cs="宋体"/>
          <w:b/>
          <w:bCs/>
          <w:color w:val="auto"/>
          <w:sz w:val="21"/>
          <w:szCs w:val="21"/>
          <w:highlight w:val="none"/>
          <w:lang w:eastAsia="zh-CN"/>
        </w:rPr>
        <w:t>投标</w:t>
      </w:r>
      <w:r>
        <w:rPr>
          <w:rFonts w:hint="eastAsia" w:ascii="宋体" w:hAnsi="宋体" w:eastAsia="宋体" w:cs="宋体"/>
          <w:b/>
          <w:bCs/>
          <w:color w:val="auto"/>
          <w:sz w:val="21"/>
          <w:szCs w:val="21"/>
          <w:highlight w:val="none"/>
        </w:rPr>
        <w:t>报价</w:t>
      </w:r>
      <w:r>
        <w:rPr>
          <w:rFonts w:hint="eastAsia"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全部通过符合性审查供应商响应报价平均值×50%；（二）</w:t>
      </w:r>
      <w:r>
        <w:rPr>
          <w:rFonts w:hint="eastAsia" w:hAnsi="宋体" w:eastAsia="宋体" w:cs="宋体"/>
          <w:b/>
          <w:bCs/>
          <w:color w:val="auto"/>
          <w:sz w:val="21"/>
          <w:szCs w:val="21"/>
          <w:highlight w:val="none"/>
          <w:lang w:eastAsia="zh-CN"/>
        </w:rPr>
        <w:t>投标</w:t>
      </w:r>
      <w:r>
        <w:rPr>
          <w:rFonts w:hint="eastAsia" w:ascii="宋体" w:hAnsi="宋体" w:eastAsia="宋体" w:cs="宋体"/>
          <w:b/>
          <w:bCs/>
          <w:color w:val="auto"/>
          <w:sz w:val="21"/>
          <w:szCs w:val="21"/>
          <w:highlight w:val="none"/>
        </w:rPr>
        <w:t>报价低于通过符合性审查且报价次低供应商</w:t>
      </w:r>
      <w:r>
        <w:rPr>
          <w:rFonts w:hint="eastAsia" w:hAnsi="宋体" w:eastAsia="宋体" w:cs="宋体"/>
          <w:b/>
          <w:bCs/>
          <w:color w:val="auto"/>
          <w:sz w:val="21"/>
          <w:szCs w:val="21"/>
          <w:highlight w:val="none"/>
          <w:lang w:eastAsia="zh-CN"/>
        </w:rPr>
        <w:t>投标</w:t>
      </w:r>
      <w:r>
        <w:rPr>
          <w:rFonts w:hint="eastAsia" w:ascii="宋体" w:hAnsi="宋体" w:eastAsia="宋体" w:cs="宋体"/>
          <w:b/>
          <w:bCs/>
          <w:color w:val="auto"/>
          <w:sz w:val="21"/>
          <w:szCs w:val="21"/>
          <w:highlight w:val="none"/>
        </w:rPr>
        <w:t>报价50%的，即响应报价</w:t>
      </w:r>
      <w:r>
        <w:rPr>
          <w:rFonts w:hint="eastAsia"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通过符合性审查且报价次低供应商</w:t>
      </w:r>
      <w:r>
        <w:rPr>
          <w:rFonts w:hint="eastAsia" w:hAnsi="宋体" w:eastAsia="宋体" w:cs="宋体"/>
          <w:b/>
          <w:bCs/>
          <w:color w:val="auto"/>
          <w:sz w:val="21"/>
          <w:szCs w:val="21"/>
          <w:highlight w:val="none"/>
          <w:lang w:eastAsia="zh-CN"/>
        </w:rPr>
        <w:t>投标</w:t>
      </w:r>
      <w:r>
        <w:rPr>
          <w:rFonts w:hint="eastAsia" w:ascii="宋体" w:hAnsi="宋体" w:eastAsia="宋体" w:cs="宋体"/>
          <w:b/>
          <w:bCs/>
          <w:color w:val="auto"/>
          <w:sz w:val="21"/>
          <w:szCs w:val="21"/>
          <w:highlight w:val="none"/>
        </w:rPr>
        <w:t>报价×50%；（三）</w:t>
      </w:r>
      <w:r>
        <w:rPr>
          <w:rFonts w:hint="eastAsia" w:hAnsi="宋体" w:eastAsia="宋体" w:cs="宋体"/>
          <w:b/>
          <w:bCs/>
          <w:color w:val="auto"/>
          <w:sz w:val="21"/>
          <w:szCs w:val="21"/>
          <w:highlight w:val="none"/>
          <w:lang w:eastAsia="zh-CN"/>
        </w:rPr>
        <w:t>投标</w:t>
      </w:r>
      <w:r>
        <w:rPr>
          <w:rFonts w:hint="eastAsia" w:ascii="宋体" w:hAnsi="宋体" w:eastAsia="宋体" w:cs="宋体"/>
          <w:b/>
          <w:bCs/>
          <w:color w:val="auto"/>
          <w:sz w:val="21"/>
          <w:szCs w:val="21"/>
          <w:highlight w:val="none"/>
        </w:rPr>
        <w:t>报价低于采购项目最高限价45%的，即</w:t>
      </w:r>
      <w:r>
        <w:rPr>
          <w:rFonts w:hint="eastAsia" w:hAnsi="宋体" w:eastAsia="宋体" w:cs="宋体"/>
          <w:b/>
          <w:bCs/>
          <w:color w:val="auto"/>
          <w:sz w:val="21"/>
          <w:szCs w:val="21"/>
          <w:highlight w:val="none"/>
          <w:lang w:eastAsia="zh-CN"/>
        </w:rPr>
        <w:t>投标</w:t>
      </w:r>
      <w:r>
        <w:rPr>
          <w:rFonts w:hint="eastAsia" w:ascii="宋体" w:hAnsi="宋体" w:eastAsia="宋体" w:cs="宋体"/>
          <w:b/>
          <w:bCs/>
          <w:color w:val="auto"/>
          <w:sz w:val="21"/>
          <w:szCs w:val="21"/>
          <w:highlight w:val="none"/>
        </w:rPr>
        <w:t>报价</w:t>
      </w:r>
      <w:r>
        <w:rPr>
          <w:rFonts w:hint="eastAsia"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采购项目最高限价×45%；（四）其他</w:t>
      </w:r>
      <w:r>
        <w:rPr>
          <w:rFonts w:hint="eastAsia" w:hAnsi="宋体" w:eastAsia="宋体" w:cs="宋体"/>
          <w:b/>
          <w:bCs/>
          <w:color w:val="auto"/>
          <w:sz w:val="21"/>
          <w:szCs w:val="21"/>
          <w:highlight w:val="none"/>
          <w:lang w:eastAsia="zh-CN"/>
        </w:rPr>
        <w:t>评标委员会</w:t>
      </w:r>
      <w:r>
        <w:rPr>
          <w:rFonts w:hint="eastAsia" w:ascii="宋体" w:hAnsi="宋体" w:eastAsia="宋体" w:cs="宋体"/>
          <w:b/>
          <w:bCs/>
          <w:color w:val="auto"/>
          <w:sz w:val="21"/>
          <w:szCs w:val="21"/>
          <w:highlight w:val="none"/>
        </w:rPr>
        <w:t>认为供应商报价过低，有可能影响产品质量或者不能诚信履约的情形。</w:t>
      </w:r>
    </w:p>
    <w:p w14:paraId="4DF536B2">
      <w:pPr>
        <w:pStyle w:val="12"/>
        <w:keepNext w:val="0"/>
        <w:keepLines w:val="0"/>
        <w:pageBreakBefore w:val="0"/>
        <w:kinsoku/>
        <w:wordWrap/>
        <w:overflowPunct/>
        <w:topLinePunct w:val="0"/>
        <w:autoSpaceDE/>
        <w:autoSpaceDN/>
        <w:bidi w:val="0"/>
        <w:adjustRightInd/>
        <w:snapToGrid w:val="0"/>
        <w:spacing w:line="440" w:lineRule="exact"/>
        <w:ind w:firstLine="413" w:firstLineChars="196"/>
        <w:textAlignment w:val="auto"/>
        <w:outlineLvl w:val="9"/>
        <w:rPr>
          <w:rFonts w:hint="eastAsia" w:ascii="宋体" w:hAnsi="宋体" w:eastAsia="宋体" w:cs="宋体"/>
          <w:b/>
          <w:bCs/>
          <w:color w:val="auto"/>
          <w:sz w:val="21"/>
          <w:szCs w:val="21"/>
          <w:highlight w:val="none"/>
        </w:rPr>
      </w:pPr>
      <w:r>
        <w:rPr>
          <w:rFonts w:hint="eastAsia" w:hAnsi="宋体" w:eastAsia="宋体" w:cs="宋体"/>
          <w:b/>
          <w:bCs/>
          <w:color w:val="auto"/>
          <w:sz w:val="21"/>
          <w:szCs w:val="21"/>
          <w:highlight w:val="none"/>
          <w:lang w:eastAsia="zh-CN"/>
        </w:rPr>
        <w:t>评标委员会</w:t>
      </w:r>
      <w:r>
        <w:rPr>
          <w:rFonts w:hint="eastAsia" w:ascii="宋体" w:hAnsi="宋体" w:eastAsia="宋体" w:cs="宋体"/>
          <w:b/>
          <w:bCs/>
          <w:color w:val="auto"/>
          <w:sz w:val="21"/>
          <w:szCs w:val="21"/>
          <w:highlight w:val="none"/>
        </w:rPr>
        <w:t>启动异常低价</w:t>
      </w:r>
      <w:r>
        <w:rPr>
          <w:rFonts w:hint="eastAsia" w:hAnsi="宋体" w:eastAsia="宋体" w:cs="宋体"/>
          <w:b/>
          <w:bCs/>
          <w:color w:val="auto"/>
          <w:sz w:val="21"/>
          <w:szCs w:val="21"/>
          <w:highlight w:val="none"/>
          <w:lang w:eastAsia="zh-CN"/>
        </w:rPr>
        <w:t>投标</w:t>
      </w:r>
      <w:r>
        <w:rPr>
          <w:rFonts w:hint="eastAsia" w:ascii="宋体" w:hAnsi="宋体" w:eastAsia="宋体" w:cs="宋体"/>
          <w:b/>
          <w:bCs/>
          <w:color w:val="auto"/>
          <w:sz w:val="21"/>
          <w:szCs w:val="21"/>
          <w:highlight w:val="none"/>
        </w:rPr>
        <w:t>审查后，应当要求相关供应商在评审现场合理的时间内提供书面说明及必要的证明材料，对</w:t>
      </w:r>
      <w:r>
        <w:rPr>
          <w:rFonts w:hint="eastAsia" w:hAnsi="宋体" w:eastAsia="宋体" w:cs="宋体"/>
          <w:b/>
          <w:bCs/>
          <w:color w:val="auto"/>
          <w:sz w:val="21"/>
          <w:szCs w:val="21"/>
          <w:highlight w:val="none"/>
          <w:lang w:eastAsia="zh-CN"/>
        </w:rPr>
        <w:t>投标</w:t>
      </w:r>
      <w:r>
        <w:rPr>
          <w:rFonts w:hint="eastAsia" w:ascii="宋体" w:hAnsi="宋体" w:eastAsia="宋体" w:cs="宋体"/>
          <w:b/>
          <w:bCs/>
          <w:color w:val="auto"/>
          <w:sz w:val="21"/>
          <w:szCs w:val="21"/>
          <w:highlight w:val="none"/>
        </w:rPr>
        <w:t>价格作出解释。书面说明、证明材料主要是项目具体成本测算等与报价合理性相关的说明、材料。如果</w:t>
      </w:r>
      <w:r>
        <w:rPr>
          <w:rFonts w:hint="eastAsia" w:hAnsi="宋体" w:eastAsia="宋体" w:cs="宋体"/>
          <w:b/>
          <w:bCs/>
          <w:color w:val="auto"/>
          <w:sz w:val="21"/>
          <w:szCs w:val="21"/>
          <w:highlight w:val="none"/>
          <w:lang w:eastAsia="zh-CN"/>
        </w:rPr>
        <w:t>投标</w:t>
      </w:r>
      <w:r>
        <w:rPr>
          <w:rFonts w:hint="eastAsia" w:ascii="宋体" w:hAnsi="宋体" w:eastAsia="宋体" w:cs="宋体"/>
          <w:b/>
          <w:bCs/>
          <w:color w:val="auto"/>
          <w:sz w:val="21"/>
          <w:szCs w:val="21"/>
          <w:highlight w:val="none"/>
        </w:rPr>
        <w:t>供应商不提供书面说明、证明材料，或者提供的书面说明、证明材料不能证明其报价合理性的，应当将其作为无效</w:t>
      </w:r>
      <w:r>
        <w:rPr>
          <w:rFonts w:hint="eastAsia" w:hAnsi="宋体" w:eastAsia="宋体" w:cs="宋体"/>
          <w:b/>
          <w:bCs/>
          <w:color w:val="auto"/>
          <w:sz w:val="21"/>
          <w:szCs w:val="21"/>
          <w:highlight w:val="none"/>
          <w:lang w:eastAsia="zh-CN"/>
        </w:rPr>
        <w:t>投标</w:t>
      </w:r>
      <w:r>
        <w:rPr>
          <w:rFonts w:hint="eastAsia" w:ascii="宋体" w:hAnsi="宋体" w:eastAsia="宋体" w:cs="宋体"/>
          <w:b/>
          <w:bCs/>
          <w:color w:val="auto"/>
          <w:sz w:val="21"/>
          <w:szCs w:val="21"/>
          <w:highlight w:val="none"/>
        </w:rPr>
        <w:t>处理。</w:t>
      </w:r>
    </w:p>
    <w:p w14:paraId="64C679AB">
      <w:pPr>
        <w:pStyle w:val="12"/>
        <w:keepNext w:val="0"/>
        <w:keepLines w:val="0"/>
        <w:pageBreakBefore w:val="0"/>
        <w:kinsoku/>
        <w:wordWrap/>
        <w:overflowPunct/>
        <w:topLinePunct w:val="0"/>
        <w:autoSpaceDE/>
        <w:autoSpaceDN/>
        <w:bidi w:val="0"/>
        <w:adjustRightInd/>
        <w:snapToGrid w:val="0"/>
        <w:spacing w:line="440" w:lineRule="exact"/>
        <w:ind w:firstLine="411" w:firstLineChars="196"/>
        <w:textAlignment w:val="auto"/>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2</w:t>
      </w:r>
      <w:r>
        <w:rPr>
          <w:rFonts w:hint="eastAsia"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6</w:t>
      </w:r>
      <w:r>
        <w:rPr>
          <w:rFonts w:hint="eastAsia" w:ascii="宋体" w:hAnsi="宋体" w:eastAsia="宋体" w:cs="宋体"/>
          <w:color w:val="auto"/>
          <w:sz w:val="21"/>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0B70F742">
      <w:pPr>
        <w:pStyle w:val="12"/>
        <w:keepNext w:val="0"/>
        <w:keepLines w:val="0"/>
        <w:pageBreakBefore w:val="0"/>
        <w:kinsoku/>
        <w:wordWrap/>
        <w:overflowPunct/>
        <w:topLinePunct w:val="0"/>
        <w:autoSpaceDE/>
        <w:autoSpaceDN/>
        <w:bidi w:val="0"/>
        <w:adjustRightInd/>
        <w:snapToGrid w:val="0"/>
        <w:spacing w:line="440" w:lineRule="exact"/>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7</w:t>
      </w:r>
      <w:r>
        <w:rPr>
          <w:rFonts w:hint="eastAsia" w:ascii="宋体" w:hAnsi="宋体" w:eastAsia="宋体" w:cs="宋体"/>
          <w:bCs/>
          <w:color w:val="auto"/>
          <w:sz w:val="21"/>
          <w:szCs w:val="21"/>
          <w:highlight w:val="none"/>
        </w:rPr>
        <w:t>评标委员会发现招标文件存在歧义、重大缺陷导致评标工作无法进行，或者招标文件内容违反国家有关强制性规定的，应当停止评标工作，与采购人或者采购代理机构沟通并作书面记录。</w:t>
      </w:r>
    </w:p>
    <w:p w14:paraId="0FC396B6">
      <w:pPr>
        <w:keepNext w:val="0"/>
        <w:keepLines w:val="0"/>
        <w:pageBreakBefore w:val="0"/>
        <w:widowControl/>
        <w:kinsoku/>
        <w:wordWrap/>
        <w:overflowPunct/>
        <w:topLinePunct w:val="0"/>
        <w:autoSpaceDE/>
        <w:autoSpaceDN/>
        <w:bidi w:val="0"/>
        <w:adjustRightInd/>
        <w:snapToGrid/>
        <w:spacing w:line="440" w:lineRule="exact"/>
        <w:ind w:firstLine="413" w:firstLineChars="196"/>
        <w:jc w:val="left"/>
        <w:textAlignment w:val="auto"/>
        <w:outlineLvl w:val="9"/>
        <w:rPr>
          <w:rFonts w:hint="eastAsia" w:ascii="宋体" w:hAnsi="宋体" w:eastAsia="宋体" w:cs="宋体"/>
          <w:b/>
          <w:color w:val="auto"/>
          <w:kern w:val="0"/>
          <w:sz w:val="21"/>
          <w:szCs w:val="21"/>
          <w:highlight w:val="none"/>
        </w:rPr>
      </w:pPr>
      <w:r>
        <w:rPr>
          <w:rFonts w:hint="eastAsia" w:ascii="宋体" w:hAnsi="宋体" w:eastAsia="宋体" w:cs="宋体"/>
          <w:b/>
          <w:bCs/>
          <w:color w:val="auto"/>
          <w:kern w:val="0"/>
          <w:sz w:val="21"/>
          <w:szCs w:val="21"/>
          <w:highlight w:val="none"/>
        </w:rPr>
        <w:t>2</w:t>
      </w:r>
      <w:r>
        <w:rPr>
          <w:rFonts w:hint="eastAsia" w:ascii="宋体" w:hAnsi="宋体" w:eastAsia="宋体" w:cs="宋体"/>
          <w:b/>
          <w:bCs/>
          <w:color w:val="auto"/>
          <w:kern w:val="0"/>
          <w:sz w:val="21"/>
          <w:szCs w:val="21"/>
          <w:highlight w:val="none"/>
          <w:lang w:val="en-US" w:eastAsia="zh-CN"/>
        </w:rPr>
        <w:t>2.</w:t>
      </w:r>
      <w:r>
        <w:rPr>
          <w:rFonts w:hint="eastAsia" w:ascii="宋体" w:hAnsi="宋体" w:eastAsia="宋体" w:cs="宋体"/>
          <w:b/>
          <w:bCs/>
          <w:color w:val="auto"/>
          <w:kern w:val="0"/>
          <w:sz w:val="21"/>
          <w:szCs w:val="21"/>
          <w:highlight w:val="none"/>
        </w:rPr>
        <w:t>投标文件的澄清</w:t>
      </w:r>
    </w:p>
    <w:p w14:paraId="18F447A8">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.1</w:t>
      </w:r>
      <w:r>
        <w:rPr>
          <w:rFonts w:hint="eastAsia" w:ascii="宋体" w:hAnsi="宋体" w:eastAsia="宋体" w:cs="宋体"/>
          <w:color w:val="auto"/>
          <w:sz w:val="21"/>
          <w:szCs w:val="21"/>
          <w:highlight w:val="none"/>
        </w:rPr>
        <w:t>对于投标文件中含义不明确、同类问题表述不一致或者有明显文字和计算错误的内容，评标委员会应当以</w:t>
      </w:r>
      <w:r>
        <w:rPr>
          <w:rFonts w:hint="eastAsia" w:ascii="宋体" w:hAnsi="宋体" w:eastAsia="宋体" w:cs="宋体"/>
          <w:color w:val="auto"/>
          <w:sz w:val="21"/>
          <w:szCs w:val="21"/>
          <w:highlight w:val="none"/>
          <w:lang w:eastAsia="zh-CN"/>
        </w:rPr>
        <w:t>通过政采云平台线上发出询标函</w:t>
      </w:r>
      <w:r>
        <w:rPr>
          <w:rFonts w:hint="eastAsia" w:ascii="宋体" w:hAnsi="宋体" w:eastAsia="宋体" w:cs="宋体"/>
          <w:color w:val="auto"/>
          <w:sz w:val="21"/>
          <w:szCs w:val="21"/>
          <w:highlight w:val="none"/>
        </w:rPr>
        <w:t>要求投标人作出必要的澄清、说明或者补正。</w:t>
      </w:r>
    </w:p>
    <w:p w14:paraId="1B7575DB">
      <w:pPr>
        <w:keepNext w:val="0"/>
        <w:keepLines w:val="0"/>
        <w:pageBreakBefore w:val="0"/>
        <w:widowControl/>
        <w:kinsoku/>
        <w:wordWrap/>
        <w:overflowPunct/>
        <w:topLinePunct w:val="0"/>
        <w:autoSpaceDE/>
        <w:autoSpaceDN/>
        <w:bidi w:val="0"/>
        <w:adjustRightInd/>
        <w:snapToGrid/>
        <w:spacing w:line="440" w:lineRule="exact"/>
        <w:ind w:firstLine="411" w:firstLineChars="196"/>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.2投标人的澄清、说明或者补正应当采用</w:t>
      </w:r>
      <w:r>
        <w:rPr>
          <w:rFonts w:hint="eastAsia" w:ascii="宋体" w:hAnsi="宋体" w:eastAsia="宋体" w:cs="宋体"/>
          <w:color w:val="auto"/>
          <w:sz w:val="21"/>
          <w:szCs w:val="21"/>
          <w:highlight w:val="none"/>
          <w:lang w:eastAsia="zh-CN"/>
        </w:rPr>
        <w:t>政采云平台线上发送</w:t>
      </w:r>
      <w:r>
        <w:rPr>
          <w:rFonts w:hint="eastAsia" w:ascii="宋体" w:hAnsi="宋体" w:eastAsia="宋体" w:cs="宋体"/>
          <w:color w:val="auto"/>
          <w:sz w:val="21"/>
          <w:szCs w:val="21"/>
          <w:highlight w:val="none"/>
        </w:rPr>
        <w:t>，并加盖</w:t>
      </w:r>
      <w:r>
        <w:rPr>
          <w:rFonts w:hint="eastAsia" w:ascii="宋体" w:hAnsi="宋体" w:eastAsia="宋体" w:cs="宋体"/>
          <w:color w:val="auto"/>
          <w:sz w:val="21"/>
          <w:szCs w:val="21"/>
          <w:highlight w:val="none"/>
          <w:lang w:val="en-US" w:eastAsia="zh-CN"/>
        </w:rPr>
        <w:t>CA签</w:t>
      </w:r>
      <w:r>
        <w:rPr>
          <w:rFonts w:hint="eastAsia" w:ascii="宋体" w:hAnsi="宋体" w:eastAsia="宋体" w:cs="宋体"/>
          <w:color w:val="auto"/>
          <w:sz w:val="21"/>
          <w:szCs w:val="21"/>
          <w:highlight w:val="none"/>
        </w:rPr>
        <w:t>章。投标人的澄清、说明或者补正不得超出投标文件的范围或者改变投标文件的实质性内容。</w:t>
      </w:r>
    </w:p>
    <w:p w14:paraId="6932AE86">
      <w:pPr>
        <w:keepNext w:val="0"/>
        <w:keepLines w:val="0"/>
        <w:pageBreakBefore w:val="0"/>
        <w:widowControl/>
        <w:kinsoku/>
        <w:wordWrap/>
        <w:overflowPunct/>
        <w:topLinePunct w:val="0"/>
        <w:autoSpaceDE/>
        <w:autoSpaceDN/>
        <w:bidi w:val="0"/>
        <w:adjustRightInd/>
        <w:snapToGrid/>
        <w:spacing w:line="440" w:lineRule="exact"/>
        <w:ind w:firstLine="413" w:firstLineChars="196"/>
        <w:jc w:val="left"/>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2</w:t>
      </w:r>
      <w:r>
        <w:rPr>
          <w:rFonts w:hint="eastAsia" w:ascii="宋体" w:hAnsi="宋体" w:eastAsia="宋体" w:cs="宋体"/>
          <w:b/>
          <w:bCs/>
          <w:color w:val="auto"/>
          <w:kern w:val="0"/>
          <w:sz w:val="21"/>
          <w:szCs w:val="21"/>
          <w:highlight w:val="none"/>
          <w:lang w:val="en-US" w:eastAsia="zh-CN"/>
        </w:rPr>
        <w:t>3.</w:t>
      </w:r>
      <w:r>
        <w:rPr>
          <w:rFonts w:hint="eastAsia" w:ascii="宋体" w:hAnsi="宋体" w:eastAsia="宋体" w:cs="宋体"/>
          <w:b/>
          <w:bCs/>
          <w:color w:val="auto"/>
          <w:kern w:val="0"/>
          <w:sz w:val="21"/>
          <w:szCs w:val="21"/>
          <w:highlight w:val="none"/>
        </w:rPr>
        <w:t>错误修正</w:t>
      </w:r>
    </w:p>
    <w:p w14:paraId="158BA750">
      <w:pPr>
        <w:keepNext w:val="0"/>
        <w:keepLines w:val="0"/>
        <w:pageBreakBefore w:val="0"/>
        <w:widowControl/>
        <w:kinsoku/>
        <w:wordWrap/>
        <w:overflowPunct/>
        <w:topLinePunct w:val="0"/>
        <w:autoSpaceDE/>
        <w:autoSpaceDN/>
        <w:bidi w:val="0"/>
        <w:adjustRightInd/>
        <w:snapToGrid/>
        <w:spacing w:line="440" w:lineRule="exact"/>
        <w:ind w:firstLine="411" w:firstLineChars="196"/>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电子交易平台客户端里开标一览表录入的投标报价信息与扫描上传的报价文件不一致的，以扫描上传的报价文件为准。</w:t>
      </w:r>
    </w:p>
    <w:p w14:paraId="2AE4229A">
      <w:pPr>
        <w:pStyle w:val="7"/>
        <w:keepNext w:val="0"/>
        <w:keepLines w:val="0"/>
        <w:pageBreakBefore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投标文件报价出现前后不一致的，按照下列规定修正：</w:t>
      </w:r>
    </w:p>
    <w:p w14:paraId="106C4C30">
      <w:pPr>
        <w:pStyle w:val="7"/>
        <w:keepNext w:val="0"/>
        <w:keepLines w:val="0"/>
        <w:pageBreakBefore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（一）投标文件中开标一览表（报价表）内容与投标文件中相应内容不一致的，以开标一览表（报价表）为准；</w:t>
      </w:r>
    </w:p>
    <w:p w14:paraId="08AC1DB4">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（二）大写金额和小写金额不一致的，以大写金额为准；</w:t>
      </w:r>
    </w:p>
    <w:p w14:paraId="423288E2">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（三）单价金额小数点或者百分比有明显错位的，以开标一览表的总价为准，并修改单价；</w:t>
      </w:r>
    </w:p>
    <w:p w14:paraId="693C7A49">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（四）总价金额与按单价汇总金额不一致的，以单价金额计算结果为准。</w:t>
      </w:r>
    </w:p>
    <w:p w14:paraId="20075577">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同时出现两种以上不一致的，按照前款规定的顺序修正。修正后的报价经投标人确认后产生约束力，投标人不确认的，其投标无效。</w:t>
      </w:r>
    </w:p>
    <w:p w14:paraId="0F80BD5C">
      <w:pPr>
        <w:keepNext w:val="0"/>
        <w:keepLines w:val="0"/>
        <w:pageBreakBefore w:val="0"/>
        <w:widowControl/>
        <w:kinsoku/>
        <w:wordWrap/>
        <w:overflowPunct/>
        <w:topLinePunct w:val="0"/>
        <w:autoSpaceDE/>
        <w:autoSpaceDN/>
        <w:bidi w:val="0"/>
        <w:adjustRightInd/>
        <w:spacing w:line="440" w:lineRule="exact"/>
        <w:ind w:firstLine="422"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24.</w:t>
      </w:r>
      <w:r>
        <w:rPr>
          <w:rFonts w:hint="eastAsia" w:ascii="宋体" w:hAnsi="宋体" w:eastAsia="宋体" w:cs="宋体"/>
          <w:b/>
          <w:bCs/>
          <w:color w:val="auto"/>
          <w:sz w:val="21"/>
          <w:szCs w:val="21"/>
          <w:highlight w:val="none"/>
        </w:rPr>
        <w:t>采购过程中的异常情况及处理措施</w:t>
      </w:r>
    </w:p>
    <w:p w14:paraId="4CF8D322">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采购过程中出现以下情形，导致电子交易平台无法正常运行，或者无法保证电子交易的公平、公正和安全时，</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可中止电子交易活动：</w:t>
      </w:r>
    </w:p>
    <w:p w14:paraId="02C01C4A">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1.电子交易平台发生故障而无法登录访问的；</w:t>
      </w:r>
    </w:p>
    <w:p w14:paraId="6E54B39E">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2.电子交易平台应用或数据库出现错误，不能进行正常操作的；</w:t>
      </w:r>
    </w:p>
    <w:p w14:paraId="4B23EB1A">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3.电子交易平台发现严重安全漏洞，有潜在泄密危险的；</w:t>
      </w:r>
    </w:p>
    <w:p w14:paraId="64AEF27E">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4.病毒发作导致不能进行正常操作的；</w:t>
      </w:r>
    </w:p>
    <w:p w14:paraId="77601ACD">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5.其他无法保证电子交易的公平、公正和安全的情况。</w:t>
      </w:r>
    </w:p>
    <w:p w14:paraId="41C7C6C5">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出现前款规定情形，不影响采购公平、公正性的，</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可以待上述情形消除后继续组织电子交易活动，也可以决定某些环节以纸质形式进行；影响或可能影响采购公平、公正性的，应当重新采购。</w:t>
      </w:r>
    </w:p>
    <w:p w14:paraId="28A6C34D">
      <w:pPr>
        <w:keepNext w:val="0"/>
        <w:keepLines w:val="0"/>
        <w:pageBreakBefore w:val="0"/>
        <w:widowControl/>
        <w:kinsoku/>
        <w:wordWrap/>
        <w:overflowPunct/>
        <w:topLinePunct w:val="0"/>
        <w:autoSpaceDE/>
        <w:autoSpaceDN/>
        <w:bidi w:val="0"/>
        <w:adjustRightInd/>
        <w:spacing w:line="440" w:lineRule="exact"/>
        <w:ind w:firstLine="413" w:firstLineChars="196"/>
        <w:jc w:val="left"/>
        <w:textAlignment w:val="auto"/>
        <w:outlineLvl w:val="9"/>
        <w:rPr>
          <w:rFonts w:hint="eastAsia" w:ascii="宋体" w:hAnsi="宋体" w:eastAsia="宋体" w:cs="宋体"/>
          <w:b/>
          <w:color w:val="auto"/>
          <w:kern w:val="0"/>
          <w:sz w:val="21"/>
          <w:szCs w:val="21"/>
          <w:highlight w:val="none"/>
        </w:rPr>
      </w:pPr>
      <w:r>
        <w:rPr>
          <w:rFonts w:hint="eastAsia" w:ascii="宋体" w:hAnsi="宋体" w:eastAsia="宋体" w:cs="宋体"/>
          <w:b/>
          <w:bCs/>
          <w:color w:val="auto"/>
          <w:kern w:val="0"/>
          <w:sz w:val="21"/>
          <w:szCs w:val="21"/>
          <w:highlight w:val="none"/>
        </w:rPr>
        <w:t>2</w:t>
      </w:r>
      <w:r>
        <w:rPr>
          <w:rFonts w:hint="eastAsia" w:ascii="宋体" w:hAnsi="宋体" w:eastAsia="宋体" w:cs="宋体"/>
          <w:b/>
          <w:bCs/>
          <w:color w:val="auto"/>
          <w:kern w:val="0"/>
          <w:sz w:val="21"/>
          <w:szCs w:val="21"/>
          <w:highlight w:val="none"/>
          <w:lang w:val="en-US" w:eastAsia="zh-CN"/>
        </w:rPr>
        <w:t>5.</w:t>
      </w:r>
      <w:r>
        <w:rPr>
          <w:rFonts w:hint="eastAsia" w:ascii="宋体" w:hAnsi="宋体" w:eastAsia="宋体" w:cs="宋体"/>
          <w:b/>
          <w:bCs/>
          <w:color w:val="auto"/>
          <w:kern w:val="0"/>
          <w:sz w:val="21"/>
          <w:szCs w:val="21"/>
          <w:highlight w:val="none"/>
        </w:rPr>
        <w:t>评审方法</w:t>
      </w:r>
    </w:p>
    <w:p w14:paraId="59D30DDA">
      <w:pPr>
        <w:keepNext w:val="0"/>
        <w:keepLines w:val="0"/>
        <w:pageBreakBefore w:val="0"/>
        <w:kinsoku/>
        <w:wordWrap/>
        <w:overflowPunct/>
        <w:topLinePunct w:val="0"/>
        <w:autoSpaceDE/>
        <w:autoSpaceDN/>
        <w:bidi w:val="0"/>
        <w:adjustRightInd/>
        <w:spacing w:line="44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.1本项目</w:t>
      </w:r>
      <w:r>
        <w:rPr>
          <w:rFonts w:hint="eastAsia" w:ascii="宋体" w:hAnsi="宋体" w:eastAsia="宋体" w:cs="宋体"/>
          <w:color w:val="auto"/>
          <w:sz w:val="21"/>
          <w:szCs w:val="21"/>
          <w:highlight w:val="none"/>
        </w:rPr>
        <w:t>采用综合评分法，满分为100分，其中报价分值</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分，技术商务等分值</w:t>
      </w:r>
      <w:r>
        <w:rPr>
          <w:rFonts w:hint="eastAsia" w:ascii="宋体" w:hAnsi="宋体" w:cs="宋体"/>
          <w:color w:val="auto"/>
          <w:sz w:val="21"/>
          <w:szCs w:val="21"/>
          <w:highlight w:val="none"/>
          <w:lang w:val="en-US" w:eastAsia="zh-CN"/>
        </w:rPr>
        <w:t>80</w:t>
      </w:r>
      <w:r>
        <w:rPr>
          <w:rFonts w:hint="eastAsia" w:ascii="宋体" w:hAnsi="宋体" w:eastAsia="宋体" w:cs="宋体"/>
          <w:color w:val="auto"/>
          <w:sz w:val="21"/>
          <w:szCs w:val="21"/>
          <w:highlight w:val="none"/>
        </w:rPr>
        <w:t>分。</w:t>
      </w:r>
      <w:r>
        <w:rPr>
          <w:rFonts w:hint="eastAsia" w:ascii="宋体" w:hAnsi="宋体" w:eastAsia="宋体" w:cs="宋体"/>
          <w:color w:val="auto"/>
          <w:kern w:val="0"/>
          <w:sz w:val="21"/>
          <w:szCs w:val="21"/>
          <w:highlight w:val="none"/>
        </w:rPr>
        <w:t>评分过程中采用四舍五入法，并保留两位小数。</w:t>
      </w:r>
      <w:r>
        <w:rPr>
          <w:rFonts w:hint="eastAsia" w:ascii="宋体" w:hAnsi="宋体" w:eastAsia="宋体" w:cs="宋体"/>
          <w:color w:val="auto"/>
          <w:sz w:val="21"/>
          <w:szCs w:val="21"/>
          <w:highlight w:val="none"/>
        </w:rPr>
        <w:t>评标结果按评审后得分由高到低顺序排列，投标文件满足招标文件全部实质性要求，且按照评审因素的量化指标评审得分最高的投标人为排名第一的中标候选人。得分相同的，按投标报价由低到高顺序排列，得分且投标报价相同的采取随机抽取方式确定。</w:t>
      </w:r>
    </w:p>
    <w:p w14:paraId="61161F52">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.1.1技术、资信、商务及其他分按照评标委员会成员的独立评分结果汇总后的算术平均分计算，计算公式为技术、资信商务及其他分=评标委员会所有成员评分合计数/评标委员会组成人员数。</w:t>
      </w:r>
    </w:p>
    <w:p w14:paraId="41600B24">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综合评分法中的价格分统一采用低价优先法计算。</w:t>
      </w:r>
    </w:p>
    <w:p w14:paraId="0FC6715C">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.2评分标准表：</w:t>
      </w:r>
    </w:p>
    <w:p w14:paraId="4E0BCDC5">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标项1：</w:t>
      </w:r>
    </w:p>
    <w:tbl>
      <w:tblPr>
        <w:tblStyle w:val="22"/>
        <w:tblW w:w="10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355"/>
        <w:gridCol w:w="745"/>
        <w:gridCol w:w="6598"/>
        <w:gridCol w:w="1025"/>
      </w:tblGrid>
      <w:tr w14:paraId="0C895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654" w:type="dxa"/>
            <w:shd w:val="clear" w:color="auto" w:fill="FFFFFF"/>
            <w:noWrap w:val="0"/>
            <w:vAlign w:val="center"/>
          </w:tcPr>
          <w:p w14:paraId="24E48BDB">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序号</w:t>
            </w:r>
          </w:p>
        </w:tc>
        <w:tc>
          <w:tcPr>
            <w:tcW w:w="1355" w:type="dxa"/>
            <w:shd w:val="clear" w:color="auto" w:fill="FFFFFF"/>
            <w:noWrap w:val="0"/>
            <w:vAlign w:val="center"/>
          </w:tcPr>
          <w:p w14:paraId="146BF15B">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评审内容</w:t>
            </w:r>
          </w:p>
        </w:tc>
        <w:tc>
          <w:tcPr>
            <w:tcW w:w="745" w:type="dxa"/>
            <w:shd w:val="clear" w:color="auto" w:fill="FFFFFF"/>
            <w:noWrap w:val="0"/>
            <w:vAlign w:val="center"/>
          </w:tcPr>
          <w:p w14:paraId="4F8C8940">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分值</w:t>
            </w:r>
          </w:p>
        </w:tc>
        <w:tc>
          <w:tcPr>
            <w:tcW w:w="6598" w:type="dxa"/>
            <w:shd w:val="clear" w:color="auto" w:fill="FFFFFF"/>
            <w:noWrap w:val="0"/>
            <w:vAlign w:val="center"/>
          </w:tcPr>
          <w:p w14:paraId="01C7142F">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评分标准</w:t>
            </w:r>
          </w:p>
        </w:tc>
        <w:tc>
          <w:tcPr>
            <w:tcW w:w="1025" w:type="dxa"/>
            <w:shd w:val="clear" w:color="auto" w:fill="FFFFFF"/>
            <w:noWrap w:val="0"/>
            <w:vAlign w:val="center"/>
          </w:tcPr>
          <w:p w14:paraId="7D24440A">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主/客观分属性</w:t>
            </w:r>
          </w:p>
        </w:tc>
      </w:tr>
      <w:tr w14:paraId="6D8C2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4" w:type="dxa"/>
            <w:vMerge w:val="restart"/>
            <w:shd w:val="clear" w:color="auto" w:fill="FFFFFF"/>
            <w:noWrap w:val="0"/>
            <w:vAlign w:val="center"/>
          </w:tcPr>
          <w:p w14:paraId="3D6ACE6D">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p w14:paraId="4B79E782">
            <w:pPr>
              <w:keepNext w:val="0"/>
              <w:keepLines w:val="0"/>
              <w:pageBreakBefore w:val="0"/>
              <w:widowControl/>
              <w:kinsoku/>
              <w:wordWrap/>
              <w:overflowPunct/>
              <w:topLinePunct w:val="0"/>
              <w:autoSpaceDE/>
              <w:autoSpaceDN/>
              <w:bidi w:val="0"/>
              <w:adjustRightInd/>
              <w:snapToGrid/>
              <w:spacing w:line="400" w:lineRule="exact"/>
              <w:ind w:firstLine="420"/>
              <w:jc w:val="center"/>
              <w:textAlignment w:val="auto"/>
              <w:rPr>
                <w:rFonts w:hint="default" w:ascii="宋体" w:hAnsi="宋体" w:eastAsia="宋体" w:cs="宋体"/>
                <w:color w:val="auto"/>
                <w:sz w:val="21"/>
                <w:szCs w:val="21"/>
                <w:highlight w:val="none"/>
                <w:lang w:val="en-US" w:eastAsia="zh-CN"/>
              </w:rPr>
            </w:pPr>
          </w:p>
        </w:tc>
        <w:tc>
          <w:tcPr>
            <w:tcW w:w="1355" w:type="dxa"/>
            <w:shd w:val="clear" w:color="auto" w:fill="FFFFFF"/>
            <w:noWrap w:val="0"/>
            <w:vAlign w:val="center"/>
          </w:tcPr>
          <w:p w14:paraId="605EABB3">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宋体" w:hAnsi="宋体" w:cs="宋体"/>
                <w:color w:val="auto"/>
                <w:kern w:val="0"/>
                <w:sz w:val="21"/>
                <w:szCs w:val="21"/>
                <w:highlight w:val="none"/>
                <w:lang w:bidi="en-US"/>
              </w:rPr>
            </w:pPr>
            <w:r>
              <w:rPr>
                <w:rFonts w:hint="eastAsia" w:ascii="宋体" w:hAnsi="宋体" w:cs="宋体"/>
                <w:color w:val="auto"/>
                <w:kern w:val="0"/>
                <w:sz w:val="21"/>
                <w:szCs w:val="21"/>
                <w:highlight w:val="none"/>
              </w:rPr>
              <w:t>企业业绩</w:t>
            </w:r>
          </w:p>
        </w:tc>
        <w:tc>
          <w:tcPr>
            <w:tcW w:w="745" w:type="dxa"/>
            <w:shd w:val="clear" w:color="auto" w:fill="FFFFFF"/>
            <w:noWrap w:val="0"/>
            <w:vAlign w:val="center"/>
          </w:tcPr>
          <w:p w14:paraId="392C5205">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宋体" w:hAnsi="宋体" w:cs="宋体"/>
                <w:color w:val="auto"/>
                <w:sz w:val="21"/>
                <w:szCs w:val="21"/>
                <w:highlight w:val="none"/>
              </w:rPr>
            </w:pP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rPr>
              <w:t>分</w:t>
            </w:r>
          </w:p>
        </w:tc>
        <w:tc>
          <w:tcPr>
            <w:tcW w:w="6598" w:type="dxa"/>
            <w:shd w:val="clear" w:color="auto" w:fill="FFFFFF"/>
            <w:noWrap w:val="0"/>
            <w:vAlign w:val="top"/>
          </w:tcPr>
          <w:p w14:paraId="65A0EF7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ascii="宋体" w:hAnsi="宋体" w:cs="宋体"/>
                <w:color w:val="auto"/>
                <w:sz w:val="21"/>
                <w:szCs w:val="21"/>
                <w:highlight w:val="none"/>
                <w:lang w:bidi="ar"/>
              </w:rPr>
              <w:t>投标人</w:t>
            </w:r>
            <w:r>
              <w:rPr>
                <w:rStyle w:val="44"/>
                <w:rFonts w:hint="default" w:cs="宋体"/>
                <w:b w:val="0"/>
                <w:bCs w:val="0"/>
                <w:color w:val="auto"/>
                <w:sz w:val="21"/>
                <w:szCs w:val="21"/>
                <w:highlight w:val="none"/>
                <w:lang w:eastAsia="zh-CN" w:bidi="ar"/>
              </w:rPr>
              <w:t>（若为联合体，</w:t>
            </w:r>
            <w:r>
              <w:rPr>
                <w:rStyle w:val="44"/>
                <w:rFonts w:hint="eastAsia" w:cs="宋体"/>
                <w:b w:val="0"/>
                <w:bCs w:val="0"/>
                <w:color w:val="auto"/>
                <w:sz w:val="21"/>
                <w:szCs w:val="21"/>
                <w:highlight w:val="none"/>
                <w:lang w:val="en-US" w:eastAsia="zh-CN" w:bidi="ar"/>
              </w:rPr>
              <w:t>可</w:t>
            </w:r>
            <w:r>
              <w:rPr>
                <w:rStyle w:val="44"/>
                <w:rFonts w:hint="default" w:cs="宋体"/>
                <w:b w:val="0"/>
                <w:bCs w:val="0"/>
                <w:color w:val="auto"/>
                <w:sz w:val="21"/>
                <w:szCs w:val="21"/>
                <w:highlight w:val="none"/>
                <w:lang w:eastAsia="zh-CN" w:bidi="ar"/>
              </w:rPr>
              <w:t>由联合体</w:t>
            </w:r>
            <w:r>
              <w:rPr>
                <w:rStyle w:val="44"/>
                <w:rFonts w:hint="eastAsia" w:cs="宋体"/>
                <w:b w:val="0"/>
                <w:bCs w:val="0"/>
                <w:color w:val="auto"/>
                <w:sz w:val="21"/>
                <w:szCs w:val="21"/>
                <w:highlight w:val="none"/>
                <w:lang w:val="en-US" w:eastAsia="zh-CN" w:bidi="ar"/>
              </w:rPr>
              <w:t>任意</w:t>
            </w:r>
            <w:r>
              <w:rPr>
                <w:rStyle w:val="44"/>
                <w:rFonts w:hint="default" w:cs="宋体"/>
                <w:b w:val="0"/>
                <w:bCs w:val="0"/>
                <w:color w:val="auto"/>
                <w:sz w:val="21"/>
                <w:szCs w:val="21"/>
                <w:highlight w:val="none"/>
                <w:lang w:eastAsia="zh-CN" w:bidi="ar"/>
              </w:rPr>
              <w:t>一方提供）</w:t>
            </w:r>
            <w:r>
              <w:rPr>
                <w:rFonts w:hint="eastAsia" w:ascii="宋体" w:hAnsi="宋体" w:eastAsia="宋体" w:cs="宋体"/>
                <w:color w:val="auto"/>
                <w:sz w:val="21"/>
                <w:szCs w:val="21"/>
                <w:highlight w:val="none"/>
                <w:lang w:val="en-US" w:eastAsia="zh-CN"/>
              </w:rPr>
              <w:t>自202</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年1月1日以来（以合同签订时间为准）承接过</w:t>
            </w:r>
            <w:r>
              <w:rPr>
                <w:rFonts w:hint="eastAsia" w:ascii="宋体" w:hAnsi="宋体" w:cs="宋体"/>
                <w:color w:val="auto"/>
                <w:sz w:val="21"/>
                <w:szCs w:val="21"/>
                <w:highlight w:val="none"/>
                <w:lang w:val="en-US" w:eastAsia="zh-CN"/>
              </w:rPr>
              <w:t>单个</w:t>
            </w:r>
            <w:r>
              <w:rPr>
                <w:rFonts w:hint="eastAsia" w:ascii="宋体" w:hAnsi="宋体" w:eastAsia="宋体" w:cs="宋体"/>
                <w:color w:val="auto"/>
                <w:sz w:val="21"/>
                <w:szCs w:val="21"/>
                <w:highlight w:val="none"/>
                <w:lang w:val="en-US" w:eastAsia="zh-CN"/>
              </w:rPr>
              <w:t>类似</w:t>
            </w:r>
            <w:r>
              <w:rPr>
                <w:rFonts w:hint="eastAsia" w:ascii="宋体" w:hAnsi="宋体" w:cs="宋体"/>
                <w:color w:val="auto"/>
                <w:sz w:val="21"/>
                <w:szCs w:val="21"/>
                <w:highlight w:val="none"/>
                <w:lang w:val="en-US" w:eastAsia="zh-CN"/>
              </w:rPr>
              <w:t>监理</w:t>
            </w:r>
            <w:r>
              <w:rPr>
                <w:rFonts w:hint="eastAsia" w:ascii="宋体" w:hAnsi="宋体" w:cs="宋体"/>
                <w:color w:val="auto"/>
                <w:highlight w:val="none"/>
                <w:lang w:val="en-US" w:eastAsia="zh-CN"/>
              </w:rPr>
              <w:t>业绩(退化林修复或采伐修复或疫木除治</w:t>
            </w:r>
            <w:r>
              <w:rPr>
                <w:rFonts w:hint="eastAsia" w:ascii="宋体" w:hAnsi="宋体" w:eastAsia="宋体" w:cs="宋体"/>
                <w:color w:val="auto"/>
                <w:highlight w:val="none"/>
                <w:lang w:val="en-US" w:eastAsia="zh-CN"/>
              </w:rPr>
              <w:t>等项目)</w:t>
            </w:r>
            <w:r>
              <w:rPr>
                <w:rFonts w:hint="eastAsia" w:ascii="宋体" w:hAnsi="宋体" w:cs="宋体"/>
                <w:color w:val="auto"/>
                <w:highlight w:val="none"/>
                <w:lang w:val="en-US" w:eastAsia="zh-CN"/>
              </w:rPr>
              <w:t>的</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每提供</w:t>
            </w:r>
            <w:r>
              <w:rPr>
                <w:rFonts w:hint="eastAsia" w:ascii="宋体" w:hAnsi="宋体" w:cs="宋体"/>
                <w:color w:val="auto"/>
                <w:sz w:val="21"/>
                <w:szCs w:val="21"/>
                <w:highlight w:val="none"/>
                <w:lang w:val="en-US" w:eastAsia="zh-CN"/>
              </w:rPr>
              <w:t>一</w:t>
            </w:r>
            <w:r>
              <w:rPr>
                <w:rFonts w:hint="eastAsia" w:ascii="宋体" w:hAnsi="宋体" w:eastAsia="宋体" w:cs="宋体"/>
                <w:color w:val="auto"/>
                <w:sz w:val="21"/>
                <w:szCs w:val="21"/>
                <w:highlight w:val="none"/>
                <w:lang w:eastAsia="zh-CN"/>
              </w:rPr>
              <w:t>个得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sz w:val="21"/>
                <w:szCs w:val="21"/>
                <w:highlight w:val="none"/>
                <w:lang w:val="en-US" w:eastAsia="zh-CN"/>
              </w:rPr>
              <w:t>最高得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14:paraId="70275E0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cs="宋体"/>
                <w:b/>
                <w:bCs/>
                <w:color w:val="auto"/>
                <w:sz w:val="21"/>
                <w:szCs w:val="21"/>
                <w:highlight w:val="none"/>
                <w:lang w:val="en-US"/>
              </w:rPr>
            </w:pPr>
            <w:r>
              <w:rPr>
                <w:rFonts w:hint="eastAsia" w:ascii="宋体" w:hAnsi="宋体" w:eastAsia="宋体" w:cs="宋体"/>
                <w:b/>
                <w:bCs/>
                <w:color w:val="auto"/>
                <w:sz w:val="21"/>
                <w:szCs w:val="21"/>
                <w:highlight w:val="none"/>
                <w:lang w:val="en-US" w:eastAsia="zh-CN"/>
              </w:rPr>
              <w:t>须</w:t>
            </w:r>
            <w:r>
              <w:rPr>
                <w:rFonts w:hint="eastAsia" w:ascii="宋体" w:hAnsi="宋体" w:cs="宋体"/>
                <w:b/>
                <w:bCs/>
                <w:color w:val="auto"/>
                <w:sz w:val="21"/>
                <w:szCs w:val="21"/>
                <w:highlight w:val="none"/>
                <w:lang w:val="en-US" w:eastAsia="zh-CN"/>
              </w:rPr>
              <w:t>同时</w:t>
            </w:r>
            <w:r>
              <w:rPr>
                <w:rFonts w:hint="eastAsia" w:ascii="宋体" w:hAnsi="宋体" w:eastAsia="宋体" w:cs="宋体"/>
                <w:b/>
                <w:bCs/>
                <w:color w:val="auto"/>
                <w:sz w:val="21"/>
                <w:szCs w:val="21"/>
                <w:highlight w:val="none"/>
                <w:lang w:val="en-US" w:eastAsia="zh-CN"/>
              </w:rPr>
              <w:t>提供</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合同</w:t>
            </w:r>
            <w:r>
              <w:rPr>
                <w:rFonts w:hint="eastAsia" w:ascii="宋体" w:hAnsi="宋体" w:cs="宋体"/>
                <w:b/>
                <w:bCs/>
                <w:color w:val="auto"/>
                <w:sz w:val="21"/>
                <w:szCs w:val="21"/>
                <w:highlight w:val="none"/>
                <w:lang w:val="en-US" w:eastAsia="zh-CN"/>
              </w:rPr>
              <w:t>和中标通知书原件扫描件</w:t>
            </w:r>
            <w:r>
              <w:rPr>
                <w:rFonts w:hint="eastAsia" w:ascii="宋体" w:hAnsi="宋体" w:eastAsia="宋体" w:cs="宋体"/>
                <w:b/>
                <w:bCs/>
                <w:color w:val="auto"/>
                <w:sz w:val="21"/>
                <w:szCs w:val="21"/>
                <w:highlight w:val="none"/>
                <w:lang w:val="en-US" w:eastAsia="zh-CN"/>
              </w:rPr>
              <w:t>（合同内容需体现项目特征，如不能体现，须提供业主证明材料），</w:t>
            </w:r>
            <w:r>
              <w:rPr>
                <w:rFonts w:hint="eastAsia" w:ascii="宋体" w:hAnsi="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lang w:val="en-US" w:eastAsia="zh-CN"/>
              </w:rPr>
              <w:t>加盖单位电子公章</w:t>
            </w:r>
            <w:r>
              <w:rPr>
                <w:rFonts w:hint="eastAsia" w:ascii="宋体" w:hAnsi="宋体" w:eastAsia="宋体" w:cs="宋体"/>
                <w:b/>
                <w:bCs/>
                <w:color w:val="auto"/>
                <w:kern w:val="2"/>
                <w:sz w:val="21"/>
                <w:szCs w:val="21"/>
                <w:highlight w:val="none"/>
                <w:lang w:val="en-US" w:eastAsia="zh-CN" w:bidi="ar-SA"/>
              </w:rPr>
              <w:t>；否则不得分。</w:t>
            </w:r>
          </w:p>
        </w:tc>
        <w:tc>
          <w:tcPr>
            <w:tcW w:w="1025" w:type="dxa"/>
            <w:shd w:val="clear" w:color="auto" w:fill="FFFFFF"/>
            <w:noWrap w:val="0"/>
            <w:vAlign w:val="center"/>
          </w:tcPr>
          <w:p w14:paraId="0A7F51B2">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客观分</w:t>
            </w:r>
          </w:p>
        </w:tc>
      </w:tr>
      <w:tr w14:paraId="4C564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654" w:type="dxa"/>
            <w:vMerge w:val="continue"/>
            <w:shd w:val="clear" w:color="auto" w:fill="FFFFFF"/>
            <w:noWrap w:val="0"/>
            <w:vAlign w:val="center"/>
          </w:tcPr>
          <w:p w14:paraId="33464AE0">
            <w:pPr>
              <w:keepNext w:val="0"/>
              <w:keepLines w:val="0"/>
              <w:pageBreakBefore w:val="0"/>
              <w:widowControl/>
              <w:kinsoku/>
              <w:wordWrap/>
              <w:overflowPunct/>
              <w:topLinePunct w:val="0"/>
              <w:autoSpaceDE/>
              <w:autoSpaceDN/>
              <w:bidi w:val="0"/>
              <w:spacing w:line="440" w:lineRule="exact"/>
              <w:ind w:firstLine="420"/>
              <w:jc w:val="center"/>
              <w:rPr>
                <w:rFonts w:ascii="宋体" w:hAnsi="宋体" w:cs="宋体"/>
                <w:color w:val="auto"/>
                <w:sz w:val="21"/>
                <w:szCs w:val="21"/>
                <w:highlight w:val="none"/>
              </w:rPr>
            </w:pPr>
          </w:p>
        </w:tc>
        <w:tc>
          <w:tcPr>
            <w:tcW w:w="1355" w:type="dxa"/>
            <w:shd w:val="clear" w:color="auto" w:fill="FFFFFF"/>
            <w:noWrap w:val="0"/>
            <w:vAlign w:val="center"/>
          </w:tcPr>
          <w:p w14:paraId="6F3ECC66">
            <w:pPr>
              <w:keepNext w:val="0"/>
              <w:keepLines w:val="0"/>
              <w:pageBreakBefore w:val="0"/>
              <w:widowControl/>
              <w:kinsoku/>
              <w:wordWrap/>
              <w:overflowPunct/>
              <w:topLinePunct w:val="0"/>
              <w:autoSpaceDE/>
              <w:autoSpaceDN/>
              <w:bidi w:val="0"/>
              <w:spacing w:line="440" w:lineRule="exact"/>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项目组成</w:t>
            </w:r>
          </w:p>
          <w:p w14:paraId="76CC2A09">
            <w:pPr>
              <w:keepNext w:val="0"/>
              <w:keepLines w:val="0"/>
              <w:pageBreakBefore w:val="0"/>
              <w:widowControl/>
              <w:kinsoku/>
              <w:wordWrap/>
              <w:overflowPunct/>
              <w:topLinePunct w:val="0"/>
              <w:autoSpaceDE/>
              <w:autoSpaceDN/>
              <w:bidi w:val="0"/>
              <w:spacing w:line="440" w:lineRule="exact"/>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人员</w:t>
            </w:r>
          </w:p>
          <w:p w14:paraId="7CDA441E">
            <w:pPr>
              <w:keepNext w:val="0"/>
              <w:keepLines w:val="0"/>
              <w:pageBreakBefore w:val="0"/>
              <w:widowControl/>
              <w:kinsoku/>
              <w:wordWrap/>
              <w:overflowPunct/>
              <w:topLinePunct w:val="0"/>
              <w:autoSpaceDE/>
              <w:autoSpaceDN/>
              <w:bidi w:val="0"/>
              <w:spacing w:line="440" w:lineRule="exact"/>
              <w:ind w:firstLine="0" w:firstLineChars="0"/>
              <w:jc w:val="center"/>
              <w:rPr>
                <w:rFonts w:hint="eastAsia" w:ascii="宋体" w:hAnsi="宋体" w:eastAsia="宋体" w:cs="宋体"/>
                <w:color w:val="auto"/>
                <w:kern w:val="0"/>
                <w:sz w:val="21"/>
                <w:szCs w:val="21"/>
                <w:highlight w:val="none"/>
                <w:lang w:eastAsia="zh-CN" w:bidi="en-US"/>
              </w:rPr>
            </w:pPr>
          </w:p>
        </w:tc>
        <w:tc>
          <w:tcPr>
            <w:tcW w:w="745" w:type="dxa"/>
            <w:shd w:val="clear" w:color="auto" w:fill="FFFFFF"/>
            <w:noWrap w:val="0"/>
            <w:vAlign w:val="center"/>
          </w:tcPr>
          <w:p w14:paraId="55650D5D">
            <w:pPr>
              <w:keepNext w:val="0"/>
              <w:keepLines w:val="0"/>
              <w:pageBreakBefore w:val="0"/>
              <w:widowControl/>
              <w:kinsoku/>
              <w:wordWrap/>
              <w:overflowPunct/>
              <w:topLinePunct w:val="0"/>
              <w:autoSpaceDE/>
              <w:autoSpaceDN/>
              <w:bidi w:val="0"/>
              <w:spacing w:line="440" w:lineRule="exact"/>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13</w:t>
            </w:r>
            <w:r>
              <w:rPr>
                <w:rFonts w:hint="eastAsia" w:ascii="宋体" w:hAnsi="宋体" w:cs="宋体"/>
                <w:color w:val="auto"/>
                <w:sz w:val="21"/>
                <w:szCs w:val="21"/>
                <w:highlight w:val="none"/>
              </w:rPr>
              <w:t>分</w:t>
            </w:r>
          </w:p>
        </w:tc>
        <w:tc>
          <w:tcPr>
            <w:tcW w:w="6598" w:type="dxa"/>
            <w:shd w:val="clear" w:color="auto" w:fill="FFFFFF"/>
            <w:noWrap w:val="0"/>
            <w:vAlign w:val="center"/>
          </w:tcPr>
          <w:p w14:paraId="6198EA9C">
            <w:pPr>
              <w:keepNext w:val="0"/>
              <w:keepLines w:val="0"/>
              <w:pageBreakBefore w:val="0"/>
              <w:widowControl/>
              <w:kinsoku/>
              <w:wordWrap/>
              <w:overflowPunct/>
              <w:topLinePunct w:val="0"/>
              <w:autoSpaceDE/>
              <w:autoSpaceDN/>
              <w:bidi w:val="0"/>
              <w:spacing w:line="440" w:lineRule="exact"/>
              <w:jc w:val="both"/>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总监理工程师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具有市政公用工程</w:t>
            </w:r>
            <w:r>
              <w:rPr>
                <w:rFonts w:hint="eastAsia" w:ascii="宋体" w:hAnsi="宋体" w:eastAsia="宋体" w:cs="宋体"/>
                <w:color w:val="auto"/>
                <w:sz w:val="21"/>
                <w:szCs w:val="21"/>
                <w:highlight w:val="none"/>
                <w:lang w:val="zh-CN" w:eastAsia="zh-CN"/>
              </w:rPr>
              <w:t>或营造林工程</w:t>
            </w:r>
            <w:r>
              <w:rPr>
                <w:rFonts w:hint="eastAsia" w:ascii="宋体" w:hAnsi="宋体" w:eastAsia="宋体" w:cs="宋体"/>
                <w:color w:val="auto"/>
                <w:sz w:val="21"/>
                <w:szCs w:val="21"/>
                <w:highlight w:val="none"/>
                <w:lang w:val="en-US" w:eastAsia="zh-CN"/>
              </w:rPr>
              <w:t>专业国家注册监理工程师执业资格</w:t>
            </w:r>
            <w:r>
              <w:rPr>
                <w:rFonts w:hint="eastAsia" w:ascii="宋体" w:hAnsi="宋体" w:eastAsia="宋体" w:cs="宋体"/>
                <w:color w:val="auto"/>
                <w:sz w:val="21"/>
                <w:szCs w:val="21"/>
                <w:highlight w:val="none"/>
                <w:lang w:eastAsia="zh-CN"/>
              </w:rPr>
              <w:t>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分。</w:t>
            </w:r>
          </w:p>
          <w:p w14:paraId="59D21CA2">
            <w:pPr>
              <w:keepNext w:val="0"/>
              <w:keepLines w:val="0"/>
              <w:pageBreakBefore w:val="0"/>
              <w:widowControl/>
              <w:kinsoku/>
              <w:wordWrap/>
              <w:overflowPunct/>
              <w:topLinePunct w:val="0"/>
              <w:autoSpaceDE/>
              <w:autoSpaceDN/>
              <w:bidi w:val="0"/>
              <w:spacing w:line="440" w:lineRule="exact"/>
              <w:jc w:val="both"/>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lang w:val="zh-CN" w:eastAsia="zh-CN"/>
              </w:rPr>
              <w:t>专业监理工程师</w:t>
            </w:r>
            <w:r>
              <w:rPr>
                <w:rFonts w:hint="eastAsia" w:ascii="宋体" w:hAnsi="宋体" w:eastAsia="宋体" w:cs="宋体"/>
                <w:color w:val="auto"/>
                <w:sz w:val="21"/>
                <w:szCs w:val="21"/>
                <w:highlight w:val="none"/>
                <w:lang w:val="en-US" w:eastAsia="zh-CN"/>
              </w:rPr>
              <w:t>：具有</w:t>
            </w:r>
            <w:r>
              <w:rPr>
                <w:rFonts w:hint="eastAsia" w:ascii="宋体" w:hAnsi="宋体" w:eastAsia="宋体" w:cs="宋体"/>
                <w:color w:val="auto"/>
                <w:sz w:val="21"/>
                <w:szCs w:val="21"/>
                <w:highlight w:val="none"/>
                <w:lang w:val="zh-CN" w:eastAsia="zh-CN"/>
              </w:rPr>
              <w:t>市政</w:t>
            </w:r>
            <w:r>
              <w:rPr>
                <w:rFonts w:hint="eastAsia" w:ascii="宋体" w:hAnsi="宋体" w:eastAsia="宋体" w:cs="宋体"/>
                <w:strike w:val="0"/>
                <w:dstrike w:val="0"/>
                <w:color w:val="auto"/>
                <w:szCs w:val="21"/>
                <w:highlight w:val="none"/>
                <w:u w:val="none"/>
                <w:lang w:val="en-US" w:eastAsia="zh-CN"/>
              </w:rPr>
              <w:t>公用工程</w:t>
            </w:r>
            <w:r>
              <w:rPr>
                <w:rFonts w:hint="eastAsia" w:ascii="宋体" w:hAnsi="宋体" w:eastAsia="宋体" w:cs="宋体"/>
                <w:color w:val="auto"/>
                <w:sz w:val="21"/>
                <w:szCs w:val="21"/>
                <w:highlight w:val="none"/>
                <w:lang w:val="zh-CN" w:eastAsia="zh-CN"/>
              </w:rPr>
              <w:t>或营造林专业监理工程师</w:t>
            </w:r>
            <w:r>
              <w:rPr>
                <w:rFonts w:hint="eastAsia" w:ascii="宋体" w:hAnsi="宋体" w:cs="宋体"/>
                <w:color w:val="auto"/>
                <w:sz w:val="21"/>
                <w:szCs w:val="21"/>
                <w:highlight w:val="none"/>
                <w:lang w:val="en-US" w:eastAsia="zh-CN"/>
              </w:rPr>
              <w:t>的得3分</w:t>
            </w:r>
            <w:r>
              <w:rPr>
                <w:rFonts w:hint="eastAsia" w:ascii="宋体" w:hAnsi="宋体" w:eastAsia="宋体" w:cs="宋体"/>
                <w:color w:val="auto"/>
                <w:sz w:val="21"/>
                <w:szCs w:val="21"/>
                <w:highlight w:val="none"/>
                <w:lang w:val="en-US" w:eastAsia="zh-CN"/>
              </w:rPr>
              <w:t>。</w:t>
            </w:r>
          </w:p>
          <w:p w14:paraId="6FA8CF7E">
            <w:pPr>
              <w:keepNext w:val="0"/>
              <w:keepLines w:val="0"/>
              <w:pageBreakBefore w:val="0"/>
              <w:widowControl/>
              <w:kinsoku/>
              <w:wordWrap/>
              <w:overflowPunct/>
              <w:topLinePunct w:val="0"/>
              <w:autoSpaceDE/>
              <w:autoSpaceDN/>
              <w:bidi w:val="0"/>
              <w:spacing w:line="440" w:lineRule="exact"/>
              <w:jc w:val="both"/>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）项目组成员(除</w:t>
            </w:r>
            <w:r>
              <w:rPr>
                <w:rFonts w:hint="eastAsia" w:ascii="宋体" w:hAnsi="宋体" w:eastAsia="宋体" w:cs="宋体"/>
                <w:color w:val="auto"/>
                <w:sz w:val="21"/>
                <w:szCs w:val="21"/>
                <w:highlight w:val="none"/>
                <w:lang w:val="en-US" w:eastAsia="zh-CN"/>
              </w:rPr>
              <w:t>总监理工程师</w:t>
            </w:r>
            <w:r>
              <w:rPr>
                <w:rFonts w:hint="eastAsia" w:ascii="宋体" w:hAnsi="宋体" w:cs="宋体"/>
                <w:color w:val="auto"/>
                <w:sz w:val="21"/>
                <w:szCs w:val="21"/>
                <w:highlight w:val="none"/>
                <w:lang w:val="en-US" w:eastAsia="zh-CN"/>
              </w:rPr>
              <w:t>和</w:t>
            </w:r>
            <w:r>
              <w:rPr>
                <w:rFonts w:hint="eastAsia" w:ascii="宋体" w:hAnsi="宋体" w:eastAsia="宋体" w:cs="宋体"/>
                <w:color w:val="auto"/>
                <w:sz w:val="21"/>
                <w:szCs w:val="21"/>
                <w:highlight w:val="none"/>
                <w:lang w:val="zh-CN" w:eastAsia="zh-CN"/>
              </w:rPr>
              <w:t>专业监理工程师</w:t>
            </w:r>
            <w:r>
              <w:rPr>
                <w:rFonts w:hint="eastAsia" w:ascii="宋体" w:hAnsi="宋体" w:eastAsia="宋体" w:cs="宋体"/>
                <w:color w:val="auto"/>
                <w:sz w:val="21"/>
                <w:szCs w:val="21"/>
                <w:highlight w:val="none"/>
                <w:lang w:eastAsia="zh-CN"/>
              </w:rPr>
              <w:t>外)：</w:t>
            </w:r>
          </w:p>
          <w:p w14:paraId="2D7EBAAE">
            <w:pPr>
              <w:keepNext w:val="0"/>
              <w:keepLines w:val="0"/>
              <w:pageBreakBefore w:val="0"/>
              <w:widowControl/>
              <w:kinsoku/>
              <w:wordWrap/>
              <w:overflowPunct/>
              <w:topLinePunct w:val="0"/>
              <w:autoSpaceDE/>
              <w:autoSpaceDN/>
              <w:bidi w:val="0"/>
              <w:spacing w:line="440" w:lineRule="exact"/>
              <w:jc w:val="both"/>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kern w:val="2"/>
                <w:sz w:val="21"/>
                <w:szCs w:val="21"/>
                <w:highlight w:val="none"/>
                <w:lang w:val="en-US" w:eastAsia="zh-CN" w:bidi="ar-SA"/>
              </w:rPr>
              <w:t>①</w:t>
            </w:r>
            <w:r>
              <w:rPr>
                <w:rFonts w:hint="eastAsia" w:ascii="宋体" w:hAnsi="宋体" w:eastAsia="宋体" w:cs="宋体"/>
                <w:color w:val="auto"/>
                <w:szCs w:val="21"/>
                <w:highlight w:val="none"/>
                <w:u w:val="none"/>
                <w:lang w:val="en-US" w:eastAsia="zh-CN"/>
              </w:rPr>
              <w:t>具有中国林业工程建设协会颁发的《营造林工程监理工程师培训合格证书》的</w:t>
            </w:r>
            <w:r>
              <w:rPr>
                <w:rFonts w:hint="eastAsia" w:ascii="宋体" w:hAnsi="宋体" w:eastAsia="宋体" w:cs="宋体"/>
                <w:color w:val="auto"/>
                <w:sz w:val="21"/>
                <w:szCs w:val="21"/>
                <w:highlight w:val="none"/>
                <w:lang w:eastAsia="zh-CN"/>
              </w:rPr>
              <w:t>每</w:t>
            </w:r>
            <w:r>
              <w:rPr>
                <w:rFonts w:hint="eastAsia" w:ascii="宋体" w:hAnsi="宋体" w:cs="宋体"/>
                <w:color w:val="auto"/>
                <w:sz w:val="21"/>
                <w:szCs w:val="21"/>
                <w:highlight w:val="none"/>
                <w:lang w:val="en-US" w:eastAsia="zh-CN"/>
              </w:rPr>
              <w:t>个</w:t>
            </w:r>
            <w:r>
              <w:rPr>
                <w:rFonts w:hint="eastAsia" w:ascii="宋体" w:hAnsi="宋体" w:eastAsia="宋体" w:cs="宋体"/>
                <w:color w:val="auto"/>
                <w:sz w:val="21"/>
                <w:szCs w:val="21"/>
                <w:highlight w:val="none"/>
                <w:lang w:eastAsia="zh-CN"/>
              </w:rPr>
              <w:t>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lang w:eastAsia="zh-CN"/>
              </w:rPr>
              <w:t>分，</w:t>
            </w:r>
            <w:r>
              <w:rPr>
                <w:rFonts w:hint="eastAsia" w:ascii="宋体" w:hAnsi="宋体" w:cs="宋体"/>
                <w:color w:val="auto"/>
                <w:sz w:val="21"/>
                <w:szCs w:val="21"/>
                <w:highlight w:val="none"/>
                <w:lang w:val="en-US" w:eastAsia="zh-CN"/>
              </w:rPr>
              <w:t>本项</w:t>
            </w:r>
            <w:r>
              <w:rPr>
                <w:rFonts w:hint="eastAsia" w:ascii="宋体" w:hAnsi="宋体" w:eastAsia="宋体" w:cs="宋体"/>
                <w:color w:val="auto"/>
                <w:sz w:val="21"/>
                <w:szCs w:val="21"/>
                <w:highlight w:val="none"/>
                <w:lang w:eastAsia="zh-CN"/>
              </w:rPr>
              <w:t>最高得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分。</w:t>
            </w:r>
          </w:p>
          <w:p w14:paraId="61908125">
            <w:pPr>
              <w:keepNext w:val="0"/>
              <w:keepLines w:val="0"/>
              <w:pageBreakBefore w:val="0"/>
              <w:widowControl/>
              <w:kinsoku/>
              <w:wordWrap/>
              <w:overflowPunct/>
              <w:topLinePunct w:val="0"/>
              <w:autoSpaceDE/>
              <w:autoSpaceDN/>
              <w:bidi w:val="0"/>
              <w:spacing w:line="440" w:lineRule="exact"/>
              <w:jc w:val="both"/>
              <w:textAlignment w:val="center"/>
              <w:rPr>
                <w:rFonts w:hint="eastAsia" w:ascii="宋体" w:hAnsi="宋体" w:cs="宋体"/>
                <w:color w:val="auto"/>
                <w:sz w:val="21"/>
                <w:szCs w:val="21"/>
                <w:highlight w:val="none"/>
                <w:lang w:eastAsia="zh-CN"/>
              </w:rPr>
            </w:pPr>
            <w:r>
              <w:rPr>
                <w:rFonts w:hint="eastAsia" w:ascii="宋体" w:hAnsi="宋体" w:eastAsia="宋体" w:cs="宋体"/>
                <w:b w:val="0"/>
                <w:bCs w:val="0"/>
                <w:color w:val="auto"/>
                <w:kern w:val="2"/>
                <w:sz w:val="21"/>
                <w:szCs w:val="21"/>
                <w:highlight w:val="none"/>
                <w:lang w:val="en-US" w:eastAsia="zh-CN" w:bidi="ar-SA"/>
              </w:rPr>
              <w:t>②</w:t>
            </w:r>
            <w:r>
              <w:rPr>
                <w:rFonts w:hint="eastAsia" w:ascii="宋体" w:hAnsi="宋体" w:eastAsia="宋体" w:cs="宋体"/>
                <w:color w:val="auto"/>
                <w:szCs w:val="21"/>
                <w:highlight w:val="none"/>
                <w:u w:val="none"/>
                <w:lang w:val="en-US" w:eastAsia="zh-CN"/>
              </w:rPr>
              <w:t>具有市政专业监理员的每个得</w:t>
            </w:r>
            <w:r>
              <w:rPr>
                <w:rFonts w:hint="eastAsia" w:ascii="宋体" w:hAnsi="宋体" w:cs="宋体"/>
                <w:color w:val="auto"/>
                <w:szCs w:val="21"/>
                <w:highlight w:val="none"/>
                <w:u w:val="none"/>
                <w:lang w:val="en-US" w:eastAsia="zh-CN"/>
              </w:rPr>
              <w:t>1</w:t>
            </w:r>
            <w:r>
              <w:rPr>
                <w:rFonts w:hint="eastAsia" w:ascii="宋体" w:hAnsi="宋体" w:eastAsia="宋体" w:cs="宋体"/>
                <w:color w:val="auto"/>
                <w:szCs w:val="21"/>
                <w:highlight w:val="none"/>
                <w:u w:val="none"/>
                <w:lang w:val="en-US" w:eastAsia="zh-CN"/>
              </w:rPr>
              <w:t>分，</w:t>
            </w:r>
            <w:r>
              <w:rPr>
                <w:rFonts w:hint="eastAsia" w:ascii="宋体" w:hAnsi="宋体" w:cs="宋体"/>
                <w:color w:val="auto"/>
                <w:szCs w:val="21"/>
                <w:highlight w:val="none"/>
                <w:u w:val="none"/>
                <w:lang w:val="en-US" w:eastAsia="zh-CN"/>
              </w:rPr>
              <w:t>本项</w:t>
            </w:r>
            <w:r>
              <w:rPr>
                <w:rFonts w:hint="eastAsia" w:ascii="宋体" w:hAnsi="宋体" w:eastAsia="宋体" w:cs="宋体"/>
                <w:color w:val="auto"/>
                <w:sz w:val="21"/>
                <w:szCs w:val="21"/>
                <w:highlight w:val="none"/>
                <w:lang w:eastAsia="zh-CN"/>
              </w:rPr>
              <w:t>最高得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分</w:t>
            </w:r>
            <w:r>
              <w:rPr>
                <w:rFonts w:hint="eastAsia" w:ascii="宋体" w:hAnsi="宋体" w:cs="宋体"/>
                <w:color w:val="auto"/>
                <w:sz w:val="21"/>
                <w:szCs w:val="21"/>
                <w:highlight w:val="none"/>
                <w:lang w:eastAsia="zh-CN"/>
              </w:rPr>
              <w:t>。</w:t>
            </w:r>
          </w:p>
          <w:p w14:paraId="3F77B4F0">
            <w:pPr>
              <w:keepNext w:val="0"/>
              <w:keepLines w:val="0"/>
              <w:pageBreakBefore w:val="0"/>
              <w:widowControl/>
              <w:kinsoku/>
              <w:wordWrap/>
              <w:overflowPunct/>
              <w:topLinePunct w:val="0"/>
              <w:autoSpaceDE/>
              <w:autoSpaceDN/>
              <w:bidi w:val="0"/>
              <w:spacing w:line="440" w:lineRule="exact"/>
              <w:jc w:val="both"/>
              <w:textAlignment w:val="center"/>
              <w:rPr>
                <w:rFonts w:hint="default" w:ascii="宋体" w:hAnsi="宋体" w:eastAsia="宋体" w:cs="宋体"/>
                <w:color w:val="auto"/>
                <w:sz w:val="21"/>
                <w:szCs w:val="21"/>
                <w:highlight w:val="none"/>
                <w:lang w:val="en-US" w:eastAsia="zh-CN"/>
              </w:rPr>
            </w:pPr>
            <w:r>
              <w:rPr>
                <w:rFonts w:hint="default" w:ascii="宋体" w:hAnsi="宋体" w:eastAsia="宋体" w:cs="宋体"/>
                <w:b w:val="0"/>
                <w:bCs w:val="0"/>
                <w:color w:val="auto"/>
                <w:kern w:val="2"/>
                <w:sz w:val="21"/>
                <w:szCs w:val="21"/>
                <w:highlight w:val="none"/>
                <w:lang w:val="en-US" w:eastAsia="zh-CN" w:bidi="ar-SA"/>
              </w:rPr>
              <w:t>③</w:t>
            </w:r>
            <w:r>
              <w:rPr>
                <w:rFonts w:hint="eastAsia" w:ascii="宋体" w:hAnsi="宋体" w:eastAsia="宋体" w:cs="宋体"/>
                <w:color w:val="auto"/>
                <w:szCs w:val="21"/>
                <w:highlight w:val="none"/>
                <w:u w:val="none"/>
                <w:lang w:val="en-US" w:eastAsia="zh-CN"/>
              </w:rPr>
              <w:t>具有林业专业中级及以上技术职称证书</w:t>
            </w:r>
            <w:r>
              <w:rPr>
                <w:rFonts w:hint="eastAsia" w:ascii="宋体" w:hAnsi="宋体" w:eastAsia="宋体" w:cs="宋体"/>
                <w:color w:val="auto"/>
                <w:sz w:val="21"/>
                <w:szCs w:val="21"/>
                <w:highlight w:val="none"/>
                <w:lang w:eastAsia="zh-CN"/>
              </w:rPr>
              <w:t>的</w:t>
            </w:r>
            <w:r>
              <w:rPr>
                <w:rFonts w:hint="eastAsia" w:ascii="宋体" w:hAnsi="宋体" w:cs="宋体"/>
                <w:color w:val="auto"/>
                <w:sz w:val="21"/>
                <w:szCs w:val="21"/>
                <w:highlight w:val="none"/>
                <w:lang w:val="en-US" w:eastAsia="zh-CN"/>
              </w:rPr>
              <w:t>每个</w:t>
            </w:r>
            <w:r>
              <w:rPr>
                <w:rFonts w:hint="eastAsia" w:ascii="宋体" w:hAnsi="宋体" w:eastAsia="宋体" w:cs="宋体"/>
                <w:color w:val="auto"/>
                <w:sz w:val="21"/>
                <w:szCs w:val="21"/>
                <w:highlight w:val="none"/>
                <w:lang w:eastAsia="zh-CN"/>
              </w:rPr>
              <w:t>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本项</w:t>
            </w:r>
            <w:r>
              <w:rPr>
                <w:rFonts w:hint="eastAsia" w:ascii="宋体" w:hAnsi="宋体" w:eastAsia="宋体" w:cs="宋体"/>
                <w:color w:val="auto"/>
                <w:sz w:val="21"/>
                <w:szCs w:val="21"/>
                <w:highlight w:val="none"/>
                <w:lang w:eastAsia="zh-CN"/>
              </w:rPr>
              <w:t>最高得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分</w:t>
            </w:r>
            <w:r>
              <w:rPr>
                <w:rFonts w:hint="eastAsia" w:ascii="宋体" w:hAnsi="宋体" w:cs="宋体"/>
                <w:color w:val="auto"/>
                <w:sz w:val="21"/>
                <w:szCs w:val="21"/>
                <w:highlight w:val="none"/>
                <w:lang w:eastAsia="zh-CN"/>
              </w:rPr>
              <w:t>。</w:t>
            </w:r>
          </w:p>
          <w:p w14:paraId="46D1095C">
            <w:pPr>
              <w:keepNext w:val="0"/>
              <w:keepLines w:val="0"/>
              <w:pageBreakBefore w:val="0"/>
              <w:widowControl/>
              <w:kinsoku/>
              <w:wordWrap/>
              <w:overflowPunct/>
              <w:topLinePunct w:val="0"/>
              <w:autoSpaceDE/>
              <w:autoSpaceDN/>
              <w:bidi w:val="0"/>
              <w:spacing w:line="440" w:lineRule="exact"/>
              <w:jc w:val="both"/>
              <w:textAlignment w:val="center"/>
              <w:rPr>
                <w:rFonts w:hint="eastAsia" w:ascii="宋体" w:hAnsi="宋体" w:cs="宋体"/>
                <w:b/>
                <w:bCs/>
                <w:color w:val="auto"/>
                <w:sz w:val="21"/>
                <w:szCs w:val="21"/>
                <w:highlight w:val="none"/>
              </w:rPr>
            </w:pPr>
            <w:r>
              <w:rPr>
                <w:rFonts w:hint="eastAsia" w:ascii="宋体" w:hAnsi="宋体" w:eastAsia="宋体" w:cs="宋体"/>
                <w:b/>
                <w:bCs/>
                <w:color w:val="auto"/>
                <w:kern w:val="2"/>
                <w:sz w:val="21"/>
                <w:szCs w:val="21"/>
                <w:highlight w:val="none"/>
                <w:lang w:val="en-US" w:eastAsia="zh-CN" w:bidi="ar-SA"/>
              </w:rPr>
              <w:t>须同时提供</w:t>
            </w:r>
            <w:r>
              <w:rPr>
                <w:rFonts w:hint="eastAsia" w:ascii="宋体" w:hAnsi="宋体" w:cs="宋体"/>
                <w:b/>
                <w:bCs/>
                <w:color w:val="auto"/>
                <w:kern w:val="2"/>
                <w:sz w:val="21"/>
                <w:szCs w:val="21"/>
                <w:highlight w:val="none"/>
                <w:lang w:val="en-US" w:eastAsia="zh-CN" w:bidi="ar-SA"/>
              </w:rPr>
              <w:t>（</w:t>
            </w:r>
            <w:r>
              <w:rPr>
                <w:rFonts w:hint="default" w:ascii="宋体" w:hAnsi="宋体" w:eastAsia="宋体" w:cs="宋体"/>
                <w:b/>
                <w:bCs/>
                <w:color w:val="auto"/>
                <w:kern w:val="2"/>
                <w:sz w:val="21"/>
                <w:szCs w:val="21"/>
                <w:highlight w:val="none"/>
                <w:lang w:val="en-US" w:eastAsia="zh-CN" w:bidi="ar-SA"/>
              </w:rPr>
              <w:t>若为联合体，</w:t>
            </w:r>
            <w:r>
              <w:rPr>
                <w:rFonts w:hint="eastAsia" w:ascii="宋体" w:hAnsi="宋体" w:eastAsia="宋体" w:cs="宋体"/>
                <w:b/>
                <w:bCs/>
                <w:color w:val="auto"/>
                <w:kern w:val="2"/>
                <w:sz w:val="21"/>
                <w:szCs w:val="21"/>
                <w:highlight w:val="none"/>
                <w:lang w:val="en-US" w:eastAsia="zh-CN" w:bidi="ar-SA"/>
              </w:rPr>
              <w:t>可</w:t>
            </w:r>
            <w:r>
              <w:rPr>
                <w:rFonts w:hint="default" w:ascii="宋体" w:hAnsi="宋体" w:eastAsia="宋体" w:cs="宋体"/>
                <w:b/>
                <w:bCs/>
                <w:color w:val="auto"/>
                <w:kern w:val="2"/>
                <w:sz w:val="21"/>
                <w:szCs w:val="21"/>
                <w:highlight w:val="none"/>
                <w:lang w:val="en-US" w:eastAsia="zh-CN" w:bidi="ar-SA"/>
              </w:rPr>
              <w:t>由联合体</w:t>
            </w:r>
            <w:r>
              <w:rPr>
                <w:rFonts w:hint="eastAsia" w:ascii="宋体" w:hAnsi="宋体" w:eastAsia="宋体" w:cs="宋体"/>
                <w:b/>
                <w:bCs/>
                <w:color w:val="auto"/>
                <w:kern w:val="2"/>
                <w:sz w:val="21"/>
                <w:szCs w:val="21"/>
                <w:highlight w:val="none"/>
                <w:lang w:val="en-US" w:eastAsia="zh-CN" w:bidi="ar-SA"/>
              </w:rPr>
              <w:t>任意</w:t>
            </w:r>
            <w:r>
              <w:rPr>
                <w:rFonts w:hint="default" w:ascii="宋体" w:hAnsi="宋体" w:eastAsia="宋体" w:cs="宋体"/>
                <w:b/>
                <w:bCs/>
                <w:color w:val="auto"/>
                <w:kern w:val="2"/>
                <w:sz w:val="21"/>
                <w:szCs w:val="21"/>
                <w:highlight w:val="none"/>
                <w:lang w:val="en-US" w:eastAsia="zh-CN" w:bidi="ar-SA"/>
              </w:rPr>
              <w:t>一方提供</w:t>
            </w:r>
            <w:r>
              <w:rPr>
                <w:rFonts w:hint="eastAsia" w:ascii="宋体" w:hAnsi="宋体" w:cs="宋体"/>
                <w:b/>
                <w:bCs/>
                <w:color w:val="auto"/>
                <w:kern w:val="2"/>
                <w:sz w:val="21"/>
                <w:szCs w:val="21"/>
                <w:highlight w:val="none"/>
                <w:lang w:val="en-US" w:eastAsia="zh-CN" w:bidi="ar-SA"/>
              </w:rPr>
              <w:t>）</w:t>
            </w:r>
            <w:r>
              <w:rPr>
                <w:rFonts w:hint="eastAsia" w:ascii="宋体" w:hAnsi="宋体" w:eastAsia="宋体" w:cs="宋体"/>
                <w:b/>
                <w:bCs/>
                <w:color w:val="auto"/>
                <w:kern w:val="2"/>
                <w:sz w:val="21"/>
                <w:szCs w:val="21"/>
                <w:highlight w:val="none"/>
                <w:lang w:val="en-US" w:eastAsia="zh-CN" w:bidi="ar-SA"/>
              </w:rPr>
              <w:t>：①有效的相关证书</w:t>
            </w:r>
            <w:r>
              <w:rPr>
                <w:rFonts w:hint="eastAsia" w:ascii="宋体" w:hAnsi="宋体" w:cs="宋体"/>
                <w:b/>
                <w:bCs/>
                <w:color w:val="auto"/>
                <w:sz w:val="21"/>
                <w:szCs w:val="21"/>
                <w:highlight w:val="none"/>
              </w:rPr>
              <w:t>原件扫描件</w:t>
            </w:r>
            <w:r>
              <w:rPr>
                <w:rFonts w:hint="eastAsia" w:ascii="宋体" w:hAnsi="宋体" w:eastAsia="宋体" w:cs="宋体"/>
                <w:b/>
                <w:bCs/>
                <w:color w:val="auto"/>
                <w:kern w:val="2"/>
                <w:sz w:val="21"/>
                <w:szCs w:val="21"/>
                <w:highlight w:val="none"/>
                <w:lang w:val="en-US" w:eastAsia="zh-CN" w:bidi="ar-SA"/>
              </w:rPr>
              <w:t>并加盖公章，</w:t>
            </w:r>
            <w:r>
              <w:rPr>
                <w:rFonts w:hint="eastAsia" w:ascii="宋体" w:hAnsi="宋体" w:cs="宋体"/>
                <w:b/>
                <w:bCs/>
                <w:color w:val="auto"/>
                <w:sz w:val="21"/>
                <w:szCs w:val="21"/>
                <w:highlight w:val="none"/>
              </w:rPr>
              <w:t>若职称（资格）证书未注明类别的须提供毕业证书或学位证书等证明材料佐证</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kern w:val="2"/>
                <w:sz w:val="21"/>
                <w:szCs w:val="21"/>
                <w:highlight w:val="none"/>
                <w:lang w:val="en-US" w:eastAsia="zh-CN" w:bidi="ar-SA"/>
              </w:rPr>
              <w:t>②人员不重复计分，一人多证按高只计一次分；</w:t>
            </w:r>
            <w:r>
              <w:rPr>
                <w:rFonts w:hint="default" w:ascii="宋体" w:hAnsi="宋体" w:eastAsia="宋体" w:cs="宋体"/>
                <w:b/>
                <w:bCs/>
                <w:color w:val="auto"/>
                <w:kern w:val="2"/>
                <w:sz w:val="21"/>
                <w:szCs w:val="21"/>
                <w:highlight w:val="none"/>
                <w:lang w:val="en-US" w:eastAsia="zh-CN" w:bidi="ar-SA"/>
              </w:rPr>
              <w:t>③</w:t>
            </w:r>
            <w:r>
              <w:rPr>
                <w:rFonts w:hint="eastAsia" w:ascii="宋体" w:hAnsi="宋体" w:eastAsia="宋体" w:cs="宋体"/>
                <w:b/>
                <w:bCs/>
                <w:color w:val="auto"/>
                <w:kern w:val="2"/>
                <w:sz w:val="21"/>
                <w:szCs w:val="21"/>
                <w:highlight w:val="none"/>
                <w:lang w:val="en-US" w:eastAsia="zh-CN" w:bidi="ar-SA"/>
              </w:rPr>
              <w:t>社会保险证明（以社保部门提供的</w:t>
            </w:r>
            <w:r>
              <w:rPr>
                <w:rFonts w:hint="eastAsia" w:ascii="宋体" w:hAnsi="宋体" w:cs="宋体"/>
                <w:b/>
                <w:bCs/>
                <w:color w:val="auto"/>
                <w:kern w:val="2"/>
                <w:sz w:val="21"/>
                <w:szCs w:val="21"/>
                <w:highlight w:val="none"/>
                <w:lang w:val="en-US" w:eastAsia="zh-CN" w:bidi="ar-SA"/>
              </w:rPr>
              <w:t>2025年3月、2025年4月、2025年5月</w:t>
            </w:r>
            <w:r>
              <w:rPr>
                <w:rFonts w:hint="eastAsia" w:ascii="宋体" w:hAnsi="宋体" w:eastAsia="宋体" w:cs="宋体"/>
                <w:b/>
                <w:bCs/>
                <w:color w:val="auto"/>
                <w:kern w:val="2"/>
                <w:sz w:val="21"/>
                <w:szCs w:val="21"/>
                <w:highlight w:val="none"/>
                <w:lang w:val="en-US" w:eastAsia="zh-CN" w:bidi="ar-SA"/>
              </w:rPr>
              <w:t>本单位职工基本社会保险参保证明或缴费清单为准）并加盖</w:t>
            </w:r>
            <w:r>
              <w:rPr>
                <w:rFonts w:hint="eastAsia" w:ascii="宋体" w:hAnsi="宋体" w:eastAsia="宋体" w:cs="宋体"/>
                <w:b/>
                <w:bCs/>
                <w:color w:val="auto"/>
                <w:sz w:val="21"/>
                <w:szCs w:val="21"/>
                <w:highlight w:val="none"/>
                <w:lang w:val="en-US" w:eastAsia="zh-CN"/>
              </w:rPr>
              <w:t>单位电子公章</w:t>
            </w:r>
            <w:r>
              <w:rPr>
                <w:rFonts w:hint="eastAsia" w:ascii="宋体" w:hAnsi="宋体" w:eastAsia="宋体" w:cs="宋体"/>
                <w:b/>
                <w:bCs/>
                <w:color w:val="auto"/>
                <w:kern w:val="2"/>
                <w:sz w:val="21"/>
                <w:szCs w:val="21"/>
                <w:highlight w:val="none"/>
                <w:lang w:val="en-US" w:eastAsia="zh-CN" w:bidi="ar-SA"/>
              </w:rPr>
              <w:t>；否则不得分。</w:t>
            </w:r>
          </w:p>
        </w:tc>
        <w:tc>
          <w:tcPr>
            <w:tcW w:w="1025" w:type="dxa"/>
            <w:shd w:val="clear" w:color="auto" w:fill="FFFFFF"/>
            <w:noWrap w:val="0"/>
            <w:vAlign w:val="center"/>
          </w:tcPr>
          <w:p w14:paraId="74A0BA9C">
            <w:pPr>
              <w:keepNext w:val="0"/>
              <w:keepLines w:val="0"/>
              <w:pageBreakBefore w:val="0"/>
              <w:widowControl/>
              <w:kinsoku/>
              <w:wordWrap/>
              <w:overflowPunct/>
              <w:topLinePunct w:val="0"/>
              <w:autoSpaceDE/>
              <w:autoSpaceDN/>
              <w:bidi w:val="0"/>
              <w:adjustRightInd w:val="0"/>
              <w:snapToGrid w:val="0"/>
              <w:spacing w:line="44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tc>
      </w:tr>
      <w:tr w14:paraId="2FA04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654" w:type="dxa"/>
            <w:vMerge w:val="restart"/>
            <w:shd w:val="clear" w:color="auto" w:fill="FFFFFF"/>
            <w:noWrap w:val="0"/>
            <w:vAlign w:val="center"/>
          </w:tcPr>
          <w:p w14:paraId="652424C7">
            <w:pPr>
              <w:keepNext w:val="0"/>
              <w:keepLines w:val="0"/>
              <w:pageBreakBefore w:val="0"/>
              <w:widowControl/>
              <w:kinsoku/>
              <w:wordWrap/>
              <w:overflowPunct/>
              <w:topLinePunct w:val="0"/>
              <w:autoSpaceDE/>
              <w:autoSpaceDN/>
              <w:bidi w:val="0"/>
              <w:spacing w:line="440" w:lineRule="exact"/>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2</w:t>
            </w:r>
          </w:p>
          <w:p w14:paraId="6538BAFE">
            <w:pPr>
              <w:keepNext w:val="0"/>
              <w:keepLines w:val="0"/>
              <w:pageBreakBefore w:val="0"/>
              <w:widowControl/>
              <w:kinsoku/>
              <w:wordWrap/>
              <w:overflowPunct/>
              <w:topLinePunct w:val="0"/>
              <w:autoSpaceDE/>
              <w:autoSpaceDN/>
              <w:bidi w:val="0"/>
              <w:spacing w:line="440" w:lineRule="exact"/>
              <w:ind w:firstLine="420"/>
              <w:jc w:val="center"/>
              <w:rPr>
                <w:rFonts w:ascii="宋体" w:hAnsi="宋体" w:cs="宋体"/>
                <w:color w:val="auto"/>
                <w:sz w:val="21"/>
                <w:szCs w:val="21"/>
                <w:highlight w:val="none"/>
              </w:rPr>
            </w:pPr>
          </w:p>
        </w:tc>
        <w:tc>
          <w:tcPr>
            <w:tcW w:w="1355" w:type="dxa"/>
            <w:shd w:val="clear" w:color="auto" w:fill="FFFFFF"/>
            <w:noWrap w:val="0"/>
            <w:vAlign w:val="center"/>
          </w:tcPr>
          <w:p w14:paraId="3AE8AAD2">
            <w:pPr>
              <w:keepNext w:val="0"/>
              <w:keepLines w:val="0"/>
              <w:pageBreakBefore w:val="0"/>
              <w:widowControl/>
              <w:kinsoku/>
              <w:wordWrap/>
              <w:overflowPunct/>
              <w:topLinePunct w:val="0"/>
              <w:autoSpaceDE/>
              <w:autoSpaceDN/>
              <w:bidi w:val="0"/>
              <w:spacing w:line="440" w:lineRule="exact"/>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监理工作</w:t>
            </w:r>
            <w:r>
              <w:rPr>
                <w:rFonts w:hint="eastAsia" w:ascii="宋体" w:hAnsi="宋体" w:cs="宋体"/>
                <w:color w:val="auto"/>
                <w:sz w:val="21"/>
                <w:szCs w:val="21"/>
                <w:highlight w:val="none"/>
                <w:lang w:val="en-US" w:eastAsia="zh-CN"/>
              </w:rPr>
              <w:t>实施</w:t>
            </w:r>
            <w:r>
              <w:rPr>
                <w:rFonts w:hint="eastAsia" w:ascii="宋体" w:hAnsi="宋体" w:eastAsia="宋体" w:cs="宋体"/>
                <w:color w:val="auto"/>
                <w:sz w:val="21"/>
                <w:szCs w:val="21"/>
                <w:highlight w:val="none"/>
              </w:rPr>
              <w:t>方案</w:t>
            </w:r>
          </w:p>
        </w:tc>
        <w:tc>
          <w:tcPr>
            <w:tcW w:w="745" w:type="dxa"/>
            <w:shd w:val="clear" w:color="auto" w:fill="FFFFFF"/>
            <w:noWrap w:val="0"/>
            <w:vAlign w:val="center"/>
          </w:tcPr>
          <w:p w14:paraId="606DBE08">
            <w:pPr>
              <w:keepNext w:val="0"/>
              <w:keepLines w:val="0"/>
              <w:pageBreakBefore w:val="0"/>
              <w:widowControl/>
              <w:kinsoku/>
              <w:wordWrap/>
              <w:overflowPunct/>
              <w:topLinePunct w:val="0"/>
              <w:autoSpaceDE/>
              <w:autoSpaceDN/>
              <w:bidi w:val="0"/>
              <w:spacing w:line="440" w:lineRule="exact"/>
              <w:ind w:firstLine="0" w:firstLine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分</w:t>
            </w:r>
          </w:p>
        </w:tc>
        <w:tc>
          <w:tcPr>
            <w:tcW w:w="6598" w:type="dxa"/>
            <w:shd w:val="clear" w:color="auto" w:fill="FFFFFF"/>
            <w:noWrap w:val="0"/>
            <w:vAlign w:val="center"/>
          </w:tcPr>
          <w:p w14:paraId="64541526">
            <w:pPr>
              <w:keepNext w:val="0"/>
              <w:keepLines w:val="0"/>
              <w:pageBreakBefore w:val="0"/>
              <w:widowControl/>
              <w:kinsoku/>
              <w:wordWrap/>
              <w:overflowPunct/>
              <w:topLinePunct w:val="0"/>
              <w:autoSpaceDE/>
              <w:autoSpaceDN/>
              <w:bidi w:val="0"/>
              <w:spacing w:line="440" w:lineRule="exact"/>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GB"/>
              </w:rPr>
              <w:t>根据</w:t>
            </w:r>
            <w:r>
              <w:rPr>
                <w:rFonts w:hint="eastAsia" w:ascii="宋体" w:hAnsi="宋体" w:cs="宋体"/>
                <w:color w:val="auto"/>
                <w:sz w:val="21"/>
                <w:szCs w:val="21"/>
                <w:highlight w:val="none"/>
              </w:rPr>
              <w:t>投标人</w:t>
            </w:r>
            <w:r>
              <w:rPr>
                <w:rFonts w:hint="eastAsia" w:ascii="宋体" w:hAnsi="宋体" w:cs="宋体"/>
                <w:color w:val="auto"/>
                <w:sz w:val="21"/>
                <w:szCs w:val="21"/>
                <w:highlight w:val="none"/>
                <w:lang w:val="en-US" w:eastAsia="zh-CN"/>
              </w:rPr>
              <w:t>提供的</w:t>
            </w:r>
            <w:r>
              <w:rPr>
                <w:rFonts w:hint="eastAsia" w:ascii="宋体" w:hAnsi="宋体" w:eastAsia="宋体" w:cs="宋体"/>
                <w:color w:val="auto"/>
                <w:sz w:val="21"/>
                <w:szCs w:val="21"/>
                <w:highlight w:val="none"/>
                <w:lang w:val="en-GB"/>
              </w:rPr>
              <w:t>详细合理的监理方案</w:t>
            </w:r>
            <w:r>
              <w:rPr>
                <w:rFonts w:hint="eastAsia" w:ascii="宋体" w:hAnsi="宋体" w:eastAsia="宋体" w:cs="宋体"/>
                <w:color w:val="auto"/>
                <w:sz w:val="21"/>
                <w:szCs w:val="21"/>
                <w:highlight w:val="none"/>
                <w:lang w:val="en-GB" w:eastAsia="zh-CN"/>
              </w:rPr>
              <w:t>、</w:t>
            </w:r>
            <w:r>
              <w:rPr>
                <w:rFonts w:hint="eastAsia" w:ascii="宋体" w:hAnsi="宋体" w:eastAsia="宋体" w:cs="宋体"/>
                <w:color w:val="auto"/>
                <w:sz w:val="21"/>
                <w:szCs w:val="21"/>
                <w:highlight w:val="none"/>
                <w:lang w:val="en-GB"/>
              </w:rPr>
              <w:t>监理工作安排</w:t>
            </w:r>
            <w:r>
              <w:rPr>
                <w:rFonts w:hint="eastAsia" w:ascii="宋体" w:hAnsi="宋体" w:eastAsia="宋体" w:cs="宋体"/>
                <w:color w:val="auto"/>
                <w:sz w:val="21"/>
                <w:szCs w:val="21"/>
                <w:highlight w:val="none"/>
                <w:lang w:val="en-GB" w:eastAsia="zh-CN"/>
              </w:rPr>
              <w:t>、</w:t>
            </w:r>
            <w:r>
              <w:rPr>
                <w:rFonts w:hint="eastAsia" w:ascii="宋体" w:hAnsi="宋体" w:eastAsia="宋体" w:cs="宋体"/>
                <w:color w:val="auto"/>
                <w:sz w:val="21"/>
                <w:szCs w:val="21"/>
                <w:highlight w:val="none"/>
                <w:lang w:val="en-GB"/>
              </w:rPr>
              <w:t>监理工作标准、监理工作</w:t>
            </w:r>
            <w:r>
              <w:rPr>
                <w:rFonts w:hint="eastAsia" w:ascii="宋体" w:hAnsi="宋体" w:cs="宋体"/>
                <w:color w:val="auto"/>
                <w:sz w:val="21"/>
                <w:szCs w:val="21"/>
                <w:highlight w:val="none"/>
                <w:lang w:val="en-US" w:eastAsia="zh-CN"/>
              </w:rPr>
              <w:t>制度、</w:t>
            </w:r>
            <w:r>
              <w:rPr>
                <w:rFonts w:hint="eastAsia" w:ascii="宋体" w:hAnsi="宋体" w:eastAsia="宋体" w:cs="宋体"/>
                <w:color w:val="auto"/>
                <w:sz w:val="21"/>
                <w:szCs w:val="21"/>
                <w:highlight w:val="none"/>
                <w:lang w:val="en-GB"/>
              </w:rPr>
              <w:t>技术与方式等内容</w:t>
            </w:r>
            <w:r>
              <w:rPr>
                <w:rFonts w:hint="eastAsia" w:ascii="宋体" w:hAnsi="宋体" w:cs="宋体"/>
                <w:color w:val="auto"/>
                <w:sz w:val="21"/>
                <w:szCs w:val="21"/>
                <w:highlight w:val="none"/>
                <w:lang w:eastAsia="zh-CN"/>
              </w:rPr>
              <w:t>进行评分：内容详实、条理清晰，安排合理、到位，针对性强的得</w:t>
            </w:r>
            <w:r>
              <w:rPr>
                <w:rFonts w:hint="eastAsia" w:ascii="宋体" w:hAnsi="宋体" w:cs="宋体"/>
                <w:color w:val="auto"/>
                <w:sz w:val="21"/>
                <w:szCs w:val="21"/>
                <w:highlight w:val="none"/>
                <w:lang w:val="en-US" w:eastAsia="zh-CN"/>
              </w:rPr>
              <w:t>15分；</w:t>
            </w:r>
            <w:r>
              <w:rPr>
                <w:rFonts w:hint="eastAsia" w:ascii="宋体" w:hAnsi="宋体" w:eastAsia="宋体" w:cs="宋体"/>
                <w:color w:val="auto"/>
                <w:spacing w:val="0"/>
                <w:sz w:val="21"/>
                <w:szCs w:val="21"/>
                <w:highlight w:val="none"/>
                <w:lang w:val="en-US" w:eastAsia="zh-CN"/>
              </w:rPr>
              <w:t>内容</w:t>
            </w:r>
            <w:r>
              <w:rPr>
                <w:rFonts w:hint="eastAsia" w:ascii="宋体" w:hAnsi="宋体" w:eastAsia="宋体" w:cs="宋体"/>
                <w:color w:val="auto"/>
                <w:spacing w:val="0"/>
                <w:sz w:val="21"/>
                <w:szCs w:val="21"/>
                <w:highlight w:val="none"/>
                <w:lang w:val="zh-CN" w:eastAsia="zh-CN"/>
              </w:rPr>
              <w:t>不够全面、</w:t>
            </w:r>
            <w:r>
              <w:rPr>
                <w:rFonts w:hint="eastAsia" w:ascii="宋体" w:hAnsi="宋体" w:cs="宋体"/>
                <w:color w:val="auto"/>
                <w:sz w:val="21"/>
                <w:szCs w:val="21"/>
                <w:highlight w:val="none"/>
                <w:lang w:eastAsia="zh-CN"/>
              </w:rPr>
              <w:t>条理</w:t>
            </w:r>
            <w:r>
              <w:rPr>
                <w:rFonts w:hint="eastAsia" w:ascii="宋体" w:hAnsi="宋体" w:cs="宋体"/>
                <w:color w:val="auto"/>
                <w:sz w:val="21"/>
                <w:szCs w:val="21"/>
                <w:highlight w:val="none"/>
                <w:lang w:val="en-US" w:eastAsia="zh-CN"/>
              </w:rPr>
              <w:t>不够</w:t>
            </w:r>
            <w:r>
              <w:rPr>
                <w:rFonts w:hint="eastAsia" w:ascii="宋体" w:hAnsi="宋体" w:cs="宋体"/>
                <w:color w:val="auto"/>
                <w:sz w:val="21"/>
                <w:szCs w:val="21"/>
                <w:highlight w:val="none"/>
                <w:lang w:eastAsia="zh-CN"/>
              </w:rPr>
              <w:t>清晰</w:t>
            </w:r>
            <w:r>
              <w:rPr>
                <w:rFonts w:hint="eastAsia" w:ascii="宋体" w:hAnsi="宋体" w:eastAsia="宋体" w:cs="宋体"/>
                <w:color w:val="auto"/>
                <w:spacing w:val="0"/>
                <w:sz w:val="21"/>
                <w:szCs w:val="21"/>
                <w:highlight w:val="none"/>
                <w:lang w:val="zh-CN" w:eastAsia="zh-CN"/>
              </w:rPr>
              <w:t>、</w:t>
            </w:r>
            <w:r>
              <w:rPr>
                <w:rFonts w:hint="eastAsia" w:ascii="宋体" w:hAnsi="宋体" w:eastAsia="宋体" w:cs="宋体"/>
                <w:color w:val="auto"/>
                <w:sz w:val="21"/>
                <w:szCs w:val="21"/>
                <w:highlight w:val="none"/>
              </w:rPr>
              <w:t>针对性</w:t>
            </w:r>
            <w:r>
              <w:rPr>
                <w:rFonts w:hint="eastAsia" w:ascii="宋体" w:hAnsi="宋体" w:eastAsia="宋体" w:cs="宋体"/>
                <w:color w:val="auto"/>
                <w:sz w:val="21"/>
                <w:szCs w:val="21"/>
                <w:highlight w:val="none"/>
                <w:lang w:val="en-US" w:eastAsia="zh-CN"/>
              </w:rPr>
              <w:t>一般</w:t>
            </w:r>
            <w:r>
              <w:rPr>
                <w:rFonts w:hint="eastAsia" w:ascii="宋体" w:hAnsi="宋体" w:eastAsia="宋体" w:cs="宋体"/>
                <w:color w:val="auto"/>
                <w:spacing w:val="0"/>
                <w:sz w:val="21"/>
                <w:szCs w:val="21"/>
                <w:highlight w:val="none"/>
                <w:lang w:val="zh-CN" w:eastAsia="zh-CN"/>
              </w:rPr>
              <w:t>的每处扣</w:t>
            </w:r>
            <w:r>
              <w:rPr>
                <w:rFonts w:hint="eastAsia" w:ascii="宋体" w:hAnsi="宋体" w:cs="宋体"/>
                <w:color w:val="auto"/>
                <w:spacing w:val="0"/>
                <w:sz w:val="21"/>
                <w:szCs w:val="21"/>
                <w:highlight w:val="none"/>
                <w:lang w:val="en-US" w:eastAsia="zh-CN"/>
              </w:rPr>
              <w:t>3</w:t>
            </w:r>
            <w:r>
              <w:rPr>
                <w:rFonts w:hint="eastAsia" w:ascii="宋体" w:hAnsi="宋体" w:eastAsia="宋体" w:cs="宋体"/>
                <w:color w:val="auto"/>
                <w:spacing w:val="0"/>
                <w:sz w:val="21"/>
                <w:szCs w:val="21"/>
                <w:highlight w:val="none"/>
                <w:lang w:val="zh-CN" w:eastAsia="zh-CN"/>
              </w:rPr>
              <w:t>分。内容不符合或不提供的不得分。</w:t>
            </w:r>
          </w:p>
        </w:tc>
        <w:tc>
          <w:tcPr>
            <w:tcW w:w="1025" w:type="dxa"/>
            <w:shd w:val="clear" w:color="auto" w:fill="FFFFFF"/>
            <w:noWrap w:val="0"/>
            <w:vAlign w:val="center"/>
          </w:tcPr>
          <w:p w14:paraId="1D936029">
            <w:pPr>
              <w:keepNext w:val="0"/>
              <w:keepLines w:val="0"/>
              <w:pageBreakBefore w:val="0"/>
              <w:widowControl/>
              <w:kinsoku/>
              <w:wordWrap/>
              <w:overflowPunct/>
              <w:topLinePunct w:val="0"/>
              <w:autoSpaceDE/>
              <w:autoSpaceDN/>
              <w:bidi w:val="0"/>
              <w:spacing w:line="44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r>
      <w:tr w14:paraId="4E3B2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654" w:type="dxa"/>
            <w:vMerge w:val="continue"/>
            <w:shd w:val="clear" w:color="auto" w:fill="FFFFFF"/>
            <w:noWrap w:val="0"/>
            <w:vAlign w:val="center"/>
          </w:tcPr>
          <w:p w14:paraId="2FAD21F2">
            <w:pPr>
              <w:keepNext w:val="0"/>
              <w:keepLines w:val="0"/>
              <w:pageBreakBefore w:val="0"/>
              <w:widowControl/>
              <w:kinsoku/>
              <w:wordWrap/>
              <w:overflowPunct/>
              <w:topLinePunct w:val="0"/>
              <w:autoSpaceDE/>
              <w:autoSpaceDN/>
              <w:bidi w:val="0"/>
              <w:spacing w:line="440" w:lineRule="exact"/>
              <w:ind w:firstLine="420"/>
              <w:jc w:val="center"/>
              <w:rPr>
                <w:rFonts w:ascii="宋体" w:hAnsi="宋体" w:cs="宋体"/>
                <w:color w:val="auto"/>
                <w:sz w:val="21"/>
                <w:szCs w:val="21"/>
                <w:highlight w:val="none"/>
              </w:rPr>
            </w:pPr>
          </w:p>
        </w:tc>
        <w:tc>
          <w:tcPr>
            <w:tcW w:w="1355" w:type="dxa"/>
            <w:vMerge w:val="restart"/>
            <w:shd w:val="clear" w:color="auto" w:fill="FFFFFF"/>
            <w:noWrap w:val="0"/>
            <w:vAlign w:val="center"/>
          </w:tcPr>
          <w:p w14:paraId="3F039209">
            <w:pPr>
              <w:keepNext w:val="0"/>
              <w:keepLines w:val="0"/>
              <w:pageBreakBefore w:val="0"/>
              <w:widowControl/>
              <w:kinsoku/>
              <w:wordWrap/>
              <w:overflowPunct/>
              <w:topLinePunct w:val="0"/>
              <w:autoSpaceDE/>
              <w:autoSpaceDN/>
              <w:bidi w:val="0"/>
              <w:spacing w:line="440" w:lineRule="exact"/>
              <w:ind w:firstLine="0" w:firstLine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技术力量投入及设施</w:t>
            </w:r>
          </w:p>
          <w:p w14:paraId="1CDF4B94">
            <w:pPr>
              <w:keepNext w:val="0"/>
              <w:keepLines w:val="0"/>
              <w:pageBreakBefore w:val="0"/>
              <w:widowControl/>
              <w:kinsoku/>
              <w:wordWrap/>
              <w:overflowPunct/>
              <w:topLinePunct w:val="0"/>
              <w:autoSpaceDE/>
              <w:autoSpaceDN/>
              <w:bidi w:val="0"/>
              <w:spacing w:line="440" w:lineRule="exact"/>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保障</w:t>
            </w:r>
          </w:p>
        </w:tc>
        <w:tc>
          <w:tcPr>
            <w:tcW w:w="745" w:type="dxa"/>
            <w:shd w:val="clear" w:color="auto" w:fill="FFFFFF"/>
            <w:noWrap w:val="0"/>
            <w:vAlign w:val="center"/>
          </w:tcPr>
          <w:p w14:paraId="57B6C873">
            <w:pPr>
              <w:keepNext w:val="0"/>
              <w:keepLines w:val="0"/>
              <w:pageBreakBefore w:val="0"/>
              <w:widowControl/>
              <w:kinsoku/>
              <w:wordWrap/>
              <w:overflowPunct/>
              <w:topLinePunct w:val="0"/>
              <w:autoSpaceDE/>
              <w:autoSpaceDN/>
              <w:bidi w:val="0"/>
              <w:spacing w:line="440" w:lineRule="exact"/>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分</w:t>
            </w:r>
          </w:p>
        </w:tc>
        <w:tc>
          <w:tcPr>
            <w:tcW w:w="6598" w:type="dxa"/>
            <w:shd w:val="clear" w:color="auto" w:fill="FFFFFF"/>
            <w:noWrap w:val="0"/>
            <w:vAlign w:val="center"/>
          </w:tcPr>
          <w:p w14:paraId="04F3519C">
            <w:pPr>
              <w:keepNext w:val="0"/>
              <w:keepLines w:val="0"/>
              <w:pageBreakBefore w:val="0"/>
              <w:widowControl/>
              <w:kinsoku/>
              <w:wordWrap/>
              <w:overflowPunct/>
              <w:topLinePunct w:val="0"/>
              <w:autoSpaceDE/>
              <w:autoSpaceDN/>
              <w:bidi w:val="0"/>
              <w:spacing w:line="440" w:lineRule="exact"/>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投标人提供的项目工作组织及项目人员设置是否合理，是否配备足够的专业人员并明确各部门、各环节的职责分工，是否具备良好的协调机制</w:t>
            </w:r>
            <w:r>
              <w:rPr>
                <w:rFonts w:hint="eastAsia" w:ascii="宋体" w:hAnsi="宋体" w:eastAsia="宋体" w:cs="宋体"/>
                <w:color w:val="auto"/>
                <w:sz w:val="21"/>
                <w:szCs w:val="21"/>
                <w:highlight w:val="none"/>
                <w:lang w:val="en-GB"/>
              </w:rPr>
              <w:t>等内容</w:t>
            </w:r>
            <w:r>
              <w:rPr>
                <w:rFonts w:hint="eastAsia" w:ascii="宋体" w:hAnsi="宋体" w:cs="宋体"/>
                <w:color w:val="auto"/>
                <w:sz w:val="21"/>
                <w:szCs w:val="21"/>
                <w:highlight w:val="none"/>
                <w:lang w:eastAsia="zh-CN"/>
              </w:rPr>
              <w:t>进行评分：</w:t>
            </w:r>
            <w:r>
              <w:rPr>
                <w:rFonts w:hint="eastAsia" w:ascii="宋体" w:hAnsi="宋体" w:eastAsia="宋体" w:cs="宋体"/>
                <w:color w:val="auto"/>
                <w:sz w:val="21"/>
                <w:szCs w:val="21"/>
                <w:highlight w:val="none"/>
                <w:lang w:val="en-US" w:eastAsia="zh-CN"/>
              </w:rPr>
              <w:t>工作组织合理，职责分工明确，项目人员设置完善的最高得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工作组织不合理、职责分工不明确、项目人员设置不完善、没有良好的协调机制的每处扣2分；</w:t>
            </w:r>
            <w:r>
              <w:rPr>
                <w:rFonts w:hint="eastAsia" w:ascii="宋体" w:hAnsi="宋体" w:eastAsia="宋体" w:cs="宋体"/>
                <w:color w:val="auto"/>
                <w:sz w:val="21"/>
                <w:szCs w:val="21"/>
                <w:highlight w:val="none"/>
                <w:lang w:val="zh-CN" w:eastAsia="zh-CN"/>
              </w:rPr>
              <w:t>内容不符合或不提供的不得分。</w:t>
            </w:r>
          </w:p>
        </w:tc>
        <w:tc>
          <w:tcPr>
            <w:tcW w:w="1025" w:type="dxa"/>
            <w:shd w:val="clear" w:color="auto" w:fill="FFFFFF"/>
            <w:noWrap w:val="0"/>
            <w:vAlign w:val="center"/>
          </w:tcPr>
          <w:p w14:paraId="6E1AD0AA">
            <w:pPr>
              <w:keepNext w:val="0"/>
              <w:keepLines w:val="0"/>
              <w:pageBreakBefore w:val="0"/>
              <w:widowControl/>
              <w:kinsoku/>
              <w:wordWrap/>
              <w:overflowPunct/>
              <w:topLinePunct w:val="0"/>
              <w:autoSpaceDE/>
              <w:autoSpaceDN/>
              <w:bidi w:val="0"/>
              <w:spacing w:line="44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r>
      <w:tr w14:paraId="1DE39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54" w:type="dxa"/>
            <w:vMerge w:val="continue"/>
            <w:shd w:val="clear" w:color="auto" w:fill="FFFFFF"/>
            <w:noWrap w:val="0"/>
            <w:vAlign w:val="center"/>
          </w:tcPr>
          <w:p w14:paraId="622E4484">
            <w:pPr>
              <w:keepNext w:val="0"/>
              <w:keepLines w:val="0"/>
              <w:pageBreakBefore w:val="0"/>
              <w:widowControl/>
              <w:kinsoku/>
              <w:wordWrap/>
              <w:overflowPunct/>
              <w:topLinePunct w:val="0"/>
              <w:autoSpaceDE/>
              <w:autoSpaceDN/>
              <w:bidi w:val="0"/>
              <w:spacing w:line="440" w:lineRule="exact"/>
              <w:ind w:firstLine="420"/>
              <w:jc w:val="center"/>
              <w:rPr>
                <w:rFonts w:ascii="宋体" w:hAnsi="宋体" w:cs="宋体"/>
                <w:color w:val="auto"/>
                <w:sz w:val="21"/>
                <w:szCs w:val="21"/>
                <w:highlight w:val="none"/>
              </w:rPr>
            </w:pPr>
          </w:p>
        </w:tc>
        <w:tc>
          <w:tcPr>
            <w:tcW w:w="1355" w:type="dxa"/>
            <w:vMerge w:val="continue"/>
            <w:shd w:val="clear" w:color="auto" w:fill="FFFFFF"/>
            <w:noWrap w:val="0"/>
            <w:vAlign w:val="center"/>
          </w:tcPr>
          <w:p w14:paraId="160155A3">
            <w:pPr>
              <w:keepNext w:val="0"/>
              <w:keepLines w:val="0"/>
              <w:pageBreakBefore w:val="0"/>
              <w:widowControl/>
              <w:kinsoku/>
              <w:wordWrap/>
              <w:overflowPunct/>
              <w:topLinePunct w:val="0"/>
              <w:autoSpaceDE/>
              <w:autoSpaceDN/>
              <w:bidi w:val="0"/>
              <w:spacing w:line="440" w:lineRule="exact"/>
              <w:ind w:firstLine="0" w:firstLineChars="0"/>
              <w:jc w:val="center"/>
              <w:rPr>
                <w:rFonts w:hint="eastAsia" w:ascii="宋体" w:hAnsi="宋体" w:cs="宋体"/>
                <w:color w:val="auto"/>
                <w:sz w:val="21"/>
                <w:szCs w:val="21"/>
                <w:highlight w:val="none"/>
              </w:rPr>
            </w:pPr>
          </w:p>
        </w:tc>
        <w:tc>
          <w:tcPr>
            <w:tcW w:w="745" w:type="dxa"/>
            <w:shd w:val="clear" w:color="auto" w:fill="FFFFFF"/>
            <w:noWrap w:val="0"/>
            <w:vAlign w:val="center"/>
          </w:tcPr>
          <w:p w14:paraId="3102C29B">
            <w:pPr>
              <w:keepNext w:val="0"/>
              <w:keepLines w:val="0"/>
              <w:pageBreakBefore w:val="0"/>
              <w:widowControl/>
              <w:kinsoku/>
              <w:wordWrap/>
              <w:overflowPunct/>
              <w:topLinePunct w:val="0"/>
              <w:autoSpaceDE/>
              <w:autoSpaceDN/>
              <w:bidi w:val="0"/>
              <w:spacing w:line="440" w:lineRule="exact"/>
              <w:ind w:firstLine="0" w:firstLine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分</w:t>
            </w:r>
          </w:p>
        </w:tc>
        <w:tc>
          <w:tcPr>
            <w:tcW w:w="6598" w:type="dxa"/>
            <w:shd w:val="clear" w:color="auto" w:fill="FFFFFF"/>
            <w:noWrap w:val="0"/>
            <w:vAlign w:val="center"/>
          </w:tcPr>
          <w:p w14:paraId="5744BDEF">
            <w:pPr>
              <w:keepNext w:val="0"/>
              <w:keepLines w:val="0"/>
              <w:pageBreakBefore w:val="0"/>
              <w:widowControl/>
              <w:kinsoku/>
              <w:wordWrap/>
              <w:overflowPunct/>
              <w:topLinePunct w:val="0"/>
              <w:autoSpaceDE/>
              <w:autoSpaceDN/>
              <w:bidi w:val="0"/>
              <w:spacing w:line="440" w:lineRule="exact"/>
              <w:jc w:val="both"/>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根据投标人对现场</w:t>
            </w:r>
            <w:r>
              <w:rPr>
                <w:rFonts w:hint="eastAsia" w:ascii="宋体" w:hAnsi="宋体" w:cs="宋体"/>
                <w:color w:val="auto"/>
                <w:sz w:val="21"/>
                <w:szCs w:val="21"/>
                <w:highlight w:val="none"/>
                <w:lang w:val="en-US" w:eastAsia="zh-CN"/>
              </w:rPr>
              <w:t>安排</w:t>
            </w:r>
            <w:r>
              <w:rPr>
                <w:rFonts w:hint="eastAsia" w:ascii="宋体" w:hAnsi="宋体" w:cs="宋体"/>
                <w:color w:val="auto"/>
                <w:sz w:val="21"/>
                <w:szCs w:val="21"/>
                <w:highlight w:val="none"/>
              </w:rPr>
              <w:t>及车辆、仪器设备</w:t>
            </w:r>
            <w:r>
              <w:rPr>
                <w:rFonts w:hint="eastAsia" w:ascii="宋体" w:hAnsi="宋体" w:cs="宋体"/>
                <w:color w:val="auto"/>
                <w:sz w:val="21"/>
                <w:szCs w:val="21"/>
                <w:highlight w:val="none"/>
                <w:lang w:eastAsia="zh-CN"/>
              </w:rPr>
              <w:t>等配置的合理性、完备性、保障性、有效性等方面进行评分：内容详实、条理清晰，安排合理、到位，针对性强的得</w:t>
            </w:r>
            <w:r>
              <w:rPr>
                <w:rFonts w:hint="eastAsia" w:ascii="宋体" w:hAnsi="宋体" w:cs="宋体"/>
                <w:color w:val="auto"/>
                <w:sz w:val="21"/>
                <w:szCs w:val="21"/>
                <w:highlight w:val="none"/>
                <w:lang w:val="en-US" w:eastAsia="zh-CN"/>
              </w:rPr>
              <w:t>4分；</w:t>
            </w:r>
            <w:r>
              <w:rPr>
                <w:rFonts w:hint="eastAsia" w:ascii="宋体" w:hAnsi="宋体" w:eastAsia="宋体" w:cs="宋体"/>
                <w:color w:val="auto"/>
                <w:spacing w:val="0"/>
                <w:sz w:val="21"/>
                <w:szCs w:val="21"/>
                <w:highlight w:val="none"/>
                <w:lang w:val="en-US" w:eastAsia="zh-CN"/>
              </w:rPr>
              <w:t>内容</w:t>
            </w:r>
            <w:r>
              <w:rPr>
                <w:rFonts w:hint="eastAsia" w:ascii="宋体" w:hAnsi="宋体" w:eastAsia="宋体" w:cs="宋体"/>
                <w:color w:val="auto"/>
                <w:spacing w:val="0"/>
                <w:sz w:val="21"/>
                <w:szCs w:val="21"/>
                <w:highlight w:val="none"/>
                <w:lang w:val="zh-CN" w:eastAsia="zh-CN"/>
              </w:rPr>
              <w:t>不够全面、</w:t>
            </w:r>
            <w:r>
              <w:rPr>
                <w:rFonts w:hint="eastAsia" w:ascii="宋体" w:hAnsi="宋体" w:cs="宋体"/>
                <w:color w:val="auto"/>
                <w:sz w:val="21"/>
                <w:szCs w:val="21"/>
                <w:highlight w:val="none"/>
                <w:lang w:eastAsia="zh-CN"/>
              </w:rPr>
              <w:t>条理</w:t>
            </w:r>
            <w:r>
              <w:rPr>
                <w:rFonts w:hint="eastAsia" w:ascii="宋体" w:hAnsi="宋体" w:cs="宋体"/>
                <w:color w:val="auto"/>
                <w:sz w:val="21"/>
                <w:szCs w:val="21"/>
                <w:highlight w:val="none"/>
                <w:lang w:val="en-US" w:eastAsia="zh-CN"/>
              </w:rPr>
              <w:t>不够</w:t>
            </w:r>
            <w:r>
              <w:rPr>
                <w:rFonts w:hint="eastAsia" w:ascii="宋体" w:hAnsi="宋体" w:cs="宋体"/>
                <w:color w:val="auto"/>
                <w:sz w:val="21"/>
                <w:szCs w:val="21"/>
                <w:highlight w:val="none"/>
                <w:lang w:eastAsia="zh-CN"/>
              </w:rPr>
              <w:t>清晰</w:t>
            </w:r>
            <w:r>
              <w:rPr>
                <w:rFonts w:hint="eastAsia" w:ascii="宋体" w:hAnsi="宋体" w:eastAsia="宋体" w:cs="宋体"/>
                <w:color w:val="auto"/>
                <w:spacing w:val="0"/>
                <w:sz w:val="21"/>
                <w:szCs w:val="21"/>
                <w:highlight w:val="none"/>
                <w:lang w:val="zh-CN" w:eastAsia="zh-CN"/>
              </w:rPr>
              <w:t>、</w:t>
            </w:r>
            <w:r>
              <w:rPr>
                <w:rFonts w:hint="eastAsia" w:ascii="宋体" w:hAnsi="宋体" w:eastAsia="宋体" w:cs="宋体"/>
                <w:color w:val="auto"/>
                <w:sz w:val="21"/>
                <w:szCs w:val="21"/>
                <w:highlight w:val="none"/>
              </w:rPr>
              <w:t>针对性</w:t>
            </w:r>
            <w:r>
              <w:rPr>
                <w:rFonts w:hint="eastAsia" w:ascii="宋体" w:hAnsi="宋体" w:eastAsia="宋体" w:cs="宋体"/>
                <w:color w:val="auto"/>
                <w:sz w:val="21"/>
                <w:szCs w:val="21"/>
                <w:highlight w:val="none"/>
                <w:lang w:val="en-US" w:eastAsia="zh-CN"/>
              </w:rPr>
              <w:t>一般</w:t>
            </w:r>
            <w:r>
              <w:rPr>
                <w:rFonts w:hint="eastAsia" w:ascii="宋体" w:hAnsi="宋体" w:eastAsia="宋体" w:cs="宋体"/>
                <w:color w:val="auto"/>
                <w:spacing w:val="0"/>
                <w:sz w:val="21"/>
                <w:szCs w:val="21"/>
                <w:highlight w:val="none"/>
                <w:lang w:val="zh-CN" w:eastAsia="zh-CN"/>
              </w:rPr>
              <w:t>的每处扣</w:t>
            </w:r>
            <w:r>
              <w:rPr>
                <w:rFonts w:hint="eastAsia" w:ascii="宋体" w:hAnsi="宋体" w:cs="宋体"/>
                <w:color w:val="auto"/>
                <w:spacing w:val="0"/>
                <w:sz w:val="21"/>
                <w:szCs w:val="21"/>
                <w:highlight w:val="none"/>
                <w:lang w:val="en-US" w:eastAsia="zh-CN"/>
              </w:rPr>
              <w:t>1</w:t>
            </w:r>
            <w:r>
              <w:rPr>
                <w:rFonts w:hint="eastAsia" w:ascii="宋体" w:hAnsi="宋体" w:eastAsia="宋体" w:cs="宋体"/>
                <w:color w:val="auto"/>
                <w:spacing w:val="0"/>
                <w:sz w:val="21"/>
                <w:szCs w:val="21"/>
                <w:highlight w:val="none"/>
                <w:lang w:val="zh-CN" w:eastAsia="zh-CN"/>
              </w:rPr>
              <w:t>分。内容不符合或不提供的不得分。</w:t>
            </w:r>
          </w:p>
        </w:tc>
        <w:tc>
          <w:tcPr>
            <w:tcW w:w="1025" w:type="dxa"/>
            <w:shd w:val="clear" w:color="auto" w:fill="FFFFFF"/>
            <w:noWrap w:val="0"/>
            <w:vAlign w:val="center"/>
          </w:tcPr>
          <w:p w14:paraId="0395557C">
            <w:pPr>
              <w:keepNext w:val="0"/>
              <w:keepLines w:val="0"/>
              <w:pageBreakBefore w:val="0"/>
              <w:widowControl/>
              <w:kinsoku/>
              <w:wordWrap/>
              <w:overflowPunct/>
              <w:topLinePunct w:val="0"/>
              <w:autoSpaceDE/>
              <w:autoSpaceDN/>
              <w:bidi w:val="0"/>
              <w:spacing w:line="44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r>
      <w:tr w14:paraId="3EF45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654" w:type="dxa"/>
            <w:vMerge w:val="continue"/>
            <w:shd w:val="clear" w:color="auto" w:fill="FFFFFF"/>
            <w:noWrap w:val="0"/>
            <w:vAlign w:val="center"/>
          </w:tcPr>
          <w:p w14:paraId="5824D3FE">
            <w:pPr>
              <w:keepNext w:val="0"/>
              <w:keepLines w:val="0"/>
              <w:pageBreakBefore w:val="0"/>
              <w:widowControl/>
              <w:kinsoku/>
              <w:wordWrap/>
              <w:overflowPunct/>
              <w:topLinePunct w:val="0"/>
              <w:autoSpaceDE/>
              <w:autoSpaceDN/>
              <w:bidi w:val="0"/>
              <w:spacing w:line="440" w:lineRule="exact"/>
              <w:ind w:firstLine="420"/>
              <w:jc w:val="center"/>
              <w:rPr>
                <w:rFonts w:ascii="宋体" w:hAnsi="宋体" w:cs="宋体"/>
                <w:color w:val="auto"/>
                <w:sz w:val="21"/>
                <w:szCs w:val="21"/>
                <w:highlight w:val="none"/>
              </w:rPr>
            </w:pPr>
          </w:p>
        </w:tc>
        <w:tc>
          <w:tcPr>
            <w:tcW w:w="1355" w:type="dxa"/>
            <w:shd w:val="clear" w:color="auto" w:fill="FFFFFF"/>
            <w:noWrap w:val="0"/>
            <w:vAlign w:val="center"/>
          </w:tcPr>
          <w:p w14:paraId="715B47FC">
            <w:pPr>
              <w:keepNext w:val="0"/>
              <w:keepLines w:val="0"/>
              <w:pageBreakBefore w:val="0"/>
              <w:widowControl/>
              <w:kinsoku/>
              <w:wordWrap/>
              <w:overflowPunct/>
              <w:topLinePunct w:val="0"/>
              <w:autoSpaceDE/>
              <w:autoSpaceDN/>
              <w:bidi w:val="0"/>
              <w:spacing w:line="440" w:lineRule="exact"/>
              <w:ind w:firstLine="0" w:firstLine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质量保障</w:t>
            </w:r>
          </w:p>
          <w:p w14:paraId="589A2932">
            <w:pPr>
              <w:keepNext w:val="0"/>
              <w:keepLines w:val="0"/>
              <w:pageBreakBefore w:val="0"/>
              <w:widowControl/>
              <w:kinsoku/>
              <w:wordWrap/>
              <w:overflowPunct/>
              <w:topLinePunct w:val="0"/>
              <w:autoSpaceDE/>
              <w:autoSpaceDN/>
              <w:bidi w:val="0"/>
              <w:spacing w:line="440" w:lineRule="exact"/>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措施</w:t>
            </w:r>
          </w:p>
        </w:tc>
        <w:tc>
          <w:tcPr>
            <w:tcW w:w="745" w:type="dxa"/>
            <w:shd w:val="clear" w:color="auto" w:fill="FFFFFF"/>
            <w:noWrap w:val="0"/>
            <w:vAlign w:val="center"/>
          </w:tcPr>
          <w:p w14:paraId="21A6845F">
            <w:pPr>
              <w:keepNext w:val="0"/>
              <w:keepLines w:val="0"/>
              <w:pageBreakBefore w:val="0"/>
              <w:widowControl/>
              <w:kinsoku/>
              <w:wordWrap/>
              <w:overflowPunct/>
              <w:topLinePunct w:val="0"/>
              <w:autoSpaceDE/>
              <w:autoSpaceDN/>
              <w:bidi w:val="0"/>
              <w:spacing w:line="440" w:lineRule="exact"/>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分</w:t>
            </w:r>
          </w:p>
        </w:tc>
        <w:tc>
          <w:tcPr>
            <w:tcW w:w="6598" w:type="dxa"/>
            <w:shd w:val="clear" w:color="auto" w:fill="FFFFFF"/>
            <w:noWrap w:val="0"/>
            <w:vAlign w:val="center"/>
          </w:tcPr>
          <w:p w14:paraId="07D0BB71">
            <w:pPr>
              <w:keepNext w:val="0"/>
              <w:keepLines w:val="0"/>
              <w:pageBreakBefore w:val="0"/>
              <w:widowControl/>
              <w:kinsoku/>
              <w:wordWrap/>
              <w:overflowPunct/>
              <w:topLinePunct w:val="0"/>
              <w:autoSpaceDE/>
              <w:autoSpaceDN/>
              <w:bidi w:val="0"/>
              <w:spacing w:line="440" w:lineRule="exact"/>
              <w:jc w:val="both"/>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根据投标人对项目质量目标</w:t>
            </w:r>
            <w:r>
              <w:rPr>
                <w:rFonts w:hint="eastAsia" w:ascii="宋体" w:hAnsi="宋体" w:cs="宋体"/>
                <w:color w:val="auto"/>
                <w:sz w:val="21"/>
                <w:szCs w:val="21"/>
                <w:highlight w:val="none"/>
                <w:lang w:eastAsia="zh-CN"/>
              </w:rPr>
              <w:t>，质量</w:t>
            </w:r>
            <w:r>
              <w:rPr>
                <w:rFonts w:hint="eastAsia" w:ascii="宋体" w:hAnsi="宋体" w:cs="宋体"/>
                <w:color w:val="auto"/>
                <w:sz w:val="21"/>
                <w:szCs w:val="21"/>
                <w:highlight w:val="none"/>
              </w:rPr>
              <w:t>保证措施</w:t>
            </w:r>
            <w:r>
              <w:rPr>
                <w:rFonts w:hint="eastAsia" w:ascii="宋体" w:hAnsi="宋体" w:cs="宋体"/>
                <w:color w:val="auto"/>
                <w:sz w:val="21"/>
                <w:szCs w:val="21"/>
                <w:highlight w:val="none"/>
                <w:lang w:eastAsia="zh-CN"/>
              </w:rPr>
              <w:t>的完备性、保障性、可靠性、合理性等方面进行评分：</w:t>
            </w:r>
            <w:r>
              <w:rPr>
                <w:rFonts w:hint="eastAsia" w:ascii="宋体" w:hAnsi="宋体" w:eastAsia="宋体" w:cs="宋体"/>
                <w:color w:val="auto"/>
                <w:spacing w:val="0"/>
                <w:sz w:val="21"/>
                <w:szCs w:val="21"/>
                <w:highlight w:val="none"/>
                <w:lang w:val="en-US" w:eastAsia="zh-CN"/>
              </w:rPr>
              <w:t>质量保障措施</w:t>
            </w:r>
            <w:r>
              <w:rPr>
                <w:rFonts w:hint="eastAsia" w:ascii="宋体" w:hAnsi="宋体" w:eastAsia="宋体" w:cs="宋体"/>
                <w:color w:val="auto"/>
                <w:spacing w:val="0"/>
                <w:sz w:val="21"/>
                <w:szCs w:val="21"/>
                <w:highlight w:val="none"/>
                <w:lang w:val="zh-CN" w:eastAsia="zh-CN"/>
              </w:rPr>
              <w:t>全面、有效、合理、能确保项目</w:t>
            </w:r>
            <w:r>
              <w:rPr>
                <w:rFonts w:hint="eastAsia" w:ascii="宋体" w:hAnsi="宋体" w:eastAsia="宋体" w:cs="宋体"/>
                <w:color w:val="auto"/>
                <w:spacing w:val="0"/>
                <w:sz w:val="21"/>
                <w:szCs w:val="21"/>
                <w:highlight w:val="none"/>
                <w:lang w:val="en-US" w:eastAsia="zh-CN"/>
              </w:rPr>
              <w:t>质量</w:t>
            </w:r>
            <w:r>
              <w:rPr>
                <w:rFonts w:hint="eastAsia" w:ascii="宋体" w:hAnsi="宋体" w:eastAsia="宋体" w:cs="宋体"/>
                <w:color w:val="auto"/>
                <w:spacing w:val="0"/>
                <w:sz w:val="21"/>
                <w:szCs w:val="21"/>
                <w:highlight w:val="none"/>
                <w:lang w:val="zh-CN" w:eastAsia="zh-CN"/>
              </w:rPr>
              <w:t>的得</w:t>
            </w:r>
            <w:r>
              <w:rPr>
                <w:rFonts w:hint="eastAsia" w:ascii="宋体" w:hAnsi="宋体" w:cs="宋体"/>
                <w:color w:val="auto"/>
                <w:spacing w:val="0"/>
                <w:sz w:val="21"/>
                <w:szCs w:val="21"/>
                <w:highlight w:val="none"/>
                <w:lang w:val="en-US" w:eastAsia="zh-CN"/>
              </w:rPr>
              <w:t>8</w:t>
            </w:r>
            <w:r>
              <w:rPr>
                <w:rFonts w:hint="eastAsia" w:ascii="宋体" w:hAnsi="宋体" w:eastAsia="宋体" w:cs="宋体"/>
                <w:color w:val="auto"/>
                <w:spacing w:val="0"/>
                <w:sz w:val="21"/>
                <w:szCs w:val="21"/>
                <w:highlight w:val="none"/>
                <w:lang w:val="zh-CN" w:eastAsia="zh-CN"/>
              </w:rPr>
              <w:t>分；</w:t>
            </w:r>
            <w:r>
              <w:rPr>
                <w:rFonts w:hint="eastAsia" w:ascii="宋体" w:hAnsi="宋体" w:eastAsia="宋体" w:cs="宋体"/>
                <w:color w:val="auto"/>
                <w:spacing w:val="0"/>
                <w:sz w:val="21"/>
                <w:szCs w:val="21"/>
                <w:highlight w:val="none"/>
                <w:lang w:val="en-US" w:eastAsia="zh-CN"/>
              </w:rPr>
              <w:t>质量保障措施</w:t>
            </w:r>
            <w:r>
              <w:rPr>
                <w:rFonts w:hint="eastAsia" w:ascii="宋体" w:hAnsi="宋体" w:eastAsia="宋体" w:cs="宋体"/>
                <w:color w:val="auto"/>
                <w:spacing w:val="0"/>
                <w:sz w:val="21"/>
                <w:szCs w:val="21"/>
                <w:highlight w:val="none"/>
                <w:lang w:val="zh-CN" w:eastAsia="zh-CN"/>
              </w:rPr>
              <w:t>不够全面、不够有效、不够合理的每处扣</w:t>
            </w:r>
            <w:r>
              <w:rPr>
                <w:rFonts w:hint="eastAsia" w:ascii="宋体" w:hAnsi="宋体" w:cs="宋体"/>
                <w:color w:val="auto"/>
                <w:spacing w:val="0"/>
                <w:sz w:val="21"/>
                <w:szCs w:val="21"/>
                <w:highlight w:val="none"/>
                <w:lang w:val="en-US" w:eastAsia="zh-CN"/>
              </w:rPr>
              <w:t>2</w:t>
            </w:r>
            <w:r>
              <w:rPr>
                <w:rFonts w:hint="eastAsia" w:ascii="宋体" w:hAnsi="宋体" w:eastAsia="宋体" w:cs="宋体"/>
                <w:color w:val="auto"/>
                <w:spacing w:val="0"/>
                <w:sz w:val="21"/>
                <w:szCs w:val="21"/>
                <w:highlight w:val="none"/>
                <w:lang w:val="zh-CN" w:eastAsia="zh-CN"/>
              </w:rPr>
              <w:t>分。内容不符合或不提供的不得分。</w:t>
            </w:r>
          </w:p>
        </w:tc>
        <w:tc>
          <w:tcPr>
            <w:tcW w:w="1025" w:type="dxa"/>
            <w:shd w:val="clear" w:color="auto" w:fill="FFFFFF"/>
            <w:noWrap w:val="0"/>
            <w:vAlign w:val="center"/>
          </w:tcPr>
          <w:p w14:paraId="4FBB8C22">
            <w:pPr>
              <w:keepNext w:val="0"/>
              <w:keepLines w:val="0"/>
              <w:pageBreakBefore w:val="0"/>
              <w:widowControl/>
              <w:kinsoku/>
              <w:wordWrap/>
              <w:overflowPunct/>
              <w:topLinePunct w:val="0"/>
              <w:autoSpaceDE/>
              <w:autoSpaceDN/>
              <w:bidi w:val="0"/>
              <w:spacing w:line="44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r>
      <w:tr w14:paraId="587E2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54" w:type="dxa"/>
            <w:vMerge w:val="continue"/>
            <w:shd w:val="clear" w:color="auto" w:fill="FFFFFF"/>
            <w:noWrap w:val="0"/>
            <w:vAlign w:val="center"/>
          </w:tcPr>
          <w:p w14:paraId="1EDF0B12">
            <w:pPr>
              <w:keepNext w:val="0"/>
              <w:keepLines w:val="0"/>
              <w:pageBreakBefore w:val="0"/>
              <w:widowControl/>
              <w:kinsoku/>
              <w:wordWrap/>
              <w:overflowPunct/>
              <w:topLinePunct w:val="0"/>
              <w:autoSpaceDE/>
              <w:autoSpaceDN/>
              <w:bidi w:val="0"/>
              <w:spacing w:line="440" w:lineRule="exact"/>
              <w:ind w:firstLine="420"/>
              <w:jc w:val="center"/>
              <w:rPr>
                <w:rFonts w:ascii="宋体" w:hAnsi="宋体" w:cs="宋体"/>
                <w:color w:val="auto"/>
                <w:sz w:val="21"/>
                <w:szCs w:val="21"/>
                <w:highlight w:val="none"/>
              </w:rPr>
            </w:pPr>
          </w:p>
        </w:tc>
        <w:tc>
          <w:tcPr>
            <w:tcW w:w="1355" w:type="dxa"/>
            <w:shd w:val="clear" w:color="auto" w:fill="FFFFFF"/>
            <w:noWrap w:val="0"/>
            <w:vAlign w:val="center"/>
          </w:tcPr>
          <w:p w14:paraId="717E5600">
            <w:pPr>
              <w:keepNext w:val="0"/>
              <w:keepLines w:val="0"/>
              <w:pageBreakBefore w:val="0"/>
              <w:widowControl/>
              <w:kinsoku/>
              <w:wordWrap/>
              <w:overflowPunct/>
              <w:topLinePunct w:val="0"/>
              <w:autoSpaceDE/>
              <w:autoSpaceDN/>
              <w:bidi w:val="0"/>
              <w:spacing w:line="440" w:lineRule="exact"/>
              <w:ind w:firstLine="0" w:firstLine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安全保障</w:t>
            </w:r>
          </w:p>
          <w:p w14:paraId="1F354327">
            <w:pPr>
              <w:keepNext w:val="0"/>
              <w:keepLines w:val="0"/>
              <w:pageBreakBefore w:val="0"/>
              <w:widowControl/>
              <w:kinsoku/>
              <w:wordWrap/>
              <w:overflowPunct/>
              <w:topLinePunct w:val="0"/>
              <w:autoSpaceDE/>
              <w:autoSpaceDN/>
              <w:bidi w:val="0"/>
              <w:spacing w:line="440" w:lineRule="exact"/>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措施</w:t>
            </w:r>
          </w:p>
        </w:tc>
        <w:tc>
          <w:tcPr>
            <w:tcW w:w="745" w:type="dxa"/>
            <w:shd w:val="clear" w:color="auto" w:fill="FFFFFF"/>
            <w:noWrap w:val="0"/>
            <w:vAlign w:val="center"/>
          </w:tcPr>
          <w:p w14:paraId="215D4F6C">
            <w:pPr>
              <w:keepNext w:val="0"/>
              <w:keepLines w:val="0"/>
              <w:pageBreakBefore w:val="0"/>
              <w:widowControl/>
              <w:kinsoku/>
              <w:wordWrap/>
              <w:overflowPunct/>
              <w:topLinePunct w:val="0"/>
              <w:autoSpaceDE/>
              <w:autoSpaceDN/>
              <w:bidi w:val="0"/>
              <w:spacing w:line="440" w:lineRule="exact"/>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分</w:t>
            </w:r>
          </w:p>
        </w:tc>
        <w:tc>
          <w:tcPr>
            <w:tcW w:w="6598" w:type="dxa"/>
            <w:shd w:val="clear" w:color="auto" w:fill="FFFFFF"/>
            <w:noWrap w:val="0"/>
            <w:vAlign w:val="center"/>
          </w:tcPr>
          <w:p w14:paraId="6E367056">
            <w:pPr>
              <w:keepNext w:val="0"/>
              <w:keepLines w:val="0"/>
              <w:pageBreakBefore w:val="0"/>
              <w:widowControl/>
              <w:kinsoku/>
              <w:wordWrap/>
              <w:overflowPunct/>
              <w:topLinePunct w:val="0"/>
              <w:autoSpaceDE/>
              <w:autoSpaceDN/>
              <w:bidi w:val="0"/>
              <w:spacing w:line="440" w:lineRule="exact"/>
              <w:jc w:val="both"/>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根据投标人对本项目开展可能存在的安全问题，安全保障措施的完备性、保障性、可靠性、合理性等方面进行评分：安全</w:t>
            </w:r>
            <w:r>
              <w:rPr>
                <w:rFonts w:hint="eastAsia" w:ascii="宋体" w:hAnsi="宋体" w:eastAsia="宋体" w:cs="宋体"/>
                <w:color w:val="auto"/>
                <w:spacing w:val="0"/>
                <w:sz w:val="21"/>
                <w:szCs w:val="21"/>
                <w:highlight w:val="none"/>
                <w:lang w:val="en-US" w:eastAsia="zh-CN"/>
              </w:rPr>
              <w:t>保障措施</w:t>
            </w:r>
            <w:r>
              <w:rPr>
                <w:rFonts w:hint="eastAsia" w:ascii="宋体" w:hAnsi="宋体" w:eastAsia="宋体" w:cs="宋体"/>
                <w:color w:val="auto"/>
                <w:spacing w:val="0"/>
                <w:sz w:val="21"/>
                <w:szCs w:val="21"/>
                <w:highlight w:val="none"/>
                <w:lang w:val="zh-CN" w:eastAsia="zh-CN"/>
              </w:rPr>
              <w:t>全面、有效、合理、能确保项目</w:t>
            </w:r>
            <w:r>
              <w:rPr>
                <w:rFonts w:hint="eastAsia" w:ascii="宋体" w:hAnsi="宋体" w:cs="宋体"/>
                <w:color w:val="auto"/>
                <w:sz w:val="21"/>
                <w:szCs w:val="21"/>
                <w:highlight w:val="none"/>
                <w:lang w:eastAsia="zh-CN"/>
              </w:rPr>
              <w:t>安全</w:t>
            </w:r>
            <w:r>
              <w:rPr>
                <w:rFonts w:hint="eastAsia" w:ascii="宋体" w:hAnsi="宋体" w:eastAsia="宋体" w:cs="宋体"/>
                <w:color w:val="auto"/>
                <w:spacing w:val="0"/>
                <w:sz w:val="21"/>
                <w:szCs w:val="21"/>
                <w:highlight w:val="none"/>
                <w:lang w:val="zh-CN" w:eastAsia="zh-CN"/>
              </w:rPr>
              <w:t>的得</w:t>
            </w:r>
            <w:r>
              <w:rPr>
                <w:rFonts w:hint="eastAsia" w:ascii="宋体" w:hAnsi="宋体" w:cs="宋体"/>
                <w:color w:val="auto"/>
                <w:spacing w:val="0"/>
                <w:sz w:val="21"/>
                <w:szCs w:val="21"/>
                <w:highlight w:val="none"/>
                <w:lang w:val="en-US" w:eastAsia="zh-CN"/>
              </w:rPr>
              <w:t>8</w:t>
            </w:r>
            <w:r>
              <w:rPr>
                <w:rFonts w:hint="eastAsia" w:ascii="宋体" w:hAnsi="宋体" w:eastAsia="宋体" w:cs="宋体"/>
                <w:color w:val="auto"/>
                <w:spacing w:val="0"/>
                <w:sz w:val="21"/>
                <w:szCs w:val="21"/>
                <w:highlight w:val="none"/>
                <w:lang w:val="zh-CN" w:eastAsia="zh-CN"/>
              </w:rPr>
              <w:t>分；</w:t>
            </w:r>
            <w:r>
              <w:rPr>
                <w:rFonts w:hint="eastAsia" w:ascii="宋体" w:hAnsi="宋体" w:cs="宋体"/>
                <w:color w:val="auto"/>
                <w:sz w:val="21"/>
                <w:szCs w:val="21"/>
                <w:highlight w:val="none"/>
                <w:lang w:eastAsia="zh-CN"/>
              </w:rPr>
              <w:t>安全</w:t>
            </w:r>
            <w:r>
              <w:rPr>
                <w:rFonts w:hint="eastAsia" w:ascii="宋体" w:hAnsi="宋体" w:eastAsia="宋体" w:cs="宋体"/>
                <w:color w:val="auto"/>
                <w:spacing w:val="0"/>
                <w:sz w:val="21"/>
                <w:szCs w:val="21"/>
                <w:highlight w:val="none"/>
                <w:lang w:val="en-US" w:eastAsia="zh-CN"/>
              </w:rPr>
              <w:t>保障措施</w:t>
            </w:r>
            <w:r>
              <w:rPr>
                <w:rFonts w:hint="eastAsia" w:ascii="宋体" w:hAnsi="宋体" w:eastAsia="宋体" w:cs="宋体"/>
                <w:color w:val="auto"/>
                <w:spacing w:val="0"/>
                <w:sz w:val="21"/>
                <w:szCs w:val="21"/>
                <w:highlight w:val="none"/>
                <w:lang w:val="zh-CN" w:eastAsia="zh-CN"/>
              </w:rPr>
              <w:t>不够全面、不够有效、不够合理的每处扣</w:t>
            </w:r>
            <w:r>
              <w:rPr>
                <w:rFonts w:hint="eastAsia" w:ascii="宋体" w:hAnsi="宋体" w:cs="宋体"/>
                <w:color w:val="auto"/>
                <w:spacing w:val="0"/>
                <w:sz w:val="21"/>
                <w:szCs w:val="21"/>
                <w:highlight w:val="none"/>
                <w:lang w:val="en-US" w:eastAsia="zh-CN"/>
              </w:rPr>
              <w:t>2</w:t>
            </w:r>
            <w:r>
              <w:rPr>
                <w:rFonts w:hint="eastAsia" w:ascii="宋体" w:hAnsi="宋体" w:eastAsia="宋体" w:cs="宋体"/>
                <w:color w:val="auto"/>
                <w:spacing w:val="0"/>
                <w:sz w:val="21"/>
                <w:szCs w:val="21"/>
                <w:highlight w:val="none"/>
                <w:lang w:val="zh-CN" w:eastAsia="zh-CN"/>
              </w:rPr>
              <w:t>分。内容不符合或不提供的不得分。</w:t>
            </w:r>
          </w:p>
        </w:tc>
        <w:tc>
          <w:tcPr>
            <w:tcW w:w="1025" w:type="dxa"/>
            <w:shd w:val="clear" w:color="auto" w:fill="FFFFFF"/>
            <w:noWrap w:val="0"/>
            <w:vAlign w:val="center"/>
          </w:tcPr>
          <w:p w14:paraId="46A65AB4">
            <w:pPr>
              <w:keepNext w:val="0"/>
              <w:keepLines w:val="0"/>
              <w:pageBreakBefore w:val="0"/>
              <w:widowControl/>
              <w:kinsoku/>
              <w:wordWrap/>
              <w:overflowPunct/>
              <w:topLinePunct w:val="0"/>
              <w:autoSpaceDE/>
              <w:autoSpaceDN/>
              <w:bidi w:val="0"/>
              <w:spacing w:line="44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r>
      <w:tr w14:paraId="67ED1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54" w:type="dxa"/>
            <w:vMerge w:val="continue"/>
            <w:shd w:val="clear" w:color="auto" w:fill="FFFFFF"/>
            <w:noWrap w:val="0"/>
            <w:vAlign w:val="center"/>
          </w:tcPr>
          <w:p w14:paraId="32277E9F">
            <w:pPr>
              <w:keepNext w:val="0"/>
              <w:keepLines w:val="0"/>
              <w:pageBreakBefore w:val="0"/>
              <w:widowControl/>
              <w:kinsoku/>
              <w:wordWrap/>
              <w:overflowPunct/>
              <w:topLinePunct w:val="0"/>
              <w:autoSpaceDE/>
              <w:autoSpaceDN/>
              <w:bidi w:val="0"/>
              <w:spacing w:line="440" w:lineRule="exact"/>
              <w:ind w:firstLine="420"/>
              <w:jc w:val="center"/>
              <w:rPr>
                <w:rFonts w:ascii="宋体" w:hAnsi="宋体" w:cs="宋体"/>
                <w:color w:val="auto"/>
                <w:sz w:val="21"/>
                <w:szCs w:val="21"/>
                <w:highlight w:val="none"/>
              </w:rPr>
            </w:pPr>
          </w:p>
        </w:tc>
        <w:tc>
          <w:tcPr>
            <w:tcW w:w="1355" w:type="dxa"/>
            <w:shd w:val="clear" w:color="auto" w:fill="FFFFFF"/>
            <w:noWrap w:val="0"/>
            <w:vAlign w:val="center"/>
          </w:tcPr>
          <w:p w14:paraId="18B8DAEC">
            <w:pPr>
              <w:keepNext w:val="0"/>
              <w:keepLines w:val="0"/>
              <w:pageBreakBefore w:val="0"/>
              <w:widowControl/>
              <w:kinsoku/>
              <w:wordWrap/>
              <w:overflowPunct/>
              <w:topLinePunct w:val="0"/>
              <w:autoSpaceDE/>
              <w:autoSpaceDN/>
              <w:bidi w:val="0"/>
              <w:spacing w:line="440" w:lineRule="exact"/>
              <w:ind w:firstLine="0" w:firstLineChars="0"/>
              <w:jc w:val="cente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档案管理</w:t>
            </w:r>
          </w:p>
          <w:p w14:paraId="1930F2EE">
            <w:pPr>
              <w:keepNext w:val="0"/>
              <w:keepLines w:val="0"/>
              <w:pageBreakBefore w:val="0"/>
              <w:widowControl/>
              <w:kinsoku/>
              <w:wordWrap/>
              <w:overflowPunct/>
              <w:topLinePunct w:val="0"/>
              <w:autoSpaceDE/>
              <w:autoSpaceDN/>
              <w:bidi w:val="0"/>
              <w:spacing w:line="440" w:lineRule="exact"/>
              <w:ind w:firstLine="0" w:firstLine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方案</w:t>
            </w:r>
          </w:p>
        </w:tc>
        <w:tc>
          <w:tcPr>
            <w:tcW w:w="745" w:type="dxa"/>
            <w:shd w:val="clear" w:color="auto" w:fill="FFFFFF"/>
            <w:noWrap w:val="0"/>
            <w:vAlign w:val="center"/>
          </w:tcPr>
          <w:p w14:paraId="2AE660C1">
            <w:pPr>
              <w:keepNext w:val="0"/>
              <w:keepLines w:val="0"/>
              <w:pageBreakBefore w:val="0"/>
              <w:widowControl/>
              <w:kinsoku/>
              <w:wordWrap/>
              <w:overflowPunct/>
              <w:topLinePunct w:val="0"/>
              <w:autoSpaceDE/>
              <w:autoSpaceDN/>
              <w:bidi w:val="0"/>
              <w:spacing w:line="440" w:lineRule="exact"/>
              <w:ind w:firstLine="0" w:firstLine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10分</w:t>
            </w:r>
          </w:p>
        </w:tc>
        <w:tc>
          <w:tcPr>
            <w:tcW w:w="6598" w:type="dxa"/>
            <w:shd w:val="clear" w:color="auto" w:fill="FFFFFF"/>
            <w:noWrap w:val="0"/>
            <w:vAlign w:val="center"/>
          </w:tcPr>
          <w:p w14:paraId="05E18952">
            <w:pPr>
              <w:keepNext w:val="0"/>
              <w:keepLines w:val="0"/>
              <w:pageBreakBefore w:val="0"/>
              <w:widowControl/>
              <w:kinsoku/>
              <w:wordWrap/>
              <w:overflowPunct/>
              <w:topLinePunct w:val="0"/>
              <w:autoSpaceDE/>
              <w:autoSpaceDN/>
              <w:bidi w:val="0"/>
              <w:spacing w:line="440" w:lineRule="exact"/>
              <w:jc w:val="both"/>
              <w:textAlignment w:val="cente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项目资料和图片收集规范完整、真实可靠并提供电子和纸质档案；施工各环节资料，包括施工日志、物资进验单、日常检查照片、</w:t>
            </w:r>
            <w:r>
              <w:rPr>
                <w:rFonts w:hint="eastAsia" w:ascii="宋体" w:hAnsi="宋体" w:cs="宋体"/>
                <w:color w:val="auto"/>
                <w:sz w:val="21"/>
                <w:szCs w:val="21"/>
                <w:highlight w:val="none"/>
                <w:lang w:val="en-US" w:eastAsia="zh-CN"/>
              </w:rPr>
              <w:t>采购人指定软件记录</w:t>
            </w:r>
            <w:r>
              <w:rPr>
                <w:rFonts w:hint="eastAsia" w:ascii="宋体" w:hAnsi="宋体" w:cs="宋体"/>
                <w:color w:val="auto"/>
                <w:sz w:val="21"/>
                <w:szCs w:val="21"/>
                <w:highlight w:val="none"/>
                <w:lang w:eastAsia="zh-CN"/>
              </w:rPr>
              <w:t>等登记齐全；及时提交标段初验和质量检查资料等。</w:t>
            </w:r>
            <w:r>
              <w:rPr>
                <w:rFonts w:hint="eastAsia" w:ascii="宋体" w:hAnsi="宋体" w:cs="宋体"/>
                <w:color w:val="auto"/>
                <w:sz w:val="21"/>
                <w:szCs w:val="21"/>
                <w:highlight w:val="none"/>
                <w:lang w:val="en-US" w:eastAsia="zh-CN"/>
              </w:rPr>
              <w:t>提供的方案内容描述完整齐全且合理的得10分；</w:t>
            </w:r>
            <w:r>
              <w:rPr>
                <w:rFonts w:hint="eastAsia" w:ascii="宋体" w:hAnsi="宋体" w:cs="宋体"/>
                <w:color w:val="auto"/>
                <w:spacing w:val="0"/>
                <w:sz w:val="21"/>
                <w:szCs w:val="21"/>
                <w:highlight w:val="none"/>
                <w:lang w:val="en-US" w:eastAsia="zh-CN"/>
              </w:rPr>
              <w:t>方案</w:t>
            </w:r>
            <w:r>
              <w:rPr>
                <w:rFonts w:hint="eastAsia" w:ascii="宋体" w:hAnsi="宋体" w:eastAsia="宋体" w:cs="宋体"/>
                <w:color w:val="auto"/>
                <w:spacing w:val="0"/>
                <w:sz w:val="21"/>
                <w:szCs w:val="21"/>
                <w:highlight w:val="none"/>
                <w:lang w:val="zh-CN" w:eastAsia="zh-CN"/>
              </w:rPr>
              <w:t>内容不够全面、不够合理的每处扣</w:t>
            </w:r>
            <w:r>
              <w:rPr>
                <w:rFonts w:hint="eastAsia" w:ascii="宋体" w:hAnsi="宋体" w:cs="宋体"/>
                <w:color w:val="auto"/>
                <w:spacing w:val="0"/>
                <w:sz w:val="21"/>
                <w:szCs w:val="21"/>
                <w:highlight w:val="none"/>
                <w:lang w:val="en-US" w:eastAsia="zh-CN"/>
              </w:rPr>
              <w:t>2</w:t>
            </w:r>
            <w:r>
              <w:rPr>
                <w:rFonts w:hint="eastAsia" w:ascii="宋体" w:hAnsi="宋体" w:eastAsia="宋体" w:cs="宋体"/>
                <w:color w:val="auto"/>
                <w:spacing w:val="0"/>
                <w:sz w:val="21"/>
                <w:szCs w:val="21"/>
                <w:highlight w:val="none"/>
                <w:lang w:val="zh-CN" w:eastAsia="zh-CN"/>
              </w:rPr>
              <w:t>分。</w:t>
            </w:r>
            <w:r>
              <w:rPr>
                <w:rFonts w:hint="eastAsia" w:ascii="宋体" w:hAnsi="宋体" w:cs="宋体"/>
                <w:color w:val="auto"/>
                <w:spacing w:val="0"/>
                <w:sz w:val="21"/>
                <w:szCs w:val="21"/>
                <w:highlight w:val="none"/>
                <w:lang w:val="en-US" w:eastAsia="zh-CN"/>
              </w:rPr>
              <w:t>方案</w:t>
            </w:r>
            <w:r>
              <w:rPr>
                <w:rFonts w:hint="eastAsia" w:ascii="宋体" w:hAnsi="宋体" w:eastAsia="宋体" w:cs="宋体"/>
                <w:color w:val="auto"/>
                <w:spacing w:val="0"/>
                <w:sz w:val="21"/>
                <w:szCs w:val="21"/>
                <w:highlight w:val="none"/>
                <w:lang w:val="zh-CN" w:eastAsia="zh-CN"/>
              </w:rPr>
              <w:t>内容不符合或不提供的不得分。</w:t>
            </w:r>
          </w:p>
        </w:tc>
        <w:tc>
          <w:tcPr>
            <w:tcW w:w="1025" w:type="dxa"/>
            <w:shd w:val="clear" w:color="auto" w:fill="FFFFFF"/>
            <w:noWrap w:val="0"/>
            <w:vAlign w:val="center"/>
          </w:tcPr>
          <w:p w14:paraId="55BCE47D">
            <w:pPr>
              <w:keepNext w:val="0"/>
              <w:keepLines w:val="0"/>
              <w:pageBreakBefore w:val="0"/>
              <w:widowControl/>
              <w:kinsoku/>
              <w:wordWrap/>
              <w:overflowPunct/>
              <w:topLinePunct w:val="0"/>
              <w:autoSpaceDE/>
              <w:autoSpaceDN/>
              <w:bidi w:val="0"/>
              <w:spacing w:line="44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r>
      <w:tr w14:paraId="64764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54" w:type="dxa"/>
            <w:vMerge w:val="continue"/>
            <w:shd w:val="clear" w:color="auto" w:fill="FFFFFF"/>
            <w:noWrap w:val="0"/>
            <w:vAlign w:val="center"/>
          </w:tcPr>
          <w:p w14:paraId="752D1F24">
            <w:pPr>
              <w:keepNext w:val="0"/>
              <w:keepLines w:val="0"/>
              <w:pageBreakBefore w:val="0"/>
              <w:widowControl/>
              <w:kinsoku/>
              <w:wordWrap/>
              <w:overflowPunct/>
              <w:topLinePunct w:val="0"/>
              <w:autoSpaceDE/>
              <w:autoSpaceDN/>
              <w:bidi w:val="0"/>
              <w:spacing w:line="440" w:lineRule="exact"/>
              <w:ind w:firstLine="420"/>
              <w:jc w:val="center"/>
              <w:rPr>
                <w:rFonts w:ascii="宋体" w:hAnsi="宋体" w:cs="宋体"/>
                <w:color w:val="auto"/>
                <w:sz w:val="21"/>
                <w:szCs w:val="21"/>
                <w:highlight w:val="none"/>
              </w:rPr>
            </w:pPr>
          </w:p>
        </w:tc>
        <w:tc>
          <w:tcPr>
            <w:tcW w:w="1355" w:type="dxa"/>
            <w:shd w:val="clear" w:color="auto" w:fill="FFFFFF"/>
            <w:noWrap w:val="0"/>
            <w:vAlign w:val="center"/>
          </w:tcPr>
          <w:p w14:paraId="77EFB67C">
            <w:pPr>
              <w:keepNext w:val="0"/>
              <w:keepLines w:val="0"/>
              <w:pageBreakBefore w:val="0"/>
              <w:widowControl/>
              <w:kinsoku/>
              <w:wordWrap/>
              <w:overflowPunct/>
              <w:topLinePunct w:val="0"/>
              <w:autoSpaceDE/>
              <w:autoSpaceDN/>
              <w:bidi w:val="0"/>
              <w:spacing w:line="440" w:lineRule="exact"/>
              <w:ind w:firstLine="0" w:firstLineChars="0"/>
              <w:jc w:val="cente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应急方案及措施</w:t>
            </w:r>
          </w:p>
        </w:tc>
        <w:tc>
          <w:tcPr>
            <w:tcW w:w="745" w:type="dxa"/>
            <w:shd w:val="clear" w:color="auto" w:fill="FFFFFF"/>
            <w:noWrap w:val="0"/>
            <w:vAlign w:val="center"/>
          </w:tcPr>
          <w:p w14:paraId="75D64182">
            <w:pPr>
              <w:keepNext w:val="0"/>
              <w:keepLines w:val="0"/>
              <w:pageBreakBefore w:val="0"/>
              <w:widowControl/>
              <w:kinsoku/>
              <w:wordWrap/>
              <w:overflowPunct/>
              <w:topLinePunct w:val="0"/>
              <w:autoSpaceDE/>
              <w:autoSpaceDN/>
              <w:bidi w:val="0"/>
              <w:spacing w:line="440" w:lineRule="exact"/>
              <w:ind w:firstLine="0" w:firstLine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6分</w:t>
            </w:r>
          </w:p>
        </w:tc>
        <w:tc>
          <w:tcPr>
            <w:tcW w:w="6598" w:type="dxa"/>
            <w:shd w:val="clear" w:color="auto" w:fill="FFFFFF"/>
            <w:noWrap w:val="0"/>
            <w:vAlign w:val="center"/>
          </w:tcPr>
          <w:p w14:paraId="4133968C">
            <w:pPr>
              <w:keepNext w:val="0"/>
              <w:keepLines w:val="0"/>
              <w:pageBreakBefore w:val="0"/>
              <w:widowControl/>
              <w:kinsoku/>
              <w:wordWrap/>
              <w:overflowPunct/>
              <w:topLinePunct w:val="0"/>
              <w:autoSpaceDE/>
              <w:autoSpaceDN/>
              <w:bidi w:val="0"/>
              <w:spacing w:line="440" w:lineRule="exact"/>
              <w:jc w:val="both"/>
              <w:textAlignment w:val="center"/>
              <w:rPr>
                <w:rFonts w:hint="eastAsia" w:ascii="宋体" w:hAnsi="宋体" w:eastAsia="宋体" w:cs="宋体"/>
                <w:color w:val="auto"/>
                <w:sz w:val="24"/>
                <w:szCs w:val="24"/>
                <w:lang w:eastAsia="zh-CN"/>
              </w:rPr>
            </w:pPr>
            <w:r>
              <w:rPr>
                <w:rFonts w:hint="eastAsia" w:ascii="宋体" w:hAnsi="宋体" w:cs="宋体"/>
                <w:color w:val="auto"/>
                <w:sz w:val="21"/>
                <w:szCs w:val="21"/>
                <w:highlight w:val="none"/>
                <w:lang w:val="en-US" w:eastAsia="zh-CN"/>
              </w:rPr>
              <w:t>投标人结合本项目特点（包括临时突发性、特殊性、解决措施等）编制应急方案。提供的方案内容描述完整齐全且合理的得6分；</w:t>
            </w:r>
            <w:r>
              <w:rPr>
                <w:rFonts w:hint="eastAsia" w:ascii="宋体" w:hAnsi="宋体" w:cs="宋体"/>
                <w:color w:val="auto"/>
                <w:spacing w:val="0"/>
                <w:sz w:val="21"/>
                <w:szCs w:val="21"/>
                <w:highlight w:val="none"/>
                <w:lang w:val="en-US" w:eastAsia="zh-CN"/>
              </w:rPr>
              <w:t>方案</w:t>
            </w:r>
            <w:r>
              <w:rPr>
                <w:rFonts w:hint="eastAsia" w:ascii="宋体" w:hAnsi="宋体" w:eastAsia="宋体" w:cs="宋体"/>
                <w:color w:val="auto"/>
                <w:spacing w:val="0"/>
                <w:sz w:val="21"/>
                <w:szCs w:val="21"/>
                <w:highlight w:val="none"/>
                <w:lang w:val="zh-CN" w:eastAsia="zh-CN"/>
              </w:rPr>
              <w:t>内容不够全面、不够合理的每处扣</w:t>
            </w:r>
            <w:r>
              <w:rPr>
                <w:rFonts w:hint="eastAsia" w:ascii="宋体" w:hAnsi="宋体" w:cs="宋体"/>
                <w:color w:val="auto"/>
                <w:spacing w:val="0"/>
                <w:sz w:val="21"/>
                <w:szCs w:val="21"/>
                <w:highlight w:val="none"/>
                <w:lang w:val="en-US" w:eastAsia="zh-CN"/>
              </w:rPr>
              <w:t>2</w:t>
            </w:r>
            <w:r>
              <w:rPr>
                <w:rFonts w:hint="eastAsia" w:ascii="宋体" w:hAnsi="宋体" w:eastAsia="宋体" w:cs="宋体"/>
                <w:color w:val="auto"/>
                <w:spacing w:val="0"/>
                <w:sz w:val="21"/>
                <w:szCs w:val="21"/>
                <w:highlight w:val="none"/>
                <w:lang w:val="zh-CN" w:eastAsia="zh-CN"/>
              </w:rPr>
              <w:t>分。</w:t>
            </w:r>
            <w:r>
              <w:rPr>
                <w:rFonts w:hint="eastAsia" w:ascii="宋体" w:hAnsi="宋体" w:cs="宋体"/>
                <w:color w:val="auto"/>
                <w:spacing w:val="0"/>
                <w:sz w:val="21"/>
                <w:szCs w:val="21"/>
                <w:highlight w:val="none"/>
                <w:lang w:val="en-US" w:eastAsia="zh-CN"/>
              </w:rPr>
              <w:t>方案</w:t>
            </w:r>
            <w:r>
              <w:rPr>
                <w:rFonts w:hint="eastAsia" w:ascii="宋体" w:hAnsi="宋体" w:eastAsia="宋体" w:cs="宋体"/>
                <w:color w:val="auto"/>
                <w:spacing w:val="0"/>
                <w:sz w:val="21"/>
                <w:szCs w:val="21"/>
                <w:highlight w:val="none"/>
                <w:lang w:val="zh-CN" w:eastAsia="zh-CN"/>
              </w:rPr>
              <w:t>内容不符合或不提供的不得分。</w:t>
            </w:r>
          </w:p>
        </w:tc>
        <w:tc>
          <w:tcPr>
            <w:tcW w:w="1025" w:type="dxa"/>
            <w:shd w:val="clear" w:color="auto" w:fill="FFFFFF"/>
            <w:noWrap w:val="0"/>
            <w:vAlign w:val="center"/>
          </w:tcPr>
          <w:p w14:paraId="7BA3781A">
            <w:pPr>
              <w:keepNext w:val="0"/>
              <w:keepLines w:val="0"/>
              <w:pageBreakBefore w:val="0"/>
              <w:widowControl/>
              <w:kinsoku/>
              <w:wordWrap/>
              <w:overflowPunct/>
              <w:topLinePunct w:val="0"/>
              <w:autoSpaceDE/>
              <w:autoSpaceDN/>
              <w:bidi w:val="0"/>
              <w:spacing w:line="44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r>
      <w:tr w14:paraId="25F55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54" w:type="dxa"/>
            <w:vMerge w:val="continue"/>
            <w:shd w:val="clear" w:color="auto" w:fill="FFFFFF"/>
            <w:noWrap w:val="0"/>
            <w:vAlign w:val="center"/>
          </w:tcPr>
          <w:p w14:paraId="28397C56">
            <w:pPr>
              <w:keepNext w:val="0"/>
              <w:keepLines w:val="0"/>
              <w:pageBreakBefore w:val="0"/>
              <w:widowControl/>
              <w:kinsoku/>
              <w:wordWrap/>
              <w:overflowPunct/>
              <w:topLinePunct w:val="0"/>
              <w:autoSpaceDE/>
              <w:autoSpaceDN/>
              <w:bidi w:val="0"/>
              <w:spacing w:line="440" w:lineRule="exact"/>
              <w:ind w:firstLine="0" w:firstLineChars="0"/>
              <w:jc w:val="center"/>
              <w:rPr>
                <w:rFonts w:hint="eastAsia" w:ascii="宋体" w:hAnsi="宋体" w:cs="宋体"/>
                <w:color w:val="auto"/>
                <w:sz w:val="21"/>
                <w:szCs w:val="21"/>
                <w:highlight w:val="none"/>
              </w:rPr>
            </w:pPr>
          </w:p>
        </w:tc>
        <w:tc>
          <w:tcPr>
            <w:tcW w:w="1355" w:type="dxa"/>
            <w:shd w:val="clear" w:color="auto" w:fill="FFFFFF"/>
            <w:noWrap w:val="0"/>
            <w:vAlign w:val="center"/>
          </w:tcPr>
          <w:p w14:paraId="592748ED">
            <w:pPr>
              <w:keepNext w:val="0"/>
              <w:keepLines w:val="0"/>
              <w:pageBreakBefore w:val="0"/>
              <w:widowControl/>
              <w:kinsoku/>
              <w:wordWrap/>
              <w:overflowPunct/>
              <w:topLinePunct w:val="0"/>
              <w:autoSpaceDE/>
              <w:autoSpaceDN/>
              <w:bidi w:val="0"/>
              <w:spacing w:line="440" w:lineRule="exact"/>
              <w:ind w:firstLine="0" w:firstLineChars="0"/>
              <w:jc w:val="center"/>
              <w:rPr>
                <w:rFonts w:hint="eastAsia" w:ascii="宋体" w:hAnsi="宋体" w:cs="宋体"/>
                <w:bCs/>
                <w:color w:val="auto"/>
                <w:sz w:val="21"/>
                <w:szCs w:val="21"/>
                <w:highlight w:val="none"/>
              </w:rPr>
            </w:pPr>
            <w:r>
              <w:rPr>
                <w:rFonts w:hint="eastAsia" w:ascii="宋体" w:hAnsi="宋体" w:cs="宋体"/>
                <w:bCs/>
                <w:color w:val="auto"/>
                <w:sz w:val="21"/>
                <w:szCs w:val="21"/>
                <w:highlight w:val="none"/>
              </w:rPr>
              <w:t>后续服务</w:t>
            </w:r>
          </w:p>
          <w:p w14:paraId="58F56C4E">
            <w:pPr>
              <w:keepNext w:val="0"/>
              <w:keepLines w:val="0"/>
              <w:pageBreakBefore w:val="0"/>
              <w:widowControl/>
              <w:kinsoku/>
              <w:wordWrap/>
              <w:overflowPunct/>
              <w:topLinePunct w:val="0"/>
              <w:autoSpaceDE/>
              <w:autoSpaceDN/>
              <w:bidi w:val="0"/>
              <w:spacing w:line="440" w:lineRule="exact"/>
              <w:ind w:firstLine="0" w:firstLineChars="0"/>
              <w:jc w:val="center"/>
              <w:rPr>
                <w:rFonts w:hint="eastAsia" w:ascii="宋体" w:hAnsi="宋体" w:cs="宋体"/>
                <w:bCs/>
                <w:color w:val="auto"/>
                <w:sz w:val="21"/>
                <w:szCs w:val="21"/>
                <w:highlight w:val="none"/>
              </w:rPr>
            </w:pPr>
            <w:r>
              <w:rPr>
                <w:rFonts w:hint="eastAsia" w:ascii="宋体" w:hAnsi="宋体" w:cs="宋体"/>
                <w:bCs/>
                <w:color w:val="auto"/>
                <w:sz w:val="21"/>
                <w:szCs w:val="21"/>
                <w:highlight w:val="none"/>
              </w:rPr>
              <w:t>方案</w:t>
            </w:r>
          </w:p>
        </w:tc>
        <w:tc>
          <w:tcPr>
            <w:tcW w:w="745" w:type="dxa"/>
            <w:shd w:val="clear" w:color="auto" w:fill="FFFFFF"/>
            <w:noWrap w:val="0"/>
            <w:vAlign w:val="center"/>
          </w:tcPr>
          <w:p w14:paraId="731B71CB">
            <w:pPr>
              <w:keepNext w:val="0"/>
              <w:keepLines w:val="0"/>
              <w:pageBreakBefore w:val="0"/>
              <w:widowControl/>
              <w:kinsoku/>
              <w:wordWrap/>
              <w:overflowPunct/>
              <w:topLinePunct w:val="0"/>
              <w:autoSpaceDE/>
              <w:autoSpaceDN/>
              <w:bidi w:val="0"/>
              <w:spacing w:line="440" w:lineRule="exact"/>
              <w:ind w:firstLine="0" w:firstLineChars="0"/>
              <w:jc w:val="center"/>
              <w:rPr>
                <w:rFonts w:hint="eastAsia" w:ascii="宋体" w:hAnsi="宋体" w:cs="宋体"/>
                <w:color w:val="auto"/>
                <w:sz w:val="21"/>
                <w:szCs w:val="21"/>
                <w:highlight w:val="none"/>
                <w:lang w:val="en-US" w:eastAsia="zh-CN"/>
              </w:rPr>
            </w:pPr>
            <w:r>
              <w:rPr>
                <w:rFonts w:hint="eastAsia" w:ascii="宋体" w:hAnsi="宋体" w:cs="宋体"/>
                <w:color w:val="auto"/>
                <w:spacing w:val="-8"/>
                <w:kern w:val="0"/>
                <w:sz w:val="21"/>
                <w:szCs w:val="21"/>
                <w:highlight w:val="none"/>
                <w:lang w:val="en-US" w:eastAsia="zh-CN"/>
              </w:rPr>
              <w:t>8</w:t>
            </w:r>
            <w:r>
              <w:rPr>
                <w:rFonts w:hint="eastAsia" w:ascii="宋体" w:hAnsi="宋体" w:cs="宋体"/>
                <w:color w:val="auto"/>
                <w:spacing w:val="-8"/>
                <w:kern w:val="0"/>
                <w:sz w:val="21"/>
                <w:szCs w:val="21"/>
                <w:highlight w:val="none"/>
              </w:rPr>
              <w:t>分</w:t>
            </w:r>
          </w:p>
        </w:tc>
        <w:tc>
          <w:tcPr>
            <w:tcW w:w="6598" w:type="dxa"/>
            <w:shd w:val="clear" w:color="auto" w:fill="FFFFFF"/>
            <w:noWrap w:val="0"/>
            <w:vAlign w:val="center"/>
          </w:tcPr>
          <w:p w14:paraId="3641A44A">
            <w:pPr>
              <w:keepNext w:val="0"/>
              <w:keepLines w:val="0"/>
              <w:pageBreakBefore w:val="0"/>
              <w:widowControl/>
              <w:kinsoku/>
              <w:wordWrap/>
              <w:overflowPunct/>
              <w:topLinePunct w:val="0"/>
              <w:autoSpaceDE/>
              <w:autoSpaceDN/>
              <w:bidi w:val="0"/>
              <w:spacing w:line="440" w:lineRule="exact"/>
              <w:jc w:val="both"/>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投标人针对本项目提供的售后服务方案：包括服务措施</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响应时间</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服务力量</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回访</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技术培训计划</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售后服务网点情况</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是否</w:t>
            </w:r>
            <w:r>
              <w:rPr>
                <w:rFonts w:hint="eastAsia" w:ascii="宋体" w:hAnsi="宋体" w:cs="宋体"/>
                <w:color w:val="auto"/>
                <w:sz w:val="21"/>
                <w:szCs w:val="21"/>
                <w:highlight w:val="none"/>
                <w:lang w:val="zh-CN"/>
              </w:rPr>
              <w:t>能实现本地化服务</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对</w:t>
            </w:r>
            <w:r>
              <w:rPr>
                <w:rFonts w:hint="eastAsia" w:ascii="宋体" w:hAnsi="宋体" w:cs="宋体"/>
                <w:color w:val="auto"/>
                <w:sz w:val="21"/>
                <w:szCs w:val="21"/>
                <w:highlight w:val="none"/>
                <w:lang w:val="en-US" w:eastAsia="zh-CN"/>
              </w:rPr>
              <w:t>采购人</w:t>
            </w:r>
            <w:r>
              <w:rPr>
                <w:rFonts w:hint="eastAsia" w:ascii="宋体" w:hAnsi="宋体" w:cs="宋体"/>
                <w:color w:val="auto"/>
                <w:sz w:val="21"/>
                <w:szCs w:val="21"/>
                <w:highlight w:val="none"/>
              </w:rPr>
              <w:t>提出的问题能否及时有效的提出解决方案</w:t>
            </w:r>
            <w:r>
              <w:rPr>
                <w:rFonts w:hint="eastAsia" w:ascii="宋体" w:hAnsi="宋体" w:cs="宋体"/>
                <w:color w:val="auto"/>
                <w:sz w:val="21"/>
                <w:szCs w:val="21"/>
                <w:highlight w:val="none"/>
                <w:lang w:val="en-US" w:eastAsia="zh-CN"/>
              </w:rPr>
              <w:t>等8</w:t>
            </w:r>
            <w:r>
              <w:rPr>
                <w:rFonts w:hint="eastAsia" w:ascii="宋体" w:hAnsi="宋体" w:cs="宋体"/>
                <w:color w:val="auto"/>
                <w:sz w:val="21"/>
                <w:szCs w:val="21"/>
                <w:highlight w:val="none"/>
              </w:rPr>
              <w:t>小项内容提供后续服务方案</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根据投标人后续服务承诺、提供的后续服务方案的完整性、便捷性、可行性、保障性等内容进行</w:t>
            </w:r>
            <w:r>
              <w:rPr>
                <w:rFonts w:hint="eastAsia" w:ascii="宋体" w:hAnsi="宋体" w:eastAsia="宋体" w:cs="宋体"/>
                <w:color w:val="auto"/>
                <w:sz w:val="21"/>
                <w:szCs w:val="21"/>
                <w:highlight w:val="none"/>
                <w:lang w:eastAsia="zh-CN"/>
              </w:rPr>
              <w:t>评分</w:t>
            </w:r>
            <w:r>
              <w:rPr>
                <w:rFonts w:hint="eastAsia" w:ascii="宋体" w:hAnsi="宋体" w:eastAsia="宋体" w:cs="宋体"/>
                <w:color w:val="auto"/>
                <w:sz w:val="21"/>
                <w:szCs w:val="21"/>
                <w:highlight w:val="none"/>
              </w:rPr>
              <w:t>。</w:t>
            </w:r>
            <w:r>
              <w:rPr>
                <w:rFonts w:hint="eastAsia" w:ascii="宋体" w:hAnsi="宋体" w:eastAsia="宋体" w:cs="宋体"/>
                <w:color w:val="auto"/>
                <w:spacing w:val="0"/>
                <w:sz w:val="21"/>
                <w:szCs w:val="21"/>
                <w:highlight w:val="none"/>
                <w:lang w:val="zh-CN" w:eastAsia="zh-CN"/>
              </w:rPr>
              <w:t>服务方案全面、有效、可操作性强的得</w:t>
            </w:r>
            <w:r>
              <w:rPr>
                <w:rFonts w:hint="eastAsia" w:ascii="宋体" w:hAnsi="宋体" w:cs="宋体"/>
                <w:color w:val="auto"/>
                <w:spacing w:val="0"/>
                <w:sz w:val="21"/>
                <w:szCs w:val="21"/>
                <w:highlight w:val="none"/>
                <w:lang w:val="en-US" w:eastAsia="zh-CN"/>
              </w:rPr>
              <w:t>8</w:t>
            </w:r>
            <w:r>
              <w:rPr>
                <w:rFonts w:hint="eastAsia" w:ascii="宋体" w:hAnsi="宋体" w:eastAsia="宋体" w:cs="宋体"/>
                <w:color w:val="auto"/>
                <w:spacing w:val="0"/>
                <w:sz w:val="21"/>
                <w:szCs w:val="21"/>
                <w:highlight w:val="none"/>
                <w:lang w:val="zh-CN" w:eastAsia="zh-CN"/>
              </w:rPr>
              <w:t>分；思路不清晰，逻辑性差，可操作性与实际情况有偏离的每处扣1分。</w:t>
            </w:r>
            <w:r>
              <w:rPr>
                <w:rFonts w:hint="eastAsia" w:ascii="宋体" w:hAnsi="宋体" w:cs="宋体"/>
                <w:color w:val="auto"/>
                <w:sz w:val="21"/>
                <w:szCs w:val="21"/>
                <w:highlight w:val="none"/>
                <w:lang w:val="en-US" w:eastAsia="zh-CN"/>
              </w:rPr>
              <w:t>未</w:t>
            </w:r>
            <w:r>
              <w:rPr>
                <w:rFonts w:hint="eastAsia" w:ascii="宋体" w:hAnsi="宋体" w:cs="宋体"/>
                <w:color w:val="auto"/>
                <w:sz w:val="21"/>
                <w:szCs w:val="21"/>
                <w:highlight w:val="none"/>
              </w:rPr>
              <w:t>提供不得分。</w:t>
            </w:r>
          </w:p>
        </w:tc>
        <w:tc>
          <w:tcPr>
            <w:tcW w:w="1025" w:type="dxa"/>
            <w:shd w:val="clear" w:color="auto" w:fill="FFFFFF"/>
            <w:noWrap w:val="0"/>
            <w:vAlign w:val="center"/>
          </w:tcPr>
          <w:p w14:paraId="1A19AF60">
            <w:pPr>
              <w:keepNext w:val="0"/>
              <w:keepLines w:val="0"/>
              <w:pageBreakBefore w:val="0"/>
              <w:widowControl/>
              <w:kinsoku/>
              <w:wordWrap/>
              <w:overflowPunct/>
              <w:topLinePunct w:val="0"/>
              <w:autoSpaceDE/>
              <w:autoSpaceDN/>
              <w:bidi w:val="0"/>
              <w:spacing w:line="44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r>
      <w:tr w14:paraId="4ECA1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654" w:type="dxa"/>
            <w:shd w:val="clear" w:color="auto" w:fill="FFFFFF"/>
            <w:noWrap w:val="0"/>
            <w:vAlign w:val="center"/>
          </w:tcPr>
          <w:p w14:paraId="66FE838B">
            <w:pPr>
              <w:keepNext w:val="0"/>
              <w:keepLines w:val="0"/>
              <w:pageBreakBefore w:val="0"/>
              <w:widowControl/>
              <w:kinsoku/>
              <w:wordWrap/>
              <w:overflowPunct/>
              <w:topLinePunct w:val="0"/>
              <w:autoSpaceDE/>
              <w:autoSpaceDN/>
              <w:bidi w:val="0"/>
              <w:spacing w:line="440" w:lineRule="exact"/>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1355" w:type="dxa"/>
            <w:shd w:val="clear" w:color="auto" w:fill="FFFFFF"/>
            <w:noWrap w:val="0"/>
            <w:vAlign w:val="center"/>
          </w:tcPr>
          <w:p w14:paraId="1C52A382">
            <w:pPr>
              <w:keepNext w:val="0"/>
              <w:keepLines w:val="0"/>
              <w:pageBreakBefore w:val="0"/>
              <w:widowControl/>
              <w:kinsoku/>
              <w:wordWrap/>
              <w:overflowPunct/>
              <w:topLinePunct w:val="0"/>
              <w:autoSpaceDE/>
              <w:autoSpaceDN/>
              <w:bidi w:val="0"/>
              <w:spacing w:line="440" w:lineRule="exact"/>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 xml:space="preserve">  报价分值</w:t>
            </w:r>
          </w:p>
        </w:tc>
        <w:tc>
          <w:tcPr>
            <w:tcW w:w="745" w:type="dxa"/>
            <w:shd w:val="clear" w:color="auto" w:fill="FFFFFF"/>
            <w:noWrap w:val="0"/>
            <w:vAlign w:val="center"/>
          </w:tcPr>
          <w:p w14:paraId="22B6FADE">
            <w:pPr>
              <w:keepNext w:val="0"/>
              <w:keepLines w:val="0"/>
              <w:pageBreakBefore w:val="0"/>
              <w:widowControl/>
              <w:kinsoku/>
              <w:wordWrap/>
              <w:overflowPunct/>
              <w:topLinePunct w:val="0"/>
              <w:autoSpaceDE/>
              <w:autoSpaceDN/>
              <w:bidi w:val="0"/>
              <w:spacing w:line="440" w:lineRule="exact"/>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rPr>
              <w:t>分</w:t>
            </w:r>
          </w:p>
        </w:tc>
        <w:tc>
          <w:tcPr>
            <w:tcW w:w="6598" w:type="dxa"/>
            <w:shd w:val="clear" w:color="auto" w:fill="FFFFFF"/>
            <w:noWrap w:val="0"/>
            <w:vAlign w:val="center"/>
          </w:tcPr>
          <w:p w14:paraId="5C4D6F45">
            <w:pPr>
              <w:keepNext w:val="0"/>
              <w:keepLines w:val="0"/>
              <w:pageBreakBefore w:val="0"/>
              <w:widowControl/>
              <w:kinsoku/>
              <w:wordWrap/>
              <w:overflowPunct/>
              <w:topLinePunct w:val="0"/>
              <w:autoSpaceDE/>
              <w:autoSpaceDN/>
              <w:bidi w:val="0"/>
              <w:spacing w:line="440" w:lineRule="exact"/>
              <w:ind w:firstLine="0" w:firstLineChars="0"/>
              <w:jc w:val="both"/>
              <w:rPr>
                <w:rFonts w:ascii="宋体" w:hAnsi="宋体" w:cs="宋体"/>
                <w:color w:val="auto"/>
                <w:sz w:val="21"/>
                <w:szCs w:val="21"/>
                <w:highlight w:val="none"/>
              </w:rPr>
            </w:pPr>
            <w:r>
              <w:rPr>
                <w:rFonts w:hint="eastAsia" w:ascii="宋体" w:hAnsi="宋体" w:cs="宋体"/>
                <w:color w:val="auto"/>
                <w:sz w:val="21"/>
                <w:szCs w:val="21"/>
                <w:highlight w:val="none"/>
              </w:rPr>
              <w:t>满足招标文件要求且投标价格最低的投标报价为评标基准价，其价格分为满分，其他投标人的价格分统一按下列公式计算（按四舍五入取至小数点后两位）：</w:t>
            </w:r>
          </w:p>
          <w:p w14:paraId="1BBFF4AD">
            <w:pPr>
              <w:keepNext w:val="0"/>
              <w:keepLines w:val="0"/>
              <w:pageBreakBefore w:val="0"/>
              <w:widowControl/>
              <w:kinsoku/>
              <w:wordWrap/>
              <w:overflowPunct/>
              <w:topLinePunct w:val="0"/>
              <w:autoSpaceDE/>
              <w:autoSpaceDN/>
              <w:bidi w:val="0"/>
              <w:spacing w:line="440" w:lineRule="exact"/>
              <w:ind w:firstLine="0" w:firstLineChars="0"/>
              <w:jc w:val="both"/>
              <w:rPr>
                <w:rFonts w:hint="default" w:ascii="宋体" w:hAnsi="宋体" w:cs="宋体"/>
                <w:color w:val="auto"/>
                <w:sz w:val="21"/>
                <w:szCs w:val="21"/>
                <w:highlight w:val="none"/>
                <w:lang w:val="en-US"/>
              </w:rPr>
            </w:pPr>
            <w:r>
              <w:rPr>
                <w:rFonts w:hint="eastAsia" w:ascii="宋体" w:hAnsi="宋体" w:cs="宋体"/>
                <w:color w:val="auto"/>
                <w:sz w:val="21"/>
                <w:szCs w:val="21"/>
                <w:highlight w:val="none"/>
              </w:rPr>
              <w:t>投标报价得分=（评标基准价/投标报价）×</w:t>
            </w:r>
            <w:r>
              <w:rPr>
                <w:rFonts w:hint="eastAsia" w:ascii="宋体" w:hAnsi="宋体" w:cs="宋体"/>
                <w:color w:val="auto"/>
                <w:sz w:val="21"/>
                <w:szCs w:val="21"/>
                <w:highlight w:val="none"/>
                <w:lang w:val="en-US" w:eastAsia="zh-CN"/>
              </w:rPr>
              <w:t>20</w:t>
            </w:r>
          </w:p>
        </w:tc>
        <w:tc>
          <w:tcPr>
            <w:tcW w:w="1025" w:type="dxa"/>
            <w:shd w:val="clear" w:color="auto" w:fill="FFFFFF"/>
            <w:noWrap w:val="0"/>
            <w:vAlign w:val="center"/>
          </w:tcPr>
          <w:p w14:paraId="2D5A3F60">
            <w:pPr>
              <w:keepNext w:val="0"/>
              <w:keepLines w:val="0"/>
              <w:pageBreakBefore w:val="0"/>
              <w:widowControl/>
              <w:kinsoku/>
              <w:wordWrap/>
              <w:overflowPunct/>
              <w:topLinePunct w:val="0"/>
              <w:autoSpaceDE/>
              <w:autoSpaceDN/>
              <w:bidi w:val="0"/>
              <w:spacing w:line="44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2C4C5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54" w:type="dxa"/>
            <w:shd w:val="clear" w:color="auto" w:fill="FFFFFF"/>
            <w:noWrap w:val="0"/>
            <w:vAlign w:val="center"/>
          </w:tcPr>
          <w:p w14:paraId="6719A929">
            <w:pPr>
              <w:keepNext w:val="0"/>
              <w:keepLines w:val="0"/>
              <w:pageBreakBefore w:val="0"/>
              <w:widowControl/>
              <w:kinsoku/>
              <w:wordWrap/>
              <w:overflowPunct/>
              <w:topLinePunct w:val="0"/>
              <w:autoSpaceDE/>
              <w:autoSpaceDN/>
              <w:bidi w:val="0"/>
              <w:spacing w:line="440" w:lineRule="exact"/>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1355" w:type="dxa"/>
            <w:shd w:val="clear" w:color="auto" w:fill="FFFFFF"/>
            <w:noWrap w:val="0"/>
            <w:vAlign w:val="center"/>
          </w:tcPr>
          <w:p w14:paraId="20A30BB4">
            <w:pPr>
              <w:keepNext w:val="0"/>
              <w:keepLines w:val="0"/>
              <w:pageBreakBefore w:val="0"/>
              <w:widowControl/>
              <w:kinsoku/>
              <w:wordWrap/>
              <w:overflowPunct/>
              <w:topLinePunct w:val="0"/>
              <w:autoSpaceDE/>
              <w:autoSpaceDN/>
              <w:bidi w:val="0"/>
              <w:spacing w:line="440" w:lineRule="exact"/>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总得分</w:t>
            </w:r>
          </w:p>
        </w:tc>
        <w:tc>
          <w:tcPr>
            <w:tcW w:w="745" w:type="dxa"/>
            <w:shd w:val="clear" w:color="auto" w:fill="FFFFFF"/>
            <w:noWrap w:val="0"/>
            <w:vAlign w:val="center"/>
          </w:tcPr>
          <w:p w14:paraId="193D9D74">
            <w:pPr>
              <w:keepNext w:val="0"/>
              <w:keepLines w:val="0"/>
              <w:pageBreakBefore w:val="0"/>
              <w:widowControl/>
              <w:kinsoku/>
              <w:wordWrap/>
              <w:overflowPunct/>
              <w:topLinePunct w:val="0"/>
              <w:autoSpaceDE/>
              <w:autoSpaceDN/>
              <w:bidi w:val="0"/>
              <w:spacing w:line="440" w:lineRule="exact"/>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100分</w:t>
            </w:r>
          </w:p>
        </w:tc>
        <w:tc>
          <w:tcPr>
            <w:tcW w:w="7623" w:type="dxa"/>
            <w:gridSpan w:val="2"/>
            <w:shd w:val="clear" w:color="auto" w:fill="FFFFFF"/>
            <w:noWrap w:val="0"/>
            <w:vAlign w:val="center"/>
          </w:tcPr>
          <w:p w14:paraId="6DECAD0B">
            <w:pPr>
              <w:keepNext w:val="0"/>
              <w:keepLines w:val="0"/>
              <w:pageBreakBefore w:val="0"/>
              <w:widowControl/>
              <w:kinsoku/>
              <w:wordWrap/>
              <w:overflowPunct/>
              <w:topLinePunct w:val="0"/>
              <w:autoSpaceDE/>
              <w:autoSpaceDN/>
              <w:bidi w:val="0"/>
              <w:spacing w:line="440" w:lineRule="exact"/>
              <w:ind w:firstLine="0" w:firstLineChars="0"/>
              <w:jc w:val="both"/>
              <w:rPr>
                <w:rFonts w:ascii="宋体" w:hAnsi="宋体" w:cs="宋体"/>
                <w:color w:val="auto"/>
                <w:sz w:val="21"/>
                <w:szCs w:val="21"/>
                <w:highlight w:val="none"/>
              </w:rPr>
            </w:pPr>
            <w:r>
              <w:rPr>
                <w:rFonts w:hint="eastAsia" w:ascii="宋体" w:hAnsi="宋体" w:cs="宋体"/>
                <w:color w:val="auto"/>
                <w:sz w:val="21"/>
                <w:szCs w:val="21"/>
                <w:highlight w:val="none"/>
              </w:rPr>
              <w:t>总得分=技术商务</w:t>
            </w:r>
            <w:r>
              <w:rPr>
                <w:rFonts w:hint="eastAsia" w:ascii="宋体" w:hAnsi="宋体" w:cs="宋体"/>
                <w:color w:val="auto"/>
                <w:sz w:val="21"/>
                <w:szCs w:val="21"/>
                <w:highlight w:val="none"/>
                <w:lang w:val="en-US" w:eastAsia="zh-CN"/>
              </w:rPr>
              <w:t>等</w:t>
            </w:r>
            <w:r>
              <w:rPr>
                <w:rFonts w:hint="eastAsia" w:ascii="宋体" w:hAnsi="宋体" w:cs="宋体"/>
                <w:color w:val="auto"/>
                <w:sz w:val="21"/>
                <w:szCs w:val="21"/>
                <w:highlight w:val="none"/>
              </w:rPr>
              <w:t>分值+报价分值</w:t>
            </w:r>
          </w:p>
        </w:tc>
      </w:tr>
    </w:tbl>
    <w:p w14:paraId="45F035F6">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cs="宋体"/>
          <w:b/>
          <w:bCs/>
          <w:color w:val="auto"/>
          <w:kern w:val="0"/>
          <w:sz w:val="21"/>
          <w:szCs w:val="21"/>
          <w:highlight w:val="none"/>
          <w:lang w:val="en-US" w:eastAsia="zh-CN"/>
        </w:rPr>
      </w:pPr>
    </w:p>
    <w:p w14:paraId="17DC015A">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标项2：</w:t>
      </w:r>
    </w:p>
    <w:tbl>
      <w:tblPr>
        <w:tblStyle w:val="22"/>
        <w:tblW w:w="10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355"/>
        <w:gridCol w:w="745"/>
        <w:gridCol w:w="6598"/>
        <w:gridCol w:w="1025"/>
      </w:tblGrid>
      <w:tr w14:paraId="25478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654" w:type="dxa"/>
            <w:shd w:val="clear" w:color="auto" w:fill="FFFFFF"/>
            <w:noWrap w:val="0"/>
            <w:vAlign w:val="center"/>
          </w:tcPr>
          <w:p w14:paraId="608F506A">
            <w:pPr>
              <w:keepNext w:val="0"/>
              <w:keepLines w:val="0"/>
              <w:pageBreakBefore w:val="0"/>
              <w:widowControl/>
              <w:kinsoku/>
              <w:wordWrap/>
              <w:overflowPunct/>
              <w:topLinePunct w:val="0"/>
              <w:autoSpaceDE/>
              <w:autoSpaceDN/>
              <w:bidi w:val="0"/>
              <w:spacing w:line="440" w:lineRule="exact"/>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序号</w:t>
            </w:r>
          </w:p>
        </w:tc>
        <w:tc>
          <w:tcPr>
            <w:tcW w:w="1355" w:type="dxa"/>
            <w:shd w:val="clear" w:color="auto" w:fill="FFFFFF"/>
            <w:noWrap w:val="0"/>
            <w:vAlign w:val="center"/>
          </w:tcPr>
          <w:p w14:paraId="2A83470E">
            <w:pPr>
              <w:keepNext w:val="0"/>
              <w:keepLines w:val="0"/>
              <w:pageBreakBefore w:val="0"/>
              <w:widowControl/>
              <w:kinsoku/>
              <w:wordWrap/>
              <w:overflowPunct/>
              <w:topLinePunct w:val="0"/>
              <w:autoSpaceDE/>
              <w:autoSpaceDN/>
              <w:bidi w:val="0"/>
              <w:spacing w:line="440" w:lineRule="exact"/>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评审内容</w:t>
            </w:r>
          </w:p>
        </w:tc>
        <w:tc>
          <w:tcPr>
            <w:tcW w:w="745" w:type="dxa"/>
            <w:shd w:val="clear" w:color="auto" w:fill="FFFFFF"/>
            <w:noWrap w:val="0"/>
            <w:vAlign w:val="center"/>
          </w:tcPr>
          <w:p w14:paraId="0B5A769F">
            <w:pPr>
              <w:keepNext w:val="0"/>
              <w:keepLines w:val="0"/>
              <w:pageBreakBefore w:val="0"/>
              <w:widowControl/>
              <w:kinsoku/>
              <w:wordWrap/>
              <w:overflowPunct/>
              <w:topLinePunct w:val="0"/>
              <w:autoSpaceDE/>
              <w:autoSpaceDN/>
              <w:bidi w:val="0"/>
              <w:spacing w:line="440" w:lineRule="exact"/>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分值</w:t>
            </w:r>
          </w:p>
        </w:tc>
        <w:tc>
          <w:tcPr>
            <w:tcW w:w="6598" w:type="dxa"/>
            <w:shd w:val="clear" w:color="auto" w:fill="FFFFFF"/>
            <w:noWrap w:val="0"/>
            <w:vAlign w:val="center"/>
          </w:tcPr>
          <w:p w14:paraId="63FDD073">
            <w:pPr>
              <w:keepNext w:val="0"/>
              <w:keepLines w:val="0"/>
              <w:pageBreakBefore w:val="0"/>
              <w:widowControl/>
              <w:kinsoku/>
              <w:wordWrap/>
              <w:overflowPunct/>
              <w:topLinePunct w:val="0"/>
              <w:autoSpaceDE/>
              <w:autoSpaceDN/>
              <w:bidi w:val="0"/>
              <w:spacing w:line="440" w:lineRule="exact"/>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评分标准</w:t>
            </w:r>
          </w:p>
        </w:tc>
        <w:tc>
          <w:tcPr>
            <w:tcW w:w="1025" w:type="dxa"/>
            <w:shd w:val="clear" w:color="auto" w:fill="FFFFFF"/>
            <w:noWrap w:val="0"/>
            <w:vAlign w:val="center"/>
          </w:tcPr>
          <w:p w14:paraId="5B6966A3">
            <w:pPr>
              <w:keepNext w:val="0"/>
              <w:keepLines w:val="0"/>
              <w:pageBreakBefore w:val="0"/>
              <w:widowControl/>
              <w:kinsoku/>
              <w:wordWrap/>
              <w:overflowPunct/>
              <w:topLinePunct w:val="0"/>
              <w:autoSpaceDE/>
              <w:autoSpaceDN/>
              <w:bidi w:val="0"/>
              <w:spacing w:line="44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主/客观分属性</w:t>
            </w:r>
          </w:p>
        </w:tc>
      </w:tr>
      <w:tr w14:paraId="5182A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654" w:type="dxa"/>
            <w:vMerge w:val="restart"/>
            <w:shd w:val="clear" w:color="auto" w:fill="FFFFFF"/>
            <w:noWrap w:val="0"/>
            <w:vAlign w:val="center"/>
          </w:tcPr>
          <w:p w14:paraId="1F7A4B72">
            <w:pPr>
              <w:keepNext w:val="0"/>
              <w:keepLines w:val="0"/>
              <w:pageBreakBefore w:val="0"/>
              <w:widowControl/>
              <w:kinsoku/>
              <w:wordWrap/>
              <w:overflowPunct/>
              <w:topLinePunct w:val="0"/>
              <w:autoSpaceDE/>
              <w:autoSpaceDN/>
              <w:bidi w:val="0"/>
              <w:spacing w:line="440" w:lineRule="exact"/>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p w14:paraId="7C266F1F">
            <w:pPr>
              <w:keepNext w:val="0"/>
              <w:keepLines w:val="0"/>
              <w:pageBreakBefore w:val="0"/>
              <w:widowControl/>
              <w:kinsoku/>
              <w:wordWrap/>
              <w:overflowPunct/>
              <w:topLinePunct w:val="0"/>
              <w:autoSpaceDE/>
              <w:autoSpaceDN/>
              <w:bidi w:val="0"/>
              <w:spacing w:line="440" w:lineRule="exact"/>
              <w:ind w:firstLine="420"/>
              <w:jc w:val="center"/>
              <w:rPr>
                <w:rFonts w:hint="default" w:ascii="宋体" w:hAnsi="宋体" w:eastAsia="宋体" w:cs="宋体"/>
                <w:color w:val="auto"/>
                <w:sz w:val="21"/>
                <w:szCs w:val="21"/>
                <w:highlight w:val="none"/>
                <w:lang w:val="en-US" w:eastAsia="zh-CN"/>
              </w:rPr>
            </w:pPr>
          </w:p>
        </w:tc>
        <w:tc>
          <w:tcPr>
            <w:tcW w:w="1355" w:type="dxa"/>
            <w:shd w:val="clear" w:color="auto" w:fill="FFFFFF"/>
            <w:noWrap w:val="0"/>
            <w:vAlign w:val="center"/>
          </w:tcPr>
          <w:p w14:paraId="39D6794F">
            <w:pPr>
              <w:keepNext w:val="0"/>
              <w:keepLines w:val="0"/>
              <w:pageBreakBefore w:val="0"/>
              <w:widowControl/>
              <w:kinsoku/>
              <w:wordWrap/>
              <w:overflowPunct/>
              <w:topLinePunct w:val="0"/>
              <w:autoSpaceDE/>
              <w:autoSpaceDN/>
              <w:bidi w:val="0"/>
              <w:spacing w:line="440" w:lineRule="exact"/>
              <w:ind w:firstLine="0" w:firstLineChars="0"/>
              <w:jc w:val="center"/>
              <w:rPr>
                <w:rFonts w:ascii="宋体" w:hAnsi="宋体" w:cs="宋体"/>
                <w:color w:val="auto"/>
                <w:kern w:val="0"/>
                <w:sz w:val="21"/>
                <w:szCs w:val="21"/>
                <w:highlight w:val="none"/>
                <w:lang w:bidi="en-US"/>
              </w:rPr>
            </w:pPr>
            <w:r>
              <w:rPr>
                <w:rFonts w:hint="eastAsia" w:ascii="宋体" w:hAnsi="宋体" w:cs="宋体"/>
                <w:color w:val="auto"/>
                <w:kern w:val="0"/>
                <w:sz w:val="21"/>
                <w:szCs w:val="21"/>
                <w:highlight w:val="none"/>
              </w:rPr>
              <w:t>企业业绩</w:t>
            </w:r>
          </w:p>
        </w:tc>
        <w:tc>
          <w:tcPr>
            <w:tcW w:w="745" w:type="dxa"/>
            <w:shd w:val="clear" w:color="auto" w:fill="FFFFFF"/>
            <w:noWrap w:val="0"/>
            <w:vAlign w:val="center"/>
          </w:tcPr>
          <w:p w14:paraId="6FFEC1E0">
            <w:pPr>
              <w:keepNext w:val="0"/>
              <w:keepLines w:val="0"/>
              <w:pageBreakBefore w:val="0"/>
              <w:widowControl/>
              <w:kinsoku/>
              <w:wordWrap/>
              <w:overflowPunct/>
              <w:topLinePunct w:val="0"/>
              <w:autoSpaceDE/>
              <w:autoSpaceDN/>
              <w:bidi w:val="0"/>
              <w:spacing w:line="440" w:lineRule="exact"/>
              <w:ind w:firstLine="0" w:firstLineChars="0"/>
              <w:jc w:val="center"/>
              <w:rPr>
                <w:rFonts w:ascii="宋体" w:hAnsi="宋体" w:cs="宋体"/>
                <w:color w:val="auto"/>
                <w:sz w:val="21"/>
                <w:szCs w:val="21"/>
                <w:highlight w:val="none"/>
              </w:rPr>
            </w:pP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rPr>
              <w:t>分</w:t>
            </w:r>
          </w:p>
        </w:tc>
        <w:tc>
          <w:tcPr>
            <w:tcW w:w="6598" w:type="dxa"/>
            <w:shd w:val="clear" w:color="auto" w:fill="FFFFFF"/>
            <w:noWrap w:val="0"/>
            <w:vAlign w:val="top"/>
          </w:tcPr>
          <w:p w14:paraId="295BB20A">
            <w:pPr>
              <w:keepNext w:val="0"/>
              <w:keepLines w:val="0"/>
              <w:pageBreakBefore w:val="0"/>
              <w:widowControl/>
              <w:kinsoku/>
              <w:wordWrap/>
              <w:overflowPunct/>
              <w:topLinePunct w:val="0"/>
              <w:autoSpaceDE/>
              <w:autoSpaceDN/>
              <w:bidi w:val="0"/>
              <w:spacing w:line="440" w:lineRule="exact"/>
              <w:jc w:val="lef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bidi="ar"/>
              </w:rPr>
              <w:t>投标人（若为联合体，由联合体任一方提供）自2020年1月1日以来（以合同签订时间为准）承接过单个类似监理业绩(人工造林或退化林修复或采伐修复或更替修复等项目)的，每提供一个得1分，最高得2分。</w:t>
            </w:r>
          </w:p>
          <w:p w14:paraId="51CF0169">
            <w:pPr>
              <w:keepNext w:val="0"/>
              <w:keepLines w:val="0"/>
              <w:pageBreakBefore w:val="0"/>
              <w:widowControl/>
              <w:kinsoku/>
              <w:wordWrap/>
              <w:overflowPunct/>
              <w:topLinePunct w:val="0"/>
              <w:autoSpaceDE/>
              <w:autoSpaceDN/>
              <w:bidi w:val="0"/>
              <w:spacing w:line="440" w:lineRule="exact"/>
              <w:jc w:val="left"/>
              <w:rPr>
                <w:rFonts w:hint="default" w:ascii="宋体" w:hAnsi="宋体" w:cs="宋体"/>
                <w:b/>
                <w:bCs/>
                <w:color w:val="auto"/>
                <w:sz w:val="21"/>
                <w:szCs w:val="21"/>
                <w:highlight w:val="none"/>
                <w:lang w:val="en-US"/>
              </w:rPr>
            </w:pPr>
            <w:r>
              <w:rPr>
                <w:rFonts w:hint="eastAsia" w:ascii="宋体" w:hAnsi="宋体" w:eastAsia="宋体" w:cs="宋体"/>
                <w:b/>
                <w:bCs/>
                <w:color w:val="auto"/>
                <w:sz w:val="21"/>
                <w:szCs w:val="21"/>
                <w:highlight w:val="none"/>
                <w:lang w:val="en-US" w:eastAsia="zh-CN"/>
              </w:rPr>
              <w:t>须</w:t>
            </w:r>
            <w:r>
              <w:rPr>
                <w:rFonts w:hint="eastAsia" w:ascii="宋体" w:hAnsi="宋体" w:cs="宋体"/>
                <w:b/>
                <w:bCs/>
                <w:color w:val="auto"/>
                <w:sz w:val="21"/>
                <w:szCs w:val="21"/>
                <w:highlight w:val="none"/>
                <w:lang w:val="en-US" w:eastAsia="zh-CN"/>
              </w:rPr>
              <w:t>同时</w:t>
            </w:r>
            <w:r>
              <w:rPr>
                <w:rFonts w:hint="eastAsia" w:ascii="宋体" w:hAnsi="宋体" w:eastAsia="宋体" w:cs="宋体"/>
                <w:b/>
                <w:bCs/>
                <w:color w:val="auto"/>
                <w:sz w:val="21"/>
                <w:szCs w:val="21"/>
                <w:highlight w:val="none"/>
                <w:lang w:val="en-US" w:eastAsia="zh-CN"/>
              </w:rPr>
              <w:t>提供</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合同</w:t>
            </w:r>
            <w:r>
              <w:rPr>
                <w:rFonts w:hint="eastAsia" w:ascii="宋体" w:hAnsi="宋体" w:cs="宋体"/>
                <w:b/>
                <w:bCs/>
                <w:color w:val="auto"/>
                <w:sz w:val="21"/>
                <w:szCs w:val="21"/>
                <w:highlight w:val="none"/>
                <w:lang w:val="en-US" w:eastAsia="zh-CN"/>
              </w:rPr>
              <w:t>和中标通知书原件扫描件</w:t>
            </w:r>
            <w:r>
              <w:rPr>
                <w:rFonts w:hint="eastAsia" w:ascii="宋体" w:hAnsi="宋体" w:eastAsia="宋体" w:cs="宋体"/>
                <w:b/>
                <w:bCs/>
                <w:color w:val="auto"/>
                <w:sz w:val="21"/>
                <w:szCs w:val="21"/>
                <w:highlight w:val="none"/>
                <w:lang w:val="en-US" w:eastAsia="zh-CN"/>
              </w:rPr>
              <w:t>（合同内容需体现项目特征，如不能体现，须提供业主证明材料），</w:t>
            </w:r>
            <w:r>
              <w:rPr>
                <w:rFonts w:hint="eastAsia" w:ascii="宋体" w:hAnsi="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lang w:val="en-US" w:eastAsia="zh-CN"/>
              </w:rPr>
              <w:t>加盖单位电子公章</w:t>
            </w:r>
            <w:r>
              <w:rPr>
                <w:rFonts w:hint="eastAsia" w:ascii="宋体" w:hAnsi="宋体" w:eastAsia="宋体" w:cs="宋体"/>
                <w:b/>
                <w:bCs/>
                <w:color w:val="auto"/>
                <w:kern w:val="2"/>
                <w:sz w:val="21"/>
                <w:szCs w:val="21"/>
                <w:highlight w:val="none"/>
                <w:lang w:val="en-US" w:eastAsia="zh-CN" w:bidi="ar-SA"/>
              </w:rPr>
              <w:t>；否则不得分。</w:t>
            </w:r>
          </w:p>
        </w:tc>
        <w:tc>
          <w:tcPr>
            <w:tcW w:w="1025" w:type="dxa"/>
            <w:shd w:val="clear" w:color="auto" w:fill="FFFFFF"/>
            <w:noWrap w:val="0"/>
            <w:vAlign w:val="center"/>
          </w:tcPr>
          <w:p w14:paraId="2695652D">
            <w:pPr>
              <w:keepNext w:val="0"/>
              <w:keepLines w:val="0"/>
              <w:pageBreakBefore w:val="0"/>
              <w:widowControl/>
              <w:kinsoku/>
              <w:wordWrap/>
              <w:overflowPunct/>
              <w:topLinePunct w:val="0"/>
              <w:autoSpaceDE/>
              <w:autoSpaceDN/>
              <w:bidi w:val="0"/>
              <w:adjustRightInd w:val="0"/>
              <w:snapToGrid w:val="0"/>
              <w:spacing w:line="440" w:lineRule="exact"/>
              <w:ind w:firstLine="0" w:firstLine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客观分</w:t>
            </w:r>
          </w:p>
        </w:tc>
      </w:tr>
      <w:tr w14:paraId="48F60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654" w:type="dxa"/>
            <w:vMerge w:val="continue"/>
            <w:shd w:val="clear" w:color="auto" w:fill="FFFFFF"/>
            <w:noWrap w:val="0"/>
            <w:vAlign w:val="center"/>
          </w:tcPr>
          <w:p w14:paraId="4A200E5A">
            <w:pPr>
              <w:keepNext w:val="0"/>
              <w:keepLines w:val="0"/>
              <w:pageBreakBefore w:val="0"/>
              <w:widowControl/>
              <w:kinsoku/>
              <w:wordWrap/>
              <w:overflowPunct/>
              <w:topLinePunct w:val="0"/>
              <w:autoSpaceDE/>
              <w:autoSpaceDN/>
              <w:bidi w:val="0"/>
              <w:spacing w:line="440" w:lineRule="exact"/>
              <w:ind w:firstLine="420"/>
              <w:jc w:val="center"/>
              <w:rPr>
                <w:rFonts w:ascii="宋体" w:hAnsi="宋体" w:cs="宋体"/>
                <w:color w:val="auto"/>
                <w:sz w:val="21"/>
                <w:szCs w:val="21"/>
                <w:highlight w:val="none"/>
              </w:rPr>
            </w:pPr>
          </w:p>
        </w:tc>
        <w:tc>
          <w:tcPr>
            <w:tcW w:w="1355" w:type="dxa"/>
            <w:shd w:val="clear" w:color="auto" w:fill="FFFFFF"/>
            <w:noWrap w:val="0"/>
            <w:vAlign w:val="center"/>
          </w:tcPr>
          <w:p w14:paraId="557CC2CB">
            <w:pPr>
              <w:keepNext w:val="0"/>
              <w:keepLines w:val="0"/>
              <w:pageBreakBefore w:val="0"/>
              <w:widowControl/>
              <w:kinsoku/>
              <w:wordWrap/>
              <w:overflowPunct/>
              <w:topLinePunct w:val="0"/>
              <w:autoSpaceDE/>
              <w:autoSpaceDN/>
              <w:bidi w:val="0"/>
              <w:spacing w:line="440" w:lineRule="exact"/>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项目组成</w:t>
            </w:r>
          </w:p>
          <w:p w14:paraId="787DB89D">
            <w:pPr>
              <w:keepNext w:val="0"/>
              <w:keepLines w:val="0"/>
              <w:pageBreakBefore w:val="0"/>
              <w:widowControl/>
              <w:kinsoku/>
              <w:wordWrap/>
              <w:overflowPunct/>
              <w:topLinePunct w:val="0"/>
              <w:autoSpaceDE/>
              <w:autoSpaceDN/>
              <w:bidi w:val="0"/>
              <w:spacing w:line="440" w:lineRule="exact"/>
              <w:ind w:firstLine="0" w:firstLineChars="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人员</w:t>
            </w:r>
          </w:p>
          <w:p w14:paraId="042F1025">
            <w:pPr>
              <w:keepNext w:val="0"/>
              <w:keepLines w:val="0"/>
              <w:pageBreakBefore w:val="0"/>
              <w:widowControl/>
              <w:kinsoku/>
              <w:wordWrap/>
              <w:overflowPunct/>
              <w:topLinePunct w:val="0"/>
              <w:autoSpaceDE/>
              <w:autoSpaceDN/>
              <w:bidi w:val="0"/>
              <w:spacing w:line="440" w:lineRule="exact"/>
              <w:ind w:firstLine="0" w:firstLineChars="0"/>
              <w:jc w:val="center"/>
              <w:rPr>
                <w:rFonts w:hint="eastAsia" w:ascii="宋体" w:hAnsi="宋体" w:eastAsia="宋体" w:cs="宋体"/>
                <w:color w:val="auto"/>
                <w:kern w:val="0"/>
                <w:sz w:val="21"/>
                <w:szCs w:val="21"/>
                <w:highlight w:val="none"/>
                <w:lang w:eastAsia="zh-CN" w:bidi="en-US"/>
              </w:rPr>
            </w:pPr>
          </w:p>
        </w:tc>
        <w:tc>
          <w:tcPr>
            <w:tcW w:w="745" w:type="dxa"/>
            <w:shd w:val="clear" w:color="auto" w:fill="FFFFFF"/>
            <w:noWrap w:val="0"/>
            <w:vAlign w:val="center"/>
          </w:tcPr>
          <w:p w14:paraId="30C962DB">
            <w:pPr>
              <w:keepNext w:val="0"/>
              <w:keepLines w:val="0"/>
              <w:pageBreakBefore w:val="0"/>
              <w:widowControl/>
              <w:kinsoku/>
              <w:wordWrap/>
              <w:overflowPunct/>
              <w:topLinePunct w:val="0"/>
              <w:autoSpaceDE/>
              <w:autoSpaceDN/>
              <w:bidi w:val="0"/>
              <w:spacing w:line="440" w:lineRule="exact"/>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15</w:t>
            </w:r>
            <w:r>
              <w:rPr>
                <w:rFonts w:hint="eastAsia" w:ascii="宋体" w:hAnsi="宋体" w:cs="宋体"/>
                <w:color w:val="auto"/>
                <w:sz w:val="21"/>
                <w:szCs w:val="21"/>
                <w:highlight w:val="none"/>
              </w:rPr>
              <w:t>分</w:t>
            </w:r>
          </w:p>
        </w:tc>
        <w:tc>
          <w:tcPr>
            <w:tcW w:w="6598" w:type="dxa"/>
            <w:shd w:val="clear" w:color="auto" w:fill="FFFFFF"/>
            <w:noWrap w:val="0"/>
            <w:vAlign w:val="center"/>
          </w:tcPr>
          <w:p w14:paraId="4FEE665A">
            <w:pPr>
              <w:keepNext w:val="0"/>
              <w:keepLines w:val="0"/>
              <w:pageBreakBefore w:val="0"/>
              <w:widowControl/>
              <w:kinsoku/>
              <w:wordWrap/>
              <w:overflowPunct/>
              <w:topLinePunct w:val="0"/>
              <w:autoSpaceDE/>
              <w:autoSpaceDN/>
              <w:bidi w:val="0"/>
              <w:spacing w:line="440" w:lineRule="exact"/>
              <w:jc w:val="both"/>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总监理工程师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具有市政公用工程</w:t>
            </w:r>
            <w:r>
              <w:rPr>
                <w:rFonts w:hint="eastAsia" w:ascii="宋体" w:hAnsi="宋体" w:eastAsia="宋体" w:cs="宋体"/>
                <w:color w:val="auto"/>
                <w:sz w:val="21"/>
                <w:szCs w:val="21"/>
                <w:highlight w:val="none"/>
                <w:lang w:val="zh-CN" w:eastAsia="zh-CN"/>
              </w:rPr>
              <w:t>或营造林工程</w:t>
            </w:r>
            <w:r>
              <w:rPr>
                <w:rFonts w:hint="eastAsia" w:ascii="宋体" w:hAnsi="宋体" w:eastAsia="宋体" w:cs="宋体"/>
                <w:color w:val="auto"/>
                <w:sz w:val="21"/>
                <w:szCs w:val="21"/>
                <w:highlight w:val="none"/>
                <w:lang w:val="en-US" w:eastAsia="zh-CN"/>
              </w:rPr>
              <w:t>专业国家注册监理工程师执业资格</w:t>
            </w:r>
            <w:r>
              <w:rPr>
                <w:rFonts w:hint="eastAsia" w:ascii="宋体" w:hAnsi="宋体" w:eastAsia="宋体" w:cs="宋体"/>
                <w:color w:val="auto"/>
                <w:sz w:val="21"/>
                <w:szCs w:val="21"/>
                <w:highlight w:val="none"/>
                <w:lang w:eastAsia="zh-CN"/>
              </w:rPr>
              <w:t>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分。</w:t>
            </w:r>
          </w:p>
          <w:p w14:paraId="4A3EDA53">
            <w:pPr>
              <w:keepNext w:val="0"/>
              <w:keepLines w:val="0"/>
              <w:pageBreakBefore w:val="0"/>
              <w:widowControl/>
              <w:kinsoku/>
              <w:wordWrap/>
              <w:overflowPunct/>
              <w:topLinePunct w:val="0"/>
              <w:autoSpaceDE/>
              <w:autoSpaceDN/>
              <w:bidi w:val="0"/>
              <w:spacing w:line="440" w:lineRule="exact"/>
              <w:jc w:val="both"/>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lang w:val="zh-CN" w:eastAsia="zh-CN"/>
              </w:rPr>
              <w:t>专业监理工程师</w:t>
            </w:r>
            <w:r>
              <w:rPr>
                <w:rFonts w:hint="eastAsia" w:ascii="宋体" w:hAnsi="宋体" w:eastAsia="宋体" w:cs="宋体"/>
                <w:color w:val="auto"/>
                <w:sz w:val="21"/>
                <w:szCs w:val="21"/>
                <w:highlight w:val="none"/>
                <w:lang w:val="en-US" w:eastAsia="zh-CN"/>
              </w:rPr>
              <w:t>：具有</w:t>
            </w:r>
            <w:r>
              <w:rPr>
                <w:rFonts w:hint="eastAsia" w:ascii="宋体" w:hAnsi="宋体" w:eastAsia="宋体" w:cs="宋体"/>
                <w:color w:val="auto"/>
                <w:sz w:val="21"/>
                <w:szCs w:val="21"/>
                <w:highlight w:val="none"/>
                <w:lang w:val="zh-CN" w:eastAsia="zh-CN"/>
              </w:rPr>
              <w:t>市政</w:t>
            </w:r>
            <w:r>
              <w:rPr>
                <w:rFonts w:hint="eastAsia" w:ascii="宋体" w:hAnsi="宋体" w:eastAsia="宋体" w:cs="宋体"/>
                <w:strike w:val="0"/>
                <w:dstrike w:val="0"/>
                <w:color w:val="auto"/>
                <w:szCs w:val="21"/>
                <w:highlight w:val="none"/>
                <w:u w:val="none"/>
                <w:lang w:val="en-US" w:eastAsia="zh-CN"/>
              </w:rPr>
              <w:t>公用工程</w:t>
            </w:r>
            <w:r>
              <w:rPr>
                <w:rFonts w:hint="eastAsia" w:ascii="宋体" w:hAnsi="宋体" w:eastAsia="宋体" w:cs="宋体"/>
                <w:color w:val="auto"/>
                <w:sz w:val="21"/>
                <w:szCs w:val="21"/>
                <w:highlight w:val="none"/>
                <w:lang w:val="zh-CN" w:eastAsia="zh-CN"/>
              </w:rPr>
              <w:t>或营造林专业监理工程师</w:t>
            </w:r>
            <w:r>
              <w:rPr>
                <w:rFonts w:hint="eastAsia" w:ascii="宋体" w:hAnsi="宋体" w:cs="宋体"/>
                <w:color w:val="auto"/>
                <w:sz w:val="21"/>
                <w:szCs w:val="21"/>
                <w:highlight w:val="none"/>
                <w:lang w:val="en-US" w:eastAsia="zh-CN"/>
              </w:rPr>
              <w:t>的得4分</w:t>
            </w:r>
            <w:r>
              <w:rPr>
                <w:rFonts w:hint="eastAsia" w:ascii="宋体" w:hAnsi="宋体" w:eastAsia="宋体" w:cs="宋体"/>
                <w:color w:val="auto"/>
                <w:sz w:val="21"/>
                <w:szCs w:val="21"/>
                <w:highlight w:val="none"/>
                <w:lang w:val="en-US" w:eastAsia="zh-CN"/>
              </w:rPr>
              <w:t>。</w:t>
            </w:r>
          </w:p>
          <w:p w14:paraId="10A816F3">
            <w:pPr>
              <w:keepNext w:val="0"/>
              <w:keepLines w:val="0"/>
              <w:pageBreakBefore w:val="0"/>
              <w:widowControl/>
              <w:kinsoku/>
              <w:wordWrap/>
              <w:overflowPunct/>
              <w:topLinePunct w:val="0"/>
              <w:autoSpaceDE/>
              <w:autoSpaceDN/>
              <w:bidi w:val="0"/>
              <w:spacing w:line="440" w:lineRule="exact"/>
              <w:jc w:val="both"/>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）项目组成员(除</w:t>
            </w:r>
            <w:r>
              <w:rPr>
                <w:rFonts w:hint="eastAsia" w:ascii="宋体" w:hAnsi="宋体" w:eastAsia="宋体" w:cs="宋体"/>
                <w:color w:val="auto"/>
                <w:sz w:val="21"/>
                <w:szCs w:val="21"/>
                <w:highlight w:val="none"/>
                <w:lang w:val="en-US" w:eastAsia="zh-CN"/>
              </w:rPr>
              <w:t>总监理工程师</w:t>
            </w:r>
            <w:r>
              <w:rPr>
                <w:rFonts w:hint="eastAsia" w:ascii="宋体" w:hAnsi="宋体" w:cs="宋体"/>
                <w:color w:val="auto"/>
                <w:sz w:val="21"/>
                <w:szCs w:val="21"/>
                <w:highlight w:val="none"/>
                <w:lang w:val="en-US" w:eastAsia="zh-CN"/>
              </w:rPr>
              <w:t>和</w:t>
            </w:r>
            <w:r>
              <w:rPr>
                <w:rFonts w:hint="eastAsia" w:ascii="宋体" w:hAnsi="宋体" w:eastAsia="宋体" w:cs="宋体"/>
                <w:color w:val="auto"/>
                <w:sz w:val="21"/>
                <w:szCs w:val="21"/>
                <w:highlight w:val="none"/>
                <w:lang w:val="zh-CN" w:eastAsia="zh-CN"/>
              </w:rPr>
              <w:t>专业监理工程师</w:t>
            </w:r>
            <w:r>
              <w:rPr>
                <w:rFonts w:hint="eastAsia" w:ascii="宋体" w:hAnsi="宋体" w:eastAsia="宋体" w:cs="宋体"/>
                <w:color w:val="auto"/>
                <w:sz w:val="21"/>
                <w:szCs w:val="21"/>
                <w:highlight w:val="none"/>
                <w:lang w:eastAsia="zh-CN"/>
              </w:rPr>
              <w:t>外)：</w:t>
            </w:r>
          </w:p>
          <w:p w14:paraId="426FAF3A">
            <w:pPr>
              <w:keepNext w:val="0"/>
              <w:keepLines w:val="0"/>
              <w:pageBreakBefore w:val="0"/>
              <w:widowControl/>
              <w:kinsoku/>
              <w:wordWrap/>
              <w:overflowPunct/>
              <w:topLinePunct w:val="0"/>
              <w:autoSpaceDE/>
              <w:autoSpaceDN/>
              <w:bidi w:val="0"/>
              <w:spacing w:line="440" w:lineRule="exact"/>
              <w:jc w:val="both"/>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kern w:val="2"/>
                <w:sz w:val="21"/>
                <w:szCs w:val="21"/>
                <w:highlight w:val="none"/>
                <w:lang w:val="en-US" w:eastAsia="zh-CN" w:bidi="ar-SA"/>
              </w:rPr>
              <w:t>①</w:t>
            </w:r>
            <w:r>
              <w:rPr>
                <w:rFonts w:hint="eastAsia" w:ascii="宋体" w:hAnsi="宋体" w:eastAsia="宋体" w:cs="宋体"/>
                <w:color w:val="auto"/>
                <w:szCs w:val="21"/>
                <w:highlight w:val="none"/>
                <w:u w:val="none"/>
                <w:lang w:val="en-US" w:eastAsia="zh-CN"/>
              </w:rPr>
              <w:t>具有中国林业工程建设协会颁发的《营造林工程监理工程师培训合格证书》的</w:t>
            </w:r>
            <w:r>
              <w:rPr>
                <w:rFonts w:hint="eastAsia" w:ascii="宋体" w:hAnsi="宋体" w:eastAsia="宋体" w:cs="宋体"/>
                <w:color w:val="auto"/>
                <w:sz w:val="21"/>
                <w:szCs w:val="21"/>
                <w:highlight w:val="none"/>
                <w:lang w:eastAsia="zh-CN"/>
              </w:rPr>
              <w:t>每</w:t>
            </w:r>
            <w:r>
              <w:rPr>
                <w:rFonts w:hint="eastAsia" w:ascii="宋体" w:hAnsi="宋体" w:cs="宋体"/>
                <w:color w:val="auto"/>
                <w:sz w:val="21"/>
                <w:szCs w:val="21"/>
                <w:highlight w:val="none"/>
                <w:lang w:val="en-US" w:eastAsia="zh-CN"/>
              </w:rPr>
              <w:t>个</w:t>
            </w:r>
            <w:r>
              <w:rPr>
                <w:rFonts w:hint="eastAsia" w:ascii="宋体" w:hAnsi="宋体" w:eastAsia="宋体" w:cs="宋体"/>
                <w:color w:val="auto"/>
                <w:sz w:val="21"/>
                <w:szCs w:val="21"/>
                <w:highlight w:val="none"/>
                <w:lang w:eastAsia="zh-CN"/>
              </w:rPr>
              <w:t>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lang w:eastAsia="zh-CN"/>
              </w:rPr>
              <w:t>分，</w:t>
            </w:r>
            <w:r>
              <w:rPr>
                <w:rFonts w:hint="eastAsia" w:ascii="宋体" w:hAnsi="宋体" w:cs="宋体"/>
                <w:color w:val="auto"/>
                <w:sz w:val="21"/>
                <w:szCs w:val="21"/>
                <w:highlight w:val="none"/>
                <w:lang w:val="en-US" w:eastAsia="zh-CN"/>
              </w:rPr>
              <w:t>本项</w:t>
            </w:r>
            <w:r>
              <w:rPr>
                <w:rFonts w:hint="eastAsia" w:ascii="宋体" w:hAnsi="宋体" w:eastAsia="宋体" w:cs="宋体"/>
                <w:color w:val="auto"/>
                <w:sz w:val="21"/>
                <w:szCs w:val="21"/>
                <w:highlight w:val="none"/>
                <w:lang w:eastAsia="zh-CN"/>
              </w:rPr>
              <w:t>最高得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分。</w:t>
            </w:r>
          </w:p>
          <w:p w14:paraId="2C1F01A0">
            <w:pPr>
              <w:keepNext w:val="0"/>
              <w:keepLines w:val="0"/>
              <w:pageBreakBefore w:val="0"/>
              <w:widowControl/>
              <w:kinsoku/>
              <w:wordWrap/>
              <w:overflowPunct/>
              <w:topLinePunct w:val="0"/>
              <w:autoSpaceDE/>
              <w:autoSpaceDN/>
              <w:bidi w:val="0"/>
              <w:spacing w:line="440" w:lineRule="exact"/>
              <w:jc w:val="both"/>
              <w:textAlignment w:val="center"/>
              <w:rPr>
                <w:rFonts w:hint="eastAsia" w:ascii="宋体" w:hAnsi="宋体" w:cs="宋体"/>
                <w:color w:val="auto"/>
                <w:sz w:val="21"/>
                <w:szCs w:val="21"/>
                <w:highlight w:val="none"/>
                <w:lang w:eastAsia="zh-CN"/>
              </w:rPr>
            </w:pPr>
            <w:r>
              <w:rPr>
                <w:rFonts w:hint="eastAsia" w:ascii="宋体" w:hAnsi="宋体" w:eastAsia="宋体" w:cs="宋体"/>
                <w:b w:val="0"/>
                <w:bCs w:val="0"/>
                <w:color w:val="auto"/>
                <w:kern w:val="2"/>
                <w:sz w:val="21"/>
                <w:szCs w:val="21"/>
                <w:highlight w:val="none"/>
                <w:lang w:val="en-US" w:eastAsia="zh-CN" w:bidi="ar-SA"/>
              </w:rPr>
              <w:t>②</w:t>
            </w:r>
            <w:r>
              <w:rPr>
                <w:rFonts w:hint="eastAsia" w:ascii="宋体" w:hAnsi="宋体" w:eastAsia="宋体" w:cs="宋体"/>
                <w:color w:val="auto"/>
                <w:szCs w:val="21"/>
                <w:highlight w:val="none"/>
                <w:u w:val="none"/>
                <w:lang w:val="en-US" w:eastAsia="zh-CN"/>
              </w:rPr>
              <w:t>具有市政专业监理员的每个得</w:t>
            </w:r>
            <w:r>
              <w:rPr>
                <w:rFonts w:hint="eastAsia" w:ascii="宋体" w:hAnsi="宋体" w:cs="宋体"/>
                <w:color w:val="auto"/>
                <w:szCs w:val="21"/>
                <w:highlight w:val="none"/>
                <w:u w:val="none"/>
                <w:lang w:val="en-US" w:eastAsia="zh-CN"/>
              </w:rPr>
              <w:t>1</w:t>
            </w:r>
            <w:r>
              <w:rPr>
                <w:rFonts w:hint="eastAsia" w:ascii="宋体" w:hAnsi="宋体" w:eastAsia="宋体" w:cs="宋体"/>
                <w:color w:val="auto"/>
                <w:szCs w:val="21"/>
                <w:highlight w:val="none"/>
                <w:u w:val="none"/>
                <w:lang w:val="en-US" w:eastAsia="zh-CN"/>
              </w:rPr>
              <w:t>分，</w:t>
            </w:r>
            <w:r>
              <w:rPr>
                <w:rFonts w:hint="eastAsia" w:ascii="宋体" w:hAnsi="宋体" w:cs="宋体"/>
                <w:color w:val="auto"/>
                <w:szCs w:val="21"/>
                <w:highlight w:val="none"/>
                <w:u w:val="none"/>
                <w:lang w:val="en-US" w:eastAsia="zh-CN"/>
              </w:rPr>
              <w:t>本项</w:t>
            </w:r>
            <w:r>
              <w:rPr>
                <w:rFonts w:hint="eastAsia" w:ascii="宋体" w:hAnsi="宋体" w:eastAsia="宋体" w:cs="宋体"/>
                <w:color w:val="auto"/>
                <w:sz w:val="21"/>
                <w:szCs w:val="21"/>
                <w:highlight w:val="none"/>
                <w:lang w:eastAsia="zh-CN"/>
              </w:rPr>
              <w:t>最高得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分</w:t>
            </w:r>
            <w:r>
              <w:rPr>
                <w:rFonts w:hint="eastAsia" w:ascii="宋体" w:hAnsi="宋体" w:cs="宋体"/>
                <w:color w:val="auto"/>
                <w:sz w:val="21"/>
                <w:szCs w:val="21"/>
                <w:highlight w:val="none"/>
                <w:lang w:eastAsia="zh-CN"/>
              </w:rPr>
              <w:t>。</w:t>
            </w:r>
          </w:p>
          <w:p w14:paraId="6FF66B5C">
            <w:pPr>
              <w:keepNext w:val="0"/>
              <w:keepLines w:val="0"/>
              <w:pageBreakBefore w:val="0"/>
              <w:widowControl/>
              <w:kinsoku/>
              <w:wordWrap/>
              <w:overflowPunct/>
              <w:topLinePunct w:val="0"/>
              <w:autoSpaceDE/>
              <w:autoSpaceDN/>
              <w:bidi w:val="0"/>
              <w:spacing w:line="440" w:lineRule="exact"/>
              <w:jc w:val="both"/>
              <w:textAlignment w:val="center"/>
              <w:rPr>
                <w:rFonts w:hint="default" w:ascii="宋体" w:hAnsi="宋体" w:eastAsia="宋体" w:cs="宋体"/>
                <w:color w:val="auto"/>
                <w:sz w:val="21"/>
                <w:szCs w:val="21"/>
                <w:highlight w:val="none"/>
                <w:lang w:val="en-US" w:eastAsia="zh-CN"/>
              </w:rPr>
            </w:pPr>
            <w:r>
              <w:rPr>
                <w:rFonts w:hint="default" w:ascii="宋体" w:hAnsi="宋体" w:eastAsia="宋体" w:cs="宋体"/>
                <w:b w:val="0"/>
                <w:bCs w:val="0"/>
                <w:color w:val="auto"/>
                <w:kern w:val="2"/>
                <w:sz w:val="21"/>
                <w:szCs w:val="21"/>
                <w:highlight w:val="none"/>
                <w:lang w:val="en-US" w:eastAsia="zh-CN" w:bidi="ar-SA"/>
              </w:rPr>
              <w:t>③</w:t>
            </w:r>
            <w:r>
              <w:rPr>
                <w:rFonts w:hint="eastAsia" w:ascii="宋体" w:hAnsi="宋体" w:eastAsia="宋体" w:cs="宋体"/>
                <w:color w:val="auto"/>
                <w:szCs w:val="21"/>
                <w:highlight w:val="none"/>
                <w:u w:val="none"/>
                <w:lang w:val="en-US" w:eastAsia="zh-CN"/>
              </w:rPr>
              <w:t>具有林业专业中级及以上技术职称证书</w:t>
            </w:r>
            <w:r>
              <w:rPr>
                <w:rFonts w:hint="eastAsia" w:ascii="宋体" w:hAnsi="宋体" w:eastAsia="宋体" w:cs="宋体"/>
                <w:color w:val="auto"/>
                <w:sz w:val="21"/>
                <w:szCs w:val="21"/>
                <w:highlight w:val="none"/>
                <w:lang w:eastAsia="zh-CN"/>
              </w:rPr>
              <w:t>的</w:t>
            </w:r>
            <w:r>
              <w:rPr>
                <w:rFonts w:hint="eastAsia" w:ascii="宋体" w:hAnsi="宋体" w:cs="宋体"/>
                <w:color w:val="auto"/>
                <w:sz w:val="21"/>
                <w:szCs w:val="21"/>
                <w:highlight w:val="none"/>
                <w:lang w:val="en-US" w:eastAsia="zh-CN"/>
              </w:rPr>
              <w:t>每个</w:t>
            </w:r>
            <w:r>
              <w:rPr>
                <w:rFonts w:hint="eastAsia" w:ascii="宋体" w:hAnsi="宋体" w:eastAsia="宋体" w:cs="宋体"/>
                <w:color w:val="auto"/>
                <w:sz w:val="21"/>
                <w:szCs w:val="21"/>
                <w:highlight w:val="none"/>
                <w:lang w:eastAsia="zh-CN"/>
              </w:rPr>
              <w:t>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本项</w:t>
            </w:r>
            <w:r>
              <w:rPr>
                <w:rFonts w:hint="eastAsia" w:ascii="宋体" w:hAnsi="宋体" w:eastAsia="宋体" w:cs="宋体"/>
                <w:color w:val="auto"/>
                <w:sz w:val="21"/>
                <w:szCs w:val="21"/>
                <w:highlight w:val="none"/>
                <w:lang w:eastAsia="zh-CN"/>
              </w:rPr>
              <w:t>最高得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分</w:t>
            </w:r>
            <w:r>
              <w:rPr>
                <w:rFonts w:hint="eastAsia" w:ascii="宋体" w:hAnsi="宋体" w:cs="宋体"/>
                <w:color w:val="auto"/>
                <w:sz w:val="21"/>
                <w:szCs w:val="21"/>
                <w:highlight w:val="none"/>
                <w:lang w:eastAsia="zh-CN"/>
              </w:rPr>
              <w:t>。</w:t>
            </w:r>
          </w:p>
          <w:p w14:paraId="5B128C99">
            <w:pPr>
              <w:keepNext w:val="0"/>
              <w:keepLines w:val="0"/>
              <w:pageBreakBefore w:val="0"/>
              <w:widowControl/>
              <w:kinsoku/>
              <w:wordWrap/>
              <w:overflowPunct/>
              <w:topLinePunct w:val="0"/>
              <w:autoSpaceDE/>
              <w:autoSpaceDN/>
              <w:bidi w:val="0"/>
              <w:spacing w:line="440" w:lineRule="exact"/>
              <w:jc w:val="both"/>
              <w:textAlignment w:val="center"/>
              <w:rPr>
                <w:rFonts w:hint="eastAsia" w:ascii="宋体" w:hAnsi="宋体" w:cs="宋体"/>
                <w:b/>
                <w:bCs/>
                <w:color w:val="auto"/>
                <w:sz w:val="21"/>
                <w:szCs w:val="21"/>
                <w:highlight w:val="none"/>
              </w:rPr>
            </w:pPr>
            <w:r>
              <w:rPr>
                <w:rFonts w:hint="eastAsia" w:ascii="宋体" w:hAnsi="宋体" w:eastAsia="宋体" w:cs="宋体"/>
                <w:b/>
                <w:bCs/>
                <w:color w:val="auto"/>
                <w:kern w:val="2"/>
                <w:sz w:val="21"/>
                <w:szCs w:val="21"/>
                <w:highlight w:val="none"/>
                <w:lang w:val="en-US" w:eastAsia="zh-CN" w:bidi="ar-SA"/>
              </w:rPr>
              <w:t>须同时提供</w:t>
            </w:r>
            <w:r>
              <w:rPr>
                <w:rFonts w:hint="eastAsia" w:ascii="宋体" w:hAnsi="宋体" w:cs="宋体"/>
                <w:b/>
                <w:bCs/>
                <w:color w:val="auto"/>
                <w:kern w:val="2"/>
                <w:sz w:val="21"/>
                <w:szCs w:val="21"/>
                <w:highlight w:val="none"/>
                <w:lang w:val="en-US" w:eastAsia="zh-CN" w:bidi="ar-SA"/>
              </w:rPr>
              <w:t>（</w:t>
            </w:r>
            <w:r>
              <w:rPr>
                <w:rFonts w:hint="default" w:ascii="宋体" w:hAnsi="宋体" w:eastAsia="宋体" w:cs="宋体"/>
                <w:b/>
                <w:bCs/>
                <w:color w:val="auto"/>
                <w:kern w:val="2"/>
                <w:sz w:val="21"/>
                <w:szCs w:val="21"/>
                <w:highlight w:val="none"/>
                <w:lang w:val="en-US" w:eastAsia="zh-CN" w:bidi="ar-SA"/>
              </w:rPr>
              <w:t>若为联合体，</w:t>
            </w:r>
            <w:r>
              <w:rPr>
                <w:rFonts w:hint="eastAsia" w:ascii="宋体" w:hAnsi="宋体" w:eastAsia="宋体" w:cs="宋体"/>
                <w:b/>
                <w:bCs/>
                <w:color w:val="auto"/>
                <w:kern w:val="2"/>
                <w:sz w:val="21"/>
                <w:szCs w:val="21"/>
                <w:highlight w:val="none"/>
                <w:lang w:val="en-US" w:eastAsia="zh-CN" w:bidi="ar-SA"/>
              </w:rPr>
              <w:t>可</w:t>
            </w:r>
            <w:r>
              <w:rPr>
                <w:rFonts w:hint="default" w:ascii="宋体" w:hAnsi="宋体" w:eastAsia="宋体" w:cs="宋体"/>
                <w:b/>
                <w:bCs/>
                <w:color w:val="auto"/>
                <w:kern w:val="2"/>
                <w:sz w:val="21"/>
                <w:szCs w:val="21"/>
                <w:highlight w:val="none"/>
                <w:lang w:val="en-US" w:eastAsia="zh-CN" w:bidi="ar-SA"/>
              </w:rPr>
              <w:t>由联合体</w:t>
            </w:r>
            <w:r>
              <w:rPr>
                <w:rFonts w:hint="eastAsia" w:ascii="宋体" w:hAnsi="宋体" w:eastAsia="宋体" w:cs="宋体"/>
                <w:b/>
                <w:bCs/>
                <w:color w:val="auto"/>
                <w:kern w:val="2"/>
                <w:sz w:val="21"/>
                <w:szCs w:val="21"/>
                <w:highlight w:val="none"/>
                <w:lang w:val="en-US" w:eastAsia="zh-CN" w:bidi="ar-SA"/>
              </w:rPr>
              <w:t>任意</w:t>
            </w:r>
            <w:r>
              <w:rPr>
                <w:rFonts w:hint="default" w:ascii="宋体" w:hAnsi="宋体" w:eastAsia="宋体" w:cs="宋体"/>
                <w:b/>
                <w:bCs/>
                <w:color w:val="auto"/>
                <w:kern w:val="2"/>
                <w:sz w:val="21"/>
                <w:szCs w:val="21"/>
                <w:highlight w:val="none"/>
                <w:lang w:val="en-US" w:eastAsia="zh-CN" w:bidi="ar-SA"/>
              </w:rPr>
              <w:t>一方提供</w:t>
            </w:r>
            <w:r>
              <w:rPr>
                <w:rFonts w:hint="eastAsia" w:ascii="宋体" w:hAnsi="宋体" w:cs="宋体"/>
                <w:b/>
                <w:bCs/>
                <w:color w:val="auto"/>
                <w:kern w:val="2"/>
                <w:sz w:val="21"/>
                <w:szCs w:val="21"/>
                <w:highlight w:val="none"/>
                <w:lang w:val="en-US" w:eastAsia="zh-CN" w:bidi="ar-SA"/>
              </w:rPr>
              <w:t>）</w:t>
            </w:r>
            <w:r>
              <w:rPr>
                <w:rFonts w:hint="eastAsia" w:ascii="宋体" w:hAnsi="宋体" w:eastAsia="宋体" w:cs="宋体"/>
                <w:b/>
                <w:bCs/>
                <w:color w:val="auto"/>
                <w:kern w:val="2"/>
                <w:sz w:val="21"/>
                <w:szCs w:val="21"/>
                <w:highlight w:val="none"/>
                <w:lang w:val="en-US" w:eastAsia="zh-CN" w:bidi="ar-SA"/>
              </w:rPr>
              <w:t>：①有效的相关证书</w:t>
            </w:r>
            <w:r>
              <w:rPr>
                <w:rFonts w:hint="eastAsia" w:ascii="宋体" w:hAnsi="宋体" w:cs="宋体"/>
                <w:b/>
                <w:bCs/>
                <w:color w:val="auto"/>
                <w:sz w:val="21"/>
                <w:szCs w:val="21"/>
                <w:highlight w:val="none"/>
              </w:rPr>
              <w:t>原件扫描件</w:t>
            </w:r>
            <w:r>
              <w:rPr>
                <w:rFonts w:hint="eastAsia" w:ascii="宋体" w:hAnsi="宋体" w:eastAsia="宋体" w:cs="宋体"/>
                <w:b/>
                <w:bCs/>
                <w:color w:val="auto"/>
                <w:kern w:val="2"/>
                <w:sz w:val="21"/>
                <w:szCs w:val="21"/>
                <w:highlight w:val="none"/>
                <w:lang w:val="en-US" w:eastAsia="zh-CN" w:bidi="ar-SA"/>
              </w:rPr>
              <w:t>并加盖公章，</w:t>
            </w:r>
            <w:r>
              <w:rPr>
                <w:rFonts w:hint="eastAsia" w:ascii="宋体" w:hAnsi="宋体" w:cs="宋体"/>
                <w:b/>
                <w:bCs/>
                <w:color w:val="auto"/>
                <w:sz w:val="21"/>
                <w:szCs w:val="21"/>
                <w:highlight w:val="none"/>
              </w:rPr>
              <w:t>若职称（资格）证书未注明类别的须提供毕业证书或学位证书等证明材料佐证</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kern w:val="2"/>
                <w:sz w:val="21"/>
                <w:szCs w:val="21"/>
                <w:highlight w:val="none"/>
                <w:lang w:val="en-US" w:eastAsia="zh-CN" w:bidi="ar-SA"/>
              </w:rPr>
              <w:t>②人员不重复计分，一人多证按高只计一次分；</w:t>
            </w:r>
            <w:r>
              <w:rPr>
                <w:rFonts w:hint="default" w:ascii="宋体" w:hAnsi="宋体" w:eastAsia="宋体" w:cs="宋体"/>
                <w:b/>
                <w:bCs/>
                <w:color w:val="auto"/>
                <w:kern w:val="2"/>
                <w:sz w:val="21"/>
                <w:szCs w:val="21"/>
                <w:highlight w:val="none"/>
                <w:lang w:val="en-US" w:eastAsia="zh-CN" w:bidi="ar-SA"/>
              </w:rPr>
              <w:t>③</w:t>
            </w:r>
            <w:r>
              <w:rPr>
                <w:rFonts w:hint="eastAsia" w:ascii="宋体" w:hAnsi="宋体" w:eastAsia="宋体" w:cs="宋体"/>
                <w:b/>
                <w:bCs/>
                <w:color w:val="auto"/>
                <w:kern w:val="2"/>
                <w:sz w:val="21"/>
                <w:szCs w:val="21"/>
                <w:highlight w:val="none"/>
                <w:lang w:val="en-US" w:eastAsia="zh-CN" w:bidi="ar-SA"/>
              </w:rPr>
              <w:t>社会保险证明（以社保部门提供的</w:t>
            </w:r>
            <w:r>
              <w:rPr>
                <w:rFonts w:hint="eastAsia" w:ascii="宋体" w:hAnsi="宋体" w:cs="宋体"/>
                <w:b/>
                <w:bCs/>
                <w:color w:val="auto"/>
                <w:kern w:val="2"/>
                <w:sz w:val="21"/>
                <w:szCs w:val="21"/>
                <w:highlight w:val="none"/>
                <w:lang w:val="en-US" w:eastAsia="zh-CN" w:bidi="ar-SA"/>
              </w:rPr>
              <w:t>2025年3月、2025年4月、2025年5月</w:t>
            </w:r>
            <w:r>
              <w:rPr>
                <w:rFonts w:hint="eastAsia" w:ascii="宋体" w:hAnsi="宋体" w:eastAsia="宋体" w:cs="宋体"/>
                <w:b/>
                <w:bCs/>
                <w:color w:val="auto"/>
                <w:kern w:val="2"/>
                <w:sz w:val="21"/>
                <w:szCs w:val="21"/>
                <w:highlight w:val="none"/>
                <w:lang w:val="en-US" w:eastAsia="zh-CN" w:bidi="ar-SA"/>
              </w:rPr>
              <w:t>本单位职工基本社会保险参保证明或缴费清单为准）并加盖</w:t>
            </w:r>
            <w:r>
              <w:rPr>
                <w:rFonts w:hint="eastAsia" w:ascii="宋体" w:hAnsi="宋体" w:eastAsia="宋体" w:cs="宋体"/>
                <w:b/>
                <w:bCs/>
                <w:color w:val="auto"/>
                <w:sz w:val="21"/>
                <w:szCs w:val="21"/>
                <w:highlight w:val="none"/>
                <w:lang w:val="en-US" w:eastAsia="zh-CN"/>
              </w:rPr>
              <w:t>单位电子公章</w:t>
            </w:r>
            <w:r>
              <w:rPr>
                <w:rFonts w:hint="eastAsia" w:ascii="宋体" w:hAnsi="宋体" w:eastAsia="宋体" w:cs="宋体"/>
                <w:b/>
                <w:bCs/>
                <w:color w:val="auto"/>
                <w:kern w:val="2"/>
                <w:sz w:val="21"/>
                <w:szCs w:val="21"/>
                <w:highlight w:val="none"/>
                <w:lang w:val="en-US" w:eastAsia="zh-CN" w:bidi="ar-SA"/>
              </w:rPr>
              <w:t>；否则不得分。</w:t>
            </w:r>
          </w:p>
        </w:tc>
        <w:tc>
          <w:tcPr>
            <w:tcW w:w="1025" w:type="dxa"/>
            <w:shd w:val="clear" w:color="auto" w:fill="FFFFFF"/>
            <w:noWrap w:val="0"/>
            <w:vAlign w:val="center"/>
          </w:tcPr>
          <w:p w14:paraId="7838ED50">
            <w:pPr>
              <w:keepNext w:val="0"/>
              <w:keepLines w:val="0"/>
              <w:pageBreakBefore w:val="0"/>
              <w:widowControl/>
              <w:kinsoku/>
              <w:wordWrap/>
              <w:overflowPunct/>
              <w:topLinePunct w:val="0"/>
              <w:autoSpaceDE/>
              <w:autoSpaceDN/>
              <w:bidi w:val="0"/>
              <w:adjustRightInd w:val="0"/>
              <w:snapToGrid w:val="0"/>
              <w:spacing w:line="44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tc>
      </w:tr>
      <w:tr w14:paraId="553BE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654" w:type="dxa"/>
            <w:vMerge w:val="restart"/>
            <w:shd w:val="clear" w:color="auto" w:fill="FFFFFF"/>
            <w:noWrap w:val="0"/>
            <w:vAlign w:val="center"/>
          </w:tcPr>
          <w:p w14:paraId="33E6B9B3">
            <w:pPr>
              <w:keepNext w:val="0"/>
              <w:keepLines w:val="0"/>
              <w:pageBreakBefore w:val="0"/>
              <w:widowControl/>
              <w:kinsoku/>
              <w:wordWrap/>
              <w:overflowPunct/>
              <w:topLinePunct w:val="0"/>
              <w:autoSpaceDE/>
              <w:autoSpaceDN/>
              <w:bidi w:val="0"/>
              <w:spacing w:line="440" w:lineRule="exact"/>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2</w:t>
            </w:r>
          </w:p>
          <w:p w14:paraId="757999A3">
            <w:pPr>
              <w:keepNext w:val="0"/>
              <w:keepLines w:val="0"/>
              <w:pageBreakBefore w:val="0"/>
              <w:widowControl/>
              <w:kinsoku/>
              <w:wordWrap/>
              <w:overflowPunct/>
              <w:topLinePunct w:val="0"/>
              <w:autoSpaceDE/>
              <w:autoSpaceDN/>
              <w:bidi w:val="0"/>
              <w:spacing w:line="440" w:lineRule="exact"/>
              <w:ind w:firstLine="420"/>
              <w:jc w:val="center"/>
              <w:rPr>
                <w:rFonts w:ascii="宋体" w:hAnsi="宋体" w:cs="宋体"/>
                <w:color w:val="auto"/>
                <w:sz w:val="21"/>
                <w:szCs w:val="21"/>
                <w:highlight w:val="none"/>
              </w:rPr>
            </w:pPr>
          </w:p>
        </w:tc>
        <w:tc>
          <w:tcPr>
            <w:tcW w:w="1355" w:type="dxa"/>
            <w:shd w:val="clear" w:color="auto" w:fill="FFFFFF"/>
            <w:noWrap w:val="0"/>
            <w:vAlign w:val="center"/>
          </w:tcPr>
          <w:p w14:paraId="57E177A3">
            <w:pPr>
              <w:keepNext w:val="0"/>
              <w:keepLines w:val="0"/>
              <w:pageBreakBefore w:val="0"/>
              <w:widowControl/>
              <w:kinsoku/>
              <w:wordWrap/>
              <w:overflowPunct/>
              <w:topLinePunct w:val="0"/>
              <w:autoSpaceDE/>
              <w:autoSpaceDN/>
              <w:bidi w:val="0"/>
              <w:spacing w:line="440" w:lineRule="exact"/>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监理工作</w:t>
            </w:r>
            <w:r>
              <w:rPr>
                <w:rFonts w:hint="eastAsia" w:ascii="宋体" w:hAnsi="宋体" w:cs="宋体"/>
                <w:color w:val="auto"/>
                <w:sz w:val="21"/>
                <w:szCs w:val="21"/>
                <w:highlight w:val="none"/>
                <w:lang w:val="en-US" w:eastAsia="zh-CN"/>
              </w:rPr>
              <w:t>实施</w:t>
            </w:r>
            <w:r>
              <w:rPr>
                <w:rFonts w:hint="eastAsia" w:ascii="宋体" w:hAnsi="宋体" w:eastAsia="宋体" w:cs="宋体"/>
                <w:color w:val="auto"/>
                <w:sz w:val="21"/>
                <w:szCs w:val="21"/>
                <w:highlight w:val="none"/>
              </w:rPr>
              <w:t>方案</w:t>
            </w:r>
          </w:p>
        </w:tc>
        <w:tc>
          <w:tcPr>
            <w:tcW w:w="745" w:type="dxa"/>
            <w:shd w:val="clear" w:color="auto" w:fill="FFFFFF"/>
            <w:noWrap w:val="0"/>
            <w:vAlign w:val="center"/>
          </w:tcPr>
          <w:p w14:paraId="79C1E7D0">
            <w:pPr>
              <w:keepNext w:val="0"/>
              <w:keepLines w:val="0"/>
              <w:pageBreakBefore w:val="0"/>
              <w:widowControl/>
              <w:kinsoku/>
              <w:wordWrap/>
              <w:overflowPunct/>
              <w:topLinePunct w:val="0"/>
              <w:autoSpaceDE/>
              <w:autoSpaceDN/>
              <w:bidi w:val="0"/>
              <w:spacing w:line="440" w:lineRule="exact"/>
              <w:ind w:firstLine="0" w:firstLine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分</w:t>
            </w:r>
          </w:p>
        </w:tc>
        <w:tc>
          <w:tcPr>
            <w:tcW w:w="6598" w:type="dxa"/>
            <w:shd w:val="clear" w:color="auto" w:fill="FFFFFF"/>
            <w:noWrap w:val="0"/>
            <w:vAlign w:val="center"/>
          </w:tcPr>
          <w:p w14:paraId="3D14D4CF">
            <w:pPr>
              <w:keepNext w:val="0"/>
              <w:keepLines w:val="0"/>
              <w:pageBreakBefore w:val="0"/>
              <w:widowControl/>
              <w:kinsoku/>
              <w:wordWrap/>
              <w:overflowPunct/>
              <w:topLinePunct w:val="0"/>
              <w:autoSpaceDE/>
              <w:autoSpaceDN/>
              <w:bidi w:val="0"/>
              <w:spacing w:line="440" w:lineRule="exact"/>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GB"/>
              </w:rPr>
              <w:t>根据</w:t>
            </w:r>
            <w:r>
              <w:rPr>
                <w:rFonts w:hint="eastAsia" w:ascii="宋体" w:hAnsi="宋体" w:cs="宋体"/>
                <w:color w:val="auto"/>
                <w:sz w:val="21"/>
                <w:szCs w:val="21"/>
                <w:highlight w:val="none"/>
              </w:rPr>
              <w:t>投标人</w:t>
            </w:r>
            <w:r>
              <w:rPr>
                <w:rFonts w:hint="eastAsia" w:ascii="宋体" w:hAnsi="宋体" w:cs="宋体"/>
                <w:color w:val="auto"/>
                <w:sz w:val="21"/>
                <w:szCs w:val="21"/>
                <w:highlight w:val="none"/>
                <w:lang w:val="en-US" w:eastAsia="zh-CN"/>
              </w:rPr>
              <w:t>提供的</w:t>
            </w:r>
            <w:r>
              <w:rPr>
                <w:rFonts w:hint="eastAsia" w:ascii="宋体" w:hAnsi="宋体" w:eastAsia="宋体" w:cs="宋体"/>
                <w:color w:val="auto"/>
                <w:sz w:val="21"/>
                <w:szCs w:val="21"/>
                <w:highlight w:val="none"/>
                <w:lang w:val="en-GB"/>
              </w:rPr>
              <w:t>详细合理的监理方案</w:t>
            </w:r>
            <w:r>
              <w:rPr>
                <w:rFonts w:hint="eastAsia" w:ascii="宋体" w:hAnsi="宋体" w:eastAsia="宋体" w:cs="宋体"/>
                <w:color w:val="auto"/>
                <w:sz w:val="21"/>
                <w:szCs w:val="21"/>
                <w:highlight w:val="none"/>
                <w:lang w:val="en-GB" w:eastAsia="zh-CN"/>
              </w:rPr>
              <w:t>、</w:t>
            </w:r>
            <w:r>
              <w:rPr>
                <w:rFonts w:hint="eastAsia" w:ascii="宋体" w:hAnsi="宋体" w:eastAsia="宋体" w:cs="宋体"/>
                <w:color w:val="auto"/>
                <w:sz w:val="21"/>
                <w:szCs w:val="21"/>
                <w:highlight w:val="none"/>
                <w:lang w:val="en-GB"/>
              </w:rPr>
              <w:t>监理工作安排</w:t>
            </w:r>
            <w:r>
              <w:rPr>
                <w:rFonts w:hint="eastAsia" w:ascii="宋体" w:hAnsi="宋体" w:eastAsia="宋体" w:cs="宋体"/>
                <w:color w:val="auto"/>
                <w:sz w:val="21"/>
                <w:szCs w:val="21"/>
                <w:highlight w:val="none"/>
                <w:lang w:val="en-GB" w:eastAsia="zh-CN"/>
              </w:rPr>
              <w:t>、</w:t>
            </w:r>
            <w:r>
              <w:rPr>
                <w:rFonts w:hint="eastAsia" w:ascii="宋体" w:hAnsi="宋体" w:eastAsia="宋体" w:cs="宋体"/>
                <w:color w:val="auto"/>
                <w:sz w:val="21"/>
                <w:szCs w:val="21"/>
                <w:highlight w:val="none"/>
                <w:lang w:val="en-GB"/>
              </w:rPr>
              <w:t>监理工作标准、监理工作</w:t>
            </w:r>
            <w:r>
              <w:rPr>
                <w:rFonts w:hint="eastAsia" w:ascii="宋体" w:hAnsi="宋体" w:cs="宋体"/>
                <w:color w:val="auto"/>
                <w:sz w:val="21"/>
                <w:szCs w:val="21"/>
                <w:highlight w:val="none"/>
                <w:lang w:val="en-US" w:eastAsia="zh-CN"/>
              </w:rPr>
              <w:t>制度、</w:t>
            </w:r>
            <w:r>
              <w:rPr>
                <w:rFonts w:hint="eastAsia" w:ascii="宋体" w:hAnsi="宋体" w:eastAsia="宋体" w:cs="宋体"/>
                <w:color w:val="auto"/>
                <w:sz w:val="21"/>
                <w:szCs w:val="21"/>
                <w:highlight w:val="none"/>
                <w:lang w:val="en-GB"/>
              </w:rPr>
              <w:t>技术与方式等内容</w:t>
            </w:r>
            <w:r>
              <w:rPr>
                <w:rFonts w:hint="eastAsia" w:ascii="宋体" w:hAnsi="宋体" w:cs="宋体"/>
                <w:color w:val="auto"/>
                <w:sz w:val="21"/>
                <w:szCs w:val="21"/>
                <w:highlight w:val="none"/>
                <w:lang w:eastAsia="zh-CN"/>
              </w:rPr>
              <w:t>进行评分：内容详实、条理清晰，安排合理、到位，针对性强的得</w:t>
            </w:r>
            <w:r>
              <w:rPr>
                <w:rFonts w:hint="eastAsia" w:ascii="宋体" w:hAnsi="宋体" w:cs="宋体"/>
                <w:color w:val="auto"/>
                <w:sz w:val="21"/>
                <w:szCs w:val="21"/>
                <w:highlight w:val="none"/>
                <w:lang w:val="en-US" w:eastAsia="zh-CN"/>
              </w:rPr>
              <w:t>15分；</w:t>
            </w:r>
            <w:r>
              <w:rPr>
                <w:rFonts w:hint="eastAsia" w:ascii="宋体" w:hAnsi="宋体" w:eastAsia="宋体" w:cs="宋体"/>
                <w:color w:val="auto"/>
                <w:spacing w:val="0"/>
                <w:sz w:val="21"/>
                <w:szCs w:val="21"/>
                <w:highlight w:val="none"/>
                <w:lang w:val="en-US" w:eastAsia="zh-CN"/>
              </w:rPr>
              <w:t>内容</w:t>
            </w:r>
            <w:r>
              <w:rPr>
                <w:rFonts w:hint="eastAsia" w:ascii="宋体" w:hAnsi="宋体" w:eastAsia="宋体" w:cs="宋体"/>
                <w:color w:val="auto"/>
                <w:spacing w:val="0"/>
                <w:sz w:val="21"/>
                <w:szCs w:val="21"/>
                <w:highlight w:val="none"/>
                <w:lang w:val="zh-CN" w:eastAsia="zh-CN"/>
              </w:rPr>
              <w:t>不够全面、</w:t>
            </w:r>
            <w:r>
              <w:rPr>
                <w:rFonts w:hint="eastAsia" w:ascii="宋体" w:hAnsi="宋体" w:cs="宋体"/>
                <w:color w:val="auto"/>
                <w:sz w:val="21"/>
                <w:szCs w:val="21"/>
                <w:highlight w:val="none"/>
                <w:lang w:eastAsia="zh-CN"/>
              </w:rPr>
              <w:t>条理</w:t>
            </w:r>
            <w:r>
              <w:rPr>
                <w:rFonts w:hint="eastAsia" w:ascii="宋体" w:hAnsi="宋体" w:cs="宋体"/>
                <w:color w:val="auto"/>
                <w:sz w:val="21"/>
                <w:szCs w:val="21"/>
                <w:highlight w:val="none"/>
                <w:lang w:val="en-US" w:eastAsia="zh-CN"/>
              </w:rPr>
              <w:t>不够</w:t>
            </w:r>
            <w:r>
              <w:rPr>
                <w:rFonts w:hint="eastAsia" w:ascii="宋体" w:hAnsi="宋体" w:cs="宋体"/>
                <w:color w:val="auto"/>
                <w:sz w:val="21"/>
                <w:szCs w:val="21"/>
                <w:highlight w:val="none"/>
                <w:lang w:eastAsia="zh-CN"/>
              </w:rPr>
              <w:t>清晰</w:t>
            </w:r>
            <w:r>
              <w:rPr>
                <w:rFonts w:hint="eastAsia" w:ascii="宋体" w:hAnsi="宋体" w:eastAsia="宋体" w:cs="宋体"/>
                <w:color w:val="auto"/>
                <w:spacing w:val="0"/>
                <w:sz w:val="21"/>
                <w:szCs w:val="21"/>
                <w:highlight w:val="none"/>
                <w:lang w:val="zh-CN" w:eastAsia="zh-CN"/>
              </w:rPr>
              <w:t>、</w:t>
            </w:r>
            <w:r>
              <w:rPr>
                <w:rFonts w:hint="eastAsia" w:ascii="宋体" w:hAnsi="宋体" w:eastAsia="宋体" w:cs="宋体"/>
                <w:color w:val="auto"/>
                <w:sz w:val="21"/>
                <w:szCs w:val="21"/>
                <w:highlight w:val="none"/>
              </w:rPr>
              <w:t>针对性</w:t>
            </w:r>
            <w:r>
              <w:rPr>
                <w:rFonts w:hint="eastAsia" w:ascii="宋体" w:hAnsi="宋体" w:eastAsia="宋体" w:cs="宋体"/>
                <w:color w:val="auto"/>
                <w:sz w:val="21"/>
                <w:szCs w:val="21"/>
                <w:highlight w:val="none"/>
                <w:lang w:val="en-US" w:eastAsia="zh-CN"/>
              </w:rPr>
              <w:t>一般</w:t>
            </w:r>
            <w:r>
              <w:rPr>
                <w:rFonts w:hint="eastAsia" w:ascii="宋体" w:hAnsi="宋体" w:eastAsia="宋体" w:cs="宋体"/>
                <w:color w:val="auto"/>
                <w:spacing w:val="0"/>
                <w:sz w:val="21"/>
                <w:szCs w:val="21"/>
                <w:highlight w:val="none"/>
                <w:lang w:val="zh-CN" w:eastAsia="zh-CN"/>
              </w:rPr>
              <w:t>的每处扣</w:t>
            </w:r>
            <w:r>
              <w:rPr>
                <w:rFonts w:hint="eastAsia" w:ascii="宋体" w:hAnsi="宋体" w:cs="宋体"/>
                <w:color w:val="auto"/>
                <w:spacing w:val="0"/>
                <w:sz w:val="21"/>
                <w:szCs w:val="21"/>
                <w:highlight w:val="none"/>
                <w:lang w:val="en-US" w:eastAsia="zh-CN"/>
              </w:rPr>
              <w:t>3</w:t>
            </w:r>
            <w:r>
              <w:rPr>
                <w:rFonts w:hint="eastAsia" w:ascii="宋体" w:hAnsi="宋体" w:eastAsia="宋体" w:cs="宋体"/>
                <w:color w:val="auto"/>
                <w:spacing w:val="0"/>
                <w:sz w:val="21"/>
                <w:szCs w:val="21"/>
                <w:highlight w:val="none"/>
                <w:lang w:val="zh-CN" w:eastAsia="zh-CN"/>
              </w:rPr>
              <w:t>分。内容不符合或不提供的不得分。</w:t>
            </w:r>
          </w:p>
        </w:tc>
        <w:tc>
          <w:tcPr>
            <w:tcW w:w="1025" w:type="dxa"/>
            <w:shd w:val="clear" w:color="auto" w:fill="FFFFFF"/>
            <w:noWrap w:val="0"/>
            <w:vAlign w:val="center"/>
          </w:tcPr>
          <w:p w14:paraId="60EEA302">
            <w:pPr>
              <w:keepNext w:val="0"/>
              <w:keepLines w:val="0"/>
              <w:pageBreakBefore w:val="0"/>
              <w:widowControl/>
              <w:kinsoku/>
              <w:wordWrap/>
              <w:overflowPunct/>
              <w:topLinePunct w:val="0"/>
              <w:autoSpaceDE/>
              <w:autoSpaceDN/>
              <w:bidi w:val="0"/>
              <w:spacing w:line="44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r>
      <w:tr w14:paraId="081A3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654" w:type="dxa"/>
            <w:vMerge w:val="continue"/>
            <w:shd w:val="clear" w:color="auto" w:fill="FFFFFF"/>
            <w:noWrap w:val="0"/>
            <w:vAlign w:val="center"/>
          </w:tcPr>
          <w:p w14:paraId="12DFCAD6">
            <w:pPr>
              <w:keepNext w:val="0"/>
              <w:keepLines w:val="0"/>
              <w:pageBreakBefore w:val="0"/>
              <w:widowControl/>
              <w:kinsoku/>
              <w:wordWrap/>
              <w:overflowPunct/>
              <w:topLinePunct w:val="0"/>
              <w:autoSpaceDE/>
              <w:autoSpaceDN/>
              <w:bidi w:val="0"/>
              <w:spacing w:line="440" w:lineRule="exact"/>
              <w:ind w:firstLine="420"/>
              <w:jc w:val="center"/>
              <w:rPr>
                <w:rFonts w:ascii="宋体" w:hAnsi="宋体" w:cs="宋体"/>
                <w:color w:val="auto"/>
                <w:sz w:val="21"/>
                <w:szCs w:val="21"/>
                <w:highlight w:val="none"/>
              </w:rPr>
            </w:pPr>
          </w:p>
        </w:tc>
        <w:tc>
          <w:tcPr>
            <w:tcW w:w="1355" w:type="dxa"/>
            <w:vMerge w:val="restart"/>
            <w:shd w:val="clear" w:color="auto" w:fill="FFFFFF"/>
            <w:noWrap w:val="0"/>
            <w:vAlign w:val="center"/>
          </w:tcPr>
          <w:p w14:paraId="305CD717">
            <w:pPr>
              <w:keepNext w:val="0"/>
              <w:keepLines w:val="0"/>
              <w:pageBreakBefore w:val="0"/>
              <w:widowControl/>
              <w:kinsoku/>
              <w:wordWrap/>
              <w:overflowPunct/>
              <w:topLinePunct w:val="0"/>
              <w:autoSpaceDE/>
              <w:autoSpaceDN/>
              <w:bidi w:val="0"/>
              <w:spacing w:line="440" w:lineRule="exact"/>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技术力量投入及设施保障</w:t>
            </w:r>
          </w:p>
        </w:tc>
        <w:tc>
          <w:tcPr>
            <w:tcW w:w="745" w:type="dxa"/>
            <w:shd w:val="clear" w:color="auto" w:fill="FFFFFF"/>
            <w:noWrap w:val="0"/>
            <w:vAlign w:val="center"/>
          </w:tcPr>
          <w:p w14:paraId="1B27DF80">
            <w:pPr>
              <w:keepNext w:val="0"/>
              <w:keepLines w:val="0"/>
              <w:pageBreakBefore w:val="0"/>
              <w:widowControl/>
              <w:kinsoku/>
              <w:wordWrap/>
              <w:overflowPunct/>
              <w:topLinePunct w:val="0"/>
              <w:autoSpaceDE/>
              <w:autoSpaceDN/>
              <w:bidi w:val="0"/>
              <w:spacing w:line="440" w:lineRule="exact"/>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分</w:t>
            </w:r>
          </w:p>
        </w:tc>
        <w:tc>
          <w:tcPr>
            <w:tcW w:w="6598" w:type="dxa"/>
            <w:shd w:val="clear" w:color="auto" w:fill="FFFFFF"/>
            <w:noWrap w:val="0"/>
            <w:vAlign w:val="center"/>
          </w:tcPr>
          <w:p w14:paraId="11C1AA85">
            <w:pPr>
              <w:keepNext w:val="0"/>
              <w:keepLines w:val="0"/>
              <w:pageBreakBefore w:val="0"/>
              <w:widowControl/>
              <w:kinsoku/>
              <w:wordWrap/>
              <w:overflowPunct/>
              <w:topLinePunct w:val="0"/>
              <w:autoSpaceDE/>
              <w:autoSpaceDN/>
              <w:bidi w:val="0"/>
              <w:spacing w:line="440" w:lineRule="exact"/>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投标人提供的项目工作组织及项目人员设置是否合理，是否配备足够的专业人员并明确各部门、各环节的职责分工，是否具备良好的协调机制</w:t>
            </w:r>
            <w:r>
              <w:rPr>
                <w:rFonts w:hint="eastAsia" w:ascii="宋体" w:hAnsi="宋体" w:eastAsia="宋体" w:cs="宋体"/>
                <w:color w:val="auto"/>
                <w:sz w:val="21"/>
                <w:szCs w:val="21"/>
                <w:highlight w:val="none"/>
                <w:lang w:val="en-GB"/>
              </w:rPr>
              <w:t>等内容</w:t>
            </w:r>
            <w:r>
              <w:rPr>
                <w:rFonts w:hint="eastAsia" w:ascii="宋体" w:hAnsi="宋体" w:cs="宋体"/>
                <w:color w:val="auto"/>
                <w:sz w:val="21"/>
                <w:szCs w:val="21"/>
                <w:highlight w:val="none"/>
                <w:lang w:eastAsia="zh-CN"/>
              </w:rPr>
              <w:t>进行评分：</w:t>
            </w:r>
            <w:r>
              <w:rPr>
                <w:rFonts w:hint="eastAsia" w:ascii="宋体" w:hAnsi="宋体" w:eastAsia="宋体" w:cs="宋体"/>
                <w:color w:val="auto"/>
                <w:sz w:val="21"/>
                <w:szCs w:val="21"/>
                <w:highlight w:val="none"/>
                <w:lang w:val="en-US" w:eastAsia="zh-CN"/>
              </w:rPr>
              <w:t>工作组织合理，职责分工明确，项目人员设置完善的最高得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工作组织不合理、职责分工不明确、项目人员设置不完善、没有良好的协调机制的每处扣2分；</w:t>
            </w:r>
            <w:r>
              <w:rPr>
                <w:rFonts w:hint="eastAsia" w:ascii="宋体" w:hAnsi="宋体" w:eastAsia="宋体" w:cs="宋体"/>
                <w:color w:val="auto"/>
                <w:sz w:val="21"/>
                <w:szCs w:val="21"/>
                <w:highlight w:val="none"/>
                <w:lang w:val="zh-CN" w:eastAsia="zh-CN"/>
              </w:rPr>
              <w:t>内容不符合或不提供的不得分。</w:t>
            </w:r>
          </w:p>
        </w:tc>
        <w:tc>
          <w:tcPr>
            <w:tcW w:w="1025" w:type="dxa"/>
            <w:shd w:val="clear" w:color="auto" w:fill="FFFFFF"/>
            <w:noWrap w:val="0"/>
            <w:vAlign w:val="center"/>
          </w:tcPr>
          <w:p w14:paraId="0CF94F88">
            <w:pPr>
              <w:keepNext w:val="0"/>
              <w:keepLines w:val="0"/>
              <w:pageBreakBefore w:val="0"/>
              <w:widowControl/>
              <w:kinsoku/>
              <w:wordWrap/>
              <w:overflowPunct/>
              <w:topLinePunct w:val="0"/>
              <w:autoSpaceDE/>
              <w:autoSpaceDN/>
              <w:bidi w:val="0"/>
              <w:spacing w:line="44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r>
      <w:tr w14:paraId="3FD9A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54" w:type="dxa"/>
            <w:vMerge w:val="continue"/>
            <w:shd w:val="clear" w:color="auto" w:fill="FFFFFF"/>
            <w:noWrap w:val="0"/>
            <w:vAlign w:val="center"/>
          </w:tcPr>
          <w:p w14:paraId="376B91A1">
            <w:pPr>
              <w:keepNext w:val="0"/>
              <w:keepLines w:val="0"/>
              <w:pageBreakBefore w:val="0"/>
              <w:widowControl/>
              <w:kinsoku/>
              <w:wordWrap/>
              <w:overflowPunct/>
              <w:topLinePunct w:val="0"/>
              <w:autoSpaceDE/>
              <w:autoSpaceDN/>
              <w:bidi w:val="0"/>
              <w:spacing w:line="440" w:lineRule="exact"/>
              <w:ind w:firstLine="420"/>
              <w:jc w:val="center"/>
              <w:rPr>
                <w:rFonts w:ascii="宋体" w:hAnsi="宋体" w:cs="宋体"/>
                <w:color w:val="auto"/>
                <w:sz w:val="21"/>
                <w:szCs w:val="21"/>
                <w:highlight w:val="none"/>
              </w:rPr>
            </w:pPr>
          </w:p>
        </w:tc>
        <w:tc>
          <w:tcPr>
            <w:tcW w:w="1355" w:type="dxa"/>
            <w:vMerge w:val="continue"/>
            <w:shd w:val="clear" w:color="auto" w:fill="FFFFFF"/>
            <w:noWrap w:val="0"/>
            <w:vAlign w:val="center"/>
          </w:tcPr>
          <w:p w14:paraId="49A194E6">
            <w:pPr>
              <w:keepNext w:val="0"/>
              <w:keepLines w:val="0"/>
              <w:pageBreakBefore w:val="0"/>
              <w:widowControl/>
              <w:kinsoku/>
              <w:wordWrap/>
              <w:overflowPunct/>
              <w:topLinePunct w:val="0"/>
              <w:autoSpaceDE/>
              <w:autoSpaceDN/>
              <w:bidi w:val="0"/>
              <w:spacing w:line="440" w:lineRule="exact"/>
              <w:ind w:firstLine="0" w:firstLineChars="0"/>
              <w:jc w:val="center"/>
              <w:rPr>
                <w:rFonts w:hint="eastAsia" w:ascii="宋体" w:hAnsi="宋体" w:cs="宋体"/>
                <w:color w:val="auto"/>
                <w:sz w:val="21"/>
                <w:szCs w:val="21"/>
                <w:highlight w:val="none"/>
              </w:rPr>
            </w:pPr>
          </w:p>
        </w:tc>
        <w:tc>
          <w:tcPr>
            <w:tcW w:w="745" w:type="dxa"/>
            <w:shd w:val="clear" w:color="auto" w:fill="FFFFFF"/>
            <w:noWrap w:val="0"/>
            <w:vAlign w:val="center"/>
          </w:tcPr>
          <w:p w14:paraId="7E2DC616">
            <w:pPr>
              <w:keepNext w:val="0"/>
              <w:keepLines w:val="0"/>
              <w:pageBreakBefore w:val="0"/>
              <w:widowControl/>
              <w:kinsoku/>
              <w:wordWrap/>
              <w:overflowPunct/>
              <w:topLinePunct w:val="0"/>
              <w:autoSpaceDE/>
              <w:autoSpaceDN/>
              <w:bidi w:val="0"/>
              <w:spacing w:line="440" w:lineRule="exact"/>
              <w:ind w:firstLine="0" w:firstLine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分</w:t>
            </w:r>
          </w:p>
        </w:tc>
        <w:tc>
          <w:tcPr>
            <w:tcW w:w="6598" w:type="dxa"/>
            <w:shd w:val="clear" w:color="auto" w:fill="FFFFFF"/>
            <w:noWrap w:val="0"/>
            <w:vAlign w:val="center"/>
          </w:tcPr>
          <w:p w14:paraId="7488EDBE">
            <w:pPr>
              <w:keepNext w:val="0"/>
              <w:keepLines w:val="0"/>
              <w:pageBreakBefore w:val="0"/>
              <w:widowControl/>
              <w:kinsoku/>
              <w:wordWrap/>
              <w:overflowPunct/>
              <w:topLinePunct w:val="0"/>
              <w:autoSpaceDE/>
              <w:autoSpaceDN/>
              <w:bidi w:val="0"/>
              <w:spacing w:line="440" w:lineRule="exact"/>
              <w:jc w:val="both"/>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根据投标人对现场</w:t>
            </w:r>
            <w:r>
              <w:rPr>
                <w:rFonts w:hint="eastAsia" w:ascii="宋体" w:hAnsi="宋体" w:cs="宋体"/>
                <w:color w:val="auto"/>
                <w:sz w:val="21"/>
                <w:szCs w:val="21"/>
                <w:highlight w:val="none"/>
                <w:lang w:val="en-US" w:eastAsia="zh-CN"/>
              </w:rPr>
              <w:t>安排</w:t>
            </w:r>
            <w:r>
              <w:rPr>
                <w:rFonts w:hint="eastAsia" w:ascii="宋体" w:hAnsi="宋体" w:cs="宋体"/>
                <w:color w:val="auto"/>
                <w:sz w:val="21"/>
                <w:szCs w:val="21"/>
                <w:highlight w:val="none"/>
              </w:rPr>
              <w:t>及车辆、仪器设备</w:t>
            </w:r>
            <w:r>
              <w:rPr>
                <w:rFonts w:hint="eastAsia" w:ascii="宋体" w:hAnsi="宋体" w:cs="宋体"/>
                <w:color w:val="auto"/>
                <w:sz w:val="21"/>
                <w:szCs w:val="21"/>
                <w:highlight w:val="none"/>
                <w:lang w:eastAsia="zh-CN"/>
              </w:rPr>
              <w:t>等配置的合理性、完备性、保障性、有效性等方面进行评分：内容详实、条理清晰，安排合理、到位，针对性强的得</w:t>
            </w:r>
            <w:r>
              <w:rPr>
                <w:rFonts w:hint="eastAsia" w:ascii="宋体" w:hAnsi="宋体" w:cs="宋体"/>
                <w:color w:val="auto"/>
                <w:sz w:val="21"/>
                <w:szCs w:val="21"/>
                <w:highlight w:val="none"/>
                <w:lang w:val="en-US" w:eastAsia="zh-CN"/>
              </w:rPr>
              <w:t>4分；</w:t>
            </w:r>
            <w:r>
              <w:rPr>
                <w:rFonts w:hint="eastAsia" w:ascii="宋体" w:hAnsi="宋体" w:eastAsia="宋体" w:cs="宋体"/>
                <w:color w:val="auto"/>
                <w:spacing w:val="0"/>
                <w:sz w:val="21"/>
                <w:szCs w:val="21"/>
                <w:highlight w:val="none"/>
                <w:lang w:val="en-US" w:eastAsia="zh-CN"/>
              </w:rPr>
              <w:t>内容</w:t>
            </w:r>
            <w:r>
              <w:rPr>
                <w:rFonts w:hint="eastAsia" w:ascii="宋体" w:hAnsi="宋体" w:eastAsia="宋体" w:cs="宋体"/>
                <w:color w:val="auto"/>
                <w:spacing w:val="0"/>
                <w:sz w:val="21"/>
                <w:szCs w:val="21"/>
                <w:highlight w:val="none"/>
                <w:lang w:val="zh-CN" w:eastAsia="zh-CN"/>
              </w:rPr>
              <w:t>不够全面、</w:t>
            </w:r>
            <w:r>
              <w:rPr>
                <w:rFonts w:hint="eastAsia" w:ascii="宋体" w:hAnsi="宋体" w:cs="宋体"/>
                <w:color w:val="auto"/>
                <w:sz w:val="21"/>
                <w:szCs w:val="21"/>
                <w:highlight w:val="none"/>
                <w:lang w:eastAsia="zh-CN"/>
              </w:rPr>
              <w:t>条理</w:t>
            </w:r>
            <w:r>
              <w:rPr>
                <w:rFonts w:hint="eastAsia" w:ascii="宋体" w:hAnsi="宋体" w:cs="宋体"/>
                <w:color w:val="auto"/>
                <w:sz w:val="21"/>
                <w:szCs w:val="21"/>
                <w:highlight w:val="none"/>
                <w:lang w:val="en-US" w:eastAsia="zh-CN"/>
              </w:rPr>
              <w:t>不够</w:t>
            </w:r>
            <w:r>
              <w:rPr>
                <w:rFonts w:hint="eastAsia" w:ascii="宋体" w:hAnsi="宋体" w:cs="宋体"/>
                <w:color w:val="auto"/>
                <w:sz w:val="21"/>
                <w:szCs w:val="21"/>
                <w:highlight w:val="none"/>
                <w:lang w:eastAsia="zh-CN"/>
              </w:rPr>
              <w:t>清晰</w:t>
            </w:r>
            <w:r>
              <w:rPr>
                <w:rFonts w:hint="eastAsia" w:ascii="宋体" w:hAnsi="宋体" w:eastAsia="宋体" w:cs="宋体"/>
                <w:color w:val="auto"/>
                <w:spacing w:val="0"/>
                <w:sz w:val="21"/>
                <w:szCs w:val="21"/>
                <w:highlight w:val="none"/>
                <w:lang w:val="zh-CN" w:eastAsia="zh-CN"/>
              </w:rPr>
              <w:t>、</w:t>
            </w:r>
            <w:r>
              <w:rPr>
                <w:rFonts w:hint="eastAsia" w:ascii="宋体" w:hAnsi="宋体" w:eastAsia="宋体" w:cs="宋体"/>
                <w:color w:val="auto"/>
                <w:sz w:val="21"/>
                <w:szCs w:val="21"/>
                <w:highlight w:val="none"/>
              </w:rPr>
              <w:t>针对性</w:t>
            </w:r>
            <w:r>
              <w:rPr>
                <w:rFonts w:hint="eastAsia" w:ascii="宋体" w:hAnsi="宋体" w:eastAsia="宋体" w:cs="宋体"/>
                <w:color w:val="auto"/>
                <w:sz w:val="21"/>
                <w:szCs w:val="21"/>
                <w:highlight w:val="none"/>
                <w:lang w:val="en-US" w:eastAsia="zh-CN"/>
              </w:rPr>
              <w:t>一般</w:t>
            </w:r>
            <w:r>
              <w:rPr>
                <w:rFonts w:hint="eastAsia" w:ascii="宋体" w:hAnsi="宋体" w:eastAsia="宋体" w:cs="宋体"/>
                <w:color w:val="auto"/>
                <w:spacing w:val="0"/>
                <w:sz w:val="21"/>
                <w:szCs w:val="21"/>
                <w:highlight w:val="none"/>
                <w:lang w:val="zh-CN" w:eastAsia="zh-CN"/>
              </w:rPr>
              <w:t>的每处扣</w:t>
            </w:r>
            <w:r>
              <w:rPr>
                <w:rFonts w:hint="eastAsia" w:ascii="宋体" w:hAnsi="宋体" w:cs="宋体"/>
                <w:color w:val="auto"/>
                <w:spacing w:val="0"/>
                <w:sz w:val="21"/>
                <w:szCs w:val="21"/>
                <w:highlight w:val="none"/>
                <w:lang w:val="en-US" w:eastAsia="zh-CN"/>
              </w:rPr>
              <w:t>1</w:t>
            </w:r>
            <w:r>
              <w:rPr>
                <w:rFonts w:hint="eastAsia" w:ascii="宋体" w:hAnsi="宋体" w:eastAsia="宋体" w:cs="宋体"/>
                <w:color w:val="auto"/>
                <w:spacing w:val="0"/>
                <w:sz w:val="21"/>
                <w:szCs w:val="21"/>
                <w:highlight w:val="none"/>
                <w:lang w:val="zh-CN" w:eastAsia="zh-CN"/>
              </w:rPr>
              <w:t>分。内容不符合或不提供的不得分。</w:t>
            </w:r>
          </w:p>
        </w:tc>
        <w:tc>
          <w:tcPr>
            <w:tcW w:w="1025" w:type="dxa"/>
            <w:shd w:val="clear" w:color="auto" w:fill="FFFFFF"/>
            <w:noWrap w:val="0"/>
            <w:vAlign w:val="center"/>
          </w:tcPr>
          <w:p w14:paraId="02DE6A53">
            <w:pPr>
              <w:keepNext w:val="0"/>
              <w:keepLines w:val="0"/>
              <w:pageBreakBefore w:val="0"/>
              <w:widowControl/>
              <w:kinsoku/>
              <w:wordWrap/>
              <w:overflowPunct/>
              <w:topLinePunct w:val="0"/>
              <w:autoSpaceDE/>
              <w:autoSpaceDN/>
              <w:bidi w:val="0"/>
              <w:spacing w:line="44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r>
      <w:tr w14:paraId="1FE6F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654" w:type="dxa"/>
            <w:vMerge w:val="continue"/>
            <w:shd w:val="clear" w:color="auto" w:fill="FFFFFF"/>
            <w:noWrap w:val="0"/>
            <w:vAlign w:val="center"/>
          </w:tcPr>
          <w:p w14:paraId="167A42F9">
            <w:pPr>
              <w:keepNext w:val="0"/>
              <w:keepLines w:val="0"/>
              <w:pageBreakBefore w:val="0"/>
              <w:widowControl/>
              <w:kinsoku/>
              <w:wordWrap/>
              <w:overflowPunct/>
              <w:topLinePunct w:val="0"/>
              <w:autoSpaceDE/>
              <w:autoSpaceDN/>
              <w:bidi w:val="0"/>
              <w:spacing w:line="440" w:lineRule="exact"/>
              <w:ind w:firstLine="420"/>
              <w:jc w:val="center"/>
              <w:rPr>
                <w:rFonts w:ascii="宋体" w:hAnsi="宋体" w:cs="宋体"/>
                <w:color w:val="auto"/>
                <w:sz w:val="21"/>
                <w:szCs w:val="21"/>
                <w:highlight w:val="none"/>
              </w:rPr>
            </w:pPr>
          </w:p>
        </w:tc>
        <w:tc>
          <w:tcPr>
            <w:tcW w:w="1355" w:type="dxa"/>
            <w:shd w:val="clear" w:color="auto" w:fill="FFFFFF"/>
            <w:noWrap w:val="0"/>
            <w:vAlign w:val="center"/>
          </w:tcPr>
          <w:p w14:paraId="3BE4F096">
            <w:pPr>
              <w:keepNext w:val="0"/>
              <w:keepLines w:val="0"/>
              <w:pageBreakBefore w:val="0"/>
              <w:widowControl/>
              <w:kinsoku/>
              <w:wordWrap/>
              <w:overflowPunct/>
              <w:topLinePunct w:val="0"/>
              <w:autoSpaceDE/>
              <w:autoSpaceDN/>
              <w:bidi w:val="0"/>
              <w:spacing w:line="440" w:lineRule="exact"/>
              <w:ind w:firstLine="0" w:firstLine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质量保障</w:t>
            </w:r>
          </w:p>
          <w:p w14:paraId="26A5F721">
            <w:pPr>
              <w:keepNext w:val="0"/>
              <w:keepLines w:val="0"/>
              <w:pageBreakBefore w:val="0"/>
              <w:widowControl/>
              <w:kinsoku/>
              <w:wordWrap/>
              <w:overflowPunct/>
              <w:topLinePunct w:val="0"/>
              <w:autoSpaceDE/>
              <w:autoSpaceDN/>
              <w:bidi w:val="0"/>
              <w:spacing w:line="440" w:lineRule="exact"/>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措施</w:t>
            </w:r>
          </w:p>
        </w:tc>
        <w:tc>
          <w:tcPr>
            <w:tcW w:w="745" w:type="dxa"/>
            <w:shd w:val="clear" w:color="auto" w:fill="FFFFFF"/>
            <w:noWrap w:val="0"/>
            <w:vAlign w:val="center"/>
          </w:tcPr>
          <w:p w14:paraId="29225299">
            <w:pPr>
              <w:keepNext w:val="0"/>
              <w:keepLines w:val="0"/>
              <w:pageBreakBefore w:val="0"/>
              <w:widowControl/>
              <w:kinsoku/>
              <w:wordWrap/>
              <w:overflowPunct/>
              <w:topLinePunct w:val="0"/>
              <w:autoSpaceDE/>
              <w:autoSpaceDN/>
              <w:bidi w:val="0"/>
              <w:spacing w:line="440" w:lineRule="exact"/>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分</w:t>
            </w:r>
          </w:p>
        </w:tc>
        <w:tc>
          <w:tcPr>
            <w:tcW w:w="6598" w:type="dxa"/>
            <w:shd w:val="clear" w:color="auto" w:fill="FFFFFF"/>
            <w:noWrap w:val="0"/>
            <w:vAlign w:val="center"/>
          </w:tcPr>
          <w:p w14:paraId="6EC64F52">
            <w:pPr>
              <w:keepNext w:val="0"/>
              <w:keepLines w:val="0"/>
              <w:pageBreakBefore w:val="0"/>
              <w:widowControl/>
              <w:kinsoku/>
              <w:wordWrap/>
              <w:overflowPunct/>
              <w:topLinePunct w:val="0"/>
              <w:autoSpaceDE/>
              <w:autoSpaceDN/>
              <w:bidi w:val="0"/>
              <w:spacing w:line="440" w:lineRule="exact"/>
              <w:jc w:val="both"/>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根据投标人对项目质量目标</w:t>
            </w:r>
            <w:r>
              <w:rPr>
                <w:rFonts w:hint="eastAsia" w:ascii="宋体" w:hAnsi="宋体" w:cs="宋体"/>
                <w:color w:val="auto"/>
                <w:sz w:val="21"/>
                <w:szCs w:val="21"/>
                <w:highlight w:val="none"/>
                <w:lang w:eastAsia="zh-CN"/>
              </w:rPr>
              <w:t>，质量</w:t>
            </w:r>
            <w:r>
              <w:rPr>
                <w:rFonts w:hint="eastAsia" w:ascii="宋体" w:hAnsi="宋体" w:cs="宋体"/>
                <w:color w:val="auto"/>
                <w:sz w:val="21"/>
                <w:szCs w:val="21"/>
                <w:highlight w:val="none"/>
              </w:rPr>
              <w:t>保证措施</w:t>
            </w:r>
            <w:r>
              <w:rPr>
                <w:rFonts w:hint="eastAsia" w:ascii="宋体" w:hAnsi="宋体" w:cs="宋体"/>
                <w:color w:val="auto"/>
                <w:sz w:val="21"/>
                <w:szCs w:val="21"/>
                <w:highlight w:val="none"/>
                <w:lang w:eastAsia="zh-CN"/>
              </w:rPr>
              <w:t>的完备性、保障性、可靠性、合理性等方面进行评分：</w:t>
            </w:r>
            <w:r>
              <w:rPr>
                <w:rFonts w:hint="eastAsia" w:ascii="宋体" w:hAnsi="宋体" w:eastAsia="宋体" w:cs="宋体"/>
                <w:color w:val="auto"/>
                <w:spacing w:val="0"/>
                <w:sz w:val="21"/>
                <w:szCs w:val="21"/>
                <w:highlight w:val="none"/>
                <w:lang w:val="en-US" w:eastAsia="zh-CN"/>
              </w:rPr>
              <w:t>质量保障措施</w:t>
            </w:r>
            <w:r>
              <w:rPr>
                <w:rFonts w:hint="eastAsia" w:ascii="宋体" w:hAnsi="宋体" w:eastAsia="宋体" w:cs="宋体"/>
                <w:color w:val="auto"/>
                <w:spacing w:val="0"/>
                <w:sz w:val="21"/>
                <w:szCs w:val="21"/>
                <w:highlight w:val="none"/>
                <w:lang w:val="zh-CN" w:eastAsia="zh-CN"/>
              </w:rPr>
              <w:t>全面、有效、合理、能确保项目</w:t>
            </w:r>
            <w:r>
              <w:rPr>
                <w:rFonts w:hint="eastAsia" w:ascii="宋体" w:hAnsi="宋体" w:eastAsia="宋体" w:cs="宋体"/>
                <w:color w:val="auto"/>
                <w:spacing w:val="0"/>
                <w:sz w:val="21"/>
                <w:szCs w:val="21"/>
                <w:highlight w:val="none"/>
                <w:lang w:val="en-US" w:eastAsia="zh-CN"/>
              </w:rPr>
              <w:t>质量</w:t>
            </w:r>
            <w:r>
              <w:rPr>
                <w:rFonts w:hint="eastAsia" w:ascii="宋体" w:hAnsi="宋体" w:eastAsia="宋体" w:cs="宋体"/>
                <w:color w:val="auto"/>
                <w:spacing w:val="0"/>
                <w:sz w:val="21"/>
                <w:szCs w:val="21"/>
                <w:highlight w:val="none"/>
                <w:lang w:val="zh-CN" w:eastAsia="zh-CN"/>
              </w:rPr>
              <w:t>的得</w:t>
            </w:r>
            <w:r>
              <w:rPr>
                <w:rFonts w:hint="eastAsia" w:ascii="宋体" w:hAnsi="宋体" w:cs="宋体"/>
                <w:color w:val="auto"/>
                <w:spacing w:val="0"/>
                <w:sz w:val="21"/>
                <w:szCs w:val="21"/>
                <w:highlight w:val="none"/>
                <w:lang w:val="en-US" w:eastAsia="zh-CN"/>
              </w:rPr>
              <w:t>8</w:t>
            </w:r>
            <w:r>
              <w:rPr>
                <w:rFonts w:hint="eastAsia" w:ascii="宋体" w:hAnsi="宋体" w:eastAsia="宋体" w:cs="宋体"/>
                <w:color w:val="auto"/>
                <w:spacing w:val="0"/>
                <w:sz w:val="21"/>
                <w:szCs w:val="21"/>
                <w:highlight w:val="none"/>
                <w:lang w:val="zh-CN" w:eastAsia="zh-CN"/>
              </w:rPr>
              <w:t>分；</w:t>
            </w:r>
            <w:r>
              <w:rPr>
                <w:rFonts w:hint="eastAsia" w:ascii="宋体" w:hAnsi="宋体" w:eastAsia="宋体" w:cs="宋体"/>
                <w:color w:val="auto"/>
                <w:spacing w:val="0"/>
                <w:sz w:val="21"/>
                <w:szCs w:val="21"/>
                <w:highlight w:val="none"/>
                <w:lang w:val="en-US" w:eastAsia="zh-CN"/>
              </w:rPr>
              <w:t>质量保障措施</w:t>
            </w:r>
            <w:r>
              <w:rPr>
                <w:rFonts w:hint="eastAsia" w:ascii="宋体" w:hAnsi="宋体" w:eastAsia="宋体" w:cs="宋体"/>
                <w:color w:val="auto"/>
                <w:spacing w:val="0"/>
                <w:sz w:val="21"/>
                <w:szCs w:val="21"/>
                <w:highlight w:val="none"/>
                <w:lang w:val="zh-CN" w:eastAsia="zh-CN"/>
              </w:rPr>
              <w:t>不够全面、不够有效、不够合理的每处扣</w:t>
            </w:r>
            <w:r>
              <w:rPr>
                <w:rFonts w:hint="eastAsia" w:ascii="宋体" w:hAnsi="宋体" w:cs="宋体"/>
                <w:color w:val="auto"/>
                <w:spacing w:val="0"/>
                <w:sz w:val="21"/>
                <w:szCs w:val="21"/>
                <w:highlight w:val="none"/>
                <w:lang w:val="en-US" w:eastAsia="zh-CN"/>
              </w:rPr>
              <w:t>2</w:t>
            </w:r>
            <w:r>
              <w:rPr>
                <w:rFonts w:hint="eastAsia" w:ascii="宋体" w:hAnsi="宋体" w:eastAsia="宋体" w:cs="宋体"/>
                <w:color w:val="auto"/>
                <w:spacing w:val="0"/>
                <w:sz w:val="21"/>
                <w:szCs w:val="21"/>
                <w:highlight w:val="none"/>
                <w:lang w:val="zh-CN" w:eastAsia="zh-CN"/>
              </w:rPr>
              <w:t>分。内容不符合或不提供的不得分。</w:t>
            </w:r>
          </w:p>
        </w:tc>
        <w:tc>
          <w:tcPr>
            <w:tcW w:w="1025" w:type="dxa"/>
            <w:shd w:val="clear" w:color="auto" w:fill="FFFFFF"/>
            <w:noWrap w:val="0"/>
            <w:vAlign w:val="center"/>
          </w:tcPr>
          <w:p w14:paraId="073F5087">
            <w:pPr>
              <w:keepNext w:val="0"/>
              <w:keepLines w:val="0"/>
              <w:pageBreakBefore w:val="0"/>
              <w:widowControl/>
              <w:kinsoku/>
              <w:wordWrap/>
              <w:overflowPunct/>
              <w:topLinePunct w:val="0"/>
              <w:autoSpaceDE/>
              <w:autoSpaceDN/>
              <w:bidi w:val="0"/>
              <w:spacing w:line="44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r>
      <w:tr w14:paraId="18E43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654" w:type="dxa"/>
            <w:vMerge w:val="continue"/>
            <w:shd w:val="clear" w:color="auto" w:fill="FFFFFF"/>
            <w:noWrap w:val="0"/>
            <w:vAlign w:val="center"/>
          </w:tcPr>
          <w:p w14:paraId="1CA48FF5">
            <w:pPr>
              <w:keepNext w:val="0"/>
              <w:keepLines w:val="0"/>
              <w:pageBreakBefore w:val="0"/>
              <w:widowControl/>
              <w:kinsoku/>
              <w:wordWrap/>
              <w:overflowPunct/>
              <w:topLinePunct w:val="0"/>
              <w:autoSpaceDE/>
              <w:autoSpaceDN/>
              <w:bidi w:val="0"/>
              <w:spacing w:line="440" w:lineRule="exact"/>
              <w:ind w:firstLine="420"/>
              <w:jc w:val="center"/>
              <w:rPr>
                <w:rFonts w:ascii="宋体" w:hAnsi="宋体" w:cs="宋体"/>
                <w:color w:val="auto"/>
                <w:sz w:val="21"/>
                <w:szCs w:val="21"/>
                <w:highlight w:val="none"/>
              </w:rPr>
            </w:pPr>
          </w:p>
        </w:tc>
        <w:tc>
          <w:tcPr>
            <w:tcW w:w="1355" w:type="dxa"/>
            <w:shd w:val="clear" w:color="auto" w:fill="FFFFFF"/>
            <w:noWrap w:val="0"/>
            <w:vAlign w:val="center"/>
          </w:tcPr>
          <w:p w14:paraId="61159E23">
            <w:pPr>
              <w:keepNext w:val="0"/>
              <w:keepLines w:val="0"/>
              <w:pageBreakBefore w:val="0"/>
              <w:widowControl/>
              <w:kinsoku/>
              <w:wordWrap/>
              <w:overflowPunct/>
              <w:topLinePunct w:val="0"/>
              <w:autoSpaceDE/>
              <w:autoSpaceDN/>
              <w:bidi w:val="0"/>
              <w:spacing w:line="440" w:lineRule="exact"/>
              <w:ind w:firstLine="0" w:firstLine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安全保障</w:t>
            </w:r>
          </w:p>
          <w:p w14:paraId="66D1E4F3">
            <w:pPr>
              <w:keepNext w:val="0"/>
              <w:keepLines w:val="0"/>
              <w:pageBreakBefore w:val="0"/>
              <w:widowControl/>
              <w:kinsoku/>
              <w:wordWrap/>
              <w:overflowPunct/>
              <w:topLinePunct w:val="0"/>
              <w:autoSpaceDE/>
              <w:autoSpaceDN/>
              <w:bidi w:val="0"/>
              <w:spacing w:line="440" w:lineRule="exact"/>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措施</w:t>
            </w:r>
          </w:p>
        </w:tc>
        <w:tc>
          <w:tcPr>
            <w:tcW w:w="745" w:type="dxa"/>
            <w:shd w:val="clear" w:color="auto" w:fill="FFFFFF"/>
            <w:noWrap w:val="0"/>
            <w:vAlign w:val="center"/>
          </w:tcPr>
          <w:p w14:paraId="53F30B0D">
            <w:pPr>
              <w:keepNext w:val="0"/>
              <w:keepLines w:val="0"/>
              <w:pageBreakBefore w:val="0"/>
              <w:widowControl/>
              <w:kinsoku/>
              <w:wordWrap/>
              <w:overflowPunct/>
              <w:topLinePunct w:val="0"/>
              <w:autoSpaceDE/>
              <w:autoSpaceDN/>
              <w:bidi w:val="0"/>
              <w:spacing w:line="440" w:lineRule="exact"/>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分</w:t>
            </w:r>
          </w:p>
        </w:tc>
        <w:tc>
          <w:tcPr>
            <w:tcW w:w="6598" w:type="dxa"/>
            <w:shd w:val="clear" w:color="auto" w:fill="FFFFFF"/>
            <w:noWrap w:val="0"/>
            <w:vAlign w:val="center"/>
          </w:tcPr>
          <w:p w14:paraId="161F2603">
            <w:pPr>
              <w:keepNext w:val="0"/>
              <w:keepLines w:val="0"/>
              <w:pageBreakBefore w:val="0"/>
              <w:widowControl/>
              <w:kinsoku/>
              <w:wordWrap/>
              <w:overflowPunct/>
              <w:topLinePunct w:val="0"/>
              <w:autoSpaceDE/>
              <w:autoSpaceDN/>
              <w:bidi w:val="0"/>
              <w:spacing w:line="440" w:lineRule="exact"/>
              <w:jc w:val="both"/>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根据投标人对本项目开展可能存在的安全问题，安全保障措施的完备性、保障性、可靠性、合理性等方面进行评分：安全</w:t>
            </w:r>
            <w:r>
              <w:rPr>
                <w:rFonts w:hint="eastAsia" w:ascii="宋体" w:hAnsi="宋体" w:eastAsia="宋体" w:cs="宋体"/>
                <w:color w:val="auto"/>
                <w:spacing w:val="0"/>
                <w:sz w:val="21"/>
                <w:szCs w:val="21"/>
                <w:highlight w:val="none"/>
                <w:lang w:val="en-US" w:eastAsia="zh-CN"/>
              </w:rPr>
              <w:t>保障措施</w:t>
            </w:r>
            <w:r>
              <w:rPr>
                <w:rFonts w:hint="eastAsia" w:ascii="宋体" w:hAnsi="宋体" w:eastAsia="宋体" w:cs="宋体"/>
                <w:color w:val="auto"/>
                <w:spacing w:val="0"/>
                <w:sz w:val="21"/>
                <w:szCs w:val="21"/>
                <w:highlight w:val="none"/>
                <w:lang w:val="zh-CN" w:eastAsia="zh-CN"/>
              </w:rPr>
              <w:t>全面、有效、合理、能确保项目</w:t>
            </w:r>
            <w:r>
              <w:rPr>
                <w:rFonts w:hint="eastAsia" w:ascii="宋体" w:hAnsi="宋体" w:cs="宋体"/>
                <w:color w:val="auto"/>
                <w:sz w:val="21"/>
                <w:szCs w:val="21"/>
                <w:highlight w:val="none"/>
                <w:lang w:eastAsia="zh-CN"/>
              </w:rPr>
              <w:t>安全</w:t>
            </w:r>
            <w:r>
              <w:rPr>
                <w:rFonts w:hint="eastAsia" w:ascii="宋体" w:hAnsi="宋体" w:eastAsia="宋体" w:cs="宋体"/>
                <w:color w:val="auto"/>
                <w:spacing w:val="0"/>
                <w:sz w:val="21"/>
                <w:szCs w:val="21"/>
                <w:highlight w:val="none"/>
                <w:lang w:val="zh-CN" w:eastAsia="zh-CN"/>
              </w:rPr>
              <w:t>的得</w:t>
            </w:r>
            <w:r>
              <w:rPr>
                <w:rFonts w:hint="eastAsia" w:ascii="宋体" w:hAnsi="宋体" w:cs="宋体"/>
                <w:color w:val="auto"/>
                <w:spacing w:val="0"/>
                <w:sz w:val="21"/>
                <w:szCs w:val="21"/>
                <w:highlight w:val="none"/>
                <w:lang w:val="en-US" w:eastAsia="zh-CN"/>
              </w:rPr>
              <w:t>8</w:t>
            </w:r>
            <w:r>
              <w:rPr>
                <w:rFonts w:hint="eastAsia" w:ascii="宋体" w:hAnsi="宋体" w:eastAsia="宋体" w:cs="宋体"/>
                <w:color w:val="auto"/>
                <w:spacing w:val="0"/>
                <w:sz w:val="21"/>
                <w:szCs w:val="21"/>
                <w:highlight w:val="none"/>
                <w:lang w:val="zh-CN" w:eastAsia="zh-CN"/>
              </w:rPr>
              <w:t>分；</w:t>
            </w:r>
            <w:r>
              <w:rPr>
                <w:rFonts w:hint="eastAsia" w:ascii="宋体" w:hAnsi="宋体" w:cs="宋体"/>
                <w:color w:val="auto"/>
                <w:sz w:val="21"/>
                <w:szCs w:val="21"/>
                <w:highlight w:val="none"/>
                <w:lang w:eastAsia="zh-CN"/>
              </w:rPr>
              <w:t>安全</w:t>
            </w:r>
            <w:r>
              <w:rPr>
                <w:rFonts w:hint="eastAsia" w:ascii="宋体" w:hAnsi="宋体" w:eastAsia="宋体" w:cs="宋体"/>
                <w:color w:val="auto"/>
                <w:spacing w:val="0"/>
                <w:sz w:val="21"/>
                <w:szCs w:val="21"/>
                <w:highlight w:val="none"/>
                <w:lang w:val="en-US" w:eastAsia="zh-CN"/>
              </w:rPr>
              <w:t>保障措施</w:t>
            </w:r>
            <w:r>
              <w:rPr>
                <w:rFonts w:hint="eastAsia" w:ascii="宋体" w:hAnsi="宋体" w:eastAsia="宋体" w:cs="宋体"/>
                <w:color w:val="auto"/>
                <w:spacing w:val="0"/>
                <w:sz w:val="21"/>
                <w:szCs w:val="21"/>
                <w:highlight w:val="none"/>
                <w:lang w:val="zh-CN" w:eastAsia="zh-CN"/>
              </w:rPr>
              <w:t>不够全面、不够有效、不够合理的每处扣</w:t>
            </w:r>
            <w:r>
              <w:rPr>
                <w:rFonts w:hint="eastAsia" w:ascii="宋体" w:hAnsi="宋体" w:cs="宋体"/>
                <w:color w:val="auto"/>
                <w:spacing w:val="0"/>
                <w:sz w:val="21"/>
                <w:szCs w:val="21"/>
                <w:highlight w:val="none"/>
                <w:lang w:val="en-US" w:eastAsia="zh-CN"/>
              </w:rPr>
              <w:t>2</w:t>
            </w:r>
            <w:r>
              <w:rPr>
                <w:rFonts w:hint="eastAsia" w:ascii="宋体" w:hAnsi="宋体" w:eastAsia="宋体" w:cs="宋体"/>
                <w:color w:val="auto"/>
                <w:spacing w:val="0"/>
                <w:sz w:val="21"/>
                <w:szCs w:val="21"/>
                <w:highlight w:val="none"/>
                <w:lang w:val="zh-CN" w:eastAsia="zh-CN"/>
              </w:rPr>
              <w:t>分。内容不符合或不提供的不得分。</w:t>
            </w:r>
          </w:p>
        </w:tc>
        <w:tc>
          <w:tcPr>
            <w:tcW w:w="1025" w:type="dxa"/>
            <w:shd w:val="clear" w:color="auto" w:fill="FFFFFF"/>
            <w:noWrap w:val="0"/>
            <w:vAlign w:val="center"/>
          </w:tcPr>
          <w:p w14:paraId="4148A3F2">
            <w:pPr>
              <w:keepNext w:val="0"/>
              <w:keepLines w:val="0"/>
              <w:pageBreakBefore w:val="0"/>
              <w:widowControl/>
              <w:kinsoku/>
              <w:wordWrap/>
              <w:overflowPunct/>
              <w:topLinePunct w:val="0"/>
              <w:autoSpaceDE/>
              <w:autoSpaceDN/>
              <w:bidi w:val="0"/>
              <w:spacing w:line="44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r>
      <w:tr w14:paraId="79112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54" w:type="dxa"/>
            <w:vMerge w:val="continue"/>
            <w:shd w:val="clear" w:color="auto" w:fill="FFFFFF"/>
            <w:noWrap w:val="0"/>
            <w:vAlign w:val="center"/>
          </w:tcPr>
          <w:p w14:paraId="2E34EF35">
            <w:pPr>
              <w:keepNext w:val="0"/>
              <w:keepLines w:val="0"/>
              <w:pageBreakBefore w:val="0"/>
              <w:widowControl/>
              <w:kinsoku/>
              <w:wordWrap/>
              <w:overflowPunct/>
              <w:topLinePunct w:val="0"/>
              <w:autoSpaceDE/>
              <w:autoSpaceDN/>
              <w:bidi w:val="0"/>
              <w:spacing w:line="440" w:lineRule="exact"/>
              <w:ind w:firstLine="420"/>
              <w:jc w:val="center"/>
              <w:rPr>
                <w:rFonts w:ascii="宋体" w:hAnsi="宋体" w:cs="宋体"/>
                <w:color w:val="auto"/>
                <w:sz w:val="21"/>
                <w:szCs w:val="21"/>
                <w:highlight w:val="none"/>
              </w:rPr>
            </w:pPr>
          </w:p>
        </w:tc>
        <w:tc>
          <w:tcPr>
            <w:tcW w:w="1355" w:type="dxa"/>
            <w:shd w:val="clear" w:color="auto" w:fill="FFFFFF"/>
            <w:noWrap w:val="0"/>
            <w:vAlign w:val="center"/>
          </w:tcPr>
          <w:p w14:paraId="045693E9">
            <w:pPr>
              <w:keepNext w:val="0"/>
              <w:keepLines w:val="0"/>
              <w:pageBreakBefore w:val="0"/>
              <w:widowControl/>
              <w:kinsoku/>
              <w:wordWrap/>
              <w:overflowPunct/>
              <w:topLinePunct w:val="0"/>
              <w:autoSpaceDE/>
              <w:autoSpaceDN/>
              <w:bidi w:val="0"/>
              <w:spacing w:line="440" w:lineRule="exact"/>
              <w:ind w:firstLine="0" w:firstLineChars="0"/>
              <w:jc w:val="cente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档案管理</w:t>
            </w:r>
          </w:p>
          <w:p w14:paraId="120A7D2E">
            <w:pPr>
              <w:keepNext w:val="0"/>
              <w:keepLines w:val="0"/>
              <w:pageBreakBefore w:val="0"/>
              <w:widowControl/>
              <w:kinsoku/>
              <w:wordWrap/>
              <w:overflowPunct/>
              <w:topLinePunct w:val="0"/>
              <w:autoSpaceDE/>
              <w:autoSpaceDN/>
              <w:bidi w:val="0"/>
              <w:spacing w:line="440" w:lineRule="exact"/>
              <w:ind w:firstLine="0" w:firstLine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方案</w:t>
            </w:r>
          </w:p>
        </w:tc>
        <w:tc>
          <w:tcPr>
            <w:tcW w:w="745" w:type="dxa"/>
            <w:shd w:val="clear" w:color="auto" w:fill="FFFFFF"/>
            <w:noWrap w:val="0"/>
            <w:vAlign w:val="center"/>
          </w:tcPr>
          <w:p w14:paraId="6FD80C96">
            <w:pPr>
              <w:keepNext w:val="0"/>
              <w:keepLines w:val="0"/>
              <w:pageBreakBefore w:val="0"/>
              <w:widowControl/>
              <w:kinsoku/>
              <w:wordWrap/>
              <w:overflowPunct/>
              <w:topLinePunct w:val="0"/>
              <w:autoSpaceDE/>
              <w:autoSpaceDN/>
              <w:bidi w:val="0"/>
              <w:spacing w:line="440" w:lineRule="exact"/>
              <w:ind w:firstLine="0" w:firstLine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10分</w:t>
            </w:r>
          </w:p>
        </w:tc>
        <w:tc>
          <w:tcPr>
            <w:tcW w:w="6598" w:type="dxa"/>
            <w:shd w:val="clear" w:color="auto" w:fill="FFFFFF"/>
            <w:noWrap w:val="0"/>
            <w:vAlign w:val="center"/>
          </w:tcPr>
          <w:p w14:paraId="5C28EE24">
            <w:pPr>
              <w:keepNext w:val="0"/>
              <w:keepLines w:val="0"/>
              <w:pageBreakBefore w:val="0"/>
              <w:widowControl/>
              <w:kinsoku/>
              <w:wordWrap/>
              <w:overflowPunct/>
              <w:topLinePunct w:val="0"/>
              <w:autoSpaceDE/>
              <w:autoSpaceDN/>
              <w:bidi w:val="0"/>
              <w:spacing w:line="440" w:lineRule="exact"/>
              <w:jc w:val="both"/>
              <w:textAlignment w:val="cente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项目资料和图片收集规范完整、真实可靠并提供电子和纸质档案；施工各环节资料，包括施工日志、物资进验单、日常检查照片、</w:t>
            </w:r>
            <w:r>
              <w:rPr>
                <w:rFonts w:hint="eastAsia" w:ascii="宋体" w:hAnsi="宋体" w:cs="宋体"/>
                <w:color w:val="auto"/>
                <w:sz w:val="21"/>
                <w:szCs w:val="21"/>
                <w:highlight w:val="none"/>
                <w:lang w:val="en-US" w:eastAsia="zh-CN"/>
              </w:rPr>
              <w:t>采购人指定软件记录</w:t>
            </w:r>
            <w:r>
              <w:rPr>
                <w:rFonts w:hint="eastAsia" w:ascii="宋体" w:hAnsi="宋体" w:cs="宋体"/>
                <w:color w:val="auto"/>
                <w:sz w:val="21"/>
                <w:szCs w:val="21"/>
                <w:highlight w:val="none"/>
                <w:lang w:eastAsia="zh-CN"/>
              </w:rPr>
              <w:t>等登记齐全；及时提交标段初验和质量检查资料等。</w:t>
            </w:r>
            <w:r>
              <w:rPr>
                <w:rFonts w:hint="eastAsia" w:ascii="宋体" w:hAnsi="宋体" w:cs="宋体"/>
                <w:color w:val="auto"/>
                <w:sz w:val="21"/>
                <w:szCs w:val="21"/>
                <w:highlight w:val="none"/>
                <w:lang w:val="en-US" w:eastAsia="zh-CN"/>
              </w:rPr>
              <w:t>提供的方案内容描述完整齐全且合理的得10分；</w:t>
            </w:r>
            <w:r>
              <w:rPr>
                <w:rFonts w:hint="eastAsia" w:ascii="宋体" w:hAnsi="宋体" w:cs="宋体"/>
                <w:color w:val="auto"/>
                <w:spacing w:val="0"/>
                <w:sz w:val="21"/>
                <w:szCs w:val="21"/>
                <w:highlight w:val="none"/>
                <w:lang w:val="en-US" w:eastAsia="zh-CN"/>
              </w:rPr>
              <w:t>方案</w:t>
            </w:r>
            <w:r>
              <w:rPr>
                <w:rFonts w:hint="eastAsia" w:ascii="宋体" w:hAnsi="宋体" w:eastAsia="宋体" w:cs="宋体"/>
                <w:color w:val="auto"/>
                <w:spacing w:val="0"/>
                <w:sz w:val="21"/>
                <w:szCs w:val="21"/>
                <w:highlight w:val="none"/>
                <w:lang w:val="zh-CN" w:eastAsia="zh-CN"/>
              </w:rPr>
              <w:t>内容不够全面、不够合理的每处扣</w:t>
            </w:r>
            <w:r>
              <w:rPr>
                <w:rFonts w:hint="eastAsia" w:ascii="宋体" w:hAnsi="宋体" w:cs="宋体"/>
                <w:color w:val="auto"/>
                <w:spacing w:val="0"/>
                <w:sz w:val="21"/>
                <w:szCs w:val="21"/>
                <w:highlight w:val="none"/>
                <w:lang w:val="en-US" w:eastAsia="zh-CN"/>
              </w:rPr>
              <w:t>2</w:t>
            </w:r>
            <w:r>
              <w:rPr>
                <w:rFonts w:hint="eastAsia" w:ascii="宋体" w:hAnsi="宋体" w:eastAsia="宋体" w:cs="宋体"/>
                <w:color w:val="auto"/>
                <w:spacing w:val="0"/>
                <w:sz w:val="21"/>
                <w:szCs w:val="21"/>
                <w:highlight w:val="none"/>
                <w:lang w:val="zh-CN" w:eastAsia="zh-CN"/>
              </w:rPr>
              <w:t>分。</w:t>
            </w:r>
            <w:r>
              <w:rPr>
                <w:rFonts w:hint="eastAsia" w:ascii="宋体" w:hAnsi="宋体" w:cs="宋体"/>
                <w:color w:val="auto"/>
                <w:spacing w:val="0"/>
                <w:sz w:val="21"/>
                <w:szCs w:val="21"/>
                <w:highlight w:val="none"/>
                <w:lang w:val="en-US" w:eastAsia="zh-CN"/>
              </w:rPr>
              <w:t>方案</w:t>
            </w:r>
            <w:r>
              <w:rPr>
                <w:rFonts w:hint="eastAsia" w:ascii="宋体" w:hAnsi="宋体" w:eastAsia="宋体" w:cs="宋体"/>
                <w:color w:val="auto"/>
                <w:spacing w:val="0"/>
                <w:sz w:val="21"/>
                <w:szCs w:val="21"/>
                <w:highlight w:val="none"/>
                <w:lang w:val="zh-CN" w:eastAsia="zh-CN"/>
              </w:rPr>
              <w:t>内容不符合或不提供的不得分。</w:t>
            </w:r>
          </w:p>
        </w:tc>
        <w:tc>
          <w:tcPr>
            <w:tcW w:w="1025" w:type="dxa"/>
            <w:shd w:val="clear" w:color="auto" w:fill="FFFFFF"/>
            <w:noWrap w:val="0"/>
            <w:vAlign w:val="center"/>
          </w:tcPr>
          <w:p w14:paraId="267528C4">
            <w:pPr>
              <w:keepNext w:val="0"/>
              <w:keepLines w:val="0"/>
              <w:pageBreakBefore w:val="0"/>
              <w:widowControl/>
              <w:kinsoku/>
              <w:wordWrap/>
              <w:overflowPunct/>
              <w:topLinePunct w:val="0"/>
              <w:autoSpaceDE/>
              <w:autoSpaceDN/>
              <w:bidi w:val="0"/>
              <w:spacing w:line="44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r>
      <w:tr w14:paraId="21917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54" w:type="dxa"/>
            <w:vMerge w:val="continue"/>
            <w:shd w:val="clear" w:color="auto" w:fill="FFFFFF"/>
            <w:noWrap w:val="0"/>
            <w:vAlign w:val="center"/>
          </w:tcPr>
          <w:p w14:paraId="1DD2100F">
            <w:pPr>
              <w:keepNext w:val="0"/>
              <w:keepLines w:val="0"/>
              <w:pageBreakBefore w:val="0"/>
              <w:widowControl/>
              <w:kinsoku/>
              <w:wordWrap/>
              <w:overflowPunct/>
              <w:topLinePunct w:val="0"/>
              <w:autoSpaceDE/>
              <w:autoSpaceDN/>
              <w:bidi w:val="0"/>
              <w:spacing w:line="440" w:lineRule="exact"/>
              <w:ind w:firstLine="420"/>
              <w:jc w:val="center"/>
              <w:rPr>
                <w:rFonts w:ascii="宋体" w:hAnsi="宋体" w:cs="宋体"/>
                <w:color w:val="auto"/>
                <w:sz w:val="21"/>
                <w:szCs w:val="21"/>
                <w:highlight w:val="none"/>
              </w:rPr>
            </w:pPr>
          </w:p>
        </w:tc>
        <w:tc>
          <w:tcPr>
            <w:tcW w:w="1355" w:type="dxa"/>
            <w:shd w:val="clear" w:color="auto" w:fill="FFFFFF"/>
            <w:noWrap w:val="0"/>
            <w:vAlign w:val="center"/>
          </w:tcPr>
          <w:p w14:paraId="41EB3C00">
            <w:pPr>
              <w:keepNext w:val="0"/>
              <w:keepLines w:val="0"/>
              <w:pageBreakBefore w:val="0"/>
              <w:widowControl/>
              <w:kinsoku/>
              <w:wordWrap/>
              <w:overflowPunct/>
              <w:topLinePunct w:val="0"/>
              <w:autoSpaceDE/>
              <w:autoSpaceDN/>
              <w:bidi w:val="0"/>
              <w:spacing w:line="440" w:lineRule="exact"/>
              <w:ind w:firstLine="0" w:firstLineChars="0"/>
              <w:jc w:val="cente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应急方案及措施</w:t>
            </w:r>
          </w:p>
        </w:tc>
        <w:tc>
          <w:tcPr>
            <w:tcW w:w="745" w:type="dxa"/>
            <w:shd w:val="clear" w:color="auto" w:fill="FFFFFF"/>
            <w:noWrap w:val="0"/>
            <w:vAlign w:val="center"/>
          </w:tcPr>
          <w:p w14:paraId="1C183AFB">
            <w:pPr>
              <w:keepNext w:val="0"/>
              <w:keepLines w:val="0"/>
              <w:pageBreakBefore w:val="0"/>
              <w:widowControl/>
              <w:kinsoku/>
              <w:wordWrap/>
              <w:overflowPunct/>
              <w:topLinePunct w:val="0"/>
              <w:autoSpaceDE/>
              <w:autoSpaceDN/>
              <w:bidi w:val="0"/>
              <w:spacing w:line="440" w:lineRule="exact"/>
              <w:ind w:firstLine="0" w:firstLine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4分</w:t>
            </w:r>
          </w:p>
        </w:tc>
        <w:tc>
          <w:tcPr>
            <w:tcW w:w="6598" w:type="dxa"/>
            <w:shd w:val="clear" w:color="auto" w:fill="FFFFFF"/>
            <w:noWrap w:val="0"/>
            <w:vAlign w:val="center"/>
          </w:tcPr>
          <w:p w14:paraId="316ADA8F">
            <w:pPr>
              <w:keepNext w:val="0"/>
              <w:keepLines w:val="0"/>
              <w:pageBreakBefore w:val="0"/>
              <w:widowControl/>
              <w:kinsoku/>
              <w:wordWrap/>
              <w:overflowPunct/>
              <w:topLinePunct w:val="0"/>
              <w:autoSpaceDE/>
              <w:autoSpaceDN/>
              <w:bidi w:val="0"/>
              <w:spacing w:line="440" w:lineRule="exact"/>
              <w:jc w:val="both"/>
              <w:textAlignment w:val="center"/>
              <w:rPr>
                <w:rFonts w:hint="eastAsia" w:ascii="宋体" w:hAnsi="宋体" w:eastAsia="宋体" w:cs="宋体"/>
                <w:color w:val="auto"/>
                <w:sz w:val="24"/>
                <w:szCs w:val="24"/>
                <w:lang w:eastAsia="zh-CN"/>
              </w:rPr>
            </w:pPr>
            <w:r>
              <w:rPr>
                <w:rFonts w:hint="eastAsia" w:ascii="宋体" w:hAnsi="宋体" w:cs="宋体"/>
                <w:color w:val="auto"/>
                <w:sz w:val="21"/>
                <w:szCs w:val="21"/>
                <w:highlight w:val="none"/>
                <w:lang w:val="en-US" w:eastAsia="zh-CN"/>
              </w:rPr>
              <w:t>投标人结合本项目特点（包括临时突发性、解决措施等）编制应急方案。提供的方案内容描述完整齐全且合理的得4分；</w:t>
            </w:r>
            <w:r>
              <w:rPr>
                <w:rFonts w:hint="eastAsia" w:ascii="宋体" w:hAnsi="宋体" w:cs="宋体"/>
                <w:color w:val="auto"/>
                <w:spacing w:val="0"/>
                <w:sz w:val="21"/>
                <w:szCs w:val="21"/>
                <w:highlight w:val="none"/>
                <w:lang w:val="en-US" w:eastAsia="zh-CN"/>
              </w:rPr>
              <w:t>方案</w:t>
            </w:r>
            <w:r>
              <w:rPr>
                <w:rFonts w:hint="eastAsia" w:ascii="宋体" w:hAnsi="宋体" w:eastAsia="宋体" w:cs="宋体"/>
                <w:color w:val="auto"/>
                <w:spacing w:val="0"/>
                <w:sz w:val="21"/>
                <w:szCs w:val="21"/>
                <w:highlight w:val="none"/>
                <w:lang w:val="zh-CN" w:eastAsia="zh-CN"/>
              </w:rPr>
              <w:t>内容不够全面、不够合理的每处扣</w:t>
            </w:r>
            <w:r>
              <w:rPr>
                <w:rFonts w:hint="eastAsia" w:ascii="宋体" w:hAnsi="宋体" w:cs="宋体"/>
                <w:color w:val="auto"/>
                <w:spacing w:val="0"/>
                <w:sz w:val="21"/>
                <w:szCs w:val="21"/>
                <w:highlight w:val="none"/>
                <w:lang w:val="en-US" w:eastAsia="zh-CN"/>
              </w:rPr>
              <w:t>2</w:t>
            </w:r>
            <w:r>
              <w:rPr>
                <w:rFonts w:hint="eastAsia" w:ascii="宋体" w:hAnsi="宋体" w:eastAsia="宋体" w:cs="宋体"/>
                <w:color w:val="auto"/>
                <w:spacing w:val="0"/>
                <w:sz w:val="21"/>
                <w:szCs w:val="21"/>
                <w:highlight w:val="none"/>
                <w:lang w:val="zh-CN" w:eastAsia="zh-CN"/>
              </w:rPr>
              <w:t>分。</w:t>
            </w:r>
            <w:r>
              <w:rPr>
                <w:rFonts w:hint="eastAsia" w:ascii="宋体" w:hAnsi="宋体" w:cs="宋体"/>
                <w:color w:val="auto"/>
                <w:spacing w:val="0"/>
                <w:sz w:val="21"/>
                <w:szCs w:val="21"/>
                <w:highlight w:val="none"/>
                <w:lang w:val="en-US" w:eastAsia="zh-CN"/>
              </w:rPr>
              <w:t>方案</w:t>
            </w:r>
            <w:r>
              <w:rPr>
                <w:rFonts w:hint="eastAsia" w:ascii="宋体" w:hAnsi="宋体" w:eastAsia="宋体" w:cs="宋体"/>
                <w:color w:val="auto"/>
                <w:spacing w:val="0"/>
                <w:sz w:val="21"/>
                <w:szCs w:val="21"/>
                <w:highlight w:val="none"/>
                <w:lang w:val="zh-CN" w:eastAsia="zh-CN"/>
              </w:rPr>
              <w:t>内容不符合或不提供的不得分。</w:t>
            </w:r>
          </w:p>
        </w:tc>
        <w:tc>
          <w:tcPr>
            <w:tcW w:w="1025" w:type="dxa"/>
            <w:shd w:val="clear" w:color="auto" w:fill="FFFFFF"/>
            <w:noWrap w:val="0"/>
            <w:vAlign w:val="center"/>
          </w:tcPr>
          <w:p w14:paraId="1D563112">
            <w:pPr>
              <w:keepNext w:val="0"/>
              <w:keepLines w:val="0"/>
              <w:pageBreakBefore w:val="0"/>
              <w:widowControl/>
              <w:kinsoku/>
              <w:wordWrap/>
              <w:overflowPunct/>
              <w:topLinePunct w:val="0"/>
              <w:autoSpaceDE/>
              <w:autoSpaceDN/>
              <w:bidi w:val="0"/>
              <w:spacing w:line="44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r>
      <w:tr w14:paraId="45A4C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54" w:type="dxa"/>
            <w:vMerge w:val="continue"/>
            <w:shd w:val="clear" w:color="auto" w:fill="FFFFFF"/>
            <w:noWrap w:val="0"/>
            <w:vAlign w:val="center"/>
          </w:tcPr>
          <w:p w14:paraId="480375A1">
            <w:pPr>
              <w:keepNext w:val="0"/>
              <w:keepLines w:val="0"/>
              <w:pageBreakBefore w:val="0"/>
              <w:widowControl/>
              <w:kinsoku/>
              <w:wordWrap/>
              <w:overflowPunct/>
              <w:topLinePunct w:val="0"/>
              <w:autoSpaceDE/>
              <w:autoSpaceDN/>
              <w:bidi w:val="0"/>
              <w:spacing w:line="440" w:lineRule="exact"/>
              <w:ind w:firstLine="0" w:firstLineChars="0"/>
              <w:jc w:val="center"/>
              <w:rPr>
                <w:rFonts w:hint="eastAsia" w:ascii="宋体" w:hAnsi="宋体" w:cs="宋体"/>
                <w:color w:val="auto"/>
                <w:sz w:val="21"/>
                <w:szCs w:val="21"/>
                <w:highlight w:val="none"/>
              </w:rPr>
            </w:pPr>
          </w:p>
        </w:tc>
        <w:tc>
          <w:tcPr>
            <w:tcW w:w="1355" w:type="dxa"/>
            <w:shd w:val="clear" w:color="auto" w:fill="FFFFFF"/>
            <w:noWrap w:val="0"/>
            <w:vAlign w:val="center"/>
          </w:tcPr>
          <w:p w14:paraId="7F84FADE">
            <w:pPr>
              <w:keepNext w:val="0"/>
              <w:keepLines w:val="0"/>
              <w:pageBreakBefore w:val="0"/>
              <w:widowControl/>
              <w:kinsoku/>
              <w:wordWrap/>
              <w:overflowPunct/>
              <w:topLinePunct w:val="0"/>
              <w:autoSpaceDE/>
              <w:autoSpaceDN/>
              <w:bidi w:val="0"/>
              <w:spacing w:line="440" w:lineRule="exact"/>
              <w:ind w:firstLine="0" w:firstLineChars="0"/>
              <w:jc w:val="center"/>
              <w:rPr>
                <w:rFonts w:hint="eastAsia" w:ascii="宋体" w:hAnsi="宋体" w:cs="宋体"/>
                <w:bCs/>
                <w:color w:val="auto"/>
                <w:sz w:val="21"/>
                <w:szCs w:val="21"/>
                <w:highlight w:val="none"/>
              </w:rPr>
            </w:pPr>
            <w:r>
              <w:rPr>
                <w:rFonts w:hint="eastAsia" w:ascii="宋体" w:hAnsi="宋体" w:cs="宋体"/>
                <w:bCs/>
                <w:color w:val="auto"/>
                <w:sz w:val="21"/>
                <w:szCs w:val="21"/>
                <w:highlight w:val="none"/>
              </w:rPr>
              <w:t>后续服务</w:t>
            </w:r>
          </w:p>
          <w:p w14:paraId="74EEEB58">
            <w:pPr>
              <w:keepNext w:val="0"/>
              <w:keepLines w:val="0"/>
              <w:pageBreakBefore w:val="0"/>
              <w:widowControl/>
              <w:kinsoku/>
              <w:wordWrap/>
              <w:overflowPunct/>
              <w:topLinePunct w:val="0"/>
              <w:autoSpaceDE/>
              <w:autoSpaceDN/>
              <w:bidi w:val="0"/>
              <w:spacing w:line="440" w:lineRule="exact"/>
              <w:ind w:firstLine="0" w:firstLineChars="0"/>
              <w:jc w:val="center"/>
              <w:rPr>
                <w:rFonts w:hint="eastAsia" w:ascii="宋体" w:hAnsi="宋体" w:cs="宋体"/>
                <w:bCs/>
                <w:color w:val="auto"/>
                <w:sz w:val="21"/>
                <w:szCs w:val="21"/>
                <w:highlight w:val="none"/>
              </w:rPr>
            </w:pPr>
            <w:r>
              <w:rPr>
                <w:rFonts w:hint="eastAsia" w:ascii="宋体" w:hAnsi="宋体" w:cs="宋体"/>
                <w:bCs/>
                <w:color w:val="auto"/>
                <w:sz w:val="21"/>
                <w:szCs w:val="21"/>
                <w:highlight w:val="none"/>
              </w:rPr>
              <w:t>方案</w:t>
            </w:r>
          </w:p>
        </w:tc>
        <w:tc>
          <w:tcPr>
            <w:tcW w:w="745" w:type="dxa"/>
            <w:shd w:val="clear" w:color="auto" w:fill="FFFFFF"/>
            <w:noWrap w:val="0"/>
            <w:vAlign w:val="center"/>
          </w:tcPr>
          <w:p w14:paraId="3B51E900">
            <w:pPr>
              <w:keepNext w:val="0"/>
              <w:keepLines w:val="0"/>
              <w:pageBreakBefore w:val="0"/>
              <w:widowControl/>
              <w:kinsoku/>
              <w:wordWrap/>
              <w:overflowPunct/>
              <w:topLinePunct w:val="0"/>
              <w:autoSpaceDE/>
              <w:autoSpaceDN/>
              <w:bidi w:val="0"/>
              <w:spacing w:line="440" w:lineRule="exact"/>
              <w:ind w:firstLine="0" w:firstLineChars="0"/>
              <w:jc w:val="center"/>
              <w:rPr>
                <w:rFonts w:hint="eastAsia" w:ascii="宋体" w:hAnsi="宋体" w:cs="宋体"/>
                <w:color w:val="auto"/>
                <w:sz w:val="21"/>
                <w:szCs w:val="21"/>
                <w:highlight w:val="none"/>
                <w:lang w:val="en-US" w:eastAsia="zh-CN"/>
              </w:rPr>
            </w:pPr>
            <w:r>
              <w:rPr>
                <w:rFonts w:hint="eastAsia" w:ascii="宋体" w:hAnsi="宋体" w:cs="宋体"/>
                <w:color w:val="auto"/>
                <w:spacing w:val="-8"/>
                <w:kern w:val="0"/>
                <w:sz w:val="21"/>
                <w:szCs w:val="21"/>
                <w:highlight w:val="none"/>
                <w:lang w:val="en-US" w:eastAsia="zh-CN"/>
              </w:rPr>
              <w:t>8</w:t>
            </w:r>
            <w:r>
              <w:rPr>
                <w:rFonts w:hint="eastAsia" w:ascii="宋体" w:hAnsi="宋体" w:cs="宋体"/>
                <w:color w:val="auto"/>
                <w:spacing w:val="-8"/>
                <w:kern w:val="0"/>
                <w:sz w:val="21"/>
                <w:szCs w:val="21"/>
                <w:highlight w:val="none"/>
              </w:rPr>
              <w:t>分</w:t>
            </w:r>
          </w:p>
        </w:tc>
        <w:tc>
          <w:tcPr>
            <w:tcW w:w="6598" w:type="dxa"/>
            <w:shd w:val="clear" w:color="auto" w:fill="FFFFFF"/>
            <w:noWrap w:val="0"/>
            <w:vAlign w:val="center"/>
          </w:tcPr>
          <w:p w14:paraId="273780CE">
            <w:pPr>
              <w:keepNext w:val="0"/>
              <w:keepLines w:val="0"/>
              <w:pageBreakBefore w:val="0"/>
              <w:widowControl/>
              <w:kinsoku/>
              <w:wordWrap/>
              <w:overflowPunct/>
              <w:topLinePunct w:val="0"/>
              <w:autoSpaceDE/>
              <w:autoSpaceDN/>
              <w:bidi w:val="0"/>
              <w:spacing w:line="440" w:lineRule="exact"/>
              <w:jc w:val="both"/>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投标人针对本项目提供的售后服务方案：包括服务措施</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响应时间</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服务力量</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回访</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技术培训计划</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售后服务网点情况</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是否</w:t>
            </w:r>
            <w:r>
              <w:rPr>
                <w:rFonts w:hint="eastAsia" w:ascii="宋体" w:hAnsi="宋体" w:cs="宋体"/>
                <w:color w:val="auto"/>
                <w:sz w:val="21"/>
                <w:szCs w:val="21"/>
                <w:highlight w:val="none"/>
                <w:lang w:val="zh-CN"/>
              </w:rPr>
              <w:t>能实现本地化服务</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对</w:t>
            </w:r>
            <w:r>
              <w:rPr>
                <w:rFonts w:hint="eastAsia" w:ascii="宋体" w:hAnsi="宋体" w:cs="宋体"/>
                <w:color w:val="auto"/>
                <w:sz w:val="21"/>
                <w:szCs w:val="21"/>
                <w:highlight w:val="none"/>
                <w:lang w:val="en-US" w:eastAsia="zh-CN"/>
              </w:rPr>
              <w:t>采购人</w:t>
            </w:r>
            <w:r>
              <w:rPr>
                <w:rFonts w:hint="eastAsia" w:ascii="宋体" w:hAnsi="宋体" w:cs="宋体"/>
                <w:color w:val="auto"/>
                <w:sz w:val="21"/>
                <w:szCs w:val="21"/>
                <w:highlight w:val="none"/>
              </w:rPr>
              <w:t>提出的问题能否及时有效的提出解决方案</w:t>
            </w:r>
            <w:r>
              <w:rPr>
                <w:rFonts w:hint="eastAsia" w:ascii="宋体" w:hAnsi="宋体" w:cs="宋体"/>
                <w:color w:val="auto"/>
                <w:sz w:val="21"/>
                <w:szCs w:val="21"/>
                <w:highlight w:val="none"/>
                <w:lang w:val="en-US" w:eastAsia="zh-CN"/>
              </w:rPr>
              <w:t>等8</w:t>
            </w:r>
            <w:r>
              <w:rPr>
                <w:rFonts w:hint="eastAsia" w:ascii="宋体" w:hAnsi="宋体" w:cs="宋体"/>
                <w:color w:val="auto"/>
                <w:sz w:val="21"/>
                <w:szCs w:val="21"/>
                <w:highlight w:val="none"/>
              </w:rPr>
              <w:t>小项内容提供后续服务方案</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根据投标人后续服务承诺、提供的后续服务方案的完整性、便捷性、可行性、保障性等内容进行</w:t>
            </w:r>
            <w:r>
              <w:rPr>
                <w:rFonts w:hint="eastAsia" w:ascii="宋体" w:hAnsi="宋体" w:eastAsia="宋体" w:cs="宋体"/>
                <w:color w:val="auto"/>
                <w:sz w:val="21"/>
                <w:szCs w:val="21"/>
                <w:highlight w:val="none"/>
                <w:lang w:eastAsia="zh-CN"/>
              </w:rPr>
              <w:t>评分</w:t>
            </w:r>
            <w:r>
              <w:rPr>
                <w:rFonts w:hint="eastAsia" w:ascii="宋体" w:hAnsi="宋体" w:eastAsia="宋体" w:cs="宋体"/>
                <w:color w:val="auto"/>
                <w:sz w:val="21"/>
                <w:szCs w:val="21"/>
                <w:highlight w:val="none"/>
              </w:rPr>
              <w:t>。</w:t>
            </w:r>
            <w:r>
              <w:rPr>
                <w:rFonts w:hint="eastAsia" w:ascii="宋体" w:hAnsi="宋体" w:eastAsia="宋体" w:cs="宋体"/>
                <w:color w:val="auto"/>
                <w:spacing w:val="0"/>
                <w:sz w:val="21"/>
                <w:szCs w:val="21"/>
                <w:highlight w:val="none"/>
                <w:lang w:val="zh-CN" w:eastAsia="zh-CN"/>
              </w:rPr>
              <w:t>服务方案全面、有效、可操作性强的得</w:t>
            </w:r>
            <w:r>
              <w:rPr>
                <w:rFonts w:hint="eastAsia" w:ascii="宋体" w:hAnsi="宋体" w:cs="宋体"/>
                <w:color w:val="auto"/>
                <w:spacing w:val="0"/>
                <w:sz w:val="21"/>
                <w:szCs w:val="21"/>
                <w:highlight w:val="none"/>
                <w:lang w:val="en-US" w:eastAsia="zh-CN"/>
              </w:rPr>
              <w:t>8</w:t>
            </w:r>
            <w:r>
              <w:rPr>
                <w:rFonts w:hint="eastAsia" w:ascii="宋体" w:hAnsi="宋体" w:eastAsia="宋体" w:cs="宋体"/>
                <w:color w:val="auto"/>
                <w:spacing w:val="0"/>
                <w:sz w:val="21"/>
                <w:szCs w:val="21"/>
                <w:highlight w:val="none"/>
                <w:lang w:val="zh-CN" w:eastAsia="zh-CN"/>
              </w:rPr>
              <w:t>分；思路不清晰，逻辑性差，可操作性与实际情况有偏离的每处扣1分。</w:t>
            </w:r>
            <w:r>
              <w:rPr>
                <w:rFonts w:hint="eastAsia" w:ascii="宋体" w:hAnsi="宋体" w:cs="宋体"/>
                <w:color w:val="auto"/>
                <w:sz w:val="21"/>
                <w:szCs w:val="21"/>
                <w:highlight w:val="none"/>
                <w:lang w:val="en-US" w:eastAsia="zh-CN"/>
              </w:rPr>
              <w:t>未</w:t>
            </w:r>
            <w:r>
              <w:rPr>
                <w:rFonts w:hint="eastAsia" w:ascii="宋体" w:hAnsi="宋体" w:cs="宋体"/>
                <w:color w:val="auto"/>
                <w:sz w:val="21"/>
                <w:szCs w:val="21"/>
                <w:highlight w:val="none"/>
              </w:rPr>
              <w:t>提供不得分。</w:t>
            </w:r>
          </w:p>
        </w:tc>
        <w:tc>
          <w:tcPr>
            <w:tcW w:w="1025" w:type="dxa"/>
            <w:shd w:val="clear" w:color="auto" w:fill="FFFFFF"/>
            <w:noWrap w:val="0"/>
            <w:vAlign w:val="center"/>
          </w:tcPr>
          <w:p w14:paraId="3C7216A7">
            <w:pPr>
              <w:keepNext w:val="0"/>
              <w:keepLines w:val="0"/>
              <w:pageBreakBefore w:val="0"/>
              <w:widowControl/>
              <w:kinsoku/>
              <w:wordWrap/>
              <w:overflowPunct/>
              <w:topLinePunct w:val="0"/>
              <w:autoSpaceDE/>
              <w:autoSpaceDN/>
              <w:bidi w:val="0"/>
              <w:spacing w:line="44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r>
      <w:tr w14:paraId="3E4E0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654" w:type="dxa"/>
            <w:shd w:val="clear" w:color="auto" w:fill="FFFFFF"/>
            <w:noWrap w:val="0"/>
            <w:vAlign w:val="center"/>
          </w:tcPr>
          <w:p w14:paraId="369CD4ED">
            <w:pPr>
              <w:keepNext w:val="0"/>
              <w:keepLines w:val="0"/>
              <w:pageBreakBefore w:val="0"/>
              <w:widowControl/>
              <w:kinsoku/>
              <w:wordWrap/>
              <w:overflowPunct/>
              <w:topLinePunct w:val="0"/>
              <w:autoSpaceDE/>
              <w:autoSpaceDN/>
              <w:bidi w:val="0"/>
              <w:spacing w:line="440" w:lineRule="exact"/>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1355" w:type="dxa"/>
            <w:shd w:val="clear" w:color="auto" w:fill="FFFFFF"/>
            <w:noWrap w:val="0"/>
            <w:vAlign w:val="center"/>
          </w:tcPr>
          <w:p w14:paraId="70241AD8">
            <w:pPr>
              <w:keepNext w:val="0"/>
              <w:keepLines w:val="0"/>
              <w:pageBreakBefore w:val="0"/>
              <w:widowControl/>
              <w:kinsoku/>
              <w:wordWrap/>
              <w:overflowPunct/>
              <w:topLinePunct w:val="0"/>
              <w:autoSpaceDE/>
              <w:autoSpaceDN/>
              <w:bidi w:val="0"/>
              <w:spacing w:line="440" w:lineRule="exact"/>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 xml:space="preserve">  报价分值</w:t>
            </w:r>
          </w:p>
        </w:tc>
        <w:tc>
          <w:tcPr>
            <w:tcW w:w="745" w:type="dxa"/>
            <w:shd w:val="clear" w:color="auto" w:fill="FFFFFF"/>
            <w:noWrap w:val="0"/>
            <w:vAlign w:val="center"/>
          </w:tcPr>
          <w:p w14:paraId="708C47D2">
            <w:pPr>
              <w:keepNext w:val="0"/>
              <w:keepLines w:val="0"/>
              <w:pageBreakBefore w:val="0"/>
              <w:widowControl/>
              <w:kinsoku/>
              <w:wordWrap/>
              <w:overflowPunct/>
              <w:topLinePunct w:val="0"/>
              <w:autoSpaceDE/>
              <w:autoSpaceDN/>
              <w:bidi w:val="0"/>
              <w:spacing w:line="440" w:lineRule="exact"/>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rPr>
              <w:t>分</w:t>
            </w:r>
          </w:p>
        </w:tc>
        <w:tc>
          <w:tcPr>
            <w:tcW w:w="6598" w:type="dxa"/>
            <w:shd w:val="clear" w:color="auto" w:fill="FFFFFF"/>
            <w:noWrap w:val="0"/>
            <w:vAlign w:val="center"/>
          </w:tcPr>
          <w:p w14:paraId="2B3994ED">
            <w:pPr>
              <w:keepNext w:val="0"/>
              <w:keepLines w:val="0"/>
              <w:pageBreakBefore w:val="0"/>
              <w:widowControl/>
              <w:kinsoku/>
              <w:wordWrap/>
              <w:overflowPunct/>
              <w:topLinePunct w:val="0"/>
              <w:autoSpaceDE/>
              <w:autoSpaceDN/>
              <w:bidi w:val="0"/>
              <w:spacing w:line="440" w:lineRule="exact"/>
              <w:ind w:firstLine="0" w:firstLineChars="0"/>
              <w:jc w:val="both"/>
              <w:rPr>
                <w:rFonts w:ascii="宋体" w:hAnsi="宋体" w:cs="宋体"/>
                <w:color w:val="auto"/>
                <w:sz w:val="21"/>
                <w:szCs w:val="21"/>
                <w:highlight w:val="none"/>
              </w:rPr>
            </w:pPr>
            <w:r>
              <w:rPr>
                <w:rFonts w:hint="eastAsia" w:ascii="宋体" w:hAnsi="宋体" w:cs="宋体"/>
                <w:color w:val="auto"/>
                <w:sz w:val="21"/>
                <w:szCs w:val="21"/>
                <w:highlight w:val="none"/>
              </w:rPr>
              <w:t>满足招标文件要求且投标价格最低的投标报价为评标基准价，其价格分为满分，其他投标人的价格分统一按下列公式计算（按四舍五入取至小数点后两位）：</w:t>
            </w:r>
          </w:p>
          <w:p w14:paraId="24378571">
            <w:pPr>
              <w:keepNext w:val="0"/>
              <w:keepLines w:val="0"/>
              <w:pageBreakBefore w:val="0"/>
              <w:widowControl/>
              <w:kinsoku/>
              <w:wordWrap/>
              <w:overflowPunct/>
              <w:topLinePunct w:val="0"/>
              <w:autoSpaceDE/>
              <w:autoSpaceDN/>
              <w:bidi w:val="0"/>
              <w:spacing w:line="440" w:lineRule="exact"/>
              <w:ind w:firstLine="0" w:firstLineChars="0"/>
              <w:jc w:val="both"/>
              <w:rPr>
                <w:rFonts w:hint="default" w:ascii="宋体" w:hAnsi="宋体" w:cs="宋体"/>
                <w:color w:val="auto"/>
                <w:sz w:val="21"/>
                <w:szCs w:val="21"/>
                <w:highlight w:val="none"/>
                <w:lang w:val="en-US"/>
              </w:rPr>
            </w:pPr>
            <w:r>
              <w:rPr>
                <w:rFonts w:hint="eastAsia" w:ascii="宋体" w:hAnsi="宋体" w:cs="宋体"/>
                <w:color w:val="auto"/>
                <w:sz w:val="21"/>
                <w:szCs w:val="21"/>
                <w:highlight w:val="none"/>
              </w:rPr>
              <w:t>投标报价得分=（评标基准价/投标报价）×</w:t>
            </w:r>
            <w:r>
              <w:rPr>
                <w:rFonts w:hint="eastAsia" w:ascii="宋体" w:hAnsi="宋体" w:cs="宋体"/>
                <w:color w:val="auto"/>
                <w:sz w:val="21"/>
                <w:szCs w:val="21"/>
                <w:highlight w:val="none"/>
                <w:lang w:val="en-US" w:eastAsia="zh-CN"/>
              </w:rPr>
              <w:t>20</w:t>
            </w:r>
          </w:p>
        </w:tc>
        <w:tc>
          <w:tcPr>
            <w:tcW w:w="1025" w:type="dxa"/>
            <w:shd w:val="clear" w:color="auto" w:fill="FFFFFF"/>
            <w:noWrap w:val="0"/>
            <w:vAlign w:val="center"/>
          </w:tcPr>
          <w:p w14:paraId="7140889A">
            <w:pPr>
              <w:keepNext w:val="0"/>
              <w:keepLines w:val="0"/>
              <w:pageBreakBefore w:val="0"/>
              <w:widowControl/>
              <w:kinsoku/>
              <w:wordWrap/>
              <w:overflowPunct/>
              <w:topLinePunct w:val="0"/>
              <w:autoSpaceDE/>
              <w:autoSpaceDN/>
              <w:bidi w:val="0"/>
              <w:spacing w:line="44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2FEB1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54" w:type="dxa"/>
            <w:shd w:val="clear" w:color="auto" w:fill="FFFFFF"/>
            <w:noWrap w:val="0"/>
            <w:vAlign w:val="center"/>
          </w:tcPr>
          <w:p w14:paraId="08E17A34">
            <w:pPr>
              <w:keepNext w:val="0"/>
              <w:keepLines w:val="0"/>
              <w:pageBreakBefore w:val="0"/>
              <w:widowControl/>
              <w:kinsoku/>
              <w:wordWrap/>
              <w:overflowPunct/>
              <w:topLinePunct w:val="0"/>
              <w:autoSpaceDE/>
              <w:autoSpaceDN/>
              <w:bidi w:val="0"/>
              <w:spacing w:line="440" w:lineRule="exact"/>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1355" w:type="dxa"/>
            <w:shd w:val="clear" w:color="auto" w:fill="FFFFFF"/>
            <w:noWrap w:val="0"/>
            <w:vAlign w:val="center"/>
          </w:tcPr>
          <w:p w14:paraId="7EA01921">
            <w:pPr>
              <w:keepNext w:val="0"/>
              <w:keepLines w:val="0"/>
              <w:pageBreakBefore w:val="0"/>
              <w:widowControl/>
              <w:kinsoku/>
              <w:wordWrap/>
              <w:overflowPunct/>
              <w:topLinePunct w:val="0"/>
              <w:autoSpaceDE/>
              <w:autoSpaceDN/>
              <w:bidi w:val="0"/>
              <w:spacing w:line="440" w:lineRule="exact"/>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总得分</w:t>
            </w:r>
          </w:p>
        </w:tc>
        <w:tc>
          <w:tcPr>
            <w:tcW w:w="745" w:type="dxa"/>
            <w:shd w:val="clear" w:color="auto" w:fill="FFFFFF"/>
            <w:noWrap w:val="0"/>
            <w:vAlign w:val="center"/>
          </w:tcPr>
          <w:p w14:paraId="5C54120B">
            <w:pPr>
              <w:keepNext w:val="0"/>
              <w:keepLines w:val="0"/>
              <w:pageBreakBefore w:val="0"/>
              <w:widowControl/>
              <w:kinsoku/>
              <w:wordWrap/>
              <w:overflowPunct/>
              <w:topLinePunct w:val="0"/>
              <w:autoSpaceDE/>
              <w:autoSpaceDN/>
              <w:bidi w:val="0"/>
              <w:spacing w:line="440" w:lineRule="exact"/>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100分</w:t>
            </w:r>
          </w:p>
        </w:tc>
        <w:tc>
          <w:tcPr>
            <w:tcW w:w="7623" w:type="dxa"/>
            <w:gridSpan w:val="2"/>
            <w:shd w:val="clear" w:color="auto" w:fill="FFFFFF"/>
            <w:noWrap w:val="0"/>
            <w:vAlign w:val="center"/>
          </w:tcPr>
          <w:p w14:paraId="68FC5A41">
            <w:pPr>
              <w:keepNext w:val="0"/>
              <w:keepLines w:val="0"/>
              <w:pageBreakBefore w:val="0"/>
              <w:widowControl/>
              <w:kinsoku/>
              <w:wordWrap/>
              <w:overflowPunct/>
              <w:topLinePunct w:val="0"/>
              <w:autoSpaceDE/>
              <w:autoSpaceDN/>
              <w:bidi w:val="0"/>
              <w:spacing w:line="440" w:lineRule="exact"/>
              <w:ind w:firstLine="0" w:firstLineChars="0"/>
              <w:jc w:val="both"/>
              <w:rPr>
                <w:rFonts w:ascii="宋体" w:hAnsi="宋体" w:cs="宋体"/>
                <w:color w:val="auto"/>
                <w:sz w:val="21"/>
                <w:szCs w:val="21"/>
                <w:highlight w:val="none"/>
              </w:rPr>
            </w:pPr>
            <w:r>
              <w:rPr>
                <w:rFonts w:hint="eastAsia" w:ascii="宋体" w:hAnsi="宋体" w:cs="宋体"/>
                <w:color w:val="auto"/>
                <w:sz w:val="21"/>
                <w:szCs w:val="21"/>
                <w:highlight w:val="none"/>
              </w:rPr>
              <w:t>总得分=技术商务</w:t>
            </w:r>
            <w:r>
              <w:rPr>
                <w:rFonts w:hint="eastAsia" w:ascii="宋体" w:hAnsi="宋体" w:cs="宋体"/>
                <w:color w:val="auto"/>
                <w:sz w:val="21"/>
                <w:szCs w:val="21"/>
                <w:highlight w:val="none"/>
                <w:lang w:val="en-US" w:eastAsia="zh-CN"/>
              </w:rPr>
              <w:t>等</w:t>
            </w:r>
            <w:r>
              <w:rPr>
                <w:rFonts w:hint="eastAsia" w:ascii="宋体" w:hAnsi="宋体" w:cs="宋体"/>
                <w:color w:val="auto"/>
                <w:sz w:val="21"/>
                <w:szCs w:val="21"/>
                <w:highlight w:val="none"/>
              </w:rPr>
              <w:t>分值+报价分值</w:t>
            </w:r>
          </w:p>
        </w:tc>
      </w:tr>
    </w:tbl>
    <w:p w14:paraId="18EEB531">
      <w:pPr>
        <w:keepNext w:val="0"/>
        <w:keepLines w:val="0"/>
        <w:pageBreakBefore w:val="0"/>
        <w:widowControl/>
        <w:kinsoku/>
        <w:wordWrap/>
        <w:overflowPunct/>
        <w:topLinePunct w:val="0"/>
        <w:autoSpaceDE/>
        <w:autoSpaceDN/>
        <w:bidi w:val="0"/>
        <w:adjustRightInd/>
        <w:spacing w:line="440" w:lineRule="exact"/>
        <w:ind w:firstLine="422" w:firstLineChars="200"/>
        <w:jc w:val="left"/>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26.</w:t>
      </w:r>
      <w:r>
        <w:rPr>
          <w:rFonts w:hint="eastAsia" w:ascii="宋体" w:hAnsi="宋体" w:eastAsia="宋体" w:cs="宋体"/>
          <w:b/>
          <w:bCs/>
          <w:color w:val="auto"/>
          <w:kern w:val="0"/>
          <w:sz w:val="21"/>
          <w:szCs w:val="21"/>
          <w:highlight w:val="none"/>
        </w:rPr>
        <w:t>串通投标的情形</w:t>
      </w:r>
    </w:p>
    <w:p w14:paraId="3C8E72B4">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outlineLvl w:val="9"/>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lang w:val="en-US" w:eastAsia="zh-CN"/>
        </w:rPr>
        <w:t>1</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rPr>
        <w:t>不同投标人的投标文件由同一单位或者个人编制；</w:t>
      </w:r>
    </w:p>
    <w:p w14:paraId="21AACAF2">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outlineLvl w:val="9"/>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rPr>
        <w:t>不同投标人委托同一单位或者个人办理投标事宜；</w:t>
      </w:r>
    </w:p>
    <w:p w14:paraId="177419E1">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outlineLvl w:val="9"/>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lang w:val="en-US" w:eastAsia="zh-CN"/>
        </w:rPr>
        <w:t>3</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rPr>
        <w:t>不同投标人的投标文件载明的项目管理成员或者联系人员为同一人；</w:t>
      </w:r>
    </w:p>
    <w:p w14:paraId="70019104">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outlineLvl w:val="9"/>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lang w:val="en-US" w:eastAsia="zh-CN"/>
        </w:rPr>
        <w:t>4</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rPr>
        <w:t>不同投标人的投标文件异常一致或者投标报价呈规律性差异；</w:t>
      </w:r>
    </w:p>
    <w:p w14:paraId="3C51E455">
      <w:pPr>
        <w:keepNext w:val="0"/>
        <w:keepLines w:val="0"/>
        <w:pageBreakBefore w:val="0"/>
        <w:widowControl/>
        <w:kinsoku/>
        <w:wordWrap/>
        <w:overflowPunct/>
        <w:topLinePunct w:val="0"/>
        <w:autoSpaceDE/>
        <w:autoSpaceDN/>
        <w:bidi w:val="0"/>
        <w:adjustRightInd/>
        <w:spacing w:line="440" w:lineRule="exact"/>
        <w:ind w:firstLine="422" w:firstLineChars="200"/>
        <w:jc w:val="left"/>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2</w:t>
      </w:r>
      <w:r>
        <w:rPr>
          <w:rFonts w:hint="eastAsia" w:ascii="宋体" w:hAnsi="宋体" w:eastAsia="宋体" w:cs="宋体"/>
          <w:b/>
          <w:bCs/>
          <w:color w:val="auto"/>
          <w:kern w:val="0"/>
          <w:sz w:val="21"/>
          <w:szCs w:val="21"/>
          <w:highlight w:val="none"/>
          <w:lang w:val="en-US" w:eastAsia="zh-CN"/>
        </w:rPr>
        <w:t>7.</w:t>
      </w:r>
      <w:r>
        <w:rPr>
          <w:rFonts w:hint="eastAsia" w:ascii="宋体" w:hAnsi="宋体" w:eastAsia="宋体" w:cs="宋体"/>
          <w:b/>
          <w:bCs/>
          <w:color w:val="auto"/>
          <w:kern w:val="0"/>
          <w:sz w:val="21"/>
          <w:szCs w:val="21"/>
          <w:highlight w:val="none"/>
        </w:rPr>
        <w:t>投标无效的情形</w:t>
      </w:r>
    </w:p>
    <w:p w14:paraId="7DA67A0A">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投标文件属下列情况之一的，按照无效投标处理：</w:t>
      </w:r>
    </w:p>
    <w:p w14:paraId="08AB577B">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（1）投标文件未按招标文件要求签署、盖章的；</w:t>
      </w:r>
    </w:p>
    <w:p w14:paraId="0877BC43">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rPr>
        <w:t>（2）不具备招标文件中规定的资格要求的</w:t>
      </w:r>
      <w:r>
        <w:rPr>
          <w:rFonts w:hint="eastAsia" w:ascii="宋体" w:hAnsi="宋体" w:cs="宋体"/>
          <w:color w:val="auto"/>
          <w:sz w:val="21"/>
          <w:szCs w:val="21"/>
          <w:highlight w:val="none"/>
          <w:lang w:eastAsia="zh-CN"/>
        </w:rPr>
        <w:t>；</w:t>
      </w:r>
    </w:p>
    <w:p w14:paraId="475AD9B4">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）技术商务文件或资格证明文件中含报价；</w:t>
      </w:r>
    </w:p>
    <w:p w14:paraId="651DE323">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）招标文件中有▲处条款投标人未作实质性响应的；</w:t>
      </w:r>
    </w:p>
    <w:p w14:paraId="0F68EDB6">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）报价超过招标文件中规定的预算金额或者最高限价的；</w:t>
      </w:r>
    </w:p>
    <w:p w14:paraId="49EFFF9F">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）投标文件含有采购人不能接受的附加条件的；</w:t>
      </w:r>
    </w:p>
    <w:p w14:paraId="5A8263CA">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）投标文件未按规定要求提供</w:t>
      </w:r>
      <w:r>
        <w:rPr>
          <w:rFonts w:hint="eastAsia" w:ascii="宋体" w:hAnsi="宋体" w:eastAsia="宋体" w:cs="宋体"/>
          <w:color w:val="auto"/>
          <w:sz w:val="21"/>
          <w:szCs w:val="21"/>
          <w:highlight w:val="none"/>
          <w:lang w:val="en-US" w:eastAsia="zh-CN"/>
        </w:rPr>
        <w:t>CA</w:t>
      </w:r>
      <w:r>
        <w:rPr>
          <w:rFonts w:hint="eastAsia" w:ascii="宋体" w:hAnsi="宋体" w:eastAsia="宋体" w:cs="宋体"/>
          <w:color w:val="auto"/>
          <w:sz w:val="21"/>
          <w:szCs w:val="21"/>
          <w:highlight w:val="none"/>
        </w:rPr>
        <w:t>签章的</w:t>
      </w:r>
      <w:r>
        <w:rPr>
          <w:rFonts w:hint="eastAsia" w:ascii="宋体" w:hAnsi="宋体" w:eastAsia="宋体" w:cs="宋体"/>
          <w:color w:val="auto"/>
          <w:sz w:val="21"/>
          <w:szCs w:val="21"/>
          <w:highlight w:val="none"/>
          <w:lang w:eastAsia="zh-CN"/>
        </w:rPr>
        <w:t>；</w:t>
      </w:r>
    </w:p>
    <w:p w14:paraId="31A72B22">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仅提供备份投标文件的；</w:t>
      </w:r>
    </w:p>
    <w:p w14:paraId="7886831B">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电子投标文件解密失败，且未在规定时间内提交备份投标文件的；</w:t>
      </w:r>
    </w:p>
    <w:p w14:paraId="52723C78">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电子投标文件解密失败，虽然在规定时间内提交了备份投标文件，但是备份投标文件无法导入或者无法读取或者不符合本招标文件和电子交易平台要求的；</w:t>
      </w:r>
    </w:p>
    <w:p w14:paraId="6DFC7EF2">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（11）不同投标人的电子投标文件上传计算机的网卡MAC地址、CPU序列号</w:t>
      </w:r>
      <w:r>
        <w:rPr>
          <w:rFonts w:hint="eastAsia" w:ascii="宋体" w:hAnsi="宋体" w:eastAsia="宋体" w:cs="宋体"/>
          <w:color w:val="auto"/>
          <w:kern w:val="0"/>
          <w:sz w:val="21"/>
          <w:szCs w:val="21"/>
          <w:highlight w:val="none"/>
          <w:lang w:eastAsia="zh-CN"/>
        </w:rPr>
        <w:t>或</w:t>
      </w:r>
      <w:r>
        <w:rPr>
          <w:rFonts w:hint="eastAsia" w:ascii="宋体" w:hAnsi="宋体" w:eastAsia="宋体" w:cs="宋体"/>
          <w:color w:val="auto"/>
          <w:kern w:val="0"/>
          <w:sz w:val="21"/>
          <w:szCs w:val="21"/>
          <w:highlight w:val="none"/>
        </w:rPr>
        <w:t>硬盘序列号等硬件信息相同的；</w:t>
      </w:r>
    </w:p>
    <w:p w14:paraId="1CF265A8">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（12）上传的电子投标文件</w:t>
      </w:r>
      <w:r>
        <w:rPr>
          <w:rFonts w:hint="eastAsia" w:ascii="宋体" w:hAnsi="宋体" w:eastAsia="宋体" w:cs="宋体"/>
          <w:color w:val="auto"/>
          <w:kern w:val="0"/>
          <w:sz w:val="21"/>
          <w:szCs w:val="21"/>
          <w:highlight w:val="none"/>
          <w:lang w:eastAsia="zh-CN"/>
        </w:rPr>
        <w:t>若</w:t>
      </w:r>
      <w:r>
        <w:rPr>
          <w:rFonts w:hint="eastAsia" w:ascii="宋体" w:hAnsi="宋体" w:eastAsia="宋体" w:cs="宋体"/>
          <w:color w:val="auto"/>
          <w:kern w:val="0"/>
          <w:sz w:val="21"/>
          <w:szCs w:val="21"/>
          <w:highlight w:val="none"/>
        </w:rPr>
        <w:t>出现使用本项目其他投标人的数字证书加密的，或者加盖本项目其他投标人的电子印章的；</w:t>
      </w:r>
    </w:p>
    <w:p w14:paraId="12957A07">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（13）不同投标人的投标文件的内容存在</w:t>
      </w:r>
      <w:r>
        <w:rPr>
          <w:rFonts w:hint="eastAsia" w:ascii="宋体" w:hAnsi="宋体" w:eastAsia="宋体" w:cs="宋体"/>
          <w:color w:val="auto"/>
          <w:kern w:val="0"/>
          <w:sz w:val="21"/>
          <w:szCs w:val="21"/>
          <w:highlight w:val="none"/>
          <w:lang w:eastAsia="zh-CN"/>
        </w:rPr>
        <w:t>三</w:t>
      </w:r>
      <w:r>
        <w:rPr>
          <w:rFonts w:hint="eastAsia" w:ascii="宋体" w:hAnsi="宋体" w:eastAsia="宋体" w:cs="宋体"/>
          <w:color w:val="auto"/>
          <w:kern w:val="0"/>
          <w:sz w:val="21"/>
          <w:szCs w:val="21"/>
          <w:highlight w:val="none"/>
        </w:rPr>
        <w:t>处</w:t>
      </w:r>
      <w:r>
        <w:rPr>
          <w:rFonts w:hint="eastAsia" w:ascii="宋体" w:hAnsi="宋体" w:eastAsia="宋体" w:cs="宋体"/>
          <w:color w:val="auto"/>
          <w:kern w:val="0"/>
          <w:sz w:val="21"/>
          <w:szCs w:val="21"/>
          <w:highlight w:val="none"/>
          <w:lang w:eastAsia="zh-CN"/>
        </w:rPr>
        <w:t>（含）</w:t>
      </w:r>
      <w:r>
        <w:rPr>
          <w:rFonts w:hint="eastAsia" w:ascii="宋体" w:hAnsi="宋体" w:eastAsia="宋体" w:cs="宋体"/>
          <w:color w:val="auto"/>
          <w:kern w:val="0"/>
          <w:sz w:val="21"/>
          <w:szCs w:val="21"/>
          <w:highlight w:val="none"/>
        </w:rPr>
        <w:t>以上错误一致，且无法合理解释的；</w:t>
      </w:r>
    </w:p>
    <w:p w14:paraId="269EA6A7">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（14）不同投标人的联系人为同一人或不同联系人的联系电话一致，且无法合理解释的；</w:t>
      </w:r>
    </w:p>
    <w:p w14:paraId="0291824E">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（15）法律、法规和招标文件规定的其他无效情形。</w:t>
      </w:r>
    </w:p>
    <w:p w14:paraId="4845278D">
      <w:pPr>
        <w:keepNext w:val="0"/>
        <w:keepLines w:val="0"/>
        <w:pageBreakBefore w:val="0"/>
        <w:widowControl/>
        <w:kinsoku/>
        <w:wordWrap/>
        <w:overflowPunct/>
        <w:topLinePunct w:val="0"/>
        <w:autoSpaceDE/>
        <w:autoSpaceDN/>
        <w:bidi w:val="0"/>
        <w:adjustRightInd/>
        <w:spacing w:line="440" w:lineRule="exact"/>
        <w:ind w:firstLine="422" w:firstLineChars="200"/>
        <w:jc w:val="left"/>
        <w:textAlignment w:val="auto"/>
        <w:outlineLvl w:val="9"/>
        <w:rPr>
          <w:rFonts w:hint="eastAsia" w:ascii="宋体" w:hAnsi="宋体" w:eastAsia="宋体" w:cs="宋体"/>
          <w:b/>
          <w:bCs/>
          <w:color w:val="auto"/>
          <w:kern w:val="0"/>
          <w:sz w:val="21"/>
          <w:szCs w:val="21"/>
          <w:highlight w:val="none"/>
        </w:rPr>
      </w:pPr>
      <w:bookmarkStart w:id="57" w:name="_Toc326937536"/>
      <w:bookmarkStart w:id="58" w:name="_Toc393201713"/>
      <w:bookmarkStart w:id="59" w:name="_Toc433917266"/>
      <w:bookmarkStart w:id="60" w:name="_Toc1630"/>
      <w:bookmarkStart w:id="61" w:name="_Toc333842550"/>
      <w:bookmarkStart w:id="62" w:name="_Toc358384694"/>
      <w:r>
        <w:rPr>
          <w:rFonts w:hint="eastAsia" w:ascii="宋体" w:hAnsi="宋体" w:eastAsia="宋体" w:cs="宋体"/>
          <w:b/>
          <w:bCs/>
          <w:color w:val="auto"/>
          <w:kern w:val="0"/>
          <w:sz w:val="21"/>
          <w:szCs w:val="21"/>
          <w:highlight w:val="none"/>
        </w:rPr>
        <w:t>2</w:t>
      </w:r>
      <w:r>
        <w:rPr>
          <w:rFonts w:hint="eastAsia" w:ascii="宋体" w:hAnsi="宋体" w:eastAsia="宋体" w:cs="宋体"/>
          <w:b/>
          <w:bCs/>
          <w:color w:val="auto"/>
          <w:kern w:val="0"/>
          <w:sz w:val="21"/>
          <w:szCs w:val="21"/>
          <w:highlight w:val="none"/>
          <w:lang w:val="en-US" w:eastAsia="zh-CN"/>
        </w:rPr>
        <w:t>8.</w:t>
      </w:r>
      <w:r>
        <w:rPr>
          <w:rFonts w:hint="eastAsia" w:ascii="宋体" w:hAnsi="宋体" w:eastAsia="宋体" w:cs="宋体"/>
          <w:b/>
          <w:bCs/>
          <w:color w:val="auto"/>
          <w:kern w:val="0"/>
          <w:sz w:val="21"/>
          <w:szCs w:val="21"/>
          <w:highlight w:val="none"/>
        </w:rPr>
        <w:t>废标的情形</w:t>
      </w:r>
    </w:p>
    <w:p w14:paraId="79156769">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在招标采购中，出现下列情形之一的，应予废标,废标后，采购人将废标理由通知所有投标人：</w:t>
      </w:r>
    </w:p>
    <w:p w14:paraId="47313110">
      <w:pPr>
        <w:keepNext w:val="0"/>
        <w:keepLines w:val="0"/>
        <w:pageBreakBefore w:val="0"/>
        <w:widowControl/>
        <w:kinsoku/>
        <w:wordWrap/>
        <w:overflowPunct/>
        <w:topLinePunct w:val="0"/>
        <w:autoSpaceDE/>
        <w:autoSpaceDN/>
        <w:bidi w:val="0"/>
        <w:adjustRightInd/>
        <w:spacing w:line="440" w:lineRule="exact"/>
        <w:ind w:firstLine="315" w:firstLineChars="15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（1）符合专业条件的供应商或者对招标文件作实质响应的供应商不足三家的；</w:t>
      </w:r>
    </w:p>
    <w:p w14:paraId="6E840687">
      <w:pPr>
        <w:keepNext w:val="0"/>
        <w:keepLines w:val="0"/>
        <w:pageBreakBefore w:val="0"/>
        <w:widowControl/>
        <w:kinsoku/>
        <w:wordWrap/>
        <w:overflowPunct/>
        <w:topLinePunct w:val="0"/>
        <w:autoSpaceDE/>
        <w:autoSpaceDN/>
        <w:bidi w:val="0"/>
        <w:adjustRightInd/>
        <w:spacing w:line="440" w:lineRule="exact"/>
        <w:ind w:firstLine="315" w:firstLineChars="15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（2）出现影响采购公正的违法、违规行为的；</w:t>
      </w:r>
    </w:p>
    <w:p w14:paraId="21991990">
      <w:pPr>
        <w:keepNext w:val="0"/>
        <w:keepLines w:val="0"/>
        <w:pageBreakBefore w:val="0"/>
        <w:widowControl/>
        <w:kinsoku/>
        <w:wordWrap/>
        <w:overflowPunct/>
        <w:topLinePunct w:val="0"/>
        <w:autoSpaceDE/>
        <w:autoSpaceDN/>
        <w:bidi w:val="0"/>
        <w:adjustRightInd/>
        <w:spacing w:line="440" w:lineRule="exact"/>
        <w:ind w:firstLine="315" w:firstLineChars="150"/>
        <w:jc w:val="left"/>
        <w:textAlignment w:val="auto"/>
        <w:outlineLvl w:val="9"/>
        <w:rPr>
          <w:rFonts w:hint="eastAsia"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rPr>
        <w:t>（3）投标人的报价均超过了采购预算，采购人不能支付的；</w:t>
      </w:r>
    </w:p>
    <w:p w14:paraId="493BD7F6">
      <w:pPr>
        <w:keepNext w:val="0"/>
        <w:keepLines w:val="0"/>
        <w:pageBreakBefore w:val="0"/>
        <w:widowControl/>
        <w:kinsoku/>
        <w:wordWrap/>
        <w:overflowPunct/>
        <w:topLinePunct w:val="0"/>
        <w:autoSpaceDE/>
        <w:autoSpaceDN/>
        <w:bidi w:val="0"/>
        <w:adjustRightInd/>
        <w:spacing w:line="440" w:lineRule="exact"/>
        <w:ind w:firstLine="315" w:firstLineChars="15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（4）因重大变故，采购任务取消的。</w:t>
      </w:r>
    </w:p>
    <w:p w14:paraId="6E8788E5">
      <w:pPr>
        <w:keepNext w:val="0"/>
        <w:keepLines w:val="0"/>
        <w:pageBreakBefore w:val="0"/>
        <w:widowControl/>
        <w:kinsoku/>
        <w:wordWrap/>
        <w:overflowPunct/>
        <w:topLinePunct w:val="0"/>
        <w:autoSpaceDE/>
        <w:autoSpaceDN/>
        <w:bidi w:val="0"/>
        <w:adjustRightInd/>
        <w:spacing w:line="440" w:lineRule="exact"/>
        <w:ind w:firstLine="413" w:firstLineChars="196"/>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29.</w:t>
      </w:r>
      <w:r>
        <w:rPr>
          <w:rFonts w:hint="eastAsia" w:ascii="宋体" w:hAnsi="宋体" w:eastAsia="宋体" w:cs="宋体"/>
          <w:b/>
          <w:bCs/>
          <w:color w:val="auto"/>
          <w:kern w:val="0"/>
          <w:sz w:val="21"/>
          <w:szCs w:val="21"/>
          <w:highlight w:val="none"/>
        </w:rPr>
        <w:t>确定中标人原则</w:t>
      </w:r>
    </w:p>
    <w:p w14:paraId="5B066C1C">
      <w:pPr>
        <w:pStyle w:val="37"/>
        <w:keepNext w:val="0"/>
        <w:keepLines w:val="0"/>
        <w:pageBreakBefore w:val="0"/>
        <w:kinsoku/>
        <w:wordWrap/>
        <w:overflowPunct/>
        <w:topLinePunct w:val="0"/>
        <w:autoSpaceDE/>
        <w:autoSpaceDN/>
        <w:bidi w:val="0"/>
        <w:adjustRightInd/>
        <w:spacing w:line="440" w:lineRule="exact"/>
        <w:ind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实质上充分响应招标文件要求且总得分最高的被评标委员会推荐为第一中标候选人，得分相同的，按投标报价由低到高顺序排列，得分且投标报价相同的采取随机抽取方式确定。</w:t>
      </w:r>
    </w:p>
    <w:p w14:paraId="73175ED7">
      <w:pPr>
        <w:keepNext w:val="0"/>
        <w:keepLines w:val="0"/>
        <w:pageBreakBefore w:val="0"/>
        <w:kinsoku/>
        <w:wordWrap/>
        <w:overflowPunct/>
        <w:topLinePunct w:val="0"/>
        <w:autoSpaceDE/>
        <w:autoSpaceDN/>
        <w:bidi w:val="0"/>
        <w:spacing w:line="440" w:lineRule="exact"/>
        <w:ind w:firstLine="422" w:firstLineChars="200"/>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0</w:t>
      </w:r>
      <w:r>
        <w:rPr>
          <w:rFonts w:hint="eastAsia" w:ascii="宋体" w:hAnsi="宋体" w:cs="宋体"/>
          <w:b/>
          <w:bCs/>
          <w:color w:val="auto"/>
          <w:kern w:val="0"/>
          <w:szCs w:val="21"/>
          <w:highlight w:val="none"/>
        </w:rPr>
        <w:t>.中标通知及中标公告</w:t>
      </w:r>
    </w:p>
    <w:p w14:paraId="2BB8BB53">
      <w:pPr>
        <w:keepNext w:val="0"/>
        <w:keepLines w:val="0"/>
        <w:pageBreakBefore w:val="0"/>
        <w:kinsoku/>
        <w:wordWrap/>
        <w:overflowPunct/>
        <w:topLinePunct w:val="0"/>
        <w:autoSpaceDE/>
        <w:autoSpaceDN/>
        <w:bidi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.1在中标供应商确定之日起2个工作日内发布中标公告及《中标通知书》，中标公告发布网址：浙江政府采购网(http://zfcg.czt.zj.gov.cn/)。</w:t>
      </w:r>
    </w:p>
    <w:p w14:paraId="43CB54EA">
      <w:pPr>
        <w:keepNext w:val="0"/>
        <w:keepLines w:val="0"/>
        <w:pageBreakBefore w:val="0"/>
        <w:kinsoku/>
        <w:wordWrap/>
        <w:overflowPunct/>
        <w:topLinePunct w:val="0"/>
        <w:autoSpaceDE/>
        <w:autoSpaceDN/>
        <w:bidi w:val="0"/>
        <w:spacing w:line="44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3</w:t>
      </w:r>
      <w:r>
        <w:rPr>
          <w:rFonts w:hint="eastAsia" w:ascii="宋体" w:hAnsi="宋体" w:cs="宋体"/>
          <w:b/>
          <w:bCs/>
          <w:color w:val="auto"/>
          <w:szCs w:val="21"/>
          <w:highlight w:val="none"/>
          <w:lang w:val="en-US" w:eastAsia="zh-CN"/>
        </w:rPr>
        <w:t>0</w:t>
      </w:r>
      <w:r>
        <w:rPr>
          <w:rFonts w:hint="eastAsia" w:ascii="宋体" w:hAnsi="宋体" w:cs="宋体"/>
          <w:b/>
          <w:bCs/>
          <w:color w:val="auto"/>
          <w:szCs w:val="21"/>
          <w:highlight w:val="none"/>
        </w:rPr>
        <w:t>.2发布中标公告时同步公开评标委员会对每个投标人的《得分汇总表》情况；中标人提供的中小企业声明函将随中标结果同时公告。</w:t>
      </w:r>
    </w:p>
    <w:p w14:paraId="36F55E14">
      <w:pPr>
        <w:keepNext w:val="0"/>
        <w:keepLines w:val="0"/>
        <w:pageBreakBefore w:val="0"/>
        <w:kinsoku/>
        <w:wordWrap/>
        <w:overflowPunct/>
        <w:topLinePunct w:val="0"/>
        <w:autoSpaceDE/>
        <w:autoSpaceDN/>
        <w:bidi w:val="0"/>
        <w:spacing w:line="440" w:lineRule="exact"/>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.3中标公告发布同时，由</w:t>
      </w:r>
      <w:r>
        <w:rPr>
          <w:rFonts w:hint="eastAsia" w:ascii="宋体" w:hAnsi="宋体" w:cs="宋体"/>
          <w:color w:val="auto"/>
          <w:szCs w:val="21"/>
          <w:highlight w:val="none"/>
          <w:lang w:eastAsia="zh-CN"/>
        </w:rPr>
        <w:t>欧邦工程管理集团有限公司</w:t>
      </w:r>
      <w:r>
        <w:rPr>
          <w:rFonts w:hint="eastAsia" w:ascii="宋体" w:hAnsi="宋体" w:cs="宋体"/>
          <w:color w:val="auto"/>
          <w:szCs w:val="21"/>
          <w:highlight w:val="none"/>
        </w:rPr>
        <w:t>和采购人签发《中标通知书》。</w:t>
      </w:r>
    </w:p>
    <w:p w14:paraId="4EFBC223">
      <w:pPr>
        <w:keepNext w:val="0"/>
        <w:keepLines w:val="0"/>
        <w:pageBreakBefore w:val="0"/>
        <w:kinsoku/>
        <w:wordWrap/>
        <w:overflowPunct/>
        <w:topLinePunct w:val="0"/>
        <w:autoSpaceDE/>
        <w:autoSpaceDN/>
        <w:bidi w:val="0"/>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0</w:t>
      </w:r>
      <w:r>
        <w:rPr>
          <w:rFonts w:hint="eastAsia" w:ascii="宋体" w:hAnsi="宋体" w:cs="宋体"/>
          <w:color w:val="auto"/>
          <w:kern w:val="0"/>
          <w:szCs w:val="21"/>
          <w:highlight w:val="none"/>
        </w:rPr>
        <w:t>.4《中标通知书》将作为签订合同的重要依据，对采购代理机构、中标人和采购人具有法律效力。若采购代理机构无故改变中标结果、中标人放弃中标项目或采购人无正当理由拒签合同的都应承担法律责任。</w:t>
      </w:r>
    </w:p>
    <w:p w14:paraId="2910A363">
      <w:pPr>
        <w:keepNext w:val="0"/>
        <w:keepLines w:val="0"/>
        <w:pageBreakBefore w:val="0"/>
        <w:kinsoku/>
        <w:wordWrap/>
        <w:overflowPunct/>
        <w:topLinePunct w:val="0"/>
        <w:autoSpaceDE/>
        <w:autoSpaceDN/>
        <w:bidi w:val="0"/>
        <w:spacing w:line="440" w:lineRule="exact"/>
        <w:ind w:firstLine="422" w:firstLineChars="200"/>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1</w:t>
      </w:r>
      <w:r>
        <w:rPr>
          <w:rFonts w:hint="eastAsia" w:ascii="宋体" w:hAnsi="宋体" w:cs="宋体"/>
          <w:b/>
          <w:bCs/>
          <w:color w:val="auto"/>
          <w:kern w:val="0"/>
          <w:szCs w:val="21"/>
          <w:highlight w:val="none"/>
        </w:rPr>
        <w:t>.质疑与投诉</w:t>
      </w:r>
    </w:p>
    <w:p w14:paraId="706B5C3A">
      <w:pPr>
        <w:keepNext w:val="0"/>
        <w:keepLines w:val="0"/>
        <w:pageBreakBefore w:val="0"/>
        <w:kinsoku/>
        <w:wordWrap/>
        <w:overflowPunct/>
        <w:topLinePunct w:val="0"/>
        <w:autoSpaceDE/>
        <w:autoSpaceDN/>
        <w:bidi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.1投标人认为采购过程或成交结果使自己的合法权益受到损害的，可以在中标结果公告期限届满之日起7个工作日内，以书面形式向采购人提出质疑。</w:t>
      </w:r>
    </w:p>
    <w:p w14:paraId="7102E79D">
      <w:pPr>
        <w:keepNext w:val="0"/>
        <w:keepLines w:val="0"/>
        <w:pageBreakBefore w:val="0"/>
        <w:kinsoku/>
        <w:wordWrap/>
        <w:overflowPunct/>
        <w:topLinePunct w:val="0"/>
        <w:autoSpaceDE/>
        <w:autoSpaceDN/>
        <w:bidi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2质疑应当以书面形式提出，格式见《政府采购质疑和投诉办法》（财政部令第94号）附件范本，下载网址：浙江政府采购网(http://zfcg.czt.zj.gov.cn/)，位置：“首页-下载专区-质疑投诉模板”。供应商提出质疑应当提交质疑函和必要的证明材料。质疑函应当包括下列内容：</w:t>
      </w:r>
    </w:p>
    <w:p w14:paraId="2AEEE4CA">
      <w:pPr>
        <w:keepNext w:val="0"/>
        <w:keepLines w:val="0"/>
        <w:pageBreakBefore w:val="0"/>
        <w:kinsoku/>
        <w:wordWrap/>
        <w:overflowPunct/>
        <w:topLinePunct w:val="0"/>
        <w:autoSpaceDE/>
        <w:autoSpaceDN/>
        <w:bidi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A.供应商的姓名或者名称、地址、邮编、联系人及联系电话；</w:t>
      </w:r>
    </w:p>
    <w:p w14:paraId="3B1901FD">
      <w:pPr>
        <w:keepNext w:val="0"/>
        <w:keepLines w:val="0"/>
        <w:pageBreakBefore w:val="0"/>
        <w:kinsoku/>
        <w:wordWrap/>
        <w:overflowPunct/>
        <w:topLinePunct w:val="0"/>
        <w:autoSpaceDE/>
        <w:autoSpaceDN/>
        <w:bidi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B.质疑项目的名称、编号；</w:t>
      </w:r>
    </w:p>
    <w:p w14:paraId="50AA5990">
      <w:pPr>
        <w:keepNext w:val="0"/>
        <w:keepLines w:val="0"/>
        <w:pageBreakBefore w:val="0"/>
        <w:kinsoku/>
        <w:wordWrap/>
        <w:overflowPunct/>
        <w:topLinePunct w:val="0"/>
        <w:autoSpaceDE/>
        <w:autoSpaceDN/>
        <w:bidi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C.具体、明确的质疑事项和与质疑事项相关的请求；</w:t>
      </w:r>
    </w:p>
    <w:p w14:paraId="78B6FBCA">
      <w:pPr>
        <w:keepNext w:val="0"/>
        <w:keepLines w:val="0"/>
        <w:pageBreakBefore w:val="0"/>
        <w:kinsoku/>
        <w:wordWrap/>
        <w:overflowPunct/>
        <w:topLinePunct w:val="0"/>
        <w:autoSpaceDE/>
        <w:autoSpaceDN/>
        <w:bidi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D.事实依据；</w:t>
      </w:r>
    </w:p>
    <w:p w14:paraId="68C674CB">
      <w:pPr>
        <w:keepNext w:val="0"/>
        <w:keepLines w:val="0"/>
        <w:pageBreakBefore w:val="0"/>
        <w:kinsoku/>
        <w:wordWrap/>
        <w:overflowPunct/>
        <w:topLinePunct w:val="0"/>
        <w:autoSpaceDE/>
        <w:autoSpaceDN/>
        <w:bidi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E.必要的法律依据；</w:t>
      </w:r>
    </w:p>
    <w:p w14:paraId="70E09212">
      <w:pPr>
        <w:keepNext w:val="0"/>
        <w:keepLines w:val="0"/>
        <w:pageBreakBefore w:val="0"/>
        <w:kinsoku/>
        <w:wordWrap/>
        <w:overflowPunct/>
        <w:topLinePunct w:val="0"/>
        <w:autoSpaceDE/>
        <w:autoSpaceDN/>
        <w:bidi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F.提出质疑的日期。</w:t>
      </w:r>
    </w:p>
    <w:p w14:paraId="60CF4B07">
      <w:pPr>
        <w:keepNext w:val="0"/>
        <w:keepLines w:val="0"/>
        <w:pageBreakBefore w:val="0"/>
        <w:kinsoku/>
        <w:wordWrap/>
        <w:overflowPunct/>
        <w:topLinePunct w:val="0"/>
        <w:autoSpaceDE/>
        <w:autoSpaceDN/>
        <w:bidi w:val="0"/>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供应商为自然人的，应当由本人签字；供应商为法人或者其他组织的，应当由法定代表人、主要负责人，或者其授权代表签字或者盖章，并加盖公章。质疑应明确阐述采购过程或成交结果中使自己合法权益受到损害的实质性内容，提供相关事实、依据和证据及其来源或线索，便于有关单位调查、答复和处理, 质疑函不符合《政府采购质疑和投诉办法》相关规定的，应在规定期限内补齐的，采购人自收到补齐材料之日起受理；逾期未补齐的，按自动撤回质疑处理。</w:t>
      </w:r>
    </w:p>
    <w:p w14:paraId="3B128047">
      <w:pPr>
        <w:pStyle w:val="12"/>
        <w:keepNext w:val="0"/>
        <w:keepLines w:val="0"/>
        <w:pageBreakBefore w:val="0"/>
        <w:kinsoku/>
        <w:wordWrap/>
        <w:overflowPunct/>
        <w:topLinePunct w:val="0"/>
        <w:autoSpaceDE/>
        <w:autoSpaceDN/>
        <w:bidi w:val="0"/>
        <w:spacing w:line="440" w:lineRule="exact"/>
        <w:ind w:firstLine="420" w:firstLineChars="200"/>
        <w:rPr>
          <w:rFonts w:hint="eastAsia" w:hAnsi="宋体" w:cs="宋体"/>
          <w:bCs/>
          <w:color w:val="auto"/>
          <w:szCs w:val="21"/>
          <w:highlight w:val="none"/>
        </w:rPr>
      </w:pPr>
      <w:r>
        <w:rPr>
          <w:rFonts w:hint="eastAsia" w:hAnsi="宋体" w:cs="宋体"/>
          <w:bCs/>
          <w:color w:val="auto"/>
          <w:szCs w:val="21"/>
          <w:highlight w:val="none"/>
        </w:rPr>
        <w:t>3</w:t>
      </w:r>
      <w:r>
        <w:rPr>
          <w:rFonts w:hint="eastAsia" w:hAnsi="宋体" w:cs="宋体"/>
          <w:bCs/>
          <w:color w:val="auto"/>
          <w:szCs w:val="21"/>
          <w:highlight w:val="none"/>
          <w:lang w:val="en-US" w:eastAsia="zh-CN"/>
        </w:rPr>
        <w:t>1</w:t>
      </w:r>
      <w:r>
        <w:rPr>
          <w:rFonts w:hint="eastAsia" w:hAnsi="宋体" w:cs="宋体"/>
          <w:bCs/>
          <w:color w:val="auto"/>
          <w:szCs w:val="21"/>
          <w:highlight w:val="none"/>
        </w:rPr>
        <w:t>.3质疑材料递交方式：</w:t>
      </w:r>
    </w:p>
    <w:p w14:paraId="627A7B27">
      <w:pPr>
        <w:pStyle w:val="12"/>
        <w:keepNext w:val="0"/>
        <w:keepLines w:val="0"/>
        <w:pageBreakBefore w:val="0"/>
        <w:kinsoku/>
        <w:wordWrap/>
        <w:overflowPunct/>
        <w:topLinePunct w:val="0"/>
        <w:autoSpaceDE/>
        <w:autoSpaceDN/>
        <w:bidi w:val="0"/>
        <w:spacing w:line="440" w:lineRule="exact"/>
        <w:ind w:firstLine="420" w:firstLineChars="200"/>
        <w:rPr>
          <w:rFonts w:hint="eastAsia" w:hAnsi="宋体" w:cs="宋体"/>
          <w:bCs/>
          <w:color w:val="auto"/>
          <w:szCs w:val="21"/>
          <w:highlight w:val="none"/>
        </w:rPr>
      </w:pPr>
      <w:r>
        <w:rPr>
          <w:rFonts w:hint="eastAsia" w:hAnsi="宋体" w:cs="宋体"/>
          <w:bCs/>
          <w:color w:val="auto"/>
          <w:szCs w:val="21"/>
          <w:highlight w:val="none"/>
        </w:rPr>
        <w:t>①通过政采云平台在线提出质疑（政采云系统菜单路径：应用中心-项目采购-询问质疑投诉-质疑列表-新增质疑）；</w:t>
      </w:r>
    </w:p>
    <w:p w14:paraId="2EB7FFA9">
      <w:pPr>
        <w:pStyle w:val="12"/>
        <w:keepNext w:val="0"/>
        <w:keepLines w:val="0"/>
        <w:pageBreakBefore w:val="0"/>
        <w:kinsoku/>
        <w:wordWrap/>
        <w:overflowPunct/>
        <w:topLinePunct w:val="0"/>
        <w:autoSpaceDE/>
        <w:autoSpaceDN/>
        <w:bidi w:val="0"/>
        <w:spacing w:line="440" w:lineRule="exact"/>
        <w:ind w:firstLine="422" w:firstLineChars="200"/>
        <w:rPr>
          <w:rFonts w:hint="eastAsia" w:hAnsi="宋体" w:cs="宋体"/>
          <w:bCs/>
          <w:color w:val="auto"/>
          <w:szCs w:val="21"/>
          <w:highlight w:val="none"/>
        </w:rPr>
      </w:pPr>
      <w:r>
        <w:rPr>
          <w:rFonts w:cs="宋体"/>
          <w:b/>
          <w:color w:val="auto"/>
          <w:szCs w:val="21"/>
          <w:highlight w:val="none"/>
        </w:rPr>
        <w:t>②供应商在法定质疑期内一次性提出针对同一采购程序环节的质疑。</w:t>
      </w:r>
    </w:p>
    <w:p w14:paraId="1BBAD51E">
      <w:pPr>
        <w:pStyle w:val="12"/>
        <w:keepNext w:val="0"/>
        <w:keepLines w:val="0"/>
        <w:pageBreakBefore w:val="0"/>
        <w:kinsoku/>
        <w:wordWrap/>
        <w:overflowPunct/>
        <w:topLinePunct w:val="0"/>
        <w:autoSpaceDE/>
        <w:autoSpaceDN/>
        <w:bidi w:val="0"/>
        <w:spacing w:line="440" w:lineRule="exact"/>
        <w:ind w:firstLine="420" w:firstLineChars="200"/>
        <w:rPr>
          <w:rFonts w:hint="eastAsia" w:hAnsi="宋体" w:cs="宋体"/>
          <w:b/>
          <w:bCs/>
          <w:color w:val="auto"/>
          <w:kern w:val="0"/>
          <w:szCs w:val="21"/>
          <w:highlight w:val="none"/>
        </w:rPr>
      </w:pPr>
      <w:r>
        <w:rPr>
          <w:rFonts w:cs="宋体"/>
          <w:color w:val="auto"/>
          <w:szCs w:val="21"/>
          <w:highlight w:val="none"/>
        </w:rPr>
        <w:t>③</w:t>
      </w:r>
      <w:r>
        <w:rPr>
          <w:rFonts w:hint="eastAsia" w:hAnsi="宋体" w:cs="宋体"/>
          <w:bCs/>
          <w:color w:val="auto"/>
          <w:szCs w:val="21"/>
          <w:highlight w:val="none"/>
        </w:rPr>
        <w:t>书面递交到</w:t>
      </w:r>
      <w:r>
        <w:rPr>
          <w:rFonts w:hint="eastAsia" w:hAnsi="宋体" w:cs="宋体"/>
          <w:bCs/>
          <w:color w:val="auto"/>
          <w:szCs w:val="21"/>
          <w:highlight w:val="none"/>
          <w:lang w:eastAsia="zh-CN"/>
        </w:rPr>
        <w:t>欧邦工程管理集团有限公司</w:t>
      </w:r>
      <w:r>
        <w:rPr>
          <w:rFonts w:hint="eastAsia" w:hAnsi="宋体" w:cs="宋体"/>
          <w:bCs/>
          <w:color w:val="auto"/>
          <w:szCs w:val="21"/>
          <w:highlight w:val="none"/>
        </w:rPr>
        <w:t>。</w:t>
      </w:r>
    </w:p>
    <w:p w14:paraId="209637E4">
      <w:pPr>
        <w:keepNext w:val="0"/>
        <w:keepLines w:val="0"/>
        <w:pageBreakBefore w:val="0"/>
        <w:kinsoku/>
        <w:wordWrap/>
        <w:overflowPunct/>
        <w:topLinePunct w:val="0"/>
        <w:autoSpaceDE/>
        <w:autoSpaceDN/>
        <w:bidi w:val="0"/>
        <w:spacing w:line="440" w:lineRule="exact"/>
        <w:jc w:val="center"/>
        <w:outlineLvl w:val="2"/>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六、合同授予</w:t>
      </w:r>
      <w:bookmarkEnd w:id="57"/>
      <w:bookmarkEnd w:id="58"/>
      <w:bookmarkEnd w:id="59"/>
      <w:bookmarkEnd w:id="60"/>
      <w:bookmarkEnd w:id="61"/>
      <w:bookmarkEnd w:id="62"/>
    </w:p>
    <w:p w14:paraId="52967268">
      <w:pPr>
        <w:keepNext w:val="0"/>
        <w:keepLines w:val="0"/>
        <w:pageBreakBefore w:val="0"/>
        <w:kinsoku/>
        <w:wordWrap/>
        <w:overflowPunct/>
        <w:topLinePunct w:val="0"/>
        <w:autoSpaceDE/>
        <w:autoSpaceDN/>
        <w:bidi w:val="0"/>
        <w:spacing w:line="440" w:lineRule="exact"/>
        <w:ind w:firstLine="413" w:firstLineChars="196"/>
        <w:jc w:val="left"/>
        <w:rPr>
          <w:rFonts w:hint="eastAsia" w:ascii="宋体" w:hAnsi="宋体" w:cs="宋体"/>
          <w:color w:val="auto"/>
          <w:kern w:val="0"/>
          <w:szCs w:val="21"/>
          <w:highlight w:val="none"/>
        </w:rPr>
      </w:pPr>
      <w:bookmarkStart w:id="63" w:name="_Toc5189"/>
      <w:bookmarkStart w:id="64" w:name="_Toc433917267"/>
      <w:bookmarkStart w:id="65" w:name="_Toc358384695"/>
      <w:bookmarkStart w:id="66" w:name="_Toc333842555"/>
      <w:bookmarkStart w:id="67" w:name="_Toc326937541"/>
      <w:bookmarkStart w:id="68" w:name="_Toc393201714"/>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.签订合同</w:t>
      </w:r>
    </w:p>
    <w:p w14:paraId="4CDD2D04">
      <w:pPr>
        <w:keepNext w:val="0"/>
        <w:keepLines w:val="0"/>
        <w:pageBreakBefore w:val="0"/>
        <w:kinsoku/>
        <w:wordWrap/>
        <w:overflowPunct/>
        <w:topLinePunct w:val="0"/>
        <w:autoSpaceDE/>
        <w:autoSpaceDN/>
        <w:bidi w:val="0"/>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.1中标人应在《中标通知书》</w:t>
      </w:r>
      <w:r>
        <w:rPr>
          <w:rFonts w:hint="eastAsia" w:ascii="宋体" w:hAnsi="宋体" w:cs="宋体"/>
          <w:color w:val="auto"/>
          <w:szCs w:val="21"/>
          <w:highlight w:val="none"/>
        </w:rPr>
        <w:t>发出之日起</w:t>
      </w:r>
      <w:r>
        <w:rPr>
          <w:rFonts w:hint="eastAsia" w:ascii="宋体" w:hAnsi="宋体" w:cs="宋体"/>
          <w:b/>
          <w:i w:val="0"/>
          <w:iCs/>
          <w:color w:val="auto"/>
          <w:kern w:val="0"/>
          <w:szCs w:val="21"/>
          <w:highlight w:val="none"/>
          <w:u w:val="single"/>
          <w:lang w:val="en-US" w:eastAsia="zh-CN"/>
        </w:rPr>
        <w:t>30</w:t>
      </w:r>
      <w:r>
        <w:rPr>
          <w:rFonts w:hint="eastAsia" w:ascii="宋体" w:hAnsi="宋体" w:cs="宋体"/>
          <w:b/>
          <w:i w:val="0"/>
          <w:iCs/>
          <w:color w:val="auto"/>
          <w:kern w:val="0"/>
          <w:szCs w:val="21"/>
          <w:highlight w:val="none"/>
          <w:u w:val="single"/>
        </w:rPr>
        <w:t>日</w:t>
      </w:r>
      <w:r>
        <w:rPr>
          <w:rFonts w:hint="eastAsia" w:ascii="宋体" w:hAnsi="宋体" w:cs="宋体"/>
          <w:color w:val="auto"/>
          <w:kern w:val="0"/>
          <w:szCs w:val="21"/>
          <w:highlight w:val="none"/>
        </w:rPr>
        <w:t>内与采购人签订合同。</w:t>
      </w:r>
    </w:p>
    <w:p w14:paraId="330D53DF">
      <w:pPr>
        <w:keepNext w:val="0"/>
        <w:keepLines w:val="0"/>
        <w:pageBreakBefore w:val="0"/>
        <w:kinsoku/>
        <w:wordWrap/>
        <w:overflowPunct/>
        <w:topLinePunct w:val="0"/>
        <w:autoSpaceDE/>
        <w:autoSpaceDN/>
        <w:bidi w:val="0"/>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.2合同经双方法定代表人或授权委托人签字加盖单位公章，并经</w:t>
      </w:r>
      <w:r>
        <w:rPr>
          <w:rFonts w:hint="eastAsia" w:ascii="宋体" w:hAnsi="宋体" w:cs="宋体"/>
          <w:color w:val="auto"/>
          <w:kern w:val="0"/>
          <w:szCs w:val="21"/>
          <w:highlight w:val="none"/>
          <w:lang w:eastAsia="zh-CN"/>
        </w:rPr>
        <w:t>欧邦工程管理集团有限公司</w:t>
      </w:r>
      <w:r>
        <w:rPr>
          <w:rFonts w:hint="eastAsia" w:ascii="宋体" w:hAnsi="宋体" w:cs="宋体"/>
          <w:color w:val="auto"/>
          <w:kern w:val="0"/>
          <w:szCs w:val="21"/>
          <w:highlight w:val="none"/>
        </w:rPr>
        <w:t>鉴证盖章后生效。</w:t>
      </w:r>
    </w:p>
    <w:p w14:paraId="6291FBE6">
      <w:pPr>
        <w:keepNext w:val="0"/>
        <w:keepLines w:val="0"/>
        <w:pageBreakBefore w:val="0"/>
        <w:kinsoku/>
        <w:wordWrap/>
        <w:overflowPunct/>
        <w:topLinePunct w:val="0"/>
        <w:autoSpaceDE/>
        <w:autoSpaceDN/>
        <w:bidi w:val="0"/>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 招标文件、投标文件及其澄清文件等，均作为签订合同的依据。所签订的合同不得对招标文件和投标文件做实质性修改。</w:t>
      </w:r>
    </w:p>
    <w:p w14:paraId="63EED5AD">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32.4中标人可以凭借政府采购合同获得商业银行贷款。</w:t>
      </w:r>
    </w:p>
    <w:p w14:paraId="3531F8F3">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20" w:firstLineChars="200"/>
        <w:textAlignment w:val="auto"/>
        <w:rPr>
          <w:rFonts w:hint="eastAsia" w:ascii="宋体" w:hAnsi="宋体" w:eastAsia="宋体" w:cs="宋体"/>
          <w:b w:val="0"/>
          <w:bCs w:val="0"/>
          <w:color w:val="auto"/>
          <w:sz w:val="21"/>
          <w:szCs w:val="21"/>
          <w:lang w:val="en-US" w:eastAsia="zh-CN" w:bidi="en-US"/>
        </w:rPr>
      </w:pPr>
      <w:r>
        <w:rPr>
          <w:rFonts w:hint="eastAsia" w:ascii="宋体" w:hAnsi="宋体" w:eastAsia="宋体" w:cs="宋体"/>
          <w:b w:val="0"/>
          <w:bCs w:val="0"/>
          <w:color w:val="auto"/>
          <w:sz w:val="21"/>
          <w:szCs w:val="21"/>
          <w:lang w:val="en-US" w:eastAsia="zh-CN" w:bidi="en-US"/>
        </w:rPr>
        <w:t>32.5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37B8ABC0">
      <w:pPr>
        <w:spacing w:line="400" w:lineRule="exact"/>
        <w:ind w:firstLine="420" w:firstLineChars="200"/>
        <w:jc w:val="left"/>
        <w:rPr>
          <w:rFonts w:hint="eastAsia" w:ascii="宋体" w:hAnsi="宋体" w:cs="宋体"/>
          <w:color w:val="auto"/>
          <w:kern w:val="0"/>
          <w:szCs w:val="21"/>
          <w:highlight w:val="none"/>
        </w:rPr>
      </w:pPr>
    </w:p>
    <w:p w14:paraId="4DEF4CB2">
      <w:pPr>
        <w:spacing w:line="400" w:lineRule="exact"/>
        <w:jc w:val="center"/>
        <w:outlineLvl w:val="0"/>
        <w:rPr>
          <w:rFonts w:hint="eastAsia" w:ascii="黑体" w:hAnsi="黑体" w:eastAsia="黑体" w:cs="黑体"/>
          <w:color w:val="auto"/>
          <w:sz w:val="36"/>
          <w:szCs w:val="36"/>
          <w:highlight w:val="none"/>
        </w:rPr>
      </w:pPr>
      <w:r>
        <w:rPr>
          <w:rFonts w:hint="eastAsia" w:ascii="黑体" w:hAnsi="黑体" w:eastAsia="黑体" w:cs="黑体"/>
          <w:color w:val="auto"/>
          <w:sz w:val="36"/>
          <w:szCs w:val="36"/>
          <w:highlight w:val="none"/>
        </w:rPr>
        <w:br w:type="page"/>
      </w:r>
      <w:r>
        <w:rPr>
          <w:rFonts w:hint="eastAsia" w:ascii="黑体" w:hAnsi="黑体" w:eastAsia="黑体" w:cs="黑体"/>
          <w:color w:val="auto"/>
          <w:sz w:val="36"/>
          <w:szCs w:val="36"/>
          <w:highlight w:val="none"/>
        </w:rPr>
        <w:t>第三章  主要合同条款</w:t>
      </w:r>
      <w:bookmarkEnd w:id="63"/>
    </w:p>
    <w:p w14:paraId="2D365A90">
      <w:pPr>
        <w:pStyle w:val="12"/>
        <w:keepNext w:val="0"/>
        <w:keepLines w:val="0"/>
        <w:pageBreakBefore w:val="0"/>
        <w:widowControl/>
        <w:kinsoku/>
        <w:overflowPunct/>
        <w:topLinePunct w:val="0"/>
        <w:autoSpaceDE/>
        <w:autoSpaceDN/>
        <w:bidi w:val="0"/>
        <w:adjustRightInd/>
        <w:snapToGrid w:val="0"/>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 xml:space="preserve">     </w:t>
      </w:r>
    </w:p>
    <w:p w14:paraId="605B2CAC">
      <w:pPr>
        <w:pStyle w:val="12"/>
        <w:keepNext w:val="0"/>
        <w:keepLines w:val="0"/>
        <w:pageBreakBefore w:val="0"/>
        <w:widowControl/>
        <w:kinsoku/>
        <w:overflowPunct/>
        <w:topLinePunct w:val="0"/>
        <w:autoSpaceDE/>
        <w:autoSpaceDN/>
        <w:bidi w:val="0"/>
        <w:adjustRightInd/>
        <w:snapToGrid w:val="0"/>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           </w:t>
      </w:r>
    </w:p>
    <w:p w14:paraId="32FC0349">
      <w:pPr>
        <w:keepNext w:val="0"/>
        <w:keepLines w:val="0"/>
        <w:pageBreakBefore w:val="0"/>
        <w:widowControl/>
        <w:kinsoku/>
        <w:overflowPunct/>
        <w:topLinePunct w:val="0"/>
        <w:autoSpaceDE/>
        <w:autoSpaceDN/>
        <w:bidi w:val="0"/>
        <w:adjustRightInd/>
        <w:snapToGrid w:val="0"/>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 xml:space="preserve">（采购单位） </w:t>
      </w:r>
    </w:p>
    <w:p w14:paraId="6FE016D4">
      <w:pPr>
        <w:keepNext w:val="0"/>
        <w:keepLines w:val="0"/>
        <w:pageBreakBefore w:val="0"/>
        <w:widowControl/>
        <w:kinsoku/>
        <w:overflowPunct/>
        <w:topLinePunct w:val="0"/>
        <w:autoSpaceDE/>
        <w:autoSpaceDN/>
        <w:bidi w:val="0"/>
        <w:adjustRightInd/>
        <w:snapToGrid w:val="0"/>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（中标单位）</w:t>
      </w:r>
    </w:p>
    <w:p w14:paraId="07348B3D">
      <w:pPr>
        <w:keepNext w:val="0"/>
        <w:keepLines w:val="0"/>
        <w:pageBreakBefore w:val="0"/>
        <w:widowControl/>
        <w:kinsoku/>
        <w:wordWrap/>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甲乙双方根据</w:t>
      </w:r>
      <w:r>
        <w:rPr>
          <w:rFonts w:hint="eastAsia" w:ascii="宋体" w:hAnsi="宋体" w:eastAsia="宋体" w:cs="宋体"/>
          <w:color w:val="auto"/>
          <w:sz w:val="21"/>
          <w:szCs w:val="21"/>
          <w:highlight w:val="none"/>
          <w:lang w:eastAsia="zh-CN"/>
        </w:rPr>
        <w:t>欧邦工程管理集团有限公司</w:t>
      </w:r>
      <w:r>
        <w:rPr>
          <w:rFonts w:hint="eastAsia" w:ascii="宋体" w:hAnsi="宋体" w:eastAsia="宋体" w:cs="宋体"/>
          <w:color w:val="auto"/>
          <w:sz w:val="21"/>
          <w:szCs w:val="21"/>
          <w:highlight w:val="none"/>
        </w:rPr>
        <w:t>所签发的《</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通知书》（项目编号：</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），以及招标文件、投标文件的规定，并经双方协商一致，达成本采购合同中标通知书、招标文件、投标文件以及甲、乙双方商定确认后的补充协议构成本合同不可分割的部分）。</w:t>
      </w:r>
    </w:p>
    <w:p w14:paraId="52E49C3F">
      <w:pPr>
        <w:pageBreakBefore w:val="0"/>
        <w:kinsoku/>
        <w:wordWrap/>
        <w:overflowPunct/>
        <w:topLinePunct w:val="0"/>
        <w:bidi w:val="0"/>
        <w:spacing w:line="400" w:lineRule="exact"/>
        <w:jc w:val="left"/>
        <w:textAlignment w:val="auto"/>
        <w:rPr>
          <w:rFonts w:hint="eastAsia" w:ascii="宋体" w:hAnsi="宋体" w:eastAsia="宋体" w:cs="宋体"/>
          <w:b/>
          <w:bCs/>
          <w:color w:val="auto"/>
          <w:kern w:val="0"/>
          <w:sz w:val="21"/>
          <w:szCs w:val="21"/>
          <w:highlight w:val="none"/>
          <w:shd w:val="clear" w:color="auto" w:fill="FFFFFF"/>
          <w:lang w:val="en-US" w:eastAsia="zh-CN" w:bidi="ar"/>
        </w:rPr>
      </w:pPr>
      <w:r>
        <w:rPr>
          <w:rFonts w:hint="eastAsia" w:ascii="宋体" w:hAnsi="宋体" w:eastAsia="宋体" w:cs="宋体"/>
          <w:b/>
          <w:bCs/>
          <w:color w:val="auto"/>
          <w:kern w:val="0"/>
          <w:sz w:val="21"/>
          <w:szCs w:val="21"/>
          <w:highlight w:val="none"/>
          <w:shd w:val="clear" w:color="auto" w:fill="FFFFFF"/>
          <w:lang w:val="en-US" w:eastAsia="zh-CN" w:bidi="ar"/>
        </w:rPr>
        <w:t>一、总则</w:t>
      </w:r>
    </w:p>
    <w:p w14:paraId="1DD7747F">
      <w:pPr>
        <w:pageBreakBefore w:val="0"/>
        <w:kinsoku/>
        <w:wordWrap/>
        <w:overflowPunct/>
        <w:topLinePunct w:val="0"/>
        <w:bidi w:val="0"/>
        <w:snapToGrid w:val="0"/>
        <w:spacing w:line="400" w:lineRule="exact"/>
        <w:ind w:left="0" w:firstLine="42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1"/>
          <w:szCs w:val="21"/>
          <w:highlight w:val="none"/>
          <w:lang w:val="en-US" w:eastAsia="zh-CN" w:bidi="ar"/>
        </w:rPr>
        <w:t>根据《中华人民共和国民法典》及有关法律规定，遵循平等、自愿、公平和诚实信用的原则，双方就</w:t>
      </w:r>
      <w:r>
        <w:rPr>
          <w:rFonts w:hint="eastAsia" w:ascii="宋体" w:hAnsi="宋体" w:cs="宋体"/>
          <w:color w:val="auto"/>
          <w:kern w:val="0"/>
          <w:sz w:val="21"/>
          <w:szCs w:val="21"/>
          <w:highlight w:val="none"/>
          <w:lang w:val="en-US" w:eastAsia="zh-CN" w:bidi="ar"/>
        </w:rPr>
        <w:t>开化县怀玉山区水土保持与生态修复项目监理（标项：     ）</w:t>
      </w:r>
      <w:r>
        <w:rPr>
          <w:rFonts w:hint="eastAsia" w:ascii="宋体" w:hAnsi="宋体" w:eastAsia="宋体" w:cs="宋体"/>
          <w:color w:val="auto"/>
          <w:kern w:val="0"/>
          <w:sz w:val="21"/>
          <w:szCs w:val="21"/>
          <w:highlight w:val="none"/>
          <w:lang w:val="en-US" w:eastAsia="zh-CN" w:bidi="ar"/>
        </w:rPr>
        <w:t>有关事项协商一致，共同达成如下协议</w:t>
      </w:r>
      <w:r>
        <w:rPr>
          <w:rFonts w:hint="eastAsia" w:ascii="宋体" w:hAnsi="宋体" w:eastAsia="宋体" w:cs="宋体"/>
          <w:color w:val="auto"/>
          <w:sz w:val="24"/>
          <w:szCs w:val="24"/>
        </w:rPr>
        <w:t>：</w:t>
      </w:r>
    </w:p>
    <w:p w14:paraId="0805C900">
      <w:pPr>
        <w:pageBreakBefore w:val="0"/>
        <w:kinsoku/>
        <w:wordWrap/>
        <w:overflowPunct/>
        <w:topLinePunct w:val="0"/>
        <w:bidi w:val="0"/>
        <w:spacing w:line="400" w:lineRule="exact"/>
        <w:jc w:val="left"/>
        <w:textAlignment w:val="auto"/>
        <w:rPr>
          <w:rFonts w:hint="eastAsia" w:ascii="宋体" w:hAnsi="宋体" w:eastAsia="宋体" w:cs="宋体"/>
          <w:b/>
          <w:bCs/>
          <w:color w:val="auto"/>
          <w:kern w:val="0"/>
          <w:sz w:val="21"/>
          <w:szCs w:val="21"/>
          <w:highlight w:val="none"/>
          <w:shd w:val="clear" w:color="auto" w:fill="FFFFFF"/>
          <w:lang w:val="en-US" w:eastAsia="zh-CN" w:bidi="ar"/>
        </w:rPr>
      </w:pPr>
      <w:r>
        <w:rPr>
          <w:rFonts w:hint="eastAsia" w:ascii="宋体" w:hAnsi="宋体" w:eastAsia="宋体" w:cs="宋体"/>
          <w:b/>
          <w:bCs/>
          <w:color w:val="auto"/>
          <w:kern w:val="0"/>
          <w:sz w:val="21"/>
          <w:szCs w:val="21"/>
          <w:highlight w:val="none"/>
          <w:shd w:val="clear" w:color="auto" w:fill="FFFFFF"/>
          <w:lang w:val="en-US" w:eastAsia="zh-CN" w:bidi="ar"/>
        </w:rPr>
        <w:t>二、服务内容</w:t>
      </w:r>
      <w:r>
        <w:rPr>
          <w:rFonts w:hint="eastAsia" w:ascii="宋体" w:hAnsi="宋体" w:cs="宋体"/>
          <w:b/>
          <w:bCs/>
          <w:color w:val="auto"/>
          <w:kern w:val="0"/>
          <w:sz w:val="21"/>
          <w:szCs w:val="21"/>
          <w:highlight w:val="none"/>
          <w:shd w:val="clear" w:color="auto" w:fill="FFFFFF"/>
          <w:lang w:val="en-US" w:eastAsia="zh-CN" w:bidi="ar"/>
        </w:rPr>
        <w:t>（按采购内容要求）</w:t>
      </w:r>
    </w:p>
    <w:p w14:paraId="290FBACC">
      <w:pPr>
        <w:pageBreakBefore w:val="0"/>
        <w:kinsoku/>
        <w:wordWrap/>
        <w:overflowPunct/>
        <w:topLinePunct w:val="0"/>
        <w:bidi w:val="0"/>
        <w:snapToGrid w:val="0"/>
        <w:spacing w:line="400" w:lineRule="exact"/>
        <w:ind w:left="0" w:firstLine="420" w:firstLineChars="200"/>
        <w:jc w:val="left"/>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项目建设总规模</w:t>
      </w:r>
      <w:r>
        <w:rPr>
          <w:rFonts w:hint="eastAsia" w:ascii="宋体" w:hAnsi="宋体" w:cs="宋体"/>
          <w:color w:val="auto"/>
          <w:kern w:val="0"/>
          <w:sz w:val="21"/>
          <w:szCs w:val="21"/>
          <w:highlight w:val="none"/>
          <w:lang w:val="en-US" w:eastAsia="zh-CN" w:bidi="ar"/>
        </w:rPr>
        <w:t>120850</w:t>
      </w:r>
      <w:r>
        <w:rPr>
          <w:rFonts w:hint="eastAsia" w:ascii="宋体" w:hAnsi="宋体" w:eastAsia="宋体" w:cs="宋体"/>
          <w:color w:val="auto"/>
          <w:kern w:val="0"/>
          <w:sz w:val="21"/>
          <w:szCs w:val="21"/>
          <w:highlight w:val="none"/>
          <w:lang w:val="en-US" w:eastAsia="zh-CN" w:bidi="ar"/>
        </w:rPr>
        <w:t>亩，主要包括退化林修复、人工造林等建设内容。根据各地块林分特征对应相关技术标准，确定退化林修</w:t>
      </w:r>
      <w:r>
        <w:rPr>
          <w:rFonts w:hint="default" w:ascii="宋体" w:hAnsi="宋体" w:eastAsia="宋体" w:cs="宋体"/>
          <w:color w:val="auto"/>
          <w:kern w:val="0"/>
          <w:sz w:val="21"/>
          <w:szCs w:val="21"/>
          <w:highlight w:val="none"/>
          <w:lang w:val="en-US" w:eastAsia="zh-CN" w:bidi="ar"/>
        </w:rPr>
        <w:t>复面积111830亩，具体包括采伐修复补植39900亩，采伐修复不补植62950亩及更替修复8980亩；人工造林面积9020亩。</w:t>
      </w:r>
      <w:r>
        <w:rPr>
          <w:rFonts w:hint="eastAsia" w:ascii="宋体" w:hAnsi="宋体" w:cs="宋体"/>
          <w:color w:val="auto"/>
          <w:kern w:val="0"/>
          <w:sz w:val="21"/>
          <w:szCs w:val="21"/>
          <w:highlight w:val="none"/>
          <w:lang w:val="en-US" w:eastAsia="zh-CN" w:bidi="ar"/>
        </w:rPr>
        <w:t>（标项1：</w:t>
      </w:r>
      <w:r>
        <w:rPr>
          <w:rFonts w:hint="default" w:ascii="宋体" w:hAnsi="宋体" w:eastAsia="宋体" w:cs="宋体"/>
          <w:color w:val="auto"/>
          <w:kern w:val="0"/>
          <w:sz w:val="21"/>
          <w:szCs w:val="21"/>
          <w:highlight w:val="none"/>
          <w:lang w:val="en-US" w:eastAsia="zh-CN" w:bidi="ar"/>
        </w:rPr>
        <w:t>采伐修复不补植62950亩</w:t>
      </w:r>
      <w:r>
        <w:rPr>
          <w:rFonts w:hint="eastAsia" w:ascii="宋体" w:hAnsi="宋体" w:cs="宋体"/>
          <w:color w:val="auto"/>
          <w:kern w:val="0"/>
          <w:sz w:val="21"/>
          <w:szCs w:val="21"/>
          <w:highlight w:val="none"/>
          <w:lang w:val="en-US" w:eastAsia="zh-CN" w:bidi="ar"/>
        </w:rPr>
        <w:t>；标项2：</w:t>
      </w:r>
      <w:r>
        <w:rPr>
          <w:rFonts w:hint="default" w:ascii="宋体" w:hAnsi="宋体" w:eastAsia="宋体" w:cs="宋体"/>
          <w:color w:val="auto"/>
          <w:kern w:val="0"/>
          <w:sz w:val="21"/>
          <w:szCs w:val="21"/>
          <w:highlight w:val="none"/>
          <w:lang w:val="en-US" w:eastAsia="zh-CN" w:bidi="ar"/>
        </w:rPr>
        <w:t>采伐修复补植39900亩</w:t>
      </w:r>
      <w:r>
        <w:rPr>
          <w:rFonts w:hint="eastAsia" w:ascii="宋体" w:hAnsi="宋体" w:cs="宋体"/>
          <w:color w:val="auto"/>
          <w:kern w:val="0"/>
          <w:sz w:val="21"/>
          <w:szCs w:val="21"/>
          <w:highlight w:val="none"/>
          <w:lang w:val="en-US" w:eastAsia="zh-CN" w:bidi="ar"/>
        </w:rPr>
        <w:t>、</w:t>
      </w:r>
      <w:r>
        <w:rPr>
          <w:rFonts w:hint="default" w:ascii="宋体" w:hAnsi="宋体" w:eastAsia="宋体" w:cs="宋体"/>
          <w:color w:val="auto"/>
          <w:kern w:val="0"/>
          <w:sz w:val="21"/>
          <w:szCs w:val="21"/>
          <w:highlight w:val="none"/>
          <w:lang w:val="en-US" w:eastAsia="zh-CN" w:bidi="ar"/>
        </w:rPr>
        <w:t>更替修复8980亩</w:t>
      </w:r>
      <w:r>
        <w:rPr>
          <w:rFonts w:hint="eastAsia" w:ascii="宋体" w:hAnsi="宋体" w:cs="宋体"/>
          <w:color w:val="auto"/>
          <w:kern w:val="0"/>
          <w:sz w:val="21"/>
          <w:szCs w:val="21"/>
          <w:highlight w:val="none"/>
          <w:lang w:val="en-US" w:eastAsia="zh-CN" w:bidi="ar"/>
        </w:rPr>
        <w:t>、</w:t>
      </w:r>
      <w:r>
        <w:rPr>
          <w:rFonts w:hint="default" w:ascii="宋体" w:hAnsi="宋体" w:eastAsia="宋体" w:cs="宋体"/>
          <w:color w:val="auto"/>
          <w:kern w:val="0"/>
          <w:sz w:val="21"/>
          <w:szCs w:val="21"/>
          <w:highlight w:val="none"/>
          <w:lang w:val="en-US" w:eastAsia="zh-CN" w:bidi="ar"/>
        </w:rPr>
        <w:t>人工造林面积9020亩</w:t>
      </w:r>
      <w:r>
        <w:rPr>
          <w:rFonts w:hint="eastAsia" w:ascii="宋体" w:hAnsi="宋体" w:cs="宋体"/>
          <w:color w:val="auto"/>
          <w:kern w:val="0"/>
          <w:sz w:val="21"/>
          <w:szCs w:val="21"/>
          <w:highlight w:val="none"/>
          <w:lang w:val="en-US" w:eastAsia="zh-CN" w:bidi="ar"/>
        </w:rPr>
        <w:t>）</w:t>
      </w:r>
    </w:p>
    <w:p w14:paraId="7A0B3330">
      <w:pPr>
        <w:pageBreakBefore w:val="0"/>
        <w:kinsoku/>
        <w:wordWrap/>
        <w:overflowPunct/>
        <w:topLinePunct w:val="0"/>
        <w:bidi w:val="0"/>
        <w:snapToGrid w:val="0"/>
        <w:spacing w:line="400" w:lineRule="exact"/>
        <w:ind w:lef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1、监理服务内容</w:t>
      </w:r>
    </w:p>
    <w:p w14:paraId="1E71D2F4">
      <w:pPr>
        <w:pageBreakBefore w:val="0"/>
        <w:kinsoku/>
        <w:wordWrap/>
        <w:overflowPunct/>
        <w:topLinePunct w:val="0"/>
        <w:bidi w:val="0"/>
        <w:snapToGrid w:val="0"/>
        <w:spacing w:line="400" w:lineRule="exact"/>
        <w:ind w:lef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根据</w:t>
      </w:r>
      <w:r>
        <w:rPr>
          <w:rFonts w:hint="eastAsia" w:ascii="宋体" w:hAnsi="宋体" w:cs="宋体"/>
          <w:color w:val="auto"/>
          <w:kern w:val="0"/>
          <w:sz w:val="21"/>
          <w:szCs w:val="21"/>
          <w:highlight w:val="none"/>
          <w:lang w:val="en-US" w:eastAsia="zh-CN" w:bidi="ar"/>
        </w:rPr>
        <w:t>各级政府发布的</w:t>
      </w:r>
      <w:r>
        <w:rPr>
          <w:rFonts w:hint="eastAsia" w:ascii="宋体" w:hAnsi="宋体" w:eastAsia="宋体" w:cs="宋体"/>
          <w:color w:val="auto"/>
          <w:kern w:val="0"/>
          <w:sz w:val="21"/>
          <w:szCs w:val="21"/>
          <w:highlight w:val="none"/>
          <w:lang w:val="en-US" w:eastAsia="zh-CN" w:bidi="ar"/>
        </w:rPr>
        <w:t>有关</w:t>
      </w:r>
      <w:r>
        <w:rPr>
          <w:rFonts w:hint="eastAsia" w:ascii="宋体" w:hAnsi="宋体" w:cs="宋体"/>
          <w:color w:val="auto"/>
          <w:kern w:val="0"/>
          <w:sz w:val="21"/>
          <w:szCs w:val="21"/>
          <w:highlight w:val="none"/>
          <w:lang w:val="en-US" w:eastAsia="zh-CN" w:bidi="ar"/>
        </w:rPr>
        <w:t>工程建设的法律、法规、政策</w:t>
      </w:r>
      <w:r>
        <w:rPr>
          <w:rFonts w:hint="eastAsia" w:ascii="宋体" w:hAnsi="宋体" w:eastAsia="宋体" w:cs="宋体"/>
          <w:color w:val="auto"/>
          <w:kern w:val="0"/>
          <w:sz w:val="21"/>
          <w:szCs w:val="21"/>
          <w:highlight w:val="none"/>
          <w:lang w:val="en-US" w:eastAsia="zh-CN" w:bidi="ar"/>
        </w:rPr>
        <w:t>和</w:t>
      </w:r>
      <w:r>
        <w:rPr>
          <w:rFonts w:hint="eastAsia" w:ascii="宋体" w:hAnsi="宋体" w:cs="宋体"/>
          <w:color w:val="auto"/>
          <w:kern w:val="0"/>
          <w:sz w:val="21"/>
          <w:szCs w:val="21"/>
          <w:highlight w:val="none"/>
          <w:lang w:val="en-US" w:eastAsia="zh-CN" w:bidi="ar"/>
        </w:rPr>
        <w:t>规定</w:t>
      </w:r>
      <w:r>
        <w:rPr>
          <w:rFonts w:hint="eastAsia" w:ascii="宋体" w:hAnsi="宋体" w:eastAsia="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val="en-US" w:eastAsia="zh-CN" w:bidi="ar"/>
        </w:rPr>
        <w:t>依据各级主管部门批复的本项目各类文件、技术资料、设计图纸及其说明文件等，</w:t>
      </w:r>
      <w:r>
        <w:rPr>
          <w:rFonts w:hint="eastAsia" w:ascii="宋体" w:hAnsi="宋体" w:eastAsia="宋体" w:cs="宋体"/>
          <w:color w:val="auto"/>
          <w:kern w:val="0"/>
          <w:sz w:val="21"/>
          <w:szCs w:val="21"/>
          <w:highlight w:val="none"/>
          <w:lang w:val="en-US" w:eastAsia="zh-CN" w:bidi="ar"/>
        </w:rPr>
        <w:t>对开化县怀玉山区水土保持与生态修复项目施工作业过程进行全面监理。</w:t>
      </w:r>
      <w:r>
        <w:rPr>
          <w:rFonts w:hint="eastAsia" w:ascii="宋体" w:hAnsi="宋体" w:cs="宋体"/>
          <w:color w:val="auto"/>
          <w:kern w:val="0"/>
          <w:sz w:val="21"/>
          <w:szCs w:val="21"/>
          <w:highlight w:val="none"/>
          <w:lang w:val="en-US" w:eastAsia="zh-CN" w:bidi="ar"/>
        </w:rPr>
        <w:t>除监理相关法律、法规外，相关技术规范包括但不限于：</w:t>
      </w:r>
    </w:p>
    <w:p w14:paraId="572918B5">
      <w:pPr>
        <w:pageBreakBefore w:val="0"/>
        <w:kinsoku/>
        <w:wordWrap/>
        <w:overflowPunct/>
        <w:topLinePunct w:val="0"/>
        <w:bidi w:val="0"/>
        <w:snapToGrid w:val="0"/>
        <w:spacing w:line="400" w:lineRule="exact"/>
        <w:ind w:lef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GB/T 15766-2023 《造林技术规程》</w:t>
      </w:r>
    </w:p>
    <w:p w14:paraId="3A101B72">
      <w:pPr>
        <w:pageBreakBefore w:val="0"/>
        <w:kinsoku/>
        <w:wordWrap/>
        <w:overflowPunct/>
        <w:topLinePunct w:val="0"/>
        <w:bidi w:val="0"/>
        <w:snapToGrid w:val="0"/>
        <w:spacing w:line="400" w:lineRule="exact"/>
        <w:ind w:lef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GB/T 15781-2015 《森林抚育规程》</w:t>
      </w:r>
    </w:p>
    <w:p w14:paraId="2CED752D">
      <w:pPr>
        <w:pageBreakBefore w:val="0"/>
        <w:kinsoku/>
        <w:wordWrap/>
        <w:overflowPunct/>
        <w:topLinePunct w:val="0"/>
        <w:bidi w:val="0"/>
        <w:snapToGrid w:val="0"/>
        <w:spacing w:line="400" w:lineRule="exact"/>
        <w:ind w:lef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GB/T 44351-2024 《退化林修复技术规程》</w:t>
      </w:r>
    </w:p>
    <w:p w14:paraId="06797C34">
      <w:pPr>
        <w:pageBreakBefore w:val="0"/>
        <w:kinsoku/>
        <w:wordWrap/>
        <w:overflowPunct/>
        <w:topLinePunct w:val="0"/>
        <w:bidi w:val="0"/>
        <w:snapToGrid w:val="0"/>
        <w:spacing w:line="400" w:lineRule="exact"/>
        <w:ind w:lef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GB/T 450888-2024 《林木采伐技术规程》</w:t>
      </w:r>
    </w:p>
    <w:p w14:paraId="7C349F7C">
      <w:pPr>
        <w:pageBreakBefore w:val="0"/>
        <w:kinsoku/>
        <w:wordWrap/>
        <w:overflowPunct/>
        <w:topLinePunct w:val="0"/>
        <w:bidi w:val="0"/>
        <w:snapToGrid w:val="0"/>
        <w:spacing w:line="400" w:lineRule="exact"/>
        <w:ind w:lef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LY</w:t>
      </w:r>
      <w:r>
        <w:rPr>
          <w:rFonts w:hint="eastAsia" w:ascii="宋体" w:hAnsi="宋体" w:eastAsia="宋体" w:cs="宋体"/>
          <w:color w:val="auto"/>
          <w:kern w:val="0"/>
          <w:sz w:val="21"/>
          <w:szCs w:val="21"/>
          <w:highlight w:val="none"/>
          <w:lang w:val="en-US" w:eastAsia="zh-CN" w:bidi="ar"/>
        </w:rPr>
        <w:t>/T 1690-2017 《低效林改造技术规程》</w:t>
      </w:r>
    </w:p>
    <w:p w14:paraId="37820C8A">
      <w:pPr>
        <w:pageBreakBefore w:val="0"/>
        <w:kinsoku/>
        <w:wordWrap/>
        <w:overflowPunct/>
        <w:topLinePunct w:val="0"/>
        <w:bidi w:val="0"/>
        <w:snapToGrid w:val="0"/>
        <w:spacing w:line="400" w:lineRule="exact"/>
        <w:ind w:lef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LY/T 2083-201331 《全国营造林综合核查技术规程》</w:t>
      </w:r>
    </w:p>
    <w:p w14:paraId="0BC1CD7E">
      <w:pPr>
        <w:pageBreakBefore w:val="0"/>
        <w:kinsoku/>
        <w:wordWrap/>
        <w:overflowPunct/>
        <w:topLinePunct w:val="0"/>
        <w:bidi w:val="0"/>
        <w:snapToGrid w:val="0"/>
        <w:spacing w:line="400" w:lineRule="exact"/>
        <w:ind w:lef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浙林造〔2024〕141号 《浙江省营造林综合核查验收规范》</w:t>
      </w:r>
    </w:p>
    <w:p w14:paraId="17A502AD">
      <w:pPr>
        <w:pageBreakBefore w:val="0"/>
        <w:kinsoku/>
        <w:wordWrap/>
        <w:overflowPunct/>
        <w:topLinePunct w:val="0"/>
        <w:bidi w:val="0"/>
        <w:snapToGrid w:val="0"/>
        <w:spacing w:line="400" w:lineRule="exact"/>
        <w:ind w:lef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林生发〔2024〕78号</w:t>
      </w:r>
      <w:r>
        <w:rPr>
          <w:rFonts w:hint="eastAsia" w:ascii="宋体" w:hAnsi="宋体" w:eastAsia="宋体" w:cs="宋体"/>
          <w:color w:val="auto"/>
          <w:kern w:val="0"/>
          <w:sz w:val="21"/>
          <w:szCs w:val="21"/>
          <w:highlight w:val="none"/>
          <w:lang w:val="en-US" w:eastAsia="zh-CN" w:bidi="ar"/>
        </w:rPr>
        <w:t xml:space="preserve"> 《松材线虫病防治技术方案（2024年版）》</w:t>
      </w:r>
    </w:p>
    <w:p w14:paraId="44C33B3A">
      <w:pPr>
        <w:pageBreakBefore w:val="0"/>
        <w:kinsoku/>
        <w:wordWrap/>
        <w:overflowPunct/>
        <w:topLinePunct w:val="0"/>
        <w:bidi w:val="0"/>
        <w:snapToGrid w:val="0"/>
        <w:spacing w:line="400" w:lineRule="exact"/>
        <w:ind w:lef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林生规〔2023〕7 号 《松材线虫病疫区和疫木管理办法》</w:t>
      </w:r>
    </w:p>
    <w:p w14:paraId="53F34A7B">
      <w:pPr>
        <w:pageBreakBefore w:val="0"/>
        <w:kinsoku/>
        <w:wordWrap/>
        <w:overflowPunct/>
        <w:topLinePunct w:val="0"/>
        <w:bidi w:val="0"/>
        <w:snapToGrid w:val="0"/>
        <w:spacing w:line="400" w:lineRule="exact"/>
        <w:ind w:left="0" w:firstLine="420" w:firstLineChars="200"/>
        <w:jc w:val="left"/>
        <w:textAlignment w:val="auto"/>
        <w:rPr>
          <w:rFonts w:hint="default"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《浙江省松材线虫病防治条例》</w:t>
      </w:r>
    </w:p>
    <w:p w14:paraId="3C8F51F4">
      <w:pPr>
        <w:pageBreakBefore w:val="0"/>
        <w:kinsoku/>
        <w:wordWrap/>
        <w:overflowPunct/>
        <w:topLinePunct w:val="0"/>
        <w:bidi w:val="0"/>
        <w:snapToGrid w:val="0"/>
        <w:spacing w:line="400" w:lineRule="exact"/>
        <w:ind w:left="0" w:firstLine="420" w:firstLineChars="200"/>
        <w:jc w:val="left"/>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《开化县年度松材线虫病防治实施方案》</w:t>
      </w:r>
    </w:p>
    <w:p w14:paraId="47682784">
      <w:pPr>
        <w:pageBreakBefore w:val="0"/>
        <w:kinsoku/>
        <w:wordWrap/>
        <w:overflowPunct/>
        <w:topLinePunct w:val="0"/>
        <w:bidi w:val="0"/>
        <w:snapToGrid w:val="0"/>
        <w:spacing w:line="400" w:lineRule="exact"/>
        <w:ind w:left="0" w:firstLine="420" w:firstLineChars="200"/>
        <w:jc w:val="left"/>
        <w:textAlignment w:val="auto"/>
        <w:rPr>
          <w:rFonts w:hint="eastAsia" w:ascii="宋体" w:hAnsi="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监理日常工作按照相关要求认真开展监督工作（</w:t>
      </w:r>
      <w:r>
        <w:rPr>
          <w:rFonts w:hint="eastAsia" w:ascii="宋体" w:hAnsi="宋体" w:cs="宋体"/>
          <w:color w:val="auto"/>
          <w:kern w:val="0"/>
          <w:sz w:val="21"/>
          <w:szCs w:val="21"/>
          <w:highlight w:val="none"/>
          <w:lang w:val="en-US" w:eastAsia="zh-CN" w:bidi="ar"/>
        </w:rPr>
        <w:t>施工期间</w:t>
      </w:r>
      <w:r>
        <w:rPr>
          <w:rFonts w:hint="eastAsia" w:ascii="宋体" w:hAnsi="宋体" w:eastAsia="宋体" w:cs="宋体"/>
          <w:color w:val="auto"/>
          <w:kern w:val="0"/>
          <w:sz w:val="21"/>
          <w:szCs w:val="21"/>
          <w:highlight w:val="none"/>
          <w:lang w:val="en-US" w:eastAsia="zh-CN" w:bidi="ar"/>
        </w:rPr>
        <w:t>每个施工小组都要有监理人员跟随监督，做监理记录），发现问题要立即督促施工单位整改并及时报告，施工期每周汇总施工进度，施工期每月汇报监理工作内容，督促施工单位提交施工日志。</w:t>
      </w:r>
      <w:r>
        <w:rPr>
          <w:rFonts w:hint="eastAsia" w:ascii="宋体" w:hAnsi="宋体" w:cs="宋体"/>
          <w:color w:val="auto"/>
          <w:kern w:val="0"/>
          <w:sz w:val="21"/>
          <w:szCs w:val="21"/>
          <w:highlight w:val="none"/>
          <w:lang w:val="en-US" w:eastAsia="zh-CN" w:bidi="ar"/>
        </w:rPr>
        <w:t>所有监理过程（如</w:t>
      </w:r>
      <w:r>
        <w:rPr>
          <w:rFonts w:hint="eastAsia" w:ascii="宋体" w:hAnsi="宋体" w:eastAsia="宋体" w:cs="宋体"/>
          <w:color w:val="auto"/>
          <w:kern w:val="0"/>
          <w:sz w:val="21"/>
          <w:szCs w:val="21"/>
          <w:highlight w:val="none"/>
          <w:lang w:val="en-US" w:eastAsia="zh-CN" w:bidi="ar"/>
        </w:rPr>
        <w:t>项目资料和图片）</w:t>
      </w:r>
      <w:r>
        <w:rPr>
          <w:rFonts w:hint="eastAsia" w:ascii="宋体" w:hAnsi="宋体" w:cs="宋体"/>
          <w:color w:val="auto"/>
          <w:kern w:val="0"/>
          <w:sz w:val="21"/>
          <w:szCs w:val="21"/>
          <w:highlight w:val="none"/>
          <w:lang w:val="en-US" w:eastAsia="zh-CN" w:bidi="ar"/>
        </w:rPr>
        <w:t>需通过</w:t>
      </w:r>
      <w:r>
        <w:rPr>
          <w:rFonts w:hint="default" w:ascii="宋体" w:hAnsi="宋体" w:cs="宋体"/>
          <w:color w:val="auto"/>
          <w:kern w:val="0"/>
          <w:sz w:val="21"/>
          <w:szCs w:val="21"/>
          <w:highlight w:val="none"/>
          <w:lang w:eastAsia="zh-CN" w:bidi="ar"/>
        </w:rPr>
        <w:t>甲方指定的软件</w:t>
      </w:r>
      <w:r>
        <w:rPr>
          <w:rFonts w:hint="eastAsia" w:ascii="宋体" w:hAnsi="宋体" w:cs="宋体"/>
          <w:color w:val="auto"/>
          <w:kern w:val="0"/>
          <w:sz w:val="21"/>
          <w:szCs w:val="21"/>
          <w:highlight w:val="none"/>
          <w:lang w:val="en-US" w:eastAsia="zh-CN" w:bidi="ar"/>
        </w:rPr>
        <w:t>上传记录。</w:t>
      </w:r>
    </w:p>
    <w:p w14:paraId="36782C56">
      <w:pPr>
        <w:pageBreakBefore w:val="0"/>
        <w:kinsoku/>
        <w:wordWrap/>
        <w:overflowPunct/>
        <w:topLinePunct w:val="0"/>
        <w:bidi w:val="0"/>
        <w:snapToGrid w:val="0"/>
        <w:spacing w:line="400" w:lineRule="exact"/>
        <w:ind w:left="0" w:firstLine="420" w:firstLineChars="200"/>
        <w:jc w:val="left"/>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eastAsia" w:ascii="宋体" w:hAnsi="宋体" w:cs="宋体"/>
          <w:color w:val="auto"/>
          <w:kern w:val="0"/>
          <w:sz w:val="21"/>
          <w:szCs w:val="21"/>
          <w:highlight w:val="none"/>
          <w:lang w:val="en-US" w:eastAsia="zh-CN" w:bidi="ar"/>
        </w:rPr>
        <w:t>、疫木监理要求</w:t>
      </w:r>
    </w:p>
    <w:p w14:paraId="04E56CB5">
      <w:pPr>
        <w:pageBreakBefore w:val="0"/>
        <w:kinsoku/>
        <w:wordWrap/>
        <w:overflowPunct/>
        <w:topLinePunct w:val="0"/>
        <w:bidi w:val="0"/>
        <w:snapToGrid w:val="0"/>
        <w:spacing w:line="400" w:lineRule="exact"/>
        <w:ind w:left="0" w:firstLine="420" w:firstLineChars="200"/>
        <w:jc w:val="left"/>
        <w:textAlignment w:val="auto"/>
        <w:rPr>
          <w:rFonts w:hint="eastAsia" w:ascii="宋体" w:hAnsi="宋体" w:eastAsia="宋体" w:cs="宋体"/>
          <w:color w:val="auto"/>
          <w:kern w:val="0"/>
          <w:sz w:val="21"/>
          <w:szCs w:val="21"/>
          <w:highlight w:val="none"/>
          <w:lang w:val="zh-CN" w:eastAsia="zh-CN" w:bidi="ar"/>
        </w:rPr>
      </w:pPr>
      <w:r>
        <w:rPr>
          <w:rFonts w:hint="eastAsia" w:ascii="宋体" w:hAnsi="宋体" w:cs="宋体"/>
          <w:color w:val="auto"/>
          <w:kern w:val="0"/>
          <w:sz w:val="21"/>
          <w:szCs w:val="21"/>
          <w:highlight w:val="none"/>
          <w:lang w:val="en-US" w:eastAsia="zh-CN" w:bidi="ar"/>
        </w:rPr>
        <w:t>本项目涉及松木部分</w:t>
      </w:r>
      <w:r>
        <w:rPr>
          <w:rFonts w:hint="default" w:ascii="宋体" w:hAnsi="宋体" w:cs="宋体"/>
          <w:color w:val="auto"/>
          <w:kern w:val="0"/>
          <w:sz w:val="21"/>
          <w:szCs w:val="21"/>
          <w:highlight w:val="none"/>
          <w:lang w:eastAsia="zh-CN" w:bidi="ar"/>
        </w:rPr>
        <w:t>均按</w:t>
      </w:r>
      <w:r>
        <w:rPr>
          <w:rFonts w:hint="eastAsia" w:ascii="宋体" w:hAnsi="宋体" w:cs="宋体"/>
          <w:color w:val="auto"/>
          <w:kern w:val="0"/>
          <w:sz w:val="21"/>
          <w:szCs w:val="21"/>
          <w:highlight w:val="none"/>
          <w:lang w:val="en-US" w:eastAsia="zh-CN" w:bidi="ar"/>
        </w:rPr>
        <w:t>疫木相关要求管理，</w:t>
      </w:r>
      <w:r>
        <w:rPr>
          <w:rFonts w:hint="eastAsia" w:ascii="宋体" w:hAnsi="宋体" w:eastAsia="宋体" w:cs="宋体"/>
          <w:color w:val="auto"/>
          <w:kern w:val="0"/>
          <w:sz w:val="21"/>
          <w:szCs w:val="21"/>
          <w:highlight w:val="none"/>
          <w:lang w:val="en-US" w:eastAsia="zh-CN" w:bidi="ar"/>
        </w:rPr>
        <w:t>包括疫木除治质量、疫木运输、采伐证、疫木定点处理厂等监管。</w:t>
      </w:r>
    </w:p>
    <w:p w14:paraId="292B53A4">
      <w:pPr>
        <w:pageBreakBefore w:val="0"/>
        <w:kinsoku/>
        <w:wordWrap/>
        <w:overflowPunct/>
        <w:topLinePunct w:val="0"/>
        <w:bidi w:val="0"/>
        <w:snapToGrid w:val="0"/>
        <w:spacing w:line="400" w:lineRule="exact"/>
        <w:ind w:left="0" w:firstLine="420" w:firstLineChars="200"/>
        <w:jc w:val="left"/>
        <w:textAlignment w:val="auto"/>
        <w:rPr>
          <w:rFonts w:hint="eastAsia" w:ascii="宋体" w:hAnsi="宋体" w:eastAsia="宋体" w:cs="宋体"/>
          <w:color w:val="auto"/>
          <w:kern w:val="0"/>
          <w:sz w:val="21"/>
          <w:szCs w:val="21"/>
          <w:highlight w:val="none"/>
          <w:lang w:val="zh-CN" w:eastAsia="zh-CN" w:bidi="ar"/>
        </w:rPr>
      </w:pPr>
      <w:r>
        <w:rPr>
          <w:rFonts w:hint="eastAsia" w:ascii="宋体" w:hAnsi="宋体" w:eastAsia="宋体" w:cs="宋体"/>
          <w:color w:val="auto"/>
          <w:kern w:val="0"/>
          <w:sz w:val="21"/>
          <w:szCs w:val="21"/>
          <w:highlight w:val="none"/>
          <w:lang w:val="zh-CN" w:eastAsia="zh-CN" w:bidi="ar"/>
        </w:rPr>
        <w:t>（</w:t>
      </w: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zh-CN" w:eastAsia="zh-CN" w:bidi="ar"/>
        </w:rPr>
        <w:t>）除治进度：现场查看有无没有除治的松枯死木，清点株数，估算除治任务完成率；</w:t>
      </w:r>
    </w:p>
    <w:p w14:paraId="3AE63C3A">
      <w:pPr>
        <w:pageBreakBefore w:val="0"/>
        <w:kinsoku/>
        <w:wordWrap/>
        <w:overflowPunct/>
        <w:topLinePunct w:val="0"/>
        <w:bidi w:val="0"/>
        <w:snapToGrid w:val="0"/>
        <w:spacing w:line="400" w:lineRule="exact"/>
        <w:ind w:left="0" w:firstLine="420" w:firstLineChars="200"/>
        <w:jc w:val="left"/>
        <w:textAlignment w:val="auto"/>
        <w:rPr>
          <w:rFonts w:hint="eastAsia" w:ascii="宋体" w:hAnsi="宋体" w:eastAsia="宋体" w:cs="宋体"/>
          <w:color w:val="auto"/>
          <w:kern w:val="0"/>
          <w:sz w:val="21"/>
          <w:szCs w:val="21"/>
          <w:highlight w:val="none"/>
          <w:lang w:val="zh-CN" w:eastAsia="zh-CN" w:bidi="ar"/>
        </w:rPr>
      </w:pPr>
      <w:r>
        <w:rPr>
          <w:rFonts w:hint="eastAsia" w:ascii="宋体" w:hAnsi="宋体" w:eastAsia="宋体" w:cs="宋体"/>
          <w:color w:val="auto"/>
          <w:kern w:val="0"/>
          <w:sz w:val="21"/>
          <w:szCs w:val="21"/>
          <w:highlight w:val="none"/>
          <w:lang w:val="zh-CN" w:eastAsia="zh-CN" w:bidi="ar"/>
        </w:rPr>
        <w:t>（</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zh-CN" w:eastAsia="zh-CN" w:bidi="ar"/>
        </w:rPr>
        <w:t>）伐桩情况：伐根高度（斜坡按上坡位计）不得高于5cm，实地检查伐桩是否符合有关技术标准，确因岩石等影响造成伐桩过高时，应采用补刀、剥皮等补救措施；</w:t>
      </w:r>
    </w:p>
    <w:p w14:paraId="77DC64AA">
      <w:pPr>
        <w:pageBreakBefore w:val="0"/>
        <w:kinsoku/>
        <w:wordWrap/>
        <w:overflowPunct/>
        <w:topLinePunct w:val="0"/>
        <w:bidi w:val="0"/>
        <w:snapToGrid w:val="0"/>
        <w:spacing w:line="400" w:lineRule="exact"/>
        <w:ind w:left="0" w:firstLine="420" w:firstLineChars="200"/>
        <w:jc w:val="left"/>
        <w:textAlignment w:val="auto"/>
        <w:rPr>
          <w:rFonts w:hint="eastAsia" w:ascii="宋体" w:hAnsi="宋体" w:eastAsia="宋体" w:cs="宋体"/>
          <w:color w:val="auto"/>
          <w:kern w:val="0"/>
          <w:sz w:val="21"/>
          <w:szCs w:val="21"/>
          <w:highlight w:val="none"/>
          <w:lang w:val="zh-CN" w:eastAsia="zh-CN" w:bidi="ar"/>
        </w:rPr>
      </w:pPr>
      <w:r>
        <w:rPr>
          <w:rFonts w:hint="eastAsia" w:ascii="宋体" w:hAnsi="宋体" w:eastAsia="宋体" w:cs="宋体"/>
          <w:color w:val="auto"/>
          <w:kern w:val="0"/>
          <w:sz w:val="21"/>
          <w:szCs w:val="21"/>
          <w:highlight w:val="none"/>
          <w:lang w:val="zh-CN" w:eastAsia="zh-CN" w:bidi="ar"/>
        </w:rPr>
        <w:t>（</w:t>
      </w: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zh-CN" w:eastAsia="zh-CN" w:bidi="ar"/>
        </w:rPr>
        <w:t>）主干清理情况：实地检查山场内的疫木主干清理情况，要求所有主干全部清理下山</w:t>
      </w:r>
      <w:r>
        <w:rPr>
          <w:rFonts w:hint="eastAsia" w:ascii="宋体" w:hAnsi="宋体" w:eastAsia="宋体" w:cs="宋体"/>
          <w:color w:val="auto"/>
          <w:kern w:val="0"/>
          <w:sz w:val="21"/>
          <w:szCs w:val="21"/>
          <w:highlight w:val="none"/>
          <w:lang w:val="en-US" w:eastAsia="zh-CN" w:bidi="ar"/>
        </w:rPr>
        <w:t>。</w:t>
      </w:r>
    </w:p>
    <w:p w14:paraId="70C490A7">
      <w:pPr>
        <w:pageBreakBefore w:val="0"/>
        <w:kinsoku/>
        <w:wordWrap/>
        <w:overflowPunct/>
        <w:topLinePunct w:val="0"/>
        <w:bidi w:val="0"/>
        <w:snapToGrid w:val="0"/>
        <w:spacing w:line="400" w:lineRule="exact"/>
        <w:ind w:left="0" w:firstLine="420" w:firstLineChars="200"/>
        <w:jc w:val="left"/>
        <w:textAlignment w:val="auto"/>
        <w:rPr>
          <w:rFonts w:hint="eastAsia" w:ascii="宋体" w:hAnsi="宋体" w:eastAsia="宋体" w:cs="宋体"/>
          <w:color w:val="auto"/>
          <w:kern w:val="0"/>
          <w:sz w:val="21"/>
          <w:szCs w:val="21"/>
          <w:highlight w:val="none"/>
          <w:lang w:val="zh-CN" w:eastAsia="zh-CN" w:bidi="ar"/>
        </w:rPr>
      </w:pPr>
      <w:r>
        <w:rPr>
          <w:rFonts w:hint="eastAsia" w:ascii="宋体" w:hAnsi="宋体" w:eastAsia="宋体" w:cs="宋体"/>
          <w:color w:val="auto"/>
          <w:kern w:val="0"/>
          <w:sz w:val="21"/>
          <w:szCs w:val="21"/>
          <w:highlight w:val="none"/>
          <w:lang w:val="zh-CN" w:eastAsia="zh-CN" w:bidi="ar"/>
        </w:rPr>
        <w:t>（</w:t>
      </w: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zh-CN" w:eastAsia="zh-CN" w:bidi="ar"/>
        </w:rPr>
        <w:t>）枝桠清理情况：实地检查山场内疫木枝桠清理情况，要求所有</w:t>
      </w:r>
      <w:r>
        <w:rPr>
          <w:rFonts w:hint="eastAsia" w:ascii="宋体" w:hAnsi="宋体" w:eastAsia="宋体" w:cs="宋体"/>
          <w:color w:val="auto"/>
          <w:kern w:val="0"/>
          <w:sz w:val="21"/>
          <w:szCs w:val="21"/>
          <w:highlight w:val="none"/>
          <w:lang w:val="en-US" w:eastAsia="zh-CN" w:bidi="ar"/>
        </w:rPr>
        <w:t>1cm以上枝桠全部清理下山或就地焚烧，</w:t>
      </w:r>
      <w:r>
        <w:rPr>
          <w:rFonts w:hint="eastAsia" w:ascii="宋体" w:hAnsi="宋体" w:eastAsia="宋体" w:cs="宋体"/>
          <w:color w:val="auto"/>
          <w:kern w:val="0"/>
          <w:sz w:val="21"/>
          <w:szCs w:val="21"/>
          <w:highlight w:val="none"/>
          <w:lang w:val="zh-CN" w:eastAsia="zh-CN" w:bidi="ar"/>
        </w:rPr>
        <w:t>不得遗留的直径1㎝以上的枝桠，</w:t>
      </w:r>
      <w:r>
        <w:rPr>
          <w:rFonts w:hint="eastAsia" w:ascii="宋体" w:hAnsi="宋体" w:eastAsia="宋体" w:cs="宋体"/>
          <w:color w:val="auto"/>
          <w:kern w:val="0"/>
          <w:sz w:val="21"/>
          <w:szCs w:val="21"/>
          <w:highlight w:val="none"/>
          <w:lang w:val="en-US" w:eastAsia="zh-CN" w:bidi="ar"/>
        </w:rPr>
        <w:t>因天气原因暂时不能焚烧的，要将枝桠打堆、编号，防止遗漏。</w:t>
      </w:r>
    </w:p>
    <w:p w14:paraId="201AD990">
      <w:pPr>
        <w:pageBreakBefore w:val="0"/>
        <w:kinsoku/>
        <w:wordWrap/>
        <w:overflowPunct/>
        <w:topLinePunct w:val="0"/>
        <w:bidi w:val="0"/>
        <w:snapToGrid w:val="0"/>
        <w:spacing w:line="400" w:lineRule="exact"/>
        <w:ind w:left="0" w:firstLine="420" w:firstLineChars="200"/>
        <w:jc w:val="left"/>
        <w:textAlignment w:val="auto"/>
        <w:rPr>
          <w:rFonts w:hint="eastAsia" w:ascii="宋体" w:hAnsi="宋体" w:eastAsia="宋体" w:cs="宋体"/>
          <w:color w:val="auto"/>
          <w:kern w:val="0"/>
          <w:sz w:val="21"/>
          <w:szCs w:val="21"/>
          <w:highlight w:val="none"/>
          <w:lang w:val="zh-CN" w:eastAsia="zh-CN" w:bidi="ar"/>
        </w:rPr>
      </w:pPr>
      <w:r>
        <w:rPr>
          <w:rFonts w:hint="eastAsia" w:ascii="宋体" w:hAnsi="宋体" w:eastAsia="宋体" w:cs="宋体"/>
          <w:color w:val="auto"/>
          <w:kern w:val="0"/>
          <w:sz w:val="21"/>
          <w:szCs w:val="21"/>
          <w:highlight w:val="none"/>
          <w:lang w:val="zh-CN" w:eastAsia="zh-CN" w:bidi="ar"/>
        </w:rPr>
        <w:t>（</w:t>
      </w: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zh-CN" w:eastAsia="zh-CN" w:bidi="ar"/>
        </w:rPr>
        <w:t>）疫木管理：对照松枯死木清理施工作业单位登记情况，对清理下山的死松树流向进行检查，确保按规定运往定点加工企业，并对林区疫木非法加工和农户留用松疫木情况进行检查，对存在的问题列出问题清单，并提出整改意见。</w:t>
      </w:r>
    </w:p>
    <w:p w14:paraId="28EDCC1B">
      <w:pPr>
        <w:pageBreakBefore w:val="0"/>
        <w:kinsoku/>
        <w:wordWrap/>
        <w:overflowPunct/>
        <w:topLinePunct w:val="0"/>
        <w:bidi w:val="0"/>
        <w:snapToGrid w:val="0"/>
        <w:spacing w:line="400" w:lineRule="exact"/>
        <w:ind w:lef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zh-CN" w:eastAsia="zh-CN" w:bidi="ar"/>
        </w:rPr>
        <w:t>（</w:t>
      </w:r>
      <w:r>
        <w:rPr>
          <w:rFonts w:hint="eastAsia" w:ascii="宋体" w:hAnsi="宋体" w:eastAsia="宋体" w:cs="宋体"/>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val="zh-CN" w:eastAsia="zh-CN" w:bidi="ar"/>
        </w:rPr>
        <w:t>）疫木安全利用定点加工企业：</w:t>
      </w:r>
      <w:r>
        <w:rPr>
          <w:rFonts w:hint="eastAsia" w:ascii="宋体" w:hAnsi="宋体" w:eastAsia="宋体" w:cs="宋体"/>
          <w:color w:val="auto"/>
          <w:kern w:val="0"/>
          <w:sz w:val="21"/>
          <w:szCs w:val="21"/>
          <w:highlight w:val="none"/>
          <w:lang w:val="en-US" w:eastAsia="zh-CN" w:bidi="ar"/>
        </w:rPr>
        <w:t>每周至少一次到</w:t>
      </w:r>
      <w:r>
        <w:rPr>
          <w:rFonts w:hint="eastAsia" w:ascii="宋体" w:hAnsi="宋体" w:eastAsia="宋体" w:cs="宋体"/>
          <w:color w:val="auto"/>
          <w:kern w:val="0"/>
          <w:sz w:val="21"/>
          <w:szCs w:val="21"/>
          <w:highlight w:val="none"/>
          <w:lang w:val="zh-CN" w:eastAsia="zh-CN" w:bidi="ar"/>
        </w:rPr>
        <w:t>疫木安全利用定点加工企业</w:t>
      </w:r>
      <w:r>
        <w:rPr>
          <w:rFonts w:hint="eastAsia" w:ascii="宋体" w:hAnsi="宋体" w:eastAsia="宋体" w:cs="宋体"/>
          <w:color w:val="auto"/>
          <w:kern w:val="0"/>
          <w:sz w:val="21"/>
          <w:szCs w:val="21"/>
          <w:highlight w:val="none"/>
          <w:lang w:val="en-US" w:eastAsia="zh-CN" w:bidi="ar"/>
        </w:rPr>
        <w:t>核对</w:t>
      </w:r>
      <w:r>
        <w:rPr>
          <w:rFonts w:hint="eastAsia" w:ascii="宋体" w:hAnsi="宋体" w:eastAsia="宋体" w:cs="宋体"/>
          <w:color w:val="auto"/>
          <w:kern w:val="0"/>
          <w:sz w:val="21"/>
          <w:szCs w:val="21"/>
          <w:highlight w:val="none"/>
          <w:lang w:val="zh-CN" w:eastAsia="zh-CN" w:bidi="ar"/>
        </w:rPr>
        <w:t>各清理单位</w:t>
      </w:r>
      <w:r>
        <w:rPr>
          <w:rFonts w:hint="eastAsia" w:ascii="宋体" w:hAnsi="宋体" w:eastAsia="宋体" w:cs="宋体"/>
          <w:color w:val="auto"/>
          <w:kern w:val="0"/>
          <w:sz w:val="21"/>
          <w:szCs w:val="21"/>
          <w:highlight w:val="none"/>
          <w:lang w:val="en-US" w:eastAsia="zh-CN" w:bidi="ar"/>
        </w:rPr>
        <w:t>进场疫木数量和来源，准确率要达到100%，每半个月把疫木进场情况书面报告甲方。</w:t>
      </w:r>
    </w:p>
    <w:p w14:paraId="2B31B77E">
      <w:pPr>
        <w:pageBreakBefore w:val="0"/>
        <w:kinsoku/>
        <w:wordWrap/>
        <w:overflowPunct/>
        <w:topLinePunct w:val="0"/>
        <w:bidi w:val="0"/>
        <w:snapToGrid w:val="0"/>
        <w:spacing w:line="400" w:lineRule="exact"/>
        <w:ind w:left="0" w:firstLine="420" w:firstLineChars="200"/>
        <w:jc w:val="left"/>
        <w:textAlignment w:val="auto"/>
        <w:rPr>
          <w:rFonts w:hint="eastAsia" w:ascii="宋体" w:hAnsi="宋体" w:eastAsia="宋体" w:cs="宋体"/>
          <w:color w:val="auto"/>
          <w:kern w:val="0"/>
          <w:sz w:val="21"/>
          <w:szCs w:val="21"/>
          <w:highlight w:val="none"/>
          <w:lang w:val="zh-CN" w:eastAsia="zh-CN" w:bidi="ar"/>
        </w:rPr>
      </w:pPr>
      <w:r>
        <w:rPr>
          <w:rFonts w:hint="eastAsia" w:ascii="宋体" w:hAnsi="宋体" w:eastAsia="宋体" w:cs="宋体"/>
          <w:color w:val="auto"/>
          <w:kern w:val="0"/>
          <w:sz w:val="21"/>
          <w:szCs w:val="21"/>
          <w:highlight w:val="none"/>
          <w:lang w:val="zh-CN" w:eastAsia="zh-CN" w:bidi="ar"/>
        </w:rPr>
        <w:t>（</w:t>
      </w:r>
      <w:r>
        <w:rPr>
          <w:rFonts w:hint="eastAsia" w:ascii="宋体" w:hAnsi="宋体" w:eastAsia="宋体" w:cs="宋体"/>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val="zh-CN" w:eastAsia="zh-CN" w:bidi="ar"/>
        </w:rPr>
        <w:t>）采伐证监管：实地检查除治山场采伐证审批情况，检查是否存在超伐、砍伐活松树等现象，并提出整改意见。</w:t>
      </w:r>
    </w:p>
    <w:p w14:paraId="6F2F35F3">
      <w:pPr>
        <w:pageBreakBefore w:val="0"/>
        <w:kinsoku/>
        <w:wordWrap/>
        <w:overflowPunct/>
        <w:topLinePunct w:val="0"/>
        <w:bidi w:val="0"/>
        <w:snapToGrid w:val="0"/>
        <w:spacing w:line="400" w:lineRule="exact"/>
        <w:ind w:lef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zh-CN" w:eastAsia="zh-CN" w:bidi="ar"/>
        </w:rPr>
        <w:t>（</w:t>
      </w:r>
      <w:r>
        <w:rPr>
          <w:rFonts w:hint="eastAsia" w:ascii="宋体" w:hAnsi="宋体" w:eastAsia="宋体" w:cs="宋体"/>
          <w:color w:val="auto"/>
          <w:kern w:val="0"/>
          <w:sz w:val="21"/>
          <w:szCs w:val="21"/>
          <w:highlight w:val="none"/>
          <w:lang w:val="en-US" w:eastAsia="zh-CN" w:bidi="ar"/>
        </w:rPr>
        <w:t>8</w:t>
      </w:r>
      <w:r>
        <w:rPr>
          <w:rFonts w:hint="eastAsia" w:ascii="宋体" w:hAnsi="宋体" w:eastAsia="宋体" w:cs="宋体"/>
          <w:color w:val="auto"/>
          <w:kern w:val="0"/>
          <w:sz w:val="21"/>
          <w:szCs w:val="21"/>
          <w:highlight w:val="none"/>
          <w:lang w:val="zh-CN" w:eastAsia="zh-CN" w:bidi="ar"/>
        </w:rPr>
        <w:t>）按要求进行省市抽查整改情况的检查和县级整改问题清单的复查。</w:t>
      </w:r>
    </w:p>
    <w:p w14:paraId="0A9E56C8">
      <w:pPr>
        <w:pageBreakBefore w:val="0"/>
        <w:kinsoku/>
        <w:wordWrap/>
        <w:overflowPunct/>
        <w:topLinePunct w:val="0"/>
        <w:bidi w:val="0"/>
        <w:snapToGrid w:val="0"/>
        <w:spacing w:line="400" w:lineRule="exact"/>
        <w:ind w:lef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、监理人员的要求</w:t>
      </w:r>
    </w:p>
    <w:p w14:paraId="6650AD9A">
      <w:pPr>
        <w:pageBreakBefore w:val="0"/>
        <w:kinsoku/>
        <w:wordWrap/>
        <w:overflowPunct/>
        <w:topLinePunct w:val="0"/>
        <w:bidi w:val="0"/>
        <w:snapToGrid w:val="0"/>
        <w:spacing w:line="400" w:lineRule="exact"/>
        <w:ind w:lef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zh-CN" w:eastAsia="zh-CN" w:bidi="ar"/>
        </w:rPr>
        <w:t>监理人员到位情况：在本项目上，监理负责人</w:t>
      </w: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zh-CN" w:eastAsia="zh-CN" w:bidi="ar"/>
        </w:rPr>
        <w:t>人要求在项目</w:t>
      </w:r>
      <w:r>
        <w:rPr>
          <w:rFonts w:hint="eastAsia" w:ascii="宋体" w:hAnsi="宋体" w:eastAsia="宋体" w:cs="宋体"/>
          <w:color w:val="auto"/>
          <w:kern w:val="0"/>
          <w:sz w:val="21"/>
          <w:szCs w:val="21"/>
          <w:highlight w:val="none"/>
          <w:lang w:val="en-US" w:eastAsia="zh-CN" w:bidi="ar"/>
        </w:rPr>
        <w:t>施工</w:t>
      </w:r>
      <w:r>
        <w:rPr>
          <w:rFonts w:hint="eastAsia" w:ascii="宋体" w:hAnsi="宋体" w:eastAsia="宋体" w:cs="宋体"/>
          <w:color w:val="auto"/>
          <w:kern w:val="0"/>
          <w:sz w:val="21"/>
          <w:szCs w:val="21"/>
          <w:highlight w:val="none"/>
          <w:lang w:val="zh-CN" w:eastAsia="zh-CN" w:bidi="ar"/>
        </w:rPr>
        <w:t>期间常驻</w:t>
      </w:r>
      <w:r>
        <w:rPr>
          <w:rFonts w:hint="eastAsia" w:ascii="宋体" w:hAnsi="宋体" w:eastAsia="宋体" w:cs="宋体"/>
          <w:color w:val="auto"/>
          <w:kern w:val="0"/>
          <w:sz w:val="21"/>
          <w:szCs w:val="21"/>
          <w:highlight w:val="none"/>
          <w:lang w:val="en-US" w:eastAsia="zh-CN" w:bidi="ar"/>
        </w:rPr>
        <w:t>开化县</w:t>
      </w:r>
      <w:r>
        <w:rPr>
          <w:rFonts w:hint="eastAsia" w:ascii="宋体" w:hAnsi="宋体" w:eastAsia="宋体" w:cs="宋体"/>
          <w:color w:val="auto"/>
          <w:kern w:val="0"/>
          <w:sz w:val="21"/>
          <w:szCs w:val="21"/>
          <w:highlight w:val="none"/>
          <w:lang w:val="zh-CN" w:eastAsia="zh-CN" w:bidi="ar"/>
        </w:rPr>
        <w:t>，全程参与项目监理工作，本项目监理团队（</w:t>
      </w:r>
      <w:r>
        <w:rPr>
          <w:rFonts w:hint="eastAsia" w:ascii="宋体" w:hAnsi="宋体" w:eastAsia="宋体" w:cs="宋体"/>
          <w:color w:val="auto"/>
          <w:kern w:val="0"/>
          <w:sz w:val="21"/>
          <w:szCs w:val="21"/>
          <w:highlight w:val="none"/>
          <w:lang w:val="en-US" w:eastAsia="zh-CN" w:bidi="ar"/>
        </w:rPr>
        <w:t>含</w:t>
      </w:r>
      <w:r>
        <w:rPr>
          <w:rFonts w:hint="eastAsia" w:ascii="宋体" w:hAnsi="宋体" w:eastAsia="宋体" w:cs="宋体"/>
          <w:color w:val="auto"/>
          <w:kern w:val="0"/>
          <w:sz w:val="21"/>
          <w:szCs w:val="21"/>
          <w:highlight w:val="none"/>
          <w:lang w:val="zh-CN" w:eastAsia="zh-CN" w:bidi="ar"/>
        </w:rPr>
        <w:t>监理</w:t>
      </w:r>
      <w:r>
        <w:rPr>
          <w:rFonts w:hint="eastAsia" w:ascii="宋体" w:hAnsi="宋体" w:eastAsia="宋体" w:cs="宋体"/>
          <w:color w:val="auto"/>
          <w:kern w:val="0"/>
          <w:sz w:val="21"/>
          <w:szCs w:val="21"/>
          <w:highlight w:val="none"/>
          <w:lang w:val="en-US" w:eastAsia="zh-CN" w:bidi="ar"/>
        </w:rPr>
        <w:t>负责人</w:t>
      </w:r>
      <w:r>
        <w:rPr>
          <w:rFonts w:hint="eastAsia" w:ascii="宋体" w:hAnsi="宋体" w:eastAsia="宋体" w:cs="宋体"/>
          <w:color w:val="auto"/>
          <w:kern w:val="0"/>
          <w:sz w:val="21"/>
          <w:szCs w:val="21"/>
          <w:highlight w:val="none"/>
          <w:lang w:val="zh-CN" w:eastAsia="zh-CN" w:bidi="ar"/>
        </w:rPr>
        <w:t>）不少于</w:t>
      </w:r>
      <w:r>
        <w:rPr>
          <w:rFonts w:hint="eastAsia" w:ascii="宋体" w:hAnsi="宋体" w:cs="宋体"/>
          <w:color w:val="auto"/>
          <w:kern w:val="0"/>
          <w:sz w:val="21"/>
          <w:szCs w:val="21"/>
          <w:highlight w:val="none"/>
          <w:lang w:val="en-US" w:eastAsia="zh-CN" w:bidi="ar"/>
        </w:rPr>
        <w:t>9</w:t>
      </w:r>
      <w:r>
        <w:rPr>
          <w:rFonts w:hint="eastAsia" w:ascii="宋体" w:hAnsi="宋体" w:eastAsia="宋体" w:cs="宋体"/>
          <w:color w:val="auto"/>
          <w:kern w:val="0"/>
          <w:sz w:val="21"/>
          <w:szCs w:val="21"/>
          <w:highlight w:val="none"/>
          <w:lang w:val="zh-CN" w:eastAsia="zh-CN" w:bidi="ar"/>
        </w:rPr>
        <w:t>人。</w:t>
      </w:r>
    </w:p>
    <w:p w14:paraId="27F8FBA8">
      <w:pPr>
        <w:pageBreakBefore w:val="0"/>
        <w:kinsoku/>
        <w:wordWrap/>
        <w:overflowPunct/>
        <w:topLinePunct w:val="0"/>
        <w:bidi w:val="0"/>
        <w:snapToGrid w:val="0"/>
        <w:spacing w:line="400" w:lineRule="exact"/>
        <w:ind w:lef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注：监理人员可由投标人根据施工监理实际进行调剂安排。</w:t>
      </w:r>
    </w:p>
    <w:p w14:paraId="27A96671">
      <w:pPr>
        <w:pageBreakBefore w:val="0"/>
        <w:kinsoku/>
        <w:wordWrap/>
        <w:overflowPunct/>
        <w:topLinePunct w:val="0"/>
        <w:bidi w:val="0"/>
        <w:snapToGrid w:val="0"/>
        <w:spacing w:line="400" w:lineRule="exact"/>
        <w:ind w:lef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（1）上述要求的监理人员中，监理负责人、监理员等主要人员的人数原则上保持不变，监理人员的人数也应根据施工进展情况作出适当的调整。监理人员的进、退场情况应事先取得采购人的书面同意。</w:t>
      </w:r>
    </w:p>
    <w:p w14:paraId="61EBEB8A">
      <w:pPr>
        <w:pageBreakBefore w:val="0"/>
        <w:kinsoku/>
        <w:wordWrap/>
        <w:overflowPunct/>
        <w:topLinePunct w:val="0"/>
        <w:bidi w:val="0"/>
        <w:snapToGrid w:val="0"/>
        <w:spacing w:line="400" w:lineRule="exact"/>
        <w:ind w:lef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（2）供应商应派遣投标文件中承诺的监理人员进驻现场，不得随意更换投标文件中承诺的监理负责人、监理人员等主要监理人员。</w:t>
      </w:r>
    </w:p>
    <w:p w14:paraId="3141BCF1">
      <w:pPr>
        <w:pageBreakBefore w:val="0"/>
        <w:kinsoku/>
        <w:wordWrap/>
        <w:overflowPunct/>
        <w:topLinePunct w:val="0"/>
        <w:bidi w:val="0"/>
        <w:snapToGrid w:val="0"/>
        <w:spacing w:line="400" w:lineRule="exact"/>
        <w:ind w:lef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（3）监理负责人、监理员等主要人员须身体健康，工作责任心强。</w:t>
      </w:r>
    </w:p>
    <w:p w14:paraId="104908E7">
      <w:pPr>
        <w:pageBreakBefore w:val="0"/>
        <w:kinsoku/>
        <w:wordWrap/>
        <w:overflowPunct/>
        <w:topLinePunct w:val="0"/>
        <w:bidi w:val="0"/>
        <w:snapToGrid w:val="0"/>
        <w:spacing w:line="400" w:lineRule="exact"/>
        <w:ind w:lef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）本项目监理团队须每周及时向采购人汇报监理工作情况。如上级部门或采购人发现施工方存在施工问题，而监理方未及时发现并及时向采购人汇报，导致的后果由监理方承担，且采购人有权对监理方作出处罚。</w:t>
      </w:r>
    </w:p>
    <w:p w14:paraId="36A08B86">
      <w:pPr>
        <w:keepNext w:val="0"/>
        <w:keepLines w:val="0"/>
        <w:pageBreakBefore w:val="0"/>
        <w:kinsoku/>
        <w:wordWrap/>
        <w:overflowPunct/>
        <w:topLinePunct w:val="0"/>
        <w:autoSpaceDE/>
        <w:autoSpaceDN/>
        <w:bidi w:val="0"/>
        <w:adjustRightInd/>
        <w:spacing w:line="420" w:lineRule="exact"/>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）监理工作期间，所有的人员安全责任及赔偿等均由中标人自行承担。</w:t>
      </w:r>
    </w:p>
    <w:p w14:paraId="18DF9859">
      <w:pPr>
        <w:keepNext w:val="0"/>
        <w:keepLines w:val="0"/>
        <w:pageBreakBefore w:val="0"/>
        <w:kinsoku/>
        <w:wordWrap/>
        <w:overflowPunct/>
        <w:topLinePunct w:val="0"/>
        <w:autoSpaceDE/>
        <w:autoSpaceDN/>
        <w:bidi w:val="0"/>
        <w:adjustRightInd/>
        <w:spacing w:line="420" w:lineRule="exact"/>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4、如因招投标价格下浮等原因造成本项目工程建设费用减少，其减少金额采购单位可能组织剩余资金标段进行施工，中标单位需无条件配合完成该剩余资金标段的所有监理工作。</w:t>
      </w:r>
    </w:p>
    <w:p w14:paraId="68C53096">
      <w:pPr>
        <w:keepNext w:val="0"/>
        <w:keepLines w:val="0"/>
        <w:pageBreakBefore w:val="0"/>
        <w:kinsoku/>
        <w:wordWrap/>
        <w:overflowPunct/>
        <w:topLinePunct w:val="0"/>
        <w:autoSpaceDE/>
        <w:autoSpaceDN/>
        <w:bidi w:val="0"/>
        <w:adjustRightInd/>
        <w:spacing w:line="420" w:lineRule="exact"/>
        <w:jc w:val="left"/>
        <w:textAlignment w:val="auto"/>
        <w:rPr>
          <w:rFonts w:hint="eastAsia" w:ascii="宋体" w:hAnsi="宋体" w:eastAsia="宋体" w:cs="宋体"/>
          <w:b/>
          <w:bCs/>
          <w:color w:val="auto"/>
          <w:kern w:val="0"/>
          <w:sz w:val="21"/>
          <w:szCs w:val="21"/>
          <w:highlight w:val="none"/>
          <w:shd w:val="clear" w:color="auto" w:fill="FFFFFF"/>
          <w:lang w:val="en-US" w:eastAsia="zh-CN" w:bidi="ar"/>
        </w:rPr>
      </w:pPr>
      <w:r>
        <w:rPr>
          <w:rFonts w:hint="eastAsia" w:ascii="宋体" w:hAnsi="宋体" w:eastAsia="宋体" w:cs="宋体"/>
          <w:b/>
          <w:bCs/>
          <w:color w:val="auto"/>
          <w:kern w:val="0"/>
          <w:sz w:val="21"/>
          <w:szCs w:val="21"/>
          <w:highlight w:val="none"/>
          <w:shd w:val="clear" w:color="auto" w:fill="FFFFFF"/>
          <w:lang w:val="en-US" w:eastAsia="zh-CN" w:bidi="ar"/>
        </w:rPr>
        <w:t>三、合同金额</w:t>
      </w:r>
    </w:p>
    <w:p w14:paraId="1C72D108">
      <w:pPr>
        <w:keepNext w:val="0"/>
        <w:keepLines w:val="0"/>
        <w:pageBreakBefore w:val="0"/>
        <w:kinsoku/>
        <w:wordWrap/>
        <w:overflowPunct/>
        <w:topLinePunct w:val="0"/>
        <w:autoSpaceDE/>
        <w:autoSpaceDN/>
        <w:bidi w:val="0"/>
        <w:adjustRightInd/>
        <w:spacing w:line="420" w:lineRule="exact"/>
        <w:ind w:left="0" w:firstLine="420" w:firstLineChars="200"/>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本项目按中标价合同金额为（大写）：</w:t>
      </w:r>
      <w:r>
        <w:rPr>
          <w:rFonts w:hint="eastAsia" w:ascii="宋体" w:hAnsi="宋体" w:eastAsia="宋体" w:cs="宋体"/>
          <w:color w:val="auto"/>
          <w:sz w:val="24"/>
          <w:szCs w:val="24"/>
          <w:u w:val="single"/>
        </w:rPr>
        <w:t xml:space="preserve">      </w:t>
      </w:r>
      <w:r>
        <w:rPr>
          <w:rFonts w:hint="eastAsia" w:ascii="宋体" w:hAnsi="宋体" w:eastAsia="宋体" w:cs="宋体"/>
          <w:color w:val="auto"/>
          <w:kern w:val="0"/>
          <w:sz w:val="21"/>
          <w:szCs w:val="21"/>
          <w:highlight w:val="none"/>
          <w:lang w:val="en-US" w:eastAsia="zh-CN" w:bidi="ar"/>
        </w:rPr>
        <w:t>元整（￥</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kern w:val="0"/>
          <w:sz w:val="21"/>
          <w:szCs w:val="21"/>
          <w:highlight w:val="none"/>
          <w:lang w:val="en-US" w:eastAsia="zh-CN" w:bidi="ar"/>
        </w:rPr>
        <w:t>元）人民币。</w:t>
      </w:r>
    </w:p>
    <w:p w14:paraId="542A6CFD">
      <w:pPr>
        <w:keepNext w:val="0"/>
        <w:keepLines w:val="0"/>
        <w:pageBreakBefore w:val="0"/>
        <w:kinsoku/>
        <w:wordWrap/>
        <w:overflowPunct/>
        <w:topLinePunct w:val="0"/>
        <w:autoSpaceDE/>
        <w:autoSpaceDN/>
        <w:bidi w:val="0"/>
        <w:adjustRightInd/>
        <w:spacing w:line="420" w:lineRule="exact"/>
        <w:ind w:left="0" w:firstLine="420" w:firstLineChars="200"/>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本次采购包含完成上述范围监理工作任务所发生的一切费用（包含项目设备、货物以及完成全部工作所需的工人工资、奖金、劳保福利社保、意外保险、工伤费、教育培训费及处理一切伤亡事故、机械设备损耗费与折旧费、交通运输费、代理服务费、管理费用、企业应缴税金和应得利润、应急、物价因素等完成合同所需的一切本身和不可所缺的所有工作开支、政策性文件规定及合同包含的所有风险、责任等各项全部费用）。</w:t>
      </w:r>
    </w:p>
    <w:p w14:paraId="5B40D450">
      <w:pPr>
        <w:keepNext w:val="0"/>
        <w:keepLines w:val="0"/>
        <w:pageBreakBefore w:val="0"/>
        <w:numPr>
          <w:ilvl w:val="0"/>
          <w:numId w:val="0"/>
        </w:numPr>
        <w:kinsoku/>
        <w:wordWrap/>
        <w:overflowPunct/>
        <w:topLinePunct w:val="0"/>
        <w:autoSpaceDE/>
        <w:autoSpaceDN/>
        <w:bidi w:val="0"/>
        <w:adjustRightInd/>
        <w:spacing w:line="420" w:lineRule="exact"/>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bCs/>
          <w:color w:val="auto"/>
          <w:kern w:val="0"/>
          <w:sz w:val="21"/>
          <w:szCs w:val="21"/>
          <w:lang w:val="en-US" w:eastAsia="zh-CN" w:bidi="ar"/>
        </w:rPr>
        <w:t>四、</w:t>
      </w:r>
      <w:r>
        <w:rPr>
          <w:rFonts w:hint="eastAsia" w:ascii="宋体" w:hAnsi="宋体" w:cs="宋体"/>
          <w:b/>
          <w:bCs/>
          <w:color w:val="auto"/>
          <w:szCs w:val="21"/>
          <w:highlight w:val="none"/>
        </w:rPr>
        <w:t>工期（服务期限）要求</w:t>
      </w:r>
      <w:r>
        <w:rPr>
          <w:rFonts w:hint="eastAsia" w:ascii="宋体" w:hAnsi="宋体" w:eastAsia="宋体" w:cs="宋体"/>
          <w:color w:val="auto"/>
          <w:kern w:val="0"/>
          <w:sz w:val="21"/>
          <w:szCs w:val="21"/>
          <w:highlight w:val="none"/>
          <w:shd w:val="clear" w:color="auto" w:fill="FFFFFF"/>
          <w:lang w:val="en-US" w:eastAsia="zh-CN" w:bidi="ar"/>
        </w:rPr>
        <w:t>：</w:t>
      </w:r>
      <w:r>
        <w:rPr>
          <w:rFonts w:hint="eastAsia" w:ascii="宋体" w:hAnsi="宋体" w:cs="宋体"/>
          <w:color w:val="auto"/>
          <w:kern w:val="0"/>
          <w:sz w:val="21"/>
          <w:szCs w:val="21"/>
          <w:highlight w:val="none"/>
          <w:lang w:val="en-US" w:eastAsia="zh-CN" w:bidi="ar"/>
        </w:rPr>
        <w:t>从签订合同之日起至工程竣工验收合格且工程结算完毕为止</w:t>
      </w:r>
      <w:r>
        <w:rPr>
          <w:rFonts w:hint="eastAsia" w:ascii="宋体" w:hAnsi="宋体" w:cs="宋体"/>
          <w:color w:val="auto"/>
          <w:szCs w:val="21"/>
          <w:highlight w:val="none"/>
          <w:lang w:val="en-US" w:eastAsia="zh-CN"/>
        </w:rPr>
        <w:t>。</w:t>
      </w:r>
    </w:p>
    <w:p w14:paraId="406761F2">
      <w:pPr>
        <w:keepNext w:val="0"/>
        <w:keepLines w:val="0"/>
        <w:pageBreakBefore w:val="0"/>
        <w:kinsoku/>
        <w:wordWrap/>
        <w:overflowPunct/>
        <w:topLinePunct w:val="0"/>
        <w:autoSpaceDE/>
        <w:autoSpaceDN/>
        <w:bidi w:val="0"/>
        <w:adjustRightInd/>
        <w:spacing w:line="420" w:lineRule="exact"/>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五、技术资料</w:t>
      </w:r>
    </w:p>
    <w:p w14:paraId="48BF12CE">
      <w:pPr>
        <w:keepNext w:val="0"/>
        <w:keepLines w:val="0"/>
        <w:pageBreakBefore w:val="0"/>
        <w:kinsoku/>
        <w:wordWrap/>
        <w:overflowPunct/>
        <w:topLinePunct w:val="0"/>
        <w:autoSpaceDE/>
        <w:autoSpaceDN/>
        <w:bidi w:val="0"/>
        <w:adjustRightInd/>
        <w:spacing w:line="420" w:lineRule="exact"/>
        <w:ind w:left="0" w:firstLine="420" w:firstLineChars="200"/>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1、乙方应按采购文件规定的时间向甲方提供有关技术资料。</w:t>
      </w:r>
    </w:p>
    <w:p w14:paraId="6FCFD9BD">
      <w:pPr>
        <w:keepNext w:val="0"/>
        <w:keepLines w:val="0"/>
        <w:pageBreakBefore w:val="0"/>
        <w:kinsoku/>
        <w:wordWrap/>
        <w:overflowPunct/>
        <w:topLinePunct w:val="0"/>
        <w:autoSpaceDE/>
        <w:autoSpaceDN/>
        <w:bidi w:val="0"/>
        <w:adjustRightInd/>
        <w:spacing w:line="420" w:lineRule="exact"/>
        <w:ind w:left="0" w:firstLine="420" w:firstLineChars="200"/>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没有甲方事先书面同意，乙方不得将由甲方提供的有关合同或任何合同条文、资料、计划、样品等提供给与履行本合同无关的任何其他人。即使向履行本合同有关的人员提供，也应注意保密并限于履行合同的必需范围。</w:t>
      </w:r>
    </w:p>
    <w:p w14:paraId="165BB31B">
      <w:pPr>
        <w:keepNext w:val="0"/>
        <w:keepLines w:val="0"/>
        <w:pageBreakBefore w:val="0"/>
        <w:kinsoku/>
        <w:wordWrap/>
        <w:overflowPunct/>
        <w:topLinePunct w:val="0"/>
        <w:autoSpaceDE/>
        <w:autoSpaceDN/>
        <w:bidi w:val="0"/>
        <w:adjustRightInd/>
        <w:spacing w:line="420" w:lineRule="exact"/>
        <w:ind w:left="0" w:firstLine="420" w:firstLineChars="200"/>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3、乙方应当对全部作业情况建立完整的电子档案资料，在合同正常终止后全部移交给招标单位保管。</w:t>
      </w:r>
    </w:p>
    <w:p w14:paraId="0E6C205D">
      <w:pPr>
        <w:keepNext w:val="0"/>
        <w:keepLines w:val="0"/>
        <w:pageBreakBefore w:val="0"/>
        <w:kinsoku/>
        <w:wordWrap/>
        <w:overflowPunct/>
        <w:topLinePunct w:val="0"/>
        <w:autoSpaceDE/>
        <w:autoSpaceDN/>
        <w:bidi w:val="0"/>
        <w:adjustRightInd/>
        <w:spacing w:line="420" w:lineRule="exact"/>
        <w:ind w:left="0" w:firstLine="420" w:firstLineChars="200"/>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4、与本项目有关的资料及数据中涉及国家保密的内容，均要求按照《国家保密法》及相关法律法规执行。</w:t>
      </w:r>
    </w:p>
    <w:p w14:paraId="573E7034">
      <w:pPr>
        <w:keepNext w:val="0"/>
        <w:keepLines w:val="0"/>
        <w:pageBreakBefore w:val="0"/>
        <w:kinsoku/>
        <w:wordWrap/>
        <w:overflowPunct/>
        <w:topLinePunct w:val="0"/>
        <w:autoSpaceDE/>
        <w:autoSpaceDN/>
        <w:bidi w:val="0"/>
        <w:adjustRightInd/>
        <w:spacing w:line="420" w:lineRule="exact"/>
        <w:ind w:left="0" w:firstLine="420" w:firstLineChars="200"/>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5、乙方应遵守相关保密法律、法规，确保招标单位及项目建设方和排污单位方的信息安全。</w:t>
      </w:r>
    </w:p>
    <w:p w14:paraId="0F8F7856">
      <w:pPr>
        <w:keepNext w:val="0"/>
        <w:keepLines w:val="0"/>
        <w:pageBreakBefore w:val="0"/>
        <w:kinsoku/>
        <w:wordWrap/>
        <w:overflowPunct/>
        <w:topLinePunct w:val="0"/>
        <w:autoSpaceDE/>
        <w:autoSpaceDN/>
        <w:bidi w:val="0"/>
        <w:adjustRightInd/>
        <w:spacing w:line="420" w:lineRule="exact"/>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六、付款方式</w:t>
      </w:r>
    </w:p>
    <w:p w14:paraId="24DC283F">
      <w:pPr>
        <w:keepNext w:val="0"/>
        <w:keepLines w:val="0"/>
        <w:pageBreakBefore w:val="0"/>
        <w:kinsoku/>
        <w:wordWrap/>
        <w:overflowPunct/>
        <w:topLinePunct w:val="0"/>
        <w:autoSpaceDE/>
        <w:autoSpaceDN/>
        <w:bidi w:val="0"/>
        <w:adjustRightInd/>
        <w:spacing w:line="420" w:lineRule="exact"/>
        <w:ind w:left="0" w:firstLine="420" w:firstLineChars="200"/>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1、预付款：合同签订</w:t>
      </w:r>
      <w:r>
        <w:rPr>
          <w:rFonts w:hint="eastAsia" w:ascii="宋体" w:hAnsi="宋体" w:eastAsia="宋体" w:cs="宋体"/>
          <w:color w:val="auto"/>
          <w:kern w:val="0"/>
          <w:sz w:val="21"/>
          <w:szCs w:val="21"/>
          <w:highlight w:val="none"/>
          <w:lang w:val="zh-CN" w:eastAsia="zh-CN" w:bidi="ar"/>
        </w:rPr>
        <w:t>并具备生效条件后</w:t>
      </w:r>
      <w:r>
        <w:rPr>
          <w:rFonts w:hint="eastAsia" w:ascii="宋体" w:hAnsi="宋体" w:cs="宋体"/>
          <w:color w:val="auto"/>
          <w:kern w:val="0"/>
          <w:sz w:val="21"/>
          <w:szCs w:val="21"/>
          <w:highlight w:val="none"/>
          <w:lang w:val="en-US" w:eastAsia="zh-CN" w:bidi="ar"/>
        </w:rPr>
        <w:t>30</w:t>
      </w:r>
      <w:r>
        <w:rPr>
          <w:rFonts w:hint="eastAsia" w:ascii="宋体" w:hAnsi="宋体" w:eastAsia="宋体" w:cs="宋体"/>
          <w:color w:val="auto"/>
          <w:kern w:val="0"/>
          <w:sz w:val="21"/>
          <w:szCs w:val="21"/>
          <w:highlight w:val="none"/>
          <w:lang w:val="en-US" w:eastAsia="zh-CN" w:bidi="ar"/>
        </w:rPr>
        <w:t>日内，支付合同价款的</w:t>
      </w:r>
      <w:r>
        <w:rPr>
          <w:rFonts w:hint="eastAsia" w:ascii="宋体" w:hAnsi="宋体" w:cs="宋体"/>
          <w:color w:val="auto"/>
          <w:kern w:val="0"/>
          <w:sz w:val="21"/>
          <w:szCs w:val="21"/>
          <w:highlight w:val="none"/>
          <w:lang w:val="en-US" w:eastAsia="zh-CN" w:bidi="ar"/>
        </w:rPr>
        <w:t>30</w:t>
      </w:r>
      <w:r>
        <w:rPr>
          <w:rFonts w:hint="eastAsia" w:ascii="宋体" w:hAnsi="宋体" w:eastAsia="宋体" w:cs="宋体"/>
          <w:color w:val="auto"/>
          <w:kern w:val="0"/>
          <w:sz w:val="21"/>
          <w:szCs w:val="21"/>
          <w:highlight w:val="none"/>
          <w:lang w:val="en-US" w:eastAsia="zh-CN" w:bidi="ar"/>
        </w:rPr>
        <w:t>%；</w:t>
      </w:r>
    </w:p>
    <w:p w14:paraId="23EFCB63">
      <w:pPr>
        <w:keepNext w:val="0"/>
        <w:keepLines w:val="0"/>
        <w:pageBreakBefore w:val="0"/>
        <w:kinsoku/>
        <w:wordWrap/>
        <w:overflowPunct/>
        <w:topLinePunct w:val="0"/>
        <w:autoSpaceDE/>
        <w:autoSpaceDN/>
        <w:bidi w:val="0"/>
        <w:adjustRightInd/>
        <w:spacing w:line="420" w:lineRule="exact"/>
        <w:ind w:left="0" w:firstLine="420" w:firstLineChars="200"/>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eastAsia" w:ascii="宋体" w:hAnsi="宋体" w:cs="宋体"/>
          <w:color w:val="auto"/>
          <w:kern w:val="0"/>
          <w:sz w:val="21"/>
          <w:szCs w:val="21"/>
          <w:highlight w:val="none"/>
          <w:lang w:val="en-US" w:eastAsia="zh-CN" w:bidi="ar"/>
        </w:rPr>
        <w:t>按项目的工程总进度比例</w:t>
      </w:r>
      <w:r>
        <w:rPr>
          <w:rFonts w:hint="eastAsia" w:ascii="宋体" w:hAnsi="宋体" w:eastAsia="宋体" w:cs="宋体"/>
          <w:color w:val="auto"/>
          <w:kern w:val="0"/>
          <w:sz w:val="21"/>
          <w:szCs w:val="21"/>
          <w:highlight w:val="none"/>
          <w:lang w:val="en-US" w:eastAsia="zh-CN" w:bidi="ar"/>
        </w:rPr>
        <w:t>支付</w:t>
      </w:r>
      <w:r>
        <w:rPr>
          <w:rFonts w:hint="eastAsia" w:ascii="宋体" w:hAnsi="宋体" w:cs="宋体"/>
          <w:color w:val="auto"/>
          <w:kern w:val="0"/>
          <w:sz w:val="21"/>
          <w:szCs w:val="21"/>
          <w:highlight w:val="none"/>
          <w:lang w:val="en-US" w:eastAsia="zh-CN" w:bidi="ar"/>
        </w:rPr>
        <w:t>合同价款，最高支付至</w:t>
      </w:r>
      <w:r>
        <w:rPr>
          <w:rFonts w:hint="eastAsia" w:ascii="宋体" w:hAnsi="宋体" w:eastAsia="宋体" w:cs="宋体"/>
          <w:color w:val="auto"/>
          <w:kern w:val="0"/>
          <w:sz w:val="21"/>
          <w:szCs w:val="21"/>
          <w:highlight w:val="none"/>
          <w:lang w:val="en-US" w:eastAsia="zh-CN" w:bidi="ar"/>
        </w:rPr>
        <w:t>合同价款的</w:t>
      </w:r>
      <w:r>
        <w:rPr>
          <w:rFonts w:hint="eastAsia" w:ascii="宋体" w:hAnsi="宋体" w:cs="宋体"/>
          <w:color w:val="auto"/>
          <w:kern w:val="0"/>
          <w:sz w:val="21"/>
          <w:szCs w:val="21"/>
          <w:highlight w:val="none"/>
          <w:lang w:val="en-US" w:eastAsia="zh-CN" w:bidi="ar"/>
        </w:rPr>
        <w:t>70</w:t>
      </w:r>
      <w:r>
        <w:rPr>
          <w:rFonts w:hint="eastAsia" w:ascii="宋体" w:hAnsi="宋体" w:eastAsia="宋体" w:cs="宋体"/>
          <w:color w:val="auto"/>
          <w:kern w:val="0"/>
          <w:sz w:val="21"/>
          <w:szCs w:val="21"/>
          <w:highlight w:val="none"/>
          <w:lang w:val="en-US" w:eastAsia="zh-CN" w:bidi="ar"/>
        </w:rPr>
        <w:t>%。</w:t>
      </w:r>
    </w:p>
    <w:p w14:paraId="4DDB464F">
      <w:pPr>
        <w:keepNext w:val="0"/>
        <w:keepLines w:val="0"/>
        <w:pageBreakBefore w:val="0"/>
        <w:kinsoku/>
        <w:wordWrap/>
        <w:overflowPunct/>
        <w:topLinePunct w:val="0"/>
        <w:autoSpaceDE/>
        <w:autoSpaceDN/>
        <w:bidi w:val="0"/>
        <w:adjustRightInd/>
        <w:spacing w:line="420" w:lineRule="exact"/>
        <w:ind w:left="0" w:firstLine="420" w:firstLineChars="200"/>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zh-CN" w:eastAsia="zh-CN" w:bidi="ar"/>
        </w:rPr>
        <w:t>项目监理服务完成，提交项目监理报告且项目验收后</w:t>
      </w:r>
      <w:r>
        <w:rPr>
          <w:rFonts w:hint="eastAsia" w:ascii="宋体" w:hAnsi="宋体" w:eastAsia="宋体" w:cs="宋体"/>
          <w:color w:val="auto"/>
          <w:kern w:val="0"/>
          <w:sz w:val="21"/>
          <w:szCs w:val="21"/>
          <w:highlight w:val="none"/>
          <w:lang w:val="en-US" w:eastAsia="zh-CN" w:bidi="ar"/>
        </w:rPr>
        <w:t>支付剩余款项至100%。</w:t>
      </w:r>
    </w:p>
    <w:p w14:paraId="0DCF67BB">
      <w:pPr>
        <w:keepNext w:val="0"/>
        <w:keepLines w:val="0"/>
        <w:pageBreakBefore w:val="0"/>
        <w:widowControl/>
        <w:kinsoku/>
        <w:overflowPunct/>
        <w:topLinePunct w:val="0"/>
        <w:autoSpaceDE/>
        <w:autoSpaceDN/>
        <w:bidi w:val="0"/>
        <w:adjustRightInd/>
        <w:snapToGrid w:val="0"/>
        <w:spacing w:line="42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七、税费</w:t>
      </w:r>
    </w:p>
    <w:p w14:paraId="5D62ECA4">
      <w:pPr>
        <w:keepNext w:val="0"/>
        <w:keepLines w:val="0"/>
        <w:pageBreakBefore w:val="0"/>
        <w:widowControl/>
        <w:kinsoku/>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本合同执行中相关的一切税费均由乙方负担。</w:t>
      </w:r>
    </w:p>
    <w:p w14:paraId="2D4627AE">
      <w:pPr>
        <w:keepNext w:val="0"/>
        <w:keepLines w:val="0"/>
        <w:pageBreakBefore w:val="0"/>
        <w:widowControl/>
        <w:kinsoku/>
        <w:overflowPunct/>
        <w:topLinePunct w:val="0"/>
        <w:autoSpaceDE/>
        <w:autoSpaceDN/>
        <w:bidi w:val="0"/>
        <w:adjustRightInd/>
        <w:snapToGrid w:val="0"/>
        <w:spacing w:line="42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八、质量保证及后续服务</w:t>
      </w:r>
    </w:p>
    <w:p w14:paraId="52B2DE1B">
      <w:pPr>
        <w:keepNext w:val="0"/>
        <w:keepLines w:val="0"/>
        <w:pageBreakBefore w:val="0"/>
        <w:widowControl/>
        <w:kinsoku/>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乙方应按招标文件规定向甲方提供服务。</w:t>
      </w:r>
      <w:r>
        <w:rPr>
          <w:rFonts w:hint="eastAsia" w:ascii="宋体" w:hAnsi="宋体" w:eastAsia="宋体" w:cs="宋体"/>
          <w:color w:val="auto"/>
          <w:sz w:val="21"/>
          <w:szCs w:val="21"/>
          <w:highlight w:val="none"/>
          <w:lang w:bidi="ar"/>
        </w:rPr>
        <w:t>项目实施期间项目负责人、技术负责人未经</w:t>
      </w:r>
      <w:r>
        <w:rPr>
          <w:rFonts w:hint="eastAsia" w:ascii="宋体" w:hAnsi="宋体" w:eastAsia="宋体" w:cs="宋体"/>
          <w:color w:val="auto"/>
          <w:sz w:val="21"/>
          <w:szCs w:val="21"/>
          <w:highlight w:val="none"/>
          <w:lang w:val="en-US" w:eastAsia="zh-CN" w:bidi="ar"/>
        </w:rPr>
        <w:t>采购人</w:t>
      </w:r>
      <w:r>
        <w:rPr>
          <w:rFonts w:hint="eastAsia" w:ascii="宋体" w:hAnsi="宋体" w:eastAsia="宋体" w:cs="宋体"/>
          <w:color w:val="auto"/>
          <w:sz w:val="21"/>
          <w:szCs w:val="21"/>
          <w:highlight w:val="none"/>
          <w:lang w:bidi="ar"/>
        </w:rPr>
        <w:t>同意，不得更换，项目不能以任何形式转包、分包，一旦发现，合同立即终止</w:t>
      </w:r>
      <w:r>
        <w:rPr>
          <w:rFonts w:hint="eastAsia" w:ascii="宋体" w:hAnsi="宋体" w:eastAsia="宋体" w:cs="宋体"/>
          <w:color w:val="auto"/>
          <w:sz w:val="21"/>
          <w:szCs w:val="21"/>
          <w:highlight w:val="none"/>
        </w:rPr>
        <w:t>。</w:t>
      </w:r>
    </w:p>
    <w:p w14:paraId="475C4939">
      <w:pPr>
        <w:keepNext w:val="0"/>
        <w:keepLines w:val="0"/>
        <w:pageBreakBefore w:val="0"/>
        <w:widowControl/>
        <w:kinsoku/>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乙方提供的服务成果在服务质量保证期内发生故障，乙方应负责免费提供后续服务。对达不到要求者，根据实际情况，经双方协商，可按以下办法处理：</w:t>
      </w:r>
    </w:p>
    <w:p w14:paraId="2751DAFF">
      <w:pPr>
        <w:keepNext w:val="0"/>
        <w:keepLines w:val="0"/>
        <w:pageBreakBefore w:val="0"/>
        <w:widowControl/>
        <w:kinsoku/>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（1）重做：由乙方承担所发生的全部费用。</w:t>
      </w:r>
    </w:p>
    <w:p w14:paraId="1F8B6C29">
      <w:pPr>
        <w:keepNext w:val="0"/>
        <w:keepLines w:val="0"/>
        <w:pageBreakBefore w:val="0"/>
        <w:widowControl/>
        <w:kinsoku/>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（2）贬值处理：由甲乙双方合议定价。</w:t>
      </w:r>
    </w:p>
    <w:p w14:paraId="7372B687">
      <w:pPr>
        <w:keepNext w:val="0"/>
        <w:keepLines w:val="0"/>
        <w:pageBreakBefore w:val="0"/>
        <w:widowControl/>
        <w:kinsoku/>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（3）解除合同。</w:t>
      </w:r>
    </w:p>
    <w:p w14:paraId="5CCD5DAC">
      <w:pPr>
        <w:keepNext w:val="0"/>
        <w:keepLines w:val="0"/>
        <w:pageBreakBefore w:val="0"/>
        <w:widowControl/>
        <w:kinsoku/>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如在服务期间过程中发生问题，乙方在接到甲方通知后在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小时内到达甲方现场。</w:t>
      </w:r>
    </w:p>
    <w:p w14:paraId="3CD08FFD">
      <w:pPr>
        <w:keepNext w:val="0"/>
        <w:keepLines w:val="0"/>
        <w:pageBreakBefore w:val="0"/>
        <w:widowControl/>
        <w:kinsoku/>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在服务质量保证期内，乙方应对服务出现的质量及安全问题负责处理解决并承担一切费用。</w:t>
      </w:r>
    </w:p>
    <w:p w14:paraId="4F3E76A3">
      <w:pPr>
        <w:keepNext w:val="0"/>
        <w:keepLines w:val="0"/>
        <w:pageBreakBefore w:val="0"/>
        <w:widowControl/>
        <w:kinsoku/>
        <w:overflowPunct/>
        <w:topLinePunct w:val="0"/>
        <w:autoSpaceDE/>
        <w:autoSpaceDN/>
        <w:bidi w:val="0"/>
        <w:adjustRightInd/>
        <w:snapToGrid w:val="0"/>
        <w:spacing w:line="42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九、双方权利义务</w:t>
      </w:r>
    </w:p>
    <w:p w14:paraId="4B2528B7">
      <w:pPr>
        <w:keepNext w:val="0"/>
        <w:keepLines w:val="0"/>
        <w:pageBreakBefore w:val="0"/>
        <w:widowControl/>
        <w:kinsoku/>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甲方协助乙方做好项目的相关工作，在整个过程给予乙方必要的支持与配合。</w:t>
      </w:r>
    </w:p>
    <w:p w14:paraId="59DB5C11">
      <w:pPr>
        <w:keepNext w:val="0"/>
        <w:keepLines w:val="0"/>
        <w:pageBreakBefore w:val="0"/>
        <w:widowControl/>
        <w:kinsoku/>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乙方应根据甲方的要求和招标文件的相关规定保质保量完成合同设定的目标。</w:t>
      </w:r>
    </w:p>
    <w:p w14:paraId="15274ACA">
      <w:pPr>
        <w:keepNext w:val="0"/>
        <w:keepLines w:val="0"/>
        <w:pageBreakBefore w:val="0"/>
        <w:widowControl/>
        <w:kinsoku/>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若乙方的服务工作达不到甲方要求，甲方有权出具书面整改通知。出具通知后2个月内仍达不到要求的，甲方有权解除合同，另行选择服务。</w:t>
      </w:r>
    </w:p>
    <w:p w14:paraId="47B6E286">
      <w:pPr>
        <w:keepNext w:val="0"/>
        <w:keepLines w:val="0"/>
        <w:pageBreakBefore w:val="0"/>
        <w:widowControl/>
        <w:kinsoku/>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在合作过程中甲方可随时介入监管乙方工作情况，以便及时了解掌握项目进展情况和目标完成情况。</w:t>
      </w:r>
    </w:p>
    <w:p w14:paraId="122A65E6">
      <w:pPr>
        <w:keepNext w:val="0"/>
        <w:keepLines w:val="0"/>
        <w:pageBreakBefore w:val="0"/>
        <w:widowControl/>
        <w:kinsoku/>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甲乙双方应诚信合作，尽职履约，相互负有及时告知、协助、保密等义务。</w:t>
      </w:r>
    </w:p>
    <w:p w14:paraId="3E14025B">
      <w:pPr>
        <w:keepNext w:val="0"/>
        <w:keepLines w:val="0"/>
        <w:pageBreakBefore w:val="0"/>
        <w:widowControl/>
        <w:kinsoku/>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服务期满,乙方未完成全部服务目标的,甲方有权扣除相应合同价款。</w:t>
      </w:r>
    </w:p>
    <w:p w14:paraId="753EB984">
      <w:pPr>
        <w:keepNext w:val="0"/>
        <w:keepLines w:val="0"/>
        <w:pageBreakBefore w:val="0"/>
        <w:widowControl/>
        <w:kinsoku/>
        <w:overflowPunct/>
        <w:topLinePunct w:val="0"/>
        <w:autoSpaceDE/>
        <w:autoSpaceDN/>
        <w:bidi w:val="0"/>
        <w:adjustRightInd/>
        <w:snapToGrid w:val="0"/>
        <w:spacing w:line="42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十、违约责任</w:t>
      </w:r>
    </w:p>
    <w:p w14:paraId="603D7317">
      <w:pPr>
        <w:keepNext w:val="0"/>
        <w:keepLines w:val="0"/>
        <w:pageBreakBefore w:val="0"/>
        <w:widowControl/>
        <w:kinsoku/>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甲方无正当理由拒绝接受服务的，甲方向乙方偿付合同款项百分之五作为违约金。</w:t>
      </w:r>
    </w:p>
    <w:p w14:paraId="31C5B9AB">
      <w:pPr>
        <w:keepNext w:val="0"/>
        <w:keepLines w:val="0"/>
        <w:pageBreakBefore w:val="0"/>
        <w:widowControl/>
        <w:kinsoku/>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乙方对其提交的项目成果质量负责，并负责对项目成果出现的遗漏或错误进行修改、补充。如乙方提交的项目成果未达到要求或未通过甲方审查，需退回并根据甲方要求进行修改完善。</w:t>
      </w:r>
    </w:p>
    <w:p w14:paraId="6365AB4F">
      <w:pPr>
        <w:keepNext w:val="0"/>
        <w:keepLines w:val="0"/>
        <w:pageBreakBefore w:val="0"/>
        <w:widowControl/>
        <w:kinsoku/>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百分之五的违约金，如造成甲方损失超过违约金的，超出部分由乙方继续承担赔偿责任。</w:t>
      </w:r>
    </w:p>
    <w:p w14:paraId="07286A10">
      <w:pPr>
        <w:keepNext w:val="0"/>
        <w:keepLines w:val="0"/>
        <w:pageBreakBefore w:val="0"/>
        <w:widowControl/>
        <w:kinsoku/>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b/>
          <w:bCs/>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除本合同另有约定外，任何一方违反本合同，违约方应向守约方承担违约责任，赔偿因其违约行为给守约方造成的损失，如违约方不能在合理期限内采取补救措施，守约方有权解除合同，并要求违约方赔偿其由此而遭受的一切损失（包括但不限于律师费、公证费、诉讼费等合理支出）。</w:t>
      </w:r>
    </w:p>
    <w:p w14:paraId="2FCE3FB0">
      <w:pPr>
        <w:keepNext w:val="0"/>
        <w:keepLines w:val="0"/>
        <w:pageBreakBefore w:val="0"/>
        <w:widowControl/>
        <w:kinsoku/>
        <w:wordWrap/>
        <w:overflowPunct/>
        <w:topLinePunct w:val="0"/>
        <w:autoSpaceDE/>
        <w:autoSpaceDN/>
        <w:bidi w:val="0"/>
        <w:adjustRightInd/>
        <w:spacing w:line="420" w:lineRule="exact"/>
        <w:textAlignment w:val="auto"/>
        <w:outlineLvl w:val="9"/>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十</w:t>
      </w:r>
      <w:r>
        <w:rPr>
          <w:rFonts w:hint="eastAsia" w:ascii="宋体" w:hAnsi="宋体" w:cs="宋体"/>
          <w:b/>
          <w:color w:val="auto"/>
          <w:sz w:val="21"/>
          <w:szCs w:val="21"/>
          <w:highlight w:val="none"/>
          <w:lang w:val="en-US" w:eastAsia="zh-CN"/>
        </w:rPr>
        <w:t>一</w:t>
      </w:r>
      <w:r>
        <w:rPr>
          <w:rFonts w:hint="eastAsia" w:ascii="宋体" w:hAnsi="宋体" w:eastAsia="宋体" w:cs="宋体"/>
          <w:b/>
          <w:color w:val="auto"/>
          <w:sz w:val="21"/>
          <w:szCs w:val="21"/>
          <w:highlight w:val="none"/>
          <w:lang w:eastAsia="zh-CN"/>
        </w:rPr>
        <w:t>、不可抗力事件处理</w:t>
      </w:r>
    </w:p>
    <w:p w14:paraId="3A17DD8B">
      <w:pPr>
        <w:keepNext w:val="0"/>
        <w:keepLines w:val="0"/>
        <w:pageBreakBefore w:val="0"/>
        <w:widowControl/>
        <w:kinsoku/>
        <w:wordWrap/>
        <w:overflowPunct/>
        <w:topLinePunct w:val="0"/>
        <w:autoSpaceDE/>
        <w:autoSpaceDN/>
        <w:bidi w:val="0"/>
        <w:adjustRightInd/>
        <w:spacing w:line="420" w:lineRule="exact"/>
        <w:ind w:left="0" w:leftChars="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在合同有效期限内，任何一方因不可抗力事件导致不能履行合同，则合同履行期可延长，其延长期与不可抗力影响期相同。</w:t>
      </w:r>
    </w:p>
    <w:p w14:paraId="78C4D2A3">
      <w:pPr>
        <w:keepNext w:val="0"/>
        <w:keepLines w:val="0"/>
        <w:pageBreakBefore w:val="0"/>
        <w:widowControl/>
        <w:kinsoku/>
        <w:wordWrap/>
        <w:overflowPunct/>
        <w:topLinePunct w:val="0"/>
        <w:autoSpaceDE/>
        <w:autoSpaceDN/>
        <w:bidi w:val="0"/>
        <w:adjustRightInd/>
        <w:spacing w:line="420" w:lineRule="exact"/>
        <w:ind w:left="0" w:leftChars="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不可抗力事件发生后，应立即通知对方，并寄送有关权威机构出具的证明。</w:t>
      </w:r>
    </w:p>
    <w:p w14:paraId="3172528C">
      <w:pPr>
        <w:keepNext w:val="0"/>
        <w:keepLines w:val="0"/>
        <w:pageBreakBefore w:val="0"/>
        <w:widowControl/>
        <w:kinsoku/>
        <w:wordWrap/>
        <w:overflowPunct/>
        <w:topLinePunct w:val="0"/>
        <w:autoSpaceDE/>
        <w:autoSpaceDN/>
        <w:bidi w:val="0"/>
        <w:adjustRightInd/>
        <w:spacing w:line="420" w:lineRule="exact"/>
        <w:ind w:left="0" w:leftChars="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不可抗力事件延续180天以上，双方应通过友好协商，确定是否继续履行合同。</w:t>
      </w:r>
    </w:p>
    <w:p w14:paraId="0111FCA4">
      <w:pPr>
        <w:keepNext w:val="0"/>
        <w:keepLines w:val="0"/>
        <w:pageBreakBefore w:val="0"/>
        <w:widowControl/>
        <w:kinsoku/>
        <w:wordWrap/>
        <w:overflowPunct/>
        <w:topLinePunct w:val="0"/>
        <w:autoSpaceDE/>
        <w:autoSpaceDN/>
        <w:bidi w:val="0"/>
        <w:adjustRightInd/>
        <w:spacing w:line="420" w:lineRule="exact"/>
        <w:textAlignment w:val="auto"/>
        <w:outlineLvl w:val="9"/>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十</w:t>
      </w:r>
      <w:r>
        <w:rPr>
          <w:rFonts w:hint="eastAsia" w:ascii="宋体" w:hAnsi="宋体" w:cs="宋体"/>
          <w:b/>
          <w:color w:val="auto"/>
          <w:sz w:val="21"/>
          <w:szCs w:val="21"/>
          <w:highlight w:val="none"/>
          <w:lang w:val="en-US" w:eastAsia="zh-CN"/>
        </w:rPr>
        <w:t>二</w:t>
      </w:r>
      <w:r>
        <w:rPr>
          <w:rFonts w:hint="eastAsia" w:ascii="宋体" w:hAnsi="宋体" w:eastAsia="宋体" w:cs="宋体"/>
          <w:b/>
          <w:color w:val="auto"/>
          <w:sz w:val="21"/>
          <w:szCs w:val="21"/>
          <w:highlight w:val="none"/>
          <w:lang w:eastAsia="zh-CN"/>
        </w:rPr>
        <w:t>、争议的解决</w:t>
      </w:r>
    </w:p>
    <w:p w14:paraId="54481955">
      <w:pPr>
        <w:keepNext w:val="0"/>
        <w:keepLines w:val="0"/>
        <w:pageBreakBefore w:val="0"/>
        <w:widowControl/>
        <w:kinsoku/>
        <w:wordWrap/>
        <w:overflowPunct/>
        <w:topLinePunct w:val="0"/>
        <w:autoSpaceDE/>
        <w:autoSpaceDN/>
        <w:bidi w:val="0"/>
        <w:adjustRightInd/>
        <w:spacing w:line="420" w:lineRule="exact"/>
        <w:ind w:left="0" w:leftChars="0" w:firstLine="420" w:firstLineChars="200"/>
        <w:textAlignment w:val="auto"/>
        <w:outlineLvl w:val="9"/>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双方在执行合同中所发生的一切争议，应通过协商解决。如协商不成，可向甲方所在地法院起诉。</w:t>
      </w:r>
    </w:p>
    <w:p w14:paraId="4FAC73E7">
      <w:pPr>
        <w:keepNext w:val="0"/>
        <w:keepLines w:val="0"/>
        <w:pageBreakBefore w:val="0"/>
        <w:widowControl/>
        <w:kinsoku/>
        <w:wordWrap/>
        <w:overflowPunct/>
        <w:topLinePunct w:val="0"/>
        <w:autoSpaceDE/>
        <w:autoSpaceDN/>
        <w:bidi w:val="0"/>
        <w:adjustRightInd/>
        <w:spacing w:line="420" w:lineRule="exact"/>
        <w:textAlignment w:val="auto"/>
        <w:outlineLvl w:val="9"/>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十</w:t>
      </w:r>
      <w:r>
        <w:rPr>
          <w:rFonts w:hint="eastAsia" w:ascii="宋体" w:hAnsi="宋体" w:cs="宋体"/>
          <w:b/>
          <w:color w:val="auto"/>
          <w:sz w:val="21"/>
          <w:szCs w:val="21"/>
          <w:highlight w:val="none"/>
          <w:lang w:val="en-US" w:eastAsia="zh-CN"/>
        </w:rPr>
        <w:t>三</w:t>
      </w:r>
      <w:r>
        <w:rPr>
          <w:rFonts w:hint="eastAsia" w:ascii="宋体" w:hAnsi="宋体" w:eastAsia="宋体" w:cs="宋体"/>
          <w:b/>
          <w:color w:val="auto"/>
          <w:sz w:val="21"/>
          <w:szCs w:val="21"/>
          <w:highlight w:val="none"/>
          <w:lang w:eastAsia="zh-CN"/>
        </w:rPr>
        <w:t>、合同生效</w:t>
      </w:r>
    </w:p>
    <w:p w14:paraId="601418B6">
      <w:pPr>
        <w:keepNext w:val="0"/>
        <w:keepLines w:val="0"/>
        <w:pageBreakBefore w:val="0"/>
        <w:widowControl/>
        <w:kinsoku/>
        <w:wordWrap/>
        <w:overflowPunct/>
        <w:topLinePunct w:val="0"/>
        <w:autoSpaceDE/>
        <w:autoSpaceDN/>
        <w:bidi w:val="0"/>
        <w:adjustRightInd/>
        <w:spacing w:line="420" w:lineRule="exact"/>
        <w:ind w:left="0" w:leftChars="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合同经双方法定代表人或授权委托人签字加盖单位公章，并经</w:t>
      </w:r>
      <w:r>
        <w:rPr>
          <w:rFonts w:hint="eastAsia" w:ascii="宋体" w:hAnsi="宋体" w:cs="宋体"/>
          <w:bCs/>
          <w:color w:val="auto"/>
          <w:sz w:val="21"/>
          <w:szCs w:val="21"/>
          <w:highlight w:val="none"/>
          <w:lang w:eastAsia="zh-CN"/>
        </w:rPr>
        <w:t>欧邦工程管理集团有限公司</w:t>
      </w:r>
      <w:r>
        <w:rPr>
          <w:rFonts w:hint="eastAsia" w:ascii="宋体" w:hAnsi="宋体" w:eastAsia="宋体" w:cs="宋体"/>
          <w:color w:val="auto"/>
          <w:sz w:val="21"/>
          <w:szCs w:val="21"/>
          <w:highlight w:val="none"/>
          <w:lang w:eastAsia="zh-CN"/>
        </w:rPr>
        <w:t>鉴证盖章后生效。</w:t>
      </w:r>
    </w:p>
    <w:p w14:paraId="674FC2A7">
      <w:pPr>
        <w:keepNext w:val="0"/>
        <w:keepLines w:val="0"/>
        <w:pageBreakBefore w:val="0"/>
        <w:widowControl/>
        <w:kinsoku/>
        <w:wordWrap/>
        <w:overflowPunct/>
        <w:topLinePunct w:val="0"/>
        <w:autoSpaceDE/>
        <w:autoSpaceDN/>
        <w:bidi w:val="0"/>
        <w:adjustRightInd/>
        <w:spacing w:line="420" w:lineRule="exact"/>
        <w:ind w:left="0" w:leftChars="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合同执行中涉及采购资金和采购内容修改或补充的，须经财政部门审批，并签书面补充协议报县采监科备案，方可作为主合同不可分割的一部分。</w:t>
      </w:r>
    </w:p>
    <w:p w14:paraId="5525C0C0">
      <w:pPr>
        <w:keepNext w:val="0"/>
        <w:keepLines w:val="0"/>
        <w:pageBreakBefore w:val="0"/>
        <w:widowControl/>
        <w:kinsoku/>
        <w:wordWrap/>
        <w:overflowPunct/>
        <w:topLinePunct w:val="0"/>
        <w:autoSpaceDE/>
        <w:autoSpaceDN/>
        <w:bidi w:val="0"/>
        <w:adjustRightInd/>
        <w:spacing w:line="420" w:lineRule="exact"/>
        <w:ind w:left="0" w:leftChars="0" w:firstLine="420" w:firstLineChars="200"/>
        <w:textAlignment w:val="auto"/>
        <w:outlineLvl w:val="9"/>
        <w:rPr>
          <w:rFonts w:hint="eastAsia" w:ascii="宋体" w:hAnsi="宋体" w:eastAsia="宋体" w:cs="宋体"/>
          <w:bCs/>
          <w:color w:val="auto"/>
          <w:sz w:val="21"/>
          <w:szCs w:val="21"/>
          <w:highlight w:val="none"/>
          <w:lang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本合同一式</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陆</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份，甲、乙双方各</w:t>
      </w:r>
      <w:r>
        <w:rPr>
          <w:rFonts w:hint="eastAsia" w:ascii="宋体" w:hAnsi="宋体" w:eastAsia="宋体" w:cs="宋体"/>
          <w:color w:val="auto"/>
          <w:sz w:val="21"/>
          <w:szCs w:val="21"/>
          <w:highlight w:val="none"/>
          <w:u w:val="single"/>
          <w:lang w:eastAsia="zh-CN"/>
        </w:rPr>
        <w:t xml:space="preserve"> 贰 </w:t>
      </w:r>
      <w:r>
        <w:rPr>
          <w:rFonts w:hint="eastAsia" w:ascii="宋体" w:hAnsi="宋体" w:eastAsia="宋体" w:cs="宋体"/>
          <w:color w:val="auto"/>
          <w:sz w:val="21"/>
          <w:szCs w:val="21"/>
          <w:highlight w:val="none"/>
          <w:lang w:eastAsia="zh-CN"/>
        </w:rPr>
        <w:t>份，</w:t>
      </w:r>
      <w:r>
        <w:rPr>
          <w:rFonts w:hint="eastAsia" w:ascii="宋体" w:hAnsi="宋体" w:eastAsia="宋体" w:cs="宋体"/>
          <w:color w:val="auto"/>
          <w:sz w:val="21"/>
          <w:szCs w:val="21"/>
          <w:highlight w:val="none"/>
          <w:lang w:val="en-US" w:eastAsia="zh-CN"/>
        </w:rPr>
        <w:t>开化县财政局采监科、</w:t>
      </w:r>
      <w:r>
        <w:rPr>
          <w:rFonts w:hint="eastAsia" w:ascii="宋体" w:hAnsi="宋体" w:cs="宋体"/>
          <w:bCs/>
          <w:color w:val="auto"/>
          <w:sz w:val="21"/>
          <w:szCs w:val="21"/>
          <w:highlight w:val="none"/>
          <w:lang w:eastAsia="zh-CN"/>
        </w:rPr>
        <w:t>欧邦工程管理集团有限公司</w:t>
      </w:r>
      <w:r>
        <w:rPr>
          <w:rFonts w:hint="eastAsia" w:ascii="宋体" w:hAnsi="宋体" w:eastAsia="宋体" w:cs="宋体"/>
          <w:bCs/>
          <w:color w:val="auto"/>
          <w:sz w:val="21"/>
          <w:szCs w:val="21"/>
          <w:highlight w:val="none"/>
          <w:lang w:eastAsia="zh-CN"/>
        </w:rPr>
        <w:t>执一份，均具同等法律效力。</w:t>
      </w:r>
    </w:p>
    <w:p w14:paraId="3B289BE4">
      <w:pPr>
        <w:keepNext w:val="0"/>
        <w:keepLines w:val="0"/>
        <w:pageBreakBefore w:val="0"/>
        <w:widowControl/>
        <w:suppressLineNumbers w:val="0"/>
        <w:kinsoku/>
        <w:overflowPunct/>
        <w:topLinePunct w:val="0"/>
        <w:autoSpaceDE/>
        <w:autoSpaceDN/>
        <w:bidi w:val="0"/>
        <w:adjustRightInd/>
        <w:spacing w:before="0" w:beforeLines="0" w:beforeAutospacing="0" w:after="0" w:afterLines="0" w:afterAutospacing="0" w:line="420" w:lineRule="exact"/>
        <w:ind w:left="0"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lang w:eastAsia="zh-CN"/>
        </w:rPr>
        <w:t>本合同未尽事宜，遵照《中华人民共和国民法典》有关条文执行。</w:t>
      </w:r>
      <w:r>
        <w:rPr>
          <w:rFonts w:hint="eastAsia" w:ascii="宋体" w:hAnsi="宋体" w:eastAsia="宋体" w:cs="宋体"/>
          <w:color w:val="auto"/>
          <w:kern w:val="0"/>
          <w:sz w:val="21"/>
          <w:szCs w:val="21"/>
          <w:highlight w:val="none"/>
          <w:lang w:val="en-US" w:eastAsia="zh-CN" w:bidi="ar"/>
        </w:rPr>
        <w:t xml:space="preserve"> </w:t>
      </w:r>
    </w:p>
    <w:bookmarkEnd w:id="64"/>
    <w:bookmarkEnd w:id="65"/>
    <w:bookmarkEnd w:id="66"/>
    <w:bookmarkEnd w:id="67"/>
    <w:bookmarkEnd w:id="68"/>
    <w:p w14:paraId="7D0BAB52">
      <w:pPr>
        <w:keepNext w:val="0"/>
        <w:keepLines w:val="0"/>
        <w:pageBreakBefore w:val="0"/>
        <w:widowControl/>
        <w:kinsoku/>
        <w:wordWrap/>
        <w:overflowPunct/>
        <w:topLinePunct w:val="0"/>
        <w:autoSpaceDE/>
        <w:autoSpaceDN/>
        <w:bidi w:val="0"/>
        <w:adjustRightInd/>
        <w:snapToGrid/>
        <w:spacing w:line="420" w:lineRule="exact"/>
        <w:ind w:left="0" w:leftChars="0"/>
        <w:textAlignment w:val="auto"/>
        <w:outlineLvl w:val="9"/>
        <w:rPr>
          <w:rFonts w:hint="eastAsia" w:ascii="宋体" w:hAnsi="宋体" w:eastAsia="宋体" w:cs="宋体"/>
          <w:color w:val="auto"/>
          <w:sz w:val="21"/>
          <w:szCs w:val="21"/>
          <w:highlight w:val="none"/>
          <w:lang w:eastAsia="zh-CN"/>
        </w:rPr>
      </w:pPr>
      <w:bookmarkStart w:id="69" w:name="_Toc31217"/>
      <w:bookmarkStart w:id="70" w:name="_Toc392080784"/>
      <w:bookmarkStart w:id="71" w:name="_Toc393201726"/>
    </w:p>
    <w:p w14:paraId="27649C6E">
      <w:pPr>
        <w:keepNext w:val="0"/>
        <w:keepLines w:val="0"/>
        <w:pageBreakBefore w:val="0"/>
        <w:widowControl/>
        <w:kinsoku/>
        <w:wordWrap/>
        <w:overflowPunct/>
        <w:topLinePunct w:val="0"/>
        <w:autoSpaceDE/>
        <w:autoSpaceDN/>
        <w:bidi w:val="0"/>
        <w:adjustRightInd/>
        <w:snapToGrid/>
        <w:spacing w:line="420" w:lineRule="exact"/>
        <w:ind w:left="0" w:leftChars="0"/>
        <w:textAlignment w:val="auto"/>
        <w:outlineLvl w:val="9"/>
        <w:rPr>
          <w:rFonts w:hint="eastAsia" w:ascii="宋体" w:hAnsi="宋体" w:eastAsia="宋体" w:cs="宋体"/>
          <w:color w:val="auto"/>
          <w:sz w:val="21"/>
          <w:szCs w:val="21"/>
          <w:highlight w:val="none"/>
          <w:lang w:eastAsia="zh-CN"/>
        </w:rPr>
      </w:pPr>
    </w:p>
    <w:p w14:paraId="4A47C4C0">
      <w:pPr>
        <w:keepNext w:val="0"/>
        <w:keepLines w:val="0"/>
        <w:pageBreakBefore w:val="0"/>
        <w:widowControl/>
        <w:kinsoku/>
        <w:wordWrap/>
        <w:overflowPunct/>
        <w:topLinePunct w:val="0"/>
        <w:autoSpaceDE/>
        <w:autoSpaceDN/>
        <w:bidi w:val="0"/>
        <w:adjustRightInd/>
        <w:snapToGrid/>
        <w:spacing w:line="420" w:lineRule="exact"/>
        <w:ind w:left="0" w:leftChars="0"/>
        <w:textAlignment w:val="auto"/>
        <w:outlineLvl w:val="9"/>
        <w:rPr>
          <w:rFonts w:hint="eastAsia" w:ascii="宋体" w:hAnsi="宋体" w:eastAsia="宋体" w:cs="宋体"/>
          <w:color w:val="auto"/>
          <w:sz w:val="21"/>
          <w:szCs w:val="21"/>
          <w:highlight w:val="none"/>
          <w:lang w:eastAsia="zh-CN"/>
        </w:rPr>
      </w:pPr>
    </w:p>
    <w:p w14:paraId="3B4834C7">
      <w:pPr>
        <w:keepNext w:val="0"/>
        <w:keepLines w:val="0"/>
        <w:pageBreakBefore w:val="0"/>
        <w:widowControl/>
        <w:kinsoku/>
        <w:wordWrap/>
        <w:overflowPunct/>
        <w:topLinePunct w:val="0"/>
        <w:autoSpaceDE/>
        <w:autoSpaceDN/>
        <w:bidi w:val="0"/>
        <w:adjustRightInd/>
        <w:snapToGrid/>
        <w:spacing w:line="420" w:lineRule="exact"/>
        <w:ind w:left="0" w:leftChars="0"/>
        <w:textAlignment w:val="auto"/>
        <w:outlineLvl w:val="9"/>
        <w:rPr>
          <w:rFonts w:hint="eastAsia" w:ascii="宋体" w:hAnsi="宋体" w:eastAsia="宋体" w:cs="宋体"/>
          <w:color w:val="auto"/>
          <w:sz w:val="21"/>
          <w:szCs w:val="21"/>
          <w:highlight w:val="none"/>
          <w:lang w:eastAsia="zh-CN"/>
        </w:rPr>
      </w:pPr>
    </w:p>
    <w:p w14:paraId="712D4779">
      <w:pPr>
        <w:keepNext w:val="0"/>
        <w:keepLines w:val="0"/>
        <w:pageBreakBefore w:val="0"/>
        <w:widowControl/>
        <w:kinsoku/>
        <w:wordWrap/>
        <w:overflowPunct/>
        <w:topLinePunct w:val="0"/>
        <w:autoSpaceDE/>
        <w:autoSpaceDN/>
        <w:bidi w:val="0"/>
        <w:adjustRightInd/>
        <w:snapToGrid/>
        <w:spacing w:line="420" w:lineRule="exact"/>
        <w:ind w:left="0" w:leftChars="0"/>
        <w:textAlignment w:val="auto"/>
        <w:outlineLvl w:val="9"/>
        <w:rPr>
          <w:rFonts w:hint="eastAsia" w:ascii="宋体" w:hAnsi="宋体" w:eastAsia="宋体" w:cs="宋体"/>
          <w:color w:val="auto"/>
          <w:sz w:val="21"/>
          <w:szCs w:val="21"/>
          <w:highlight w:val="none"/>
          <w:lang w:eastAsia="zh-CN"/>
        </w:rPr>
      </w:pPr>
    </w:p>
    <w:p w14:paraId="6443B71E">
      <w:pPr>
        <w:keepNext w:val="0"/>
        <w:keepLines w:val="0"/>
        <w:pageBreakBefore w:val="0"/>
        <w:widowControl/>
        <w:kinsoku/>
        <w:wordWrap/>
        <w:overflowPunct/>
        <w:topLinePunct w:val="0"/>
        <w:autoSpaceDE/>
        <w:autoSpaceDN/>
        <w:bidi w:val="0"/>
        <w:adjustRightInd/>
        <w:snapToGrid/>
        <w:spacing w:line="420" w:lineRule="exact"/>
        <w:ind w:left="0" w:leftChars="0"/>
        <w:textAlignment w:val="auto"/>
        <w:outlineLvl w:val="9"/>
        <w:rPr>
          <w:rFonts w:hint="eastAsia" w:ascii="宋体" w:hAnsi="宋体" w:eastAsia="宋体" w:cs="宋体"/>
          <w:color w:val="auto"/>
          <w:sz w:val="21"/>
          <w:szCs w:val="21"/>
          <w:highlight w:val="none"/>
          <w:lang w:eastAsia="zh-CN"/>
        </w:rPr>
      </w:pPr>
    </w:p>
    <w:p w14:paraId="71F1D834">
      <w:pPr>
        <w:keepNext w:val="0"/>
        <w:keepLines w:val="0"/>
        <w:pageBreakBefore w:val="0"/>
        <w:widowControl/>
        <w:kinsoku/>
        <w:wordWrap/>
        <w:overflowPunct/>
        <w:topLinePunct w:val="0"/>
        <w:autoSpaceDE/>
        <w:autoSpaceDN/>
        <w:bidi w:val="0"/>
        <w:adjustRightInd/>
        <w:snapToGrid/>
        <w:spacing w:line="420" w:lineRule="exact"/>
        <w:ind w:left="0" w:leftChars="0"/>
        <w:textAlignment w:val="auto"/>
        <w:outlineLvl w:val="9"/>
        <w:rPr>
          <w:rFonts w:hint="eastAsia" w:ascii="宋体" w:hAnsi="宋体" w:eastAsia="宋体" w:cs="宋体"/>
          <w:color w:val="auto"/>
          <w:sz w:val="21"/>
          <w:szCs w:val="21"/>
          <w:highlight w:val="none"/>
          <w:lang w:eastAsia="zh-CN"/>
        </w:rPr>
      </w:pPr>
    </w:p>
    <w:p w14:paraId="1485DDFC">
      <w:pPr>
        <w:keepNext w:val="0"/>
        <w:keepLines w:val="0"/>
        <w:pageBreakBefore w:val="0"/>
        <w:widowControl/>
        <w:kinsoku/>
        <w:wordWrap/>
        <w:overflowPunct/>
        <w:topLinePunct w:val="0"/>
        <w:autoSpaceDE/>
        <w:autoSpaceDN/>
        <w:bidi w:val="0"/>
        <w:adjustRightInd/>
        <w:snapToGrid/>
        <w:spacing w:line="420" w:lineRule="exact"/>
        <w:ind w:left="0" w:leftChars="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甲方（盖公章）：                           乙方（盖公章）：</w:t>
      </w:r>
    </w:p>
    <w:p w14:paraId="2E9A512B">
      <w:pPr>
        <w:keepNext w:val="0"/>
        <w:keepLines w:val="0"/>
        <w:pageBreakBefore w:val="0"/>
        <w:widowControl/>
        <w:kinsoku/>
        <w:wordWrap/>
        <w:overflowPunct/>
        <w:topLinePunct w:val="0"/>
        <w:autoSpaceDE/>
        <w:autoSpaceDN/>
        <w:bidi w:val="0"/>
        <w:adjustRightInd/>
        <w:snapToGrid/>
        <w:spacing w:line="420" w:lineRule="exact"/>
        <w:ind w:left="0" w:leftChars="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地址：                                     地址：</w:t>
      </w:r>
    </w:p>
    <w:p w14:paraId="7E096930">
      <w:pPr>
        <w:keepNext w:val="0"/>
        <w:keepLines w:val="0"/>
        <w:pageBreakBefore w:val="0"/>
        <w:widowControl/>
        <w:kinsoku/>
        <w:wordWrap/>
        <w:overflowPunct/>
        <w:topLinePunct w:val="0"/>
        <w:autoSpaceDE/>
        <w:autoSpaceDN/>
        <w:bidi w:val="0"/>
        <w:adjustRightInd/>
        <w:snapToGrid/>
        <w:spacing w:line="420" w:lineRule="exact"/>
        <w:ind w:left="0" w:leftChars="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法定代表人或授权委托人：                   法定代表人或授权委托人：                   </w:t>
      </w:r>
    </w:p>
    <w:p w14:paraId="7DEDF1B3">
      <w:pPr>
        <w:keepNext w:val="0"/>
        <w:keepLines w:val="0"/>
        <w:pageBreakBefore w:val="0"/>
        <w:widowControl/>
        <w:kinsoku/>
        <w:wordWrap/>
        <w:overflowPunct/>
        <w:topLinePunct w:val="0"/>
        <w:autoSpaceDE/>
        <w:autoSpaceDN/>
        <w:bidi w:val="0"/>
        <w:adjustRightInd/>
        <w:snapToGrid/>
        <w:spacing w:line="420" w:lineRule="exact"/>
        <w:ind w:left="0" w:leftChars="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联系电话：                                 联系电话：</w:t>
      </w:r>
    </w:p>
    <w:p w14:paraId="0AFC8419">
      <w:pPr>
        <w:keepNext w:val="0"/>
        <w:keepLines w:val="0"/>
        <w:pageBreakBefore w:val="0"/>
        <w:widowControl/>
        <w:kinsoku/>
        <w:wordWrap/>
        <w:overflowPunct/>
        <w:topLinePunct w:val="0"/>
        <w:autoSpaceDE/>
        <w:autoSpaceDN/>
        <w:bidi w:val="0"/>
        <w:adjustRightInd/>
        <w:snapToGrid/>
        <w:spacing w:line="420" w:lineRule="exact"/>
        <w:ind w:left="0" w:leftChars="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开户银行：                                 开户银行：   </w:t>
      </w:r>
    </w:p>
    <w:p w14:paraId="2FAFF79B">
      <w:pPr>
        <w:keepNext w:val="0"/>
        <w:keepLines w:val="0"/>
        <w:pageBreakBefore w:val="0"/>
        <w:widowControl/>
        <w:kinsoku/>
        <w:wordWrap/>
        <w:overflowPunct/>
        <w:topLinePunct w:val="0"/>
        <w:autoSpaceDE/>
        <w:autoSpaceDN/>
        <w:bidi w:val="0"/>
        <w:adjustRightInd/>
        <w:snapToGrid/>
        <w:spacing w:line="420" w:lineRule="exact"/>
        <w:ind w:left="0" w:lef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银行账号：                                 银行账号：                                </w:t>
      </w:r>
    </w:p>
    <w:p w14:paraId="77D0C4E2">
      <w:pPr>
        <w:keepNext w:val="0"/>
        <w:keepLines w:val="0"/>
        <w:pageBreakBefore w:val="0"/>
        <w:widowControl/>
        <w:kinsoku/>
        <w:wordWrap/>
        <w:overflowPunct/>
        <w:topLinePunct w:val="0"/>
        <w:autoSpaceDE/>
        <w:autoSpaceDN/>
        <w:bidi w:val="0"/>
        <w:adjustRightInd/>
        <w:snapToGrid/>
        <w:spacing w:line="420" w:lineRule="exact"/>
        <w:ind w:left="0" w:lef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签约地址：</w:t>
      </w:r>
    </w:p>
    <w:p w14:paraId="3B8D20D1">
      <w:pPr>
        <w:keepNext w:val="0"/>
        <w:keepLines w:val="0"/>
        <w:pageBreakBefore w:val="0"/>
        <w:widowControl/>
        <w:kinsoku/>
        <w:wordWrap/>
        <w:overflowPunct/>
        <w:topLinePunct w:val="0"/>
        <w:autoSpaceDE/>
        <w:autoSpaceDN/>
        <w:bidi w:val="0"/>
        <w:adjustRightInd/>
        <w:snapToGrid/>
        <w:spacing w:line="420" w:lineRule="exact"/>
        <w:ind w:left="0" w:lef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签约日期：   年  月  日</w:t>
      </w:r>
    </w:p>
    <w:p w14:paraId="2F0424BB">
      <w:pPr>
        <w:keepNext w:val="0"/>
        <w:keepLines w:val="0"/>
        <w:pageBreakBefore w:val="0"/>
        <w:widowControl/>
        <w:kinsoku/>
        <w:wordWrap/>
        <w:overflowPunct/>
        <w:topLinePunct w:val="0"/>
        <w:autoSpaceDE/>
        <w:autoSpaceDN/>
        <w:bidi w:val="0"/>
        <w:adjustRightInd/>
        <w:snapToGrid/>
        <w:spacing w:line="420" w:lineRule="exact"/>
        <w:ind w:left="0" w:leftChars="0"/>
        <w:textAlignment w:val="auto"/>
        <w:rPr>
          <w:rFonts w:hint="eastAsia" w:ascii="宋体" w:hAnsi="宋体" w:eastAsia="宋体" w:cs="宋体"/>
          <w:bCs/>
          <w:color w:val="auto"/>
          <w:sz w:val="21"/>
          <w:szCs w:val="21"/>
          <w:highlight w:val="none"/>
          <w:lang w:eastAsia="zh-CN"/>
        </w:rPr>
      </w:pPr>
    </w:p>
    <w:p w14:paraId="74AFA118">
      <w:pPr>
        <w:keepNext w:val="0"/>
        <w:keepLines w:val="0"/>
        <w:pageBreakBefore w:val="0"/>
        <w:widowControl/>
        <w:kinsoku/>
        <w:wordWrap/>
        <w:overflowPunct/>
        <w:topLinePunct w:val="0"/>
        <w:autoSpaceDE/>
        <w:autoSpaceDN/>
        <w:bidi w:val="0"/>
        <w:adjustRightInd/>
        <w:snapToGrid/>
        <w:spacing w:line="420" w:lineRule="exact"/>
        <w:ind w:left="0" w:leftChars="0"/>
        <w:textAlignment w:val="auto"/>
        <w:rPr>
          <w:rFonts w:hint="eastAsia" w:ascii="宋体" w:hAnsi="宋体" w:eastAsia="宋体" w:cs="宋体"/>
          <w:bCs/>
          <w:color w:val="auto"/>
          <w:sz w:val="21"/>
          <w:szCs w:val="21"/>
          <w:highlight w:val="none"/>
          <w:lang w:eastAsia="zh-CN"/>
        </w:rPr>
      </w:pPr>
    </w:p>
    <w:p w14:paraId="39AF362A">
      <w:pPr>
        <w:keepNext w:val="0"/>
        <w:keepLines w:val="0"/>
        <w:pageBreakBefore w:val="0"/>
        <w:widowControl/>
        <w:kinsoku/>
        <w:wordWrap/>
        <w:overflowPunct/>
        <w:topLinePunct w:val="0"/>
        <w:autoSpaceDE/>
        <w:autoSpaceDN/>
        <w:bidi w:val="0"/>
        <w:adjustRightInd/>
        <w:snapToGrid/>
        <w:spacing w:line="420" w:lineRule="exact"/>
        <w:ind w:left="0" w:leftChars="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合同鉴证方（公章）：</w:t>
      </w:r>
      <w:r>
        <w:rPr>
          <w:rFonts w:hint="eastAsia" w:ascii="宋体" w:hAnsi="宋体" w:cs="宋体"/>
          <w:bCs/>
          <w:color w:val="auto"/>
          <w:sz w:val="21"/>
          <w:szCs w:val="21"/>
          <w:highlight w:val="none"/>
          <w:lang w:eastAsia="zh-CN"/>
        </w:rPr>
        <w:t>欧邦工程管理集团有限公司</w:t>
      </w:r>
    </w:p>
    <w:p w14:paraId="7F6AF451">
      <w:pPr>
        <w:keepNext w:val="0"/>
        <w:keepLines w:val="0"/>
        <w:pageBreakBefore w:val="0"/>
        <w:widowControl/>
        <w:kinsoku/>
        <w:wordWrap/>
        <w:overflowPunct/>
        <w:topLinePunct w:val="0"/>
        <w:autoSpaceDE/>
        <w:autoSpaceDN/>
        <w:bidi w:val="0"/>
        <w:adjustRightInd/>
        <w:snapToGrid/>
        <w:spacing w:line="420" w:lineRule="exact"/>
        <w:ind w:left="0" w:lef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eastAsia="zh-CN"/>
        </w:rPr>
        <w:t>鉴证日期：     年  月  日</w:t>
      </w:r>
    </w:p>
    <w:p w14:paraId="25EF4EBE">
      <w:pPr>
        <w:keepNext w:val="0"/>
        <w:keepLines w:val="0"/>
        <w:pageBreakBefore w:val="0"/>
        <w:widowControl/>
        <w:kinsoku/>
        <w:wordWrap w:val="0"/>
        <w:overflowPunct/>
        <w:topLinePunct w:val="0"/>
        <w:autoSpaceDE/>
        <w:autoSpaceDN/>
        <w:bidi w:val="0"/>
        <w:adjustRightInd/>
        <w:snapToGrid/>
        <w:spacing w:line="420" w:lineRule="exact"/>
        <w:ind w:firstLine="480"/>
        <w:textAlignment w:val="auto"/>
        <w:rPr>
          <w:rFonts w:hint="eastAsia" w:ascii="宋体" w:hAnsi="宋体" w:cs="宋体"/>
          <w:b/>
          <w:bCs/>
          <w:color w:val="auto"/>
          <w:sz w:val="36"/>
          <w:szCs w:val="36"/>
          <w:lang w:eastAsia="zh-CN"/>
        </w:rPr>
        <w:sectPr>
          <w:headerReference r:id="rId3" w:type="default"/>
          <w:footerReference r:id="rId4" w:type="default"/>
          <w:pgSz w:w="11906" w:h="16838"/>
          <w:pgMar w:top="1417" w:right="1279" w:bottom="1417" w:left="1587"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p>
    <w:p w14:paraId="77C2CF18">
      <w:pPr>
        <w:pStyle w:val="15"/>
        <w:numPr>
          <w:ilvl w:val="0"/>
          <w:numId w:val="0"/>
        </w:numPr>
        <w:tabs>
          <w:tab w:val="right" w:leader="dot" w:pos="9061"/>
        </w:tabs>
        <w:jc w:val="center"/>
        <w:outlineLvl w:val="0"/>
        <w:rPr>
          <w:rFonts w:hint="eastAsia" w:ascii="黑体" w:hAnsi="黑体" w:eastAsia="黑体" w:cs="黑体"/>
          <w:color w:val="auto"/>
          <w:sz w:val="36"/>
          <w:szCs w:val="36"/>
          <w:highlight w:val="none"/>
        </w:rPr>
      </w:pPr>
      <w:r>
        <w:rPr>
          <w:rFonts w:hint="eastAsia" w:ascii="黑体" w:hAnsi="黑体" w:eastAsia="黑体" w:cs="黑体"/>
          <w:color w:val="auto"/>
          <w:sz w:val="36"/>
          <w:szCs w:val="36"/>
          <w:highlight w:val="none"/>
          <w:lang w:val="en-US" w:eastAsia="zh-CN"/>
        </w:rPr>
        <w:t xml:space="preserve">第四章  </w:t>
      </w:r>
      <w:r>
        <w:rPr>
          <w:rFonts w:hint="eastAsia" w:ascii="黑体" w:hAnsi="黑体" w:eastAsia="黑体" w:cs="黑体"/>
          <w:color w:val="auto"/>
          <w:sz w:val="36"/>
          <w:szCs w:val="36"/>
          <w:highlight w:val="none"/>
        </w:rPr>
        <w:t>采购需求</w:t>
      </w:r>
    </w:p>
    <w:bookmarkEnd w:id="69"/>
    <w:p w14:paraId="225D4B5D">
      <w:pPr>
        <w:spacing w:line="400" w:lineRule="exact"/>
        <w:rPr>
          <w:rFonts w:hint="default" w:ascii="宋体" w:hAnsi="宋体" w:cs="宋体"/>
          <w:b/>
          <w:bCs/>
          <w:color w:val="auto"/>
          <w:kern w:val="0"/>
          <w:szCs w:val="21"/>
          <w:highlight w:val="none"/>
          <w:lang w:val="en-US" w:eastAsia="zh-CN"/>
        </w:rPr>
      </w:pPr>
      <w:bookmarkStart w:id="72" w:name="_Toc433917284"/>
      <w:bookmarkStart w:id="73" w:name="_Toc14377"/>
      <w:r>
        <w:rPr>
          <w:rFonts w:hint="eastAsia" w:ascii="宋体" w:hAnsi="宋体" w:cs="宋体"/>
          <w:b/>
          <w:bCs/>
          <w:color w:val="auto"/>
          <w:kern w:val="0"/>
          <w:szCs w:val="21"/>
          <w:highlight w:val="none"/>
          <w:lang w:val="en-US" w:eastAsia="zh-CN"/>
        </w:rPr>
        <w:t>标项1：</w:t>
      </w:r>
    </w:p>
    <w:p w14:paraId="2DE22C73">
      <w:pPr>
        <w:spacing w:line="400" w:lineRule="exact"/>
        <w:rPr>
          <w:rFonts w:hint="default" w:ascii="宋体" w:hAnsi="宋体" w:eastAsia="宋体" w:cs="宋体"/>
          <w:b/>
          <w:bCs/>
          <w:color w:val="auto"/>
          <w:kern w:val="0"/>
          <w:szCs w:val="21"/>
          <w:highlight w:val="none"/>
          <w:lang w:val="en-US" w:eastAsia="zh-CN"/>
        </w:rPr>
      </w:pPr>
      <w:r>
        <w:rPr>
          <w:rFonts w:hint="eastAsia" w:ascii="宋体" w:hAnsi="宋体" w:cs="宋体"/>
          <w:b/>
          <w:bCs/>
          <w:color w:val="auto"/>
          <w:kern w:val="0"/>
          <w:szCs w:val="21"/>
          <w:highlight w:val="none"/>
          <w:lang w:val="en-US" w:eastAsia="zh-CN"/>
        </w:rPr>
        <w:t>一</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项目概况</w:t>
      </w:r>
    </w:p>
    <w:p w14:paraId="415E0DE9">
      <w:pPr>
        <w:pStyle w:val="18"/>
        <w:widowControl/>
        <w:shd w:val="clear" w:color="auto" w:fill="FFFFFF"/>
        <w:spacing w:before="0" w:beforeLines="0" w:beforeAutospacing="0" w:after="0" w:afterLines="0" w:afterAutospacing="0" w:line="400" w:lineRule="exact"/>
        <w:ind w:left="0" w:right="0" w:firstLine="420" w:firstLineChars="200"/>
        <w:jc w:val="left"/>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完成</w:t>
      </w:r>
      <w:r>
        <w:rPr>
          <w:rFonts w:hint="eastAsia" w:ascii="宋体" w:hAnsi="宋体" w:cs="宋体"/>
          <w:color w:val="auto"/>
          <w:kern w:val="0"/>
          <w:sz w:val="21"/>
          <w:szCs w:val="21"/>
          <w:highlight w:val="none"/>
          <w:lang w:val="en-US" w:eastAsia="zh-CN" w:bidi="ar"/>
        </w:rPr>
        <w:t>开化县怀玉山区水土保持与生态修复项目监理</w:t>
      </w:r>
      <w:r>
        <w:rPr>
          <w:rFonts w:hint="eastAsia" w:ascii="宋体" w:hAnsi="宋体" w:eastAsia="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val="en-US" w:eastAsia="zh-CN" w:bidi="ar"/>
        </w:rPr>
        <w:t>其中</w:t>
      </w:r>
      <w:r>
        <w:rPr>
          <w:rFonts w:hint="eastAsia" w:ascii="宋体" w:hAnsi="宋体" w:eastAsia="宋体" w:cs="宋体"/>
          <w:color w:val="auto"/>
          <w:kern w:val="0"/>
          <w:sz w:val="21"/>
          <w:szCs w:val="21"/>
          <w:highlight w:val="none"/>
          <w:lang w:val="en-US" w:eastAsia="zh-CN" w:bidi="ar"/>
        </w:rPr>
        <w:t>项目建设总规模120850亩，其中退化林修复面积111830亩，优化林分结构，改善林分退化状况，增强森林御灾能力，促进森林生态系统稳定性</w:t>
      </w: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人工造林面积9020亩，提高森林数量和质量，增强森林储水涵源、保土固壤、增汇减排、净化空气等生态系统服务效能。构建多层、多龄林相，促进林分正向演替。开展项目建设，可以筑牢浙江西部生态屏障，同时，促使开化成为全国生态修复与绿色发展的典范区域，让人民群众充分享受到优质生态环境带来的福祉，促进人与自然和谐共生、永续发展。</w:t>
      </w:r>
    </w:p>
    <w:p w14:paraId="0EAFA8BF">
      <w:pPr>
        <w:spacing w:line="400" w:lineRule="exact"/>
        <w:outlineLvl w:val="9"/>
        <w:rPr>
          <w:rFonts w:hint="eastAsia" w:ascii="宋体" w:hAnsi="宋体" w:cs="宋体"/>
          <w:b/>
          <w:bCs/>
          <w:color w:val="auto"/>
          <w:kern w:val="0"/>
          <w:szCs w:val="21"/>
          <w:highlight w:val="none"/>
        </w:rPr>
      </w:pPr>
      <w:r>
        <w:rPr>
          <w:rFonts w:hint="eastAsia" w:ascii="宋体" w:hAnsi="宋体" w:cs="宋体"/>
          <w:b/>
          <w:bCs/>
          <w:color w:val="auto"/>
          <w:kern w:val="0"/>
          <w:szCs w:val="21"/>
          <w:highlight w:val="none"/>
          <w:lang w:val="en-US" w:eastAsia="zh-CN"/>
        </w:rPr>
        <w:t>二、项目</w:t>
      </w:r>
      <w:r>
        <w:rPr>
          <w:rFonts w:hint="eastAsia" w:ascii="宋体" w:hAnsi="宋体" w:cs="宋体"/>
          <w:b/>
          <w:bCs/>
          <w:color w:val="auto"/>
          <w:kern w:val="0"/>
          <w:szCs w:val="21"/>
          <w:highlight w:val="none"/>
        </w:rPr>
        <w:t>规模</w:t>
      </w:r>
    </w:p>
    <w:p w14:paraId="0FB67B37">
      <w:pPr>
        <w:pStyle w:val="18"/>
        <w:widowControl/>
        <w:shd w:val="clear" w:color="auto" w:fill="FFFFFF"/>
        <w:spacing w:before="0" w:beforeLines="0" w:beforeAutospacing="0" w:after="0" w:afterLines="0" w:afterAutospacing="0" w:line="400" w:lineRule="exact"/>
        <w:ind w:left="0" w:right="0" w:firstLine="420" w:firstLineChars="200"/>
        <w:jc w:val="left"/>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项目总规模120850亩，主要包括退化林修复、人工造林等。根据各地块林分特征对应相关技术标准，确定退化林修复面积111830亩，具体包括采伐修复补植39900亩，采伐修复不补植62950亩及更替修复8980亩</w:t>
      </w: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人工造林面积9020亩。</w:t>
      </w:r>
    </w:p>
    <w:p w14:paraId="674E4AAB">
      <w:pPr>
        <w:pStyle w:val="18"/>
        <w:widowControl/>
        <w:shd w:val="clear" w:color="auto" w:fill="FFFFFF"/>
        <w:spacing w:before="0" w:beforeLines="0" w:beforeAutospacing="0" w:after="0" w:afterLines="0" w:afterAutospacing="0" w:line="400" w:lineRule="exact"/>
        <w:ind w:left="0" w:right="0" w:firstLine="420" w:firstLineChars="200"/>
        <w:jc w:val="left"/>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项目总投资</w:t>
      </w:r>
      <w:r>
        <w:rPr>
          <w:rFonts w:hint="default" w:ascii="宋体" w:hAnsi="宋体" w:eastAsia="宋体" w:cs="宋体"/>
          <w:color w:val="auto"/>
          <w:kern w:val="0"/>
          <w:sz w:val="21"/>
          <w:szCs w:val="21"/>
          <w:highlight w:val="none"/>
          <w:lang w:val="en-US" w:eastAsia="zh-CN" w:bidi="ar"/>
        </w:rPr>
        <w:t>17160.70万元，其中工程建设费</w:t>
      </w:r>
      <w:r>
        <w:rPr>
          <w:rFonts w:hint="eastAsia" w:ascii="宋体" w:hAnsi="宋体" w:eastAsia="宋体" w:cs="宋体"/>
          <w:color w:val="auto"/>
          <w:kern w:val="0"/>
          <w:sz w:val="21"/>
          <w:szCs w:val="21"/>
          <w:highlight w:val="none"/>
          <w:lang w:val="en-US" w:eastAsia="zh-CN" w:bidi="ar"/>
        </w:rPr>
        <w:t>用</w:t>
      </w:r>
      <w:r>
        <w:rPr>
          <w:rFonts w:hint="default" w:ascii="宋体" w:hAnsi="宋体" w:eastAsia="宋体" w:cs="宋体"/>
          <w:color w:val="auto"/>
          <w:kern w:val="0"/>
          <w:sz w:val="21"/>
          <w:szCs w:val="21"/>
          <w:highlight w:val="none"/>
          <w:lang w:val="en-US" w:eastAsia="zh-CN" w:bidi="ar"/>
        </w:rPr>
        <w:t>14848.38万元</w:t>
      </w:r>
      <w:r>
        <w:rPr>
          <w:rFonts w:hint="eastAsia" w:ascii="宋体" w:hAnsi="宋体" w:eastAsia="宋体" w:cs="宋体"/>
          <w:color w:val="auto"/>
          <w:kern w:val="0"/>
          <w:sz w:val="21"/>
          <w:szCs w:val="21"/>
          <w:highlight w:val="none"/>
          <w:lang w:val="en-US" w:eastAsia="zh-CN" w:bidi="ar"/>
        </w:rPr>
        <w:t>。工程建设费用按保护与修复类型分：退化林修复投资</w:t>
      </w:r>
      <w:r>
        <w:rPr>
          <w:rFonts w:hint="default" w:ascii="宋体" w:hAnsi="宋体" w:eastAsia="宋体" w:cs="宋体"/>
          <w:color w:val="auto"/>
          <w:kern w:val="0"/>
          <w:sz w:val="21"/>
          <w:szCs w:val="21"/>
          <w:highlight w:val="none"/>
          <w:lang w:val="en-US" w:eastAsia="zh-CN" w:bidi="ar"/>
        </w:rPr>
        <w:t>12918.10万元，占工程建设费用的87.00%；人工造林投资1930.28万元，占13.00%。</w:t>
      </w:r>
    </w:p>
    <w:p w14:paraId="2888DEC2">
      <w:pPr>
        <w:pStyle w:val="18"/>
        <w:widowControl/>
        <w:numPr>
          <w:ilvl w:val="0"/>
          <w:numId w:val="0"/>
        </w:numPr>
        <w:shd w:val="clear" w:color="auto" w:fill="FFFFFF"/>
        <w:spacing w:before="0" w:beforeLines="0" w:beforeAutospacing="0" w:after="0" w:afterLines="0" w:afterAutospacing="0" w:line="400" w:lineRule="exact"/>
        <w:ind w:right="0" w:rightChars="0"/>
        <w:jc w:val="left"/>
        <w:outlineLvl w:val="9"/>
        <w:rPr>
          <w:rFonts w:hint="eastAsia" w:ascii="宋体" w:hAnsi="宋体" w:cs="宋体"/>
          <w:b/>
          <w:bCs/>
          <w:color w:val="auto"/>
          <w:kern w:val="0"/>
          <w:sz w:val="21"/>
          <w:szCs w:val="21"/>
          <w:lang w:val="en-US" w:eastAsia="zh-CN" w:bidi="ar"/>
        </w:rPr>
      </w:pPr>
      <w:r>
        <w:rPr>
          <w:rFonts w:hint="eastAsia" w:ascii="宋体" w:hAnsi="宋体" w:cs="宋体"/>
          <w:b/>
          <w:bCs/>
          <w:color w:val="auto"/>
          <w:kern w:val="0"/>
          <w:sz w:val="21"/>
          <w:szCs w:val="21"/>
          <w:lang w:val="en-US" w:eastAsia="zh-CN" w:bidi="ar"/>
        </w:rPr>
        <w:t>三、本标项服务范围</w:t>
      </w:r>
    </w:p>
    <w:tbl>
      <w:tblPr>
        <w:tblStyle w:val="22"/>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75"/>
        <w:gridCol w:w="3370"/>
        <w:gridCol w:w="3340"/>
        <w:gridCol w:w="1840"/>
      </w:tblGrid>
      <w:tr w14:paraId="2AED2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rPr>
        <w:tc>
          <w:tcPr>
            <w:tcW w:w="1075" w:type="dxa"/>
            <w:tcBorders>
              <w:top w:val="single" w:color="auto" w:sz="4" w:space="0"/>
              <w:left w:val="single" w:color="auto" w:sz="4" w:space="0"/>
              <w:bottom w:val="single" w:color="auto" w:sz="4" w:space="0"/>
              <w:right w:val="single" w:color="auto" w:sz="4" w:space="0"/>
            </w:tcBorders>
            <w:noWrap w:val="0"/>
            <w:vAlign w:val="center"/>
          </w:tcPr>
          <w:p w14:paraId="0793F7A7">
            <w:pPr>
              <w:jc w:val="center"/>
              <w:outlineLvl w:val="9"/>
              <w:rPr>
                <w:rFonts w:hint="eastAsia" w:ascii="宋体" w:hAnsi="宋体" w:cs="宋体"/>
                <w:color w:val="auto"/>
                <w:szCs w:val="21"/>
                <w:highlight w:val="none"/>
              </w:rPr>
            </w:pPr>
            <w:r>
              <w:rPr>
                <w:rFonts w:hint="eastAsia" w:ascii="宋体" w:hAnsi="宋体" w:cs="宋体"/>
                <w:color w:val="auto"/>
                <w:szCs w:val="21"/>
                <w:highlight w:val="none"/>
              </w:rPr>
              <w:t>标项序号</w:t>
            </w:r>
          </w:p>
        </w:tc>
        <w:tc>
          <w:tcPr>
            <w:tcW w:w="3370" w:type="dxa"/>
            <w:tcBorders>
              <w:top w:val="single" w:color="auto" w:sz="4" w:space="0"/>
              <w:left w:val="single" w:color="auto" w:sz="4" w:space="0"/>
              <w:bottom w:val="single" w:color="auto" w:sz="4" w:space="0"/>
              <w:right w:val="single" w:color="auto" w:sz="4" w:space="0"/>
            </w:tcBorders>
            <w:noWrap w:val="0"/>
            <w:vAlign w:val="center"/>
          </w:tcPr>
          <w:p w14:paraId="1EA265AB">
            <w:pPr>
              <w:jc w:val="center"/>
              <w:outlineLvl w:val="9"/>
              <w:rPr>
                <w:rFonts w:hint="eastAsia" w:ascii="宋体" w:hAnsi="宋体" w:cs="宋体"/>
                <w:color w:val="auto"/>
                <w:szCs w:val="21"/>
                <w:highlight w:val="none"/>
              </w:rPr>
            </w:pPr>
            <w:r>
              <w:rPr>
                <w:rFonts w:hint="eastAsia" w:ascii="宋体" w:hAnsi="宋体" w:cs="宋体"/>
                <w:color w:val="auto"/>
                <w:szCs w:val="21"/>
                <w:highlight w:val="none"/>
              </w:rPr>
              <w:t>标项内容</w:t>
            </w:r>
          </w:p>
        </w:tc>
        <w:tc>
          <w:tcPr>
            <w:tcW w:w="3340" w:type="dxa"/>
            <w:tcBorders>
              <w:top w:val="single" w:color="auto" w:sz="4" w:space="0"/>
              <w:left w:val="single" w:color="auto" w:sz="4" w:space="0"/>
              <w:bottom w:val="single" w:color="auto" w:sz="4" w:space="0"/>
              <w:right w:val="single" w:color="auto" w:sz="4" w:space="0"/>
            </w:tcBorders>
            <w:noWrap w:val="0"/>
            <w:vAlign w:val="center"/>
          </w:tcPr>
          <w:p w14:paraId="5620FC22">
            <w:pPr>
              <w:jc w:val="center"/>
              <w:outlineLvl w:val="9"/>
              <w:rPr>
                <w:rFonts w:hint="default" w:ascii="宋体" w:hAnsi="宋体" w:eastAsia="宋体" w:cs="宋体"/>
                <w:color w:val="auto"/>
                <w:szCs w:val="21"/>
                <w:highlight w:val="none"/>
                <w:lang w:val="en-US" w:eastAsia="zh-CN"/>
              </w:rPr>
            </w:pPr>
            <w:r>
              <w:rPr>
                <w:rFonts w:hint="eastAsia" w:ascii="宋体" w:hAnsi="宋体" w:eastAsia="宋体" w:cs="宋体"/>
                <w:color w:val="auto"/>
                <w:kern w:val="0"/>
                <w:sz w:val="21"/>
                <w:szCs w:val="21"/>
                <w:highlight w:val="none"/>
                <w:lang w:val="en-US" w:eastAsia="zh-CN" w:bidi="ar"/>
              </w:rPr>
              <w:t>亩</w:t>
            </w:r>
            <w:r>
              <w:rPr>
                <w:rFonts w:hint="eastAsia" w:ascii="宋体" w:hAnsi="宋体" w:cs="宋体"/>
                <w:color w:val="auto"/>
                <w:kern w:val="0"/>
                <w:sz w:val="21"/>
                <w:szCs w:val="21"/>
                <w:highlight w:val="none"/>
                <w:lang w:val="en-US" w:eastAsia="zh-CN" w:bidi="ar"/>
              </w:rPr>
              <w:t>数</w:t>
            </w:r>
          </w:p>
        </w:tc>
        <w:tc>
          <w:tcPr>
            <w:tcW w:w="1840" w:type="dxa"/>
            <w:tcBorders>
              <w:top w:val="single" w:color="auto" w:sz="4" w:space="0"/>
              <w:left w:val="single" w:color="auto" w:sz="4" w:space="0"/>
              <w:bottom w:val="single" w:color="auto" w:sz="4" w:space="0"/>
              <w:right w:val="single" w:color="auto" w:sz="4" w:space="0"/>
            </w:tcBorders>
            <w:noWrap w:val="0"/>
            <w:vAlign w:val="center"/>
          </w:tcPr>
          <w:p w14:paraId="0638B19D">
            <w:pPr>
              <w:jc w:val="center"/>
              <w:outlineLvl w:val="9"/>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最高限价</w:t>
            </w:r>
          </w:p>
        </w:tc>
      </w:tr>
      <w:tr w14:paraId="2783B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6" w:hRule="atLeast"/>
        </w:trPr>
        <w:tc>
          <w:tcPr>
            <w:tcW w:w="1075" w:type="dxa"/>
            <w:tcBorders>
              <w:top w:val="single" w:color="auto" w:sz="4" w:space="0"/>
              <w:left w:val="single" w:color="auto" w:sz="4" w:space="0"/>
              <w:bottom w:val="single" w:color="auto" w:sz="4" w:space="0"/>
              <w:right w:val="single" w:color="auto" w:sz="4" w:space="0"/>
            </w:tcBorders>
            <w:noWrap w:val="0"/>
            <w:vAlign w:val="center"/>
          </w:tcPr>
          <w:p w14:paraId="13F3F37D">
            <w:pPr>
              <w:jc w:val="center"/>
              <w:outlineLvl w:val="9"/>
              <w:rPr>
                <w:rFonts w:hint="eastAsia" w:ascii="宋体" w:hAnsi="宋体" w:cs="宋体"/>
                <w:color w:val="auto"/>
                <w:szCs w:val="21"/>
                <w:highlight w:val="none"/>
              </w:rPr>
            </w:pPr>
            <w:r>
              <w:rPr>
                <w:rFonts w:hint="eastAsia" w:ascii="宋体" w:hAnsi="宋体" w:cs="宋体"/>
                <w:color w:val="auto"/>
                <w:szCs w:val="21"/>
                <w:highlight w:val="none"/>
              </w:rPr>
              <w:t>1</w:t>
            </w:r>
          </w:p>
        </w:tc>
        <w:tc>
          <w:tcPr>
            <w:tcW w:w="3370" w:type="dxa"/>
            <w:tcBorders>
              <w:top w:val="single" w:color="auto" w:sz="4" w:space="0"/>
              <w:left w:val="single" w:color="auto" w:sz="4" w:space="0"/>
              <w:bottom w:val="single" w:color="auto" w:sz="4" w:space="0"/>
              <w:right w:val="single" w:color="auto" w:sz="4" w:space="0"/>
            </w:tcBorders>
            <w:noWrap w:val="0"/>
            <w:vAlign w:val="center"/>
          </w:tcPr>
          <w:p w14:paraId="741C43F5">
            <w:pPr>
              <w:jc w:val="center"/>
              <w:outlineLvl w:val="9"/>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开化县怀玉山区水土保持与生态修复项目监理（</w:t>
            </w:r>
            <w:r>
              <w:rPr>
                <w:rFonts w:hint="eastAsia" w:ascii="宋体" w:hAnsi="宋体" w:cs="宋体"/>
                <w:color w:val="auto"/>
                <w:szCs w:val="21"/>
                <w:highlight w:val="none"/>
                <w:lang w:val="en-US" w:eastAsia="zh-CN"/>
              </w:rPr>
              <w:t>采伐修复-不补植</w:t>
            </w:r>
            <w:r>
              <w:rPr>
                <w:rFonts w:hint="eastAsia" w:ascii="宋体" w:hAnsi="宋体" w:cs="宋体"/>
                <w:color w:val="auto"/>
                <w:szCs w:val="21"/>
                <w:highlight w:val="none"/>
                <w:lang w:eastAsia="zh-CN"/>
              </w:rPr>
              <w:t>）</w:t>
            </w:r>
          </w:p>
        </w:tc>
        <w:tc>
          <w:tcPr>
            <w:tcW w:w="3340" w:type="dxa"/>
            <w:tcBorders>
              <w:top w:val="single" w:color="auto" w:sz="4" w:space="0"/>
              <w:left w:val="single" w:color="auto" w:sz="4" w:space="0"/>
              <w:bottom w:val="single" w:color="auto" w:sz="4" w:space="0"/>
              <w:right w:val="single" w:color="auto" w:sz="4" w:space="0"/>
            </w:tcBorders>
            <w:noWrap w:val="0"/>
            <w:vAlign w:val="center"/>
          </w:tcPr>
          <w:p w14:paraId="240B1ADD">
            <w:pPr>
              <w:jc w:val="center"/>
              <w:outlineLvl w:val="9"/>
              <w:rPr>
                <w:rFonts w:hint="eastAsia" w:ascii="宋体" w:hAnsi="宋体" w:cs="宋体"/>
                <w:color w:val="auto"/>
                <w:kern w:val="21"/>
                <w:highlight w:val="none"/>
              </w:rPr>
            </w:pPr>
            <w:r>
              <w:rPr>
                <w:rFonts w:hint="eastAsia" w:ascii="宋体" w:hAnsi="宋体" w:eastAsia="宋体" w:cs="宋体"/>
                <w:color w:val="auto"/>
                <w:kern w:val="0"/>
                <w:sz w:val="21"/>
                <w:szCs w:val="21"/>
                <w:highlight w:val="none"/>
                <w:lang w:val="en-US" w:eastAsia="zh-CN" w:bidi="ar"/>
              </w:rPr>
              <w:t>采伐修复不补植62950亩</w:t>
            </w:r>
          </w:p>
        </w:tc>
        <w:tc>
          <w:tcPr>
            <w:tcW w:w="1840" w:type="dxa"/>
            <w:tcBorders>
              <w:top w:val="single" w:color="auto" w:sz="4" w:space="0"/>
              <w:left w:val="single" w:color="auto" w:sz="4" w:space="0"/>
              <w:bottom w:val="single" w:color="auto" w:sz="4" w:space="0"/>
              <w:right w:val="single" w:color="auto" w:sz="4" w:space="0"/>
            </w:tcBorders>
            <w:noWrap w:val="0"/>
            <w:vAlign w:val="center"/>
          </w:tcPr>
          <w:p w14:paraId="3699CE55">
            <w:pPr>
              <w:jc w:val="center"/>
              <w:outlineLvl w:val="9"/>
              <w:rPr>
                <w:rFonts w:hint="eastAsia" w:ascii="宋体" w:hAnsi="宋体" w:cs="宋体"/>
                <w:color w:val="auto"/>
                <w:kern w:val="0"/>
                <w:sz w:val="21"/>
                <w:szCs w:val="21"/>
                <w:highlight w:val="none"/>
                <w:lang w:val="en-US" w:eastAsia="zh-CN" w:bidi="ar"/>
              </w:rPr>
            </w:pPr>
            <w:r>
              <w:rPr>
                <w:rFonts w:hint="eastAsia" w:ascii="宋体" w:hAnsi="宋体" w:cs="宋体"/>
                <w:color w:val="auto"/>
                <w:sz w:val="21"/>
                <w:szCs w:val="21"/>
                <w:lang w:val="en-US" w:eastAsia="zh-CN"/>
              </w:rPr>
              <w:t>164.4500</w:t>
            </w:r>
            <w:r>
              <w:rPr>
                <w:rFonts w:hint="eastAsia" w:ascii="宋体" w:hAnsi="宋体" w:eastAsia="宋体" w:cs="宋体"/>
                <w:color w:val="auto"/>
                <w:sz w:val="21"/>
                <w:szCs w:val="21"/>
                <w:lang w:val="en-US" w:eastAsia="zh-CN"/>
              </w:rPr>
              <w:t>万元</w:t>
            </w:r>
          </w:p>
        </w:tc>
      </w:tr>
    </w:tbl>
    <w:p w14:paraId="522F9DF8">
      <w:pPr>
        <w:pStyle w:val="18"/>
        <w:widowControl/>
        <w:numPr>
          <w:ilvl w:val="0"/>
          <w:numId w:val="0"/>
        </w:numPr>
        <w:shd w:val="clear" w:color="auto" w:fill="FFFFFF"/>
        <w:spacing w:before="0" w:beforeLines="0" w:beforeAutospacing="0" w:after="0" w:afterLines="0" w:afterAutospacing="0" w:line="400" w:lineRule="exact"/>
        <w:ind w:right="0" w:rightChars="0"/>
        <w:jc w:val="left"/>
        <w:outlineLvl w:val="9"/>
        <w:rPr>
          <w:rFonts w:hint="eastAsia" w:ascii="宋体" w:hAnsi="宋体" w:cs="宋体"/>
          <w:b/>
          <w:bCs/>
          <w:color w:val="auto"/>
          <w:kern w:val="0"/>
          <w:sz w:val="21"/>
          <w:szCs w:val="21"/>
          <w:highlight w:val="none"/>
          <w:lang w:val="en-US" w:eastAsia="zh-CN" w:bidi="ar"/>
        </w:rPr>
      </w:pPr>
      <w:r>
        <w:rPr>
          <w:rFonts w:hint="eastAsia" w:ascii="宋体" w:hAnsi="宋体" w:cs="宋体"/>
          <w:b/>
          <w:bCs/>
          <w:color w:val="auto"/>
          <w:kern w:val="0"/>
          <w:sz w:val="21"/>
          <w:szCs w:val="21"/>
          <w:lang w:val="en-US" w:eastAsia="zh-CN" w:bidi="ar"/>
        </w:rPr>
        <w:t>四</w:t>
      </w:r>
      <w:r>
        <w:rPr>
          <w:rFonts w:hint="eastAsia" w:ascii="宋体" w:hAnsi="宋体" w:eastAsia="宋体" w:cs="宋体"/>
          <w:b/>
          <w:bCs/>
          <w:color w:val="auto"/>
          <w:kern w:val="0"/>
          <w:sz w:val="21"/>
          <w:szCs w:val="21"/>
          <w:lang w:val="en-US" w:eastAsia="zh-CN" w:bidi="ar"/>
        </w:rPr>
        <w:t>、</w:t>
      </w:r>
      <w:r>
        <w:rPr>
          <w:rFonts w:hint="eastAsia" w:ascii="宋体" w:hAnsi="宋体" w:cs="宋体"/>
          <w:b/>
          <w:bCs/>
          <w:color w:val="auto"/>
          <w:kern w:val="0"/>
          <w:sz w:val="21"/>
          <w:szCs w:val="21"/>
          <w:highlight w:val="none"/>
          <w:lang w:val="en-US" w:eastAsia="zh-CN" w:bidi="ar"/>
        </w:rPr>
        <w:t>服务内容</w:t>
      </w:r>
    </w:p>
    <w:p w14:paraId="7201E5DE">
      <w:pPr>
        <w:pageBreakBefore w:val="0"/>
        <w:kinsoku/>
        <w:wordWrap/>
        <w:overflowPunct/>
        <w:topLinePunct w:val="0"/>
        <w:bidi w:val="0"/>
        <w:snapToGrid w:val="0"/>
        <w:spacing w:line="400" w:lineRule="exact"/>
        <w:ind w:lef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1、监理服务内容</w:t>
      </w:r>
    </w:p>
    <w:p w14:paraId="465EF7EA">
      <w:pPr>
        <w:pageBreakBefore w:val="0"/>
        <w:kinsoku/>
        <w:wordWrap/>
        <w:overflowPunct/>
        <w:topLinePunct w:val="0"/>
        <w:bidi w:val="0"/>
        <w:snapToGrid w:val="0"/>
        <w:spacing w:line="400" w:lineRule="exact"/>
        <w:ind w:lef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根据</w:t>
      </w:r>
      <w:r>
        <w:rPr>
          <w:rFonts w:hint="eastAsia" w:ascii="宋体" w:hAnsi="宋体" w:cs="宋体"/>
          <w:color w:val="auto"/>
          <w:kern w:val="0"/>
          <w:sz w:val="21"/>
          <w:szCs w:val="21"/>
          <w:highlight w:val="none"/>
          <w:lang w:val="en-US" w:eastAsia="zh-CN" w:bidi="ar"/>
        </w:rPr>
        <w:t>各级政府发布的</w:t>
      </w:r>
      <w:r>
        <w:rPr>
          <w:rFonts w:hint="eastAsia" w:ascii="宋体" w:hAnsi="宋体" w:eastAsia="宋体" w:cs="宋体"/>
          <w:color w:val="auto"/>
          <w:kern w:val="0"/>
          <w:sz w:val="21"/>
          <w:szCs w:val="21"/>
          <w:highlight w:val="none"/>
          <w:lang w:val="en-US" w:eastAsia="zh-CN" w:bidi="ar"/>
        </w:rPr>
        <w:t>有关</w:t>
      </w:r>
      <w:r>
        <w:rPr>
          <w:rFonts w:hint="eastAsia" w:ascii="宋体" w:hAnsi="宋体" w:cs="宋体"/>
          <w:color w:val="auto"/>
          <w:kern w:val="0"/>
          <w:sz w:val="21"/>
          <w:szCs w:val="21"/>
          <w:highlight w:val="none"/>
          <w:lang w:val="en-US" w:eastAsia="zh-CN" w:bidi="ar"/>
        </w:rPr>
        <w:t>工程建设的法律、法规、政策</w:t>
      </w:r>
      <w:r>
        <w:rPr>
          <w:rFonts w:hint="eastAsia" w:ascii="宋体" w:hAnsi="宋体" w:eastAsia="宋体" w:cs="宋体"/>
          <w:color w:val="auto"/>
          <w:kern w:val="0"/>
          <w:sz w:val="21"/>
          <w:szCs w:val="21"/>
          <w:highlight w:val="none"/>
          <w:lang w:val="en-US" w:eastAsia="zh-CN" w:bidi="ar"/>
        </w:rPr>
        <w:t>和</w:t>
      </w:r>
      <w:r>
        <w:rPr>
          <w:rFonts w:hint="eastAsia" w:ascii="宋体" w:hAnsi="宋体" w:cs="宋体"/>
          <w:color w:val="auto"/>
          <w:kern w:val="0"/>
          <w:sz w:val="21"/>
          <w:szCs w:val="21"/>
          <w:highlight w:val="none"/>
          <w:lang w:val="en-US" w:eastAsia="zh-CN" w:bidi="ar"/>
        </w:rPr>
        <w:t>规定</w:t>
      </w:r>
      <w:r>
        <w:rPr>
          <w:rFonts w:hint="eastAsia" w:ascii="宋体" w:hAnsi="宋体" w:eastAsia="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val="en-US" w:eastAsia="zh-CN" w:bidi="ar"/>
        </w:rPr>
        <w:t>依据各级主管部门批复的本项目各类文件、技术资料、设计图纸及其说明文件等，</w:t>
      </w:r>
      <w:r>
        <w:rPr>
          <w:rFonts w:hint="eastAsia" w:ascii="宋体" w:hAnsi="宋体" w:eastAsia="宋体" w:cs="宋体"/>
          <w:color w:val="auto"/>
          <w:kern w:val="0"/>
          <w:sz w:val="21"/>
          <w:szCs w:val="21"/>
          <w:highlight w:val="none"/>
          <w:lang w:val="en-US" w:eastAsia="zh-CN" w:bidi="ar"/>
        </w:rPr>
        <w:t>对开化县怀玉山区水土保持与生态修复项目施工作业过程进行全面监理。</w:t>
      </w:r>
      <w:r>
        <w:rPr>
          <w:rFonts w:hint="eastAsia" w:ascii="宋体" w:hAnsi="宋体" w:cs="宋体"/>
          <w:color w:val="auto"/>
          <w:kern w:val="0"/>
          <w:sz w:val="21"/>
          <w:szCs w:val="21"/>
          <w:highlight w:val="none"/>
          <w:lang w:val="en-US" w:eastAsia="zh-CN" w:bidi="ar"/>
        </w:rPr>
        <w:t>除监理相关法律、法规外，相关技术规范包括但不限于：</w:t>
      </w:r>
    </w:p>
    <w:p w14:paraId="6AFEAFC5">
      <w:pPr>
        <w:pageBreakBefore w:val="0"/>
        <w:kinsoku/>
        <w:wordWrap/>
        <w:overflowPunct/>
        <w:topLinePunct w:val="0"/>
        <w:bidi w:val="0"/>
        <w:snapToGrid w:val="0"/>
        <w:spacing w:line="400" w:lineRule="exact"/>
        <w:ind w:lef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GB/T 15766-2023 《造林技术规程》</w:t>
      </w:r>
      <w:r>
        <w:rPr>
          <w:rFonts w:hint="eastAsia" w:ascii="宋体" w:hAnsi="宋体" w:cs="宋体"/>
          <w:color w:val="auto"/>
          <w:kern w:val="0"/>
          <w:sz w:val="21"/>
          <w:szCs w:val="21"/>
          <w:highlight w:val="none"/>
          <w:lang w:val="en-US" w:eastAsia="zh-CN" w:bidi="ar"/>
        </w:rPr>
        <w:t>；</w:t>
      </w:r>
    </w:p>
    <w:p w14:paraId="4AD8A6E6">
      <w:pPr>
        <w:pageBreakBefore w:val="0"/>
        <w:kinsoku/>
        <w:wordWrap/>
        <w:overflowPunct/>
        <w:topLinePunct w:val="0"/>
        <w:bidi w:val="0"/>
        <w:snapToGrid w:val="0"/>
        <w:spacing w:line="400" w:lineRule="exact"/>
        <w:ind w:lef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GB/T 15781-2015 《森林抚育规程》</w:t>
      </w:r>
      <w:r>
        <w:rPr>
          <w:rFonts w:hint="eastAsia" w:ascii="宋体" w:hAnsi="宋体" w:cs="宋体"/>
          <w:color w:val="auto"/>
          <w:kern w:val="0"/>
          <w:sz w:val="21"/>
          <w:szCs w:val="21"/>
          <w:highlight w:val="none"/>
          <w:lang w:val="en-US" w:eastAsia="zh-CN" w:bidi="ar"/>
        </w:rPr>
        <w:t>；</w:t>
      </w:r>
    </w:p>
    <w:p w14:paraId="47F39C10">
      <w:pPr>
        <w:pageBreakBefore w:val="0"/>
        <w:kinsoku/>
        <w:wordWrap/>
        <w:overflowPunct/>
        <w:topLinePunct w:val="0"/>
        <w:bidi w:val="0"/>
        <w:snapToGrid w:val="0"/>
        <w:spacing w:line="400" w:lineRule="exact"/>
        <w:ind w:lef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GB/T 44351-2024 《退化林修复技术规程》</w:t>
      </w:r>
      <w:r>
        <w:rPr>
          <w:rFonts w:hint="eastAsia" w:ascii="宋体" w:hAnsi="宋体" w:cs="宋体"/>
          <w:color w:val="auto"/>
          <w:kern w:val="0"/>
          <w:sz w:val="21"/>
          <w:szCs w:val="21"/>
          <w:highlight w:val="none"/>
          <w:lang w:val="en-US" w:eastAsia="zh-CN" w:bidi="ar"/>
        </w:rPr>
        <w:t>；</w:t>
      </w:r>
    </w:p>
    <w:p w14:paraId="6D4AEB48">
      <w:pPr>
        <w:pageBreakBefore w:val="0"/>
        <w:kinsoku/>
        <w:wordWrap/>
        <w:overflowPunct/>
        <w:topLinePunct w:val="0"/>
        <w:bidi w:val="0"/>
        <w:snapToGrid w:val="0"/>
        <w:spacing w:line="400" w:lineRule="exact"/>
        <w:ind w:lef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GB/T 450888-2024 《林木采伐技术规程》</w:t>
      </w:r>
      <w:r>
        <w:rPr>
          <w:rFonts w:hint="eastAsia" w:ascii="宋体" w:hAnsi="宋体" w:cs="宋体"/>
          <w:color w:val="auto"/>
          <w:kern w:val="0"/>
          <w:sz w:val="21"/>
          <w:szCs w:val="21"/>
          <w:highlight w:val="none"/>
          <w:lang w:val="en-US" w:eastAsia="zh-CN" w:bidi="ar"/>
        </w:rPr>
        <w:t>；</w:t>
      </w:r>
    </w:p>
    <w:p w14:paraId="1DE721B9">
      <w:pPr>
        <w:pageBreakBefore w:val="0"/>
        <w:kinsoku/>
        <w:wordWrap/>
        <w:overflowPunct/>
        <w:topLinePunct w:val="0"/>
        <w:bidi w:val="0"/>
        <w:snapToGrid w:val="0"/>
        <w:spacing w:line="400" w:lineRule="exact"/>
        <w:ind w:lef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LY</w:t>
      </w:r>
      <w:r>
        <w:rPr>
          <w:rFonts w:hint="eastAsia" w:ascii="宋体" w:hAnsi="宋体" w:eastAsia="宋体" w:cs="宋体"/>
          <w:color w:val="auto"/>
          <w:kern w:val="0"/>
          <w:sz w:val="21"/>
          <w:szCs w:val="21"/>
          <w:highlight w:val="none"/>
          <w:lang w:val="en-US" w:eastAsia="zh-CN" w:bidi="ar"/>
        </w:rPr>
        <w:t>/T 1690-2017 《低效林改造技术规程》</w:t>
      </w:r>
      <w:r>
        <w:rPr>
          <w:rFonts w:hint="eastAsia" w:ascii="宋体" w:hAnsi="宋体" w:cs="宋体"/>
          <w:color w:val="auto"/>
          <w:kern w:val="0"/>
          <w:sz w:val="21"/>
          <w:szCs w:val="21"/>
          <w:highlight w:val="none"/>
          <w:lang w:val="en-US" w:eastAsia="zh-CN" w:bidi="ar"/>
        </w:rPr>
        <w:t>；</w:t>
      </w:r>
    </w:p>
    <w:p w14:paraId="3DCAD24A">
      <w:pPr>
        <w:pageBreakBefore w:val="0"/>
        <w:kinsoku/>
        <w:wordWrap/>
        <w:overflowPunct/>
        <w:topLinePunct w:val="0"/>
        <w:bidi w:val="0"/>
        <w:snapToGrid w:val="0"/>
        <w:spacing w:line="400" w:lineRule="exact"/>
        <w:ind w:lef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LY/T 2083-201331 《全国营造林综合核查技术规程》</w:t>
      </w:r>
      <w:r>
        <w:rPr>
          <w:rFonts w:hint="eastAsia" w:ascii="宋体" w:hAnsi="宋体" w:cs="宋体"/>
          <w:color w:val="auto"/>
          <w:kern w:val="0"/>
          <w:sz w:val="21"/>
          <w:szCs w:val="21"/>
          <w:highlight w:val="none"/>
          <w:lang w:val="en-US" w:eastAsia="zh-CN" w:bidi="ar"/>
        </w:rPr>
        <w:t>；</w:t>
      </w:r>
    </w:p>
    <w:p w14:paraId="2DBF6879">
      <w:pPr>
        <w:pageBreakBefore w:val="0"/>
        <w:kinsoku/>
        <w:wordWrap/>
        <w:overflowPunct/>
        <w:topLinePunct w:val="0"/>
        <w:bidi w:val="0"/>
        <w:snapToGrid w:val="0"/>
        <w:spacing w:line="400" w:lineRule="exact"/>
        <w:ind w:left="0" w:firstLine="420" w:firstLineChars="200"/>
        <w:jc w:val="left"/>
        <w:textAlignment w:val="auto"/>
        <w:outlineLvl w:val="9"/>
        <w:rPr>
          <w:rFonts w:hint="eastAsia" w:ascii="宋体" w:hAnsi="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浙林造〔2024〕141号 《浙江省营造林综合核查验收规范》</w:t>
      </w:r>
      <w:r>
        <w:rPr>
          <w:rFonts w:hint="eastAsia" w:ascii="宋体" w:hAnsi="宋体" w:cs="宋体"/>
          <w:color w:val="auto"/>
          <w:kern w:val="0"/>
          <w:sz w:val="21"/>
          <w:szCs w:val="21"/>
          <w:highlight w:val="none"/>
          <w:lang w:val="en-US" w:eastAsia="zh-CN" w:bidi="ar"/>
        </w:rPr>
        <w:t>；</w:t>
      </w:r>
    </w:p>
    <w:p w14:paraId="79E509D6">
      <w:pPr>
        <w:pageBreakBefore w:val="0"/>
        <w:kinsoku/>
        <w:wordWrap/>
        <w:overflowPunct/>
        <w:topLinePunct w:val="0"/>
        <w:bidi w:val="0"/>
        <w:snapToGrid w:val="0"/>
        <w:spacing w:line="400" w:lineRule="exact"/>
        <w:ind w:lef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林生发〔2024〕78号</w:t>
      </w:r>
      <w:r>
        <w:rPr>
          <w:rFonts w:hint="eastAsia" w:ascii="宋体" w:hAnsi="宋体" w:eastAsia="宋体" w:cs="宋体"/>
          <w:color w:val="auto"/>
          <w:kern w:val="0"/>
          <w:sz w:val="21"/>
          <w:szCs w:val="21"/>
          <w:highlight w:val="none"/>
          <w:lang w:val="en-US" w:eastAsia="zh-CN" w:bidi="ar"/>
        </w:rPr>
        <w:t xml:space="preserve"> 《松材线虫病防治技术方案（2024年版）》</w:t>
      </w:r>
      <w:r>
        <w:rPr>
          <w:rFonts w:hint="eastAsia" w:ascii="宋体" w:hAnsi="宋体" w:cs="宋体"/>
          <w:color w:val="auto"/>
          <w:kern w:val="0"/>
          <w:sz w:val="21"/>
          <w:szCs w:val="21"/>
          <w:highlight w:val="none"/>
          <w:lang w:val="en-US" w:eastAsia="zh-CN" w:bidi="ar"/>
        </w:rPr>
        <w:t>；</w:t>
      </w:r>
    </w:p>
    <w:p w14:paraId="4530CCE2">
      <w:pPr>
        <w:pageBreakBefore w:val="0"/>
        <w:kinsoku/>
        <w:wordWrap/>
        <w:overflowPunct/>
        <w:topLinePunct w:val="0"/>
        <w:bidi w:val="0"/>
        <w:snapToGrid w:val="0"/>
        <w:spacing w:line="400" w:lineRule="exact"/>
        <w:ind w:lef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林生规〔2023〕7 号 《松材线虫病疫区和疫木管理办法》</w:t>
      </w:r>
      <w:r>
        <w:rPr>
          <w:rFonts w:hint="eastAsia" w:ascii="宋体" w:hAnsi="宋体" w:cs="宋体"/>
          <w:color w:val="auto"/>
          <w:kern w:val="0"/>
          <w:sz w:val="21"/>
          <w:szCs w:val="21"/>
          <w:highlight w:val="none"/>
          <w:lang w:val="en-US" w:eastAsia="zh-CN" w:bidi="ar"/>
        </w:rPr>
        <w:t>；</w:t>
      </w:r>
    </w:p>
    <w:p w14:paraId="4EB61019">
      <w:pPr>
        <w:pageBreakBefore w:val="0"/>
        <w:kinsoku/>
        <w:wordWrap/>
        <w:overflowPunct/>
        <w:topLinePunct w:val="0"/>
        <w:bidi w:val="0"/>
        <w:snapToGrid w:val="0"/>
        <w:spacing w:line="400" w:lineRule="exact"/>
        <w:ind w:left="0" w:firstLine="420" w:firstLineChars="200"/>
        <w:jc w:val="left"/>
        <w:textAlignment w:val="auto"/>
        <w:outlineLvl w:val="9"/>
        <w:rPr>
          <w:rFonts w:hint="default"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《浙江省松材线虫病防治条例》</w:t>
      </w:r>
      <w:r>
        <w:rPr>
          <w:rFonts w:hint="eastAsia" w:ascii="宋体" w:hAnsi="宋体" w:cs="宋体"/>
          <w:color w:val="auto"/>
          <w:kern w:val="0"/>
          <w:sz w:val="21"/>
          <w:szCs w:val="21"/>
          <w:highlight w:val="none"/>
          <w:lang w:val="en-US" w:eastAsia="zh-CN" w:bidi="ar"/>
        </w:rPr>
        <w:t>；</w:t>
      </w:r>
    </w:p>
    <w:p w14:paraId="4A1B50F0">
      <w:pPr>
        <w:pageBreakBefore w:val="0"/>
        <w:kinsoku/>
        <w:wordWrap/>
        <w:overflowPunct/>
        <w:topLinePunct w:val="0"/>
        <w:bidi w:val="0"/>
        <w:snapToGrid w:val="0"/>
        <w:spacing w:line="400" w:lineRule="exact"/>
        <w:ind w:left="0" w:firstLine="420" w:firstLineChars="200"/>
        <w:jc w:val="left"/>
        <w:textAlignment w:val="auto"/>
        <w:outlineLvl w:val="9"/>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《开化县年度松材线虫病防治实施方案》</w:t>
      </w:r>
      <w:r>
        <w:rPr>
          <w:rFonts w:hint="eastAsia" w:ascii="宋体" w:hAnsi="宋体" w:cs="宋体"/>
          <w:color w:val="auto"/>
          <w:kern w:val="0"/>
          <w:sz w:val="21"/>
          <w:szCs w:val="21"/>
          <w:highlight w:val="none"/>
          <w:lang w:val="en-US" w:eastAsia="zh-CN" w:bidi="ar"/>
        </w:rPr>
        <w:t>；</w:t>
      </w:r>
    </w:p>
    <w:p w14:paraId="68D5050C">
      <w:pPr>
        <w:pageBreakBefore w:val="0"/>
        <w:kinsoku/>
        <w:wordWrap/>
        <w:overflowPunct/>
        <w:topLinePunct w:val="0"/>
        <w:bidi w:val="0"/>
        <w:snapToGrid w:val="0"/>
        <w:spacing w:line="400" w:lineRule="exact"/>
        <w:ind w:left="0" w:firstLine="420" w:firstLineChars="200"/>
        <w:jc w:val="left"/>
        <w:textAlignment w:val="auto"/>
        <w:rPr>
          <w:rFonts w:hint="eastAsia" w:ascii="宋体" w:hAnsi="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监理日常工作按照相关要求认真开展监督工作（</w:t>
      </w:r>
      <w:r>
        <w:rPr>
          <w:rFonts w:hint="eastAsia" w:ascii="宋体" w:hAnsi="宋体" w:cs="宋体"/>
          <w:color w:val="auto"/>
          <w:kern w:val="0"/>
          <w:sz w:val="21"/>
          <w:szCs w:val="21"/>
          <w:highlight w:val="none"/>
          <w:lang w:val="en-US" w:eastAsia="zh-CN" w:bidi="ar"/>
        </w:rPr>
        <w:t>施工期间</w:t>
      </w:r>
      <w:r>
        <w:rPr>
          <w:rFonts w:hint="eastAsia" w:ascii="宋体" w:hAnsi="宋体" w:eastAsia="宋体" w:cs="宋体"/>
          <w:color w:val="auto"/>
          <w:kern w:val="0"/>
          <w:sz w:val="21"/>
          <w:szCs w:val="21"/>
          <w:highlight w:val="none"/>
          <w:lang w:val="en-US" w:eastAsia="zh-CN" w:bidi="ar"/>
        </w:rPr>
        <w:t>每个施工小组都要有监理人员跟随监督，做监理记录），发现问题要立即督促施工单位整改并及时报告，施工期每周汇总施工进度，施工期每月汇报监理工作内容，督促施工单位提交施工日志。</w:t>
      </w:r>
      <w:r>
        <w:rPr>
          <w:rFonts w:hint="eastAsia" w:ascii="宋体" w:hAnsi="宋体" w:cs="宋体"/>
          <w:color w:val="auto"/>
          <w:kern w:val="0"/>
          <w:sz w:val="21"/>
          <w:szCs w:val="21"/>
          <w:highlight w:val="none"/>
          <w:lang w:val="en-US" w:eastAsia="zh-CN" w:bidi="ar"/>
        </w:rPr>
        <w:t>所有监理过程（如</w:t>
      </w:r>
      <w:r>
        <w:rPr>
          <w:rFonts w:hint="eastAsia" w:ascii="宋体" w:hAnsi="宋体" w:eastAsia="宋体" w:cs="宋体"/>
          <w:color w:val="auto"/>
          <w:kern w:val="0"/>
          <w:sz w:val="21"/>
          <w:szCs w:val="21"/>
          <w:highlight w:val="none"/>
          <w:lang w:val="en-US" w:eastAsia="zh-CN" w:bidi="ar"/>
        </w:rPr>
        <w:t>项目资料和图片）</w:t>
      </w:r>
      <w:r>
        <w:rPr>
          <w:rFonts w:hint="eastAsia" w:ascii="宋体" w:hAnsi="宋体" w:cs="宋体"/>
          <w:color w:val="auto"/>
          <w:kern w:val="0"/>
          <w:sz w:val="21"/>
          <w:szCs w:val="21"/>
          <w:highlight w:val="none"/>
          <w:lang w:val="en-US" w:eastAsia="zh-CN" w:bidi="ar"/>
        </w:rPr>
        <w:t>需通过</w:t>
      </w:r>
      <w:r>
        <w:rPr>
          <w:rFonts w:hint="default" w:ascii="宋体" w:hAnsi="宋体" w:cs="宋体"/>
          <w:color w:val="auto"/>
          <w:kern w:val="0"/>
          <w:sz w:val="21"/>
          <w:szCs w:val="21"/>
          <w:highlight w:val="none"/>
          <w:lang w:eastAsia="zh-CN" w:bidi="ar"/>
        </w:rPr>
        <w:t>甲方指定的软件</w:t>
      </w:r>
      <w:r>
        <w:rPr>
          <w:rFonts w:hint="eastAsia" w:ascii="宋体" w:hAnsi="宋体" w:cs="宋体"/>
          <w:color w:val="auto"/>
          <w:kern w:val="0"/>
          <w:sz w:val="21"/>
          <w:szCs w:val="21"/>
          <w:highlight w:val="none"/>
          <w:lang w:val="en-US" w:eastAsia="zh-CN" w:bidi="ar"/>
        </w:rPr>
        <w:t>上传记录。</w:t>
      </w:r>
    </w:p>
    <w:p w14:paraId="3A1CA95F">
      <w:pPr>
        <w:pageBreakBefore w:val="0"/>
        <w:kinsoku/>
        <w:wordWrap/>
        <w:overflowPunct/>
        <w:topLinePunct w:val="0"/>
        <w:bidi w:val="0"/>
        <w:snapToGrid w:val="0"/>
        <w:spacing w:line="400" w:lineRule="exact"/>
        <w:ind w:left="0" w:firstLine="420" w:firstLineChars="200"/>
        <w:jc w:val="left"/>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eastAsia" w:ascii="宋体" w:hAnsi="宋体" w:cs="宋体"/>
          <w:color w:val="auto"/>
          <w:kern w:val="0"/>
          <w:sz w:val="21"/>
          <w:szCs w:val="21"/>
          <w:highlight w:val="none"/>
          <w:lang w:val="en-US" w:eastAsia="zh-CN" w:bidi="ar"/>
        </w:rPr>
        <w:t>、疫木监理要求</w:t>
      </w:r>
    </w:p>
    <w:p w14:paraId="23B8D038">
      <w:pPr>
        <w:pageBreakBefore w:val="0"/>
        <w:kinsoku/>
        <w:wordWrap/>
        <w:overflowPunct/>
        <w:topLinePunct w:val="0"/>
        <w:bidi w:val="0"/>
        <w:snapToGrid w:val="0"/>
        <w:spacing w:line="400" w:lineRule="exact"/>
        <w:ind w:left="0" w:firstLine="420" w:firstLineChars="200"/>
        <w:jc w:val="left"/>
        <w:textAlignment w:val="auto"/>
        <w:rPr>
          <w:rFonts w:hint="eastAsia" w:ascii="宋体" w:hAnsi="宋体" w:eastAsia="宋体" w:cs="宋体"/>
          <w:color w:val="auto"/>
          <w:kern w:val="0"/>
          <w:sz w:val="21"/>
          <w:szCs w:val="21"/>
          <w:highlight w:val="none"/>
          <w:lang w:val="zh-CN" w:eastAsia="zh-CN" w:bidi="ar"/>
        </w:rPr>
      </w:pPr>
      <w:r>
        <w:rPr>
          <w:rFonts w:hint="eastAsia" w:ascii="宋体" w:hAnsi="宋体" w:cs="宋体"/>
          <w:color w:val="auto"/>
          <w:kern w:val="0"/>
          <w:sz w:val="21"/>
          <w:szCs w:val="21"/>
          <w:highlight w:val="none"/>
          <w:lang w:val="en-US" w:eastAsia="zh-CN" w:bidi="ar"/>
        </w:rPr>
        <w:t>本项目涉及松木部分</w:t>
      </w:r>
      <w:r>
        <w:rPr>
          <w:rFonts w:hint="default" w:ascii="宋体" w:hAnsi="宋体" w:cs="宋体"/>
          <w:color w:val="auto"/>
          <w:kern w:val="0"/>
          <w:sz w:val="21"/>
          <w:szCs w:val="21"/>
          <w:highlight w:val="none"/>
          <w:lang w:eastAsia="zh-CN" w:bidi="ar"/>
        </w:rPr>
        <w:t>均按</w:t>
      </w:r>
      <w:r>
        <w:rPr>
          <w:rFonts w:hint="eastAsia" w:ascii="宋体" w:hAnsi="宋体" w:cs="宋体"/>
          <w:color w:val="auto"/>
          <w:kern w:val="0"/>
          <w:sz w:val="21"/>
          <w:szCs w:val="21"/>
          <w:highlight w:val="none"/>
          <w:lang w:val="en-US" w:eastAsia="zh-CN" w:bidi="ar"/>
        </w:rPr>
        <w:t>疫木相关要求管理，</w:t>
      </w:r>
      <w:r>
        <w:rPr>
          <w:rFonts w:hint="eastAsia" w:ascii="宋体" w:hAnsi="宋体" w:eastAsia="宋体" w:cs="宋体"/>
          <w:color w:val="auto"/>
          <w:kern w:val="0"/>
          <w:sz w:val="21"/>
          <w:szCs w:val="21"/>
          <w:highlight w:val="none"/>
          <w:lang w:val="en-US" w:eastAsia="zh-CN" w:bidi="ar"/>
        </w:rPr>
        <w:t>包括疫木除治质量、疫木运输、采伐证、疫木定点处理厂等监管。</w:t>
      </w:r>
    </w:p>
    <w:p w14:paraId="01F901BD">
      <w:pPr>
        <w:pageBreakBefore w:val="0"/>
        <w:kinsoku/>
        <w:wordWrap/>
        <w:overflowPunct/>
        <w:topLinePunct w:val="0"/>
        <w:bidi w:val="0"/>
        <w:snapToGrid w:val="0"/>
        <w:spacing w:line="400" w:lineRule="exact"/>
        <w:ind w:left="0" w:firstLine="420" w:firstLineChars="200"/>
        <w:jc w:val="left"/>
        <w:textAlignment w:val="auto"/>
        <w:rPr>
          <w:rFonts w:hint="eastAsia" w:ascii="宋体" w:hAnsi="宋体" w:eastAsia="宋体" w:cs="宋体"/>
          <w:color w:val="auto"/>
          <w:kern w:val="0"/>
          <w:sz w:val="21"/>
          <w:szCs w:val="21"/>
          <w:highlight w:val="none"/>
          <w:lang w:val="zh-CN" w:eastAsia="zh-CN" w:bidi="ar"/>
        </w:rPr>
      </w:pPr>
      <w:r>
        <w:rPr>
          <w:rFonts w:hint="eastAsia" w:ascii="宋体" w:hAnsi="宋体" w:eastAsia="宋体" w:cs="宋体"/>
          <w:color w:val="auto"/>
          <w:kern w:val="0"/>
          <w:sz w:val="21"/>
          <w:szCs w:val="21"/>
          <w:highlight w:val="none"/>
          <w:lang w:val="zh-CN" w:eastAsia="zh-CN" w:bidi="ar"/>
        </w:rPr>
        <w:t>（</w:t>
      </w: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zh-CN" w:eastAsia="zh-CN" w:bidi="ar"/>
        </w:rPr>
        <w:t>）除治进度：现场查看有无没有除治的松枯死木，清点株数，估算除治任务完成率；</w:t>
      </w:r>
    </w:p>
    <w:p w14:paraId="7257ED51">
      <w:pPr>
        <w:pageBreakBefore w:val="0"/>
        <w:kinsoku/>
        <w:wordWrap/>
        <w:overflowPunct/>
        <w:topLinePunct w:val="0"/>
        <w:bidi w:val="0"/>
        <w:snapToGrid w:val="0"/>
        <w:spacing w:line="400" w:lineRule="exact"/>
        <w:ind w:left="0" w:firstLine="420" w:firstLineChars="200"/>
        <w:jc w:val="left"/>
        <w:textAlignment w:val="auto"/>
        <w:rPr>
          <w:rFonts w:hint="eastAsia" w:ascii="宋体" w:hAnsi="宋体" w:eastAsia="宋体" w:cs="宋体"/>
          <w:color w:val="auto"/>
          <w:kern w:val="0"/>
          <w:sz w:val="21"/>
          <w:szCs w:val="21"/>
          <w:highlight w:val="none"/>
          <w:lang w:val="zh-CN" w:eastAsia="zh-CN" w:bidi="ar"/>
        </w:rPr>
      </w:pPr>
      <w:r>
        <w:rPr>
          <w:rFonts w:hint="eastAsia" w:ascii="宋体" w:hAnsi="宋体" w:eastAsia="宋体" w:cs="宋体"/>
          <w:color w:val="auto"/>
          <w:kern w:val="0"/>
          <w:sz w:val="21"/>
          <w:szCs w:val="21"/>
          <w:highlight w:val="none"/>
          <w:lang w:val="zh-CN" w:eastAsia="zh-CN" w:bidi="ar"/>
        </w:rPr>
        <w:t>（</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zh-CN" w:eastAsia="zh-CN" w:bidi="ar"/>
        </w:rPr>
        <w:t>）伐桩情况：伐根高度（斜坡按上坡位计）不得高于5cm，实地检查伐桩是否符合有关技术标准，确因岩石等影响造成伐桩过高时，应采用补刀、剥皮等补救措施；</w:t>
      </w:r>
    </w:p>
    <w:p w14:paraId="1ADDC420">
      <w:pPr>
        <w:pageBreakBefore w:val="0"/>
        <w:kinsoku/>
        <w:wordWrap/>
        <w:overflowPunct/>
        <w:topLinePunct w:val="0"/>
        <w:bidi w:val="0"/>
        <w:snapToGrid w:val="0"/>
        <w:spacing w:line="400" w:lineRule="exact"/>
        <w:ind w:left="0" w:firstLine="420" w:firstLineChars="200"/>
        <w:jc w:val="left"/>
        <w:textAlignment w:val="auto"/>
        <w:rPr>
          <w:rFonts w:hint="eastAsia" w:ascii="宋体" w:hAnsi="宋体" w:eastAsia="宋体" w:cs="宋体"/>
          <w:color w:val="auto"/>
          <w:kern w:val="0"/>
          <w:sz w:val="21"/>
          <w:szCs w:val="21"/>
          <w:highlight w:val="none"/>
          <w:lang w:val="zh-CN" w:eastAsia="zh-CN" w:bidi="ar"/>
        </w:rPr>
      </w:pPr>
      <w:r>
        <w:rPr>
          <w:rFonts w:hint="eastAsia" w:ascii="宋体" w:hAnsi="宋体" w:eastAsia="宋体" w:cs="宋体"/>
          <w:color w:val="auto"/>
          <w:kern w:val="0"/>
          <w:sz w:val="21"/>
          <w:szCs w:val="21"/>
          <w:highlight w:val="none"/>
          <w:lang w:val="zh-CN" w:eastAsia="zh-CN" w:bidi="ar"/>
        </w:rPr>
        <w:t>（</w:t>
      </w: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zh-CN" w:eastAsia="zh-CN" w:bidi="ar"/>
        </w:rPr>
        <w:t>）主干清理情况：实地检查山场内的疫木主干清理情况，要求所有主干全部清理下山</w:t>
      </w:r>
      <w:r>
        <w:rPr>
          <w:rFonts w:hint="eastAsia" w:ascii="宋体" w:hAnsi="宋体" w:eastAsia="宋体" w:cs="宋体"/>
          <w:color w:val="auto"/>
          <w:kern w:val="0"/>
          <w:sz w:val="21"/>
          <w:szCs w:val="21"/>
          <w:highlight w:val="none"/>
          <w:lang w:val="en-US" w:eastAsia="zh-CN" w:bidi="ar"/>
        </w:rPr>
        <w:t>。</w:t>
      </w:r>
    </w:p>
    <w:p w14:paraId="254B2ED9">
      <w:pPr>
        <w:pageBreakBefore w:val="0"/>
        <w:kinsoku/>
        <w:wordWrap/>
        <w:overflowPunct/>
        <w:topLinePunct w:val="0"/>
        <w:bidi w:val="0"/>
        <w:snapToGrid w:val="0"/>
        <w:spacing w:line="400" w:lineRule="exact"/>
        <w:ind w:left="0" w:firstLine="420" w:firstLineChars="200"/>
        <w:jc w:val="left"/>
        <w:textAlignment w:val="auto"/>
        <w:rPr>
          <w:rFonts w:hint="eastAsia" w:ascii="宋体" w:hAnsi="宋体" w:eastAsia="宋体" w:cs="宋体"/>
          <w:color w:val="auto"/>
          <w:kern w:val="0"/>
          <w:sz w:val="21"/>
          <w:szCs w:val="21"/>
          <w:highlight w:val="none"/>
          <w:lang w:val="zh-CN" w:eastAsia="zh-CN" w:bidi="ar"/>
        </w:rPr>
      </w:pPr>
      <w:r>
        <w:rPr>
          <w:rFonts w:hint="eastAsia" w:ascii="宋体" w:hAnsi="宋体" w:eastAsia="宋体" w:cs="宋体"/>
          <w:color w:val="auto"/>
          <w:kern w:val="0"/>
          <w:sz w:val="21"/>
          <w:szCs w:val="21"/>
          <w:highlight w:val="none"/>
          <w:lang w:val="zh-CN" w:eastAsia="zh-CN" w:bidi="ar"/>
        </w:rPr>
        <w:t>（</w:t>
      </w: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zh-CN" w:eastAsia="zh-CN" w:bidi="ar"/>
        </w:rPr>
        <w:t>）枝桠清理情况：实地检查山场内疫木枝桠清理情况，要求所有</w:t>
      </w:r>
      <w:r>
        <w:rPr>
          <w:rFonts w:hint="eastAsia" w:ascii="宋体" w:hAnsi="宋体" w:eastAsia="宋体" w:cs="宋体"/>
          <w:color w:val="auto"/>
          <w:kern w:val="0"/>
          <w:sz w:val="21"/>
          <w:szCs w:val="21"/>
          <w:highlight w:val="none"/>
          <w:lang w:val="en-US" w:eastAsia="zh-CN" w:bidi="ar"/>
        </w:rPr>
        <w:t>1cm以上枝桠全部清理下山或就地焚烧，</w:t>
      </w:r>
      <w:r>
        <w:rPr>
          <w:rFonts w:hint="eastAsia" w:ascii="宋体" w:hAnsi="宋体" w:eastAsia="宋体" w:cs="宋体"/>
          <w:color w:val="auto"/>
          <w:kern w:val="0"/>
          <w:sz w:val="21"/>
          <w:szCs w:val="21"/>
          <w:highlight w:val="none"/>
          <w:lang w:val="zh-CN" w:eastAsia="zh-CN" w:bidi="ar"/>
        </w:rPr>
        <w:t>不得遗留的直径1㎝以上的枝桠，</w:t>
      </w:r>
      <w:r>
        <w:rPr>
          <w:rFonts w:hint="eastAsia" w:ascii="宋体" w:hAnsi="宋体" w:eastAsia="宋体" w:cs="宋体"/>
          <w:color w:val="auto"/>
          <w:kern w:val="0"/>
          <w:sz w:val="21"/>
          <w:szCs w:val="21"/>
          <w:highlight w:val="none"/>
          <w:lang w:val="en-US" w:eastAsia="zh-CN" w:bidi="ar"/>
        </w:rPr>
        <w:t>因天气原因暂时不能焚烧的，要将枝桠打堆、编号，防止遗漏。</w:t>
      </w:r>
    </w:p>
    <w:p w14:paraId="53C0303F">
      <w:pPr>
        <w:pageBreakBefore w:val="0"/>
        <w:kinsoku/>
        <w:wordWrap/>
        <w:overflowPunct/>
        <w:topLinePunct w:val="0"/>
        <w:bidi w:val="0"/>
        <w:snapToGrid w:val="0"/>
        <w:spacing w:line="400" w:lineRule="exact"/>
        <w:ind w:left="0" w:firstLine="420" w:firstLineChars="200"/>
        <w:jc w:val="left"/>
        <w:textAlignment w:val="auto"/>
        <w:rPr>
          <w:rFonts w:hint="eastAsia" w:ascii="宋体" w:hAnsi="宋体" w:eastAsia="宋体" w:cs="宋体"/>
          <w:color w:val="auto"/>
          <w:kern w:val="0"/>
          <w:sz w:val="21"/>
          <w:szCs w:val="21"/>
          <w:highlight w:val="none"/>
          <w:lang w:val="zh-CN" w:eastAsia="zh-CN" w:bidi="ar"/>
        </w:rPr>
      </w:pPr>
      <w:r>
        <w:rPr>
          <w:rFonts w:hint="eastAsia" w:ascii="宋体" w:hAnsi="宋体" w:eastAsia="宋体" w:cs="宋体"/>
          <w:color w:val="auto"/>
          <w:kern w:val="0"/>
          <w:sz w:val="21"/>
          <w:szCs w:val="21"/>
          <w:highlight w:val="none"/>
          <w:lang w:val="zh-CN" w:eastAsia="zh-CN" w:bidi="ar"/>
        </w:rPr>
        <w:t>（</w:t>
      </w: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zh-CN" w:eastAsia="zh-CN" w:bidi="ar"/>
        </w:rPr>
        <w:t>）疫木管理：对照松枯死木清理施工作业单位登记情况，对清理下山的死松树流向进行检查，确保按规定运往定点加工企业，并对林区疫木非法加工和农户留用松疫木情况进行检查，对存在的问题列出问题清单，并提出整改意见。</w:t>
      </w:r>
    </w:p>
    <w:p w14:paraId="4C93404A">
      <w:pPr>
        <w:pageBreakBefore w:val="0"/>
        <w:kinsoku/>
        <w:wordWrap/>
        <w:overflowPunct/>
        <w:topLinePunct w:val="0"/>
        <w:bidi w:val="0"/>
        <w:snapToGrid w:val="0"/>
        <w:spacing w:line="400" w:lineRule="exact"/>
        <w:ind w:lef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zh-CN" w:eastAsia="zh-CN" w:bidi="ar"/>
        </w:rPr>
        <w:t>（</w:t>
      </w:r>
      <w:r>
        <w:rPr>
          <w:rFonts w:hint="eastAsia" w:ascii="宋体" w:hAnsi="宋体" w:eastAsia="宋体" w:cs="宋体"/>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val="zh-CN" w:eastAsia="zh-CN" w:bidi="ar"/>
        </w:rPr>
        <w:t>）疫木安全利用定点加工企业：</w:t>
      </w:r>
      <w:r>
        <w:rPr>
          <w:rFonts w:hint="eastAsia" w:ascii="宋体" w:hAnsi="宋体" w:eastAsia="宋体" w:cs="宋体"/>
          <w:color w:val="auto"/>
          <w:kern w:val="0"/>
          <w:sz w:val="21"/>
          <w:szCs w:val="21"/>
          <w:highlight w:val="none"/>
          <w:lang w:val="en-US" w:eastAsia="zh-CN" w:bidi="ar"/>
        </w:rPr>
        <w:t>每周至少一次到</w:t>
      </w:r>
      <w:r>
        <w:rPr>
          <w:rFonts w:hint="eastAsia" w:ascii="宋体" w:hAnsi="宋体" w:eastAsia="宋体" w:cs="宋体"/>
          <w:color w:val="auto"/>
          <w:kern w:val="0"/>
          <w:sz w:val="21"/>
          <w:szCs w:val="21"/>
          <w:highlight w:val="none"/>
          <w:lang w:val="zh-CN" w:eastAsia="zh-CN" w:bidi="ar"/>
        </w:rPr>
        <w:t>疫木安全利用定点加工企业</w:t>
      </w:r>
      <w:r>
        <w:rPr>
          <w:rFonts w:hint="eastAsia" w:ascii="宋体" w:hAnsi="宋体" w:eastAsia="宋体" w:cs="宋体"/>
          <w:color w:val="auto"/>
          <w:kern w:val="0"/>
          <w:sz w:val="21"/>
          <w:szCs w:val="21"/>
          <w:highlight w:val="none"/>
          <w:lang w:val="en-US" w:eastAsia="zh-CN" w:bidi="ar"/>
        </w:rPr>
        <w:t>核对</w:t>
      </w:r>
      <w:r>
        <w:rPr>
          <w:rFonts w:hint="eastAsia" w:ascii="宋体" w:hAnsi="宋体" w:eastAsia="宋体" w:cs="宋体"/>
          <w:color w:val="auto"/>
          <w:kern w:val="0"/>
          <w:sz w:val="21"/>
          <w:szCs w:val="21"/>
          <w:highlight w:val="none"/>
          <w:lang w:val="zh-CN" w:eastAsia="zh-CN" w:bidi="ar"/>
        </w:rPr>
        <w:t>各清理单位</w:t>
      </w:r>
      <w:r>
        <w:rPr>
          <w:rFonts w:hint="eastAsia" w:ascii="宋体" w:hAnsi="宋体" w:eastAsia="宋体" w:cs="宋体"/>
          <w:color w:val="auto"/>
          <w:kern w:val="0"/>
          <w:sz w:val="21"/>
          <w:szCs w:val="21"/>
          <w:highlight w:val="none"/>
          <w:lang w:val="en-US" w:eastAsia="zh-CN" w:bidi="ar"/>
        </w:rPr>
        <w:t>进场疫木数量和来源，准确率要达到100%，每半个月把疫木进场情况书面报告甲方。</w:t>
      </w:r>
    </w:p>
    <w:p w14:paraId="59454D58">
      <w:pPr>
        <w:pageBreakBefore w:val="0"/>
        <w:kinsoku/>
        <w:wordWrap/>
        <w:overflowPunct/>
        <w:topLinePunct w:val="0"/>
        <w:bidi w:val="0"/>
        <w:snapToGrid w:val="0"/>
        <w:spacing w:line="400" w:lineRule="exact"/>
        <w:ind w:left="0" w:firstLine="420" w:firstLineChars="200"/>
        <w:jc w:val="left"/>
        <w:textAlignment w:val="auto"/>
        <w:rPr>
          <w:rFonts w:hint="eastAsia" w:ascii="宋体" w:hAnsi="宋体" w:eastAsia="宋体" w:cs="宋体"/>
          <w:color w:val="auto"/>
          <w:kern w:val="0"/>
          <w:sz w:val="21"/>
          <w:szCs w:val="21"/>
          <w:highlight w:val="none"/>
          <w:lang w:val="zh-CN" w:eastAsia="zh-CN" w:bidi="ar"/>
        </w:rPr>
      </w:pPr>
      <w:r>
        <w:rPr>
          <w:rFonts w:hint="eastAsia" w:ascii="宋体" w:hAnsi="宋体" w:eastAsia="宋体" w:cs="宋体"/>
          <w:color w:val="auto"/>
          <w:kern w:val="0"/>
          <w:sz w:val="21"/>
          <w:szCs w:val="21"/>
          <w:highlight w:val="none"/>
          <w:lang w:val="zh-CN" w:eastAsia="zh-CN" w:bidi="ar"/>
        </w:rPr>
        <w:t>（</w:t>
      </w:r>
      <w:r>
        <w:rPr>
          <w:rFonts w:hint="eastAsia" w:ascii="宋体" w:hAnsi="宋体" w:eastAsia="宋体" w:cs="宋体"/>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val="zh-CN" w:eastAsia="zh-CN" w:bidi="ar"/>
        </w:rPr>
        <w:t>）采伐证监管：实地检查除治山场采伐证审批情况，检查是否存在超伐、砍伐活松树等现象，并提出整改意见。</w:t>
      </w:r>
    </w:p>
    <w:p w14:paraId="0B6AF190">
      <w:pPr>
        <w:pageBreakBefore w:val="0"/>
        <w:kinsoku/>
        <w:wordWrap/>
        <w:overflowPunct/>
        <w:topLinePunct w:val="0"/>
        <w:bidi w:val="0"/>
        <w:snapToGrid w:val="0"/>
        <w:spacing w:line="400" w:lineRule="exact"/>
        <w:ind w:lef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zh-CN" w:eastAsia="zh-CN" w:bidi="ar"/>
        </w:rPr>
        <w:t>（</w:t>
      </w:r>
      <w:r>
        <w:rPr>
          <w:rFonts w:hint="eastAsia" w:ascii="宋体" w:hAnsi="宋体" w:eastAsia="宋体" w:cs="宋体"/>
          <w:color w:val="auto"/>
          <w:kern w:val="0"/>
          <w:sz w:val="21"/>
          <w:szCs w:val="21"/>
          <w:highlight w:val="none"/>
          <w:lang w:val="en-US" w:eastAsia="zh-CN" w:bidi="ar"/>
        </w:rPr>
        <w:t>8</w:t>
      </w:r>
      <w:r>
        <w:rPr>
          <w:rFonts w:hint="eastAsia" w:ascii="宋体" w:hAnsi="宋体" w:eastAsia="宋体" w:cs="宋体"/>
          <w:color w:val="auto"/>
          <w:kern w:val="0"/>
          <w:sz w:val="21"/>
          <w:szCs w:val="21"/>
          <w:highlight w:val="none"/>
          <w:lang w:val="zh-CN" w:eastAsia="zh-CN" w:bidi="ar"/>
        </w:rPr>
        <w:t>）按要求进行省市抽查整改情况的检查和县级整改问题清单的复查。</w:t>
      </w:r>
    </w:p>
    <w:p w14:paraId="2EA83748">
      <w:pPr>
        <w:pageBreakBefore w:val="0"/>
        <w:kinsoku/>
        <w:wordWrap/>
        <w:overflowPunct/>
        <w:topLinePunct w:val="0"/>
        <w:bidi w:val="0"/>
        <w:snapToGrid w:val="0"/>
        <w:spacing w:line="400" w:lineRule="exact"/>
        <w:ind w:lef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、监理人员的要求</w:t>
      </w:r>
    </w:p>
    <w:p w14:paraId="54CE65DF">
      <w:pPr>
        <w:pageBreakBefore w:val="0"/>
        <w:kinsoku/>
        <w:wordWrap/>
        <w:overflowPunct/>
        <w:topLinePunct w:val="0"/>
        <w:bidi w:val="0"/>
        <w:snapToGrid w:val="0"/>
        <w:spacing w:line="4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cs="宋体"/>
          <w:bCs/>
          <w:color w:val="auto"/>
          <w:szCs w:val="21"/>
          <w:highlight w:val="none"/>
        </w:rPr>
        <w:t>▲</w:t>
      </w:r>
      <w:r>
        <w:rPr>
          <w:rFonts w:hint="eastAsia" w:ascii="宋体" w:hAnsi="宋体" w:eastAsia="宋体" w:cs="宋体"/>
          <w:color w:val="auto"/>
          <w:kern w:val="0"/>
          <w:sz w:val="21"/>
          <w:szCs w:val="21"/>
          <w:highlight w:val="none"/>
          <w:lang w:val="zh-CN" w:eastAsia="zh-CN" w:bidi="ar"/>
        </w:rPr>
        <w:t>监理人员到位情况：在本项目上，监理负责人</w:t>
      </w: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zh-CN" w:eastAsia="zh-CN" w:bidi="ar"/>
        </w:rPr>
        <w:t>人要求在项目</w:t>
      </w:r>
      <w:r>
        <w:rPr>
          <w:rFonts w:hint="eastAsia" w:ascii="宋体" w:hAnsi="宋体" w:eastAsia="宋体" w:cs="宋体"/>
          <w:color w:val="auto"/>
          <w:kern w:val="0"/>
          <w:sz w:val="21"/>
          <w:szCs w:val="21"/>
          <w:highlight w:val="none"/>
          <w:lang w:val="en-US" w:eastAsia="zh-CN" w:bidi="ar"/>
        </w:rPr>
        <w:t>施工</w:t>
      </w:r>
      <w:r>
        <w:rPr>
          <w:rFonts w:hint="eastAsia" w:ascii="宋体" w:hAnsi="宋体" w:eastAsia="宋体" w:cs="宋体"/>
          <w:color w:val="auto"/>
          <w:kern w:val="0"/>
          <w:sz w:val="21"/>
          <w:szCs w:val="21"/>
          <w:highlight w:val="none"/>
          <w:lang w:val="zh-CN" w:eastAsia="zh-CN" w:bidi="ar"/>
        </w:rPr>
        <w:t>期间常驻</w:t>
      </w:r>
      <w:r>
        <w:rPr>
          <w:rFonts w:hint="eastAsia" w:ascii="宋体" w:hAnsi="宋体" w:eastAsia="宋体" w:cs="宋体"/>
          <w:color w:val="auto"/>
          <w:kern w:val="0"/>
          <w:sz w:val="21"/>
          <w:szCs w:val="21"/>
          <w:highlight w:val="none"/>
          <w:lang w:val="en-US" w:eastAsia="zh-CN" w:bidi="ar"/>
        </w:rPr>
        <w:t>开化县</w:t>
      </w:r>
      <w:r>
        <w:rPr>
          <w:rFonts w:hint="eastAsia" w:ascii="宋体" w:hAnsi="宋体" w:eastAsia="宋体" w:cs="宋体"/>
          <w:color w:val="auto"/>
          <w:kern w:val="0"/>
          <w:sz w:val="21"/>
          <w:szCs w:val="21"/>
          <w:highlight w:val="none"/>
          <w:lang w:val="zh-CN" w:eastAsia="zh-CN" w:bidi="ar"/>
        </w:rPr>
        <w:t>，全程参与项目监理工作，本项目监理团队（</w:t>
      </w:r>
      <w:r>
        <w:rPr>
          <w:rFonts w:hint="eastAsia" w:ascii="宋体" w:hAnsi="宋体" w:eastAsia="宋体" w:cs="宋体"/>
          <w:color w:val="auto"/>
          <w:kern w:val="0"/>
          <w:sz w:val="21"/>
          <w:szCs w:val="21"/>
          <w:highlight w:val="none"/>
          <w:lang w:val="en-US" w:eastAsia="zh-CN" w:bidi="ar"/>
        </w:rPr>
        <w:t>含</w:t>
      </w:r>
      <w:r>
        <w:rPr>
          <w:rFonts w:hint="eastAsia" w:ascii="宋体" w:hAnsi="宋体" w:eastAsia="宋体" w:cs="宋体"/>
          <w:color w:val="auto"/>
          <w:kern w:val="0"/>
          <w:sz w:val="21"/>
          <w:szCs w:val="21"/>
          <w:highlight w:val="none"/>
          <w:lang w:val="zh-CN" w:eastAsia="zh-CN" w:bidi="ar"/>
        </w:rPr>
        <w:t>监理</w:t>
      </w:r>
      <w:r>
        <w:rPr>
          <w:rFonts w:hint="eastAsia" w:ascii="宋体" w:hAnsi="宋体" w:eastAsia="宋体" w:cs="宋体"/>
          <w:color w:val="auto"/>
          <w:kern w:val="0"/>
          <w:sz w:val="21"/>
          <w:szCs w:val="21"/>
          <w:highlight w:val="none"/>
          <w:lang w:val="en-US" w:eastAsia="zh-CN" w:bidi="ar"/>
        </w:rPr>
        <w:t>负责人</w:t>
      </w:r>
      <w:r>
        <w:rPr>
          <w:rFonts w:hint="eastAsia" w:ascii="宋体" w:hAnsi="宋体" w:eastAsia="宋体" w:cs="宋体"/>
          <w:color w:val="auto"/>
          <w:kern w:val="0"/>
          <w:sz w:val="21"/>
          <w:szCs w:val="21"/>
          <w:highlight w:val="none"/>
          <w:lang w:val="zh-CN" w:eastAsia="zh-CN" w:bidi="ar"/>
        </w:rPr>
        <w:t>）不少于</w:t>
      </w:r>
      <w:r>
        <w:rPr>
          <w:rFonts w:hint="eastAsia" w:ascii="宋体" w:hAnsi="宋体" w:cs="宋体"/>
          <w:color w:val="auto"/>
          <w:kern w:val="0"/>
          <w:sz w:val="21"/>
          <w:szCs w:val="21"/>
          <w:highlight w:val="none"/>
          <w:lang w:val="en-US" w:eastAsia="zh-CN" w:bidi="ar"/>
        </w:rPr>
        <w:t>9</w:t>
      </w:r>
      <w:r>
        <w:rPr>
          <w:rFonts w:hint="eastAsia" w:ascii="宋体" w:hAnsi="宋体" w:eastAsia="宋体" w:cs="宋体"/>
          <w:color w:val="auto"/>
          <w:kern w:val="0"/>
          <w:sz w:val="21"/>
          <w:szCs w:val="21"/>
          <w:highlight w:val="none"/>
          <w:lang w:val="zh-CN" w:eastAsia="zh-CN" w:bidi="ar"/>
        </w:rPr>
        <w:t>人。</w:t>
      </w:r>
    </w:p>
    <w:p w14:paraId="5E954AA7">
      <w:pPr>
        <w:pageBreakBefore w:val="0"/>
        <w:kinsoku/>
        <w:wordWrap/>
        <w:overflowPunct/>
        <w:topLinePunct w:val="0"/>
        <w:bidi w:val="0"/>
        <w:snapToGrid w:val="0"/>
        <w:spacing w:line="400" w:lineRule="exact"/>
        <w:ind w:lef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注：监理人员可由投标人根据施工监理实际进行调剂安排。</w:t>
      </w:r>
    </w:p>
    <w:p w14:paraId="21500EF9">
      <w:pPr>
        <w:pageBreakBefore w:val="0"/>
        <w:kinsoku/>
        <w:wordWrap/>
        <w:overflowPunct/>
        <w:topLinePunct w:val="0"/>
        <w:bidi w:val="0"/>
        <w:snapToGrid w:val="0"/>
        <w:spacing w:line="400" w:lineRule="exact"/>
        <w:ind w:lef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（1）上述要求的监理人员中，监理负责人、监理员等主要人员的人数原则上保持不变，监理人员的人数也应根据施工进展情况作出适当的调整。监理人员的进、退场情况应事先取得采购人的书面同意。</w:t>
      </w:r>
    </w:p>
    <w:p w14:paraId="10F47E94">
      <w:pPr>
        <w:pageBreakBefore w:val="0"/>
        <w:kinsoku/>
        <w:wordWrap/>
        <w:overflowPunct/>
        <w:topLinePunct w:val="0"/>
        <w:bidi w:val="0"/>
        <w:snapToGrid w:val="0"/>
        <w:spacing w:line="400" w:lineRule="exact"/>
        <w:ind w:lef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（2）供应商应派遣投标文件中承诺的监理人员进驻现场，不得随意更换投标文件中承诺的监理负责人、监理人员等主要监理人员。</w:t>
      </w:r>
    </w:p>
    <w:p w14:paraId="56F51FDF">
      <w:pPr>
        <w:pageBreakBefore w:val="0"/>
        <w:kinsoku/>
        <w:wordWrap/>
        <w:overflowPunct/>
        <w:topLinePunct w:val="0"/>
        <w:bidi w:val="0"/>
        <w:snapToGrid w:val="0"/>
        <w:spacing w:line="400" w:lineRule="exact"/>
        <w:ind w:lef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（3）监理负责人、监理员等主要人员须身体健康，工作责任心强。</w:t>
      </w:r>
    </w:p>
    <w:p w14:paraId="631E3B2B">
      <w:pPr>
        <w:pageBreakBefore w:val="0"/>
        <w:kinsoku/>
        <w:wordWrap/>
        <w:overflowPunct/>
        <w:topLinePunct w:val="0"/>
        <w:bidi w:val="0"/>
        <w:snapToGrid w:val="0"/>
        <w:spacing w:line="400" w:lineRule="exact"/>
        <w:ind w:lef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）本项目监理团队须每周及时向采购人汇报监理工作情况。如上级部门或采购人发现施工方存在施工问题，而监理方未及时发现并及时向采购人汇报，导致的后果由监理方承担，且采购人有权对监理方作出处罚。</w:t>
      </w:r>
    </w:p>
    <w:p w14:paraId="695FAF47">
      <w:pPr>
        <w:keepNext w:val="0"/>
        <w:keepLines w:val="0"/>
        <w:pageBreakBefore w:val="0"/>
        <w:kinsoku/>
        <w:wordWrap/>
        <w:overflowPunct/>
        <w:topLinePunct w:val="0"/>
        <w:autoSpaceDE/>
        <w:autoSpaceDN/>
        <w:bidi w:val="0"/>
        <w:adjustRightInd/>
        <w:spacing w:line="420" w:lineRule="exact"/>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）监理工作期间，所有的人员安全责任及赔偿等均由中标人自行承担。</w:t>
      </w:r>
    </w:p>
    <w:p w14:paraId="347011EC">
      <w:pPr>
        <w:spacing w:line="400" w:lineRule="exact"/>
        <w:ind w:firstLine="420" w:firstLineChars="200"/>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4、如因招投标价格下浮等原因造成本项目工程建设费用减少，其减少金额采购单位可能组织剩余资金标段进行施工，中标单位需无条件配合完成该剩余资金标段的所有监理工作。</w:t>
      </w:r>
    </w:p>
    <w:p w14:paraId="5C7B9F19">
      <w:pPr>
        <w:spacing w:line="400" w:lineRule="exact"/>
        <w:rPr>
          <w:rFonts w:hint="default" w:ascii="宋体" w:hAnsi="宋体" w:eastAsia="宋体" w:cs="宋体"/>
          <w:b/>
          <w:bCs/>
          <w:color w:val="auto"/>
          <w:kern w:val="0"/>
          <w:szCs w:val="21"/>
          <w:highlight w:val="none"/>
          <w:lang w:val="en-US" w:eastAsia="zh-CN"/>
        </w:rPr>
      </w:pPr>
      <w:r>
        <w:rPr>
          <w:rFonts w:hint="eastAsia" w:ascii="宋体" w:hAnsi="宋体" w:cs="宋体"/>
          <w:b/>
          <w:bCs/>
          <w:color w:val="auto"/>
          <w:kern w:val="0"/>
          <w:szCs w:val="21"/>
          <w:highlight w:val="none"/>
          <w:lang w:val="en-US" w:eastAsia="zh-CN"/>
        </w:rPr>
        <w:t>五</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服务</w:t>
      </w:r>
      <w:r>
        <w:rPr>
          <w:rFonts w:hint="eastAsia" w:ascii="宋体" w:hAnsi="宋体" w:cs="宋体"/>
          <w:b/>
          <w:bCs/>
          <w:color w:val="auto"/>
          <w:kern w:val="0"/>
          <w:szCs w:val="21"/>
          <w:highlight w:val="none"/>
        </w:rPr>
        <w:t>地点</w:t>
      </w:r>
      <w:r>
        <w:rPr>
          <w:rFonts w:hint="eastAsia" w:ascii="宋体" w:hAnsi="宋体" w:cs="宋体"/>
          <w:b/>
          <w:bCs/>
          <w:color w:val="auto"/>
          <w:kern w:val="0"/>
          <w:szCs w:val="21"/>
          <w:highlight w:val="none"/>
          <w:lang w:eastAsia="zh-CN"/>
        </w:rPr>
        <w:t>：</w:t>
      </w:r>
      <w:r>
        <w:rPr>
          <w:rFonts w:hint="eastAsia" w:ascii="宋体" w:hAnsi="宋体" w:cs="宋体"/>
          <w:b w:val="0"/>
          <w:bCs w:val="0"/>
          <w:color w:val="auto"/>
          <w:kern w:val="0"/>
          <w:szCs w:val="21"/>
          <w:highlight w:val="none"/>
          <w:lang w:val="en-US" w:eastAsia="zh-CN"/>
        </w:rPr>
        <w:t>开化县范围内。</w:t>
      </w:r>
    </w:p>
    <w:p w14:paraId="32189174">
      <w:pPr>
        <w:spacing w:line="400" w:lineRule="exac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lang w:val="en-US" w:eastAsia="zh-CN"/>
        </w:rPr>
        <w:t>六</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rPr>
        <w:t>工期（服务期限）要求</w:t>
      </w:r>
    </w:p>
    <w:p w14:paraId="5D44AB0E">
      <w:pPr>
        <w:pageBreakBefore w:val="0"/>
        <w:numPr>
          <w:ilvl w:val="0"/>
          <w:numId w:val="0"/>
        </w:numPr>
        <w:kinsoku/>
        <w:wordWrap/>
        <w:overflowPunct/>
        <w:topLinePunct w:val="0"/>
        <w:bidi w:val="0"/>
        <w:spacing w:line="400" w:lineRule="exact"/>
        <w:ind w:left="0" w:leftChars="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从签订合同之日起至工程竣工验收合格且工程结算完毕为止</w:t>
      </w:r>
      <w:r>
        <w:rPr>
          <w:rFonts w:hint="eastAsia" w:ascii="宋体" w:hAnsi="宋体" w:cs="宋体"/>
          <w:color w:val="auto"/>
          <w:szCs w:val="21"/>
          <w:highlight w:val="none"/>
          <w:lang w:val="en-US" w:eastAsia="zh-CN"/>
        </w:rPr>
        <w:t>。</w:t>
      </w:r>
    </w:p>
    <w:p w14:paraId="4AFC203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lang w:val="en-US" w:eastAsia="zh-CN"/>
        </w:rPr>
        <w:t>、联合体投标</w:t>
      </w:r>
    </w:p>
    <w:p w14:paraId="11C8C46F">
      <w:pPr>
        <w:keepNext w:val="0"/>
        <w:keepLines w:val="0"/>
        <w:pageBreakBefore w:val="0"/>
        <w:widowControl w:val="0"/>
        <w:kinsoku/>
        <w:wordWrap/>
        <w:overflowPunct/>
        <w:topLinePunct w:val="0"/>
        <w:autoSpaceDE/>
        <w:autoSpaceDN/>
        <w:bidi w:val="0"/>
        <w:adjustRightInd/>
        <w:snapToGrid w:val="0"/>
        <w:spacing w:line="420" w:lineRule="exact"/>
        <w:ind w:firstLine="437"/>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本项目接受联合体投标。</w:t>
      </w:r>
      <w:r>
        <w:rPr>
          <w:rFonts w:hint="eastAsia" w:ascii="宋体" w:hAnsi="宋体" w:cs="宋体"/>
          <w:color w:val="auto"/>
          <w:sz w:val="21"/>
          <w:szCs w:val="21"/>
          <w:highlight w:val="none"/>
          <w:lang w:val="en-US" w:eastAsia="zh-CN"/>
        </w:rPr>
        <w:t>联合体所有成员数量不得超过2家</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联合体牵头人须为建设行政主管部门核发有效的工程监理综合资质。联合体各方不得再以自己名义单独或参与其他联合体在本次招标中投标，否则，相关投标均视为无效投标。联合体投标的由联合体牵头单位负责投标事宜。</w:t>
      </w:r>
    </w:p>
    <w:p w14:paraId="01B57452">
      <w:pPr>
        <w:keepNext w:val="0"/>
        <w:keepLines w:val="0"/>
        <w:pageBreakBefore w:val="0"/>
        <w:widowControl w:val="0"/>
        <w:kinsoku/>
        <w:wordWrap/>
        <w:overflowPunct/>
        <w:topLinePunct w:val="0"/>
        <w:autoSpaceDE/>
        <w:autoSpaceDN/>
        <w:bidi w:val="0"/>
        <w:adjustRightInd/>
        <w:snapToGrid w:val="0"/>
        <w:spacing w:line="420" w:lineRule="exact"/>
        <w:ind w:firstLine="437"/>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如承包人为联合体投标的，费用由发包人支付给牵头人，并由牵头人开具发票。合同履行过程中，承包人产生的违约金等款项，发包人有权在应付款项中直接扣除。若牵头人未按约定及时将进度款支付至联合体成员单位，则发包人有权暂缓后续进度款的支付。</w:t>
      </w:r>
    </w:p>
    <w:p w14:paraId="08107C73">
      <w:pPr>
        <w:spacing w:line="400" w:lineRule="exact"/>
        <w:jc w:val="center"/>
        <w:rPr>
          <w:rFonts w:hint="eastAsia" w:ascii="宋体" w:hAnsi="宋体" w:eastAsia="宋体" w:cs="宋体"/>
          <w:color w:val="auto"/>
          <w:sz w:val="21"/>
          <w:szCs w:val="21"/>
          <w:highlight w:val="none"/>
          <w:lang w:val="en-US" w:eastAsia="zh-CN"/>
        </w:rPr>
      </w:pPr>
    </w:p>
    <w:p w14:paraId="1D07C7BB">
      <w:pPr>
        <w:spacing w:line="400" w:lineRule="exact"/>
        <w:jc w:val="center"/>
        <w:rPr>
          <w:rFonts w:hint="eastAsia" w:ascii="宋体" w:hAnsi="宋体" w:eastAsia="宋体" w:cs="宋体"/>
          <w:color w:val="auto"/>
          <w:sz w:val="21"/>
          <w:szCs w:val="21"/>
          <w:highlight w:val="none"/>
          <w:lang w:val="en-US" w:eastAsia="zh-CN"/>
        </w:rPr>
      </w:pPr>
    </w:p>
    <w:p w14:paraId="2F8A85C2">
      <w:pPr>
        <w:spacing w:line="400" w:lineRule="exact"/>
        <w:jc w:val="center"/>
        <w:rPr>
          <w:rFonts w:hint="eastAsia" w:ascii="宋体" w:hAnsi="宋体" w:eastAsia="宋体" w:cs="宋体"/>
          <w:color w:val="auto"/>
          <w:sz w:val="21"/>
          <w:szCs w:val="21"/>
          <w:highlight w:val="none"/>
          <w:lang w:val="en-US" w:eastAsia="zh-CN"/>
        </w:rPr>
      </w:pPr>
    </w:p>
    <w:p w14:paraId="0BE8126D">
      <w:pPr>
        <w:spacing w:line="400" w:lineRule="exact"/>
        <w:jc w:val="center"/>
        <w:rPr>
          <w:rFonts w:hint="eastAsia" w:ascii="宋体" w:hAnsi="宋体" w:eastAsia="宋体" w:cs="宋体"/>
          <w:color w:val="auto"/>
          <w:sz w:val="21"/>
          <w:szCs w:val="21"/>
          <w:highlight w:val="none"/>
          <w:lang w:val="en-US" w:eastAsia="zh-CN"/>
        </w:rPr>
      </w:pPr>
    </w:p>
    <w:p w14:paraId="13EB8D9F">
      <w:pPr>
        <w:spacing w:line="400" w:lineRule="exact"/>
        <w:jc w:val="center"/>
        <w:rPr>
          <w:rFonts w:hint="eastAsia" w:ascii="宋体" w:hAnsi="宋体" w:eastAsia="宋体" w:cs="宋体"/>
          <w:color w:val="auto"/>
          <w:sz w:val="21"/>
          <w:szCs w:val="21"/>
          <w:highlight w:val="none"/>
          <w:lang w:val="en-US" w:eastAsia="zh-CN"/>
        </w:rPr>
      </w:pPr>
    </w:p>
    <w:p w14:paraId="0D1AC086">
      <w:pPr>
        <w:spacing w:line="400" w:lineRule="exact"/>
        <w:jc w:val="center"/>
        <w:rPr>
          <w:rFonts w:hint="eastAsia" w:ascii="宋体" w:hAnsi="宋体" w:eastAsia="宋体" w:cs="宋体"/>
          <w:color w:val="auto"/>
          <w:sz w:val="21"/>
          <w:szCs w:val="21"/>
          <w:highlight w:val="none"/>
          <w:lang w:val="en-US" w:eastAsia="zh-CN"/>
        </w:rPr>
      </w:pPr>
    </w:p>
    <w:p w14:paraId="6E3D4B42">
      <w:pPr>
        <w:spacing w:line="400" w:lineRule="exact"/>
        <w:jc w:val="center"/>
        <w:rPr>
          <w:rFonts w:hint="eastAsia" w:ascii="宋体" w:hAnsi="宋体" w:eastAsia="宋体" w:cs="宋体"/>
          <w:color w:val="auto"/>
          <w:sz w:val="21"/>
          <w:szCs w:val="21"/>
          <w:highlight w:val="none"/>
          <w:lang w:val="en-US" w:eastAsia="zh-CN"/>
        </w:rPr>
      </w:pPr>
    </w:p>
    <w:p w14:paraId="47E9B4C5">
      <w:pPr>
        <w:spacing w:line="400" w:lineRule="exact"/>
        <w:jc w:val="center"/>
        <w:rPr>
          <w:rFonts w:hint="eastAsia" w:ascii="宋体" w:hAnsi="宋体" w:eastAsia="宋体" w:cs="宋体"/>
          <w:color w:val="auto"/>
          <w:sz w:val="21"/>
          <w:szCs w:val="21"/>
          <w:highlight w:val="none"/>
          <w:lang w:val="en-US" w:eastAsia="zh-CN"/>
        </w:rPr>
      </w:pPr>
    </w:p>
    <w:p w14:paraId="1F60108C">
      <w:pPr>
        <w:spacing w:line="400" w:lineRule="exact"/>
        <w:jc w:val="center"/>
        <w:rPr>
          <w:rFonts w:hint="eastAsia" w:ascii="宋体" w:hAnsi="宋体" w:eastAsia="宋体" w:cs="宋体"/>
          <w:color w:val="auto"/>
          <w:sz w:val="21"/>
          <w:szCs w:val="21"/>
          <w:highlight w:val="none"/>
          <w:lang w:val="en-US" w:eastAsia="zh-CN"/>
        </w:rPr>
      </w:pPr>
    </w:p>
    <w:p w14:paraId="741C0744">
      <w:pPr>
        <w:spacing w:line="400" w:lineRule="exact"/>
        <w:rPr>
          <w:rFonts w:hint="eastAsia" w:ascii="宋体" w:hAnsi="宋体" w:cs="宋体"/>
          <w:b/>
          <w:bCs/>
          <w:color w:val="auto"/>
          <w:kern w:val="0"/>
          <w:szCs w:val="21"/>
          <w:highlight w:val="none"/>
          <w:lang w:val="en-US" w:eastAsia="zh-CN"/>
        </w:rPr>
      </w:pPr>
    </w:p>
    <w:p w14:paraId="3CD1DD5E">
      <w:pPr>
        <w:spacing w:line="400" w:lineRule="exact"/>
        <w:rPr>
          <w:rFonts w:hint="eastAsia" w:ascii="宋体" w:hAnsi="宋体" w:cs="宋体"/>
          <w:b/>
          <w:bCs/>
          <w:color w:val="auto"/>
          <w:kern w:val="0"/>
          <w:szCs w:val="21"/>
          <w:highlight w:val="none"/>
          <w:lang w:val="en-US" w:eastAsia="zh-CN"/>
        </w:rPr>
      </w:pPr>
    </w:p>
    <w:p w14:paraId="70E8D266">
      <w:pPr>
        <w:spacing w:line="400" w:lineRule="exact"/>
        <w:rPr>
          <w:rFonts w:hint="eastAsia" w:ascii="宋体" w:hAnsi="宋体" w:cs="宋体"/>
          <w:b/>
          <w:bCs/>
          <w:color w:val="auto"/>
          <w:kern w:val="0"/>
          <w:szCs w:val="21"/>
          <w:highlight w:val="none"/>
          <w:lang w:val="en-US" w:eastAsia="zh-CN"/>
        </w:rPr>
      </w:pPr>
    </w:p>
    <w:p w14:paraId="401DFFAA">
      <w:pPr>
        <w:spacing w:line="400" w:lineRule="exact"/>
        <w:rPr>
          <w:rFonts w:hint="eastAsia" w:ascii="宋体" w:hAnsi="宋体" w:cs="宋体"/>
          <w:b/>
          <w:bCs/>
          <w:color w:val="auto"/>
          <w:kern w:val="0"/>
          <w:szCs w:val="21"/>
          <w:highlight w:val="none"/>
          <w:lang w:val="en-US" w:eastAsia="zh-CN"/>
        </w:rPr>
      </w:pPr>
    </w:p>
    <w:p w14:paraId="4D19689E">
      <w:pPr>
        <w:spacing w:line="400" w:lineRule="exact"/>
        <w:rPr>
          <w:rFonts w:hint="eastAsia" w:ascii="宋体" w:hAnsi="宋体" w:cs="宋体"/>
          <w:b/>
          <w:bCs/>
          <w:color w:val="auto"/>
          <w:kern w:val="0"/>
          <w:szCs w:val="21"/>
          <w:highlight w:val="none"/>
          <w:lang w:val="en-US" w:eastAsia="zh-CN"/>
        </w:rPr>
      </w:pPr>
    </w:p>
    <w:p w14:paraId="305EC5F1">
      <w:pPr>
        <w:spacing w:line="400" w:lineRule="exact"/>
        <w:rPr>
          <w:rFonts w:hint="eastAsia" w:ascii="宋体" w:hAnsi="宋体" w:cs="宋体"/>
          <w:b/>
          <w:bCs/>
          <w:color w:val="auto"/>
          <w:kern w:val="0"/>
          <w:szCs w:val="21"/>
          <w:highlight w:val="none"/>
          <w:lang w:val="en-US" w:eastAsia="zh-CN"/>
        </w:rPr>
      </w:pPr>
    </w:p>
    <w:p w14:paraId="1DB7491B">
      <w:pPr>
        <w:spacing w:line="400" w:lineRule="exact"/>
        <w:rPr>
          <w:rFonts w:hint="eastAsia" w:ascii="宋体" w:hAnsi="宋体" w:cs="宋体"/>
          <w:b/>
          <w:bCs/>
          <w:color w:val="auto"/>
          <w:kern w:val="0"/>
          <w:szCs w:val="21"/>
          <w:highlight w:val="none"/>
          <w:lang w:val="en-US" w:eastAsia="zh-CN"/>
        </w:rPr>
      </w:pPr>
    </w:p>
    <w:p w14:paraId="20039491">
      <w:pPr>
        <w:spacing w:line="400" w:lineRule="exact"/>
        <w:rPr>
          <w:rFonts w:hint="eastAsia" w:ascii="宋体" w:hAnsi="宋体" w:cs="宋体"/>
          <w:b/>
          <w:bCs/>
          <w:color w:val="auto"/>
          <w:kern w:val="0"/>
          <w:szCs w:val="21"/>
          <w:highlight w:val="none"/>
          <w:lang w:val="en-US" w:eastAsia="zh-CN"/>
        </w:rPr>
      </w:pPr>
    </w:p>
    <w:p w14:paraId="03487E5F">
      <w:pPr>
        <w:spacing w:line="400" w:lineRule="exact"/>
        <w:rPr>
          <w:rFonts w:hint="eastAsia" w:ascii="宋体" w:hAnsi="宋体" w:cs="宋体"/>
          <w:b/>
          <w:bCs/>
          <w:color w:val="auto"/>
          <w:kern w:val="0"/>
          <w:szCs w:val="21"/>
          <w:highlight w:val="none"/>
          <w:lang w:val="en-US" w:eastAsia="zh-CN"/>
        </w:rPr>
      </w:pPr>
    </w:p>
    <w:p w14:paraId="272F2827">
      <w:pPr>
        <w:spacing w:line="400" w:lineRule="exact"/>
        <w:rPr>
          <w:rFonts w:hint="eastAsia" w:ascii="宋体" w:hAnsi="宋体" w:cs="宋体"/>
          <w:b/>
          <w:bCs/>
          <w:color w:val="auto"/>
          <w:kern w:val="0"/>
          <w:szCs w:val="21"/>
          <w:highlight w:val="none"/>
          <w:lang w:val="en-US" w:eastAsia="zh-CN"/>
        </w:rPr>
      </w:pPr>
    </w:p>
    <w:p w14:paraId="0F2754DA">
      <w:pPr>
        <w:spacing w:line="400" w:lineRule="exact"/>
        <w:rPr>
          <w:rFonts w:hint="eastAsia" w:ascii="宋体" w:hAnsi="宋体" w:cs="宋体"/>
          <w:b/>
          <w:bCs/>
          <w:color w:val="auto"/>
          <w:kern w:val="0"/>
          <w:szCs w:val="21"/>
          <w:highlight w:val="none"/>
          <w:lang w:val="en-US" w:eastAsia="zh-CN"/>
        </w:rPr>
      </w:pPr>
    </w:p>
    <w:p w14:paraId="00D97EF5">
      <w:pPr>
        <w:spacing w:line="400" w:lineRule="exact"/>
        <w:rPr>
          <w:rFonts w:hint="eastAsia" w:ascii="宋体" w:hAnsi="宋体" w:cs="宋体"/>
          <w:b/>
          <w:bCs/>
          <w:color w:val="auto"/>
          <w:kern w:val="0"/>
          <w:szCs w:val="21"/>
          <w:highlight w:val="none"/>
          <w:lang w:val="en-US" w:eastAsia="zh-CN"/>
        </w:rPr>
      </w:pPr>
    </w:p>
    <w:p w14:paraId="6C479117">
      <w:pPr>
        <w:spacing w:line="400" w:lineRule="exact"/>
        <w:rPr>
          <w:rFonts w:hint="eastAsia" w:ascii="宋体" w:hAnsi="宋体" w:cs="宋体"/>
          <w:b/>
          <w:bCs/>
          <w:color w:val="auto"/>
          <w:kern w:val="0"/>
          <w:szCs w:val="21"/>
          <w:highlight w:val="none"/>
          <w:lang w:val="en-US" w:eastAsia="zh-CN"/>
        </w:rPr>
      </w:pPr>
    </w:p>
    <w:p w14:paraId="0F53DCBB">
      <w:pPr>
        <w:spacing w:line="400" w:lineRule="exact"/>
        <w:rPr>
          <w:rFonts w:hint="eastAsia" w:ascii="宋体" w:hAnsi="宋体" w:cs="宋体"/>
          <w:b/>
          <w:bCs/>
          <w:color w:val="auto"/>
          <w:kern w:val="0"/>
          <w:szCs w:val="21"/>
          <w:highlight w:val="none"/>
          <w:lang w:val="en-US" w:eastAsia="zh-CN"/>
        </w:rPr>
      </w:pPr>
    </w:p>
    <w:p w14:paraId="2015D51E">
      <w:pPr>
        <w:spacing w:line="400" w:lineRule="exact"/>
        <w:rPr>
          <w:rFonts w:hint="default" w:ascii="宋体" w:hAnsi="宋体" w:cs="宋体"/>
          <w:b/>
          <w:bCs/>
          <w:color w:val="auto"/>
          <w:kern w:val="0"/>
          <w:szCs w:val="21"/>
          <w:highlight w:val="none"/>
          <w:lang w:val="en-US" w:eastAsia="zh-CN"/>
        </w:rPr>
      </w:pPr>
      <w:r>
        <w:rPr>
          <w:rFonts w:hint="eastAsia" w:ascii="宋体" w:hAnsi="宋体" w:cs="宋体"/>
          <w:b/>
          <w:bCs/>
          <w:color w:val="auto"/>
          <w:kern w:val="0"/>
          <w:szCs w:val="21"/>
          <w:highlight w:val="none"/>
          <w:lang w:val="en-US" w:eastAsia="zh-CN"/>
        </w:rPr>
        <w:t>标项2：</w:t>
      </w:r>
    </w:p>
    <w:p w14:paraId="07E75180">
      <w:pPr>
        <w:spacing w:line="400" w:lineRule="exact"/>
        <w:rPr>
          <w:rFonts w:hint="default" w:ascii="宋体" w:hAnsi="宋体" w:eastAsia="宋体" w:cs="宋体"/>
          <w:b/>
          <w:bCs/>
          <w:color w:val="auto"/>
          <w:kern w:val="0"/>
          <w:szCs w:val="21"/>
          <w:highlight w:val="none"/>
          <w:lang w:val="en-US" w:eastAsia="zh-CN"/>
        </w:rPr>
      </w:pPr>
      <w:r>
        <w:rPr>
          <w:rFonts w:hint="eastAsia" w:ascii="宋体" w:hAnsi="宋体" w:cs="宋体"/>
          <w:b/>
          <w:bCs/>
          <w:color w:val="auto"/>
          <w:kern w:val="0"/>
          <w:szCs w:val="21"/>
          <w:highlight w:val="none"/>
          <w:lang w:val="en-US" w:eastAsia="zh-CN"/>
        </w:rPr>
        <w:t>一</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项目概况</w:t>
      </w:r>
    </w:p>
    <w:p w14:paraId="6E628660">
      <w:pPr>
        <w:pStyle w:val="18"/>
        <w:widowControl/>
        <w:shd w:val="clear" w:color="auto" w:fill="FFFFFF"/>
        <w:spacing w:before="0" w:beforeLines="0" w:beforeAutospacing="0" w:after="0" w:afterLines="0" w:afterAutospacing="0" w:line="400" w:lineRule="exact"/>
        <w:ind w:left="0" w:right="0" w:firstLine="420" w:firstLineChars="200"/>
        <w:jc w:val="left"/>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完成</w:t>
      </w:r>
      <w:r>
        <w:rPr>
          <w:rFonts w:hint="eastAsia" w:ascii="宋体" w:hAnsi="宋体" w:cs="宋体"/>
          <w:color w:val="auto"/>
          <w:kern w:val="0"/>
          <w:sz w:val="21"/>
          <w:szCs w:val="21"/>
          <w:highlight w:val="none"/>
          <w:lang w:val="en-US" w:eastAsia="zh-CN" w:bidi="ar"/>
        </w:rPr>
        <w:t>开化县怀玉山区水土保持与生态修复项目监理</w:t>
      </w:r>
      <w:r>
        <w:rPr>
          <w:rFonts w:hint="eastAsia" w:ascii="宋体" w:hAnsi="宋体" w:eastAsia="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val="en-US" w:eastAsia="zh-CN" w:bidi="ar"/>
        </w:rPr>
        <w:t>其中</w:t>
      </w:r>
      <w:r>
        <w:rPr>
          <w:rFonts w:hint="eastAsia" w:ascii="宋体" w:hAnsi="宋体" w:eastAsia="宋体" w:cs="宋体"/>
          <w:color w:val="auto"/>
          <w:kern w:val="0"/>
          <w:sz w:val="21"/>
          <w:szCs w:val="21"/>
          <w:highlight w:val="none"/>
          <w:lang w:val="en-US" w:eastAsia="zh-CN" w:bidi="ar"/>
        </w:rPr>
        <w:t>项目建设总规模120850亩，其中退化林修复面积111830亩，优化林分结构，改善林分退化状况，增强森林御灾能力，促进森林生态系统稳定性</w:t>
      </w: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人工造林面积9020亩，提高森林数量和质量，增强森林储水涵源、保土固壤、增汇减排、净化空气等生态系统服务效能。构建多层、多龄林相，促进林分正向演替。开展项目建设，可以筑牢浙江西部生态屏障，同时，促使开化成为全国生态修复与绿色发展的典范区域，让人民群众充分享受到优质生态环境带来的福祉，促进人与自然和谐共生、永续发展。</w:t>
      </w:r>
    </w:p>
    <w:p w14:paraId="2D453DE5">
      <w:pPr>
        <w:spacing w:line="400" w:lineRule="exact"/>
        <w:outlineLvl w:val="9"/>
        <w:rPr>
          <w:rFonts w:hint="eastAsia" w:ascii="宋体" w:hAnsi="宋体" w:cs="宋体"/>
          <w:b/>
          <w:bCs/>
          <w:color w:val="auto"/>
          <w:kern w:val="0"/>
          <w:szCs w:val="21"/>
          <w:highlight w:val="none"/>
        </w:rPr>
      </w:pPr>
      <w:r>
        <w:rPr>
          <w:rFonts w:hint="eastAsia" w:ascii="宋体" w:hAnsi="宋体" w:cs="宋体"/>
          <w:b/>
          <w:bCs/>
          <w:color w:val="auto"/>
          <w:kern w:val="0"/>
          <w:szCs w:val="21"/>
          <w:highlight w:val="none"/>
          <w:lang w:val="en-US" w:eastAsia="zh-CN"/>
        </w:rPr>
        <w:t>二、项目</w:t>
      </w:r>
      <w:r>
        <w:rPr>
          <w:rFonts w:hint="eastAsia" w:ascii="宋体" w:hAnsi="宋体" w:cs="宋体"/>
          <w:b/>
          <w:bCs/>
          <w:color w:val="auto"/>
          <w:kern w:val="0"/>
          <w:szCs w:val="21"/>
          <w:highlight w:val="none"/>
        </w:rPr>
        <w:t>规模</w:t>
      </w:r>
    </w:p>
    <w:p w14:paraId="44C0E1D2">
      <w:pPr>
        <w:pStyle w:val="18"/>
        <w:widowControl/>
        <w:shd w:val="clear" w:color="auto" w:fill="FFFFFF"/>
        <w:spacing w:before="0" w:beforeLines="0" w:beforeAutospacing="0" w:after="0" w:afterLines="0" w:afterAutospacing="0" w:line="400" w:lineRule="exact"/>
        <w:ind w:left="0" w:right="0" w:firstLine="420" w:firstLineChars="200"/>
        <w:jc w:val="left"/>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项目总规模120850亩，主要包括退化林修复、人工造林等。根据各地块林分特征对应相关技术标准，确定退化林修复面积111830亩，具体包括采伐修复补植39900亩，采伐修复不补植62950亩及更替修复8980亩</w:t>
      </w: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人工造林面积9020亩。</w:t>
      </w:r>
    </w:p>
    <w:p w14:paraId="7C0DB4A9">
      <w:pPr>
        <w:pStyle w:val="18"/>
        <w:widowControl/>
        <w:shd w:val="clear" w:color="auto" w:fill="FFFFFF"/>
        <w:spacing w:before="0" w:beforeLines="0" w:beforeAutospacing="0" w:after="0" w:afterLines="0" w:afterAutospacing="0" w:line="400" w:lineRule="exact"/>
        <w:ind w:left="0" w:right="0" w:firstLine="420" w:firstLineChars="200"/>
        <w:jc w:val="left"/>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项目总投资</w:t>
      </w:r>
      <w:r>
        <w:rPr>
          <w:rFonts w:hint="default" w:ascii="宋体" w:hAnsi="宋体" w:eastAsia="宋体" w:cs="宋体"/>
          <w:color w:val="auto"/>
          <w:kern w:val="0"/>
          <w:sz w:val="21"/>
          <w:szCs w:val="21"/>
          <w:highlight w:val="none"/>
          <w:lang w:val="en-US" w:eastAsia="zh-CN" w:bidi="ar"/>
        </w:rPr>
        <w:t>17160.70万元，其中工程建设费</w:t>
      </w:r>
      <w:r>
        <w:rPr>
          <w:rFonts w:hint="eastAsia" w:ascii="宋体" w:hAnsi="宋体" w:eastAsia="宋体" w:cs="宋体"/>
          <w:color w:val="auto"/>
          <w:kern w:val="0"/>
          <w:sz w:val="21"/>
          <w:szCs w:val="21"/>
          <w:highlight w:val="none"/>
          <w:lang w:val="en-US" w:eastAsia="zh-CN" w:bidi="ar"/>
        </w:rPr>
        <w:t>用</w:t>
      </w:r>
      <w:r>
        <w:rPr>
          <w:rFonts w:hint="default" w:ascii="宋体" w:hAnsi="宋体" w:eastAsia="宋体" w:cs="宋体"/>
          <w:color w:val="auto"/>
          <w:kern w:val="0"/>
          <w:sz w:val="21"/>
          <w:szCs w:val="21"/>
          <w:highlight w:val="none"/>
          <w:lang w:val="en-US" w:eastAsia="zh-CN" w:bidi="ar"/>
        </w:rPr>
        <w:t>14848.38万元</w:t>
      </w:r>
      <w:r>
        <w:rPr>
          <w:rFonts w:hint="eastAsia" w:ascii="宋体" w:hAnsi="宋体" w:eastAsia="宋体" w:cs="宋体"/>
          <w:color w:val="auto"/>
          <w:kern w:val="0"/>
          <w:sz w:val="21"/>
          <w:szCs w:val="21"/>
          <w:highlight w:val="none"/>
          <w:lang w:val="en-US" w:eastAsia="zh-CN" w:bidi="ar"/>
        </w:rPr>
        <w:t>。工程建设费用按保护与修复类型分：退化林修复投资</w:t>
      </w:r>
      <w:r>
        <w:rPr>
          <w:rFonts w:hint="default" w:ascii="宋体" w:hAnsi="宋体" w:eastAsia="宋体" w:cs="宋体"/>
          <w:color w:val="auto"/>
          <w:kern w:val="0"/>
          <w:sz w:val="21"/>
          <w:szCs w:val="21"/>
          <w:highlight w:val="none"/>
          <w:lang w:val="en-US" w:eastAsia="zh-CN" w:bidi="ar"/>
        </w:rPr>
        <w:t>12918.10万元，占工程建设费用的87.00%；人工造林投资1930.28万元，占13.00%。</w:t>
      </w:r>
    </w:p>
    <w:p w14:paraId="06E2B387">
      <w:pPr>
        <w:pStyle w:val="18"/>
        <w:widowControl/>
        <w:numPr>
          <w:ilvl w:val="0"/>
          <w:numId w:val="0"/>
        </w:numPr>
        <w:shd w:val="clear" w:color="auto" w:fill="FFFFFF"/>
        <w:spacing w:before="0" w:beforeLines="0" w:beforeAutospacing="0" w:after="0" w:afterLines="0" w:afterAutospacing="0" w:line="400" w:lineRule="exact"/>
        <w:ind w:right="0" w:rightChars="0"/>
        <w:jc w:val="left"/>
        <w:outlineLvl w:val="9"/>
        <w:rPr>
          <w:rFonts w:hint="eastAsia" w:ascii="宋体" w:hAnsi="宋体" w:cs="宋体"/>
          <w:b/>
          <w:bCs/>
          <w:color w:val="auto"/>
          <w:kern w:val="0"/>
          <w:sz w:val="21"/>
          <w:szCs w:val="21"/>
          <w:lang w:val="en-US" w:eastAsia="zh-CN" w:bidi="ar"/>
        </w:rPr>
      </w:pPr>
      <w:r>
        <w:rPr>
          <w:rFonts w:hint="eastAsia" w:ascii="宋体" w:hAnsi="宋体" w:cs="宋体"/>
          <w:b/>
          <w:bCs/>
          <w:color w:val="auto"/>
          <w:kern w:val="0"/>
          <w:sz w:val="21"/>
          <w:szCs w:val="21"/>
          <w:lang w:val="en-US" w:eastAsia="zh-CN" w:bidi="ar"/>
        </w:rPr>
        <w:t>三、服务范围</w:t>
      </w:r>
    </w:p>
    <w:tbl>
      <w:tblPr>
        <w:tblStyle w:val="22"/>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75"/>
        <w:gridCol w:w="3370"/>
        <w:gridCol w:w="3340"/>
        <w:gridCol w:w="1840"/>
      </w:tblGrid>
      <w:tr w14:paraId="12AED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rPr>
        <w:tc>
          <w:tcPr>
            <w:tcW w:w="1075" w:type="dxa"/>
            <w:tcBorders>
              <w:top w:val="single" w:color="auto" w:sz="4" w:space="0"/>
              <w:left w:val="single" w:color="auto" w:sz="4" w:space="0"/>
              <w:bottom w:val="single" w:color="auto" w:sz="4" w:space="0"/>
              <w:right w:val="single" w:color="auto" w:sz="4" w:space="0"/>
            </w:tcBorders>
            <w:noWrap w:val="0"/>
            <w:vAlign w:val="center"/>
          </w:tcPr>
          <w:p w14:paraId="75CEEF1E">
            <w:pPr>
              <w:jc w:val="center"/>
              <w:outlineLvl w:val="9"/>
              <w:rPr>
                <w:rFonts w:hint="eastAsia" w:ascii="宋体" w:hAnsi="宋体" w:cs="宋体"/>
                <w:color w:val="auto"/>
                <w:szCs w:val="21"/>
                <w:highlight w:val="none"/>
              </w:rPr>
            </w:pPr>
            <w:r>
              <w:rPr>
                <w:rFonts w:hint="eastAsia" w:ascii="宋体" w:hAnsi="宋体" w:cs="宋体"/>
                <w:color w:val="auto"/>
                <w:szCs w:val="21"/>
                <w:highlight w:val="none"/>
              </w:rPr>
              <w:t>标项序号</w:t>
            </w:r>
          </w:p>
        </w:tc>
        <w:tc>
          <w:tcPr>
            <w:tcW w:w="3370" w:type="dxa"/>
            <w:tcBorders>
              <w:top w:val="single" w:color="auto" w:sz="4" w:space="0"/>
              <w:left w:val="single" w:color="auto" w:sz="4" w:space="0"/>
              <w:bottom w:val="single" w:color="auto" w:sz="4" w:space="0"/>
              <w:right w:val="single" w:color="auto" w:sz="4" w:space="0"/>
            </w:tcBorders>
            <w:noWrap w:val="0"/>
            <w:vAlign w:val="center"/>
          </w:tcPr>
          <w:p w14:paraId="635FB1E3">
            <w:pPr>
              <w:jc w:val="center"/>
              <w:outlineLvl w:val="9"/>
              <w:rPr>
                <w:rFonts w:hint="eastAsia" w:ascii="宋体" w:hAnsi="宋体" w:cs="宋体"/>
                <w:color w:val="auto"/>
                <w:szCs w:val="21"/>
                <w:highlight w:val="none"/>
              </w:rPr>
            </w:pPr>
            <w:r>
              <w:rPr>
                <w:rFonts w:hint="eastAsia" w:ascii="宋体" w:hAnsi="宋体" w:cs="宋体"/>
                <w:color w:val="auto"/>
                <w:szCs w:val="21"/>
                <w:highlight w:val="none"/>
              </w:rPr>
              <w:t>标项内容</w:t>
            </w:r>
          </w:p>
        </w:tc>
        <w:tc>
          <w:tcPr>
            <w:tcW w:w="3340" w:type="dxa"/>
            <w:tcBorders>
              <w:top w:val="single" w:color="auto" w:sz="4" w:space="0"/>
              <w:left w:val="single" w:color="auto" w:sz="4" w:space="0"/>
              <w:bottom w:val="single" w:color="auto" w:sz="4" w:space="0"/>
              <w:right w:val="single" w:color="auto" w:sz="4" w:space="0"/>
            </w:tcBorders>
            <w:noWrap w:val="0"/>
            <w:vAlign w:val="center"/>
          </w:tcPr>
          <w:p w14:paraId="473BAD98">
            <w:pPr>
              <w:jc w:val="center"/>
              <w:outlineLvl w:val="9"/>
              <w:rPr>
                <w:rFonts w:hint="default" w:ascii="宋体" w:hAnsi="宋体" w:eastAsia="宋体" w:cs="宋体"/>
                <w:color w:val="auto"/>
                <w:szCs w:val="21"/>
                <w:highlight w:val="none"/>
                <w:lang w:val="en-US" w:eastAsia="zh-CN"/>
              </w:rPr>
            </w:pPr>
            <w:r>
              <w:rPr>
                <w:rFonts w:hint="eastAsia" w:ascii="宋体" w:hAnsi="宋体" w:eastAsia="宋体" w:cs="宋体"/>
                <w:color w:val="auto"/>
                <w:kern w:val="0"/>
                <w:sz w:val="21"/>
                <w:szCs w:val="21"/>
                <w:highlight w:val="none"/>
                <w:lang w:val="en-US" w:eastAsia="zh-CN" w:bidi="ar"/>
              </w:rPr>
              <w:t>亩</w:t>
            </w:r>
            <w:r>
              <w:rPr>
                <w:rFonts w:hint="eastAsia" w:ascii="宋体" w:hAnsi="宋体" w:cs="宋体"/>
                <w:color w:val="auto"/>
                <w:kern w:val="0"/>
                <w:sz w:val="21"/>
                <w:szCs w:val="21"/>
                <w:highlight w:val="none"/>
                <w:lang w:val="en-US" w:eastAsia="zh-CN" w:bidi="ar"/>
              </w:rPr>
              <w:t>数</w:t>
            </w:r>
          </w:p>
        </w:tc>
        <w:tc>
          <w:tcPr>
            <w:tcW w:w="1840" w:type="dxa"/>
            <w:tcBorders>
              <w:top w:val="single" w:color="auto" w:sz="4" w:space="0"/>
              <w:left w:val="single" w:color="auto" w:sz="4" w:space="0"/>
              <w:bottom w:val="single" w:color="auto" w:sz="4" w:space="0"/>
              <w:right w:val="single" w:color="auto" w:sz="4" w:space="0"/>
            </w:tcBorders>
            <w:noWrap w:val="0"/>
            <w:vAlign w:val="center"/>
          </w:tcPr>
          <w:p w14:paraId="75241AE2">
            <w:pPr>
              <w:jc w:val="center"/>
              <w:outlineLvl w:val="9"/>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最高限价</w:t>
            </w:r>
          </w:p>
        </w:tc>
      </w:tr>
      <w:tr w14:paraId="233E5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8" w:hRule="atLeast"/>
        </w:trPr>
        <w:tc>
          <w:tcPr>
            <w:tcW w:w="1075" w:type="dxa"/>
            <w:tcBorders>
              <w:top w:val="single" w:color="auto" w:sz="4" w:space="0"/>
              <w:left w:val="single" w:color="auto" w:sz="4" w:space="0"/>
              <w:right w:val="single" w:color="auto" w:sz="4" w:space="0"/>
            </w:tcBorders>
            <w:noWrap w:val="0"/>
            <w:vAlign w:val="center"/>
          </w:tcPr>
          <w:p w14:paraId="1B4044B1">
            <w:pPr>
              <w:jc w:val="center"/>
              <w:outlineLvl w:val="9"/>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3370" w:type="dxa"/>
            <w:tcBorders>
              <w:top w:val="single" w:color="auto" w:sz="4" w:space="0"/>
              <w:left w:val="single" w:color="auto" w:sz="4" w:space="0"/>
              <w:bottom w:val="single" w:color="auto" w:sz="4" w:space="0"/>
              <w:right w:val="single" w:color="auto" w:sz="4" w:space="0"/>
            </w:tcBorders>
            <w:noWrap w:val="0"/>
            <w:vAlign w:val="center"/>
          </w:tcPr>
          <w:p w14:paraId="5A10F20B">
            <w:pPr>
              <w:jc w:val="center"/>
              <w:outlineLvl w:val="9"/>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开化县怀玉山区水土保持与生态修复项目监理（</w:t>
            </w:r>
            <w:r>
              <w:rPr>
                <w:rFonts w:hint="eastAsia" w:ascii="宋体" w:hAnsi="宋体" w:cs="宋体"/>
                <w:color w:val="auto"/>
                <w:szCs w:val="21"/>
                <w:highlight w:val="none"/>
                <w:lang w:val="en-US" w:eastAsia="zh-CN"/>
              </w:rPr>
              <w:t>采伐修复-补植、更替修复、人工造林</w:t>
            </w:r>
            <w:r>
              <w:rPr>
                <w:rFonts w:hint="eastAsia" w:ascii="宋体" w:hAnsi="宋体" w:cs="宋体"/>
                <w:color w:val="auto"/>
                <w:szCs w:val="21"/>
                <w:highlight w:val="none"/>
                <w:lang w:eastAsia="zh-CN"/>
              </w:rPr>
              <w:t>）</w:t>
            </w:r>
          </w:p>
        </w:tc>
        <w:tc>
          <w:tcPr>
            <w:tcW w:w="3340" w:type="dxa"/>
            <w:tcBorders>
              <w:top w:val="single" w:color="auto" w:sz="4" w:space="0"/>
              <w:left w:val="single" w:color="auto" w:sz="4" w:space="0"/>
              <w:bottom w:val="single" w:color="auto" w:sz="4" w:space="0"/>
              <w:right w:val="single" w:color="auto" w:sz="4" w:space="0"/>
            </w:tcBorders>
            <w:noWrap w:val="0"/>
            <w:vAlign w:val="center"/>
          </w:tcPr>
          <w:p w14:paraId="5B3EB229">
            <w:pPr>
              <w:jc w:val="center"/>
              <w:outlineLvl w:val="9"/>
              <w:rPr>
                <w:rFonts w:hint="eastAsia" w:ascii="宋体" w:hAnsi="宋体" w:cs="宋体"/>
                <w:color w:val="auto"/>
                <w:kern w:val="21"/>
                <w:highlight w:val="none"/>
              </w:rPr>
            </w:pPr>
            <w:r>
              <w:rPr>
                <w:rFonts w:hint="eastAsia" w:ascii="宋体" w:hAnsi="宋体" w:eastAsia="宋体" w:cs="宋体"/>
                <w:color w:val="auto"/>
                <w:kern w:val="0"/>
                <w:sz w:val="21"/>
                <w:szCs w:val="21"/>
                <w:highlight w:val="none"/>
                <w:lang w:val="en-US" w:eastAsia="zh-CN" w:bidi="ar"/>
              </w:rPr>
              <w:t>采伐修复补植39900亩</w:t>
            </w: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更替修复8980亩</w:t>
            </w: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人工造林面积9020亩</w:t>
            </w:r>
          </w:p>
        </w:tc>
        <w:tc>
          <w:tcPr>
            <w:tcW w:w="1840" w:type="dxa"/>
            <w:tcBorders>
              <w:top w:val="single" w:color="auto" w:sz="4" w:space="0"/>
              <w:left w:val="single" w:color="auto" w:sz="4" w:space="0"/>
              <w:bottom w:val="single" w:color="auto" w:sz="4" w:space="0"/>
              <w:right w:val="single" w:color="auto" w:sz="4" w:space="0"/>
            </w:tcBorders>
            <w:noWrap w:val="0"/>
            <w:vAlign w:val="center"/>
          </w:tcPr>
          <w:p w14:paraId="7ADF3B66">
            <w:pPr>
              <w:jc w:val="center"/>
              <w:outlineLvl w:val="9"/>
              <w:rPr>
                <w:rFonts w:hint="eastAsia" w:ascii="宋体" w:hAnsi="宋体" w:cs="宋体"/>
                <w:color w:val="auto"/>
                <w:kern w:val="0"/>
                <w:sz w:val="21"/>
                <w:szCs w:val="21"/>
                <w:highlight w:val="none"/>
                <w:lang w:val="en-US" w:eastAsia="zh-CN" w:bidi="ar"/>
              </w:rPr>
            </w:pPr>
            <w:r>
              <w:rPr>
                <w:rFonts w:hint="eastAsia" w:ascii="宋体" w:hAnsi="宋体" w:cs="宋体"/>
                <w:color w:val="auto"/>
                <w:sz w:val="21"/>
                <w:szCs w:val="21"/>
                <w:lang w:val="en-US" w:eastAsia="zh-CN"/>
              </w:rPr>
              <w:t>193.2546</w:t>
            </w:r>
            <w:r>
              <w:rPr>
                <w:rFonts w:hint="eastAsia" w:ascii="宋体" w:hAnsi="宋体" w:eastAsia="宋体" w:cs="宋体"/>
                <w:color w:val="auto"/>
                <w:sz w:val="21"/>
                <w:szCs w:val="21"/>
                <w:lang w:val="en-US" w:eastAsia="zh-CN"/>
              </w:rPr>
              <w:t>万元</w:t>
            </w:r>
          </w:p>
        </w:tc>
      </w:tr>
    </w:tbl>
    <w:p w14:paraId="5DD85C59">
      <w:pPr>
        <w:pStyle w:val="18"/>
        <w:widowControl/>
        <w:numPr>
          <w:ilvl w:val="0"/>
          <w:numId w:val="0"/>
        </w:numPr>
        <w:shd w:val="clear" w:color="auto" w:fill="FFFFFF"/>
        <w:spacing w:before="0" w:beforeLines="0" w:beforeAutospacing="0" w:after="0" w:afterLines="0" w:afterAutospacing="0" w:line="400" w:lineRule="exact"/>
        <w:ind w:right="0" w:rightChars="0"/>
        <w:jc w:val="left"/>
        <w:outlineLvl w:val="9"/>
        <w:rPr>
          <w:rFonts w:hint="eastAsia" w:ascii="宋体" w:hAnsi="宋体" w:cs="宋体"/>
          <w:b/>
          <w:bCs/>
          <w:color w:val="auto"/>
          <w:kern w:val="0"/>
          <w:sz w:val="21"/>
          <w:szCs w:val="21"/>
          <w:highlight w:val="none"/>
          <w:lang w:val="en-US" w:eastAsia="zh-CN" w:bidi="ar"/>
        </w:rPr>
      </w:pPr>
      <w:r>
        <w:rPr>
          <w:rFonts w:hint="eastAsia" w:ascii="宋体" w:hAnsi="宋体" w:cs="宋体"/>
          <w:b/>
          <w:bCs/>
          <w:color w:val="auto"/>
          <w:kern w:val="0"/>
          <w:sz w:val="21"/>
          <w:szCs w:val="21"/>
          <w:lang w:val="en-US" w:eastAsia="zh-CN" w:bidi="ar"/>
        </w:rPr>
        <w:t>四</w:t>
      </w:r>
      <w:r>
        <w:rPr>
          <w:rFonts w:hint="eastAsia" w:ascii="宋体" w:hAnsi="宋体" w:eastAsia="宋体" w:cs="宋体"/>
          <w:b/>
          <w:bCs/>
          <w:color w:val="auto"/>
          <w:kern w:val="0"/>
          <w:sz w:val="21"/>
          <w:szCs w:val="21"/>
          <w:lang w:val="en-US" w:eastAsia="zh-CN" w:bidi="ar"/>
        </w:rPr>
        <w:t>、</w:t>
      </w:r>
      <w:r>
        <w:rPr>
          <w:rFonts w:hint="eastAsia" w:ascii="宋体" w:hAnsi="宋体" w:cs="宋体"/>
          <w:b/>
          <w:bCs/>
          <w:color w:val="auto"/>
          <w:kern w:val="0"/>
          <w:sz w:val="21"/>
          <w:szCs w:val="21"/>
          <w:highlight w:val="none"/>
          <w:lang w:val="en-US" w:eastAsia="zh-CN" w:bidi="ar"/>
        </w:rPr>
        <w:t>服务内容</w:t>
      </w:r>
    </w:p>
    <w:p w14:paraId="0DBB66E1">
      <w:pPr>
        <w:pageBreakBefore w:val="0"/>
        <w:kinsoku/>
        <w:wordWrap/>
        <w:overflowPunct/>
        <w:topLinePunct w:val="0"/>
        <w:bidi w:val="0"/>
        <w:snapToGrid w:val="0"/>
        <w:spacing w:line="400" w:lineRule="exact"/>
        <w:ind w:lef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1、监理服务内容</w:t>
      </w:r>
    </w:p>
    <w:p w14:paraId="457D7DEC">
      <w:pPr>
        <w:pageBreakBefore w:val="0"/>
        <w:kinsoku/>
        <w:wordWrap/>
        <w:overflowPunct/>
        <w:topLinePunct w:val="0"/>
        <w:bidi w:val="0"/>
        <w:snapToGrid w:val="0"/>
        <w:spacing w:line="400" w:lineRule="exact"/>
        <w:ind w:lef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根据</w:t>
      </w:r>
      <w:r>
        <w:rPr>
          <w:rFonts w:hint="eastAsia" w:ascii="宋体" w:hAnsi="宋体" w:cs="宋体"/>
          <w:color w:val="auto"/>
          <w:kern w:val="0"/>
          <w:sz w:val="21"/>
          <w:szCs w:val="21"/>
          <w:highlight w:val="none"/>
          <w:lang w:val="en-US" w:eastAsia="zh-CN" w:bidi="ar"/>
        </w:rPr>
        <w:t>各级政府发布的</w:t>
      </w:r>
      <w:r>
        <w:rPr>
          <w:rFonts w:hint="eastAsia" w:ascii="宋体" w:hAnsi="宋体" w:eastAsia="宋体" w:cs="宋体"/>
          <w:color w:val="auto"/>
          <w:kern w:val="0"/>
          <w:sz w:val="21"/>
          <w:szCs w:val="21"/>
          <w:highlight w:val="none"/>
          <w:lang w:val="en-US" w:eastAsia="zh-CN" w:bidi="ar"/>
        </w:rPr>
        <w:t>有关</w:t>
      </w:r>
      <w:r>
        <w:rPr>
          <w:rFonts w:hint="eastAsia" w:ascii="宋体" w:hAnsi="宋体" w:cs="宋体"/>
          <w:color w:val="auto"/>
          <w:kern w:val="0"/>
          <w:sz w:val="21"/>
          <w:szCs w:val="21"/>
          <w:highlight w:val="none"/>
          <w:lang w:val="en-US" w:eastAsia="zh-CN" w:bidi="ar"/>
        </w:rPr>
        <w:t>工程建设的法律、法规、政策</w:t>
      </w:r>
      <w:r>
        <w:rPr>
          <w:rFonts w:hint="eastAsia" w:ascii="宋体" w:hAnsi="宋体" w:eastAsia="宋体" w:cs="宋体"/>
          <w:color w:val="auto"/>
          <w:kern w:val="0"/>
          <w:sz w:val="21"/>
          <w:szCs w:val="21"/>
          <w:highlight w:val="none"/>
          <w:lang w:val="en-US" w:eastAsia="zh-CN" w:bidi="ar"/>
        </w:rPr>
        <w:t>和</w:t>
      </w:r>
      <w:r>
        <w:rPr>
          <w:rFonts w:hint="eastAsia" w:ascii="宋体" w:hAnsi="宋体" w:cs="宋体"/>
          <w:color w:val="auto"/>
          <w:kern w:val="0"/>
          <w:sz w:val="21"/>
          <w:szCs w:val="21"/>
          <w:highlight w:val="none"/>
          <w:lang w:val="en-US" w:eastAsia="zh-CN" w:bidi="ar"/>
        </w:rPr>
        <w:t>规定</w:t>
      </w:r>
      <w:r>
        <w:rPr>
          <w:rFonts w:hint="eastAsia" w:ascii="宋体" w:hAnsi="宋体" w:eastAsia="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val="en-US" w:eastAsia="zh-CN" w:bidi="ar"/>
        </w:rPr>
        <w:t>依据各级主管部门批复的本项目各类文件、技术资料、设计图纸及其说明文件等，</w:t>
      </w:r>
      <w:r>
        <w:rPr>
          <w:rFonts w:hint="eastAsia" w:ascii="宋体" w:hAnsi="宋体" w:eastAsia="宋体" w:cs="宋体"/>
          <w:color w:val="auto"/>
          <w:kern w:val="0"/>
          <w:sz w:val="21"/>
          <w:szCs w:val="21"/>
          <w:highlight w:val="none"/>
          <w:lang w:val="en-US" w:eastAsia="zh-CN" w:bidi="ar"/>
        </w:rPr>
        <w:t>对开化县怀玉山区水土保持与生态修复项目施工作业过程进行全面监理。</w:t>
      </w:r>
      <w:r>
        <w:rPr>
          <w:rFonts w:hint="eastAsia" w:ascii="宋体" w:hAnsi="宋体" w:cs="宋体"/>
          <w:color w:val="auto"/>
          <w:kern w:val="0"/>
          <w:sz w:val="21"/>
          <w:szCs w:val="21"/>
          <w:highlight w:val="none"/>
          <w:lang w:val="en-US" w:eastAsia="zh-CN" w:bidi="ar"/>
        </w:rPr>
        <w:t>除监理相关法律、法规外，相关技术规范包括但不限于：</w:t>
      </w:r>
    </w:p>
    <w:p w14:paraId="0EF2C5C3">
      <w:pPr>
        <w:pageBreakBefore w:val="0"/>
        <w:kinsoku/>
        <w:wordWrap/>
        <w:overflowPunct/>
        <w:topLinePunct w:val="0"/>
        <w:bidi w:val="0"/>
        <w:snapToGrid w:val="0"/>
        <w:spacing w:line="400" w:lineRule="exact"/>
        <w:ind w:lef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GB/T 15766-2023 《造林技术规程》</w:t>
      </w:r>
      <w:r>
        <w:rPr>
          <w:rFonts w:hint="eastAsia" w:ascii="宋体" w:hAnsi="宋体" w:cs="宋体"/>
          <w:color w:val="auto"/>
          <w:kern w:val="0"/>
          <w:sz w:val="21"/>
          <w:szCs w:val="21"/>
          <w:highlight w:val="none"/>
          <w:lang w:val="en-US" w:eastAsia="zh-CN" w:bidi="ar"/>
        </w:rPr>
        <w:t>；</w:t>
      </w:r>
    </w:p>
    <w:p w14:paraId="1453A735">
      <w:pPr>
        <w:pageBreakBefore w:val="0"/>
        <w:kinsoku/>
        <w:wordWrap/>
        <w:overflowPunct/>
        <w:topLinePunct w:val="0"/>
        <w:bidi w:val="0"/>
        <w:snapToGrid w:val="0"/>
        <w:spacing w:line="400" w:lineRule="exact"/>
        <w:ind w:lef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GB/T 15781-2015 《森林抚育规程》</w:t>
      </w:r>
      <w:r>
        <w:rPr>
          <w:rFonts w:hint="eastAsia" w:ascii="宋体" w:hAnsi="宋体" w:cs="宋体"/>
          <w:color w:val="auto"/>
          <w:kern w:val="0"/>
          <w:sz w:val="21"/>
          <w:szCs w:val="21"/>
          <w:highlight w:val="none"/>
          <w:lang w:val="en-US" w:eastAsia="zh-CN" w:bidi="ar"/>
        </w:rPr>
        <w:t>；</w:t>
      </w:r>
    </w:p>
    <w:p w14:paraId="0BDE2B33">
      <w:pPr>
        <w:pageBreakBefore w:val="0"/>
        <w:kinsoku/>
        <w:wordWrap/>
        <w:overflowPunct/>
        <w:topLinePunct w:val="0"/>
        <w:bidi w:val="0"/>
        <w:snapToGrid w:val="0"/>
        <w:spacing w:line="400" w:lineRule="exact"/>
        <w:ind w:lef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GB/T 44351-2024 《退化林修复技术规程》</w:t>
      </w:r>
      <w:r>
        <w:rPr>
          <w:rFonts w:hint="eastAsia" w:ascii="宋体" w:hAnsi="宋体" w:cs="宋体"/>
          <w:color w:val="auto"/>
          <w:kern w:val="0"/>
          <w:sz w:val="21"/>
          <w:szCs w:val="21"/>
          <w:highlight w:val="none"/>
          <w:lang w:val="en-US" w:eastAsia="zh-CN" w:bidi="ar"/>
        </w:rPr>
        <w:t>；</w:t>
      </w:r>
    </w:p>
    <w:p w14:paraId="79530C5F">
      <w:pPr>
        <w:pageBreakBefore w:val="0"/>
        <w:kinsoku/>
        <w:wordWrap/>
        <w:overflowPunct/>
        <w:topLinePunct w:val="0"/>
        <w:bidi w:val="0"/>
        <w:snapToGrid w:val="0"/>
        <w:spacing w:line="400" w:lineRule="exact"/>
        <w:ind w:lef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GB/T 450888-2024 《林木采伐技术规程》</w:t>
      </w:r>
      <w:r>
        <w:rPr>
          <w:rFonts w:hint="eastAsia" w:ascii="宋体" w:hAnsi="宋体" w:cs="宋体"/>
          <w:color w:val="auto"/>
          <w:kern w:val="0"/>
          <w:sz w:val="21"/>
          <w:szCs w:val="21"/>
          <w:highlight w:val="none"/>
          <w:lang w:val="en-US" w:eastAsia="zh-CN" w:bidi="ar"/>
        </w:rPr>
        <w:t>；</w:t>
      </w:r>
    </w:p>
    <w:p w14:paraId="13B827DE">
      <w:pPr>
        <w:pageBreakBefore w:val="0"/>
        <w:kinsoku/>
        <w:wordWrap/>
        <w:overflowPunct/>
        <w:topLinePunct w:val="0"/>
        <w:bidi w:val="0"/>
        <w:snapToGrid w:val="0"/>
        <w:spacing w:line="400" w:lineRule="exact"/>
        <w:ind w:lef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LY</w:t>
      </w:r>
      <w:r>
        <w:rPr>
          <w:rFonts w:hint="eastAsia" w:ascii="宋体" w:hAnsi="宋体" w:eastAsia="宋体" w:cs="宋体"/>
          <w:color w:val="auto"/>
          <w:kern w:val="0"/>
          <w:sz w:val="21"/>
          <w:szCs w:val="21"/>
          <w:highlight w:val="none"/>
          <w:lang w:val="en-US" w:eastAsia="zh-CN" w:bidi="ar"/>
        </w:rPr>
        <w:t>/T 1690-2017 《低效林改造技术规程》</w:t>
      </w:r>
      <w:r>
        <w:rPr>
          <w:rFonts w:hint="eastAsia" w:ascii="宋体" w:hAnsi="宋体" w:cs="宋体"/>
          <w:color w:val="auto"/>
          <w:kern w:val="0"/>
          <w:sz w:val="21"/>
          <w:szCs w:val="21"/>
          <w:highlight w:val="none"/>
          <w:lang w:val="en-US" w:eastAsia="zh-CN" w:bidi="ar"/>
        </w:rPr>
        <w:t>；</w:t>
      </w:r>
    </w:p>
    <w:p w14:paraId="0B1A5047">
      <w:pPr>
        <w:pageBreakBefore w:val="0"/>
        <w:kinsoku/>
        <w:wordWrap/>
        <w:overflowPunct/>
        <w:topLinePunct w:val="0"/>
        <w:bidi w:val="0"/>
        <w:snapToGrid w:val="0"/>
        <w:spacing w:line="400" w:lineRule="exact"/>
        <w:ind w:lef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LY/T 2083-201331 《全国营造林综合核查技术规程》</w:t>
      </w:r>
      <w:r>
        <w:rPr>
          <w:rFonts w:hint="eastAsia" w:ascii="宋体" w:hAnsi="宋体" w:cs="宋体"/>
          <w:color w:val="auto"/>
          <w:kern w:val="0"/>
          <w:sz w:val="21"/>
          <w:szCs w:val="21"/>
          <w:highlight w:val="none"/>
          <w:lang w:val="en-US" w:eastAsia="zh-CN" w:bidi="ar"/>
        </w:rPr>
        <w:t>；</w:t>
      </w:r>
    </w:p>
    <w:p w14:paraId="6458008C">
      <w:pPr>
        <w:pageBreakBefore w:val="0"/>
        <w:kinsoku/>
        <w:wordWrap/>
        <w:overflowPunct/>
        <w:topLinePunct w:val="0"/>
        <w:bidi w:val="0"/>
        <w:snapToGrid w:val="0"/>
        <w:spacing w:line="400" w:lineRule="exact"/>
        <w:ind w:lef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浙林造〔2024〕141号 《浙江省营造林综合核查验收规范》</w:t>
      </w:r>
      <w:r>
        <w:rPr>
          <w:rFonts w:hint="eastAsia" w:ascii="宋体" w:hAnsi="宋体" w:cs="宋体"/>
          <w:color w:val="auto"/>
          <w:kern w:val="0"/>
          <w:sz w:val="21"/>
          <w:szCs w:val="21"/>
          <w:highlight w:val="none"/>
          <w:lang w:val="en-US" w:eastAsia="zh-CN" w:bidi="ar"/>
        </w:rPr>
        <w:t>；</w:t>
      </w:r>
    </w:p>
    <w:p w14:paraId="7F40772A">
      <w:pPr>
        <w:pageBreakBefore w:val="0"/>
        <w:kinsoku/>
        <w:wordWrap/>
        <w:overflowPunct/>
        <w:topLinePunct w:val="0"/>
        <w:bidi w:val="0"/>
        <w:snapToGrid w:val="0"/>
        <w:spacing w:line="400" w:lineRule="exact"/>
        <w:ind w:lef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林生发〔2024〕78号</w:t>
      </w:r>
      <w:r>
        <w:rPr>
          <w:rFonts w:hint="eastAsia" w:ascii="宋体" w:hAnsi="宋体" w:eastAsia="宋体" w:cs="宋体"/>
          <w:color w:val="auto"/>
          <w:kern w:val="0"/>
          <w:sz w:val="21"/>
          <w:szCs w:val="21"/>
          <w:highlight w:val="none"/>
          <w:lang w:val="en-US" w:eastAsia="zh-CN" w:bidi="ar"/>
        </w:rPr>
        <w:t xml:space="preserve"> 《松材线虫病防治技术方案（2024年版）》</w:t>
      </w:r>
      <w:r>
        <w:rPr>
          <w:rFonts w:hint="eastAsia" w:ascii="宋体" w:hAnsi="宋体" w:cs="宋体"/>
          <w:color w:val="auto"/>
          <w:kern w:val="0"/>
          <w:sz w:val="21"/>
          <w:szCs w:val="21"/>
          <w:highlight w:val="none"/>
          <w:lang w:val="en-US" w:eastAsia="zh-CN" w:bidi="ar"/>
        </w:rPr>
        <w:t>；</w:t>
      </w:r>
    </w:p>
    <w:p w14:paraId="47067C75">
      <w:pPr>
        <w:pageBreakBefore w:val="0"/>
        <w:kinsoku/>
        <w:wordWrap/>
        <w:overflowPunct/>
        <w:topLinePunct w:val="0"/>
        <w:bidi w:val="0"/>
        <w:snapToGrid w:val="0"/>
        <w:spacing w:line="400" w:lineRule="exact"/>
        <w:ind w:lef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林生规〔2023〕7 号 《松材线虫病疫区和疫木管理办法》</w:t>
      </w:r>
      <w:r>
        <w:rPr>
          <w:rFonts w:hint="eastAsia" w:ascii="宋体" w:hAnsi="宋体" w:cs="宋体"/>
          <w:color w:val="auto"/>
          <w:kern w:val="0"/>
          <w:sz w:val="21"/>
          <w:szCs w:val="21"/>
          <w:highlight w:val="none"/>
          <w:lang w:val="en-US" w:eastAsia="zh-CN" w:bidi="ar"/>
        </w:rPr>
        <w:t>；</w:t>
      </w:r>
    </w:p>
    <w:p w14:paraId="3F379F65">
      <w:pPr>
        <w:pageBreakBefore w:val="0"/>
        <w:kinsoku/>
        <w:wordWrap/>
        <w:overflowPunct/>
        <w:topLinePunct w:val="0"/>
        <w:bidi w:val="0"/>
        <w:snapToGrid w:val="0"/>
        <w:spacing w:line="400" w:lineRule="exact"/>
        <w:ind w:left="0" w:firstLine="420" w:firstLineChars="200"/>
        <w:jc w:val="left"/>
        <w:textAlignment w:val="auto"/>
        <w:outlineLvl w:val="9"/>
        <w:rPr>
          <w:rFonts w:hint="default"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《浙江省松材线虫病防治条例》</w:t>
      </w:r>
      <w:r>
        <w:rPr>
          <w:rFonts w:hint="eastAsia" w:ascii="宋体" w:hAnsi="宋体" w:cs="宋体"/>
          <w:color w:val="auto"/>
          <w:kern w:val="0"/>
          <w:sz w:val="21"/>
          <w:szCs w:val="21"/>
          <w:highlight w:val="none"/>
          <w:lang w:val="en-US" w:eastAsia="zh-CN" w:bidi="ar"/>
        </w:rPr>
        <w:t>；</w:t>
      </w:r>
    </w:p>
    <w:p w14:paraId="605E434A">
      <w:pPr>
        <w:pageBreakBefore w:val="0"/>
        <w:kinsoku/>
        <w:wordWrap/>
        <w:overflowPunct/>
        <w:topLinePunct w:val="0"/>
        <w:bidi w:val="0"/>
        <w:snapToGrid w:val="0"/>
        <w:spacing w:line="400" w:lineRule="exact"/>
        <w:ind w:left="0" w:firstLine="420" w:firstLineChars="200"/>
        <w:jc w:val="left"/>
        <w:textAlignment w:val="auto"/>
        <w:outlineLvl w:val="9"/>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《开化县年度松材线虫病防治实施方案》</w:t>
      </w:r>
      <w:r>
        <w:rPr>
          <w:rFonts w:hint="eastAsia" w:ascii="宋体" w:hAnsi="宋体" w:cs="宋体"/>
          <w:color w:val="auto"/>
          <w:kern w:val="0"/>
          <w:sz w:val="21"/>
          <w:szCs w:val="21"/>
          <w:highlight w:val="none"/>
          <w:lang w:val="en-US" w:eastAsia="zh-CN" w:bidi="ar"/>
        </w:rPr>
        <w:t>；</w:t>
      </w:r>
    </w:p>
    <w:p w14:paraId="279FEB0F">
      <w:pPr>
        <w:pageBreakBefore w:val="0"/>
        <w:kinsoku/>
        <w:wordWrap/>
        <w:overflowPunct/>
        <w:topLinePunct w:val="0"/>
        <w:bidi w:val="0"/>
        <w:snapToGrid w:val="0"/>
        <w:spacing w:line="400" w:lineRule="exact"/>
        <w:ind w:left="0" w:firstLine="420" w:firstLineChars="200"/>
        <w:jc w:val="left"/>
        <w:textAlignment w:val="auto"/>
        <w:outlineLvl w:val="9"/>
        <w:rPr>
          <w:rFonts w:hint="eastAsia" w:ascii="宋体" w:hAnsi="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监理日常工作按照相关要求认真开展监督工作（</w:t>
      </w:r>
      <w:r>
        <w:rPr>
          <w:rFonts w:hint="eastAsia" w:ascii="宋体" w:hAnsi="宋体" w:cs="宋体"/>
          <w:color w:val="auto"/>
          <w:kern w:val="0"/>
          <w:sz w:val="21"/>
          <w:szCs w:val="21"/>
          <w:highlight w:val="none"/>
          <w:lang w:val="en-US" w:eastAsia="zh-CN" w:bidi="ar"/>
        </w:rPr>
        <w:t>施工期间</w:t>
      </w:r>
      <w:r>
        <w:rPr>
          <w:rFonts w:hint="eastAsia" w:ascii="宋体" w:hAnsi="宋体" w:eastAsia="宋体" w:cs="宋体"/>
          <w:color w:val="auto"/>
          <w:kern w:val="0"/>
          <w:sz w:val="21"/>
          <w:szCs w:val="21"/>
          <w:highlight w:val="none"/>
          <w:lang w:val="en-US" w:eastAsia="zh-CN" w:bidi="ar"/>
        </w:rPr>
        <w:t>每个施工小组都要有监理人员跟随监督，做监理记录），发现问题要立即督促施工单位整改并及时报告，施工期每周汇总施工进度，施工期每月汇报监理工作内容，督促施工单位提交施工日志。</w:t>
      </w:r>
      <w:r>
        <w:rPr>
          <w:rFonts w:hint="eastAsia" w:ascii="宋体" w:hAnsi="宋体" w:cs="宋体"/>
          <w:color w:val="auto"/>
          <w:kern w:val="0"/>
          <w:sz w:val="21"/>
          <w:szCs w:val="21"/>
          <w:highlight w:val="none"/>
          <w:lang w:val="en-US" w:eastAsia="zh-CN" w:bidi="ar"/>
        </w:rPr>
        <w:t>所有监理过程（如</w:t>
      </w:r>
      <w:r>
        <w:rPr>
          <w:rFonts w:hint="eastAsia" w:ascii="宋体" w:hAnsi="宋体" w:eastAsia="宋体" w:cs="宋体"/>
          <w:color w:val="auto"/>
          <w:kern w:val="0"/>
          <w:sz w:val="21"/>
          <w:szCs w:val="21"/>
          <w:highlight w:val="none"/>
          <w:lang w:val="en-US" w:eastAsia="zh-CN" w:bidi="ar"/>
        </w:rPr>
        <w:t>项目资料和图片）</w:t>
      </w:r>
      <w:r>
        <w:rPr>
          <w:rFonts w:hint="eastAsia" w:ascii="宋体" w:hAnsi="宋体" w:cs="宋体"/>
          <w:color w:val="auto"/>
          <w:kern w:val="0"/>
          <w:sz w:val="21"/>
          <w:szCs w:val="21"/>
          <w:highlight w:val="none"/>
          <w:lang w:val="en-US" w:eastAsia="zh-CN" w:bidi="ar"/>
        </w:rPr>
        <w:t>需通过</w:t>
      </w:r>
      <w:r>
        <w:rPr>
          <w:rFonts w:hint="default" w:ascii="宋体" w:hAnsi="宋体" w:cs="宋体"/>
          <w:color w:val="auto"/>
          <w:kern w:val="0"/>
          <w:sz w:val="21"/>
          <w:szCs w:val="21"/>
          <w:highlight w:val="none"/>
          <w:lang w:eastAsia="zh-CN" w:bidi="ar"/>
        </w:rPr>
        <w:t>甲方指定的软件</w:t>
      </w:r>
      <w:r>
        <w:rPr>
          <w:rFonts w:hint="eastAsia" w:ascii="宋体" w:hAnsi="宋体" w:cs="宋体"/>
          <w:color w:val="auto"/>
          <w:kern w:val="0"/>
          <w:sz w:val="21"/>
          <w:szCs w:val="21"/>
          <w:highlight w:val="none"/>
          <w:lang w:val="en-US" w:eastAsia="zh-CN" w:bidi="ar"/>
        </w:rPr>
        <w:t>上传记录。</w:t>
      </w:r>
    </w:p>
    <w:p w14:paraId="40FA8A7A">
      <w:pPr>
        <w:pageBreakBefore w:val="0"/>
        <w:kinsoku/>
        <w:wordWrap/>
        <w:overflowPunct/>
        <w:topLinePunct w:val="0"/>
        <w:bidi w:val="0"/>
        <w:snapToGrid w:val="0"/>
        <w:spacing w:line="400" w:lineRule="exact"/>
        <w:ind w:left="0" w:firstLine="420" w:firstLineChars="200"/>
        <w:jc w:val="left"/>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eastAsia" w:ascii="宋体" w:hAnsi="宋体" w:cs="宋体"/>
          <w:color w:val="auto"/>
          <w:kern w:val="0"/>
          <w:sz w:val="21"/>
          <w:szCs w:val="21"/>
          <w:highlight w:val="none"/>
          <w:lang w:val="en-US" w:eastAsia="zh-CN" w:bidi="ar"/>
        </w:rPr>
        <w:t>、疫木监理要求</w:t>
      </w:r>
    </w:p>
    <w:p w14:paraId="2017100F">
      <w:pPr>
        <w:pageBreakBefore w:val="0"/>
        <w:kinsoku/>
        <w:wordWrap/>
        <w:overflowPunct/>
        <w:topLinePunct w:val="0"/>
        <w:bidi w:val="0"/>
        <w:snapToGrid w:val="0"/>
        <w:spacing w:line="400" w:lineRule="exact"/>
        <w:ind w:left="0" w:firstLine="420" w:firstLineChars="200"/>
        <w:jc w:val="left"/>
        <w:textAlignment w:val="auto"/>
        <w:rPr>
          <w:rFonts w:hint="eastAsia" w:ascii="宋体" w:hAnsi="宋体" w:eastAsia="宋体" w:cs="宋体"/>
          <w:color w:val="auto"/>
          <w:kern w:val="0"/>
          <w:sz w:val="21"/>
          <w:szCs w:val="21"/>
          <w:highlight w:val="none"/>
          <w:lang w:val="zh-CN" w:eastAsia="zh-CN" w:bidi="ar"/>
        </w:rPr>
      </w:pPr>
      <w:r>
        <w:rPr>
          <w:rFonts w:hint="eastAsia" w:ascii="宋体" w:hAnsi="宋体" w:cs="宋体"/>
          <w:color w:val="auto"/>
          <w:kern w:val="0"/>
          <w:sz w:val="21"/>
          <w:szCs w:val="21"/>
          <w:highlight w:val="none"/>
          <w:lang w:val="en-US" w:eastAsia="zh-CN" w:bidi="ar"/>
        </w:rPr>
        <w:t>本项目涉及松木部分</w:t>
      </w:r>
      <w:r>
        <w:rPr>
          <w:rFonts w:hint="default" w:ascii="宋体" w:hAnsi="宋体" w:cs="宋体"/>
          <w:color w:val="auto"/>
          <w:kern w:val="0"/>
          <w:sz w:val="21"/>
          <w:szCs w:val="21"/>
          <w:highlight w:val="none"/>
          <w:lang w:eastAsia="zh-CN" w:bidi="ar"/>
        </w:rPr>
        <w:t>均按</w:t>
      </w:r>
      <w:r>
        <w:rPr>
          <w:rFonts w:hint="eastAsia" w:ascii="宋体" w:hAnsi="宋体" w:cs="宋体"/>
          <w:color w:val="auto"/>
          <w:kern w:val="0"/>
          <w:sz w:val="21"/>
          <w:szCs w:val="21"/>
          <w:highlight w:val="none"/>
          <w:lang w:val="en-US" w:eastAsia="zh-CN" w:bidi="ar"/>
        </w:rPr>
        <w:t>疫木相关要求管理，</w:t>
      </w:r>
      <w:r>
        <w:rPr>
          <w:rFonts w:hint="eastAsia" w:ascii="宋体" w:hAnsi="宋体" w:eastAsia="宋体" w:cs="宋体"/>
          <w:color w:val="auto"/>
          <w:kern w:val="0"/>
          <w:sz w:val="21"/>
          <w:szCs w:val="21"/>
          <w:highlight w:val="none"/>
          <w:lang w:val="en-US" w:eastAsia="zh-CN" w:bidi="ar"/>
        </w:rPr>
        <w:t>包括疫木除治质量、疫木运输、采伐证、疫木定点处理厂等监管。</w:t>
      </w:r>
    </w:p>
    <w:p w14:paraId="17A1B511">
      <w:pPr>
        <w:pageBreakBefore w:val="0"/>
        <w:kinsoku/>
        <w:wordWrap/>
        <w:overflowPunct/>
        <w:topLinePunct w:val="0"/>
        <w:bidi w:val="0"/>
        <w:snapToGrid w:val="0"/>
        <w:spacing w:line="400" w:lineRule="exact"/>
        <w:ind w:left="0" w:firstLine="420" w:firstLineChars="200"/>
        <w:jc w:val="left"/>
        <w:textAlignment w:val="auto"/>
        <w:rPr>
          <w:rFonts w:hint="eastAsia" w:ascii="宋体" w:hAnsi="宋体" w:eastAsia="宋体" w:cs="宋体"/>
          <w:color w:val="auto"/>
          <w:kern w:val="0"/>
          <w:sz w:val="21"/>
          <w:szCs w:val="21"/>
          <w:highlight w:val="none"/>
          <w:lang w:val="zh-CN" w:eastAsia="zh-CN" w:bidi="ar"/>
        </w:rPr>
      </w:pPr>
      <w:r>
        <w:rPr>
          <w:rFonts w:hint="eastAsia" w:ascii="宋体" w:hAnsi="宋体" w:eastAsia="宋体" w:cs="宋体"/>
          <w:color w:val="auto"/>
          <w:kern w:val="0"/>
          <w:sz w:val="21"/>
          <w:szCs w:val="21"/>
          <w:highlight w:val="none"/>
          <w:lang w:val="zh-CN" w:eastAsia="zh-CN" w:bidi="ar"/>
        </w:rPr>
        <w:t>（</w:t>
      </w: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zh-CN" w:eastAsia="zh-CN" w:bidi="ar"/>
        </w:rPr>
        <w:t>）除治进度：现场查看有无没有除治的松枯死木，清点株数，估算除治任务完成率；</w:t>
      </w:r>
    </w:p>
    <w:p w14:paraId="11859B33">
      <w:pPr>
        <w:pageBreakBefore w:val="0"/>
        <w:kinsoku/>
        <w:wordWrap/>
        <w:overflowPunct/>
        <w:topLinePunct w:val="0"/>
        <w:bidi w:val="0"/>
        <w:snapToGrid w:val="0"/>
        <w:spacing w:line="400" w:lineRule="exact"/>
        <w:ind w:left="0" w:firstLine="420" w:firstLineChars="200"/>
        <w:jc w:val="left"/>
        <w:textAlignment w:val="auto"/>
        <w:rPr>
          <w:rFonts w:hint="eastAsia" w:ascii="宋体" w:hAnsi="宋体" w:eastAsia="宋体" w:cs="宋体"/>
          <w:color w:val="auto"/>
          <w:kern w:val="0"/>
          <w:sz w:val="21"/>
          <w:szCs w:val="21"/>
          <w:highlight w:val="none"/>
          <w:lang w:val="zh-CN" w:eastAsia="zh-CN" w:bidi="ar"/>
        </w:rPr>
      </w:pPr>
      <w:r>
        <w:rPr>
          <w:rFonts w:hint="eastAsia" w:ascii="宋体" w:hAnsi="宋体" w:eastAsia="宋体" w:cs="宋体"/>
          <w:color w:val="auto"/>
          <w:kern w:val="0"/>
          <w:sz w:val="21"/>
          <w:szCs w:val="21"/>
          <w:highlight w:val="none"/>
          <w:lang w:val="zh-CN" w:eastAsia="zh-CN" w:bidi="ar"/>
        </w:rPr>
        <w:t>（</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zh-CN" w:eastAsia="zh-CN" w:bidi="ar"/>
        </w:rPr>
        <w:t>）伐桩情况：伐根高度（斜坡按上坡位计）不得高于5cm，实地检查伐桩是否符合有关技术标准，确因岩石等影响造成伐桩过高时，应采用补刀、剥皮等补救措施；</w:t>
      </w:r>
    </w:p>
    <w:p w14:paraId="4F2336F3">
      <w:pPr>
        <w:pageBreakBefore w:val="0"/>
        <w:kinsoku/>
        <w:wordWrap/>
        <w:overflowPunct/>
        <w:topLinePunct w:val="0"/>
        <w:bidi w:val="0"/>
        <w:snapToGrid w:val="0"/>
        <w:spacing w:line="400" w:lineRule="exact"/>
        <w:ind w:left="0" w:firstLine="420" w:firstLineChars="200"/>
        <w:jc w:val="left"/>
        <w:textAlignment w:val="auto"/>
        <w:rPr>
          <w:rFonts w:hint="eastAsia" w:ascii="宋体" w:hAnsi="宋体" w:eastAsia="宋体" w:cs="宋体"/>
          <w:color w:val="auto"/>
          <w:kern w:val="0"/>
          <w:sz w:val="21"/>
          <w:szCs w:val="21"/>
          <w:highlight w:val="none"/>
          <w:lang w:val="zh-CN" w:eastAsia="zh-CN" w:bidi="ar"/>
        </w:rPr>
      </w:pPr>
      <w:r>
        <w:rPr>
          <w:rFonts w:hint="eastAsia" w:ascii="宋体" w:hAnsi="宋体" w:eastAsia="宋体" w:cs="宋体"/>
          <w:color w:val="auto"/>
          <w:kern w:val="0"/>
          <w:sz w:val="21"/>
          <w:szCs w:val="21"/>
          <w:highlight w:val="none"/>
          <w:lang w:val="zh-CN" w:eastAsia="zh-CN" w:bidi="ar"/>
        </w:rPr>
        <w:t>（</w:t>
      </w: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zh-CN" w:eastAsia="zh-CN" w:bidi="ar"/>
        </w:rPr>
        <w:t>）主干清理情况：实地检查山场内的疫木主干清理情况，要求所有主干全部清理下山</w:t>
      </w:r>
      <w:r>
        <w:rPr>
          <w:rFonts w:hint="eastAsia" w:ascii="宋体" w:hAnsi="宋体" w:eastAsia="宋体" w:cs="宋体"/>
          <w:color w:val="auto"/>
          <w:kern w:val="0"/>
          <w:sz w:val="21"/>
          <w:szCs w:val="21"/>
          <w:highlight w:val="none"/>
          <w:lang w:val="en-US" w:eastAsia="zh-CN" w:bidi="ar"/>
        </w:rPr>
        <w:t>。</w:t>
      </w:r>
    </w:p>
    <w:p w14:paraId="4A4B25C2">
      <w:pPr>
        <w:pageBreakBefore w:val="0"/>
        <w:kinsoku/>
        <w:wordWrap/>
        <w:overflowPunct/>
        <w:topLinePunct w:val="0"/>
        <w:bidi w:val="0"/>
        <w:snapToGrid w:val="0"/>
        <w:spacing w:line="400" w:lineRule="exact"/>
        <w:ind w:left="0" w:firstLine="420" w:firstLineChars="200"/>
        <w:jc w:val="left"/>
        <w:textAlignment w:val="auto"/>
        <w:rPr>
          <w:rFonts w:hint="eastAsia" w:ascii="宋体" w:hAnsi="宋体" w:eastAsia="宋体" w:cs="宋体"/>
          <w:color w:val="auto"/>
          <w:kern w:val="0"/>
          <w:sz w:val="21"/>
          <w:szCs w:val="21"/>
          <w:highlight w:val="none"/>
          <w:lang w:val="zh-CN" w:eastAsia="zh-CN" w:bidi="ar"/>
        </w:rPr>
      </w:pPr>
      <w:r>
        <w:rPr>
          <w:rFonts w:hint="eastAsia" w:ascii="宋体" w:hAnsi="宋体" w:eastAsia="宋体" w:cs="宋体"/>
          <w:color w:val="auto"/>
          <w:kern w:val="0"/>
          <w:sz w:val="21"/>
          <w:szCs w:val="21"/>
          <w:highlight w:val="none"/>
          <w:lang w:val="zh-CN" w:eastAsia="zh-CN" w:bidi="ar"/>
        </w:rPr>
        <w:t>（</w:t>
      </w: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zh-CN" w:eastAsia="zh-CN" w:bidi="ar"/>
        </w:rPr>
        <w:t>）枝桠清理情况：实地检查山场内疫木枝桠清理情况，要求所有</w:t>
      </w:r>
      <w:r>
        <w:rPr>
          <w:rFonts w:hint="eastAsia" w:ascii="宋体" w:hAnsi="宋体" w:eastAsia="宋体" w:cs="宋体"/>
          <w:color w:val="auto"/>
          <w:kern w:val="0"/>
          <w:sz w:val="21"/>
          <w:szCs w:val="21"/>
          <w:highlight w:val="none"/>
          <w:lang w:val="en-US" w:eastAsia="zh-CN" w:bidi="ar"/>
        </w:rPr>
        <w:t>1cm以上枝桠全部清理下山或就地焚烧，</w:t>
      </w:r>
      <w:r>
        <w:rPr>
          <w:rFonts w:hint="eastAsia" w:ascii="宋体" w:hAnsi="宋体" w:eastAsia="宋体" w:cs="宋体"/>
          <w:color w:val="auto"/>
          <w:kern w:val="0"/>
          <w:sz w:val="21"/>
          <w:szCs w:val="21"/>
          <w:highlight w:val="none"/>
          <w:lang w:val="zh-CN" w:eastAsia="zh-CN" w:bidi="ar"/>
        </w:rPr>
        <w:t>不得遗留的直径1㎝以上的枝桠，</w:t>
      </w:r>
      <w:r>
        <w:rPr>
          <w:rFonts w:hint="eastAsia" w:ascii="宋体" w:hAnsi="宋体" w:eastAsia="宋体" w:cs="宋体"/>
          <w:color w:val="auto"/>
          <w:kern w:val="0"/>
          <w:sz w:val="21"/>
          <w:szCs w:val="21"/>
          <w:highlight w:val="none"/>
          <w:lang w:val="en-US" w:eastAsia="zh-CN" w:bidi="ar"/>
        </w:rPr>
        <w:t>因天气原因暂时不能焚烧的，要将枝桠打堆、编号，防止遗漏。</w:t>
      </w:r>
    </w:p>
    <w:p w14:paraId="25D6EFEB">
      <w:pPr>
        <w:pageBreakBefore w:val="0"/>
        <w:kinsoku/>
        <w:wordWrap/>
        <w:overflowPunct/>
        <w:topLinePunct w:val="0"/>
        <w:bidi w:val="0"/>
        <w:snapToGrid w:val="0"/>
        <w:spacing w:line="400" w:lineRule="exact"/>
        <w:ind w:left="0" w:firstLine="420" w:firstLineChars="200"/>
        <w:jc w:val="left"/>
        <w:textAlignment w:val="auto"/>
        <w:rPr>
          <w:rFonts w:hint="eastAsia" w:ascii="宋体" w:hAnsi="宋体" w:eastAsia="宋体" w:cs="宋体"/>
          <w:color w:val="auto"/>
          <w:kern w:val="0"/>
          <w:sz w:val="21"/>
          <w:szCs w:val="21"/>
          <w:highlight w:val="none"/>
          <w:lang w:val="zh-CN" w:eastAsia="zh-CN" w:bidi="ar"/>
        </w:rPr>
      </w:pPr>
      <w:r>
        <w:rPr>
          <w:rFonts w:hint="eastAsia" w:ascii="宋体" w:hAnsi="宋体" w:eastAsia="宋体" w:cs="宋体"/>
          <w:color w:val="auto"/>
          <w:kern w:val="0"/>
          <w:sz w:val="21"/>
          <w:szCs w:val="21"/>
          <w:highlight w:val="none"/>
          <w:lang w:val="zh-CN" w:eastAsia="zh-CN" w:bidi="ar"/>
        </w:rPr>
        <w:t>（</w:t>
      </w: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zh-CN" w:eastAsia="zh-CN" w:bidi="ar"/>
        </w:rPr>
        <w:t>）疫木管理：对照松枯死木清理施工作业单位登记情况，对清理下山的死松树流向进行检查，确保按规定运往定点加工企业，并对林区疫木非法加工和农户留用松疫木情况进行检查，对存在的问题列出问题清单，并提出整改意见。</w:t>
      </w:r>
    </w:p>
    <w:p w14:paraId="037A796B">
      <w:pPr>
        <w:pageBreakBefore w:val="0"/>
        <w:kinsoku/>
        <w:wordWrap/>
        <w:overflowPunct/>
        <w:topLinePunct w:val="0"/>
        <w:bidi w:val="0"/>
        <w:snapToGrid w:val="0"/>
        <w:spacing w:line="400" w:lineRule="exact"/>
        <w:ind w:lef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zh-CN" w:eastAsia="zh-CN" w:bidi="ar"/>
        </w:rPr>
        <w:t>（</w:t>
      </w:r>
      <w:r>
        <w:rPr>
          <w:rFonts w:hint="eastAsia" w:ascii="宋体" w:hAnsi="宋体" w:eastAsia="宋体" w:cs="宋体"/>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val="zh-CN" w:eastAsia="zh-CN" w:bidi="ar"/>
        </w:rPr>
        <w:t>）疫木安全利用定点加工企业：</w:t>
      </w:r>
      <w:r>
        <w:rPr>
          <w:rFonts w:hint="eastAsia" w:ascii="宋体" w:hAnsi="宋体" w:eastAsia="宋体" w:cs="宋体"/>
          <w:color w:val="auto"/>
          <w:kern w:val="0"/>
          <w:sz w:val="21"/>
          <w:szCs w:val="21"/>
          <w:highlight w:val="none"/>
          <w:lang w:val="en-US" w:eastAsia="zh-CN" w:bidi="ar"/>
        </w:rPr>
        <w:t>每周至少一次到</w:t>
      </w:r>
      <w:r>
        <w:rPr>
          <w:rFonts w:hint="eastAsia" w:ascii="宋体" w:hAnsi="宋体" w:eastAsia="宋体" w:cs="宋体"/>
          <w:color w:val="auto"/>
          <w:kern w:val="0"/>
          <w:sz w:val="21"/>
          <w:szCs w:val="21"/>
          <w:highlight w:val="none"/>
          <w:lang w:val="zh-CN" w:eastAsia="zh-CN" w:bidi="ar"/>
        </w:rPr>
        <w:t>疫木安全利用定点加工企业</w:t>
      </w:r>
      <w:r>
        <w:rPr>
          <w:rFonts w:hint="eastAsia" w:ascii="宋体" w:hAnsi="宋体" w:eastAsia="宋体" w:cs="宋体"/>
          <w:color w:val="auto"/>
          <w:kern w:val="0"/>
          <w:sz w:val="21"/>
          <w:szCs w:val="21"/>
          <w:highlight w:val="none"/>
          <w:lang w:val="en-US" w:eastAsia="zh-CN" w:bidi="ar"/>
        </w:rPr>
        <w:t>核对</w:t>
      </w:r>
      <w:r>
        <w:rPr>
          <w:rFonts w:hint="eastAsia" w:ascii="宋体" w:hAnsi="宋体" w:eastAsia="宋体" w:cs="宋体"/>
          <w:color w:val="auto"/>
          <w:kern w:val="0"/>
          <w:sz w:val="21"/>
          <w:szCs w:val="21"/>
          <w:highlight w:val="none"/>
          <w:lang w:val="zh-CN" w:eastAsia="zh-CN" w:bidi="ar"/>
        </w:rPr>
        <w:t>各清理单位</w:t>
      </w:r>
      <w:r>
        <w:rPr>
          <w:rFonts w:hint="eastAsia" w:ascii="宋体" w:hAnsi="宋体" w:eastAsia="宋体" w:cs="宋体"/>
          <w:color w:val="auto"/>
          <w:kern w:val="0"/>
          <w:sz w:val="21"/>
          <w:szCs w:val="21"/>
          <w:highlight w:val="none"/>
          <w:lang w:val="en-US" w:eastAsia="zh-CN" w:bidi="ar"/>
        </w:rPr>
        <w:t>进场疫木数量和来源，准确率要达到100%，每半个月把疫木进场情况书面报告甲方。</w:t>
      </w:r>
    </w:p>
    <w:p w14:paraId="6D6C33BD">
      <w:pPr>
        <w:pageBreakBefore w:val="0"/>
        <w:kinsoku/>
        <w:wordWrap/>
        <w:overflowPunct/>
        <w:topLinePunct w:val="0"/>
        <w:bidi w:val="0"/>
        <w:snapToGrid w:val="0"/>
        <w:spacing w:line="400" w:lineRule="exact"/>
        <w:ind w:left="0" w:firstLine="420" w:firstLineChars="200"/>
        <w:jc w:val="left"/>
        <w:textAlignment w:val="auto"/>
        <w:rPr>
          <w:rFonts w:hint="eastAsia" w:ascii="宋体" w:hAnsi="宋体" w:eastAsia="宋体" w:cs="宋体"/>
          <w:color w:val="auto"/>
          <w:kern w:val="0"/>
          <w:sz w:val="21"/>
          <w:szCs w:val="21"/>
          <w:highlight w:val="none"/>
          <w:lang w:val="zh-CN" w:eastAsia="zh-CN" w:bidi="ar"/>
        </w:rPr>
      </w:pPr>
      <w:r>
        <w:rPr>
          <w:rFonts w:hint="eastAsia" w:ascii="宋体" w:hAnsi="宋体" w:eastAsia="宋体" w:cs="宋体"/>
          <w:color w:val="auto"/>
          <w:kern w:val="0"/>
          <w:sz w:val="21"/>
          <w:szCs w:val="21"/>
          <w:highlight w:val="none"/>
          <w:lang w:val="zh-CN" w:eastAsia="zh-CN" w:bidi="ar"/>
        </w:rPr>
        <w:t>（</w:t>
      </w:r>
      <w:r>
        <w:rPr>
          <w:rFonts w:hint="eastAsia" w:ascii="宋体" w:hAnsi="宋体" w:eastAsia="宋体" w:cs="宋体"/>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val="zh-CN" w:eastAsia="zh-CN" w:bidi="ar"/>
        </w:rPr>
        <w:t>）采伐证监管：实地检查除治山场采伐证审批情况，检查是否存在超伐、砍伐活松树等现象，并提出整改意见。</w:t>
      </w:r>
    </w:p>
    <w:p w14:paraId="16389650">
      <w:pPr>
        <w:pageBreakBefore w:val="0"/>
        <w:kinsoku/>
        <w:wordWrap/>
        <w:overflowPunct/>
        <w:topLinePunct w:val="0"/>
        <w:bidi w:val="0"/>
        <w:snapToGrid w:val="0"/>
        <w:spacing w:line="400" w:lineRule="exact"/>
        <w:ind w:lef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zh-CN" w:eastAsia="zh-CN" w:bidi="ar"/>
        </w:rPr>
        <w:t>（</w:t>
      </w:r>
      <w:r>
        <w:rPr>
          <w:rFonts w:hint="eastAsia" w:ascii="宋体" w:hAnsi="宋体" w:eastAsia="宋体" w:cs="宋体"/>
          <w:color w:val="auto"/>
          <w:kern w:val="0"/>
          <w:sz w:val="21"/>
          <w:szCs w:val="21"/>
          <w:highlight w:val="none"/>
          <w:lang w:val="en-US" w:eastAsia="zh-CN" w:bidi="ar"/>
        </w:rPr>
        <w:t>8</w:t>
      </w:r>
      <w:r>
        <w:rPr>
          <w:rFonts w:hint="eastAsia" w:ascii="宋体" w:hAnsi="宋体" w:eastAsia="宋体" w:cs="宋体"/>
          <w:color w:val="auto"/>
          <w:kern w:val="0"/>
          <w:sz w:val="21"/>
          <w:szCs w:val="21"/>
          <w:highlight w:val="none"/>
          <w:lang w:val="zh-CN" w:eastAsia="zh-CN" w:bidi="ar"/>
        </w:rPr>
        <w:t>）按要求进行省市抽查整改情况的检查和县级整改问题清单的复查。</w:t>
      </w:r>
    </w:p>
    <w:p w14:paraId="030A8F7C">
      <w:pPr>
        <w:pageBreakBefore w:val="0"/>
        <w:kinsoku/>
        <w:wordWrap/>
        <w:overflowPunct/>
        <w:topLinePunct w:val="0"/>
        <w:bidi w:val="0"/>
        <w:snapToGrid w:val="0"/>
        <w:spacing w:line="400" w:lineRule="exact"/>
        <w:ind w:lef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、监理人员的要求</w:t>
      </w:r>
    </w:p>
    <w:p w14:paraId="401F96EA">
      <w:pPr>
        <w:pageBreakBefore w:val="0"/>
        <w:kinsoku/>
        <w:wordWrap/>
        <w:overflowPunct/>
        <w:topLinePunct w:val="0"/>
        <w:bidi w:val="0"/>
        <w:snapToGrid w:val="0"/>
        <w:spacing w:line="4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cs="宋体"/>
          <w:bCs/>
          <w:color w:val="auto"/>
          <w:szCs w:val="21"/>
          <w:highlight w:val="none"/>
        </w:rPr>
        <w:t>▲</w:t>
      </w:r>
      <w:r>
        <w:rPr>
          <w:rFonts w:hint="eastAsia" w:ascii="宋体" w:hAnsi="宋体" w:eastAsia="宋体" w:cs="宋体"/>
          <w:color w:val="auto"/>
          <w:kern w:val="0"/>
          <w:sz w:val="21"/>
          <w:szCs w:val="21"/>
          <w:highlight w:val="none"/>
          <w:lang w:val="zh-CN" w:eastAsia="zh-CN" w:bidi="ar"/>
        </w:rPr>
        <w:t>监理人员到位情况：在本项目上，监理负责人</w:t>
      </w: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zh-CN" w:eastAsia="zh-CN" w:bidi="ar"/>
        </w:rPr>
        <w:t>人要求在项目</w:t>
      </w:r>
      <w:r>
        <w:rPr>
          <w:rFonts w:hint="eastAsia" w:ascii="宋体" w:hAnsi="宋体" w:eastAsia="宋体" w:cs="宋体"/>
          <w:color w:val="auto"/>
          <w:kern w:val="0"/>
          <w:sz w:val="21"/>
          <w:szCs w:val="21"/>
          <w:highlight w:val="none"/>
          <w:lang w:val="en-US" w:eastAsia="zh-CN" w:bidi="ar"/>
        </w:rPr>
        <w:t>施工</w:t>
      </w:r>
      <w:r>
        <w:rPr>
          <w:rFonts w:hint="eastAsia" w:ascii="宋体" w:hAnsi="宋体" w:eastAsia="宋体" w:cs="宋体"/>
          <w:color w:val="auto"/>
          <w:kern w:val="0"/>
          <w:sz w:val="21"/>
          <w:szCs w:val="21"/>
          <w:highlight w:val="none"/>
          <w:lang w:val="zh-CN" w:eastAsia="zh-CN" w:bidi="ar"/>
        </w:rPr>
        <w:t>期间常驻</w:t>
      </w:r>
      <w:r>
        <w:rPr>
          <w:rFonts w:hint="eastAsia" w:ascii="宋体" w:hAnsi="宋体" w:eastAsia="宋体" w:cs="宋体"/>
          <w:color w:val="auto"/>
          <w:kern w:val="0"/>
          <w:sz w:val="21"/>
          <w:szCs w:val="21"/>
          <w:highlight w:val="none"/>
          <w:lang w:val="en-US" w:eastAsia="zh-CN" w:bidi="ar"/>
        </w:rPr>
        <w:t>开化县</w:t>
      </w:r>
      <w:r>
        <w:rPr>
          <w:rFonts w:hint="eastAsia" w:ascii="宋体" w:hAnsi="宋体" w:eastAsia="宋体" w:cs="宋体"/>
          <w:color w:val="auto"/>
          <w:kern w:val="0"/>
          <w:sz w:val="21"/>
          <w:szCs w:val="21"/>
          <w:highlight w:val="none"/>
          <w:lang w:val="zh-CN" w:eastAsia="zh-CN" w:bidi="ar"/>
        </w:rPr>
        <w:t>，全程参与项目监理工作，本项目监理团队（</w:t>
      </w:r>
      <w:r>
        <w:rPr>
          <w:rFonts w:hint="eastAsia" w:ascii="宋体" w:hAnsi="宋体" w:eastAsia="宋体" w:cs="宋体"/>
          <w:color w:val="auto"/>
          <w:kern w:val="0"/>
          <w:sz w:val="21"/>
          <w:szCs w:val="21"/>
          <w:highlight w:val="none"/>
          <w:lang w:val="en-US" w:eastAsia="zh-CN" w:bidi="ar"/>
        </w:rPr>
        <w:t>含</w:t>
      </w:r>
      <w:r>
        <w:rPr>
          <w:rFonts w:hint="eastAsia" w:ascii="宋体" w:hAnsi="宋体" w:eastAsia="宋体" w:cs="宋体"/>
          <w:color w:val="auto"/>
          <w:kern w:val="0"/>
          <w:sz w:val="21"/>
          <w:szCs w:val="21"/>
          <w:highlight w:val="none"/>
          <w:lang w:val="zh-CN" w:eastAsia="zh-CN" w:bidi="ar"/>
        </w:rPr>
        <w:t>监理</w:t>
      </w:r>
      <w:r>
        <w:rPr>
          <w:rFonts w:hint="eastAsia" w:ascii="宋体" w:hAnsi="宋体" w:eastAsia="宋体" w:cs="宋体"/>
          <w:color w:val="auto"/>
          <w:kern w:val="0"/>
          <w:sz w:val="21"/>
          <w:szCs w:val="21"/>
          <w:highlight w:val="none"/>
          <w:lang w:val="en-US" w:eastAsia="zh-CN" w:bidi="ar"/>
        </w:rPr>
        <w:t>负责人</w:t>
      </w:r>
      <w:r>
        <w:rPr>
          <w:rFonts w:hint="eastAsia" w:ascii="宋体" w:hAnsi="宋体" w:eastAsia="宋体" w:cs="宋体"/>
          <w:color w:val="auto"/>
          <w:kern w:val="0"/>
          <w:sz w:val="21"/>
          <w:szCs w:val="21"/>
          <w:highlight w:val="none"/>
          <w:lang w:val="zh-CN" w:eastAsia="zh-CN" w:bidi="ar"/>
        </w:rPr>
        <w:t>）不少于</w:t>
      </w:r>
      <w:r>
        <w:rPr>
          <w:rFonts w:hint="eastAsia" w:ascii="宋体" w:hAnsi="宋体" w:cs="宋体"/>
          <w:color w:val="auto"/>
          <w:kern w:val="0"/>
          <w:sz w:val="21"/>
          <w:szCs w:val="21"/>
          <w:highlight w:val="none"/>
          <w:lang w:val="en-US" w:eastAsia="zh-CN" w:bidi="ar"/>
        </w:rPr>
        <w:t>9</w:t>
      </w:r>
      <w:r>
        <w:rPr>
          <w:rFonts w:hint="eastAsia" w:ascii="宋体" w:hAnsi="宋体" w:eastAsia="宋体" w:cs="宋体"/>
          <w:color w:val="auto"/>
          <w:kern w:val="0"/>
          <w:sz w:val="21"/>
          <w:szCs w:val="21"/>
          <w:highlight w:val="none"/>
          <w:lang w:val="zh-CN" w:eastAsia="zh-CN" w:bidi="ar"/>
        </w:rPr>
        <w:t>人。</w:t>
      </w:r>
    </w:p>
    <w:p w14:paraId="65605611">
      <w:pPr>
        <w:pageBreakBefore w:val="0"/>
        <w:kinsoku/>
        <w:wordWrap/>
        <w:overflowPunct/>
        <w:topLinePunct w:val="0"/>
        <w:bidi w:val="0"/>
        <w:snapToGrid w:val="0"/>
        <w:spacing w:line="400" w:lineRule="exact"/>
        <w:ind w:lef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注：监理人员可由投标人根据施工监理实际进行调剂安排。</w:t>
      </w:r>
    </w:p>
    <w:p w14:paraId="5FE2514A">
      <w:pPr>
        <w:pageBreakBefore w:val="0"/>
        <w:kinsoku/>
        <w:wordWrap/>
        <w:overflowPunct/>
        <w:topLinePunct w:val="0"/>
        <w:bidi w:val="0"/>
        <w:snapToGrid w:val="0"/>
        <w:spacing w:line="400" w:lineRule="exact"/>
        <w:ind w:lef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（1）上述要求的监理人员中，监理负责人、监理员等主要人员的人数原则上保持不变，监理人员的人数也应根据施工进展情况作出适当的调整。监理人员的进、退场情况应事先取得采购人的书面同意。</w:t>
      </w:r>
    </w:p>
    <w:p w14:paraId="164C5E1D">
      <w:pPr>
        <w:pageBreakBefore w:val="0"/>
        <w:kinsoku/>
        <w:wordWrap/>
        <w:overflowPunct/>
        <w:topLinePunct w:val="0"/>
        <w:bidi w:val="0"/>
        <w:snapToGrid w:val="0"/>
        <w:spacing w:line="400" w:lineRule="exact"/>
        <w:ind w:lef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（2）供应商应派遣投标文件中承诺的监理人员进驻现场，不得随意更换投标文件中承诺的监理负责人、监理人员等主要监理人员。</w:t>
      </w:r>
    </w:p>
    <w:p w14:paraId="24F4E281">
      <w:pPr>
        <w:pageBreakBefore w:val="0"/>
        <w:kinsoku/>
        <w:wordWrap/>
        <w:overflowPunct/>
        <w:topLinePunct w:val="0"/>
        <w:bidi w:val="0"/>
        <w:snapToGrid w:val="0"/>
        <w:spacing w:line="400" w:lineRule="exact"/>
        <w:ind w:lef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（3）监理负责人、监理员等主要人员须身体健康，工作责任心强。</w:t>
      </w:r>
    </w:p>
    <w:p w14:paraId="76B04171">
      <w:pPr>
        <w:pageBreakBefore w:val="0"/>
        <w:kinsoku/>
        <w:wordWrap/>
        <w:overflowPunct/>
        <w:topLinePunct w:val="0"/>
        <w:bidi w:val="0"/>
        <w:snapToGrid w:val="0"/>
        <w:spacing w:line="400" w:lineRule="exact"/>
        <w:ind w:lef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）本项目监理团队须每周及时向采购人汇报监理工作情况。如上级部门或采购人发现施工方存在施工问题，而监理方未及时发现并及时向采购人汇报，导致的后果由监理方承担，且采购人有权对监理方作出处罚。</w:t>
      </w:r>
    </w:p>
    <w:p w14:paraId="03C5E865">
      <w:pPr>
        <w:keepNext w:val="0"/>
        <w:keepLines w:val="0"/>
        <w:pageBreakBefore w:val="0"/>
        <w:kinsoku/>
        <w:wordWrap/>
        <w:overflowPunct/>
        <w:topLinePunct w:val="0"/>
        <w:autoSpaceDE/>
        <w:autoSpaceDN/>
        <w:bidi w:val="0"/>
        <w:adjustRightInd/>
        <w:spacing w:line="420" w:lineRule="exact"/>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）监理工作期间，所有的人员安全责任及赔偿等均由中标人自行承担。</w:t>
      </w:r>
    </w:p>
    <w:p w14:paraId="29A77E57">
      <w:pPr>
        <w:pageBreakBefore w:val="0"/>
        <w:kinsoku/>
        <w:wordWrap/>
        <w:overflowPunct/>
        <w:topLinePunct w:val="0"/>
        <w:bidi w:val="0"/>
        <w:snapToGrid w:val="0"/>
        <w:spacing w:line="400" w:lineRule="exact"/>
        <w:ind w:left="0" w:firstLine="420" w:firstLineChars="200"/>
        <w:jc w:val="left"/>
        <w:textAlignment w:val="auto"/>
        <w:rPr>
          <w:rFonts w:hint="eastAsia"/>
          <w:color w:val="auto"/>
          <w:lang w:val="en-US" w:eastAsia="zh-CN"/>
        </w:rPr>
      </w:pPr>
      <w:r>
        <w:rPr>
          <w:rFonts w:hint="eastAsia" w:ascii="宋体" w:hAnsi="宋体" w:eastAsia="宋体" w:cs="宋体"/>
          <w:color w:val="auto"/>
          <w:kern w:val="0"/>
          <w:sz w:val="21"/>
          <w:szCs w:val="21"/>
          <w:highlight w:val="none"/>
          <w:lang w:val="en-US" w:eastAsia="zh-CN" w:bidi="ar"/>
        </w:rPr>
        <w:t>4、如因招投标价格下浮等原因造成本项目工程建设费用减少，其减少金额采购单位可能组织剩余资金标段进行施工，中标单位需无条件配合完成该剩余资金标段的所有监理工作。</w:t>
      </w:r>
    </w:p>
    <w:p w14:paraId="2460B82D">
      <w:pPr>
        <w:spacing w:line="400" w:lineRule="exact"/>
        <w:rPr>
          <w:rFonts w:hint="default" w:ascii="宋体" w:hAnsi="宋体" w:eastAsia="宋体" w:cs="宋体"/>
          <w:b/>
          <w:bCs/>
          <w:color w:val="auto"/>
          <w:kern w:val="0"/>
          <w:szCs w:val="21"/>
          <w:highlight w:val="none"/>
          <w:lang w:val="en-US" w:eastAsia="zh-CN"/>
        </w:rPr>
      </w:pPr>
      <w:r>
        <w:rPr>
          <w:rFonts w:hint="eastAsia" w:ascii="宋体" w:hAnsi="宋体" w:cs="宋体"/>
          <w:b/>
          <w:bCs/>
          <w:color w:val="auto"/>
          <w:kern w:val="0"/>
          <w:szCs w:val="21"/>
          <w:highlight w:val="none"/>
          <w:lang w:val="en-US" w:eastAsia="zh-CN"/>
        </w:rPr>
        <w:t>五</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服务</w:t>
      </w:r>
      <w:r>
        <w:rPr>
          <w:rFonts w:hint="eastAsia" w:ascii="宋体" w:hAnsi="宋体" w:cs="宋体"/>
          <w:b/>
          <w:bCs/>
          <w:color w:val="auto"/>
          <w:kern w:val="0"/>
          <w:szCs w:val="21"/>
          <w:highlight w:val="none"/>
        </w:rPr>
        <w:t>地点</w:t>
      </w:r>
      <w:r>
        <w:rPr>
          <w:rFonts w:hint="eastAsia" w:ascii="宋体" w:hAnsi="宋体" w:cs="宋体"/>
          <w:b/>
          <w:bCs/>
          <w:color w:val="auto"/>
          <w:kern w:val="0"/>
          <w:szCs w:val="21"/>
          <w:highlight w:val="none"/>
          <w:lang w:eastAsia="zh-CN"/>
        </w:rPr>
        <w:t>：</w:t>
      </w:r>
      <w:r>
        <w:rPr>
          <w:rFonts w:hint="eastAsia" w:ascii="宋体" w:hAnsi="宋体" w:cs="宋体"/>
          <w:b w:val="0"/>
          <w:bCs w:val="0"/>
          <w:color w:val="auto"/>
          <w:kern w:val="0"/>
          <w:szCs w:val="21"/>
          <w:highlight w:val="none"/>
          <w:lang w:val="en-US" w:eastAsia="zh-CN"/>
        </w:rPr>
        <w:t>开化县范围内。</w:t>
      </w:r>
    </w:p>
    <w:p w14:paraId="27BD559C">
      <w:pPr>
        <w:spacing w:line="400" w:lineRule="exac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lang w:val="en-US" w:eastAsia="zh-CN"/>
        </w:rPr>
        <w:t>六</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rPr>
        <w:t>工期（服务期限）要求</w:t>
      </w:r>
    </w:p>
    <w:p w14:paraId="03300E25">
      <w:pPr>
        <w:pageBreakBefore w:val="0"/>
        <w:numPr>
          <w:ilvl w:val="0"/>
          <w:numId w:val="0"/>
        </w:numPr>
        <w:kinsoku/>
        <w:wordWrap/>
        <w:overflowPunct/>
        <w:topLinePunct w:val="0"/>
        <w:bidi w:val="0"/>
        <w:spacing w:line="400" w:lineRule="exact"/>
        <w:ind w:left="0" w:leftChars="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从签订合同之日起至工程竣工验收合格且工程结算完毕为止</w:t>
      </w:r>
      <w:r>
        <w:rPr>
          <w:rFonts w:hint="eastAsia" w:ascii="宋体" w:hAnsi="宋体" w:cs="宋体"/>
          <w:color w:val="auto"/>
          <w:szCs w:val="21"/>
          <w:highlight w:val="none"/>
          <w:lang w:val="en-US" w:eastAsia="zh-CN"/>
        </w:rPr>
        <w:t>。</w:t>
      </w:r>
    </w:p>
    <w:p w14:paraId="00248EF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lang w:val="en-US" w:eastAsia="zh-CN"/>
        </w:rPr>
        <w:t>、联合体投标</w:t>
      </w:r>
    </w:p>
    <w:p w14:paraId="0D45FA08">
      <w:pPr>
        <w:keepNext w:val="0"/>
        <w:keepLines w:val="0"/>
        <w:pageBreakBefore w:val="0"/>
        <w:widowControl w:val="0"/>
        <w:kinsoku/>
        <w:wordWrap/>
        <w:overflowPunct/>
        <w:topLinePunct w:val="0"/>
        <w:autoSpaceDE/>
        <w:autoSpaceDN/>
        <w:bidi w:val="0"/>
        <w:adjustRightInd/>
        <w:snapToGrid w:val="0"/>
        <w:spacing w:line="420" w:lineRule="exact"/>
        <w:ind w:firstLine="437"/>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本项目接受联合体投标。</w:t>
      </w:r>
      <w:r>
        <w:rPr>
          <w:rFonts w:hint="eastAsia" w:ascii="宋体" w:hAnsi="宋体" w:cs="宋体"/>
          <w:color w:val="auto"/>
          <w:sz w:val="21"/>
          <w:szCs w:val="21"/>
          <w:highlight w:val="none"/>
          <w:lang w:val="en-US" w:eastAsia="zh-CN"/>
        </w:rPr>
        <w:t>联合体所有成员数量不得超过2家</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联合体牵头人须为建设行政主管部门核发有效的工程监理综合资质。联合体各方不得再以自己名义单独或参与其他联合体在本次招标中投标，否则，相关投标均视为无效投标。联合体投标的由联合体牵头单位负责投标事宜。</w:t>
      </w:r>
    </w:p>
    <w:p w14:paraId="077C729A">
      <w:pPr>
        <w:keepNext w:val="0"/>
        <w:keepLines w:val="0"/>
        <w:pageBreakBefore w:val="0"/>
        <w:widowControl w:val="0"/>
        <w:kinsoku/>
        <w:wordWrap/>
        <w:overflowPunct/>
        <w:topLinePunct w:val="0"/>
        <w:autoSpaceDE/>
        <w:autoSpaceDN/>
        <w:bidi w:val="0"/>
        <w:adjustRightInd/>
        <w:snapToGrid w:val="0"/>
        <w:spacing w:line="420" w:lineRule="exact"/>
        <w:ind w:firstLine="437"/>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如承包人为联合体投标的，费用由发包人支付给牵头人，并由牵头人开具发票。合同履行过程中，承包人产生的违约金等款项，发包人有权在应付款项中直接扣除。若牵头人未按约定及时将进度款支付至联合体成员单位，则发包人有权暂缓后续进度款的支付。</w:t>
      </w:r>
    </w:p>
    <w:p w14:paraId="43D317A7">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outlineLvl w:val="0"/>
        <w:rPr>
          <w:rFonts w:hint="eastAsia" w:ascii="黑体" w:hAnsi="黑体" w:eastAsia="黑体" w:cs="黑体"/>
          <w:color w:val="auto"/>
          <w:kern w:val="0"/>
          <w:sz w:val="36"/>
          <w:szCs w:val="36"/>
          <w:highlight w:val="none"/>
        </w:rPr>
      </w:pPr>
      <w:r>
        <w:rPr>
          <w:rFonts w:hint="eastAsia" w:ascii="宋体" w:hAnsi="宋体" w:cs="宋体"/>
          <w:color w:val="auto"/>
          <w:sz w:val="21"/>
          <w:szCs w:val="21"/>
          <w:highlight w:val="none"/>
          <w:lang w:val="en-US" w:eastAsia="zh-CN"/>
        </w:rPr>
        <w:br w:type="page"/>
      </w:r>
      <w:r>
        <w:rPr>
          <w:rFonts w:hint="eastAsia" w:ascii="黑体" w:hAnsi="黑体" w:eastAsia="黑体" w:cs="黑体"/>
          <w:color w:val="auto"/>
          <w:kern w:val="0"/>
          <w:sz w:val="36"/>
          <w:szCs w:val="36"/>
          <w:highlight w:val="none"/>
        </w:rPr>
        <w:t>第五章  投标文件格式</w:t>
      </w:r>
      <w:bookmarkEnd w:id="70"/>
      <w:bookmarkEnd w:id="71"/>
      <w:bookmarkEnd w:id="72"/>
      <w:bookmarkEnd w:id="73"/>
    </w:p>
    <w:p w14:paraId="4CD4D6A3">
      <w:pPr>
        <w:spacing w:before="312" w:beforeLines="100" w:line="440" w:lineRule="atLeast"/>
        <w:jc w:val="right"/>
        <w:rPr>
          <w:rFonts w:hint="eastAsia" w:ascii="宋体" w:hAnsi="宋体" w:cs="宋体"/>
          <w:b/>
          <w:color w:val="auto"/>
          <w:sz w:val="30"/>
          <w:szCs w:val="30"/>
          <w:highlight w:val="none"/>
        </w:rPr>
      </w:pPr>
      <w:r>
        <w:rPr>
          <w:rFonts w:hint="eastAsia" w:ascii="宋体" w:hAnsi="宋体" w:cs="宋体"/>
          <w:b/>
          <w:color w:val="auto"/>
          <w:sz w:val="30"/>
          <w:szCs w:val="30"/>
          <w:highlight w:val="none"/>
        </w:rPr>
        <w:br w:type="page"/>
      </w:r>
    </w:p>
    <w:p w14:paraId="4BF93A06">
      <w:pPr>
        <w:pageBreakBefore w:val="0"/>
        <w:widowControl w:val="0"/>
        <w:kinsoku/>
        <w:wordWrap/>
        <w:overflowPunct/>
        <w:topLinePunct w:val="0"/>
        <w:autoSpaceDE/>
        <w:autoSpaceDN/>
        <w:bidi w:val="0"/>
        <w:adjustRightInd/>
        <w:spacing w:line="700" w:lineRule="exact"/>
        <w:textAlignment w:val="auto"/>
        <w:outlineLvl w:val="9"/>
        <w:rPr>
          <w:rFonts w:hint="eastAsia"/>
          <w:color w:val="auto"/>
          <w:highlight w:val="none"/>
        </w:rPr>
      </w:pPr>
    </w:p>
    <w:p w14:paraId="2B7A388A">
      <w:pPr>
        <w:pageBreakBefore w:val="0"/>
        <w:widowControl w:val="0"/>
        <w:kinsoku/>
        <w:wordWrap/>
        <w:overflowPunct/>
        <w:topLinePunct w:val="0"/>
        <w:autoSpaceDE/>
        <w:autoSpaceDN/>
        <w:bidi w:val="0"/>
        <w:adjustRightInd/>
        <w:spacing w:line="700" w:lineRule="exact"/>
        <w:jc w:val="center"/>
        <w:textAlignment w:val="auto"/>
        <w:outlineLvl w:val="9"/>
        <w:rPr>
          <w:rFonts w:hint="eastAsia" w:ascii="宋体" w:hAnsi="宋体" w:cs="宋体"/>
          <w:b/>
          <w:bCs/>
          <w:color w:val="auto"/>
          <w:sz w:val="44"/>
          <w:szCs w:val="44"/>
          <w:highlight w:val="none"/>
        </w:rPr>
      </w:pPr>
      <w:bookmarkStart w:id="74" w:name="_Toc468954251"/>
      <w:bookmarkStart w:id="75" w:name="_Toc476230643"/>
      <w:bookmarkStart w:id="76" w:name="_Toc19279"/>
      <w:bookmarkStart w:id="77" w:name="_Toc469475468"/>
      <w:bookmarkStart w:id="78" w:name="_Toc393201727"/>
      <w:bookmarkStart w:id="79" w:name="_Toc495666236"/>
      <w:bookmarkStart w:id="80" w:name="_Toc470269884"/>
      <w:bookmarkStart w:id="81" w:name="_Toc387831502"/>
      <w:bookmarkStart w:id="82" w:name="_Toc392080785"/>
      <w:bookmarkStart w:id="83" w:name="_Toc476230507"/>
      <w:bookmarkStart w:id="84" w:name="_Toc433882646"/>
      <w:bookmarkStart w:id="85" w:name="_Toc467572533"/>
      <w:bookmarkStart w:id="86" w:name="_Toc471819797"/>
      <w:bookmarkStart w:id="87" w:name="_Toc463851843"/>
      <w:bookmarkStart w:id="88" w:name="_Toc437331615"/>
      <w:bookmarkStart w:id="89" w:name="_Toc1082"/>
      <w:bookmarkStart w:id="90" w:name="_Toc470270000"/>
      <w:bookmarkStart w:id="91" w:name="_Toc435706544"/>
      <w:bookmarkStart w:id="92" w:name="_Toc471819737"/>
      <w:bookmarkStart w:id="93" w:name="_Toc336331380"/>
      <w:bookmarkStart w:id="94" w:name="_Toc424199675"/>
      <w:bookmarkStart w:id="95" w:name="_Toc476230919"/>
      <w:bookmarkStart w:id="96" w:name="_Toc30977"/>
      <w:bookmarkStart w:id="97" w:name="_Toc476229712"/>
    </w:p>
    <w:p w14:paraId="5BC264E0">
      <w:pPr>
        <w:pageBreakBefore w:val="0"/>
        <w:widowControl w:val="0"/>
        <w:kinsoku/>
        <w:wordWrap/>
        <w:overflowPunct/>
        <w:topLinePunct w:val="0"/>
        <w:autoSpaceDE/>
        <w:autoSpaceDN/>
        <w:bidi w:val="0"/>
        <w:adjustRightInd/>
        <w:spacing w:line="700" w:lineRule="exact"/>
        <w:textAlignment w:val="auto"/>
        <w:outlineLvl w:val="9"/>
        <w:rPr>
          <w:rFonts w:hint="eastAsia"/>
          <w:color w:val="auto"/>
        </w:rPr>
      </w:pPr>
    </w:p>
    <w:p w14:paraId="24934DBB">
      <w:pPr>
        <w:pageBreakBefore w:val="0"/>
        <w:widowControl w:val="0"/>
        <w:kinsoku/>
        <w:wordWrap/>
        <w:overflowPunct/>
        <w:topLinePunct w:val="0"/>
        <w:autoSpaceDE/>
        <w:autoSpaceDN/>
        <w:bidi w:val="0"/>
        <w:adjustRightInd/>
        <w:spacing w:line="700" w:lineRule="exact"/>
        <w:jc w:val="center"/>
        <w:textAlignment w:val="auto"/>
        <w:outlineLvl w:val="1"/>
        <w:rPr>
          <w:rFonts w:hint="eastAsia" w:ascii="宋体" w:hAnsi="宋体" w:cs="宋体"/>
          <w:b/>
          <w:bCs/>
          <w:color w:val="auto"/>
          <w:sz w:val="44"/>
          <w:szCs w:val="44"/>
          <w:highlight w:val="none"/>
        </w:rPr>
      </w:pPr>
      <w:r>
        <w:rPr>
          <w:rFonts w:hint="eastAsia" w:ascii="宋体" w:hAnsi="宋体" w:cs="宋体"/>
          <w:b/>
          <w:bCs/>
          <w:color w:val="auto"/>
          <w:sz w:val="44"/>
          <w:szCs w:val="44"/>
          <w:highlight w:val="none"/>
        </w:rPr>
        <w:t>资格证明文件</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6BA77319">
      <w:pPr>
        <w:pageBreakBefore w:val="0"/>
        <w:widowControl w:val="0"/>
        <w:kinsoku/>
        <w:wordWrap/>
        <w:overflowPunct/>
        <w:topLinePunct w:val="0"/>
        <w:autoSpaceDE/>
        <w:autoSpaceDN/>
        <w:bidi w:val="0"/>
        <w:adjustRightInd/>
        <w:spacing w:line="700" w:lineRule="exact"/>
        <w:textAlignment w:val="auto"/>
        <w:rPr>
          <w:rFonts w:hint="eastAsia"/>
          <w:color w:val="auto"/>
          <w:highlight w:val="none"/>
        </w:rPr>
      </w:pPr>
      <w:bookmarkStart w:id="98" w:name="_Toc22050"/>
      <w:bookmarkStart w:id="99" w:name="_Toc27160"/>
      <w:bookmarkStart w:id="100" w:name="_Toc27112"/>
      <w:r>
        <w:rPr>
          <w:rFonts w:hint="eastAsia"/>
          <w:color w:val="auto"/>
          <w:highlight w:val="none"/>
        </w:rPr>
        <w:t>   </w:t>
      </w:r>
      <w:bookmarkEnd w:id="98"/>
      <w:bookmarkEnd w:id="99"/>
      <w:bookmarkEnd w:id="100"/>
    </w:p>
    <w:p w14:paraId="2E65781A">
      <w:pPr>
        <w:outlineLvl w:val="9"/>
        <w:rPr>
          <w:rFonts w:hint="eastAsia"/>
          <w:color w:val="auto"/>
        </w:rPr>
      </w:pPr>
    </w:p>
    <w:p w14:paraId="5DF0AB06">
      <w:pPr>
        <w:pageBreakBefore w:val="0"/>
        <w:widowControl w:val="0"/>
        <w:kinsoku/>
        <w:wordWrap/>
        <w:overflowPunct/>
        <w:topLinePunct w:val="0"/>
        <w:autoSpaceDE/>
        <w:autoSpaceDN/>
        <w:bidi w:val="0"/>
        <w:adjustRightInd/>
        <w:snapToGrid w:val="0"/>
        <w:spacing w:line="700" w:lineRule="exact"/>
        <w:ind w:left="2461" w:leftChars="334" w:hanging="1760" w:hangingChars="550"/>
        <w:textAlignment w:val="auto"/>
        <w:rPr>
          <w:rFonts w:hint="eastAsia" w:ascii="宋体" w:hAnsi="宋体" w:cs="宋体"/>
          <w:color w:val="auto"/>
          <w:sz w:val="32"/>
          <w:szCs w:val="32"/>
          <w:highlight w:val="none"/>
        </w:rPr>
      </w:pPr>
      <w:bookmarkStart w:id="101" w:name="_Toc340582347"/>
    </w:p>
    <w:bookmarkEnd w:id="101"/>
    <w:p w14:paraId="09543D4B">
      <w:pPr>
        <w:pageBreakBefore w:val="0"/>
        <w:widowControl w:val="0"/>
        <w:kinsoku/>
        <w:wordWrap/>
        <w:overflowPunct/>
        <w:topLinePunct w:val="0"/>
        <w:autoSpaceDE/>
        <w:autoSpaceDN/>
        <w:bidi w:val="0"/>
        <w:adjustRightInd/>
        <w:spacing w:line="700" w:lineRule="exact"/>
        <w:ind w:left="1964" w:leftChars="266" w:hanging="1405" w:hangingChars="500"/>
        <w:textAlignment w:val="auto"/>
        <w:rPr>
          <w:rFonts w:hint="default" w:ascii="宋体" w:hAnsi="宋体" w:cs="宋体"/>
          <w:b/>
          <w:bCs/>
          <w:color w:val="auto"/>
          <w:sz w:val="28"/>
          <w:szCs w:val="28"/>
          <w:highlight w:val="none"/>
          <w:u w:val="single"/>
          <w:lang w:val="en-US"/>
        </w:rPr>
      </w:pPr>
      <w:r>
        <w:rPr>
          <w:rFonts w:hint="eastAsia" w:ascii="宋体" w:hAnsi="宋体" w:cs="宋体"/>
          <w:b/>
          <w:color w:val="auto"/>
          <w:sz w:val="28"/>
          <w:szCs w:val="28"/>
          <w:highlight w:val="none"/>
        </w:rPr>
        <w:t>项目名称</w:t>
      </w:r>
      <w:r>
        <w:rPr>
          <w:rFonts w:hint="eastAsia" w:ascii="宋体" w:hAnsi="宋体" w:cs="宋体"/>
          <w:b/>
          <w:bCs/>
          <w:color w:val="auto"/>
          <w:sz w:val="28"/>
          <w:szCs w:val="28"/>
          <w:highlight w:val="none"/>
        </w:rPr>
        <w:t>：</w:t>
      </w:r>
      <w:r>
        <w:rPr>
          <w:rFonts w:hint="eastAsia" w:ascii="宋体" w:hAnsi="宋体" w:cs="宋体"/>
          <w:b/>
          <w:bCs/>
          <w:color w:val="auto"/>
          <w:sz w:val="28"/>
          <w:szCs w:val="28"/>
          <w:highlight w:val="none"/>
          <w:u w:val="single"/>
          <w:lang w:eastAsia="zh-CN"/>
        </w:rPr>
        <w:t>开化县怀玉山区水土保持与生态修复项目监理</w:t>
      </w:r>
      <w:r>
        <w:rPr>
          <w:rFonts w:hint="eastAsia" w:ascii="宋体" w:hAnsi="宋体" w:eastAsia="宋体" w:cs="宋体"/>
          <w:b/>
          <w:color w:val="auto"/>
          <w:sz w:val="28"/>
          <w:szCs w:val="28"/>
          <w:highlight w:val="none"/>
          <w:u w:val="single"/>
          <w:lang w:eastAsia="zh-CN"/>
        </w:rPr>
        <w:t>（</w:t>
      </w:r>
      <w:r>
        <w:rPr>
          <w:rFonts w:hint="eastAsia" w:ascii="宋体" w:hAnsi="宋体" w:eastAsia="宋体" w:cs="宋体"/>
          <w:b/>
          <w:color w:val="auto"/>
          <w:sz w:val="28"/>
          <w:szCs w:val="28"/>
          <w:highlight w:val="none"/>
          <w:u w:val="single"/>
          <w:lang w:val="en-US" w:eastAsia="zh-CN"/>
        </w:rPr>
        <w:t xml:space="preserve">标项： </w:t>
      </w:r>
      <w:r>
        <w:rPr>
          <w:rFonts w:hint="eastAsia" w:ascii="宋体" w:hAnsi="宋体" w:eastAsia="宋体" w:cs="宋体"/>
          <w:b/>
          <w:color w:val="auto"/>
          <w:sz w:val="28"/>
          <w:szCs w:val="28"/>
          <w:highlight w:val="none"/>
          <w:u w:val="single"/>
          <w:lang w:eastAsia="zh-CN"/>
        </w:rPr>
        <w:t>）</w:t>
      </w:r>
      <w:r>
        <w:rPr>
          <w:rFonts w:hint="eastAsia" w:ascii="宋体" w:hAnsi="宋体" w:cs="宋体"/>
          <w:b/>
          <w:bCs/>
          <w:color w:val="auto"/>
          <w:sz w:val="28"/>
          <w:szCs w:val="28"/>
          <w:highlight w:val="none"/>
          <w:u w:val="single"/>
          <w:lang w:val="en-US" w:eastAsia="zh-CN"/>
        </w:rPr>
        <w:t xml:space="preserve">                                                 </w:t>
      </w:r>
    </w:p>
    <w:p w14:paraId="4007516F">
      <w:pPr>
        <w:pageBreakBefore w:val="0"/>
        <w:widowControl w:val="0"/>
        <w:kinsoku/>
        <w:wordWrap/>
        <w:overflowPunct/>
        <w:topLinePunct w:val="0"/>
        <w:autoSpaceDE/>
        <w:autoSpaceDN/>
        <w:bidi w:val="0"/>
        <w:adjustRightInd/>
        <w:spacing w:line="700" w:lineRule="exact"/>
        <w:textAlignment w:val="auto"/>
        <w:rPr>
          <w:rFonts w:hint="eastAsia"/>
          <w:color w:val="auto"/>
          <w:highlight w:val="none"/>
        </w:rPr>
      </w:pPr>
    </w:p>
    <w:p w14:paraId="62B4A353">
      <w:pPr>
        <w:pageBreakBefore w:val="0"/>
        <w:widowControl w:val="0"/>
        <w:kinsoku/>
        <w:wordWrap/>
        <w:overflowPunct/>
        <w:topLinePunct w:val="0"/>
        <w:autoSpaceDE/>
        <w:autoSpaceDN/>
        <w:bidi w:val="0"/>
        <w:adjustRightInd/>
        <w:spacing w:line="700" w:lineRule="exact"/>
        <w:ind w:firstLine="562" w:firstLineChars="200"/>
        <w:textAlignment w:val="auto"/>
        <w:rPr>
          <w:rFonts w:hint="default"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rPr>
        <w:t>项目编号：</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rPr>
        <w:tab/>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eastAsia="zh-CN"/>
        </w:rPr>
        <w:t>OBGCGLZFCG2025-007</w:t>
      </w:r>
      <w:r>
        <w:rPr>
          <w:rFonts w:hint="eastAsia" w:ascii="宋体" w:hAnsi="宋体" w:cs="宋体"/>
          <w:b/>
          <w:color w:val="auto"/>
          <w:sz w:val="28"/>
          <w:szCs w:val="28"/>
          <w:highlight w:val="none"/>
          <w:u w:val="single"/>
        </w:rPr>
        <w:t xml:space="preserve">         </w:t>
      </w:r>
      <w:r>
        <w:rPr>
          <w:rFonts w:hint="eastAsia" w:ascii="宋体" w:hAnsi="宋体" w:cs="宋体"/>
          <w:b/>
          <w:bCs/>
          <w:color w:val="auto"/>
          <w:sz w:val="28"/>
          <w:szCs w:val="28"/>
          <w:highlight w:val="none"/>
          <w:u w:val="single"/>
        </w:rPr>
        <w:t xml:space="preserve">   </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p>
    <w:p w14:paraId="288F5AF2">
      <w:pPr>
        <w:pageBreakBefore w:val="0"/>
        <w:widowControl w:val="0"/>
        <w:kinsoku/>
        <w:wordWrap/>
        <w:overflowPunct/>
        <w:topLinePunct w:val="0"/>
        <w:autoSpaceDE/>
        <w:autoSpaceDN/>
        <w:bidi w:val="0"/>
        <w:adjustRightInd/>
        <w:spacing w:line="700" w:lineRule="exact"/>
        <w:jc w:val="left"/>
        <w:textAlignment w:val="auto"/>
        <w:rPr>
          <w:rFonts w:hint="eastAsia" w:ascii="宋体" w:hAnsi="宋体" w:cs="宋体"/>
          <w:b/>
          <w:color w:val="auto"/>
          <w:sz w:val="28"/>
          <w:szCs w:val="28"/>
          <w:highlight w:val="none"/>
        </w:rPr>
      </w:pPr>
    </w:p>
    <w:p w14:paraId="6D947976">
      <w:pPr>
        <w:pageBreakBefore w:val="0"/>
        <w:widowControl w:val="0"/>
        <w:kinsoku/>
        <w:wordWrap/>
        <w:overflowPunct/>
        <w:topLinePunct w:val="0"/>
        <w:autoSpaceDE/>
        <w:autoSpaceDN/>
        <w:bidi w:val="0"/>
        <w:adjustRightInd/>
        <w:spacing w:line="700" w:lineRule="exact"/>
        <w:ind w:firstLine="562" w:firstLineChars="200"/>
        <w:jc w:val="left"/>
        <w:textAlignment w:val="auto"/>
        <w:rPr>
          <w:rFonts w:hint="default" w:ascii="宋体" w:hAnsi="宋体" w:eastAsia="宋体" w:cs="宋体"/>
          <w:b/>
          <w:bCs/>
          <w:color w:val="auto"/>
          <w:sz w:val="28"/>
          <w:szCs w:val="28"/>
          <w:highlight w:val="none"/>
          <w:lang w:val="en-US" w:eastAsia="zh-CN"/>
        </w:rPr>
      </w:pPr>
      <w:r>
        <w:rPr>
          <w:rFonts w:hint="eastAsia" w:ascii="宋体" w:hAnsi="宋体" w:cs="宋体"/>
          <w:b/>
          <w:color w:val="auto"/>
          <w:sz w:val="28"/>
          <w:szCs w:val="28"/>
          <w:highlight w:val="none"/>
        </w:rPr>
        <w:t xml:space="preserve">投标人名称： </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u w:val="single"/>
        </w:rPr>
        <w:t xml:space="preserve">    (电子签章）      </w:t>
      </w:r>
      <w:r>
        <w:rPr>
          <w:rFonts w:hint="eastAsia" w:ascii="宋体" w:hAnsi="宋体" w:cs="宋体"/>
          <w:b/>
          <w:color w:val="auto"/>
          <w:sz w:val="28"/>
          <w:szCs w:val="28"/>
          <w:highlight w:val="none"/>
          <w:u w:val="single"/>
          <w:lang w:val="en-US" w:eastAsia="zh-CN"/>
        </w:rPr>
        <w:t xml:space="preserve">    </w:t>
      </w:r>
    </w:p>
    <w:p w14:paraId="33A1734C">
      <w:pPr>
        <w:pageBreakBefore w:val="0"/>
        <w:widowControl w:val="0"/>
        <w:kinsoku/>
        <w:wordWrap/>
        <w:overflowPunct/>
        <w:topLinePunct w:val="0"/>
        <w:autoSpaceDE/>
        <w:autoSpaceDN/>
        <w:bidi w:val="0"/>
        <w:adjustRightInd/>
        <w:spacing w:line="700" w:lineRule="exact"/>
        <w:jc w:val="left"/>
        <w:textAlignment w:val="auto"/>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 xml:space="preserve"> </w:t>
      </w:r>
    </w:p>
    <w:p w14:paraId="0828DBB6">
      <w:pPr>
        <w:outlineLvl w:val="9"/>
        <w:rPr>
          <w:rFonts w:hint="eastAsia"/>
          <w:color w:val="auto"/>
        </w:rPr>
      </w:pPr>
    </w:p>
    <w:p w14:paraId="2A1A6F95">
      <w:pPr>
        <w:rPr>
          <w:rFonts w:hint="eastAsia"/>
          <w:color w:val="auto"/>
        </w:rPr>
      </w:pPr>
    </w:p>
    <w:p w14:paraId="4C683741">
      <w:pPr>
        <w:pageBreakBefore w:val="0"/>
        <w:widowControl w:val="0"/>
        <w:kinsoku/>
        <w:wordWrap/>
        <w:overflowPunct/>
        <w:topLinePunct w:val="0"/>
        <w:autoSpaceDE/>
        <w:autoSpaceDN/>
        <w:bidi w:val="0"/>
        <w:adjustRightInd/>
        <w:spacing w:line="700" w:lineRule="exact"/>
        <w:ind w:firstLine="562" w:firstLineChars="200"/>
        <w:jc w:val="left"/>
        <w:textAlignment w:val="auto"/>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 xml:space="preserve"> </w:t>
      </w:r>
    </w:p>
    <w:p w14:paraId="2599BA23">
      <w:pPr>
        <w:pageBreakBefore w:val="0"/>
        <w:widowControl w:val="0"/>
        <w:kinsoku/>
        <w:wordWrap/>
        <w:overflowPunct/>
        <w:topLinePunct w:val="0"/>
        <w:autoSpaceDE/>
        <w:autoSpaceDN/>
        <w:bidi w:val="0"/>
        <w:adjustRightInd/>
        <w:spacing w:line="700" w:lineRule="exact"/>
        <w:ind w:firstLine="2530" w:firstLineChars="900"/>
        <w:jc w:val="left"/>
        <w:textAlignment w:val="auto"/>
        <w:rPr>
          <w:rFonts w:hint="eastAsia" w:ascii="宋体" w:hAnsi="宋体" w:cs="宋体"/>
          <w:b/>
          <w:bCs/>
          <w:color w:val="auto"/>
          <w:sz w:val="28"/>
          <w:szCs w:val="28"/>
          <w:highlight w:val="none"/>
        </w:rPr>
      </w:pPr>
      <w:r>
        <w:rPr>
          <w:rFonts w:hint="eastAsia" w:ascii="宋体" w:hAnsi="宋体" w:cs="宋体"/>
          <w:b/>
          <w:bCs/>
          <w:color w:val="auto"/>
          <w:sz w:val="28"/>
          <w:szCs w:val="28"/>
          <w:highlight w:val="none"/>
          <w:u w:val="single"/>
        </w:rPr>
        <w:t xml:space="preserve">         </w:t>
      </w:r>
      <w:bookmarkStart w:id="102" w:name="_Toc340582352"/>
      <w:r>
        <w:rPr>
          <w:rFonts w:hint="eastAsia" w:ascii="宋体" w:hAnsi="宋体" w:cs="宋体"/>
          <w:b/>
          <w:bCs/>
          <w:color w:val="auto"/>
          <w:sz w:val="28"/>
          <w:szCs w:val="28"/>
          <w:highlight w:val="none"/>
        </w:rPr>
        <w:t>年</w:t>
      </w:r>
      <w:r>
        <w:rPr>
          <w:rFonts w:hint="eastAsia" w:ascii="宋体" w:hAnsi="宋体" w:cs="宋体"/>
          <w:b/>
          <w:bCs/>
          <w:color w:val="auto"/>
          <w:sz w:val="28"/>
          <w:szCs w:val="28"/>
          <w:highlight w:val="none"/>
          <w:u w:val="single"/>
        </w:rPr>
        <w:t xml:space="preserve">         </w:t>
      </w:r>
      <w:r>
        <w:rPr>
          <w:rFonts w:hint="eastAsia" w:ascii="宋体" w:hAnsi="宋体" w:cs="宋体"/>
          <w:b/>
          <w:bCs/>
          <w:color w:val="auto"/>
          <w:sz w:val="28"/>
          <w:szCs w:val="28"/>
          <w:highlight w:val="none"/>
        </w:rPr>
        <w:t>月</w:t>
      </w:r>
      <w:r>
        <w:rPr>
          <w:rFonts w:hint="eastAsia" w:ascii="宋体" w:hAnsi="宋体" w:cs="宋体"/>
          <w:b/>
          <w:bCs/>
          <w:color w:val="auto"/>
          <w:sz w:val="28"/>
          <w:szCs w:val="28"/>
          <w:highlight w:val="none"/>
          <w:u w:val="single"/>
        </w:rPr>
        <w:t xml:space="preserve">         </w:t>
      </w:r>
      <w:r>
        <w:rPr>
          <w:rFonts w:hint="eastAsia" w:ascii="宋体" w:hAnsi="宋体" w:cs="宋体"/>
          <w:b/>
          <w:bCs/>
          <w:color w:val="auto"/>
          <w:sz w:val="28"/>
          <w:szCs w:val="28"/>
          <w:highlight w:val="none"/>
        </w:rPr>
        <w:t>日</w:t>
      </w:r>
      <w:bookmarkEnd w:id="102"/>
    </w:p>
    <w:p w14:paraId="2B2BAE71">
      <w:pPr>
        <w:spacing w:line="540" w:lineRule="exact"/>
        <w:jc w:val="center"/>
        <w:outlineLvl w:val="2"/>
        <w:rPr>
          <w:rFonts w:hint="eastAsia" w:ascii="宋体" w:hAnsi="宋体" w:cs="宋体"/>
          <w:b/>
          <w:color w:val="auto"/>
          <w:kern w:val="0"/>
          <w:sz w:val="30"/>
          <w:szCs w:val="30"/>
          <w:highlight w:val="none"/>
        </w:rPr>
      </w:pPr>
      <w:r>
        <w:rPr>
          <w:rFonts w:hint="eastAsia" w:ascii="宋体" w:hAnsi="宋体" w:cs="宋体"/>
          <w:b/>
          <w:color w:val="auto"/>
          <w:kern w:val="0"/>
          <w:sz w:val="30"/>
          <w:szCs w:val="30"/>
          <w:highlight w:val="none"/>
        </w:rPr>
        <w:br w:type="page"/>
      </w:r>
      <w:r>
        <w:rPr>
          <w:rFonts w:hint="eastAsia" w:ascii="宋体" w:hAnsi="宋体" w:cs="宋体"/>
          <w:b/>
          <w:color w:val="auto"/>
          <w:kern w:val="0"/>
          <w:sz w:val="30"/>
          <w:szCs w:val="30"/>
          <w:highlight w:val="none"/>
        </w:rPr>
        <w:t>资格证明文件目录</w:t>
      </w:r>
    </w:p>
    <w:p w14:paraId="3EBBAD64">
      <w:pPr>
        <w:spacing w:line="440" w:lineRule="exact"/>
        <w:ind w:firstLine="420" w:firstLineChars="200"/>
        <w:rPr>
          <w:rFonts w:hint="eastAsia" w:ascii="宋体" w:hAnsi="宋体" w:eastAsia="宋体" w:cs="宋体"/>
          <w:color w:val="auto"/>
          <w:szCs w:val="21"/>
          <w:highlight w:val="none"/>
          <w:lang w:eastAsia="zh-CN"/>
        </w:rPr>
      </w:pPr>
    </w:p>
    <w:p w14:paraId="390F9741">
      <w:pPr>
        <w:spacing w:line="44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一、联合投标协议书（如有，格式附后）</w:t>
      </w:r>
      <w:r>
        <w:rPr>
          <w:rFonts w:hint="eastAsia" w:ascii="宋体" w:hAnsi="宋体" w:cs="宋体"/>
          <w:color w:val="auto"/>
          <w:szCs w:val="21"/>
          <w:highlight w:val="none"/>
          <w:lang w:val="en-US" w:eastAsia="zh-CN"/>
        </w:rPr>
        <w:t>；</w:t>
      </w:r>
    </w:p>
    <w:p w14:paraId="611F772E">
      <w:pPr>
        <w:spacing w:line="44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二、联合投标授权委托书（如有，格式附后）</w:t>
      </w:r>
      <w:r>
        <w:rPr>
          <w:rFonts w:hint="eastAsia" w:ascii="宋体" w:hAnsi="宋体" w:cs="宋体"/>
          <w:color w:val="auto"/>
          <w:szCs w:val="21"/>
          <w:highlight w:val="none"/>
          <w:lang w:val="en-US" w:eastAsia="zh-CN"/>
        </w:rPr>
        <w:t>；</w:t>
      </w:r>
    </w:p>
    <w:p w14:paraId="0049818C">
      <w:pPr>
        <w:spacing w:line="44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三、投标声明书</w:t>
      </w:r>
      <w:r>
        <w:rPr>
          <w:rFonts w:hint="eastAsia" w:ascii="宋体" w:hAnsi="宋体" w:cs="宋体"/>
          <w:color w:val="auto"/>
          <w:szCs w:val="21"/>
          <w:highlight w:val="none"/>
          <w:lang w:val="en-US" w:eastAsia="zh-CN"/>
        </w:rPr>
        <w:t>；</w:t>
      </w:r>
    </w:p>
    <w:p w14:paraId="654FC268">
      <w:pPr>
        <w:spacing w:line="44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四、符合参加政府采购活动应当具备的一般条件的承诺函（格式附后）</w:t>
      </w:r>
      <w:r>
        <w:rPr>
          <w:rFonts w:hint="eastAsia" w:ascii="宋体" w:hAnsi="宋体" w:cs="宋体"/>
          <w:color w:val="auto"/>
          <w:szCs w:val="21"/>
          <w:highlight w:val="none"/>
          <w:lang w:val="en-US" w:eastAsia="zh-CN"/>
        </w:rPr>
        <w:t>；</w:t>
      </w:r>
    </w:p>
    <w:p w14:paraId="5387A3DD">
      <w:pPr>
        <w:spacing w:line="44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五</w:t>
      </w:r>
      <w:r>
        <w:rPr>
          <w:rFonts w:hint="eastAsia" w:ascii="宋体" w:hAnsi="宋体" w:eastAsia="宋体" w:cs="宋体"/>
          <w:color w:val="auto"/>
          <w:szCs w:val="21"/>
          <w:highlight w:val="none"/>
        </w:rPr>
        <w:t>、中小企业声明函（格式附后）</w:t>
      </w:r>
      <w:r>
        <w:rPr>
          <w:rFonts w:hint="eastAsia" w:ascii="宋体" w:hAnsi="宋体" w:cs="宋体"/>
          <w:color w:val="auto"/>
          <w:szCs w:val="21"/>
          <w:highlight w:val="none"/>
          <w:lang w:eastAsia="zh-CN"/>
        </w:rPr>
        <w:t>；</w:t>
      </w:r>
    </w:p>
    <w:p w14:paraId="5C1465A5">
      <w:pPr>
        <w:spacing w:line="44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六</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残疾人福利性单位声明函</w:t>
      </w:r>
      <w:r>
        <w:rPr>
          <w:rFonts w:hint="eastAsia" w:ascii="宋体" w:hAnsi="宋体" w:cs="宋体"/>
          <w:color w:val="auto"/>
          <w:szCs w:val="21"/>
          <w:highlight w:val="none"/>
          <w:lang w:eastAsia="zh-CN"/>
        </w:rPr>
        <w:t>；</w:t>
      </w:r>
    </w:p>
    <w:p w14:paraId="5095E4FD">
      <w:pPr>
        <w:spacing w:line="44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七</w:t>
      </w:r>
      <w:r>
        <w:rPr>
          <w:rFonts w:hint="eastAsia" w:ascii="宋体" w:hAnsi="宋体" w:eastAsia="宋体" w:cs="宋体"/>
          <w:color w:val="auto"/>
          <w:szCs w:val="21"/>
          <w:highlight w:val="none"/>
        </w:rPr>
        <w:t>、省级以上监狱管理局、戒毒管理局（含新疆生产建设兵团）出具的属于监狱企业的证明文件</w:t>
      </w:r>
      <w:r>
        <w:rPr>
          <w:rFonts w:hint="eastAsia" w:ascii="宋体" w:hAnsi="宋体" w:cs="宋体"/>
          <w:color w:val="auto"/>
          <w:szCs w:val="21"/>
          <w:highlight w:val="none"/>
          <w:lang w:eastAsia="zh-CN"/>
        </w:rPr>
        <w:t>；</w:t>
      </w:r>
    </w:p>
    <w:p w14:paraId="38453888">
      <w:pPr>
        <w:spacing w:line="44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八</w:t>
      </w:r>
      <w:r>
        <w:rPr>
          <w:rFonts w:hint="eastAsia" w:ascii="宋体" w:hAnsi="宋体" w:eastAsia="宋体" w:cs="宋体"/>
          <w:color w:val="auto"/>
          <w:szCs w:val="21"/>
          <w:highlight w:val="none"/>
        </w:rPr>
        <w:t>、法人或者其他组织的营业执照等证明文件</w:t>
      </w:r>
      <w:r>
        <w:rPr>
          <w:rFonts w:hint="eastAsia" w:ascii="宋体" w:hAnsi="宋体" w:cs="宋体"/>
          <w:color w:val="auto"/>
          <w:szCs w:val="21"/>
          <w:highlight w:val="none"/>
          <w:lang w:eastAsia="zh-CN"/>
        </w:rPr>
        <w:t>；</w:t>
      </w:r>
    </w:p>
    <w:p w14:paraId="35499F80">
      <w:pPr>
        <w:spacing w:line="440" w:lineRule="exact"/>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九</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林</w:t>
      </w:r>
      <w:r>
        <w:rPr>
          <w:rFonts w:hint="eastAsia" w:ascii="宋体" w:hAnsi="宋体" w:eastAsia="宋体" w:cs="宋体"/>
          <w:color w:val="auto"/>
          <w:sz w:val="21"/>
          <w:szCs w:val="21"/>
          <w:highlight w:val="none"/>
          <w:lang w:val="zh-CN" w:eastAsia="zh-CN"/>
        </w:rPr>
        <w:t>本项目的特定资格要求证明材料</w:t>
      </w:r>
      <w:r>
        <w:rPr>
          <w:rFonts w:hint="eastAsia" w:ascii="宋体" w:hAnsi="宋体" w:cs="宋体"/>
          <w:color w:val="auto"/>
          <w:sz w:val="21"/>
          <w:szCs w:val="21"/>
          <w:highlight w:val="none"/>
          <w:lang w:val="zh-CN" w:eastAsia="zh-CN"/>
        </w:rPr>
        <w:t>；</w:t>
      </w:r>
    </w:p>
    <w:p w14:paraId="03F4195B">
      <w:pPr>
        <w:spacing w:line="44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十</w:t>
      </w:r>
      <w:r>
        <w:rPr>
          <w:rFonts w:hint="eastAsia" w:ascii="宋体" w:hAnsi="宋体" w:eastAsia="宋体" w:cs="宋体"/>
          <w:color w:val="auto"/>
          <w:szCs w:val="21"/>
          <w:highlight w:val="none"/>
        </w:rPr>
        <w:t>、法定代表人身份证明及身份证（正、反面）（格式附后）</w:t>
      </w:r>
      <w:r>
        <w:rPr>
          <w:rFonts w:hint="eastAsia" w:ascii="宋体" w:hAnsi="宋体" w:cs="宋体"/>
          <w:color w:val="auto"/>
          <w:szCs w:val="21"/>
          <w:highlight w:val="none"/>
          <w:lang w:eastAsia="zh-CN"/>
        </w:rPr>
        <w:t>；</w:t>
      </w:r>
    </w:p>
    <w:p w14:paraId="62F49E5A">
      <w:pPr>
        <w:spacing w:line="44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十一</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法定代表人授权委托书（如为授权委托人参加投标，格式附后）</w:t>
      </w:r>
      <w:r>
        <w:rPr>
          <w:rFonts w:hint="eastAsia" w:ascii="宋体" w:hAnsi="宋体" w:cs="宋体"/>
          <w:color w:val="auto"/>
          <w:szCs w:val="21"/>
          <w:highlight w:val="none"/>
          <w:lang w:eastAsia="zh-CN"/>
        </w:rPr>
        <w:t>；</w:t>
      </w:r>
    </w:p>
    <w:p w14:paraId="32CD16A5">
      <w:pPr>
        <w:pStyle w:val="11"/>
        <w:keepNext w:val="0"/>
        <w:keepLines w:val="0"/>
        <w:pageBreakBefore w:val="0"/>
        <w:widowControl/>
        <w:tabs>
          <w:tab w:val="right" w:leader="dot" w:pos="8730"/>
        </w:tabs>
        <w:kinsoku/>
        <w:wordWrap/>
        <w:overflowPunct/>
        <w:topLinePunct w:val="0"/>
        <w:autoSpaceDE/>
        <w:autoSpaceDN/>
        <w:bidi w:val="0"/>
        <w:adjustRightInd/>
        <w:snapToGrid/>
        <w:spacing w:line="480" w:lineRule="exact"/>
        <w:ind w:left="0" w:leftChars="0" w:firstLine="420" w:firstLineChars="200"/>
        <w:textAlignment w:val="auto"/>
        <w:rPr>
          <w:rFonts w:hint="eastAsia" w:ascii="宋体" w:hAnsi="宋体" w:cs="宋体"/>
          <w:color w:val="auto"/>
          <w:sz w:val="21"/>
          <w:szCs w:val="21"/>
          <w:lang w:eastAsia="zh-CN"/>
        </w:rPr>
      </w:pPr>
      <w:r>
        <w:rPr>
          <w:rFonts w:hint="eastAsia" w:ascii="宋体" w:hAnsi="宋体" w:eastAsia="宋体" w:cs="宋体"/>
          <w:color w:val="auto"/>
          <w:sz w:val="21"/>
          <w:szCs w:val="21"/>
          <w:lang w:val="en-US" w:eastAsia="zh-CN"/>
        </w:rPr>
        <w:t>十二</w:t>
      </w:r>
      <w:r>
        <w:rPr>
          <w:rFonts w:hint="eastAsia" w:ascii="宋体" w:hAnsi="宋体" w:eastAsia="宋体" w:cs="宋体"/>
          <w:color w:val="auto"/>
          <w:sz w:val="21"/>
          <w:szCs w:val="21"/>
          <w:lang w:eastAsia="zh-CN"/>
        </w:rPr>
        <w:t>、</w:t>
      </w:r>
      <w:r>
        <w:rPr>
          <w:rFonts w:hint="eastAsia" w:ascii="宋体" w:hAnsi="宋体" w:cs="宋体"/>
          <w:color w:val="auto"/>
          <w:sz w:val="21"/>
          <w:szCs w:val="21"/>
          <w:lang w:eastAsia="zh-CN"/>
        </w:rPr>
        <w:t>开标前三年内在经营活动中没有重大违法记录的承诺书；</w:t>
      </w:r>
    </w:p>
    <w:p w14:paraId="5016E5E0">
      <w:pPr>
        <w:spacing w:line="44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十</w:t>
      </w:r>
      <w:r>
        <w:rPr>
          <w:rFonts w:hint="eastAsia" w:ascii="宋体" w:hAnsi="宋体" w:cs="宋体"/>
          <w:color w:val="auto"/>
          <w:szCs w:val="21"/>
          <w:highlight w:val="none"/>
          <w:lang w:val="en-US" w:eastAsia="zh-CN"/>
        </w:rPr>
        <w:t>三</w:t>
      </w:r>
      <w:r>
        <w:rPr>
          <w:rFonts w:hint="eastAsia" w:ascii="宋体" w:hAnsi="宋体" w:eastAsia="宋体" w:cs="宋体"/>
          <w:color w:val="auto"/>
          <w:szCs w:val="21"/>
          <w:highlight w:val="none"/>
        </w:rPr>
        <w:t>、投标人需要说明的其他文件和说明（格式自拟）</w:t>
      </w:r>
      <w:r>
        <w:rPr>
          <w:rFonts w:hint="eastAsia" w:ascii="宋体" w:hAnsi="宋体" w:cs="宋体"/>
          <w:color w:val="auto"/>
          <w:szCs w:val="21"/>
          <w:highlight w:val="none"/>
          <w:lang w:eastAsia="zh-CN"/>
        </w:rPr>
        <w:t>。</w:t>
      </w:r>
    </w:p>
    <w:p w14:paraId="3A9C9DB5">
      <w:pPr>
        <w:bidi w:val="0"/>
        <w:rPr>
          <w:rFonts w:hint="eastAsia"/>
          <w:color w:val="auto"/>
          <w:highlight w:val="none"/>
        </w:rPr>
      </w:pPr>
    </w:p>
    <w:p w14:paraId="3E587C7E">
      <w:pPr>
        <w:bidi w:val="0"/>
        <w:rPr>
          <w:rFonts w:hint="eastAsia"/>
          <w:color w:val="auto"/>
          <w:highlight w:val="none"/>
        </w:rPr>
      </w:pPr>
    </w:p>
    <w:p w14:paraId="6BCF7948">
      <w:pPr>
        <w:bidi w:val="0"/>
        <w:rPr>
          <w:rFonts w:hint="eastAsia"/>
          <w:color w:val="auto"/>
          <w:highlight w:val="none"/>
        </w:rPr>
      </w:pPr>
    </w:p>
    <w:p w14:paraId="6A933815">
      <w:pPr>
        <w:bidi w:val="0"/>
        <w:rPr>
          <w:rFonts w:hint="eastAsia"/>
          <w:color w:val="auto"/>
          <w:highlight w:val="none"/>
        </w:rPr>
      </w:pPr>
    </w:p>
    <w:p w14:paraId="1228CF5E">
      <w:pPr>
        <w:bidi w:val="0"/>
        <w:rPr>
          <w:rFonts w:hint="eastAsia"/>
          <w:color w:val="auto"/>
          <w:highlight w:val="none"/>
        </w:rPr>
      </w:pPr>
    </w:p>
    <w:p w14:paraId="1F7AED5A">
      <w:pPr>
        <w:bidi w:val="0"/>
        <w:rPr>
          <w:rFonts w:hint="eastAsia"/>
          <w:color w:val="auto"/>
          <w:highlight w:val="none"/>
        </w:rPr>
      </w:pPr>
      <w:bookmarkStart w:id="103" w:name="_Toc437509329"/>
      <w:bookmarkStart w:id="104" w:name="_Toc468954254"/>
      <w:bookmarkStart w:id="105" w:name="_Toc470269887"/>
      <w:bookmarkStart w:id="106" w:name="_Toc424199678"/>
      <w:bookmarkStart w:id="107" w:name="_Toc467572536"/>
      <w:bookmarkStart w:id="108" w:name="_Toc470270003"/>
      <w:bookmarkStart w:id="109" w:name="_Toc437331618"/>
      <w:bookmarkStart w:id="110" w:name="_Toc469475471"/>
      <w:bookmarkStart w:id="111" w:name="_Toc463851846"/>
      <w:bookmarkStart w:id="112" w:name="_Toc437331307"/>
      <w:bookmarkStart w:id="113" w:name="_Toc471819739"/>
      <w:bookmarkStart w:id="114" w:name="_Toc437504032"/>
      <w:bookmarkStart w:id="115" w:name="_Toc435706547"/>
      <w:bookmarkStart w:id="116" w:name="_Toc433882649"/>
      <w:bookmarkStart w:id="117" w:name="_Toc471819799"/>
    </w:p>
    <w:p w14:paraId="0F907938">
      <w:pPr>
        <w:bidi w:val="0"/>
        <w:rPr>
          <w:rFonts w:hint="eastAsia"/>
          <w:color w:val="auto"/>
          <w:highlight w:val="none"/>
        </w:rPr>
      </w:pPr>
      <w:bookmarkStart w:id="118" w:name="_Toc476230922"/>
      <w:bookmarkStart w:id="119" w:name="_Toc495666239"/>
      <w:bookmarkStart w:id="120" w:name="_Toc23479"/>
      <w:bookmarkStart w:id="121" w:name="_Toc476230646"/>
      <w:bookmarkStart w:id="122" w:name="_Toc476230510"/>
      <w:bookmarkStart w:id="123" w:name="_Toc17944"/>
      <w:bookmarkStart w:id="124" w:name="_Toc476229715"/>
    </w:p>
    <w:p w14:paraId="06B33001">
      <w:pPr>
        <w:bidi w:val="0"/>
        <w:rPr>
          <w:rFonts w:hint="eastAsia"/>
          <w:color w:val="auto"/>
          <w:highlight w:val="none"/>
        </w:rPr>
      </w:pPr>
    </w:p>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14:paraId="43F658B6">
      <w:pPr>
        <w:bidi w:val="0"/>
        <w:rPr>
          <w:rFonts w:hint="eastAsia"/>
          <w:color w:val="auto"/>
          <w:highlight w:val="none"/>
        </w:rPr>
      </w:pPr>
      <w:bookmarkStart w:id="125" w:name="_Toc437504037"/>
      <w:bookmarkStart w:id="126" w:name="_Toc469475476"/>
      <w:bookmarkStart w:id="127" w:name="_Toc435706552"/>
      <w:bookmarkStart w:id="128" w:name="_Toc468954259"/>
      <w:bookmarkStart w:id="129" w:name="_Toc471819741"/>
      <w:bookmarkStart w:id="130" w:name="_Toc18613"/>
      <w:bookmarkStart w:id="131" w:name="_Toc437509334"/>
      <w:bookmarkStart w:id="132" w:name="_Toc470270008"/>
      <w:bookmarkStart w:id="133" w:name="_Toc437331623"/>
      <w:bookmarkStart w:id="134" w:name="_Toc467572541"/>
      <w:bookmarkStart w:id="135" w:name="_Toc437331312"/>
      <w:bookmarkStart w:id="136" w:name="_Toc463851851"/>
      <w:bookmarkStart w:id="137" w:name="_Toc433882654"/>
      <w:bookmarkStart w:id="138" w:name="_Toc424199683"/>
      <w:bookmarkStart w:id="139" w:name="_Toc470269892"/>
      <w:bookmarkStart w:id="140" w:name="_Toc471819801"/>
    </w:p>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14:paraId="7597B21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color w:val="auto"/>
          <w:highlight w:val="none"/>
        </w:rPr>
      </w:pPr>
      <w:r>
        <w:rPr>
          <w:color w:val="auto"/>
          <w:highlight w:val="none"/>
        </w:rPr>
        <w:br w:type="page"/>
      </w:r>
      <w:bookmarkStart w:id="141" w:name="_Toc30707"/>
      <w:bookmarkStart w:id="142" w:name="_Toc18664"/>
      <w:bookmarkStart w:id="143" w:name="_Toc2925"/>
      <w:bookmarkStart w:id="144" w:name="_Toc31199"/>
      <w:bookmarkStart w:id="145" w:name="_Toc20212"/>
      <w:bookmarkStart w:id="146" w:name="_Toc31973"/>
      <w:bookmarkStart w:id="147" w:name="_Toc6236"/>
      <w:bookmarkStart w:id="148" w:name="_Toc14279"/>
      <w:bookmarkStart w:id="149" w:name="_Toc6319298"/>
      <w:bookmarkStart w:id="150" w:name="_Toc25803"/>
      <w:bookmarkStart w:id="151" w:name="_Toc15752"/>
      <w:bookmarkStart w:id="152" w:name="_Toc27890"/>
      <w:bookmarkStart w:id="153" w:name="_Toc32124"/>
    </w:p>
    <w:p w14:paraId="1E6DBB74">
      <w:pPr>
        <w:spacing w:line="500" w:lineRule="exact"/>
        <w:jc w:val="center"/>
        <w:outlineLvl w:val="2"/>
        <w:rPr>
          <w:rFonts w:hint="eastAsia" w:ascii="宋体" w:hAnsi="宋体" w:cs="宋体"/>
          <w:b/>
          <w:color w:val="auto"/>
          <w:sz w:val="28"/>
          <w:szCs w:val="28"/>
          <w:lang w:eastAsia="zh-CN"/>
        </w:rPr>
      </w:pPr>
      <w:bookmarkStart w:id="154" w:name="_Toc23292"/>
      <w:bookmarkStart w:id="155" w:name="_Toc32673"/>
      <w:r>
        <w:rPr>
          <w:rFonts w:hint="eastAsia" w:ascii="宋体" w:hAnsi="宋体" w:cs="宋体"/>
          <w:b/>
          <w:color w:val="auto"/>
          <w:sz w:val="28"/>
          <w:szCs w:val="28"/>
          <w:lang w:eastAsia="zh-CN"/>
        </w:rPr>
        <w:t>一、联合投标协议书（如有）</w:t>
      </w:r>
      <w:bookmarkEnd w:id="154"/>
    </w:p>
    <w:p w14:paraId="006E521C">
      <w:pPr>
        <w:pStyle w:val="6"/>
        <w:widowControl w:val="0"/>
        <w:overflowPunct w:val="0"/>
        <w:spacing w:line="400" w:lineRule="exact"/>
        <w:ind w:firstLine="0"/>
        <w:outlineLvl w:val="9"/>
        <w:rPr>
          <w:rFonts w:hint="eastAsia" w:ascii="宋体" w:hAnsi="宋体" w:cs="宋体"/>
          <w:color w:val="auto"/>
          <w:szCs w:val="21"/>
          <w:u w:val="single"/>
          <w:lang w:val="en-US" w:eastAsia="zh-CN"/>
        </w:rPr>
      </w:pPr>
      <w:r>
        <w:rPr>
          <w:rFonts w:hint="eastAsia" w:ascii="宋体" w:hAnsi="宋体" w:cs="宋体"/>
          <w:color w:val="auto"/>
          <w:szCs w:val="21"/>
        </w:rPr>
        <w:t>甲方：</w:t>
      </w:r>
      <w:r>
        <w:rPr>
          <w:rFonts w:hint="eastAsia" w:ascii="宋体" w:hAnsi="宋体" w:cs="宋体"/>
          <w:color w:val="auto"/>
          <w:szCs w:val="21"/>
          <w:u w:val="single"/>
          <w:lang w:val="en-US" w:eastAsia="zh-CN"/>
        </w:rPr>
        <w:t xml:space="preserve">                </w:t>
      </w:r>
    </w:p>
    <w:p w14:paraId="1EEF1FA6">
      <w:pPr>
        <w:pStyle w:val="6"/>
        <w:widowControl w:val="0"/>
        <w:overflowPunct w:val="0"/>
        <w:spacing w:line="400" w:lineRule="exact"/>
        <w:ind w:firstLine="0"/>
        <w:outlineLvl w:val="9"/>
        <w:rPr>
          <w:rFonts w:hint="eastAsia" w:ascii="宋体" w:hAnsi="宋体" w:cs="宋体"/>
          <w:color w:val="auto"/>
          <w:szCs w:val="21"/>
        </w:rPr>
      </w:pPr>
      <w:r>
        <w:rPr>
          <w:rFonts w:hint="eastAsia" w:ascii="宋体" w:hAnsi="宋体" w:cs="宋体"/>
          <w:color w:val="auto"/>
          <w:szCs w:val="21"/>
        </w:rPr>
        <w:t>乙方：</w:t>
      </w:r>
      <w:r>
        <w:rPr>
          <w:rFonts w:hint="eastAsia" w:ascii="宋体" w:hAnsi="宋体" w:cs="宋体"/>
          <w:color w:val="auto"/>
          <w:szCs w:val="21"/>
          <w:u w:val="single"/>
          <w:lang w:val="en-US" w:eastAsia="zh-CN"/>
        </w:rPr>
        <w:t xml:space="preserve">                </w:t>
      </w:r>
    </w:p>
    <w:p w14:paraId="32638162">
      <w:pPr>
        <w:pStyle w:val="6"/>
        <w:widowControl w:val="0"/>
        <w:overflowPunct w:val="0"/>
        <w:spacing w:line="400" w:lineRule="exact"/>
        <w:ind w:firstLineChars="200"/>
        <w:outlineLvl w:val="9"/>
        <w:rPr>
          <w:rFonts w:hint="eastAsia" w:ascii="宋体" w:hAnsi="宋体" w:cs="宋体"/>
          <w:color w:val="auto"/>
          <w:szCs w:val="21"/>
        </w:rPr>
      </w:pPr>
      <w:r>
        <w:rPr>
          <w:rFonts w:hint="eastAsia" w:ascii="宋体" w:hAnsi="宋体" w:cs="宋体"/>
          <w:color w:val="auto"/>
          <w:szCs w:val="21"/>
        </w:rPr>
        <w:t>（如果有的话，可按甲、乙、丙、丁…序列增加）</w:t>
      </w:r>
    </w:p>
    <w:p w14:paraId="63D7B9AE">
      <w:pPr>
        <w:pStyle w:val="6"/>
        <w:widowControl w:val="0"/>
        <w:overflowPunct w:val="0"/>
        <w:spacing w:line="400" w:lineRule="exact"/>
        <w:ind w:firstLineChars="200"/>
        <w:outlineLvl w:val="9"/>
        <w:rPr>
          <w:rFonts w:hint="eastAsia" w:ascii="宋体" w:hAnsi="宋体" w:cs="宋体"/>
          <w:color w:val="auto"/>
          <w:szCs w:val="21"/>
        </w:rPr>
      </w:pPr>
      <w:r>
        <w:rPr>
          <w:rFonts w:hint="eastAsia" w:ascii="宋体" w:hAnsi="宋体" w:cs="宋体"/>
          <w:color w:val="auto"/>
          <w:szCs w:val="21"/>
        </w:rPr>
        <w:t>各方经协商，</w:t>
      </w:r>
      <w:r>
        <w:rPr>
          <w:rFonts w:hint="eastAsia" w:ascii="宋体" w:hAnsi="宋体" w:cs="宋体"/>
          <w:color w:val="auto"/>
          <w:szCs w:val="21"/>
          <w:lang w:val="zh-CN"/>
        </w:rPr>
        <w:t>决定组成一个联合体，以一个投标人的身份</w:t>
      </w:r>
      <w:r>
        <w:rPr>
          <w:rFonts w:hint="eastAsia" w:ascii="宋体" w:hAnsi="宋体" w:cs="宋体"/>
          <w:color w:val="auto"/>
          <w:szCs w:val="21"/>
        </w:rPr>
        <w:t>就欧邦工程管理集团有限公司组织实施的</w:t>
      </w:r>
      <w:r>
        <w:rPr>
          <w:rFonts w:hint="eastAsia" w:ascii="宋体" w:hAnsi="宋体" w:cs="宋体"/>
          <w:color w:val="auto"/>
          <w:szCs w:val="21"/>
          <w:u w:val="single"/>
        </w:rPr>
        <w:t xml:space="preserve">       </w:t>
      </w:r>
      <w:r>
        <w:rPr>
          <w:rFonts w:hint="eastAsia" w:ascii="宋体" w:hAnsi="宋体" w:cs="宋体"/>
          <w:color w:val="auto"/>
          <w:szCs w:val="21"/>
        </w:rPr>
        <w:t>（项目名称）（项目编号：</w:t>
      </w:r>
      <w:r>
        <w:rPr>
          <w:rFonts w:hint="eastAsia" w:ascii="宋体" w:hAnsi="宋体" w:cs="宋体"/>
          <w:color w:val="auto"/>
          <w:szCs w:val="21"/>
          <w:u w:val="single"/>
        </w:rPr>
        <w:t xml:space="preserve">        </w:t>
      </w:r>
      <w:r>
        <w:rPr>
          <w:rFonts w:hint="eastAsia" w:ascii="宋体" w:hAnsi="宋体" w:cs="宋体"/>
          <w:color w:val="auto"/>
          <w:szCs w:val="21"/>
        </w:rPr>
        <w:t>）</w:t>
      </w:r>
      <w:r>
        <w:rPr>
          <w:rFonts w:hint="eastAsia" w:ascii="宋体" w:hAnsi="宋体" w:cs="宋体"/>
          <w:color w:val="auto"/>
          <w:szCs w:val="21"/>
          <w:lang w:val="zh-CN"/>
        </w:rPr>
        <w:t>共同投标，</w:t>
      </w:r>
      <w:r>
        <w:rPr>
          <w:rFonts w:hint="eastAsia" w:ascii="宋体" w:hAnsi="宋体" w:cs="宋体"/>
          <w:color w:val="auto"/>
          <w:szCs w:val="21"/>
        </w:rPr>
        <w:t>并达成如下协议：</w:t>
      </w:r>
    </w:p>
    <w:p w14:paraId="0DAB72E5">
      <w:pPr>
        <w:pStyle w:val="6"/>
        <w:widowControl w:val="0"/>
        <w:overflowPunct w:val="0"/>
        <w:spacing w:line="400" w:lineRule="exact"/>
        <w:ind w:firstLineChars="200"/>
        <w:outlineLvl w:val="9"/>
        <w:rPr>
          <w:rFonts w:hint="eastAsia" w:ascii="宋体" w:hAnsi="宋体" w:cs="宋体"/>
          <w:color w:val="auto"/>
          <w:szCs w:val="21"/>
        </w:rPr>
      </w:pPr>
      <w:r>
        <w:rPr>
          <w:rFonts w:hint="eastAsia" w:ascii="宋体" w:hAnsi="宋体" w:cs="宋体"/>
          <w:color w:val="auto"/>
          <w:szCs w:val="21"/>
        </w:rPr>
        <w:t>一、各方一致决定，以</w:t>
      </w:r>
      <w:r>
        <w:rPr>
          <w:rFonts w:hint="eastAsia" w:ascii="宋体" w:hAnsi="宋体" w:cs="宋体"/>
          <w:color w:val="auto"/>
          <w:szCs w:val="21"/>
          <w:u w:val="single"/>
        </w:rPr>
        <w:t xml:space="preserve">       </w:t>
      </w:r>
      <w:r>
        <w:rPr>
          <w:rFonts w:hint="eastAsia" w:ascii="宋体" w:hAnsi="宋体" w:cs="宋体"/>
          <w:color w:val="auto"/>
          <w:szCs w:val="21"/>
        </w:rPr>
        <w:t>为牵头人进行投标，并按照招标文件的规定</w:t>
      </w:r>
      <w:r>
        <w:rPr>
          <w:rFonts w:hint="eastAsia" w:ascii="宋体" w:hAnsi="宋体" w:cs="宋体"/>
          <w:b/>
          <w:bCs/>
          <w:color w:val="auto"/>
          <w:szCs w:val="21"/>
        </w:rPr>
        <w:t>分别</w:t>
      </w:r>
      <w:r>
        <w:rPr>
          <w:rFonts w:hint="eastAsia" w:ascii="宋体" w:hAnsi="宋体" w:cs="宋体"/>
          <w:color w:val="auto"/>
          <w:szCs w:val="21"/>
        </w:rPr>
        <w:t>提交</w:t>
      </w:r>
      <w:r>
        <w:rPr>
          <w:rFonts w:hint="eastAsia" w:ascii="宋体" w:hAnsi="宋体" w:cs="宋体"/>
          <w:b/>
          <w:bCs/>
          <w:color w:val="auto"/>
          <w:szCs w:val="21"/>
        </w:rPr>
        <w:t>资格证明材料</w:t>
      </w:r>
      <w:r>
        <w:rPr>
          <w:rFonts w:hint="eastAsia" w:ascii="宋体" w:hAnsi="宋体" w:cs="宋体"/>
          <w:color w:val="auto"/>
          <w:szCs w:val="21"/>
        </w:rPr>
        <w:t>。</w:t>
      </w:r>
    </w:p>
    <w:p w14:paraId="71272A7F">
      <w:pPr>
        <w:pStyle w:val="6"/>
        <w:widowControl w:val="0"/>
        <w:overflowPunct w:val="0"/>
        <w:spacing w:line="400" w:lineRule="exact"/>
        <w:ind w:firstLineChars="200"/>
        <w:outlineLvl w:val="9"/>
        <w:rPr>
          <w:rFonts w:hint="eastAsia" w:ascii="宋体" w:hAnsi="宋体" w:cs="宋体"/>
          <w:color w:val="auto"/>
          <w:szCs w:val="21"/>
        </w:rPr>
      </w:pPr>
      <w:r>
        <w:rPr>
          <w:rFonts w:hint="eastAsia" w:ascii="宋体" w:hAnsi="宋体" w:cs="宋体"/>
          <w:color w:val="auto"/>
          <w:szCs w:val="21"/>
        </w:rPr>
        <w:t>二、在本次投标过程中，牵头人的法定代表人或授权委托人根据招标文件规定及投标内容而对采购人所作的任何合法承诺，包括书面澄清及响应等均对联合投标各方产生约束力。如果中标并签订合同，则联合投标各方共同与采购人签订合同，并就采购合同约定的事项对采购人承担连带责任。</w:t>
      </w:r>
    </w:p>
    <w:p w14:paraId="31940ACA">
      <w:pPr>
        <w:pStyle w:val="6"/>
        <w:widowControl w:val="0"/>
        <w:overflowPunct w:val="0"/>
        <w:spacing w:line="400" w:lineRule="exact"/>
        <w:ind w:firstLineChars="200"/>
        <w:outlineLvl w:val="9"/>
        <w:rPr>
          <w:rFonts w:hint="eastAsia" w:ascii="宋体" w:hAnsi="宋体" w:cs="宋体"/>
          <w:color w:val="auto"/>
          <w:szCs w:val="21"/>
        </w:rPr>
      </w:pPr>
      <w:r>
        <w:rPr>
          <w:rFonts w:hint="eastAsia" w:ascii="宋体" w:hAnsi="宋体" w:cs="宋体"/>
          <w:color w:val="auto"/>
          <w:szCs w:val="21"/>
        </w:rPr>
        <w:t>三、联合投标其余各方保证对牵头人为响应本次招标而提供的产品和服务提供全部质量保证及售后服务支持。</w:t>
      </w:r>
    </w:p>
    <w:p w14:paraId="367AAA45">
      <w:pPr>
        <w:pStyle w:val="6"/>
        <w:widowControl w:val="0"/>
        <w:overflowPunct w:val="0"/>
        <w:spacing w:line="400" w:lineRule="exact"/>
        <w:ind w:firstLineChars="200"/>
        <w:outlineLvl w:val="9"/>
        <w:rPr>
          <w:rFonts w:hint="eastAsia" w:ascii="宋体" w:hAnsi="宋体" w:cs="宋体"/>
          <w:color w:val="auto"/>
          <w:szCs w:val="21"/>
        </w:rPr>
      </w:pPr>
      <w:r>
        <w:rPr>
          <w:rFonts w:hint="eastAsia" w:ascii="宋体" w:hAnsi="宋体" w:cs="宋体"/>
          <w:color w:val="auto"/>
          <w:szCs w:val="21"/>
        </w:rPr>
        <w:t>四、本次联合投标中，甲方承担的工作和义务为:</w:t>
      </w:r>
    </w:p>
    <w:p w14:paraId="60A633D8">
      <w:pPr>
        <w:pStyle w:val="6"/>
        <w:widowControl w:val="0"/>
        <w:overflowPunct w:val="0"/>
        <w:spacing w:line="400" w:lineRule="exact"/>
        <w:ind w:firstLineChars="200"/>
        <w:outlineLvl w:val="9"/>
        <w:rPr>
          <w:rFonts w:hint="default" w:ascii="宋体" w:hAnsi="宋体" w:eastAsia="宋体" w:cs="宋体"/>
          <w:color w:val="auto"/>
          <w:szCs w:val="21"/>
          <w:lang w:val="en-US" w:eastAsia="zh-CN"/>
        </w:rPr>
      </w:pPr>
      <w:r>
        <w:rPr>
          <w:rFonts w:hint="eastAsia" w:ascii="宋体" w:hAnsi="宋体" w:cs="宋体"/>
          <w:color w:val="auto"/>
          <w:szCs w:val="21"/>
        </w:rPr>
        <w:t>1.</w:t>
      </w:r>
      <w:r>
        <w:rPr>
          <w:rFonts w:hint="eastAsia" w:ascii="宋体" w:hAnsi="宋体" w:cs="宋体"/>
          <w:color w:val="auto"/>
          <w:szCs w:val="21"/>
          <w:lang w:val="en-US" w:eastAsia="zh-CN"/>
        </w:rPr>
        <w:t xml:space="preserve"> </w:t>
      </w:r>
      <w:r>
        <w:rPr>
          <w:rFonts w:hint="eastAsia" w:ascii="宋体" w:hAnsi="宋体" w:cs="宋体"/>
          <w:color w:val="auto"/>
          <w:szCs w:val="21"/>
          <w:u w:val="single"/>
          <w:lang w:val="en-US" w:eastAsia="zh-CN"/>
        </w:rPr>
        <w:t xml:space="preserve">                           </w:t>
      </w:r>
    </w:p>
    <w:p w14:paraId="75B92894">
      <w:pPr>
        <w:pStyle w:val="6"/>
        <w:widowControl w:val="0"/>
        <w:overflowPunct w:val="0"/>
        <w:spacing w:line="400" w:lineRule="exact"/>
        <w:ind w:firstLineChars="200"/>
        <w:outlineLvl w:val="9"/>
        <w:rPr>
          <w:rFonts w:hint="eastAsia" w:ascii="宋体" w:hAnsi="宋体" w:cs="宋体"/>
          <w:color w:val="auto"/>
          <w:szCs w:val="21"/>
        </w:rPr>
      </w:pPr>
      <w:r>
        <w:rPr>
          <w:rFonts w:hint="eastAsia" w:ascii="宋体" w:hAnsi="宋体" w:cs="宋体"/>
          <w:color w:val="auto"/>
          <w:szCs w:val="21"/>
        </w:rPr>
        <w:t>2.合同份额占到合同总金额</w:t>
      </w:r>
      <w:r>
        <w:rPr>
          <w:rFonts w:hint="eastAsia" w:ascii="宋体" w:hAnsi="宋体" w:cs="宋体"/>
          <w:color w:val="auto"/>
          <w:szCs w:val="21"/>
          <w:u w:val="single"/>
        </w:rPr>
        <w:t xml:space="preserve">      </w:t>
      </w:r>
      <w:r>
        <w:rPr>
          <w:rFonts w:hint="eastAsia" w:ascii="宋体" w:hAnsi="宋体" w:cs="宋体"/>
          <w:color w:val="auto"/>
          <w:szCs w:val="21"/>
        </w:rPr>
        <w:t>%；</w:t>
      </w:r>
    </w:p>
    <w:p w14:paraId="6AE7D305">
      <w:pPr>
        <w:pStyle w:val="6"/>
        <w:widowControl w:val="0"/>
        <w:overflowPunct w:val="0"/>
        <w:spacing w:line="400" w:lineRule="exact"/>
        <w:ind w:firstLineChars="200"/>
        <w:outlineLvl w:val="9"/>
        <w:rPr>
          <w:rFonts w:hint="eastAsia" w:ascii="宋体" w:hAnsi="宋体" w:cs="宋体"/>
          <w:color w:val="auto"/>
          <w:szCs w:val="21"/>
        </w:rPr>
      </w:pPr>
      <w:r>
        <w:rPr>
          <w:rFonts w:hint="eastAsia" w:ascii="宋体" w:hAnsi="宋体" w:cs="宋体"/>
          <w:color w:val="auto"/>
          <w:szCs w:val="21"/>
        </w:rPr>
        <w:t>乙方承担的工作和义务为：</w:t>
      </w:r>
    </w:p>
    <w:p w14:paraId="12076271">
      <w:pPr>
        <w:pStyle w:val="6"/>
        <w:widowControl w:val="0"/>
        <w:overflowPunct w:val="0"/>
        <w:spacing w:line="400" w:lineRule="exact"/>
        <w:ind w:firstLineChars="200"/>
        <w:outlineLvl w:val="9"/>
        <w:rPr>
          <w:rFonts w:hint="eastAsia"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u w:val="single"/>
          <w:lang w:val="en-US" w:eastAsia="zh-CN"/>
        </w:rPr>
        <w:t xml:space="preserve">                           </w:t>
      </w:r>
    </w:p>
    <w:p w14:paraId="499EC43D">
      <w:pPr>
        <w:pStyle w:val="6"/>
        <w:widowControl w:val="0"/>
        <w:overflowPunct w:val="0"/>
        <w:spacing w:line="400" w:lineRule="exact"/>
        <w:ind w:firstLineChars="200"/>
        <w:outlineLvl w:val="9"/>
        <w:rPr>
          <w:rFonts w:hint="eastAsia" w:ascii="宋体" w:hAnsi="宋体" w:cs="宋体"/>
          <w:color w:val="auto"/>
          <w:szCs w:val="21"/>
        </w:rPr>
      </w:pPr>
      <w:r>
        <w:rPr>
          <w:rFonts w:hint="eastAsia" w:ascii="宋体" w:hAnsi="宋体" w:cs="宋体"/>
          <w:color w:val="auto"/>
          <w:szCs w:val="21"/>
        </w:rPr>
        <w:t>2.合同份额占到合同总金额</w:t>
      </w:r>
      <w:r>
        <w:rPr>
          <w:rFonts w:hint="eastAsia" w:ascii="宋体" w:hAnsi="宋体" w:cs="宋体"/>
          <w:color w:val="auto"/>
          <w:szCs w:val="21"/>
          <w:u w:val="single"/>
        </w:rPr>
        <w:t xml:space="preserve">      </w:t>
      </w:r>
      <w:r>
        <w:rPr>
          <w:rFonts w:hint="eastAsia" w:ascii="宋体" w:hAnsi="宋体" w:cs="宋体"/>
          <w:color w:val="auto"/>
          <w:szCs w:val="21"/>
        </w:rPr>
        <w:t>%。</w:t>
      </w:r>
    </w:p>
    <w:p w14:paraId="6964FAB8">
      <w:pPr>
        <w:pStyle w:val="6"/>
        <w:widowControl w:val="0"/>
        <w:overflowPunct w:val="0"/>
        <w:spacing w:line="400" w:lineRule="exact"/>
        <w:ind w:firstLineChars="200"/>
        <w:outlineLvl w:val="9"/>
        <w:rPr>
          <w:rFonts w:hint="eastAsia" w:ascii="宋体" w:hAnsi="宋体" w:cs="宋体"/>
          <w:color w:val="auto"/>
          <w:szCs w:val="21"/>
        </w:rPr>
      </w:pPr>
      <w:r>
        <w:rPr>
          <w:rFonts w:hint="eastAsia" w:ascii="宋体" w:hAnsi="宋体" w:cs="宋体"/>
          <w:color w:val="auto"/>
          <w:szCs w:val="21"/>
        </w:rPr>
        <w:t>五、有关本次联合投标的其他事宜：</w:t>
      </w:r>
    </w:p>
    <w:p w14:paraId="6EB37A14">
      <w:pPr>
        <w:widowControl w:val="0"/>
        <w:spacing w:line="400" w:lineRule="exact"/>
        <w:ind w:firstLine="420" w:firstLineChars="200"/>
        <w:outlineLvl w:val="9"/>
        <w:rPr>
          <w:rFonts w:hint="eastAsia" w:ascii="宋体" w:hAnsi="宋体" w:cs="宋体"/>
          <w:color w:val="auto"/>
          <w:kern w:val="2"/>
          <w:sz w:val="21"/>
          <w:szCs w:val="21"/>
          <w:lang w:val="zh-CN" w:eastAsia="zh-CN" w:bidi="ar-SA"/>
        </w:rPr>
      </w:pPr>
      <w:r>
        <w:rPr>
          <w:rFonts w:hint="eastAsia" w:ascii="宋体" w:hAnsi="宋体" w:cs="宋体"/>
          <w:color w:val="auto"/>
          <w:kern w:val="2"/>
          <w:sz w:val="21"/>
          <w:szCs w:val="21"/>
          <w:lang w:val="zh-CN" w:eastAsia="zh-CN" w:bidi="ar-SA"/>
        </w:rPr>
        <w:t>1</w:t>
      </w:r>
      <w:r>
        <w:rPr>
          <w:rFonts w:hint="eastAsia" w:ascii="宋体" w:hAnsi="宋体" w:cs="宋体"/>
          <w:color w:val="auto"/>
          <w:kern w:val="2"/>
          <w:sz w:val="21"/>
          <w:szCs w:val="21"/>
          <w:lang w:eastAsia="zh-CN" w:bidi="ar-SA"/>
        </w:rPr>
        <w:t>.</w:t>
      </w:r>
      <w:r>
        <w:rPr>
          <w:rFonts w:hint="eastAsia" w:ascii="宋体" w:hAnsi="宋体" w:cs="宋体"/>
          <w:color w:val="auto"/>
          <w:kern w:val="2"/>
          <w:sz w:val="21"/>
          <w:szCs w:val="21"/>
          <w:lang w:val="zh-CN" w:eastAsia="zh-CN" w:bidi="ar-SA"/>
        </w:rPr>
        <w:t>联合体各方不再单独参加或者与其他供应商另外组成联合体参加同一合同项下的政府采购活动。</w:t>
      </w:r>
    </w:p>
    <w:p w14:paraId="2C7F792E">
      <w:pPr>
        <w:widowControl w:val="0"/>
        <w:spacing w:line="400" w:lineRule="exact"/>
        <w:ind w:firstLine="420" w:firstLineChars="200"/>
        <w:outlineLvl w:val="9"/>
        <w:rPr>
          <w:rFonts w:hint="eastAsia" w:ascii="宋体" w:hAnsi="宋体" w:cs="宋体"/>
          <w:color w:val="auto"/>
          <w:kern w:val="2"/>
          <w:sz w:val="21"/>
          <w:szCs w:val="21"/>
          <w:lang w:val="zh-CN" w:eastAsia="zh-CN" w:bidi="ar-SA"/>
        </w:rPr>
      </w:pPr>
      <w:r>
        <w:rPr>
          <w:rFonts w:hint="eastAsia" w:ascii="宋体" w:hAnsi="宋体" w:cs="宋体"/>
          <w:color w:val="auto"/>
          <w:kern w:val="2"/>
          <w:sz w:val="21"/>
          <w:szCs w:val="21"/>
          <w:lang w:val="zh-CN" w:eastAsia="zh-CN" w:bidi="ar-SA"/>
        </w:rPr>
        <w:t>2</w:t>
      </w:r>
      <w:r>
        <w:rPr>
          <w:rFonts w:hint="eastAsia" w:ascii="宋体" w:hAnsi="宋体" w:cs="宋体"/>
          <w:color w:val="auto"/>
          <w:kern w:val="2"/>
          <w:sz w:val="21"/>
          <w:szCs w:val="21"/>
          <w:lang w:eastAsia="zh-CN" w:bidi="ar-SA"/>
        </w:rPr>
        <w:t>.</w:t>
      </w:r>
      <w:r>
        <w:rPr>
          <w:rFonts w:hint="eastAsia" w:ascii="宋体" w:hAnsi="宋体" w:cs="宋体"/>
          <w:color w:val="auto"/>
          <w:kern w:val="2"/>
          <w:sz w:val="21"/>
          <w:szCs w:val="21"/>
          <w:lang w:val="zh-CN" w:eastAsia="zh-CN" w:bidi="ar-SA"/>
        </w:rPr>
        <w:t>联合体中有同类资质的各方按照联合体分工承担相同工作的，按照资质等级较低的供应商确定资质等级。</w:t>
      </w:r>
    </w:p>
    <w:p w14:paraId="3A9A2EE6">
      <w:pPr>
        <w:widowControl w:val="0"/>
        <w:spacing w:line="400" w:lineRule="exact"/>
        <w:ind w:firstLine="420" w:firstLineChars="200"/>
        <w:outlineLvl w:val="9"/>
        <w:rPr>
          <w:rFonts w:hint="eastAsia" w:ascii="宋体" w:hAnsi="宋体" w:cs="宋体"/>
          <w:color w:val="auto"/>
          <w:kern w:val="2"/>
          <w:sz w:val="21"/>
          <w:szCs w:val="21"/>
          <w:lang w:val="zh-CN" w:eastAsia="zh-CN" w:bidi="ar-SA"/>
        </w:rPr>
      </w:pPr>
      <w:r>
        <w:rPr>
          <w:rFonts w:hint="eastAsia" w:ascii="宋体" w:hAnsi="宋体" w:cs="宋体"/>
          <w:color w:val="auto"/>
          <w:kern w:val="2"/>
          <w:sz w:val="21"/>
          <w:szCs w:val="21"/>
          <w:lang w:val="zh-CN" w:eastAsia="zh-CN" w:bidi="ar-SA"/>
        </w:rPr>
        <w:t>3</w:t>
      </w:r>
      <w:r>
        <w:rPr>
          <w:rFonts w:hint="eastAsia" w:ascii="宋体" w:hAnsi="宋体" w:cs="宋体"/>
          <w:color w:val="auto"/>
          <w:kern w:val="2"/>
          <w:sz w:val="21"/>
          <w:szCs w:val="21"/>
          <w:lang w:eastAsia="zh-CN" w:bidi="ar-SA"/>
        </w:rPr>
        <w:t>.</w:t>
      </w:r>
      <w:r>
        <w:rPr>
          <w:rFonts w:hint="eastAsia" w:ascii="宋体" w:hAnsi="宋体" w:cs="宋体"/>
          <w:color w:val="auto"/>
          <w:kern w:val="2"/>
          <w:sz w:val="21"/>
          <w:szCs w:val="21"/>
          <w:lang w:val="zh-CN" w:eastAsia="zh-CN" w:bidi="ar-SA"/>
        </w:rPr>
        <w:t>本协议提交采购人、采购</w:t>
      </w:r>
      <w:r>
        <w:rPr>
          <w:rFonts w:hint="eastAsia" w:ascii="宋体" w:hAnsi="宋体" w:cs="宋体"/>
          <w:color w:val="auto"/>
          <w:kern w:val="2"/>
          <w:sz w:val="21"/>
          <w:szCs w:val="21"/>
          <w:lang w:eastAsia="zh-CN" w:bidi="ar-SA"/>
        </w:rPr>
        <w:t>代理</w:t>
      </w:r>
      <w:r>
        <w:rPr>
          <w:rFonts w:hint="eastAsia" w:ascii="宋体" w:hAnsi="宋体" w:cs="宋体"/>
          <w:color w:val="auto"/>
          <w:kern w:val="2"/>
          <w:sz w:val="21"/>
          <w:szCs w:val="21"/>
          <w:lang w:val="zh-CN" w:eastAsia="zh-CN" w:bidi="ar-SA"/>
        </w:rPr>
        <w:t>机构后，联合体各方不得以任何形式对上述内容进行修改或撤销。</w:t>
      </w:r>
    </w:p>
    <w:p w14:paraId="1C6C8A65">
      <w:pPr>
        <w:pStyle w:val="6"/>
        <w:widowControl w:val="0"/>
        <w:overflowPunct w:val="0"/>
        <w:spacing w:line="400" w:lineRule="exact"/>
        <w:ind w:firstLineChars="200"/>
        <w:outlineLvl w:val="9"/>
        <w:rPr>
          <w:rFonts w:hint="eastAsia" w:ascii="宋体" w:hAnsi="宋体" w:cs="宋体"/>
          <w:color w:val="auto"/>
          <w:szCs w:val="21"/>
        </w:rPr>
      </w:pPr>
      <w:r>
        <w:rPr>
          <w:rFonts w:hint="eastAsia" w:ascii="宋体" w:hAnsi="宋体" w:cs="宋体"/>
          <w:color w:val="auto"/>
          <w:szCs w:val="21"/>
        </w:rPr>
        <w:t>六、本协议签约各方各持一份，并作为投标文件的一部分。</w:t>
      </w:r>
    </w:p>
    <w:tbl>
      <w:tblPr>
        <w:tblStyle w:val="22"/>
        <w:tblW w:w="8620" w:type="dxa"/>
        <w:jc w:val="center"/>
        <w:tblLayout w:type="fixed"/>
        <w:tblCellMar>
          <w:top w:w="0" w:type="dxa"/>
          <w:left w:w="108" w:type="dxa"/>
          <w:bottom w:w="0" w:type="dxa"/>
          <w:right w:w="108" w:type="dxa"/>
        </w:tblCellMar>
      </w:tblPr>
      <w:tblGrid>
        <w:gridCol w:w="4310"/>
        <w:gridCol w:w="4310"/>
      </w:tblGrid>
      <w:tr w14:paraId="5053EE8E">
        <w:tblPrEx>
          <w:tblCellMar>
            <w:top w:w="0" w:type="dxa"/>
            <w:left w:w="108" w:type="dxa"/>
            <w:bottom w:w="0" w:type="dxa"/>
            <w:right w:w="108" w:type="dxa"/>
          </w:tblCellMar>
        </w:tblPrEx>
        <w:trPr>
          <w:trHeight w:val="2511" w:hRule="atLeast"/>
          <w:jc w:val="center"/>
        </w:trPr>
        <w:tc>
          <w:tcPr>
            <w:tcW w:w="4310" w:type="dxa"/>
            <w:noWrap w:val="0"/>
            <w:vAlign w:val="top"/>
          </w:tcPr>
          <w:p w14:paraId="18C160CE">
            <w:pPr>
              <w:pStyle w:val="6"/>
              <w:widowControl w:val="0"/>
              <w:overflowPunct w:val="0"/>
              <w:spacing w:line="600" w:lineRule="auto"/>
              <w:ind w:firstLine="0"/>
              <w:outlineLvl w:val="9"/>
              <w:rPr>
                <w:rFonts w:hint="eastAsia" w:ascii="宋体" w:hAnsi="宋体" w:cs="宋体"/>
                <w:color w:val="auto"/>
                <w:szCs w:val="21"/>
              </w:rPr>
            </w:pPr>
            <w:r>
              <w:rPr>
                <w:rFonts w:hint="eastAsia" w:ascii="宋体" w:hAnsi="宋体" w:cs="宋体"/>
                <w:color w:val="auto"/>
                <w:szCs w:val="21"/>
              </w:rPr>
              <w:t>甲方单位：       （公章）</w:t>
            </w:r>
          </w:p>
          <w:p w14:paraId="6C90E5E5">
            <w:pPr>
              <w:pStyle w:val="6"/>
              <w:widowControl w:val="0"/>
              <w:overflowPunct w:val="0"/>
              <w:spacing w:line="600" w:lineRule="auto"/>
              <w:ind w:firstLine="0"/>
              <w:outlineLvl w:val="9"/>
              <w:rPr>
                <w:rFonts w:hint="eastAsia" w:ascii="宋体" w:hAnsi="宋体" w:cs="宋体"/>
                <w:color w:val="auto"/>
                <w:szCs w:val="21"/>
              </w:rPr>
            </w:pPr>
            <w:r>
              <w:rPr>
                <w:rFonts w:hint="eastAsia" w:ascii="宋体" w:hAnsi="宋体" w:cs="宋体"/>
                <w:color w:val="auto"/>
                <w:szCs w:val="21"/>
              </w:rPr>
              <w:t>法定代表人：    （签字或盖章）</w:t>
            </w:r>
          </w:p>
          <w:p w14:paraId="241F2855">
            <w:pPr>
              <w:pStyle w:val="6"/>
              <w:widowControl w:val="0"/>
              <w:overflowPunct w:val="0"/>
              <w:spacing w:line="600" w:lineRule="auto"/>
              <w:ind w:firstLine="0"/>
              <w:outlineLvl w:val="9"/>
              <w:rPr>
                <w:rFonts w:hint="eastAsia" w:ascii="宋体" w:hAnsi="宋体" w:cs="宋体"/>
                <w:color w:val="auto"/>
                <w:szCs w:val="21"/>
              </w:rPr>
            </w:pPr>
            <w:r>
              <w:rPr>
                <w:rFonts w:hint="eastAsia" w:ascii="宋体" w:hAnsi="宋体" w:cs="宋体"/>
                <w:color w:val="auto"/>
                <w:szCs w:val="21"/>
              </w:rPr>
              <w:t>日  期：  年  月   日</w:t>
            </w:r>
          </w:p>
        </w:tc>
        <w:tc>
          <w:tcPr>
            <w:tcW w:w="4310" w:type="dxa"/>
            <w:noWrap w:val="0"/>
            <w:vAlign w:val="top"/>
          </w:tcPr>
          <w:p w14:paraId="7E6726C5">
            <w:pPr>
              <w:pStyle w:val="6"/>
              <w:widowControl w:val="0"/>
              <w:overflowPunct w:val="0"/>
              <w:spacing w:line="600" w:lineRule="auto"/>
              <w:ind w:firstLine="0"/>
              <w:outlineLvl w:val="9"/>
              <w:rPr>
                <w:rFonts w:hint="eastAsia" w:ascii="宋体" w:hAnsi="宋体" w:cs="宋体"/>
                <w:color w:val="auto"/>
                <w:szCs w:val="21"/>
              </w:rPr>
            </w:pPr>
            <w:r>
              <w:rPr>
                <w:rFonts w:hint="eastAsia" w:ascii="宋体" w:hAnsi="宋体" w:cs="宋体"/>
                <w:color w:val="auto"/>
                <w:szCs w:val="21"/>
              </w:rPr>
              <w:t>乙方单位：       （公章）</w:t>
            </w:r>
          </w:p>
          <w:p w14:paraId="10CE2495">
            <w:pPr>
              <w:pStyle w:val="6"/>
              <w:widowControl w:val="0"/>
              <w:overflowPunct w:val="0"/>
              <w:spacing w:line="600" w:lineRule="auto"/>
              <w:ind w:firstLine="0"/>
              <w:outlineLvl w:val="9"/>
              <w:rPr>
                <w:rFonts w:hint="eastAsia" w:ascii="宋体" w:hAnsi="宋体" w:cs="宋体"/>
                <w:color w:val="auto"/>
                <w:szCs w:val="21"/>
              </w:rPr>
            </w:pPr>
            <w:r>
              <w:rPr>
                <w:rFonts w:hint="eastAsia" w:ascii="宋体" w:hAnsi="宋体" w:cs="宋体"/>
                <w:color w:val="auto"/>
                <w:szCs w:val="21"/>
              </w:rPr>
              <w:t>法定代表人：    （签字或盖章）</w:t>
            </w:r>
          </w:p>
          <w:p w14:paraId="46E8C38C">
            <w:pPr>
              <w:pStyle w:val="6"/>
              <w:widowControl w:val="0"/>
              <w:overflowPunct w:val="0"/>
              <w:spacing w:line="600" w:lineRule="auto"/>
              <w:ind w:firstLine="0"/>
              <w:outlineLvl w:val="9"/>
              <w:rPr>
                <w:rFonts w:hint="eastAsia" w:ascii="宋体" w:hAnsi="宋体" w:cs="宋体"/>
                <w:color w:val="auto"/>
                <w:szCs w:val="21"/>
              </w:rPr>
            </w:pPr>
            <w:r>
              <w:rPr>
                <w:rFonts w:hint="eastAsia" w:ascii="宋体" w:hAnsi="宋体" w:cs="宋体"/>
                <w:color w:val="auto"/>
                <w:szCs w:val="21"/>
              </w:rPr>
              <w:t>日  期：  年  月   日</w:t>
            </w:r>
          </w:p>
        </w:tc>
      </w:tr>
    </w:tbl>
    <w:p w14:paraId="082B7CF6">
      <w:pPr>
        <w:spacing w:line="500" w:lineRule="exact"/>
        <w:jc w:val="center"/>
        <w:outlineLvl w:val="9"/>
        <w:rPr>
          <w:rFonts w:hint="eastAsia" w:ascii="宋体" w:hAnsi="宋体" w:cs="宋体"/>
          <w:b/>
          <w:color w:val="auto"/>
          <w:sz w:val="28"/>
          <w:szCs w:val="28"/>
          <w:lang w:eastAsia="zh-CN"/>
        </w:rPr>
      </w:pPr>
    </w:p>
    <w:p w14:paraId="5C298F35">
      <w:pPr>
        <w:spacing w:line="500" w:lineRule="exact"/>
        <w:jc w:val="center"/>
        <w:outlineLvl w:val="9"/>
        <w:rPr>
          <w:rFonts w:hint="eastAsia" w:ascii="宋体" w:hAnsi="宋体" w:cs="宋体"/>
          <w:b/>
          <w:color w:val="auto"/>
          <w:sz w:val="28"/>
          <w:szCs w:val="28"/>
          <w:lang w:eastAsia="zh-CN"/>
        </w:rPr>
      </w:pPr>
    </w:p>
    <w:p w14:paraId="52D19916">
      <w:pPr>
        <w:spacing w:line="500" w:lineRule="exact"/>
        <w:jc w:val="center"/>
        <w:outlineLvl w:val="9"/>
        <w:rPr>
          <w:rFonts w:hint="eastAsia" w:ascii="宋体" w:hAnsi="宋体" w:cs="宋体"/>
          <w:b/>
          <w:color w:val="auto"/>
          <w:sz w:val="28"/>
          <w:szCs w:val="28"/>
          <w:lang w:eastAsia="zh-CN"/>
        </w:rPr>
      </w:pPr>
    </w:p>
    <w:p w14:paraId="4E0DFF9A">
      <w:pPr>
        <w:spacing w:line="500" w:lineRule="exact"/>
        <w:jc w:val="center"/>
        <w:outlineLvl w:val="9"/>
        <w:rPr>
          <w:rFonts w:hint="eastAsia" w:ascii="宋体" w:hAnsi="宋体" w:cs="宋体"/>
          <w:b/>
          <w:color w:val="auto"/>
          <w:sz w:val="28"/>
          <w:szCs w:val="28"/>
          <w:lang w:eastAsia="zh-CN"/>
        </w:rPr>
      </w:pPr>
    </w:p>
    <w:bookmarkEnd w:id="155"/>
    <w:p w14:paraId="057ED9FD">
      <w:pPr>
        <w:spacing w:line="500" w:lineRule="exact"/>
        <w:jc w:val="center"/>
        <w:outlineLvl w:val="2"/>
        <w:rPr>
          <w:rFonts w:hint="eastAsia" w:ascii="宋体" w:hAnsi="宋体" w:eastAsia="宋体" w:cs="宋体"/>
          <w:b/>
          <w:color w:val="auto"/>
          <w:sz w:val="28"/>
          <w:szCs w:val="28"/>
          <w:lang w:eastAsia="zh-CN"/>
        </w:rPr>
      </w:pPr>
      <w:r>
        <w:rPr>
          <w:rFonts w:hint="eastAsia" w:ascii="宋体" w:hAnsi="宋体" w:eastAsia="宋体" w:cs="宋体"/>
          <w:b/>
          <w:color w:val="auto"/>
          <w:sz w:val="28"/>
          <w:szCs w:val="28"/>
          <w:lang w:eastAsia="zh-CN"/>
        </w:rPr>
        <w:t>二、联合投标授权委托书（如有）</w:t>
      </w:r>
    </w:p>
    <w:p w14:paraId="50E5681F">
      <w:pPr>
        <w:keepNext/>
        <w:keepLines/>
        <w:widowControl w:val="0"/>
        <w:spacing w:line="500" w:lineRule="exact"/>
        <w:ind w:firstLine="600" w:firstLineChars="200"/>
        <w:jc w:val="both"/>
        <w:outlineLvl w:val="9"/>
        <w:rPr>
          <w:rFonts w:hint="eastAsia" w:ascii="宋体" w:hAnsi="宋体" w:eastAsia="宋体" w:cs="宋体"/>
          <w:b w:val="0"/>
          <w:bCs w:val="0"/>
          <w:color w:val="auto"/>
          <w:sz w:val="30"/>
          <w:szCs w:val="30"/>
          <w:lang w:eastAsia="zh-CN"/>
        </w:rPr>
      </w:pPr>
    </w:p>
    <w:p w14:paraId="590596B8">
      <w:pPr>
        <w:keepNext/>
        <w:keepLines/>
        <w:widowControl w:val="0"/>
        <w:spacing w:line="500" w:lineRule="exact"/>
        <w:ind w:firstLine="420" w:firstLineChars="200"/>
        <w:jc w:val="both"/>
        <w:outlineLvl w:val="9"/>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本授权委托书声明：根据</w:t>
      </w:r>
      <w:r>
        <w:rPr>
          <w:rFonts w:hint="eastAsia" w:ascii="宋体" w:hAnsi="宋体" w:eastAsia="宋体" w:cs="宋体"/>
          <w:b w:val="0"/>
          <w:bCs w:val="0"/>
          <w:color w:val="auto"/>
          <w:sz w:val="21"/>
          <w:szCs w:val="21"/>
          <w:u w:val="single"/>
          <w:lang w:eastAsia="zh-CN"/>
        </w:rPr>
        <w:t xml:space="preserve">      </w:t>
      </w:r>
      <w:r>
        <w:rPr>
          <w:rFonts w:hint="eastAsia" w:ascii="宋体" w:hAnsi="宋体" w:eastAsia="宋体" w:cs="宋体"/>
          <w:b w:val="0"/>
          <w:bCs w:val="0"/>
          <w:color w:val="auto"/>
          <w:sz w:val="21"/>
          <w:szCs w:val="21"/>
          <w:lang w:eastAsia="zh-CN"/>
        </w:rPr>
        <w:t>与</w:t>
      </w:r>
      <w:r>
        <w:rPr>
          <w:rFonts w:hint="eastAsia" w:ascii="宋体" w:hAnsi="宋体" w:eastAsia="宋体" w:cs="宋体"/>
          <w:b w:val="0"/>
          <w:bCs w:val="0"/>
          <w:color w:val="auto"/>
          <w:sz w:val="21"/>
          <w:szCs w:val="21"/>
          <w:u w:val="single"/>
          <w:lang w:eastAsia="zh-CN"/>
        </w:rPr>
        <w:t xml:space="preserve">        </w:t>
      </w:r>
      <w:r>
        <w:rPr>
          <w:rFonts w:hint="eastAsia" w:ascii="宋体" w:hAnsi="宋体" w:eastAsia="宋体" w:cs="宋体"/>
          <w:b w:val="0"/>
          <w:bCs w:val="0"/>
          <w:color w:val="auto"/>
          <w:sz w:val="21"/>
          <w:szCs w:val="21"/>
          <w:lang w:eastAsia="zh-CN"/>
        </w:rPr>
        <w:t>签订的《联合投标协议书》的内容，牵头人的法定代表人现授权</w:t>
      </w:r>
      <w:r>
        <w:rPr>
          <w:rFonts w:hint="eastAsia" w:ascii="宋体" w:hAnsi="宋体" w:eastAsia="宋体" w:cs="宋体"/>
          <w:b w:val="0"/>
          <w:bCs w:val="0"/>
          <w:color w:val="auto"/>
          <w:sz w:val="21"/>
          <w:szCs w:val="21"/>
          <w:u w:val="single"/>
          <w:lang w:eastAsia="zh-CN"/>
        </w:rPr>
        <w:t xml:space="preserve">        </w:t>
      </w:r>
      <w:r>
        <w:rPr>
          <w:rFonts w:hint="eastAsia" w:ascii="宋体" w:hAnsi="宋体" w:eastAsia="宋体" w:cs="宋体"/>
          <w:b w:val="0"/>
          <w:bCs w:val="0"/>
          <w:color w:val="auto"/>
          <w:sz w:val="21"/>
          <w:szCs w:val="21"/>
          <w:lang w:eastAsia="zh-CN"/>
        </w:rPr>
        <w:t>为联合投标代理人，代理人在投标、开标、评标、合同谈判过程中所签署的一切文件和处理与这有关的一切事务， 联合投标各方均予以认可并遵守。</w:t>
      </w:r>
    </w:p>
    <w:p w14:paraId="5A797000">
      <w:pPr>
        <w:pStyle w:val="6"/>
        <w:widowControl w:val="0"/>
        <w:overflowPunct w:val="0"/>
        <w:spacing w:line="500" w:lineRule="exact"/>
        <w:ind w:firstLineChars="200"/>
        <w:outlineLvl w:val="9"/>
        <w:rPr>
          <w:rFonts w:hint="eastAsia" w:ascii="宋体" w:hAnsi="宋体" w:eastAsia="宋体" w:cs="宋体"/>
          <w:color w:val="auto"/>
          <w:szCs w:val="21"/>
        </w:rPr>
      </w:pPr>
      <w:r>
        <w:rPr>
          <w:rFonts w:hint="eastAsia" w:ascii="宋体" w:hAnsi="宋体" w:eastAsia="宋体" w:cs="宋体"/>
          <w:color w:val="auto"/>
          <w:szCs w:val="21"/>
        </w:rPr>
        <w:t>特此委托。</w:t>
      </w:r>
    </w:p>
    <w:p w14:paraId="1687D67F">
      <w:pPr>
        <w:pStyle w:val="6"/>
        <w:widowControl w:val="0"/>
        <w:overflowPunct w:val="0"/>
        <w:spacing w:line="500" w:lineRule="exact"/>
        <w:ind w:firstLineChars="200"/>
        <w:outlineLvl w:val="9"/>
        <w:rPr>
          <w:rFonts w:hint="eastAsia" w:ascii="宋体" w:hAnsi="宋体" w:cs="宋体"/>
          <w:color w:val="auto"/>
          <w:szCs w:val="21"/>
        </w:rPr>
      </w:pPr>
    </w:p>
    <w:p w14:paraId="4A915BD6">
      <w:pPr>
        <w:pStyle w:val="6"/>
        <w:widowControl w:val="0"/>
        <w:overflowPunct w:val="0"/>
        <w:spacing w:line="500" w:lineRule="exact"/>
        <w:ind w:firstLineChars="200"/>
        <w:outlineLvl w:val="9"/>
        <w:rPr>
          <w:rFonts w:hint="default" w:ascii="宋体" w:hAnsi="宋体" w:cs="宋体"/>
          <w:color w:val="auto"/>
          <w:szCs w:val="21"/>
          <w:lang w:val="en-US"/>
        </w:rPr>
      </w:pPr>
      <w:r>
        <w:rPr>
          <w:rFonts w:hint="eastAsia" w:ascii="宋体" w:hAnsi="宋体" w:cs="宋体"/>
          <w:color w:val="auto"/>
          <w:szCs w:val="21"/>
        </w:rPr>
        <w:t>法定代表人（签名）：</w:t>
      </w:r>
      <w:r>
        <w:rPr>
          <w:rFonts w:hint="eastAsia" w:ascii="宋体" w:hAnsi="宋体" w:cs="宋体"/>
          <w:color w:val="auto"/>
          <w:szCs w:val="21"/>
          <w:u w:val="single"/>
          <w:lang w:val="en-US" w:eastAsia="zh-CN"/>
        </w:rPr>
        <w:t xml:space="preserve">                    </w:t>
      </w:r>
    </w:p>
    <w:p w14:paraId="45145CDC">
      <w:pPr>
        <w:pStyle w:val="6"/>
        <w:widowControl w:val="0"/>
        <w:overflowPunct w:val="0"/>
        <w:spacing w:line="500" w:lineRule="exact"/>
        <w:ind w:firstLineChars="200"/>
        <w:outlineLvl w:val="9"/>
        <w:rPr>
          <w:rFonts w:hint="eastAsia" w:ascii="宋体" w:hAnsi="宋体" w:cs="宋体"/>
          <w:color w:val="auto"/>
          <w:szCs w:val="21"/>
        </w:rPr>
      </w:pPr>
      <w:r>
        <w:rPr>
          <w:rFonts w:hint="eastAsia" w:ascii="宋体" w:hAnsi="宋体" w:cs="宋体"/>
          <w:color w:val="auto"/>
          <w:szCs w:val="21"/>
        </w:rPr>
        <w:t>日期：    年  月  日</w:t>
      </w:r>
    </w:p>
    <w:p w14:paraId="53934FE5">
      <w:pPr>
        <w:pStyle w:val="6"/>
        <w:widowControl w:val="0"/>
        <w:overflowPunct w:val="0"/>
        <w:spacing w:line="500" w:lineRule="exact"/>
        <w:ind w:firstLineChars="200"/>
        <w:outlineLvl w:val="9"/>
        <w:rPr>
          <w:rFonts w:hint="eastAsia" w:ascii="宋体" w:hAnsi="宋体" w:cs="宋体"/>
          <w:color w:val="auto"/>
          <w:szCs w:val="21"/>
        </w:rPr>
      </w:pPr>
    </w:p>
    <w:p w14:paraId="6E24A383">
      <w:pPr>
        <w:pStyle w:val="6"/>
        <w:widowControl w:val="0"/>
        <w:overflowPunct w:val="0"/>
        <w:spacing w:line="500" w:lineRule="exact"/>
        <w:ind w:firstLineChars="200"/>
        <w:outlineLvl w:val="9"/>
        <w:rPr>
          <w:rFonts w:hint="eastAsia" w:ascii="宋体" w:hAnsi="宋体" w:cs="宋体"/>
          <w:color w:val="auto"/>
          <w:szCs w:val="21"/>
        </w:rPr>
      </w:pPr>
      <w:r>
        <w:rPr>
          <w:rFonts w:hint="eastAsia" w:ascii="宋体" w:hAnsi="宋体" w:cs="宋体"/>
          <w:color w:val="auto"/>
          <w:szCs w:val="21"/>
        </w:rPr>
        <w:t>授权委托人（签名）：</w:t>
      </w:r>
      <w:r>
        <w:rPr>
          <w:rFonts w:hint="eastAsia" w:ascii="宋体" w:hAnsi="宋体" w:cs="宋体"/>
          <w:color w:val="auto"/>
          <w:szCs w:val="21"/>
          <w:u w:val="single"/>
          <w:lang w:val="en-US" w:eastAsia="zh-CN"/>
        </w:rPr>
        <w:t xml:space="preserve">                    </w:t>
      </w:r>
    </w:p>
    <w:p w14:paraId="00161962">
      <w:pPr>
        <w:pStyle w:val="6"/>
        <w:widowControl w:val="0"/>
        <w:overflowPunct w:val="0"/>
        <w:spacing w:line="500" w:lineRule="exact"/>
        <w:ind w:firstLineChars="200"/>
        <w:outlineLvl w:val="9"/>
        <w:rPr>
          <w:rFonts w:hint="eastAsia" w:ascii="宋体" w:hAnsi="宋体" w:cs="宋体"/>
          <w:color w:val="auto"/>
          <w:szCs w:val="21"/>
        </w:rPr>
      </w:pPr>
    </w:p>
    <w:p w14:paraId="065F9FDF">
      <w:pPr>
        <w:pStyle w:val="6"/>
        <w:widowControl w:val="0"/>
        <w:overflowPunct w:val="0"/>
        <w:spacing w:line="500" w:lineRule="exact"/>
        <w:ind w:firstLineChars="200"/>
        <w:outlineLvl w:val="9"/>
        <w:rPr>
          <w:rFonts w:hint="eastAsia" w:ascii="宋体" w:hAnsi="宋体" w:cs="宋体"/>
          <w:color w:val="auto"/>
          <w:szCs w:val="21"/>
        </w:rPr>
      </w:pPr>
      <w:r>
        <w:rPr>
          <w:rFonts w:hint="eastAsia" w:ascii="宋体" w:hAnsi="宋体" w:cs="宋体"/>
          <w:color w:val="auto"/>
          <w:szCs w:val="21"/>
        </w:rPr>
        <w:t>日期：    年  月  日</w:t>
      </w:r>
    </w:p>
    <w:p w14:paraId="409D2085">
      <w:pPr>
        <w:tabs>
          <w:tab w:val="left" w:pos="606"/>
        </w:tabs>
        <w:spacing w:line="460" w:lineRule="exact"/>
        <w:outlineLvl w:val="9"/>
        <w:rPr>
          <w:rFonts w:hint="eastAsia" w:ascii="宋体" w:hAnsi="宋体" w:cs="宋体"/>
          <w:color w:val="auto"/>
          <w:spacing w:val="20"/>
          <w:sz w:val="21"/>
          <w:szCs w:val="21"/>
        </w:rPr>
      </w:pPr>
    </w:p>
    <w:p w14:paraId="01293811">
      <w:pPr>
        <w:tabs>
          <w:tab w:val="left" w:pos="606"/>
        </w:tabs>
        <w:spacing w:line="460" w:lineRule="exact"/>
        <w:outlineLvl w:val="9"/>
        <w:rPr>
          <w:rFonts w:hint="eastAsia" w:ascii="宋体" w:hAnsi="宋体" w:cs="宋体"/>
          <w:color w:val="auto"/>
          <w:spacing w:val="20"/>
          <w:sz w:val="21"/>
          <w:szCs w:val="21"/>
        </w:rPr>
      </w:pPr>
    </w:p>
    <w:tbl>
      <w:tblPr>
        <w:tblStyle w:val="22"/>
        <w:tblW w:w="8528" w:type="dxa"/>
        <w:jc w:val="center"/>
        <w:tblLayout w:type="fixed"/>
        <w:tblCellMar>
          <w:top w:w="0" w:type="dxa"/>
          <w:left w:w="108" w:type="dxa"/>
          <w:bottom w:w="0" w:type="dxa"/>
          <w:right w:w="108" w:type="dxa"/>
        </w:tblCellMar>
      </w:tblPr>
      <w:tblGrid>
        <w:gridCol w:w="4264"/>
        <w:gridCol w:w="4264"/>
      </w:tblGrid>
      <w:tr w14:paraId="06B575D4">
        <w:tblPrEx>
          <w:tblCellMar>
            <w:top w:w="0" w:type="dxa"/>
            <w:left w:w="108" w:type="dxa"/>
            <w:bottom w:w="0" w:type="dxa"/>
            <w:right w:w="108" w:type="dxa"/>
          </w:tblCellMar>
        </w:tblPrEx>
        <w:trPr>
          <w:jc w:val="center"/>
        </w:trPr>
        <w:tc>
          <w:tcPr>
            <w:tcW w:w="4264" w:type="dxa"/>
            <w:noWrap w:val="0"/>
            <w:vAlign w:val="top"/>
          </w:tcPr>
          <w:p w14:paraId="1FFF6C93">
            <w:pPr>
              <w:pStyle w:val="6"/>
              <w:overflowPunct w:val="0"/>
              <w:spacing w:line="460" w:lineRule="exact"/>
              <w:ind w:firstLine="0"/>
              <w:outlineLvl w:val="9"/>
              <w:rPr>
                <w:rFonts w:hint="eastAsia" w:ascii="宋体" w:hAnsi="宋体" w:cs="宋体"/>
                <w:color w:val="auto"/>
                <w:szCs w:val="21"/>
              </w:rPr>
            </w:pPr>
          </w:p>
          <w:p w14:paraId="4EB5D085">
            <w:pPr>
              <w:pStyle w:val="6"/>
              <w:overflowPunct w:val="0"/>
              <w:spacing w:line="460" w:lineRule="exact"/>
              <w:ind w:firstLine="0"/>
              <w:outlineLvl w:val="9"/>
              <w:rPr>
                <w:rFonts w:hint="eastAsia" w:ascii="宋体" w:hAnsi="宋体" w:cs="宋体"/>
                <w:color w:val="auto"/>
                <w:szCs w:val="21"/>
              </w:rPr>
            </w:pPr>
            <w:r>
              <w:rPr>
                <w:rFonts w:hint="eastAsia" w:ascii="宋体" w:hAnsi="宋体" w:cs="宋体"/>
                <w:color w:val="auto"/>
                <w:szCs w:val="21"/>
              </w:rPr>
              <w:t>联合体甲方单位：   （公章）</w:t>
            </w:r>
          </w:p>
          <w:p w14:paraId="5B5E38FB">
            <w:pPr>
              <w:pStyle w:val="6"/>
              <w:overflowPunct w:val="0"/>
              <w:spacing w:line="460" w:lineRule="exact"/>
              <w:ind w:firstLine="0"/>
              <w:outlineLvl w:val="9"/>
              <w:rPr>
                <w:rFonts w:hint="eastAsia" w:ascii="宋体" w:hAnsi="宋体" w:cs="宋体"/>
                <w:color w:val="auto"/>
                <w:szCs w:val="21"/>
              </w:rPr>
            </w:pPr>
          </w:p>
          <w:p w14:paraId="0E5CA851">
            <w:pPr>
              <w:pStyle w:val="6"/>
              <w:overflowPunct w:val="0"/>
              <w:spacing w:line="460" w:lineRule="exact"/>
              <w:ind w:firstLine="0"/>
              <w:outlineLvl w:val="9"/>
              <w:rPr>
                <w:rFonts w:hint="eastAsia" w:ascii="宋体" w:hAnsi="宋体" w:cs="宋体"/>
                <w:color w:val="auto"/>
                <w:szCs w:val="21"/>
              </w:rPr>
            </w:pPr>
          </w:p>
          <w:p w14:paraId="4278BF90">
            <w:pPr>
              <w:pStyle w:val="6"/>
              <w:overflowPunct w:val="0"/>
              <w:spacing w:line="460" w:lineRule="exact"/>
              <w:ind w:firstLine="0"/>
              <w:outlineLvl w:val="9"/>
              <w:rPr>
                <w:rFonts w:hint="eastAsia" w:ascii="宋体" w:hAnsi="宋体" w:cs="宋体"/>
                <w:color w:val="auto"/>
                <w:szCs w:val="21"/>
              </w:rPr>
            </w:pPr>
            <w:r>
              <w:rPr>
                <w:rFonts w:hint="eastAsia" w:ascii="宋体" w:hAnsi="宋体" w:cs="宋体"/>
                <w:color w:val="auto"/>
                <w:szCs w:val="21"/>
              </w:rPr>
              <w:t>法定代表人：     （签章）</w:t>
            </w:r>
          </w:p>
          <w:p w14:paraId="471D6FE1">
            <w:pPr>
              <w:pStyle w:val="6"/>
              <w:overflowPunct w:val="0"/>
              <w:spacing w:line="460" w:lineRule="exact"/>
              <w:ind w:firstLine="0"/>
              <w:outlineLvl w:val="9"/>
              <w:rPr>
                <w:rFonts w:hint="eastAsia" w:ascii="宋体" w:hAnsi="宋体" w:cs="宋体"/>
                <w:color w:val="auto"/>
                <w:szCs w:val="21"/>
              </w:rPr>
            </w:pPr>
          </w:p>
          <w:p w14:paraId="2794FE58">
            <w:pPr>
              <w:pStyle w:val="6"/>
              <w:overflowPunct w:val="0"/>
              <w:spacing w:line="460" w:lineRule="exact"/>
              <w:ind w:firstLine="0"/>
              <w:outlineLvl w:val="9"/>
              <w:rPr>
                <w:rFonts w:hint="eastAsia" w:ascii="宋体" w:hAnsi="宋体" w:cs="宋体"/>
                <w:color w:val="auto"/>
                <w:szCs w:val="21"/>
              </w:rPr>
            </w:pPr>
          </w:p>
          <w:p w14:paraId="0CB0FACB">
            <w:pPr>
              <w:pStyle w:val="6"/>
              <w:overflowPunct w:val="0"/>
              <w:spacing w:line="460" w:lineRule="exact"/>
              <w:ind w:firstLine="0"/>
              <w:outlineLvl w:val="9"/>
              <w:rPr>
                <w:rFonts w:hint="eastAsia" w:ascii="宋体" w:hAnsi="宋体" w:cs="宋体"/>
                <w:color w:val="auto"/>
                <w:szCs w:val="21"/>
              </w:rPr>
            </w:pPr>
            <w:r>
              <w:rPr>
                <w:rFonts w:hint="eastAsia" w:ascii="宋体" w:hAnsi="宋体" w:cs="宋体"/>
                <w:color w:val="auto"/>
                <w:szCs w:val="21"/>
              </w:rPr>
              <w:t>日  期：  年  月   日</w:t>
            </w:r>
          </w:p>
        </w:tc>
        <w:tc>
          <w:tcPr>
            <w:tcW w:w="4264" w:type="dxa"/>
            <w:noWrap w:val="0"/>
            <w:vAlign w:val="top"/>
          </w:tcPr>
          <w:p w14:paraId="58CD9F98">
            <w:pPr>
              <w:pStyle w:val="6"/>
              <w:overflowPunct w:val="0"/>
              <w:spacing w:line="460" w:lineRule="exact"/>
              <w:ind w:firstLine="0"/>
              <w:outlineLvl w:val="9"/>
              <w:rPr>
                <w:rFonts w:hint="eastAsia" w:ascii="宋体" w:hAnsi="宋体" w:cs="宋体"/>
                <w:color w:val="auto"/>
                <w:szCs w:val="21"/>
              </w:rPr>
            </w:pPr>
          </w:p>
          <w:p w14:paraId="36B0C2F0">
            <w:pPr>
              <w:pStyle w:val="6"/>
              <w:overflowPunct w:val="0"/>
              <w:spacing w:line="460" w:lineRule="exact"/>
              <w:ind w:firstLine="0"/>
              <w:outlineLvl w:val="9"/>
              <w:rPr>
                <w:rFonts w:hint="eastAsia" w:ascii="宋体" w:hAnsi="宋体" w:cs="宋体"/>
                <w:color w:val="auto"/>
                <w:szCs w:val="21"/>
              </w:rPr>
            </w:pPr>
            <w:r>
              <w:rPr>
                <w:rFonts w:hint="eastAsia" w:ascii="宋体" w:hAnsi="宋体" w:cs="宋体"/>
                <w:color w:val="auto"/>
                <w:szCs w:val="21"/>
              </w:rPr>
              <w:t>联合体乙方单位：   （公章）</w:t>
            </w:r>
          </w:p>
          <w:p w14:paraId="3FC9A2CC">
            <w:pPr>
              <w:pStyle w:val="6"/>
              <w:overflowPunct w:val="0"/>
              <w:spacing w:line="460" w:lineRule="exact"/>
              <w:ind w:firstLine="0"/>
              <w:outlineLvl w:val="9"/>
              <w:rPr>
                <w:rFonts w:hint="eastAsia" w:ascii="宋体" w:hAnsi="宋体" w:cs="宋体"/>
                <w:color w:val="auto"/>
                <w:szCs w:val="21"/>
              </w:rPr>
            </w:pPr>
          </w:p>
          <w:p w14:paraId="287B5E5E">
            <w:pPr>
              <w:pStyle w:val="6"/>
              <w:overflowPunct w:val="0"/>
              <w:spacing w:line="460" w:lineRule="exact"/>
              <w:ind w:firstLine="0"/>
              <w:outlineLvl w:val="9"/>
              <w:rPr>
                <w:rFonts w:hint="eastAsia" w:ascii="宋体" w:hAnsi="宋体" w:cs="宋体"/>
                <w:color w:val="auto"/>
                <w:szCs w:val="21"/>
              </w:rPr>
            </w:pPr>
          </w:p>
          <w:p w14:paraId="24FE9D4C">
            <w:pPr>
              <w:pStyle w:val="6"/>
              <w:overflowPunct w:val="0"/>
              <w:spacing w:line="460" w:lineRule="exact"/>
              <w:ind w:firstLine="0"/>
              <w:outlineLvl w:val="9"/>
              <w:rPr>
                <w:rFonts w:hint="eastAsia" w:ascii="宋体" w:hAnsi="宋体" w:cs="宋体"/>
                <w:color w:val="auto"/>
                <w:szCs w:val="21"/>
              </w:rPr>
            </w:pPr>
            <w:r>
              <w:rPr>
                <w:rFonts w:hint="eastAsia" w:ascii="宋体" w:hAnsi="宋体" w:cs="宋体"/>
                <w:color w:val="auto"/>
                <w:szCs w:val="21"/>
              </w:rPr>
              <w:t>法定代表人：     （签章）</w:t>
            </w:r>
          </w:p>
          <w:p w14:paraId="0B4151B9">
            <w:pPr>
              <w:pStyle w:val="6"/>
              <w:overflowPunct w:val="0"/>
              <w:spacing w:line="460" w:lineRule="exact"/>
              <w:ind w:firstLine="0"/>
              <w:outlineLvl w:val="9"/>
              <w:rPr>
                <w:rFonts w:hint="eastAsia" w:ascii="宋体" w:hAnsi="宋体" w:cs="宋体"/>
                <w:color w:val="auto"/>
                <w:szCs w:val="21"/>
              </w:rPr>
            </w:pPr>
          </w:p>
          <w:p w14:paraId="1EBC6C2B">
            <w:pPr>
              <w:pStyle w:val="6"/>
              <w:overflowPunct w:val="0"/>
              <w:spacing w:line="460" w:lineRule="exact"/>
              <w:ind w:firstLine="0"/>
              <w:outlineLvl w:val="9"/>
              <w:rPr>
                <w:rFonts w:hint="eastAsia" w:ascii="宋体" w:hAnsi="宋体" w:cs="宋体"/>
                <w:color w:val="auto"/>
                <w:szCs w:val="21"/>
              </w:rPr>
            </w:pPr>
          </w:p>
          <w:p w14:paraId="786CC96A">
            <w:pPr>
              <w:pStyle w:val="6"/>
              <w:overflowPunct w:val="0"/>
              <w:spacing w:line="460" w:lineRule="exact"/>
              <w:ind w:firstLine="0"/>
              <w:outlineLvl w:val="9"/>
              <w:rPr>
                <w:rFonts w:hint="eastAsia" w:ascii="宋体" w:hAnsi="宋体" w:cs="宋体"/>
                <w:color w:val="auto"/>
                <w:szCs w:val="21"/>
              </w:rPr>
            </w:pPr>
            <w:r>
              <w:rPr>
                <w:rFonts w:hint="eastAsia" w:ascii="宋体" w:hAnsi="宋体" w:cs="宋体"/>
                <w:color w:val="auto"/>
                <w:szCs w:val="21"/>
              </w:rPr>
              <w:t>日  期：  年  月   日</w:t>
            </w:r>
          </w:p>
        </w:tc>
      </w:tr>
    </w:tbl>
    <w:p w14:paraId="2EFFA971">
      <w:pPr>
        <w:spacing w:line="440" w:lineRule="exact"/>
        <w:jc w:val="center"/>
        <w:outlineLvl w:val="9"/>
        <w:rPr>
          <w:rFonts w:hint="eastAsia" w:ascii="宋体" w:hAnsi="宋体" w:cs="宋体"/>
          <w:b/>
          <w:color w:val="auto"/>
          <w:sz w:val="30"/>
          <w:szCs w:val="30"/>
          <w:lang w:eastAsia="zh-CN"/>
        </w:rPr>
      </w:pPr>
    </w:p>
    <w:p w14:paraId="08940047">
      <w:pPr>
        <w:outlineLvl w:val="9"/>
        <w:rPr>
          <w:rFonts w:hint="eastAsia" w:ascii="宋体" w:hAnsi="宋体" w:cs="宋体"/>
          <w:b w:val="0"/>
          <w:color w:val="auto"/>
          <w:sz w:val="30"/>
          <w:szCs w:val="30"/>
          <w:lang w:eastAsia="zh-CN"/>
        </w:rPr>
      </w:pPr>
    </w:p>
    <w:p w14:paraId="452D6A3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val="0"/>
          <w:color w:val="auto"/>
          <w:sz w:val="30"/>
          <w:szCs w:val="30"/>
          <w:highlight w:val="none"/>
          <w:lang w:eastAsia="zh-CN"/>
        </w:rPr>
      </w:pPr>
    </w:p>
    <w:p w14:paraId="33871E5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val="0"/>
          <w:color w:val="auto"/>
          <w:sz w:val="30"/>
          <w:szCs w:val="30"/>
          <w:highlight w:val="none"/>
          <w:lang w:eastAsia="zh-CN"/>
        </w:rPr>
      </w:pPr>
    </w:p>
    <w:p w14:paraId="488D81EE">
      <w:pPr>
        <w:outlineLvl w:val="9"/>
        <w:rPr>
          <w:rFonts w:hint="eastAsia" w:ascii="宋体" w:hAnsi="宋体" w:cs="宋体"/>
          <w:b/>
          <w:bCs w:val="0"/>
          <w:color w:val="auto"/>
          <w:sz w:val="30"/>
          <w:szCs w:val="30"/>
          <w:highlight w:val="none"/>
          <w:lang w:val="en-US" w:eastAsia="zh-CN"/>
        </w:rPr>
      </w:pPr>
      <w:r>
        <w:rPr>
          <w:rFonts w:hint="eastAsia" w:ascii="宋体" w:hAnsi="宋体" w:cs="宋体"/>
          <w:b/>
          <w:bCs w:val="0"/>
          <w:color w:val="auto"/>
          <w:sz w:val="30"/>
          <w:szCs w:val="30"/>
          <w:highlight w:val="none"/>
          <w:lang w:val="en-US" w:eastAsia="zh-CN"/>
        </w:rPr>
        <w:br w:type="page"/>
      </w:r>
    </w:p>
    <w:p w14:paraId="4955B55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bCs w:val="0"/>
          <w:color w:val="auto"/>
          <w:sz w:val="30"/>
          <w:szCs w:val="30"/>
          <w:highlight w:val="none"/>
          <w:lang w:eastAsia="zh-CN"/>
        </w:rPr>
      </w:pPr>
      <w:r>
        <w:rPr>
          <w:rFonts w:hint="eastAsia" w:ascii="宋体" w:hAnsi="宋体" w:cs="宋体"/>
          <w:b/>
          <w:bCs w:val="0"/>
          <w:color w:val="auto"/>
          <w:sz w:val="30"/>
          <w:szCs w:val="30"/>
          <w:highlight w:val="none"/>
          <w:lang w:val="en-US" w:eastAsia="zh-CN"/>
        </w:rPr>
        <w:t>三</w:t>
      </w:r>
      <w:r>
        <w:rPr>
          <w:rFonts w:hint="eastAsia" w:ascii="宋体" w:hAnsi="宋体" w:eastAsia="宋体" w:cs="宋体"/>
          <w:b/>
          <w:bCs w:val="0"/>
          <w:color w:val="auto"/>
          <w:sz w:val="30"/>
          <w:szCs w:val="30"/>
          <w:highlight w:val="none"/>
          <w:lang w:eastAsia="zh-CN"/>
        </w:rPr>
        <w:t>、投标声明书</w:t>
      </w:r>
    </w:p>
    <w:p w14:paraId="6F5E678F">
      <w:pPr>
        <w:pStyle w:val="12"/>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rPr>
      </w:pPr>
    </w:p>
    <w:p w14:paraId="6FF3B7ED">
      <w:pPr>
        <w:pStyle w:val="12"/>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致</w:t>
      </w:r>
      <w:r>
        <w:rPr>
          <w:rFonts w:hint="eastAsia" w:hAnsi="宋体" w:cs="宋体"/>
          <w:color w:val="auto"/>
          <w:kern w:val="0"/>
          <w:sz w:val="21"/>
          <w:szCs w:val="21"/>
          <w:highlight w:val="none"/>
          <w:lang w:val="en-US" w:eastAsia="zh-CN"/>
        </w:rPr>
        <w:t>欧邦工程管理集团有限公司</w:t>
      </w:r>
      <w:r>
        <w:rPr>
          <w:rFonts w:hint="eastAsia" w:ascii="宋体" w:hAnsi="宋体" w:eastAsia="宋体" w:cs="宋体"/>
          <w:color w:val="auto"/>
          <w:kern w:val="0"/>
          <w:sz w:val="21"/>
          <w:szCs w:val="21"/>
          <w:highlight w:val="none"/>
        </w:rPr>
        <w:t>：</w:t>
      </w:r>
    </w:p>
    <w:p w14:paraId="6B5BF829">
      <w:pPr>
        <w:pStyle w:val="12"/>
        <w:keepLines w:val="0"/>
        <w:pageBreakBefore w:val="0"/>
        <w:widowControl w:val="0"/>
        <w:kinsoku/>
        <w:wordWrap/>
        <w:overflowPunct/>
        <w:topLinePunct w:val="0"/>
        <w:autoSpaceDE/>
        <w:autoSpaceDN/>
        <w:bidi w:val="0"/>
        <w:adjustRightInd/>
        <w:snapToGrid/>
        <w:spacing w:line="360" w:lineRule="auto"/>
        <w:ind w:firstLine="525" w:firstLineChars="25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（投标人全称）</w:t>
      </w:r>
      <w:r>
        <w:rPr>
          <w:rFonts w:hint="eastAsia" w:ascii="宋体" w:hAnsi="宋体" w:eastAsia="宋体" w:cs="宋体"/>
          <w:color w:val="auto"/>
          <w:kern w:val="0"/>
          <w:sz w:val="21"/>
          <w:szCs w:val="21"/>
          <w:highlight w:val="none"/>
        </w:rPr>
        <w:t>系中华人民共和国合法企业，经营地址</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。我 </w:t>
      </w:r>
      <w:r>
        <w:rPr>
          <w:rFonts w:hint="eastAsia" w:ascii="宋体" w:hAnsi="宋体" w:eastAsia="宋体" w:cs="宋体"/>
          <w:color w:val="auto"/>
          <w:kern w:val="0"/>
          <w:sz w:val="21"/>
          <w:szCs w:val="21"/>
          <w:highlight w:val="none"/>
          <w:u w:val="single"/>
        </w:rPr>
        <w:t xml:space="preserve">    （姓名）</w:t>
      </w:r>
      <w:r>
        <w:rPr>
          <w:rFonts w:hint="eastAsia" w:ascii="宋体" w:hAnsi="宋体" w:eastAsia="宋体" w:cs="宋体"/>
          <w:color w:val="auto"/>
          <w:kern w:val="0"/>
          <w:sz w:val="21"/>
          <w:szCs w:val="21"/>
          <w:highlight w:val="none"/>
        </w:rPr>
        <w:t>系</w:t>
      </w:r>
      <w:r>
        <w:rPr>
          <w:rFonts w:hint="eastAsia" w:ascii="宋体" w:hAnsi="宋体" w:eastAsia="宋体" w:cs="宋体"/>
          <w:color w:val="auto"/>
          <w:kern w:val="0"/>
          <w:sz w:val="21"/>
          <w:szCs w:val="21"/>
          <w:highlight w:val="none"/>
          <w:u w:val="single"/>
        </w:rPr>
        <w:t xml:space="preserve">    （投标人全称）</w:t>
      </w:r>
      <w:r>
        <w:rPr>
          <w:rFonts w:hint="eastAsia" w:ascii="宋体" w:hAnsi="宋体" w:eastAsia="宋体" w:cs="宋体"/>
          <w:color w:val="auto"/>
          <w:kern w:val="0"/>
          <w:sz w:val="21"/>
          <w:szCs w:val="21"/>
          <w:highlight w:val="none"/>
        </w:rPr>
        <w:t>的法定代表人，我方愿意参加贵方组织的</w:t>
      </w:r>
      <w:r>
        <w:rPr>
          <w:rFonts w:hint="eastAsia" w:ascii="宋体" w:hAnsi="宋体" w:eastAsia="宋体" w:cs="宋体"/>
          <w:color w:val="auto"/>
          <w:kern w:val="0"/>
          <w:sz w:val="21"/>
          <w:szCs w:val="21"/>
          <w:highlight w:val="none"/>
          <w:u w:val="single"/>
        </w:rPr>
        <w:t xml:space="preserve">    （项目名称）  （项目编号为      ）</w:t>
      </w:r>
      <w:r>
        <w:rPr>
          <w:rFonts w:hint="eastAsia" w:ascii="宋体" w:hAnsi="宋体" w:eastAsia="宋体" w:cs="宋体"/>
          <w:color w:val="auto"/>
          <w:kern w:val="0"/>
          <w:sz w:val="21"/>
          <w:szCs w:val="21"/>
          <w:highlight w:val="none"/>
        </w:rPr>
        <w:t>的投标，为此，我方就本次投标有关事项郑重声明如下：</w:t>
      </w:r>
    </w:p>
    <w:p w14:paraId="7588EFB5">
      <w:pPr>
        <w:pStyle w:val="12"/>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1、我方已详细审查全部招标文件，同意招标文件的各项要求。</w:t>
      </w:r>
    </w:p>
    <w:p w14:paraId="25DBC6D9">
      <w:pPr>
        <w:pStyle w:val="12"/>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2、我方向贵方提交的所有投标文件、资料都是准确的和真实的。</w:t>
      </w:r>
    </w:p>
    <w:p w14:paraId="32FBBB9C">
      <w:pPr>
        <w:pStyle w:val="12"/>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3、我们已详细审核全部招标文件、参考资料及有关附件，我们知道必须放弃提出含糊不清或误解问题的权利。</w:t>
      </w:r>
    </w:p>
    <w:p w14:paraId="648EDBE8">
      <w:pPr>
        <w:pStyle w:val="12"/>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4、若中标，我方将按招标文件规定履行合同责任和义务。</w:t>
      </w:r>
    </w:p>
    <w:p w14:paraId="47C8DB2F">
      <w:pPr>
        <w:pStyle w:val="12"/>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5、我方不是采购人的附属机构；在获知本项目采购信息后，与采购人聘请的为此项目提供咨询服务的公司及其附属机构没有任何联系。</w:t>
      </w:r>
    </w:p>
    <w:p w14:paraId="796029BD">
      <w:pPr>
        <w:pStyle w:val="12"/>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6、投标文件自开标日起有效期为90日。</w:t>
      </w:r>
    </w:p>
    <w:p w14:paraId="0CAAE7B8">
      <w:pPr>
        <w:pStyle w:val="12"/>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r>
        <w:rPr>
          <w:rFonts w:hint="eastAsia"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以上事项如有虚假或隐瞒，我方愿意承担一切后果，并不再寻求任何旨在减轻或免除法律责任的辩解。</w:t>
      </w:r>
    </w:p>
    <w:p w14:paraId="750FC603">
      <w:pPr>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eastAsia="zh-CN"/>
        </w:rPr>
      </w:pPr>
    </w:p>
    <w:p w14:paraId="39E9C30E">
      <w:pPr>
        <w:pStyle w:val="3"/>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lang w:eastAsia="zh-CN"/>
        </w:rPr>
      </w:pPr>
    </w:p>
    <w:p w14:paraId="496AC696">
      <w:pPr>
        <w:keepLines w:val="0"/>
        <w:pageBreakBefore w:val="0"/>
        <w:widowControl w:val="0"/>
        <w:kinsoku/>
        <w:wordWrap/>
        <w:overflowPunct/>
        <w:topLinePunct w:val="0"/>
        <w:autoSpaceDE/>
        <w:autoSpaceDN/>
        <w:bidi w:val="0"/>
        <w:adjustRightInd/>
        <w:snapToGrid/>
        <w:spacing w:line="360" w:lineRule="auto"/>
        <w:ind w:firstLine="3360" w:firstLineChars="16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投标人全称（电子签章）：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 xml:space="preserve">            </w:t>
      </w:r>
    </w:p>
    <w:p w14:paraId="4D31C963">
      <w:pPr>
        <w:pStyle w:val="12"/>
        <w:keepLines w:val="0"/>
        <w:pageBreakBefore w:val="0"/>
        <w:widowControl w:val="0"/>
        <w:kinsoku/>
        <w:wordWrap/>
        <w:overflowPunct/>
        <w:topLinePunct w:val="0"/>
        <w:autoSpaceDE/>
        <w:autoSpaceDN/>
        <w:bidi w:val="0"/>
        <w:adjustRightInd/>
        <w:snapToGrid/>
        <w:spacing w:line="360" w:lineRule="auto"/>
        <w:ind w:firstLine="3990" w:firstLineChars="19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419D4640">
      <w:pPr>
        <w:spacing w:line="540" w:lineRule="exact"/>
        <w:jc w:val="both"/>
        <w:outlineLvl w:val="9"/>
        <w:rPr>
          <w:rFonts w:hint="eastAsia" w:ascii="仿宋" w:hAnsi="仿宋" w:eastAsia="仿宋" w:cs="仿宋"/>
          <w:b/>
          <w:color w:val="auto"/>
          <w:sz w:val="30"/>
          <w:szCs w:val="30"/>
          <w:highlight w:val="none"/>
          <w:lang w:eastAsia="zh-CN"/>
        </w:rPr>
      </w:pPr>
    </w:p>
    <w:p w14:paraId="2846DCC0">
      <w:pPr>
        <w:bidi w:val="0"/>
        <w:jc w:val="both"/>
        <w:rPr>
          <w:rFonts w:hint="eastAsia" w:ascii="宋体" w:hAnsi="宋体" w:eastAsia="宋体" w:cs="宋体"/>
          <w:b/>
          <w:color w:val="auto"/>
          <w:kern w:val="0"/>
          <w:sz w:val="30"/>
          <w:szCs w:val="30"/>
          <w:highlight w:val="none"/>
        </w:rPr>
      </w:pPr>
      <w:r>
        <w:rPr>
          <w:rFonts w:hint="eastAsia" w:ascii="宋体" w:hAnsi="宋体"/>
          <w:b/>
          <w:bCs/>
          <w:color w:val="auto"/>
          <w:highlight w:val="none"/>
        </w:rPr>
        <w:t>备注：如联合体投标的，则联合体牵头人出具。</w:t>
      </w:r>
    </w:p>
    <w:p w14:paraId="152276B4">
      <w:pPr>
        <w:bidi w:val="0"/>
        <w:jc w:val="center"/>
        <w:rPr>
          <w:rFonts w:hint="eastAsia" w:ascii="宋体" w:hAnsi="宋体" w:eastAsia="宋体" w:cs="宋体"/>
          <w:b/>
          <w:color w:val="auto"/>
          <w:kern w:val="0"/>
          <w:sz w:val="30"/>
          <w:szCs w:val="30"/>
          <w:highlight w:val="none"/>
        </w:rPr>
      </w:pPr>
    </w:p>
    <w:p w14:paraId="6F223DE0">
      <w:pPr>
        <w:bidi w:val="0"/>
        <w:jc w:val="center"/>
        <w:rPr>
          <w:rFonts w:hint="eastAsia" w:ascii="宋体" w:hAnsi="宋体" w:eastAsia="宋体" w:cs="宋体"/>
          <w:b/>
          <w:color w:val="auto"/>
          <w:kern w:val="0"/>
          <w:sz w:val="30"/>
          <w:szCs w:val="30"/>
          <w:highlight w:val="none"/>
        </w:rPr>
      </w:pPr>
    </w:p>
    <w:p w14:paraId="3646DD52">
      <w:pPr>
        <w:bidi w:val="0"/>
        <w:jc w:val="center"/>
        <w:rPr>
          <w:rFonts w:hint="eastAsia" w:ascii="宋体" w:hAnsi="宋体" w:eastAsia="宋体" w:cs="宋体"/>
          <w:b/>
          <w:color w:val="auto"/>
          <w:kern w:val="0"/>
          <w:sz w:val="30"/>
          <w:szCs w:val="30"/>
          <w:highlight w:val="none"/>
        </w:rPr>
      </w:pPr>
    </w:p>
    <w:p w14:paraId="5257085D">
      <w:pPr>
        <w:bidi w:val="0"/>
        <w:jc w:val="center"/>
        <w:rPr>
          <w:rFonts w:hint="eastAsia" w:ascii="宋体" w:hAnsi="宋体" w:eastAsia="宋体" w:cs="宋体"/>
          <w:b/>
          <w:color w:val="auto"/>
          <w:kern w:val="0"/>
          <w:sz w:val="30"/>
          <w:szCs w:val="30"/>
          <w:highlight w:val="none"/>
        </w:rPr>
      </w:pPr>
    </w:p>
    <w:p w14:paraId="51FE55CE">
      <w:pPr>
        <w:bidi w:val="0"/>
        <w:jc w:val="center"/>
        <w:rPr>
          <w:rFonts w:hint="eastAsia" w:ascii="宋体" w:hAnsi="宋体" w:eastAsia="宋体" w:cs="宋体"/>
          <w:b/>
          <w:color w:val="auto"/>
          <w:kern w:val="0"/>
          <w:sz w:val="30"/>
          <w:szCs w:val="30"/>
          <w:highlight w:val="none"/>
        </w:rPr>
      </w:pPr>
    </w:p>
    <w:p w14:paraId="7BBA0E58">
      <w:pPr>
        <w:bidi w:val="0"/>
        <w:jc w:val="center"/>
        <w:rPr>
          <w:rFonts w:hint="eastAsia" w:ascii="宋体" w:hAnsi="宋体" w:eastAsia="宋体" w:cs="宋体"/>
          <w:b/>
          <w:color w:val="auto"/>
          <w:kern w:val="0"/>
          <w:sz w:val="30"/>
          <w:szCs w:val="30"/>
          <w:highlight w:val="none"/>
        </w:rPr>
      </w:pPr>
    </w:p>
    <w:p w14:paraId="49427C00">
      <w:pPr>
        <w:bidi w:val="0"/>
        <w:jc w:val="center"/>
        <w:outlineLvl w:val="2"/>
        <w:rPr>
          <w:rFonts w:hint="eastAsia" w:ascii="宋体" w:hAnsi="宋体" w:cs="宋体"/>
          <w:b/>
          <w:color w:val="auto"/>
          <w:szCs w:val="30"/>
          <w:highlight w:val="none"/>
        </w:rPr>
      </w:pPr>
      <w:r>
        <w:rPr>
          <w:rFonts w:hint="eastAsia" w:ascii="宋体" w:hAnsi="宋体" w:cs="宋体"/>
          <w:b/>
          <w:color w:val="auto"/>
          <w:kern w:val="0"/>
          <w:sz w:val="30"/>
          <w:szCs w:val="30"/>
          <w:highlight w:val="none"/>
          <w:lang w:val="en-US" w:eastAsia="zh-CN"/>
        </w:rPr>
        <w:t>四</w:t>
      </w:r>
      <w:r>
        <w:rPr>
          <w:rFonts w:hint="eastAsia" w:ascii="宋体" w:hAnsi="宋体" w:eastAsia="宋体" w:cs="宋体"/>
          <w:b/>
          <w:color w:val="auto"/>
          <w:kern w:val="0"/>
          <w:sz w:val="30"/>
          <w:szCs w:val="30"/>
          <w:highlight w:val="none"/>
        </w:rPr>
        <w:t>、</w:t>
      </w:r>
      <w:bookmarkEnd w:id="141"/>
      <w:bookmarkEnd w:id="142"/>
      <w:bookmarkEnd w:id="143"/>
      <w:bookmarkEnd w:id="144"/>
      <w:bookmarkEnd w:id="145"/>
      <w:r>
        <w:rPr>
          <w:rFonts w:hint="eastAsia" w:ascii="宋体" w:hAnsi="宋体" w:eastAsia="宋体" w:cs="宋体"/>
          <w:b/>
          <w:color w:val="auto"/>
          <w:kern w:val="0"/>
          <w:sz w:val="30"/>
          <w:szCs w:val="30"/>
          <w:highlight w:val="none"/>
        </w:rPr>
        <w:t>符合参加政府采购活动应当具备的一般条件的承诺函</w:t>
      </w:r>
    </w:p>
    <w:p w14:paraId="54AD421D">
      <w:pPr>
        <w:snapToGrid w:val="0"/>
        <w:spacing w:line="360" w:lineRule="auto"/>
        <w:ind w:firstLine="440" w:firstLineChars="200"/>
        <w:rPr>
          <w:rFonts w:hint="eastAsia" w:ascii="宋体" w:hAnsi="宋体" w:cs="宋体"/>
          <w:color w:val="auto"/>
          <w:sz w:val="22"/>
          <w:szCs w:val="21"/>
          <w:highlight w:val="none"/>
          <w:u w:val="single"/>
        </w:rPr>
      </w:pPr>
    </w:p>
    <w:p w14:paraId="4D66FE5E">
      <w:pPr>
        <w:snapToGrid w:val="0"/>
        <w:spacing w:line="360" w:lineRule="auto"/>
        <w:rPr>
          <w:rFonts w:hint="eastAsia" w:ascii="宋体" w:hAnsi="宋体" w:cs="宋体"/>
          <w:color w:val="auto"/>
          <w:sz w:val="22"/>
          <w:szCs w:val="21"/>
          <w:highlight w:val="none"/>
        </w:rPr>
      </w:pPr>
      <w:r>
        <w:rPr>
          <w:rFonts w:hint="eastAsia" w:ascii="宋体" w:hAnsi="宋体" w:cs="宋体"/>
          <w:color w:val="auto"/>
          <w:sz w:val="22"/>
          <w:szCs w:val="21"/>
          <w:highlight w:val="none"/>
          <w:u w:val="none"/>
          <w:lang w:val="en-US" w:eastAsia="zh-CN"/>
        </w:rPr>
        <w:t>致：</w:t>
      </w:r>
      <w:r>
        <w:rPr>
          <w:rFonts w:hint="eastAsia" w:ascii="宋体" w:hAnsi="宋体" w:cs="宋体"/>
          <w:color w:val="auto"/>
          <w:sz w:val="22"/>
          <w:szCs w:val="21"/>
          <w:highlight w:val="none"/>
          <w:u w:val="single"/>
        </w:rPr>
        <w:t xml:space="preserve">                </w:t>
      </w:r>
      <w:r>
        <w:rPr>
          <w:rFonts w:hint="eastAsia" w:ascii="宋体" w:hAnsi="宋体" w:cs="宋体"/>
          <w:color w:val="auto"/>
          <w:sz w:val="22"/>
          <w:szCs w:val="21"/>
          <w:highlight w:val="none"/>
        </w:rPr>
        <w:t>（采购人）、</w:t>
      </w:r>
      <w:r>
        <w:rPr>
          <w:rFonts w:hint="eastAsia" w:ascii="宋体" w:hAnsi="宋体" w:cs="宋体"/>
          <w:color w:val="auto"/>
          <w:sz w:val="22"/>
          <w:szCs w:val="21"/>
          <w:highlight w:val="none"/>
          <w:u w:val="single"/>
        </w:rPr>
        <w:t xml:space="preserve">            </w:t>
      </w:r>
      <w:r>
        <w:rPr>
          <w:rFonts w:hint="eastAsia" w:ascii="宋体" w:hAnsi="宋体" w:cs="宋体"/>
          <w:color w:val="auto"/>
          <w:sz w:val="22"/>
          <w:szCs w:val="21"/>
          <w:highlight w:val="none"/>
        </w:rPr>
        <w:t>（采购代理机构）：</w:t>
      </w:r>
    </w:p>
    <w:p w14:paraId="69899A4E">
      <w:pPr>
        <w:snapToGrid w:val="0"/>
        <w:spacing w:line="360" w:lineRule="auto"/>
        <w:ind w:firstLine="440" w:firstLineChars="200"/>
        <w:rPr>
          <w:rFonts w:hint="eastAsia" w:ascii="宋体" w:hAnsi="宋体" w:cs="宋体"/>
          <w:color w:val="auto"/>
          <w:sz w:val="22"/>
          <w:szCs w:val="21"/>
          <w:highlight w:val="none"/>
        </w:rPr>
      </w:pPr>
      <w:r>
        <w:rPr>
          <w:rFonts w:hint="eastAsia" w:ascii="宋体" w:hAnsi="宋体" w:cs="宋体"/>
          <w:color w:val="auto"/>
          <w:sz w:val="22"/>
          <w:szCs w:val="21"/>
          <w:highlight w:val="none"/>
        </w:rPr>
        <w:t>我方参与</w:t>
      </w:r>
      <w:r>
        <w:rPr>
          <w:rFonts w:hint="eastAsia" w:ascii="宋体" w:hAnsi="宋体" w:cs="宋体"/>
          <w:color w:val="auto"/>
          <w:sz w:val="22"/>
          <w:szCs w:val="21"/>
          <w:highlight w:val="none"/>
          <w:u w:val="single"/>
        </w:rPr>
        <w:t xml:space="preserve">                    </w:t>
      </w:r>
      <w:r>
        <w:rPr>
          <w:rFonts w:hint="eastAsia" w:ascii="宋体" w:hAnsi="宋体" w:cs="宋体"/>
          <w:color w:val="auto"/>
          <w:sz w:val="22"/>
          <w:szCs w:val="21"/>
          <w:highlight w:val="none"/>
        </w:rPr>
        <w:t>（项目名称）【招标编号：</w:t>
      </w:r>
      <w:r>
        <w:rPr>
          <w:rFonts w:hint="eastAsia" w:ascii="宋体" w:hAnsi="宋体" w:cs="宋体"/>
          <w:color w:val="auto"/>
          <w:sz w:val="22"/>
          <w:szCs w:val="21"/>
          <w:highlight w:val="none"/>
          <w:u w:val="single"/>
        </w:rPr>
        <w:t xml:space="preserve">           </w:t>
      </w:r>
      <w:r>
        <w:rPr>
          <w:rFonts w:hint="eastAsia" w:ascii="宋体" w:hAnsi="宋体" w:cs="宋体"/>
          <w:color w:val="auto"/>
          <w:sz w:val="22"/>
          <w:szCs w:val="21"/>
          <w:highlight w:val="none"/>
        </w:rPr>
        <w:t>（采购编号）】政府采购活动，郑重承诺：</w:t>
      </w:r>
    </w:p>
    <w:p w14:paraId="0D568B0E">
      <w:pPr>
        <w:snapToGrid w:val="0"/>
        <w:spacing w:line="360" w:lineRule="auto"/>
        <w:ind w:firstLine="440" w:firstLineChars="200"/>
        <w:rPr>
          <w:rFonts w:hint="eastAsia" w:ascii="宋体" w:hAnsi="宋体" w:cs="宋体"/>
          <w:color w:val="auto"/>
          <w:sz w:val="22"/>
          <w:szCs w:val="21"/>
          <w:highlight w:val="none"/>
        </w:rPr>
      </w:pPr>
      <w:r>
        <w:rPr>
          <w:rFonts w:hint="eastAsia" w:ascii="宋体" w:hAnsi="宋体" w:cs="宋体"/>
          <w:color w:val="auto"/>
          <w:sz w:val="22"/>
          <w:szCs w:val="21"/>
          <w:highlight w:val="none"/>
        </w:rPr>
        <w:t>（一）具备《中华人民共和国政府采购法》第二十二条第一款规定的条件：</w:t>
      </w:r>
    </w:p>
    <w:p w14:paraId="0F9D9894">
      <w:pPr>
        <w:snapToGrid w:val="0"/>
        <w:spacing w:line="360" w:lineRule="auto"/>
        <w:ind w:firstLine="440" w:firstLineChars="200"/>
        <w:rPr>
          <w:rFonts w:hint="eastAsia" w:ascii="宋体" w:hAnsi="宋体" w:cs="宋体"/>
          <w:color w:val="auto"/>
          <w:sz w:val="22"/>
          <w:szCs w:val="21"/>
          <w:highlight w:val="none"/>
        </w:rPr>
      </w:pPr>
      <w:r>
        <w:rPr>
          <w:rFonts w:hint="eastAsia" w:ascii="宋体" w:hAnsi="宋体" w:cs="宋体"/>
          <w:color w:val="auto"/>
          <w:sz w:val="22"/>
          <w:szCs w:val="21"/>
          <w:highlight w:val="none"/>
        </w:rPr>
        <w:t>1.具有独立承担民事责任的能力；</w:t>
      </w:r>
    </w:p>
    <w:p w14:paraId="0B6DEEC1">
      <w:pPr>
        <w:snapToGrid w:val="0"/>
        <w:spacing w:line="360" w:lineRule="auto"/>
        <w:ind w:firstLine="440" w:firstLineChars="200"/>
        <w:rPr>
          <w:rFonts w:hint="eastAsia" w:ascii="宋体" w:hAnsi="宋体" w:cs="宋体"/>
          <w:color w:val="auto"/>
          <w:sz w:val="22"/>
          <w:szCs w:val="21"/>
          <w:highlight w:val="none"/>
        </w:rPr>
      </w:pPr>
      <w:r>
        <w:rPr>
          <w:rFonts w:hint="eastAsia" w:ascii="宋体" w:hAnsi="宋体" w:cs="宋体"/>
          <w:color w:val="auto"/>
          <w:sz w:val="22"/>
          <w:szCs w:val="21"/>
          <w:highlight w:val="none"/>
        </w:rPr>
        <w:t xml:space="preserve">2.具有良好的商业信誉和健全的财务会计制度； </w:t>
      </w:r>
    </w:p>
    <w:p w14:paraId="3F691F26">
      <w:pPr>
        <w:snapToGrid w:val="0"/>
        <w:spacing w:line="360" w:lineRule="auto"/>
        <w:ind w:firstLine="440" w:firstLineChars="200"/>
        <w:rPr>
          <w:rFonts w:hint="eastAsia" w:ascii="宋体" w:hAnsi="宋体" w:cs="宋体"/>
          <w:color w:val="auto"/>
          <w:sz w:val="22"/>
          <w:szCs w:val="21"/>
          <w:highlight w:val="none"/>
        </w:rPr>
      </w:pPr>
      <w:r>
        <w:rPr>
          <w:rFonts w:hint="eastAsia" w:ascii="宋体" w:hAnsi="宋体" w:cs="宋体"/>
          <w:color w:val="auto"/>
          <w:sz w:val="22"/>
          <w:szCs w:val="21"/>
          <w:highlight w:val="none"/>
        </w:rPr>
        <w:t>3.具有履行合同所必需的设备和专业技术能力；</w:t>
      </w:r>
    </w:p>
    <w:p w14:paraId="3DD06F06">
      <w:pPr>
        <w:snapToGrid w:val="0"/>
        <w:spacing w:line="360" w:lineRule="auto"/>
        <w:ind w:firstLine="440" w:firstLineChars="200"/>
        <w:rPr>
          <w:rFonts w:hint="eastAsia" w:ascii="宋体" w:hAnsi="宋体" w:cs="宋体"/>
          <w:color w:val="auto"/>
          <w:sz w:val="22"/>
          <w:szCs w:val="21"/>
          <w:highlight w:val="none"/>
        </w:rPr>
      </w:pPr>
      <w:r>
        <w:rPr>
          <w:rFonts w:hint="eastAsia" w:ascii="宋体" w:hAnsi="宋体" w:cs="宋体"/>
          <w:color w:val="auto"/>
          <w:sz w:val="22"/>
          <w:szCs w:val="21"/>
          <w:highlight w:val="none"/>
        </w:rPr>
        <w:t>4.有依法缴纳税收和社会保障资金的良好记录；</w:t>
      </w:r>
    </w:p>
    <w:p w14:paraId="2CDF7027">
      <w:pPr>
        <w:snapToGrid w:val="0"/>
        <w:spacing w:line="360" w:lineRule="auto"/>
        <w:ind w:firstLine="440" w:firstLineChars="200"/>
        <w:rPr>
          <w:rFonts w:hint="eastAsia" w:ascii="宋体" w:hAnsi="宋体" w:cs="宋体"/>
          <w:color w:val="auto"/>
          <w:sz w:val="22"/>
          <w:szCs w:val="21"/>
          <w:highlight w:val="none"/>
        </w:rPr>
      </w:pPr>
      <w:r>
        <w:rPr>
          <w:rFonts w:hint="eastAsia" w:ascii="宋体" w:hAnsi="宋体" w:cs="宋体"/>
          <w:color w:val="auto"/>
          <w:sz w:val="22"/>
          <w:szCs w:val="21"/>
          <w:highlight w:val="none"/>
        </w:rPr>
        <w:t>5.参加政府采购活动前三年内，在经营活动中没有重大违法记录；</w:t>
      </w:r>
    </w:p>
    <w:p w14:paraId="2473B5F8">
      <w:pPr>
        <w:snapToGrid w:val="0"/>
        <w:spacing w:line="360" w:lineRule="auto"/>
        <w:ind w:firstLine="440" w:firstLineChars="200"/>
        <w:rPr>
          <w:rFonts w:hint="eastAsia" w:ascii="宋体" w:hAnsi="宋体" w:cs="宋体"/>
          <w:color w:val="auto"/>
          <w:sz w:val="22"/>
          <w:szCs w:val="21"/>
          <w:highlight w:val="none"/>
        </w:rPr>
      </w:pPr>
      <w:r>
        <w:rPr>
          <w:rFonts w:hint="eastAsia" w:ascii="宋体" w:hAnsi="宋体" w:cs="宋体"/>
          <w:color w:val="auto"/>
          <w:sz w:val="22"/>
          <w:szCs w:val="21"/>
          <w:highlight w:val="none"/>
        </w:rPr>
        <w:t>6.具有法律、行政法规规定的其他条件。</w:t>
      </w:r>
    </w:p>
    <w:p w14:paraId="3282344A">
      <w:pPr>
        <w:snapToGrid w:val="0"/>
        <w:spacing w:line="360" w:lineRule="auto"/>
        <w:ind w:firstLine="440" w:firstLineChars="200"/>
        <w:rPr>
          <w:rFonts w:hint="eastAsia" w:ascii="宋体" w:hAnsi="宋体" w:cs="宋体"/>
          <w:color w:val="auto"/>
          <w:sz w:val="22"/>
          <w:szCs w:val="21"/>
          <w:highlight w:val="none"/>
        </w:rPr>
      </w:pPr>
      <w:r>
        <w:rPr>
          <w:rFonts w:hint="eastAsia" w:ascii="宋体" w:hAnsi="宋体" w:cs="宋体"/>
          <w:color w:val="auto"/>
          <w:sz w:val="22"/>
          <w:szCs w:val="21"/>
          <w:highlight w:val="none"/>
        </w:rPr>
        <w:t>（二）未被信用中国（www.creditchina.gov.cn)、中国政府采购网（www.ccgp.gov.cn）列入失信被执行人、重大税收违法案件当事人名单、政府采购严重违法失信行为记录名单。</w:t>
      </w:r>
    </w:p>
    <w:p w14:paraId="42EC5334">
      <w:pPr>
        <w:snapToGrid w:val="0"/>
        <w:spacing w:line="360" w:lineRule="auto"/>
        <w:ind w:firstLine="440" w:firstLineChars="200"/>
        <w:rPr>
          <w:rFonts w:hint="eastAsia" w:ascii="宋体" w:hAnsi="宋体" w:cs="宋体"/>
          <w:color w:val="auto"/>
          <w:sz w:val="22"/>
          <w:szCs w:val="21"/>
          <w:highlight w:val="none"/>
        </w:rPr>
      </w:pPr>
      <w:r>
        <w:rPr>
          <w:rFonts w:hint="eastAsia" w:ascii="宋体" w:hAnsi="宋体" w:cs="宋体"/>
          <w:color w:val="auto"/>
          <w:sz w:val="22"/>
          <w:szCs w:val="21"/>
          <w:highlight w:val="none"/>
        </w:rPr>
        <w:t>（三）不存在以下情况：</w:t>
      </w:r>
    </w:p>
    <w:p w14:paraId="766DC7E0">
      <w:pPr>
        <w:snapToGrid w:val="0"/>
        <w:spacing w:line="360" w:lineRule="auto"/>
        <w:ind w:firstLine="440" w:firstLineChars="200"/>
        <w:rPr>
          <w:rFonts w:hint="eastAsia" w:ascii="宋体" w:hAnsi="宋体" w:cs="宋体"/>
          <w:color w:val="auto"/>
          <w:sz w:val="22"/>
          <w:szCs w:val="21"/>
          <w:highlight w:val="none"/>
        </w:rPr>
      </w:pPr>
      <w:r>
        <w:rPr>
          <w:rFonts w:hint="eastAsia" w:ascii="宋体" w:hAnsi="宋体" w:cs="宋体"/>
          <w:color w:val="auto"/>
          <w:sz w:val="22"/>
          <w:szCs w:val="21"/>
          <w:highlight w:val="none"/>
        </w:rPr>
        <w:t>1、单位负责人为同一人或者存在直接控股、管理关系的不同供应商参加同一合同项下的政府采购活动的；</w:t>
      </w:r>
    </w:p>
    <w:p w14:paraId="55DD8AFC">
      <w:pPr>
        <w:snapToGrid w:val="0"/>
        <w:spacing w:line="360" w:lineRule="auto"/>
        <w:ind w:firstLine="440" w:firstLineChars="200"/>
        <w:rPr>
          <w:rFonts w:hint="eastAsia" w:ascii="宋体" w:hAnsi="宋体" w:cs="宋体"/>
          <w:color w:val="auto"/>
          <w:sz w:val="22"/>
          <w:szCs w:val="21"/>
          <w:highlight w:val="none"/>
        </w:rPr>
      </w:pPr>
      <w:r>
        <w:rPr>
          <w:rFonts w:hint="eastAsia" w:ascii="宋体" w:hAnsi="宋体" w:cs="宋体"/>
          <w:color w:val="auto"/>
          <w:sz w:val="22"/>
          <w:szCs w:val="21"/>
          <w:highlight w:val="none"/>
        </w:rPr>
        <w:t>2、为采购项目提供整体设计、规范编制或者项目管理、监理、检测等服务后再参加该采购项目的其他采购活动的。</w:t>
      </w:r>
    </w:p>
    <w:p w14:paraId="4EDCDEDD">
      <w:pPr>
        <w:spacing w:line="440" w:lineRule="exact"/>
        <w:ind w:firstLine="422" w:firstLineChars="200"/>
        <w:rPr>
          <w:rFonts w:hint="eastAsia" w:ascii="宋体" w:hAnsi="宋体"/>
          <w:b/>
          <w:bCs/>
          <w:color w:val="auto"/>
          <w:sz w:val="21"/>
          <w:szCs w:val="21"/>
          <w:highlight w:val="none"/>
        </w:rPr>
      </w:pPr>
      <w:r>
        <w:rPr>
          <w:rFonts w:hint="eastAsia" w:ascii="宋体" w:hAnsi="宋体"/>
          <w:b/>
          <w:bCs/>
          <w:color w:val="auto"/>
          <w:sz w:val="21"/>
          <w:szCs w:val="21"/>
          <w:highlight w:val="none"/>
        </w:rPr>
        <w:t>我方保证上述信息的真实</w:t>
      </w: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rPr>
        <w:t>准确</w:t>
      </w:r>
      <w:r>
        <w:rPr>
          <w:rFonts w:hint="eastAsia" w:ascii="宋体" w:hAnsi="宋体"/>
          <w:b/>
          <w:bCs/>
          <w:color w:val="auto"/>
          <w:sz w:val="21"/>
          <w:szCs w:val="21"/>
          <w:highlight w:val="none"/>
          <w:lang w:eastAsia="zh-CN"/>
        </w:rPr>
        <w:t>、有效</w:t>
      </w:r>
      <w:r>
        <w:rPr>
          <w:rFonts w:hint="eastAsia" w:ascii="宋体" w:hAnsi="宋体"/>
          <w:b/>
          <w:bCs/>
          <w:color w:val="auto"/>
          <w:sz w:val="21"/>
          <w:szCs w:val="21"/>
          <w:highlight w:val="none"/>
        </w:rPr>
        <w:t>，如作出虚假承诺，视同“提供虚假材料谋取中标（成交</w:t>
      </w: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rPr>
        <w:t>”的违法行为。</w:t>
      </w:r>
    </w:p>
    <w:p w14:paraId="5301DF52">
      <w:pPr>
        <w:spacing w:line="440" w:lineRule="exact"/>
        <w:ind w:firstLine="422" w:firstLineChars="200"/>
        <w:rPr>
          <w:rFonts w:hint="eastAsia" w:ascii="宋体" w:hAnsi="宋体" w:eastAsia="宋体" w:cs="Times New Roman"/>
          <w:b/>
          <w:bCs/>
          <w:color w:val="auto"/>
          <w:sz w:val="21"/>
          <w:szCs w:val="21"/>
          <w:highlight w:val="none"/>
          <w:lang w:eastAsia="zh-CN"/>
        </w:rPr>
      </w:pPr>
      <w:r>
        <w:rPr>
          <w:rFonts w:hint="eastAsia" w:ascii="宋体" w:hAnsi="宋体" w:eastAsia="宋体" w:cs="Times New Roman"/>
          <w:b/>
          <w:bCs/>
          <w:color w:val="auto"/>
          <w:sz w:val="21"/>
          <w:szCs w:val="21"/>
          <w:highlight w:val="none"/>
        </w:rPr>
        <w:t>特此承诺。</w:t>
      </w:r>
    </w:p>
    <w:p w14:paraId="12FAB007">
      <w:pPr>
        <w:rPr>
          <w:rFonts w:hint="eastAsia"/>
          <w:color w:val="auto"/>
          <w:highlight w:val="none"/>
        </w:rPr>
      </w:pPr>
    </w:p>
    <w:p w14:paraId="5485FCA7">
      <w:pPr>
        <w:snapToGrid w:val="0"/>
        <w:spacing w:line="360" w:lineRule="auto"/>
        <w:ind w:firstLine="5060" w:firstLineChars="2300"/>
        <w:rPr>
          <w:rFonts w:hint="eastAsia" w:ascii="宋体" w:hAnsi="宋体" w:cs="宋体"/>
          <w:color w:val="auto"/>
          <w:sz w:val="22"/>
          <w:szCs w:val="21"/>
          <w:highlight w:val="none"/>
          <w:lang w:val="zh-CN"/>
        </w:rPr>
      </w:pPr>
    </w:p>
    <w:p w14:paraId="7A2DF3F5">
      <w:pPr>
        <w:snapToGrid w:val="0"/>
        <w:spacing w:line="360" w:lineRule="auto"/>
        <w:ind w:firstLine="5060" w:firstLineChars="2300"/>
        <w:rPr>
          <w:rFonts w:hint="eastAsia" w:ascii="宋体" w:hAnsi="宋体" w:cs="宋体"/>
          <w:color w:val="auto"/>
          <w:sz w:val="22"/>
          <w:szCs w:val="21"/>
          <w:highlight w:val="none"/>
          <w:lang w:val="zh-CN"/>
        </w:rPr>
      </w:pPr>
    </w:p>
    <w:p w14:paraId="5CB23919">
      <w:pPr>
        <w:snapToGrid w:val="0"/>
        <w:spacing w:line="360" w:lineRule="auto"/>
        <w:ind w:firstLine="5060" w:firstLineChars="2300"/>
        <w:rPr>
          <w:rFonts w:hint="default" w:ascii="宋体" w:hAnsi="宋体" w:eastAsia="宋体" w:cs="宋体"/>
          <w:color w:val="auto"/>
          <w:sz w:val="22"/>
          <w:szCs w:val="21"/>
          <w:highlight w:val="none"/>
          <w:u w:val="single"/>
          <w:lang w:val="en-US" w:eastAsia="zh-CN"/>
        </w:rPr>
      </w:pPr>
      <w:r>
        <w:rPr>
          <w:rFonts w:hint="eastAsia" w:ascii="宋体" w:hAnsi="宋体" w:cs="宋体"/>
          <w:color w:val="auto"/>
          <w:sz w:val="22"/>
          <w:szCs w:val="21"/>
          <w:highlight w:val="none"/>
          <w:lang w:val="zh-CN"/>
        </w:rPr>
        <w:t>投标人名称(电子签章)：</w:t>
      </w:r>
      <w:r>
        <w:rPr>
          <w:rFonts w:hint="eastAsia" w:ascii="宋体" w:hAnsi="宋体" w:cs="宋体"/>
          <w:color w:val="auto"/>
          <w:sz w:val="22"/>
          <w:szCs w:val="21"/>
          <w:highlight w:val="none"/>
          <w:u w:val="single"/>
          <w:lang w:val="en-US" w:eastAsia="zh-CN"/>
        </w:rPr>
        <w:t xml:space="preserve">                 </w:t>
      </w:r>
    </w:p>
    <w:p w14:paraId="6855DD91">
      <w:pPr>
        <w:snapToGrid w:val="0"/>
        <w:spacing w:line="360" w:lineRule="auto"/>
        <w:rPr>
          <w:rFonts w:hint="eastAsia" w:ascii="宋体" w:hAnsi="宋体" w:cs="宋体"/>
          <w:color w:val="auto"/>
          <w:sz w:val="22"/>
          <w:szCs w:val="21"/>
          <w:highlight w:val="none"/>
        </w:rPr>
      </w:pPr>
      <w:r>
        <w:rPr>
          <w:rFonts w:hint="eastAsia" w:ascii="宋体" w:hAnsi="宋体" w:cs="宋体"/>
          <w:color w:val="auto"/>
          <w:sz w:val="22"/>
          <w:szCs w:val="21"/>
          <w:highlight w:val="none"/>
          <w:lang w:val="zh-CN"/>
        </w:rPr>
        <w:t xml:space="preserve">                        </w:t>
      </w:r>
      <w:r>
        <w:rPr>
          <w:rFonts w:hint="eastAsia" w:ascii="宋体" w:hAnsi="宋体" w:cs="宋体"/>
          <w:color w:val="auto"/>
          <w:sz w:val="22"/>
          <w:szCs w:val="21"/>
          <w:highlight w:val="none"/>
        </w:rPr>
        <w:t xml:space="preserve">                      </w:t>
      </w:r>
      <w:r>
        <w:rPr>
          <w:rFonts w:hint="eastAsia" w:ascii="宋体" w:hAnsi="宋体" w:cs="宋体"/>
          <w:color w:val="auto"/>
          <w:sz w:val="22"/>
          <w:szCs w:val="21"/>
          <w:highlight w:val="none"/>
          <w:lang w:val="zh-CN"/>
        </w:rPr>
        <w:t>日</w:t>
      </w:r>
      <w:r>
        <w:rPr>
          <w:rFonts w:hint="eastAsia" w:ascii="宋体" w:hAnsi="宋体" w:cs="宋体"/>
          <w:color w:val="auto"/>
          <w:sz w:val="22"/>
          <w:szCs w:val="21"/>
          <w:highlight w:val="none"/>
          <w:lang w:val="en-US" w:eastAsia="zh-CN"/>
        </w:rPr>
        <w:t xml:space="preserve">                </w:t>
      </w:r>
      <w:r>
        <w:rPr>
          <w:rFonts w:hint="eastAsia" w:ascii="宋体" w:hAnsi="宋体" w:cs="宋体"/>
          <w:color w:val="auto"/>
          <w:sz w:val="22"/>
          <w:szCs w:val="21"/>
          <w:highlight w:val="none"/>
          <w:lang w:val="zh-CN"/>
        </w:rPr>
        <w:t>期</w:t>
      </w:r>
      <w:r>
        <w:rPr>
          <w:rFonts w:hint="eastAsia" w:ascii="宋体" w:hAnsi="宋体" w:cs="宋体"/>
          <w:color w:val="auto"/>
          <w:sz w:val="22"/>
          <w:szCs w:val="21"/>
          <w:highlight w:val="none"/>
        </w:rPr>
        <w:t xml:space="preserve">：  年  </w:t>
      </w:r>
      <w:r>
        <w:rPr>
          <w:rFonts w:hint="eastAsia" w:ascii="宋体" w:hAnsi="宋体" w:cs="宋体"/>
          <w:color w:val="auto"/>
          <w:sz w:val="22"/>
          <w:szCs w:val="21"/>
          <w:highlight w:val="none"/>
          <w:lang w:val="zh-CN"/>
        </w:rPr>
        <w:t>月</w:t>
      </w:r>
      <w:r>
        <w:rPr>
          <w:rFonts w:hint="eastAsia" w:ascii="宋体" w:hAnsi="宋体" w:cs="宋体"/>
          <w:color w:val="auto"/>
          <w:sz w:val="22"/>
          <w:szCs w:val="21"/>
          <w:highlight w:val="none"/>
        </w:rPr>
        <w:t xml:space="preserve">   </w:t>
      </w:r>
      <w:r>
        <w:rPr>
          <w:rFonts w:hint="eastAsia" w:ascii="宋体" w:hAnsi="宋体" w:cs="宋体"/>
          <w:color w:val="auto"/>
          <w:sz w:val="22"/>
          <w:szCs w:val="21"/>
          <w:highlight w:val="none"/>
          <w:lang w:val="zh-CN"/>
        </w:rPr>
        <w:t>日</w:t>
      </w:r>
    </w:p>
    <w:p w14:paraId="3A5D90B8">
      <w:pPr>
        <w:bidi w:val="0"/>
        <w:rPr>
          <w:color w:val="auto"/>
          <w:highlight w:val="none"/>
        </w:rPr>
      </w:pPr>
    </w:p>
    <w:p w14:paraId="240F4AEE">
      <w:pPr>
        <w:bidi w:val="0"/>
        <w:rPr>
          <w:color w:val="auto"/>
          <w:highlight w:val="none"/>
        </w:rPr>
      </w:pPr>
    </w:p>
    <w:p w14:paraId="46E98179">
      <w:pPr>
        <w:bidi w:val="0"/>
        <w:rPr>
          <w:color w:val="auto"/>
          <w:highlight w:val="none"/>
        </w:rPr>
      </w:pPr>
    </w:p>
    <w:p w14:paraId="0F428D19">
      <w:pPr>
        <w:bidi w:val="0"/>
        <w:rPr>
          <w:color w:val="auto"/>
          <w:highlight w:val="none"/>
        </w:rPr>
      </w:pPr>
      <w:r>
        <w:rPr>
          <w:rFonts w:hint="eastAsia" w:ascii="宋体" w:hAnsi="宋体"/>
          <w:b/>
          <w:bCs/>
          <w:color w:val="auto"/>
          <w:highlight w:val="none"/>
        </w:rPr>
        <w:t>备注：如联合体投标的，则联合体牵头人出具。</w:t>
      </w:r>
    </w:p>
    <w:p w14:paraId="48489671">
      <w:pPr>
        <w:bidi w:val="0"/>
        <w:rPr>
          <w:color w:val="auto"/>
          <w:highlight w:val="none"/>
        </w:rPr>
      </w:pPr>
    </w:p>
    <w:p w14:paraId="0846C1FA">
      <w:pPr>
        <w:bidi w:val="0"/>
        <w:rPr>
          <w:color w:val="auto"/>
          <w:highlight w:val="none"/>
        </w:rPr>
      </w:pPr>
    </w:p>
    <w:p w14:paraId="5F8A2626">
      <w:pPr>
        <w:bidi w:val="0"/>
        <w:rPr>
          <w:color w:val="auto"/>
          <w:highlight w:val="none"/>
        </w:rPr>
      </w:pPr>
    </w:p>
    <w:p w14:paraId="17B3AAD6">
      <w:pPr>
        <w:bidi w:val="0"/>
        <w:rPr>
          <w:color w:val="auto"/>
          <w:highlight w:val="none"/>
        </w:rPr>
      </w:pPr>
    </w:p>
    <w:bookmarkEnd w:id="146"/>
    <w:bookmarkEnd w:id="147"/>
    <w:bookmarkEnd w:id="148"/>
    <w:bookmarkEnd w:id="149"/>
    <w:bookmarkEnd w:id="150"/>
    <w:bookmarkEnd w:id="151"/>
    <w:bookmarkEnd w:id="152"/>
    <w:bookmarkEnd w:id="153"/>
    <w:p w14:paraId="58025F28">
      <w:pPr>
        <w:spacing w:line="440" w:lineRule="exact"/>
        <w:jc w:val="center"/>
        <w:outlineLvl w:val="2"/>
        <w:rPr>
          <w:rFonts w:hint="eastAsia" w:ascii="宋体" w:hAnsi="宋体" w:cs="宋体"/>
          <w:b/>
          <w:color w:val="auto"/>
          <w:sz w:val="30"/>
          <w:szCs w:val="30"/>
          <w:highlight w:val="none"/>
          <w:lang w:eastAsia="zh-CN"/>
        </w:rPr>
      </w:pPr>
      <w:r>
        <w:rPr>
          <w:rFonts w:hint="eastAsia" w:ascii="宋体" w:hAnsi="宋体" w:cs="宋体"/>
          <w:b/>
          <w:color w:val="auto"/>
          <w:kern w:val="0"/>
          <w:sz w:val="30"/>
          <w:szCs w:val="30"/>
          <w:highlight w:val="none"/>
        </w:rPr>
        <w:br w:type="page"/>
      </w:r>
      <w:bookmarkStart w:id="156" w:name="_Toc495666242"/>
      <w:bookmarkStart w:id="157" w:name="_Toc12390"/>
      <w:bookmarkStart w:id="158" w:name="_Toc1801"/>
      <w:bookmarkStart w:id="159" w:name="_Toc476230649"/>
      <w:bookmarkStart w:id="160" w:name="_Toc13799"/>
      <w:bookmarkStart w:id="161" w:name="_Toc1562"/>
      <w:bookmarkStart w:id="162" w:name="_Toc29456"/>
      <w:bookmarkStart w:id="163" w:name="_Toc9837"/>
      <w:bookmarkStart w:id="164" w:name="_Toc9877"/>
      <w:bookmarkStart w:id="165" w:name="_Toc476230925"/>
      <w:bookmarkStart w:id="166" w:name="_Toc25629"/>
      <w:bookmarkStart w:id="167" w:name="_Toc648"/>
      <w:bookmarkStart w:id="168" w:name="_Toc19616"/>
      <w:bookmarkStart w:id="169" w:name="_Toc476229718"/>
      <w:bookmarkStart w:id="170" w:name="_Toc476230513"/>
      <w:bookmarkStart w:id="171" w:name="_Toc5345"/>
      <w:bookmarkStart w:id="172" w:name="_Toc6319300"/>
      <w:bookmarkStart w:id="173" w:name="_Toc29390"/>
      <w:bookmarkStart w:id="174" w:name="_Toc24224"/>
      <w:bookmarkStart w:id="175" w:name="_Toc12825"/>
      <w:r>
        <w:rPr>
          <w:rFonts w:hint="eastAsia" w:ascii="宋体" w:hAnsi="宋体" w:cs="宋体"/>
          <w:b/>
          <w:color w:val="auto"/>
          <w:sz w:val="30"/>
          <w:szCs w:val="30"/>
          <w:highlight w:val="none"/>
          <w:lang w:val="en-US" w:eastAsia="zh-CN"/>
        </w:rPr>
        <w:t>五</w:t>
      </w:r>
      <w:r>
        <w:rPr>
          <w:rFonts w:hint="eastAsia" w:ascii="宋体" w:hAnsi="宋体" w:cs="宋体"/>
          <w:b/>
          <w:color w:val="auto"/>
          <w:sz w:val="30"/>
          <w:szCs w:val="30"/>
          <w:highlight w:val="none"/>
          <w:lang w:eastAsia="zh-CN"/>
        </w:rPr>
        <w:t>、中小企业声明函</w:t>
      </w:r>
    </w:p>
    <w:p w14:paraId="40D06743">
      <w:pPr>
        <w:widowControl w:val="0"/>
        <w:snapToGrid w:val="0"/>
        <w:spacing w:line="500" w:lineRule="exact"/>
        <w:ind w:firstLine="420" w:firstLineChars="200"/>
        <w:jc w:val="both"/>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bidi="ar"/>
        </w:rPr>
        <w:t>本公司（联合体）郑重声明，根据《政府采购促进中小企业发展管理办法》（财库﹝2020﹞46 号）的规定，本公司（联合体）参加</w:t>
      </w:r>
      <w:r>
        <w:rPr>
          <w:rFonts w:hint="eastAsia" w:ascii="宋体" w:hAnsi="宋体" w:cs="宋体"/>
          <w:color w:val="auto"/>
          <w:sz w:val="21"/>
          <w:szCs w:val="21"/>
          <w:highlight w:val="none"/>
          <w:u w:val="single"/>
          <w:lang w:eastAsia="zh-CN" w:bidi="ar"/>
        </w:rPr>
        <w:t xml:space="preserve">     </w:t>
      </w:r>
      <w:r>
        <w:rPr>
          <w:rFonts w:hint="eastAsia" w:ascii="宋体" w:hAnsi="宋体" w:cs="宋体"/>
          <w:i w:val="0"/>
          <w:iCs/>
          <w:color w:val="auto"/>
          <w:sz w:val="21"/>
          <w:szCs w:val="21"/>
          <w:highlight w:val="none"/>
          <w:u w:val="single"/>
          <w:lang w:eastAsia="zh-CN" w:bidi="ar"/>
        </w:rPr>
        <w:t>（采购人名称）</w:t>
      </w:r>
      <w:r>
        <w:rPr>
          <w:rFonts w:hint="eastAsia" w:ascii="宋体" w:hAnsi="宋体" w:cs="宋体"/>
          <w:i/>
          <w:color w:val="auto"/>
          <w:sz w:val="21"/>
          <w:szCs w:val="21"/>
          <w:highlight w:val="none"/>
          <w:u w:val="single"/>
          <w:lang w:eastAsia="zh-CN" w:bidi="ar"/>
        </w:rPr>
        <w:t xml:space="preserve">  </w:t>
      </w:r>
      <w:r>
        <w:rPr>
          <w:rFonts w:hint="eastAsia" w:ascii="宋体" w:hAnsi="宋体" w:cs="宋体"/>
          <w:color w:val="auto"/>
          <w:sz w:val="21"/>
          <w:szCs w:val="21"/>
          <w:highlight w:val="none"/>
          <w:lang w:eastAsia="zh-CN" w:bidi="ar"/>
        </w:rPr>
        <w:t>的</w:t>
      </w:r>
      <w:r>
        <w:rPr>
          <w:rFonts w:hint="eastAsia" w:ascii="宋体" w:hAnsi="宋体" w:cs="宋体"/>
          <w:color w:val="auto"/>
          <w:sz w:val="21"/>
          <w:szCs w:val="21"/>
          <w:highlight w:val="none"/>
          <w:u w:val="single"/>
          <w:lang w:eastAsia="zh-CN" w:bidi="ar"/>
        </w:rPr>
        <w:t xml:space="preserve">            </w:t>
      </w:r>
      <w:r>
        <w:rPr>
          <w:rFonts w:hint="eastAsia" w:ascii="宋体" w:hAnsi="宋体" w:cs="宋体"/>
          <w:i w:val="0"/>
          <w:iCs/>
          <w:color w:val="auto"/>
          <w:sz w:val="21"/>
          <w:szCs w:val="21"/>
          <w:highlight w:val="none"/>
          <w:u w:val="single"/>
          <w:lang w:eastAsia="zh-CN" w:bidi="ar"/>
        </w:rPr>
        <w:t>（项目名称）</w:t>
      </w:r>
      <w:r>
        <w:rPr>
          <w:rFonts w:hint="eastAsia" w:ascii="宋体" w:hAnsi="宋体" w:cs="宋体"/>
          <w:color w:val="auto"/>
          <w:sz w:val="21"/>
          <w:szCs w:val="21"/>
          <w:highlight w:val="none"/>
          <w:lang w:eastAsia="zh-CN" w:bidi="ar"/>
        </w:rPr>
        <w:t>采购活动，工程的施工单位全部为符合政策要求的中小企业（或者：服务全部由符合政策要求的中小企业承接）。相关企业（含联合体中的中小企业、签订分包意向协议的中小企业）的具体情况如下：</w:t>
      </w:r>
    </w:p>
    <w:p w14:paraId="2614295A">
      <w:pPr>
        <w:spacing w:line="500" w:lineRule="exact"/>
        <w:ind w:firstLine="420" w:firstLineChars="200"/>
        <w:rPr>
          <w:rFonts w:hint="eastAsia" w:ascii="宋体" w:hAnsi="宋体" w:cs="宋体"/>
          <w:i w:val="0"/>
          <w:iCs/>
          <w:color w:val="auto"/>
          <w:sz w:val="21"/>
          <w:szCs w:val="21"/>
          <w:highlight w:val="none"/>
          <w:lang w:eastAsia="zh-CN"/>
        </w:rPr>
      </w:pPr>
      <w:r>
        <w:rPr>
          <w:rFonts w:hint="eastAsia" w:ascii="宋体" w:hAnsi="宋体" w:cs="宋体"/>
          <w:color w:val="auto"/>
          <w:sz w:val="21"/>
          <w:szCs w:val="21"/>
          <w:highlight w:val="none"/>
          <w:lang w:eastAsia="zh-CN" w:bidi="ar"/>
        </w:rPr>
        <w:t xml:space="preserve"> </w:t>
      </w:r>
      <w:r>
        <w:rPr>
          <w:rFonts w:hint="eastAsia" w:ascii="宋体" w:hAnsi="宋体" w:cs="宋体"/>
          <w:i w:val="0"/>
          <w:iCs/>
          <w:color w:val="auto"/>
          <w:sz w:val="21"/>
          <w:szCs w:val="21"/>
          <w:highlight w:val="none"/>
          <w:u w:val="single"/>
          <w:lang w:eastAsia="zh-CN" w:bidi="ar"/>
        </w:rPr>
        <w:t xml:space="preserve">（标的名称）         </w:t>
      </w:r>
      <w:r>
        <w:rPr>
          <w:rFonts w:hint="eastAsia" w:ascii="宋体" w:hAnsi="宋体" w:cs="宋体"/>
          <w:i w:val="0"/>
          <w:iCs/>
          <w:color w:val="auto"/>
          <w:sz w:val="21"/>
          <w:szCs w:val="21"/>
          <w:highlight w:val="none"/>
          <w:lang w:eastAsia="zh-CN" w:bidi="ar"/>
        </w:rPr>
        <w:t>，属于</w:t>
      </w:r>
      <w:r>
        <w:rPr>
          <w:rFonts w:hint="eastAsia" w:ascii="宋体" w:hAnsi="宋体" w:cs="宋体"/>
          <w:i w:val="0"/>
          <w:iCs/>
          <w:color w:val="auto"/>
          <w:sz w:val="21"/>
          <w:szCs w:val="21"/>
          <w:highlight w:val="none"/>
          <w:u w:val="single"/>
          <w:lang w:eastAsia="zh-CN" w:bidi="ar"/>
        </w:rPr>
        <w:t xml:space="preserve">   （采购文件中明确的所属行业</w:t>
      </w:r>
      <w:r>
        <w:rPr>
          <w:rFonts w:hint="eastAsia" w:ascii="宋体" w:hAnsi="宋体" w:cs="宋体"/>
          <w:i w:val="0"/>
          <w:iCs/>
          <w:color w:val="auto"/>
          <w:sz w:val="21"/>
          <w:szCs w:val="21"/>
          <w:highlight w:val="none"/>
          <w:lang w:eastAsia="zh-CN" w:bidi="ar"/>
        </w:rPr>
        <w:t>）； 承建（承接）企业为</w:t>
      </w:r>
      <w:r>
        <w:rPr>
          <w:rFonts w:hint="eastAsia" w:ascii="宋体" w:hAnsi="宋体" w:cs="宋体"/>
          <w:i w:val="0"/>
          <w:iCs/>
          <w:color w:val="auto"/>
          <w:sz w:val="21"/>
          <w:szCs w:val="21"/>
          <w:highlight w:val="none"/>
          <w:u w:val="single"/>
          <w:lang w:eastAsia="zh-CN" w:bidi="ar"/>
        </w:rPr>
        <w:t xml:space="preserve">    （企业名称）</w:t>
      </w:r>
      <w:r>
        <w:rPr>
          <w:rFonts w:hint="eastAsia" w:ascii="宋体" w:hAnsi="宋体" w:cs="宋体"/>
          <w:i w:val="0"/>
          <w:iCs/>
          <w:color w:val="auto"/>
          <w:sz w:val="21"/>
          <w:szCs w:val="21"/>
          <w:highlight w:val="none"/>
          <w:lang w:eastAsia="zh-CN" w:bidi="ar"/>
        </w:rPr>
        <w:t>，从业人员</w:t>
      </w:r>
      <w:r>
        <w:rPr>
          <w:rFonts w:hint="eastAsia" w:ascii="宋体" w:hAnsi="宋体" w:cs="宋体"/>
          <w:i w:val="0"/>
          <w:iCs/>
          <w:color w:val="auto"/>
          <w:sz w:val="21"/>
          <w:szCs w:val="21"/>
          <w:highlight w:val="none"/>
          <w:u w:val="single"/>
          <w:lang w:eastAsia="zh-CN" w:bidi="ar"/>
        </w:rPr>
        <w:t xml:space="preserve">    </w:t>
      </w:r>
      <w:r>
        <w:rPr>
          <w:rFonts w:hint="eastAsia" w:ascii="宋体" w:hAnsi="宋体" w:cs="宋体"/>
          <w:i w:val="0"/>
          <w:iCs/>
          <w:color w:val="auto"/>
          <w:sz w:val="21"/>
          <w:szCs w:val="21"/>
          <w:highlight w:val="none"/>
          <w:lang w:eastAsia="zh-CN" w:bidi="ar"/>
        </w:rPr>
        <w:t>人，营业收入为</w:t>
      </w:r>
      <w:r>
        <w:rPr>
          <w:rFonts w:hint="eastAsia" w:ascii="宋体" w:hAnsi="宋体" w:cs="宋体"/>
          <w:i w:val="0"/>
          <w:iCs/>
          <w:color w:val="auto"/>
          <w:sz w:val="21"/>
          <w:szCs w:val="21"/>
          <w:highlight w:val="none"/>
          <w:u w:val="single"/>
          <w:lang w:eastAsia="zh-CN" w:bidi="ar"/>
        </w:rPr>
        <w:t xml:space="preserve">     </w:t>
      </w:r>
      <w:r>
        <w:rPr>
          <w:rFonts w:hint="eastAsia" w:ascii="宋体" w:hAnsi="宋体" w:cs="宋体"/>
          <w:i w:val="0"/>
          <w:iCs/>
          <w:color w:val="auto"/>
          <w:sz w:val="21"/>
          <w:szCs w:val="21"/>
          <w:highlight w:val="none"/>
          <w:lang w:eastAsia="zh-CN" w:bidi="ar"/>
        </w:rPr>
        <w:t>万元，资产总额为</w:t>
      </w:r>
      <w:r>
        <w:rPr>
          <w:rFonts w:hint="eastAsia" w:ascii="宋体" w:hAnsi="宋体" w:cs="宋体"/>
          <w:i w:val="0"/>
          <w:iCs/>
          <w:color w:val="auto"/>
          <w:sz w:val="21"/>
          <w:szCs w:val="21"/>
          <w:highlight w:val="none"/>
          <w:u w:val="single"/>
          <w:lang w:eastAsia="zh-CN" w:bidi="ar"/>
        </w:rPr>
        <w:t xml:space="preserve">        </w:t>
      </w:r>
      <w:r>
        <w:rPr>
          <w:rFonts w:hint="eastAsia" w:ascii="宋体" w:hAnsi="宋体" w:cs="宋体"/>
          <w:i w:val="0"/>
          <w:iCs/>
          <w:color w:val="auto"/>
          <w:sz w:val="21"/>
          <w:szCs w:val="21"/>
          <w:highlight w:val="none"/>
          <w:lang w:eastAsia="zh-CN" w:bidi="ar"/>
        </w:rPr>
        <w:t>万元，属于（中型企业、小型企业、微型企业）。</w:t>
      </w:r>
    </w:p>
    <w:p w14:paraId="2A61D072">
      <w:pPr>
        <w:spacing w:line="500" w:lineRule="exact"/>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bidi="ar"/>
        </w:rPr>
        <w:t>以上企业，不属于大企业的分支机构，不存在控股股东为大企业的情形，也不存在与大企业的负责人为同一人的情形。</w:t>
      </w:r>
    </w:p>
    <w:p w14:paraId="111DD61A">
      <w:pPr>
        <w:spacing w:line="500" w:lineRule="exact"/>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bidi="ar"/>
        </w:rPr>
        <w:t xml:space="preserve">本企业对上述声明内容的真实性负责。如有虚假，将依法承担相应责任。 </w:t>
      </w:r>
    </w:p>
    <w:p w14:paraId="1561D0FE">
      <w:pPr>
        <w:spacing w:line="500" w:lineRule="exact"/>
        <w:jc w:val="center"/>
        <w:rPr>
          <w:rFonts w:hint="eastAsia" w:ascii="宋体" w:hAnsi="宋体" w:cs="宋体"/>
          <w:color w:val="auto"/>
          <w:sz w:val="21"/>
          <w:szCs w:val="21"/>
          <w:highlight w:val="none"/>
          <w:u w:val="single"/>
          <w:lang w:eastAsia="zh-CN"/>
        </w:rPr>
      </w:pPr>
      <w:r>
        <w:rPr>
          <w:rFonts w:hint="eastAsia" w:ascii="宋体" w:hAnsi="宋体" w:cs="宋体"/>
          <w:color w:val="auto"/>
          <w:sz w:val="21"/>
          <w:szCs w:val="21"/>
          <w:highlight w:val="none"/>
          <w:lang w:eastAsia="zh-CN" w:bidi="ar"/>
        </w:rPr>
        <w:t xml:space="preserve">                   投标人全称（电子签章）：</w:t>
      </w:r>
      <w:r>
        <w:rPr>
          <w:rFonts w:hint="eastAsia" w:ascii="宋体" w:hAnsi="宋体" w:cs="宋体"/>
          <w:color w:val="auto"/>
          <w:sz w:val="21"/>
          <w:szCs w:val="21"/>
          <w:highlight w:val="none"/>
          <w:u w:val="single"/>
          <w:lang w:eastAsia="zh-CN" w:bidi="ar"/>
        </w:rPr>
        <w:t xml:space="preserve">     </w:t>
      </w:r>
      <w:r>
        <w:rPr>
          <w:rFonts w:hint="eastAsia" w:ascii="宋体" w:hAnsi="宋体" w:cs="宋体"/>
          <w:color w:val="auto"/>
          <w:sz w:val="21"/>
          <w:szCs w:val="21"/>
          <w:highlight w:val="none"/>
          <w:u w:val="single"/>
          <w:lang w:val="en-US" w:eastAsia="zh-CN" w:bidi="ar"/>
        </w:rPr>
        <w:t xml:space="preserve">  </w:t>
      </w:r>
      <w:r>
        <w:rPr>
          <w:rFonts w:hint="eastAsia" w:ascii="宋体" w:hAnsi="宋体" w:cs="宋体"/>
          <w:color w:val="auto"/>
          <w:sz w:val="21"/>
          <w:szCs w:val="21"/>
          <w:highlight w:val="none"/>
          <w:u w:val="single"/>
          <w:lang w:eastAsia="zh-CN" w:bidi="ar"/>
        </w:rPr>
        <w:t xml:space="preserve">      </w:t>
      </w:r>
    </w:p>
    <w:p w14:paraId="15949256">
      <w:pPr>
        <w:spacing w:line="500" w:lineRule="exact"/>
        <w:jc w:val="center"/>
        <w:rPr>
          <w:rFonts w:hint="eastAsia" w:ascii="宋体" w:hAnsi="宋体" w:cs="宋体"/>
          <w:color w:val="auto"/>
          <w:sz w:val="21"/>
          <w:szCs w:val="21"/>
          <w:highlight w:val="none"/>
          <w:u w:val="single"/>
          <w:lang w:eastAsia="zh-CN" w:bidi="ar"/>
        </w:rPr>
      </w:pPr>
      <w:r>
        <w:rPr>
          <w:rFonts w:hint="eastAsia" w:ascii="宋体" w:hAnsi="宋体" w:cs="宋体"/>
          <w:color w:val="auto"/>
          <w:sz w:val="21"/>
          <w:szCs w:val="21"/>
          <w:highlight w:val="none"/>
          <w:lang w:eastAsia="zh-CN" w:bidi="ar"/>
        </w:rPr>
        <w:t xml:space="preserve"> 日 期：</w:t>
      </w:r>
      <w:r>
        <w:rPr>
          <w:rFonts w:hint="eastAsia" w:ascii="宋体" w:hAnsi="宋体" w:cs="宋体"/>
          <w:color w:val="auto"/>
          <w:sz w:val="21"/>
          <w:szCs w:val="21"/>
          <w:highlight w:val="none"/>
          <w:u w:val="single"/>
          <w:lang w:eastAsia="zh-CN" w:bidi="ar"/>
        </w:rPr>
        <w:t xml:space="preserve">                     </w:t>
      </w:r>
      <w:r>
        <w:rPr>
          <w:rFonts w:hint="eastAsia" w:ascii="宋体" w:hAnsi="宋体" w:cs="宋体"/>
          <w:color w:val="auto"/>
          <w:sz w:val="21"/>
          <w:szCs w:val="21"/>
          <w:highlight w:val="none"/>
          <w:u w:val="single"/>
          <w:lang w:val="en-US" w:eastAsia="zh-CN" w:bidi="ar"/>
        </w:rPr>
        <w:t xml:space="preserve">     </w:t>
      </w:r>
      <w:r>
        <w:rPr>
          <w:rFonts w:hint="eastAsia" w:ascii="宋体" w:hAnsi="宋体" w:cs="宋体"/>
          <w:color w:val="auto"/>
          <w:sz w:val="21"/>
          <w:szCs w:val="21"/>
          <w:highlight w:val="none"/>
          <w:u w:val="single"/>
          <w:lang w:eastAsia="zh-CN" w:bidi="ar"/>
        </w:rPr>
        <w:t xml:space="preserve">     </w:t>
      </w:r>
    </w:p>
    <w:p w14:paraId="108CA46A">
      <w:pPr>
        <w:spacing w:line="500" w:lineRule="exact"/>
        <w:ind w:firstLine="420" w:firstLineChars="200"/>
        <w:rPr>
          <w:rFonts w:hint="eastAsia" w:ascii="宋体" w:hAnsi="宋体" w:cs="宋体"/>
          <w:color w:val="auto"/>
          <w:sz w:val="21"/>
          <w:szCs w:val="21"/>
          <w:highlight w:val="none"/>
          <w:lang w:eastAsia="zh-CN" w:bidi="ar"/>
        </w:rPr>
      </w:pPr>
    </w:p>
    <w:p w14:paraId="3F70492B">
      <w:pPr>
        <w:spacing w:line="500" w:lineRule="exact"/>
        <w:ind w:firstLine="420" w:firstLineChars="200"/>
        <w:rPr>
          <w:rFonts w:hint="eastAsia" w:ascii="宋体" w:hAnsi="宋体" w:cs="宋体"/>
          <w:color w:val="auto"/>
          <w:sz w:val="21"/>
          <w:szCs w:val="21"/>
          <w:highlight w:val="none"/>
          <w:lang w:eastAsia="zh-CN" w:bidi="ar"/>
        </w:rPr>
      </w:pPr>
    </w:p>
    <w:p w14:paraId="006A94B8">
      <w:pPr>
        <w:spacing w:line="400" w:lineRule="exact"/>
        <w:jc w:val="left"/>
        <w:rPr>
          <w:rFonts w:hint="eastAsia" w:ascii="宋体" w:hAnsi="宋体" w:cs="宋体"/>
          <w:color w:val="auto"/>
          <w:sz w:val="24"/>
          <w:szCs w:val="24"/>
          <w:highlight w:val="none"/>
        </w:rPr>
      </w:pPr>
      <w:r>
        <w:rPr>
          <w:rFonts w:hint="eastAsia" w:ascii="宋体" w:hAnsi="宋体" w:eastAsia="宋体" w:cs="宋体"/>
          <w:b/>
          <w:color w:val="auto"/>
          <w:kern w:val="0"/>
          <w:sz w:val="21"/>
          <w:szCs w:val="21"/>
          <w:highlight w:val="none"/>
          <w:lang w:bidi="ar"/>
        </w:rPr>
        <w:t>注：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不享受中小企业扶持政策。声明内容不实的，属于提供虚假材料谋取中标、成交的，依法承担法律责任</w:t>
      </w:r>
      <w:r>
        <w:rPr>
          <w:rFonts w:hint="eastAsia" w:ascii="宋体" w:hAnsi="宋体" w:cs="宋体"/>
          <w:color w:val="auto"/>
          <w:sz w:val="24"/>
          <w:szCs w:val="24"/>
          <w:highlight w:val="none"/>
        </w:rPr>
        <w:t>。</w:t>
      </w:r>
    </w:p>
    <w:p w14:paraId="198172AD">
      <w:pPr>
        <w:spacing w:line="400" w:lineRule="exact"/>
        <w:jc w:val="left"/>
        <w:rPr>
          <w:rFonts w:hint="eastAsia" w:ascii="宋体" w:hAnsi="宋体" w:cs="宋体"/>
          <w:color w:val="auto"/>
          <w:sz w:val="24"/>
          <w:szCs w:val="24"/>
          <w:highlight w:val="none"/>
        </w:rPr>
      </w:pPr>
    </w:p>
    <w:p w14:paraId="2DC11C13">
      <w:pPr>
        <w:spacing w:line="400" w:lineRule="exact"/>
        <w:jc w:val="left"/>
        <w:rPr>
          <w:rFonts w:hint="eastAsia" w:ascii="宋体" w:hAnsi="宋体" w:cs="宋体"/>
          <w:color w:val="auto"/>
          <w:sz w:val="24"/>
          <w:szCs w:val="24"/>
          <w:highlight w:val="none"/>
        </w:rPr>
      </w:pPr>
    </w:p>
    <w:p w14:paraId="688D7D13">
      <w:pPr>
        <w:spacing w:line="400" w:lineRule="exact"/>
        <w:jc w:val="left"/>
        <w:rPr>
          <w:rFonts w:hint="eastAsia" w:ascii="宋体" w:hAnsi="宋体" w:cs="宋体"/>
          <w:color w:val="auto"/>
          <w:sz w:val="24"/>
          <w:szCs w:val="24"/>
          <w:highlight w:val="none"/>
        </w:rPr>
      </w:pPr>
    </w:p>
    <w:p w14:paraId="3699AFB9">
      <w:pPr>
        <w:spacing w:line="400" w:lineRule="exact"/>
        <w:jc w:val="left"/>
        <w:rPr>
          <w:rFonts w:hint="eastAsia" w:ascii="宋体" w:hAnsi="宋体" w:cs="宋体"/>
          <w:color w:val="auto"/>
          <w:sz w:val="24"/>
          <w:szCs w:val="24"/>
          <w:highlight w:val="none"/>
        </w:rPr>
      </w:pPr>
    </w:p>
    <w:p w14:paraId="15FA6B10">
      <w:pPr>
        <w:spacing w:line="400" w:lineRule="exact"/>
        <w:jc w:val="left"/>
        <w:rPr>
          <w:rFonts w:hint="eastAsia" w:ascii="宋体" w:hAnsi="宋体" w:cs="宋体"/>
          <w:color w:val="auto"/>
          <w:sz w:val="24"/>
          <w:szCs w:val="24"/>
          <w:highlight w:val="none"/>
        </w:rPr>
      </w:pPr>
    </w:p>
    <w:p w14:paraId="1C0C3DE6">
      <w:pPr>
        <w:spacing w:line="400" w:lineRule="exact"/>
        <w:jc w:val="left"/>
        <w:rPr>
          <w:rFonts w:hint="eastAsia" w:ascii="宋体" w:hAnsi="宋体" w:cs="宋体"/>
          <w:color w:val="auto"/>
          <w:sz w:val="24"/>
          <w:szCs w:val="24"/>
          <w:highlight w:val="none"/>
        </w:rPr>
      </w:pPr>
      <w:r>
        <w:rPr>
          <w:rFonts w:hint="eastAsia" w:ascii="宋体" w:hAnsi="宋体"/>
          <w:b/>
          <w:bCs/>
          <w:color w:val="auto"/>
          <w:highlight w:val="none"/>
        </w:rPr>
        <w:t>备注：如联合体投标的，则联合体</w:t>
      </w:r>
      <w:r>
        <w:rPr>
          <w:rFonts w:hint="eastAsia" w:ascii="宋体" w:hAnsi="宋体"/>
          <w:b/>
          <w:bCs/>
          <w:color w:val="auto"/>
          <w:highlight w:val="none"/>
          <w:lang w:val="en-US" w:eastAsia="zh-CN"/>
        </w:rPr>
        <w:t>双方均</w:t>
      </w:r>
      <w:r>
        <w:rPr>
          <w:rFonts w:hint="eastAsia" w:ascii="宋体" w:hAnsi="宋体"/>
          <w:b/>
          <w:bCs/>
          <w:color w:val="auto"/>
          <w:highlight w:val="none"/>
        </w:rPr>
        <w:t>出具。</w:t>
      </w:r>
    </w:p>
    <w:p w14:paraId="3F613D75">
      <w:pPr>
        <w:snapToGrid w:val="0"/>
        <w:jc w:val="center"/>
        <w:outlineLvl w:val="2"/>
        <w:rPr>
          <w:rFonts w:ascii="宋体" w:hAnsi="宋体" w:cs="宋体"/>
          <w:b/>
          <w:color w:val="auto"/>
          <w:sz w:val="30"/>
          <w:szCs w:val="30"/>
          <w:highlight w:val="none"/>
        </w:rPr>
      </w:pPr>
      <w:r>
        <w:rPr>
          <w:rFonts w:ascii="宋体" w:hAnsi="宋体" w:cs="宋体"/>
          <w:b/>
          <w:color w:val="auto"/>
          <w:sz w:val="30"/>
          <w:szCs w:val="30"/>
          <w:highlight w:val="none"/>
        </w:rPr>
        <w:br w:type="page"/>
      </w:r>
      <w:r>
        <w:rPr>
          <w:rFonts w:hint="eastAsia" w:ascii="宋体" w:hAnsi="宋体" w:cs="宋体"/>
          <w:b/>
          <w:color w:val="auto"/>
          <w:sz w:val="30"/>
          <w:szCs w:val="30"/>
          <w:highlight w:val="none"/>
          <w:lang w:val="en-US" w:eastAsia="zh-CN"/>
        </w:rPr>
        <w:t>六</w:t>
      </w:r>
      <w:r>
        <w:rPr>
          <w:rFonts w:ascii="宋体" w:hAnsi="宋体" w:cs="宋体"/>
          <w:b/>
          <w:color w:val="auto"/>
          <w:sz w:val="30"/>
          <w:szCs w:val="30"/>
          <w:highlight w:val="none"/>
        </w:rPr>
        <w:t>、残疾人福利性单位声明函</w:t>
      </w:r>
    </w:p>
    <w:p w14:paraId="23C954FC">
      <w:pPr>
        <w:rPr>
          <w:color w:val="auto"/>
          <w:sz w:val="24"/>
          <w:highlight w:val="none"/>
        </w:rPr>
      </w:pPr>
    </w:p>
    <w:p w14:paraId="40BCC145">
      <w:pPr>
        <w:snapToGrid w:val="0"/>
        <w:spacing w:line="500" w:lineRule="exact"/>
        <w:ind w:firstLine="420" w:firstLineChars="200"/>
        <w:outlineLvl w:val="9"/>
        <w:rPr>
          <w:rFonts w:hint="eastAsia" w:ascii="宋体" w:hAnsi="宋体" w:cs="宋体"/>
          <w:color w:val="auto"/>
          <w:szCs w:val="21"/>
          <w:highlight w:val="none"/>
        </w:rPr>
      </w:pPr>
      <w:r>
        <w:rPr>
          <w:rFonts w:hint="eastAsia" w:ascii="宋体" w:hAnsi="宋体" w:cs="宋体"/>
          <w:color w:val="auto"/>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单位的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项目采购活动提供本单位制造的货物（由本单位承担工程/提供服务），或者提供其他残疾人福利性单位制造的货物（不包括使用非残疾人福利性单位注册商标的货物）。</w:t>
      </w:r>
    </w:p>
    <w:p w14:paraId="46792DFD">
      <w:pPr>
        <w:snapToGrid w:val="0"/>
        <w:spacing w:line="500" w:lineRule="exact"/>
        <w:ind w:firstLine="420" w:firstLineChars="200"/>
        <w:outlineLvl w:val="9"/>
        <w:rPr>
          <w:rFonts w:hint="eastAsia" w:ascii="宋体" w:hAnsi="宋体" w:cs="宋体"/>
          <w:color w:val="auto"/>
          <w:szCs w:val="21"/>
          <w:highlight w:val="none"/>
        </w:rPr>
      </w:pPr>
      <w:r>
        <w:rPr>
          <w:rFonts w:hint="eastAsia" w:ascii="宋体" w:hAnsi="宋体" w:cs="宋体"/>
          <w:color w:val="auto"/>
          <w:szCs w:val="21"/>
          <w:highlight w:val="none"/>
        </w:rPr>
        <w:t>本单位对上述声明的真实性负责。如有虚假，将依法承担相应责任。</w:t>
      </w:r>
    </w:p>
    <w:p w14:paraId="52FEBF3C">
      <w:pPr>
        <w:snapToGrid w:val="0"/>
        <w:spacing w:line="500" w:lineRule="exact"/>
        <w:ind w:firstLine="420" w:firstLineChars="200"/>
        <w:outlineLvl w:val="9"/>
        <w:rPr>
          <w:rFonts w:hint="eastAsia" w:ascii="宋体" w:hAnsi="宋体" w:cs="宋体"/>
          <w:color w:val="auto"/>
          <w:szCs w:val="21"/>
          <w:highlight w:val="none"/>
        </w:rPr>
      </w:pPr>
    </w:p>
    <w:p w14:paraId="222313F3">
      <w:pPr>
        <w:snapToGrid w:val="0"/>
        <w:spacing w:line="500" w:lineRule="exact"/>
        <w:ind w:firstLine="420" w:firstLineChars="200"/>
        <w:outlineLvl w:val="9"/>
        <w:rPr>
          <w:rFonts w:hint="eastAsia" w:ascii="宋体" w:hAnsi="宋体" w:cs="宋体"/>
          <w:color w:val="auto"/>
          <w:szCs w:val="21"/>
          <w:highlight w:val="none"/>
        </w:rPr>
      </w:pPr>
    </w:p>
    <w:p w14:paraId="4C3EF96C">
      <w:pPr>
        <w:spacing w:line="500" w:lineRule="exact"/>
        <w:ind w:firstLine="3360" w:firstLineChars="1600"/>
        <w:outlineLvl w:val="9"/>
        <w:rPr>
          <w:rFonts w:hint="eastAsia" w:ascii="宋体" w:hAnsi="宋体" w:cs="宋体"/>
          <w:color w:val="auto"/>
          <w:szCs w:val="21"/>
          <w:highlight w:val="none"/>
        </w:rPr>
      </w:pPr>
      <w:r>
        <w:rPr>
          <w:rFonts w:hint="eastAsia" w:ascii="宋体" w:hAnsi="宋体" w:cs="宋体"/>
          <w:color w:val="auto"/>
          <w:szCs w:val="21"/>
          <w:highlight w:val="none"/>
        </w:rPr>
        <w:t>投标人全称（电子签章）：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0453C532">
      <w:pPr>
        <w:snapToGrid w:val="0"/>
        <w:spacing w:line="500" w:lineRule="exact"/>
        <w:jc w:val="center"/>
        <w:outlineLvl w:val="9"/>
        <w:rPr>
          <w:rFonts w:hint="eastAsia" w:ascii="仿宋" w:hAnsi="仿宋" w:eastAsia="仿宋" w:cs="仿宋"/>
          <w:color w:val="auto"/>
          <w:sz w:val="28"/>
          <w:szCs w:val="28"/>
          <w:highlight w:val="none"/>
          <w:u w:val="single"/>
        </w:rPr>
      </w:pPr>
      <w:r>
        <w:rPr>
          <w:rFonts w:hint="eastAsia" w:ascii="宋体" w:hAnsi="宋体" w:cs="宋体"/>
          <w:color w:val="auto"/>
          <w:szCs w:val="21"/>
          <w:highlight w:val="none"/>
        </w:rPr>
        <w:t xml:space="preserve">       日 期：</w:t>
      </w:r>
      <w:r>
        <w:rPr>
          <w:rFonts w:hint="eastAsia" w:ascii="宋体" w:hAnsi="宋体" w:cs="宋体"/>
          <w:color w:val="auto"/>
          <w:szCs w:val="21"/>
          <w:highlight w:val="none"/>
          <w:u w:val="single"/>
        </w:rPr>
        <w:t xml:space="preserve">                        </w:t>
      </w:r>
    </w:p>
    <w:p w14:paraId="088708AC">
      <w:pPr>
        <w:snapToGrid w:val="0"/>
        <w:spacing w:line="500" w:lineRule="exact"/>
        <w:jc w:val="center"/>
        <w:outlineLvl w:val="9"/>
        <w:rPr>
          <w:rFonts w:hint="eastAsia" w:ascii="仿宋" w:hAnsi="仿宋" w:eastAsia="仿宋" w:cs="仿宋"/>
          <w:color w:val="auto"/>
          <w:sz w:val="28"/>
          <w:szCs w:val="28"/>
          <w:highlight w:val="none"/>
          <w:u w:val="single"/>
        </w:rPr>
      </w:pPr>
    </w:p>
    <w:p w14:paraId="0AD6811F">
      <w:pPr>
        <w:snapToGrid w:val="0"/>
        <w:spacing w:line="500" w:lineRule="exact"/>
        <w:jc w:val="center"/>
        <w:outlineLvl w:val="9"/>
        <w:rPr>
          <w:rFonts w:hint="eastAsia" w:ascii="仿宋" w:hAnsi="仿宋" w:eastAsia="仿宋" w:cs="仿宋"/>
          <w:color w:val="auto"/>
          <w:sz w:val="28"/>
          <w:szCs w:val="28"/>
          <w:highlight w:val="none"/>
          <w:u w:val="single"/>
        </w:rPr>
      </w:pPr>
    </w:p>
    <w:p w14:paraId="0BF95ACB">
      <w:pPr>
        <w:snapToGrid w:val="0"/>
        <w:spacing w:line="500" w:lineRule="exact"/>
        <w:jc w:val="both"/>
        <w:outlineLvl w:val="9"/>
        <w:rPr>
          <w:rFonts w:hint="eastAsia" w:ascii="仿宋" w:hAnsi="仿宋" w:eastAsia="仿宋" w:cs="仿宋"/>
          <w:color w:val="auto"/>
          <w:sz w:val="28"/>
          <w:szCs w:val="28"/>
          <w:highlight w:val="none"/>
          <w:u w:val="single"/>
        </w:rPr>
      </w:pPr>
    </w:p>
    <w:p w14:paraId="6B94AA82">
      <w:pPr>
        <w:snapToGrid w:val="0"/>
        <w:spacing w:line="500" w:lineRule="exact"/>
        <w:jc w:val="both"/>
        <w:outlineLvl w:val="9"/>
        <w:rPr>
          <w:rFonts w:hint="eastAsia" w:ascii="仿宋" w:hAnsi="仿宋" w:eastAsia="仿宋" w:cs="仿宋"/>
          <w:color w:val="auto"/>
          <w:sz w:val="28"/>
          <w:szCs w:val="28"/>
          <w:highlight w:val="none"/>
          <w:u w:val="single"/>
        </w:rPr>
      </w:pPr>
    </w:p>
    <w:p w14:paraId="329B9CF7">
      <w:pPr>
        <w:spacing w:line="360" w:lineRule="auto"/>
        <w:outlineLvl w:val="9"/>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特别说明：</w:t>
      </w:r>
    </w:p>
    <w:p w14:paraId="5C3339B0">
      <w:pPr>
        <w:pStyle w:val="6"/>
        <w:overflowPunct w:val="0"/>
        <w:spacing w:line="400" w:lineRule="exact"/>
        <w:ind w:firstLine="0"/>
        <w:outlineLvl w:val="9"/>
        <w:rPr>
          <w:rFonts w:hint="eastAsia" w:ascii="仿宋" w:hAnsi="仿宋" w:eastAsia="仿宋" w:cs="仿宋"/>
          <w:bCs/>
          <w:color w:val="auto"/>
          <w:szCs w:val="21"/>
          <w:highlight w:val="none"/>
        </w:rPr>
      </w:pPr>
      <w:r>
        <w:rPr>
          <w:rFonts w:hint="eastAsia" w:ascii="宋体" w:hAnsi="宋体" w:eastAsia="宋体" w:cs="宋体"/>
          <w:b/>
          <w:color w:val="auto"/>
          <w:spacing w:val="6"/>
          <w:szCs w:val="21"/>
          <w:highlight w:val="none"/>
        </w:rPr>
        <w:t>投标人不属于残疾人福利性单位的，无需提供此声明函，如提供所引起的后果由投标人承担。</w:t>
      </w:r>
    </w:p>
    <w:p w14:paraId="0DCD5E1F">
      <w:pPr>
        <w:bidi w:val="0"/>
        <w:outlineLvl w:val="9"/>
        <w:rPr>
          <w:color w:val="auto"/>
          <w:highlight w:val="none"/>
        </w:rPr>
      </w:pPr>
    </w:p>
    <w:p w14:paraId="42CEE723">
      <w:pPr>
        <w:bidi w:val="0"/>
        <w:outlineLvl w:val="9"/>
        <w:rPr>
          <w:color w:val="auto"/>
          <w:highlight w:val="none"/>
        </w:rPr>
      </w:pPr>
    </w:p>
    <w:p w14:paraId="2ED264BC">
      <w:pPr>
        <w:bidi w:val="0"/>
        <w:outlineLvl w:val="9"/>
        <w:rPr>
          <w:color w:val="auto"/>
          <w:highlight w:val="none"/>
        </w:rPr>
      </w:pPr>
    </w:p>
    <w:p w14:paraId="43254142">
      <w:pPr>
        <w:bidi w:val="0"/>
        <w:outlineLvl w:val="9"/>
        <w:rPr>
          <w:color w:val="auto"/>
          <w:highlight w:val="none"/>
        </w:rPr>
      </w:pPr>
    </w:p>
    <w:p w14:paraId="6A79D9AA">
      <w:pPr>
        <w:bidi w:val="0"/>
        <w:outlineLvl w:val="9"/>
        <w:rPr>
          <w:color w:val="auto"/>
          <w:highlight w:val="none"/>
        </w:rPr>
      </w:pPr>
    </w:p>
    <w:p w14:paraId="13C200D0">
      <w:pPr>
        <w:bidi w:val="0"/>
        <w:outlineLvl w:val="9"/>
        <w:rPr>
          <w:color w:val="auto"/>
          <w:highlight w:val="none"/>
        </w:rPr>
      </w:pPr>
    </w:p>
    <w:p w14:paraId="5B4A9EE0">
      <w:pPr>
        <w:bidi w:val="0"/>
        <w:outlineLvl w:val="9"/>
        <w:rPr>
          <w:color w:val="auto"/>
          <w:highlight w:val="none"/>
        </w:rPr>
      </w:pPr>
    </w:p>
    <w:p w14:paraId="1247E2FD">
      <w:pPr>
        <w:bidi w:val="0"/>
        <w:outlineLvl w:val="9"/>
        <w:rPr>
          <w:color w:val="auto"/>
          <w:highlight w:val="none"/>
        </w:rPr>
      </w:pPr>
    </w:p>
    <w:p w14:paraId="2E4CCBF4">
      <w:pPr>
        <w:bidi w:val="0"/>
        <w:rPr>
          <w:color w:val="auto"/>
          <w:highlight w:val="none"/>
        </w:rPr>
      </w:pPr>
    </w:p>
    <w:p w14:paraId="6970FD3F">
      <w:pPr>
        <w:bidi w:val="0"/>
        <w:rPr>
          <w:color w:val="auto"/>
          <w:highlight w:val="none"/>
        </w:rPr>
      </w:pPr>
    </w:p>
    <w:p w14:paraId="42233827">
      <w:pPr>
        <w:bidi w:val="0"/>
        <w:rPr>
          <w:color w:val="auto"/>
          <w:highlight w:val="none"/>
        </w:rPr>
      </w:pPr>
    </w:p>
    <w:p w14:paraId="5F9C5AE5">
      <w:pPr>
        <w:bidi w:val="0"/>
        <w:rPr>
          <w:color w:val="auto"/>
          <w:highlight w:val="none"/>
        </w:rPr>
      </w:pPr>
    </w:p>
    <w:p w14:paraId="5919F54F">
      <w:pPr>
        <w:snapToGrid w:val="0"/>
        <w:spacing w:line="600" w:lineRule="exact"/>
        <w:jc w:val="center"/>
        <w:outlineLvl w:val="2"/>
        <w:rPr>
          <w:rFonts w:ascii="宋体" w:hAnsi="宋体" w:cs="宋体"/>
          <w:b/>
          <w:color w:val="auto"/>
          <w:sz w:val="30"/>
          <w:szCs w:val="30"/>
          <w:highlight w:val="none"/>
        </w:rPr>
      </w:pPr>
      <w:r>
        <w:rPr>
          <w:rFonts w:ascii="宋体" w:hAnsi="宋体" w:cs="宋体"/>
          <w:b/>
          <w:color w:val="auto"/>
          <w:sz w:val="30"/>
          <w:szCs w:val="30"/>
          <w:highlight w:val="none"/>
        </w:rPr>
        <w:br w:type="page"/>
      </w:r>
      <w:r>
        <w:rPr>
          <w:rFonts w:hint="eastAsia" w:ascii="宋体" w:hAnsi="宋体" w:cs="宋体"/>
          <w:b/>
          <w:color w:val="auto"/>
          <w:sz w:val="30"/>
          <w:szCs w:val="30"/>
          <w:highlight w:val="none"/>
          <w:lang w:val="en-US" w:eastAsia="zh-CN"/>
        </w:rPr>
        <w:t>七</w:t>
      </w:r>
      <w:r>
        <w:rPr>
          <w:rFonts w:ascii="宋体" w:hAnsi="宋体" w:cs="宋体"/>
          <w:b/>
          <w:color w:val="auto"/>
          <w:sz w:val="30"/>
          <w:szCs w:val="30"/>
          <w:highlight w:val="none"/>
        </w:rPr>
        <w:t>、省级以上监狱管理局、戒毒管理局（含新疆生产建设兵团）出具的属于监狱企业的证明文件（若有）</w:t>
      </w:r>
    </w:p>
    <w:p w14:paraId="63953A8F">
      <w:pPr>
        <w:rPr>
          <w:color w:val="auto"/>
          <w:highlight w:val="none"/>
        </w:rPr>
      </w:pPr>
    </w:p>
    <w:p w14:paraId="629A76D9">
      <w:pPr>
        <w:rPr>
          <w:color w:val="auto"/>
          <w:highlight w:val="none"/>
        </w:rPr>
      </w:pPr>
    </w:p>
    <w:p w14:paraId="5EE04D4E">
      <w:pPr>
        <w:rPr>
          <w:color w:val="auto"/>
          <w:highlight w:val="none"/>
        </w:rPr>
      </w:pPr>
    </w:p>
    <w:p w14:paraId="596FBD2A">
      <w:pPr>
        <w:rPr>
          <w:color w:val="auto"/>
          <w:highlight w:val="none"/>
        </w:rPr>
      </w:pPr>
    </w:p>
    <w:p w14:paraId="6EA2D7B2">
      <w:pPr>
        <w:rPr>
          <w:color w:val="auto"/>
          <w:highlight w:val="none"/>
        </w:rPr>
      </w:pPr>
    </w:p>
    <w:p w14:paraId="5303AEF6">
      <w:pPr>
        <w:rPr>
          <w:color w:val="auto"/>
          <w:highlight w:val="none"/>
        </w:rPr>
      </w:pPr>
    </w:p>
    <w:p w14:paraId="40E0F3D9">
      <w:pPr>
        <w:rPr>
          <w:color w:val="auto"/>
          <w:highlight w:val="none"/>
        </w:rPr>
      </w:pPr>
    </w:p>
    <w:p w14:paraId="327FA970">
      <w:pPr>
        <w:tabs>
          <w:tab w:val="left" w:pos="863"/>
        </w:tabs>
        <w:jc w:val="left"/>
        <w:rPr>
          <w:color w:val="auto"/>
          <w:highlight w:val="none"/>
        </w:rPr>
      </w:pPr>
      <w:r>
        <w:rPr>
          <w:rFonts w:ascii="宋体" w:hAnsi="宋体" w:cs="宋体"/>
          <w:b/>
          <w:color w:val="auto"/>
          <w:kern w:val="0"/>
          <w:szCs w:val="21"/>
          <w:highlight w:val="none"/>
        </w:rPr>
        <w:t>注：不属于监狱企业的，可不提供。</w:t>
      </w:r>
    </w:p>
    <w:p w14:paraId="75ADE4B8">
      <w:pPr>
        <w:spacing w:line="360" w:lineRule="auto"/>
        <w:rPr>
          <w:rFonts w:hint="eastAsia" w:ascii="宋体" w:hAnsi="宋体" w:eastAsia="宋体" w:cs="宋体"/>
          <w:b w:val="0"/>
          <w:bCs w:val="0"/>
          <w:color w:val="auto"/>
          <w:szCs w:val="21"/>
          <w:highlight w:val="none"/>
        </w:rPr>
      </w:pPr>
    </w:p>
    <w:p w14:paraId="72CEFEB3">
      <w:pPr>
        <w:tabs>
          <w:tab w:val="left" w:pos="863"/>
        </w:tabs>
        <w:jc w:val="left"/>
        <w:rPr>
          <w:color w:val="auto"/>
          <w:highlight w:val="none"/>
        </w:rPr>
        <w:sectPr>
          <w:headerReference r:id="rId5" w:type="default"/>
          <w:footerReference r:id="rId6" w:type="default"/>
          <w:pgSz w:w="11906" w:h="16838"/>
          <w:pgMar w:top="1247" w:right="1191" w:bottom="1191" w:left="1191" w:header="680" w:footer="794" w:gutter="0"/>
          <w:lnNumType w:countBy="0" w:distance="360"/>
          <w:pgNumType w:fmt="decimal"/>
          <w:cols w:space="720" w:num="1"/>
          <w:rtlGutter w:val="1"/>
          <w:docGrid w:type="lines" w:linePitch="312" w:charSpace="0"/>
        </w:sectPr>
      </w:pPr>
    </w:p>
    <w:p w14:paraId="52EBD8DB">
      <w:pPr>
        <w:spacing w:line="540" w:lineRule="exact"/>
        <w:jc w:val="center"/>
        <w:outlineLvl w:val="2"/>
        <w:rPr>
          <w:rFonts w:ascii="宋体" w:hAnsi="宋体" w:cs="宋体"/>
          <w:b/>
          <w:color w:val="auto"/>
          <w:kern w:val="0"/>
          <w:sz w:val="30"/>
          <w:szCs w:val="30"/>
          <w:highlight w:val="none"/>
        </w:rPr>
      </w:pPr>
      <w:r>
        <w:rPr>
          <w:rFonts w:hint="eastAsia" w:ascii="宋体" w:hAnsi="宋体" w:cs="宋体"/>
          <w:b/>
          <w:color w:val="auto"/>
          <w:kern w:val="0"/>
          <w:sz w:val="30"/>
          <w:szCs w:val="30"/>
          <w:highlight w:val="none"/>
          <w:lang w:val="en-US" w:eastAsia="zh-CN"/>
        </w:rPr>
        <w:t>八</w:t>
      </w:r>
      <w:r>
        <w:rPr>
          <w:rFonts w:ascii="宋体" w:hAnsi="宋体" w:cs="宋体"/>
          <w:b/>
          <w:color w:val="auto"/>
          <w:kern w:val="0"/>
          <w:sz w:val="30"/>
          <w:szCs w:val="30"/>
          <w:highlight w:val="none"/>
        </w:rPr>
        <w:t>、法人或者其他组织的营业执照等证明文件</w:t>
      </w:r>
    </w:p>
    <w:p w14:paraId="611714E8">
      <w:pPr>
        <w:spacing w:line="440" w:lineRule="exact"/>
        <w:jc w:val="center"/>
        <w:outlineLvl w:val="9"/>
        <w:rPr>
          <w:rFonts w:ascii="宋体" w:hAnsi="宋体" w:cs="宋体"/>
          <w:b/>
          <w:color w:val="auto"/>
          <w:kern w:val="0"/>
          <w:sz w:val="30"/>
          <w:szCs w:val="30"/>
          <w:highlight w:val="none"/>
        </w:rPr>
      </w:pPr>
    </w:p>
    <w:p w14:paraId="3033546A">
      <w:pPr>
        <w:spacing w:line="440" w:lineRule="exact"/>
        <w:jc w:val="center"/>
        <w:outlineLvl w:val="9"/>
        <w:rPr>
          <w:rFonts w:ascii="宋体" w:hAnsi="宋体" w:cs="宋体"/>
          <w:b/>
          <w:color w:val="auto"/>
          <w:kern w:val="0"/>
          <w:sz w:val="30"/>
          <w:szCs w:val="30"/>
          <w:highlight w:val="none"/>
        </w:rPr>
      </w:pPr>
    </w:p>
    <w:p w14:paraId="72FFA476">
      <w:pPr>
        <w:spacing w:line="440" w:lineRule="exact"/>
        <w:jc w:val="center"/>
        <w:outlineLvl w:val="9"/>
        <w:rPr>
          <w:rFonts w:ascii="宋体" w:hAnsi="宋体" w:cs="宋体"/>
          <w:b/>
          <w:color w:val="auto"/>
          <w:kern w:val="0"/>
          <w:sz w:val="30"/>
          <w:szCs w:val="30"/>
          <w:highlight w:val="none"/>
        </w:rPr>
      </w:pPr>
    </w:p>
    <w:p w14:paraId="1FF4E0FB">
      <w:pPr>
        <w:spacing w:line="440" w:lineRule="exact"/>
        <w:jc w:val="center"/>
        <w:outlineLvl w:val="9"/>
        <w:rPr>
          <w:rFonts w:ascii="宋体" w:hAnsi="宋体" w:cs="宋体"/>
          <w:b/>
          <w:color w:val="auto"/>
          <w:kern w:val="0"/>
          <w:sz w:val="30"/>
          <w:szCs w:val="30"/>
          <w:highlight w:val="none"/>
        </w:rPr>
      </w:pPr>
    </w:p>
    <w:p w14:paraId="36E9C788">
      <w:pPr>
        <w:spacing w:line="440" w:lineRule="exact"/>
        <w:jc w:val="center"/>
        <w:outlineLvl w:val="9"/>
        <w:rPr>
          <w:rFonts w:ascii="宋体" w:hAnsi="宋体" w:cs="宋体"/>
          <w:b/>
          <w:color w:val="auto"/>
          <w:kern w:val="0"/>
          <w:sz w:val="30"/>
          <w:szCs w:val="30"/>
          <w:highlight w:val="none"/>
        </w:rPr>
      </w:pPr>
    </w:p>
    <w:p w14:paraId="2F446EC9">
      <w:pPr>
        <w:spacing w:line="440" w:lineRule="exact"/>
        <w:jc w:val="center"/>
        <w:outlineLvl w:val="9"/>
        <w:rPr>
          <w:rFonts w:ascii="宋体" w:hAnsi="宋体" w:cs="宋体"/>
          <w:b/>
          <w:color w:val="auto"/>
          <w:kern w:val="0"/>
          <w:sz w:val="30"/>
          <w:szCs w:val="30"/>
          <w:highlight w:val="none"/>
        </w:rPr>
      </w:pPr>
    </w:p>
    <w:p w14:paraId="504F4166">
      <w:pPr>
        <w:spacing w:line="440" w:lineRule="exact"/>
        <w:jc w:val="center"/>
        <w:outlineLvl w:val="9"/>
        <w:rPr>
          <w:rFonts w:ascii="宋体" w:hAnsi="宋体" w:cs="宋体"/>
          <w:b/>
          <w:color w:val="auto"/>
          <w:kern w:val="0"/>
          <w:sz w:val="30"/>
          <w:szCs w:val="30"/>
          <w:highlight w:val="none"/>
        </w:rPr>
      </w:pPr>
    </w:p>
    <w:p w14:paraId="3818DE6F">
      <w:pPr>
        <w:spacing w:line="440" w:lineRule="exact"/>
        <w:jc w:val="center"/>
        <w:outlineLvl w:val="9"/>
        <w:rPr>
          <w:rFonts w:ascii="宋体" w:hAnsi="宋体" w:cs="宋体"/>
          <w:b/>
          <w:color w:val="auto"/>
          <w:kern w:val="0"/>
          <w:sz w:val="30"/>
          <w:szCs w:val="30"/>
          <w:highlight w:val="none"/>
        </w:rPr>
      </w:pPr>
    </w:p>
    <w:p w14:paraId="4E853453">
      <w:pPr>
        <w:spacing w:line="400" w:lineRule="exact"/>
        <w:jc w:val="left"/>
        <w:outlineLvl w:val="9"/>
        <w:rPr>
          <w:rFonts w:hint="eastAsia" w:ascii="宋体" w:hAnsi="宋体" w:cs="宋体"/>
          <w:color w:val="auto"/>
          <w:sz w:val="24"/>
          <w:szCs w:val="24"/>
          <w:highlight w:val="none"/>
        </w:rPr>
      </w:pPr>
      <w:r>
        <w:rPr>
          <w:rFonts w:hint="eastAsia" w:ascii="宋体" w:hAnsi="宋体"/>
          <w:b/>
          <w:bCs/>
          <w:color w:val="auto"/>
          <w:highlight w:val="none"/>
        </w:rPr>
        <w:t>备注：如联合体投标的，则联合体</w:t>
      </w:r>
      <w:r>
        <w:rPr>
          <w:rFonts w:hint="eastAsia" w:ascii="宋体" w:hAnsi="宋体"/>
          <w:b/>
          <w:bCs/>
          <w:color w:val="auto"/>
          <w:highlight w:val="none"/>
          <w:lang w:val="en-US" w:eastAsia="zh-CN"/>
        </w:rPr>
        <w:t>双方均</w:t>
      </w:r>
      <w:r>
        <w:rPr>
          <w:rFonts w:hint="eastAsia" w:ascii="宋体" w:hAnsi="宋体"/>
          <w:b/>
          <w:bCs/>
          <w:color w:val="auto"/>
          <w:highlight w:val="none"/>
        </w:rPr>
        <w:t>出具。</w:t>
      </w:r>
    </w:p>
    <w:p w14:paraId="5E50B257">
      <w:pPr>
        <w:spacing w:line="440" w:lineRule="exact"/>
        <w:jc w:val="center"/>
        <w:outlineLvl w:val="2"/>
        <w:rPr>
          <w:rFonts w:hint="eastAsia" w:ascii="宋体" w:hAnsi="宋体" w:cs="宋体"/>
          <w:b/>
          <w:color w:val="auto"/>
          <w:kern w:val="0"/>
          <w:sz w:val="30"/>
          <w:szCs w:val="30"/>
          <w:highlight w:val="none"/>
        </w:rPr>
      </w:pPr>
      <w:r>
        <w:rPr>
          <w:rFonts w:ascii="宋体" w:hAnsi="宋体" w:cs="宋体"/>
          <w:b/>
          <w:color w:val="auto"/>
          <w:kern w:val="0"/>
          <w:sz w:val="30"/>
          <w:szCs w:val="30"/>
          <w:highlight w:val="none"/>
        </w:rPr>
        <w:br w:type="page"/>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Pr>
          <w:rFonts w:hint="eastAsia" w:ascii="宋体" w:hAnsi="宋体" w:cs="宋体"/>
          <w:b/>
          <w:color w:val="auto"/>
          <w:kern w:val="0"/>
          <w:sz w:val="30"/>
          <w:szCs w:val="30"/>
          <w:highlight w:val="none"/>
          <w:lang w:val="en-US" w:eastAsia="zh-CN"/>
        </w:rPr>
        <w:t>九</w:t>
      </w:r>
      <w:r>
        <w:rPr>
          <w:rFonts w:hint="eastAsia" w:ascii="宋体" w:hAnsi="宋体" w:cs="宋体"/>
          <w:b/>
          <w:color w:val="auto"/>
          <w:kern w:val="0"/>
          <w:sz w:val="30"/>
          <w:szCs w:val="30"/>
          <w:highlight w:val="none"/>
          <w:lang w:eastAsia="zh-CN"/>
        </w:rPr>
        <w:t>、</w:t>
      </w:r>
      <w:r>
        <w:rPr>
          <w:rFonts w:hint="eastAsia" w:ascii="宋体" w:hAnsi="宋体" w:eastAsia="宋体" w:cs="宋体"/>
          <w:b/>
          <w:color w:val="auto"/>
          <w:sz w:val="30"/>
          <w:szCs w:val="30"/>
          <w:lang w:val="zh-CN" w:eastAsia="zh-CN"/>
        </w:rPr>
        <w:t>本项目的特定资格要求证明材料</w:t>
      </w:r>
    </w:p>
    <w:p w14:paraId="1F5D18D7">
      <w:pPr>
        <w:spacing w:line="440" w:lineRule="exact"/>
        <w:jc w:val="center"/>
        <w:outlineLvl w:val="2"/>
        <w:rPr>
          <w:rFonts w:ascii="宋体" w:hAnsi="宋体" w:cs="宋体"/>
          <w:b/>
          <w:color w:val="auto"/>
          <w:sz w:val="30"/>
          <w:szCs w:val="30"/>
          <w:highlight w:val="none"/>
        </w:rPr>
      </w:pPr>
      <w:r>
        <w:rPr>
          <w:rFonts w:ascii="宋体" w:hAnsi="宋体" w:cs="宋体"/>
          <w:b/>
          <w:color w:val="auto"/>
          <w:kern w:val="0"/>
          <w:sz w:val="30"/>
          <w:szCs w:val="30"/>
          <w:highlight w:val="none"/>
        </w:rPr>
        <w:br w:type="page"/>
      </w:r>
      <w:r>
        <w:rPr>
          <w:rFonts w:hint="eastAsia" w:ascii="宋体" w:hAnsi="宋体" w:cs="宋体"/>
          <w:b/>
          <w:color w:val="auto"/>
          <w:sz w:val="30"/>
          <w:szCs w:val="30"/>
          <w:highlight w:val="none"/>
          <w:lang w:val="en-US" w:eastAsia="zh-CN"/>
        </w:rPr>
        <w:t>十</w:t>
      </w:r>
      <w:r>
        <w:rPr>
          <w:rFonts w:ascii="宋体" w:hAnsi="宋体" w:cs="宋体"/>
          <w:b/>
          <w:color w:val="auto"/>
          <w:sz w:val="30"/>
          <w:szCs w:val="30"/>
          <w:highlight w:val="none"/>
        </w:rPr>
        <w:t>、法定代表人身份证明及身份证（正、反面）</w:t>
      </w:r>
    </w:p>
    <w:p w14:paraId="34AC439E">
      <w:pPr>
        <w:spacing w:line="540" w:lineRule="exact"/>
        <w:ind w:firstLine="480" w:firstLineChars="200"/>
        <w:rPr>
          <w:rFonts w:ascii="宋体" w:hAnsi="宋体" w:cs="宋体"/>
          <w:color w:val="auto"/>
          <w:sz w:val="24"/>
          <w:highlight w:val="none"/>
        </w:rPr>
      </w:pPr>
    </w:p>
    <w:p w14:paraId="750A8B3D">
      <w:pPr>
        <w:spacing w:line="600" w:lineRule="exact"/>
        <w:ind w:firstLine="945" w:firstLineChars="450"/>
        <w:rPr>
          <w:rFonts w:ascii="宋体" w:hAnsi="宋体" w:cs="宋体"/>
          <w:color w:val="auto"/>
          <w:szCs w:val="21"/>
          <w:highlight w:val="none"/>
        </w:rPr>
      </w:pPr>
      <w:r>
        <w:rPr>
          <w:rFonts w:ascii="宋体" w:hAnsi="宋体" w:cs="宋体"/>
          <w:color w:val="auto"/>
          <w:szCs w:val="21"/>
          <w:highlight w:val="none"/>
        </w:rPr>
        <w:t>单位名称：</w:t>
      </w:r>
      <w:r>
        <w:rPr>
          <w:rFonts w:ascii="宋体" w:hAnsi="宋体" w:cs="宋体"/>
          <w:color w:val="auto"/>
          <w:szCs w:val="21"/>
          <w:highlight w:val="none"/>
          <w:u w:val="single"/>
        </w:rPr>
        <w:t xml:space="preserve">                                               </w:t>
      </w:r>
    </w:p>
    <w:p w14:paraId="69B7397E">
      <w:pPr>
        <w:spacing w:line="600" w:lineRule="exact"/>
        <w:ind w:firstLine="945" w:firstLineChars="450"/>
        <w:rPr>
          <w:rFonts w:ascii="宋体" w:hAnsi="宋体" w:cs="宋体"/>
          <w:color w:val="auto"/>
          <w:szCs w:val="21"/>
          <w:highlight w:val="none"/>
          <w:u w:val="single"/>
        </w:rPr>
      </w:pPr>
      <w:r>
        <w:rPr>
          <w:rFonts w:ascii="宋体" w:hAnsi="宋体" w:cs="宋体"/>
          <w:color w:val="auto"/>
          <w:szCs w:val="21"/>
          <w:highlight w:val="none"/>
        </w:rPr>
        <w:t>单位性质：</w:t>
      </w:r>
      <w:r>
        <w:rPr>
          <w:rFonts w:ascii="宋体" w:hAnsi="宋体" w:cs="宋体"/>
          <w:color w:val="auto"/>
          <w:szCs w:val="21"/>
          <w:highlight w:val="none"/>
          <w:u w:val="single"/>
        </w:rPr>
        <w:t xml:space="preserve">                                               </w:t>
      </w:r>
    </w:p>
    <w:p w14:paraId="717B8D6C">
      <w:pPr>
        <w:spacing w:line="600" w:lineRule="exact"/>
        <w:ind w:firstLine="945" w:firstLineChars="450"/>
        <w:rPr>
          <w:rFonts w:ascii="宋体" w:hAnsi="宋体" w:cs="宋体"/>
          <w:color w:val="auto"/>
          <w:szCs w:val="21"/>
          <w:highlight w:val="none"/>
          <w:u w:val="single"/>
        </w:rPr>
      </w:pPr>
      <w:r>
        <w:rPr>
          <w:rFonts w:ascii="宋体" w:hAnsi="宋体" w:cs="宋体"/>
          <w:color w:val="auto"/>
          <w:szCs w:val="21"/>
          <w:highlight w:val="none"/>
        </w:rPr>
        <w:t>地    址：</w:t>
      </w:r>
      <w:r>
        <w:rPr>
          <w:rFonts w:ascii="宋体" w:hAnsi="宋体" w:cs="宋体"/>
          <w:color w:val="auto"/>
          <w:szCs w:val="21"/>
          <w:highlight w:val="none"/>
          <w:u w:val="single"/>
        </w:rPr>
        <w:t xml:space="preserve">                                               </w:t>
      </w:r>
    </w:p>
    <w:p w14:paraId="6EC85C37">
      <w:pPr>
        <w:spacing w:line="600" w:lineRule="exact"/>
        <w:ind w:firstLine="945" w:firstLineChars="450"/>
        <w:rPr>
          <w:rFonts w:ascii="宋体" w:hAnsi="宋体" w:cs="宋体"/>
          <w:color w:val="auto"/>
          <w:szCs w:val="21"/>
          <w:highlight w:val="none"/>
          <w:u w:val="single"/>
        </w:rPr>
      </w:pPr>
      <w:r>
        <w:rPr>
          <w:rFonts w:ascii="宋体" w:hAnsi="宋体" w:cs="宋体"/>
          <w:color w:val="auto"/>
          <w:szCs w:val="21"/>
          <w:highlight w:val="none"/>
        </w:rPr>
        <w:t>联系电话</w:t>
      </w:r>
      <w:r>
        <w:rPr>
          <w:rFonts w:ascii="宋体" w:hAnsi="宋体" w:cs="宋体"/>
          <w:color w:val="auto"/>
          <w:szCs w:val="21"/>
          <w:highlight w:val="none"/>
          <w:u w:val="none"/>
        </w:rPr>
        <w:t>：</w:t>
      </w:r>
      <w:r>
        <w:rPr>
          <w:rFonts w:ascii="宋体" w:hAnsi="宋体" w:cs="宋体"/>
          <w:color w:val="auto"/>
          <w:szCs w:val="21"/>
          <w:highlight w:val="none"/>
          <w:u w:val="single"/>
        </w:rPr>
        <w:t xml:space="preserve">                                               </w:t>
      </w:r>
    </w:p>
    <w:p w14:paraId="39C2AC9C">
      <w:pPr>
        <w:spacing w:line="600" w:lineRule="exact"/>
        <w:ind w:firstLine="945" w:firstLineChars="450"/>
        <w:rPr>
          <w:rFonts w:ascii="宋体" w:hAnsi="宋体" w:cs="宋体"/>
          <w:color w:val="auto"/>
          <w:szCs w:val="21"/>
          <w:highlight w:val="none"/>
        </w:rPr>
      </w:pPr>
      <w:r>
        <w:rPr>
          <w:rFonts w:ascii="宋体" w:hAnsi="宋体" w:cs="宋体"/>
          <w:color w:val="auto"/>
          <w:szCs w:val="21"/>
          <w:highlight w:val="none"/>
        </w:rPr>
        <w:t>成立时间：</w:t>
      </w:r>
      <w:r>
        <w:rPr>
          <w:rFonts w:ascii="宋体" w:hAnsi="宋体" w:cs="宋体"/>
          <w:color w:val="auto"/>
          <w:szCs w:val="21"/>
          <w:highlight w:val="none"/>
          <w:u w:val="single"/>
        </w:rPr>
        <w:t xml:space="preserve">             </w:t>
      </w:r>
      <w:r>
        <w:rPr>
          <w:rFonts w:ascii="宋体" w:hAnsi="宋体" w:cs="宋体"/>
          <w:color w:val="auto"/>
          <w:szCs w:val="21"/>
          <w:highlight w:val="none"/>
        </w:rPr>
        <w:t>年</w:t>
      </w:r>
      <w:r>
        <w:rPr>
          <w:rFonts w:ascii="宋体" w:hAnsi="宋体" w:cs="宋体"/>
          <w:color w:val="auto"/>
          <w:szCs w:val="21"/>
          <w:highlight w:val="none"/>
          <w:u w:val="single"/>
        </w:rPr>
        <w:t xml:space="preserve">               </w:t>
      </w:r>
      <w:r>
        <w:rPr>
          <w:rFonts w:ascii="宋体" w:hAnsi="宋体" w:cs="宋体"/>
          <w:color w:val="auto"/>
          <w:szCs w:val="21"/>
          <w:highlight w:val="none"/>
        </w:rPr>
        <w:t>月</w:t>
      </w:r>
      <w:r>
        <w:rPr>
          <w:rFonts w:ascii="宋体" w:hAnsi="宋体" w:cs="宋体"/>
          <w:color w:val="auto"/>
          <w:szCs w:val="21"/>
          <w:highlight w:val="none"/>
          <w:u w:val="single"/>
        </w:rPr>
        <w:t xml:space="preserve">               </w:t>
      </w:r>
      <w:r>
        <w:rPr>
          <w:rFonts w:ascii="宋体" w:hAnsi="宋体" w:cs="宋体"/>
          <w:color w:val="auto"/>
          <w:szCs w:val="21"/>
          <w:highlight w:val="none"/>
        </w:rPr>
        <w:t>日</w:t>
      </w:r>
    </w:p>
    <w:p w14:paraId="0BAB9B58">
      <w:pPr>
        <w:spacing w:line="600" w:lineRule="exact"/>
        <w:ind w:firstLine="945" w:firstLineChars="450"/>
        <w:rPr>
          <w:rFonts w:ascii="宋体" w:hAnsi="宋体" w:cs="宋体"/>
          <w:color w:val="auto"/>
          <w:szCs w:val="21"/>
          <w:highlight w:val="none"/>
          <w:u w:val="single"/>
        </w:rPr>
      </w:pPr>
      <w:r>
        <w:rPr>
          <w:rFonts w:ascii="宋体" w:hAnsi="宋体" w:cs="宋体"/>
          <w:color w:val="auto"/>
          <w:szCs w:val="21"/>
          <w:highlight w:val="none"/>
        </w:rPr>
        <w:t>经营期限：</w:t>
      </w:r>
      <w:r>
        <w:rPr>
          <w:rFonts w:ascii="宋体" w:hAnsi="宋体" w:cs="宋体"/>
          <w:color w:val="auto"/>
          <w:szCs w:val="21"/>
          <w:highlight w:val="none"/>
          <w:u w:val="single"/>
        </w:rPr>
        <w:t xml:space="preserve">                                               </w:t>
      </w:r>
    </w:p>
    <w:p w14:paraId="64597AA7">
      <w:pPr>
        <w:spacing w:line="600" w:lineRule="exact"/>
        <w:ind w:firstLine="945" w:firstLineChars="450"/>
        <w:rPr>
          <w:rFonts w:ascii="宋体" w:hAnsi="宋体" w:cs="宋体"/>
          <w:color w:val="auto"/>
          <w:szCs w:val="21"/>
          <w:highlight w:val="none"/>
          <w:u w:val="single"/>
        </w:rPr>
      </w:pPr>
      <w:r>
        <w:rPr>
          <w:rFonts w:ascii="宋体" w:hAnsi="宋体" w:cs="宋体"/>
          <w:color w:val="auto"/>
          <w:szCs w:val="21"/>
          <w:highlight w:val="none"/>
        </w:rPr>
        <w:t>姓    名：</w:t>
      </w:r>
      <w:r>
        <w:rPr>
          <w:rFonts w:ascii="宋体" w:hAnsi="宋体" w:cs="宋体"/>
          <w:color w:val="auto"/>
          <w:szCs w:val="21"/>
          <w:highlight w:val="none"/>
          <w:u w:val="single"/>
        </w:rPr>
        <w:t xml:space="preserve">                          </w:t>
      </w:r>
      <w:r>
        <w:rPr>
          <w:rFonts w:ascii="宋体" w:hAnsi="宋体" w:cs="宋体"/>
          <w:color w:val="auto"/>
          <w:szCs w:val="21"/>
          <w:highlight w:val="none"/>
        </w:rPr>
        <w:t>性    别：</w:t>
      </w:r>
      <w:r>
        <w:rPr>
          <w:rFonts w:ascii="宋体" w:hAnsi="宋体" w:cs="宋体"/>
          <w:color w:val="auto"/>
          <w:szCs w:val="21"/>
          <w:highlight w:val="none"/>
          <w:u w:val="single"/>
        </w:rPr>
        <w:t xml:space="preserve">            </w:t>
      </w:r>
    </w:p>
    <w:p w14:paraId="19CB3D9E">
      <w:pPr>
        <w:spacing w:line="600" w:lineRule="exact"/>
        <w:ind w:firstLine="945" w:firstLineChars="450"/>
        <w:rPr>
          <w:rFonts w:ascii="宋体" w:hAnsi="宋体" w:cs="宋体"/>
          <w:color w:val="auto"/>
          <w:szCs w:val="21"/>
          <w:highlight w:val="none"/>
          <w:u w:val="single"/>
        </w:rPr>
      </w:pPr>
      <w:r>
        <w:rPr>
          <w:rFonts w:ascii="宋体" w:hAnsi="宋体" w:cs="宋体"/>
          <w:color w:val="auto"/>
          <w:szCs w:val="21"/>
          <w:highlight w:val="none"/>
        </w:rPr>
        <w:t>年    龄：</w:t>
      </w:r>
      <w:r>
        <w:rPr>
          <w:rFonts w:ascii="宋体" w:hAnsi="宋体" w:cs="宋体"/>
          <w:color w:val="auto"/>
          <w:szCs w:val="21"/>
          <w:highlight w:val="none"/>
          <w:u w:val="single"/>
        </w:rPr>
        <w:t xml:space="preserve">                          </w:t>
      </w:r>
      <w:r>
        <w:rPr>
          <w:rFonts w:ascii="宋体" w:hAnsi="宋体" w:cs="宋体"/>
          <w:color w:val="auto"/>
          <w:szCs w:val="21"/>
          <w:highlight w:val="none"/>
        </w:rPr>
        <w:t>职    务：</w:t>
      </w:r>
      <w:r>
        <w:rPr>
          <w:rFonts w:ascii="宋体" w:hAnsi="宋体" w:cs="宋体"/>
          <w:color w:val="auto"/>
          <w:szCs w:val="21"/>
          <w:highlight w:val="none"/>
          <w:u w:val="single"/>
        </w:rPr>
        <w:t xml:space="preserve">            </w:t>
      </w:r>
    </w:p>
    <w:p w14:paraId="4FDD1310">
      <w:pPr>
        <w:spacing w:line="600" w:lineRule="exact"/>
        <w:ind w:firstLine="945" w:firstLineChars="450"/>
        <w:rPr>
          <w:rFonts w:ascii="宋体" w:hAnsi="宋体" w:cs="宋体"/>
          <w:color w:val="auto"/>
          <w:szCs w:val="21"/>
          <w:highlight w:val="none"/>
        </w:rPr>
      </w:pPr>
      <w:r>
        <w:rPr>
          <w:rFonts w:ascii="宋体" w:hAnsi="宋体" w:cs="宋体"/>
          <w:color w:val="auto"/>
          <w:szCs w:val="21"/>
          <w:highlight w:val="none"/>
        </w:rPr>
        <w:t>系</w:t>
      </w:r>
      <w:r>
        <w:rPr>
          <w:rFonts w:ascii="宋体" w:hAnsi="宋体" w:cs="宋体"/>
          <w:color w:val="auto"/>
          <w:szCs w:val="21"/>
          <w:highlight w:val="none"/>
          <w:u w:val="single"/>
        </w:rPr>
        <w:t xml:space="preserve">                             </w:t>
      </w:r>
      <w:r>
        <w:rPr>
          <w:rFonts w:ascii="宋体" w:hAnsi="宋体" w:cs="宋体"/>
          <w:color w:val="auto"/>
          <w:szCs w:val="21"/>
          <w:highlight w:val="none"/>
        </w:rPr>
        <w:t>（投标人全称）的法定代表人。</w:t>
      </w:r>
    </w:p>
    <w:p w14:paraId="4AC34230">
      <w:pPr>
        <w:spacing w:line="600" w:lineRule="exact"/>
        <w:ind w:firstLine="945" w:firstLineChars="450"/>
        <w:rPr>
          <w:rFonts w:ascii="宋体" w:hAnsi="宋体" w:cs="宋体"/>
          <w:color w:val="auto"/>
          <w:szCs w:val="21"/>
          <w:highlight w:val="none"/>
        </w:rPr>
      </w:pPr>
      <w:r>
        <w:rPr>
          <w:rFonts w:ascii="宋体" w:hAnsi="宋体" w:cs="宋体"/>
          <w:color w:val="auto"/>
          <w:szCs w:val="21"/>
          <w:highlight w:val="none"/>
        </w:rPr>
        <w:t>特此证明。</w:t>
      </w:r>
    </w:p>
    <w:p w14:paraId="194AC70D">
      <w:pPr>
        <w:spacing w:line="540" w:lineRule="exact"/>
        <w:outlineLvl w:val="9"/>
        <w:rPr>
          <w:rFonts w:ascii="宋体" w:hAnsi="宋体" w:cs="宋体"/>
          <w:b/>
          <w:color w:val="auto"/>
          <w:kern w:val="0"/>
          <w:sz w:val="30"/>
          <w:szCs w:val="30"/>
          <w:highlight w:val="none"/>
        </w:rPr>
      </w:pPr>
      <w:r>
        <w:rPr>
          <w:rFonts w:ascii="宋体" w:hAnsi="宋体" w:cs="宋体"/>
          <w:b/>
          <w:color w:val="auto"/>
          <w:szCs w:val="21"/>
          <w:highlight w:val="none"/>
        </w:rPr>
        <w:t>注：附身份证复印件（正、反两面）</w:t>
      </w:r>
    </w:p>
    <w:p w14:paraId="7852D411">
      <w:pPr>
        <w:bidi w:val="0"/>
        <w:rPr>
          <w:color w:val="auto"/>
          <w:highlight w:val="none"/>
        </w:rPr>
      </w:pPr>
    </w:p>
    <w:p w14:paraId="323EA8EB">
      <w:pPr>
        <w:spacing w:line="440" w:lineRule="atLeast"/>
        <w:jc w:val="center"/>
        <w:rPr>
          <w:rFonts w:ascii="宋体" w:hAnsi="宋体" w:cs="宋体"/>
          <w:b/>
          <w:color w:val="auto"/>
          <w:szCs w:val="21"/>
          <w:highlight w:val="none"/>
        </w:rPr>
      </w:pPr>
    </w:p>
    <w:p w14:paraId="069F2D60">
      <w:pPr>
        <w:spacing w:line="540" w:lineRule="exact"/>
        <w:ind w:firstLine="420" w:firstLineChars="200"/>
        <w:jc w:val="left"/>
        <w:rPr>
          <w:rFonts w:ascii="宋体" w:hAnsi="宋体" w:cs="宋体"/>
          <w:color w:val="auto"/>
          <w:kern w:val="0"/>
          <w:szCs w:val="21"/>
          <w:highlight w:val="none"/>
        </w:rPr>
      </w:pPr>
    </w:p>
    <w:p w14:paraId="713199B0">
      <w:pPr>
        <w:spacing w:line="540" w:lineRule="exact"/>
        <w:jc w:val="center"/>
        <w:rPr>
          <w:rFonts w:ascii="宋体" w:hAnsi="宋体" w:cs="宋体"/>
          <w:color w:val="auto"/>
          <w:kern w:val="0"/>
          <w:szCs w:val="21"/>
          <w:highlight w:val="none"/>
        </w:rPr>
      </w:pPr>
    </w:p>
    <w:p w14:paraId="5089ADA5">
      <w:pPr>
        <w:pStyle w:val="34"/>
        <w:rPr>
          <w:rFonts w:hAnsi="宋体" w:cs="宋体"/>
          <w:color w:val="auto"/>
          <w:szCs w:val="21"/>
          <w:highlight w:val="none"/>
        </w:rPr>
      </w:pPr>
    </w:p>
    <w:p w14:paraId="282556D5">
      <w:pPr>
        <w:pStyle w:val="9"/>
        <w:rPr>
          <w:rFonts w:ascii="宋体" w:hAnsi="宋体" w:cs="宋体"/>
          <w:color w:val="auto"/>
          <w:kern w:val="0"/>
          <w:szCs w:val="21"/>
          <w:highlight w:val="none"/>
        </w:rPr>
      </w:pPr>
    </w:p>
    <w:p w14:paraId="78CE2610">
      <w:pPr>
        <w:pStyle w:val="9"/>
        <w:rPr>
          <w:rFonts w:ascii="宋体" w:hAnsi="宋体" w:cs="宋体"/>
          <w:color w:val="auto"/>
          <w:kern w:val="0"/>
          <w:szCs w:val="21"/>
          <w:highlight w:val="none"/>
        </w:rPr>
      </w:pPr>
    </w:p>
    <w:p w14:paraId="665783FD">
      <w:pPr>
        <w:bidi w:val="0"/>
        <w:rPr>
          <w:color w:val="auto"/>
          <w:highlight w:val="none"/>
        </w:rPr>
      </w:pPr>
      <w:r>
        <w:rPr>
          <w:rFonts w:hint="eastAsia" w:ascii="宋体" w:hAnsi="宋体"/>
          <w:b/>
          <w:bCs/>
          <w:color w:val="auto"/>
          <w:highlight w:val="none"/>
        </w:rPr>
        <w:t>备注：如联合体投标的，则联合体牵头人出具。</w:t>
      </w:r>
    </w:p>
    <w:p w14:paraId="0DE6C747">
      <w:pPr>
        <w:pStyle w:val="9"/>
        <w:rPr>
          <w:rFonts w:ascii="宋体" w:hAnsi="宋体" w:cs="宋体"/>
          <w:color w:val="auto"/>
          <w:kern w:val="0"/>
          <w:szCs w:val="21"/>
          <w:highlight w:val="none"/>
        </w:rPr>
      </w:pPr>
    </w:p>
    <w:p w14:paraId="05F29879">
      <w:pPr>
        <w:pStyle w:val="9"/>
        <w:rPr>
          <w:rFonts w:ascii="宋体" w:hAnsi="宋体" w:cs="宋体"/>
          <w:color w:val="auto"/>
          <w:kern w:val="0"/>
          <w:szCs w:val="21"/>
          <w:highlight w:val="none"/>
        </w:rPr>
      </w:pPr>
    </w:p>
    <w:p w14:paraId="79573026">
      <w:pPr>
        <w:pStyle w:val="9"/>
        <w:rPr>
          <w:rFonts w:ascii="宋体" w:hAnsi="宋体" w:cs="宋体"/>
          <w:color w:val="auto"/>
          <w:kern w:val="0"/>
          <w:szCs w:val="21"/>
          <w:highlight w:val="none"/>
        </w:rPr>
      </w:pPr>
    </w:p>
    <w:p w14:paraId="4151F89A">
      <w:pPr>
        <w:pStyle w:val="9"/>
        <w:rPr>
          <w:rFonts w:ascii="宋体" w:hAnsi="宋体" w:cs="宋体"/>
          <w:color w:val="auto"/>
          <w:kern w:val="0"/>
          <w:szCs w:val="21"/>
          <w:highlight w:val="none"/>
        </w:rPr>
      </w:pPr>
    </w:p>
    <w:p w14:paraId="4173618B">
      <w:pPr>
        <w:pStyle w:val="9"/>
        <w:rPr>
          <w:rFonts w:ascii="宋体" w:hAnsi="宋体" w:cs="宋体"/>
          <w:color w:val="auto"/>
          <w:kern w:val="0"/>
          <w:szCs w:val="21"/>
          <w:highlight w:val="none"/>
        </w:rPr>
      </w:pPr>
    </w:p>
    <w:p w14:paraId="2FDBF6D6">
      <w:pPr>
        <w:pStyle w:val="9"/>
        <w:rPr>
          <w:rFonts w:ascii="宋体" w:hAnsi="宋体" w:cs="宋体"/>
          <w:color w:val="auto"/>
          <w:kern w:val="0"/>
          <w:szCs w:val="21"/>
          <w:highlight w:val="none"/>
        </w:rPr>
      </w:pPr>
    </w:p>
    <w:p w14:paraId="7156D6D5">
      <w:pPr>
        <w:pStyle w:val="9"/>
        <w:rPr>
          <w:rFonts w:ascii="宋体" w:hAnsi="宋体" w:cs="宋体"/>
          <w:color w:val="auto"/>
          <w:kern w:val="0"/>
          <w:szCs w:val="21"/>
          <w:highlight w:val="none"/>
        </w:rPr>
      </w:pPr>
    </w:p>
    <w:p w14:paraId="03A0333C">
      <w:pPr>
        <w:pStyle w:val="9"/>
        <w:rPr>
          <w:rFonts w:ascii="宋体" w:hAnsi="宋体" w:cs="宋体"/>
          <w:color w:val="auto"/>
          <w:kern w:val="0"/>
          <w:szCs w:val="21"/>
          <w:highlight w:val="none"/>
        </w:rPr>
      </w:pPr>
    </w:p>
    <w:p w14:paraId="582A9849">
      <w:pPr>
        <w:pStyle w:val="9"/>
        <w:rPr>
          <w:rFonts w:ascii="宋体" w:hAnsi="宋体" w:cs="宋体"/>
          <w:color w:val="auto"/>
          <w:kern w:val="0"/>
          <w:szCs w:val="21"/>
          <w:highlight w:val="none"/>
        </w:rPr>
      </w:pPr>
    </w:p>
    <w:p w14:paraId="7124A60E">
      <w:pPr>
        <w:bidi w:val="0"/>
        <w:rPr>
          <w:color w:val="auto"/>
          <w:highlight w:val="none"/>
        </w:rPr>
      </w:pPr>
      <w:bookmarkStart w:id="176" w:name="_Toc435706553"/>
      <w:bookmarkStart w:id="177" w:name="_Toc26431"/>
      <w:bookmarkStart w:id="178" w:name="_Toc15662"/>
      <w:bookmarkStart w:id="179" w:name="_Toc30319"/>
      <w:bookmarkStart w:id="180" w:name="_Toc6319301"/>
      <w:bookmarkStart w:id="181" w:name="_Toc463851852"/>
      <w:bookmarkStart w:id="182" w:name="_Toc476230514"/>
      <w:bookmarkStart w:id="183" w:name="_Toc1981"/>
      <w:bookmarkStart w:id="184" w:name="_Toc27639"/>
      <w:bookmarkStart w:id="185" w:name="_Toc11241"/>
      <w:bookmarkStart w:id="186" w:name="_Toc437331313"/>
      <w:bookmarkStart w:id="187" w:name="_Toc471819742"/>
      <w:bookmarkStart w:id="188" w:name="_Toc470269893"/>
      <w:bookmarkStart w:id="189" w:name="_Toc470270009"/>
      <w:bookmarkStart w:id="190" w:name="_Toc476230650"/>
      <w:bookmarkStart w:id="191" w:name="_Toc467572542"/>
      <w:bookmarkStart w:id="192" w:name="_Toc437331624"/>
      <w:bookmarkStart w:id="193" w:name="_Toc437504038"/>
      <w:bookmarkStart w:id="194" w:name="_Toc468954260"/>
      <w:bookmarkStart w:id="195" w:name="_Toc3284"/>
      <w:bookmarkStart w:id="196" w:name="_Toc424199684"/>
      <w:bookmarkStart w:id="197" w:name="_Toc469475477"/>
      <w:bookmarkStart w:id="198" w:name="_Toc476229719"/>
      <w:bookmarkStart w:id="199" w:name="_Toc471819802"/>
      <w:bookmarkStart w:id="200" w:name="_Toc437509335"/>
      <w:bookmarkStart w:id="201" w:name="_Toc433882655"/>
      <w:bookmarkStart w:id="202" w:name="_Toc30835"/>
      <w:bookmarkStart w:id="203" w:name="_Toc30189"/>
      <w:bookmarkStart w:id="204" w:name="_Toc12904"/>
      <w:bookmarkStart w:id="205" w:name="_Toc495666243"/>
      <w:bookmarkStart w:id="206" w:name="_Toc19176"/>
      <w:bookmarkStart w:id="207" w:name="_Toc476230926"/>
      <w:bookmarkStart w:id="208" w:name="_Toc7413"/>
      <w:bookmarkStart w:id="209" w:name="_Toc28781"/>
      <w:bookmarkStart w:id="210" w:name="_Toc4680"/>
    </w:p>
    <w:p w14:paraId="04ED3040">
      <w:pPr>
        <w:spacing w:line="500" w:lineRule="exact"/>
        <w:jc w:val="center"/>
        <w:outlineLvl w:val="2"/>
        <w:rPr>
          <w:rFonts w:ascii="宋体" w:hAnsi="宋体" w:cs="宋体"/>
          <w:b/>
          <w:color w:val="auto"/>
          <w:kern w:val="0"/>
          <w:sz w:val="30"/>
          <w:szCs w:val="30"/>
          <w:highlight w:val="none"/>
        </w:rPr>
      </w:pPr>
      <w:r>
        <w:rPr>
          <w:rFonts w:hint="eastAsia" w:ascii="宋体" w:hAnsi="宋体" w:cs="宋体"/>
          <w:b/>
          <w:color w:val="auto"/>
          <w:kern w:val="0"/>
          <w:sz w:val="30"/>
          <w:szCs w:val="30"/>
          <w:highlight w:val="none"/>
          <w:lang w:eastAsia="zh-CN"/>
        </w:rPr>
        <w:br w:type="page"/>
      </w:r>
      <w:r>
        <w:rPr>
          <w:rFonts w:hint="eastAsia" w:ascii="宋体" w:hAnsi="宋体" w:cs="宋体"/>
          <w:b/>
          <w:color w:val="auto"/>
          <w:kern w:val="0"/>
          <w:sz w:val="30"/>
          <w:szCs w:val="30"/>
          <w:highlight w:val="none"/>
          <w:lang w:val="en-US" w:eastAsia="zh-CN"/>
        </w:rPr>
        <w:t>十一</w:t>
      </w:r>
      <w:r>
        <w:rPr>
          <w:rFonts w:ascii="宋体" w:hAnsi="宋体" w:cs="宋体"/>
          <w:b/>
          <w:color w:val="auto"/>
          <w:kern w:val="0"/>
          <w:sz w:val="30"/>
          <w:szCs w:val="30"/>
          <w:highlight w:val="none"/>
        </w:rPr>
        <w:t>、</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Pr>
          <w:rFonts w:ascii="宋体" w:hAnsi="宋体" w:cs="宋体"/>
          <w:b/>
          <w:color w:val="auto"/>
          <w:kern w:val="0"/>
          <w:sz w:val="30"/>
          <w:szCs w:val="30"/>
          <w:highlight w:val="none"/>
        </w:rPr>
        <w:t>法定代表人授权委托书</w:t>
      </w:r>
    </w:p>
    <w:p w14:paraId="5D8A6AFD">
      <w:pPr>
        <w:spacing w:line="500" w:lineRule="exact"/>
        <w:ind w:left="120" w:leftChars="57"/>
        <w:jc w:val="left"/>
        <w:rPr>
          <w:rFonts w:ascii="宋体" w:hAnsi="宋体" w:cs="宋体"/>
          <w:color w:val="auto"/>
          <w:kern w:val="0"/>
          <w:szCs w:val="21"/>
          <w:highlight w:val="none"/>
        </w:rPr>
      </w:pPr>
    </w:p>
    <w:p w14:paraId="375B49D5">
      <w:pPr>
        <w:snapToGrid w:val="0"/>
        <w:spacing w:line="500" w:lineRule="exact"/>
        <w:ind w:firstLine="420" w:firstLineChars="200"/>
        <w:rPr>
          <w:rFonts w:ascii="宋体" w:hAnsi="宋体" w:cs="宋体"/>
          <w:color w:val="auto"/>
          <w:szCs w:val="21"/>
          <w:highlight w:val="none"/>
        </w:rPr>
      </w:pPr>
      <w:bookmarkStart w:id="211" w:name="_Toc424199685"/>
      <w:bookmarkStart w:id="212" w:name="_Toc433882656"/>
      <w:r>
        <w:rPr>
          <w:rFonts w:ascii="宋体" w:hAnsi="宋体" w:cs="宋体"/>
          <w:color w:val="auto"/>
          <w:szCs w:val="21"/>
          <w:highlight w:val="none"/>
        </w:rPr>
        <w:t>本授权书声明：我</w:t>
      </w:r>
      <w:r>
        <w:rPr>
          <w:rFonts w:ascii="宋体" w:hAnsi="宋体" w:cs="宋体"/>
          <w:color w:val="auto"/>
          <w:szCs w:val="21"/>
          <w:highlight w:val="none"/>
          <w:u w:val="single"/>
        </w:rPr>
        <w:t xml:space="preserve">    </w:t>
      </w:r>
      <w:r>
        <w:rPr>
          <w:rFonts w:ascii="宋体" w:hAnsi="宋体" w:cs="宋体"/>
          <w:color w:val="auto"/>
          <w:szCs w:val="21"/>
          <w:highlight w:val="none"/>
        </w:rPr>
        <w:t>（法定代表人姓名、职务）是</w:t>
      </w:r>
      <w:r>
        <w:rPr>
          <w:rFonts w:ascii="宋体" w:hAnsi="宋体" w:cs="宋体"/>
          <w:color w:val="auto"/>
          <w:szCs w:val="21"/>
          <w:highlight w:val="none"/>
          <w:u w:val="single"/>
        </w:rPr>
        <w:t xml:space="preserve">            </w:t>
      </w:r>
      <w:r>
        <w:rPr>
          <w:rFonts w:ascii="宋体" w:hAnsi="宋体" w:cs="宋体"/>
          <w:color w:val="auto"/>
          <w:szCs w:val="21"/>
          <w:highlight w:val="none"/>
        </w:rPr>
        <w:t>（单位名称）的法人代表，现授权委托本单位在职职工</w:t>
      </w:r>
      <w:r>
        <w:rPr>
          <w:rFonts w:ascii="宋体" w:hAnsi="宋体" w:cs="宋体"/>
          <w:color w:val="auto"/>
          <w:szCs w:val="21"/>
          <w:highlight w:val="none"/>
          <w:u w:val="single"/>
        </w:rPr>
        <w:t xml:space="preserve">               </w:t>
      </w:r>
      <w:r>
        <w:rPr>
          <w:rFonts w:ascii="宋体" w:hAnsi="宋体" w:cs="宋体"/>
          <w:color w:val="auto"/>
          <w:szCs w:val="21"/>
          <w:highlight w:val="none"/>
        </w:rPr>
        <w:t xml:space="preserve">（姓名，被授权人必须为本单位正式在职员工）为全权代表，以我方的名义参加 </w:t>
      </w:r>
      <w:r>
        <w:rPr>
          <w:rFonts w:ascii="宋体" w:hAnsi="宋体" w:cs="宋体"/>
          <w:color w:val="auto"/>
          <w:szCs w:val="21"/>
          <w:highlight w:val="none"/>
          <w:u w:val="single"/>
        </w:rPr>
        <w:t xml:space="preserve">                           </w:t>
      </w:r>
      <w:r>
        <w:rPr>
          <w:rFonts w:ascii="宋体" w:hAnsi="宋体" w:cs="宋体"/>
          <w:color w:val="auto"/>
          <w:szCs w:val="21"/>
          <w:highlight w:val="none"/>
        </w:rPr>
        <w:t xml:space="preserve"> （项目名称）</w:t>
      </w:r>
      <w:r>
        <w:rPr>
          <w:rFonts w:ascii="宋体" w:hAnsi="宋体" w:cs="宋体"/>
          <w:color w:val="auto"/>
          <w:szCs w:val="21"/>
          <w:highlight w:val="none"/>
          <w:u w:val="single"/>
        </w:rPr>
        <w:t xml:space="preserve">                </w:t>
      </w:r>
      <w:r>
        <w:rPr>
          <w:rFonts w:ascii="宋体" w:hAnsi="宋体" w:cs="宋体"/>
          <w:color w:val="auto"/>
          <w:szCs w:val="21"/>
          <w:highlight w:val="none"/>
        </w:rPr>
        <w:t>（项目编号）的投标活动，并代表我方全权办理针对上述项目的投标、开标、评标、签约等具体事务和签署相关文件。我方对全权代表的签名事项负全部责任。</w:t>
      </w:r>
    </w:p>
    <w:p w14:paraId="4581A5B7">
      <w:pPr>
        <w:snapToGrid w:val="0"/>
        <w:spacing w:line="500" w:lineRule="exact"/>
        <w:ind w:firstLine="420" w:firstLineChars="200"/>
        <w:rPr>
          <w:rFonts w:ascii="宋体" w:hAnsi="宋体" w:cs="宋体"/>
          <w:color w:val="auto"/>
          <w:szCs w:val="21"/>
          <w:highlight w:val="none"/>
        </w:rPr>
      </w:pPr>
      <w:r>
        <w:rPr>
          <w:rFonts w:ascii="宋体" w:hAnsi="宋体" w:cs="宋体"/>
          <w:color w:val="auto"/>
          <w:szCs w:val="21"/>
          <w:highlight w:val="none"/>
        </w:rPr>
        <w:t>全权代表无转委托权，特此委托。</w:t>
      </w:r>
    </w:p>
    <w:p w14:paraId="3D0BAD45">
      <w:pPr>
        <w:spacing w:line="500" w:lineRule="exact"/>
        <w:ind w:firstLine="420" w:firstLineChars="200"/>
        <w:jc w:val="left"/>
        <w:rPr>
          <w:rFonts w:ascii="宋体" w:hAnsi="宋体" w:cs="宋体"/>
          <w:color w:val="auto"/>
          <w:szCs w:val="21"/>
          <w:highlight w:val="none"/>
        </w:rPr>
      </w:pPr>
      <w:r>
        <w:rPr>
          <w:rFonts w:ascii="宋体" w:hAnsi="宋体" w:cs="宋体"/>
          <w:color w:val="auto"/>
          <w:szCs w:val="21"/>
          <w:highlight w:val="none"/>
        </w:rPr>
        <w:t>本授权书于</w:t>
      </w:r>
      <w:r>
        <w:rPr>
          <w:rFonts w:ascii="宋体" w:hAnsi="宋体" w:cs="宋体"/>
          <w:color w:val="auto"/>
          <w:szCs w:val="21"/>
          <w:highlight w:val="none"/>
          <w:u w:val="single"/>
        </w:rPr>
        <w:t xml:space="preserve">     </w:t>
      </w:r>
      <w:r>
        <w:rPr>
          <w:rFonts w:ascii="宋体" w:hAnsi="宋体" w:cs="宋体"/>
          <w:color w:val="auto"/>
          <w:szCs w:val="21"/>
          <w:highlight w:val="none"/>
        </w:rPr>
        <w:t>年</w:t>
      </w:r>
      <w:r>
        <w:rPr>
          <w:rFonts w:ascii="宋体" w:hAnsi="宋体" w:cs="宋体"/>
          <w:color w:val="auto"/>
          <w:szCs w:val="21"/>
          <w:highlight w:val="none"/>
          <w:u w:val="single"/>
        </w:rPr>
        <w:t xml:space="preserve">      </w:t>
      </w:r>
      <w:r>
        <w:rPr>
          <w:rFonts w:ascii="宋体" w:hAnsi="宋体" w:cs="宋体"/>
          <w:color w:val="auto"/>
          <w:szCs w:val="21"/>
          <w:highlight w:val="none"/>
        </w:rPr>
        <w:t>月</w:t>
      </w:r>
      <w:r>
        <w:rPr>
          <w:rFonts w:ascii="宋体" w:hAnsi="宋体" w:cs="宋体"/>
          <w:color w:val="auto"/>
          <w:szCs w:val="21"/>
          <w:highlight w:val="none"/>
          <w:u w:val="single"/>
        </w:rPr>
        <w:t xml:space="preserve">      </w:t>
      </w:r>
      <w:r>
        <w:rPr>
          <w:rFonts w:ascii="宋体" w:hAnsi="宋体" w:cs="宋体"/>
          <w:color w:val="auto"/>
          <w:szCs w:val="21"/>
          <w:highlight w:val="none"/>
        </w:rPr>
        <w:t>日签字生效，特此声明。</w:t>
      </w:r>
    </w:p>
    <w:p w14:paraId="1FA95D5F">
      <w:pPr>
        <w:spacing w:line="500" w:lineRule="exact"/>
        <w:ind w:firstLine="420" w:firstLineChars="200"/>
        <w:jc w:val="left"/>
        <w:rPr>
          <w:rFonts w:ascii="宋体" w:hAnsi="宋体" w:cs="宋体"/>
          <w:color w:val="auto"/>
          <w:szCs w:val="21"/>
          <w:highlight w:val="none"/>
        </w:rPr>
      </w:pPr>
      <w:r>
        <w:rPr>
          <w:rFonts w:ascii="宋体" w:hAnsi="宋体" w:cs="宋体"/>
          <w:color w:val="auto"/>
          <w:szCs w:val="21"/>
          <w:highlight w:val="none"/>
        </w:rPr>
        <w:t>法定代表人（签字或盖章）：</w:t>
      </w:r>
      <w:r>
        <w:rPr>
          <w:rFonts w:ascii="宋体" w:hAnsi="宋体" w:cs="宋体"/>
          <w:color w:val="auto"/>
          <w:szCs w:val="21"/>
          <w:highlight w:val="none"/>
          <w:u w:val="single"/>
        </w:rPr>
        <w:t xml:space="preserve">                            </w:t>
      </w:r>
    </w:p>
    <w:p w14:paraId="2A8590BE">
      <w:pPr>
        <w:spacing w:line="500" w:lineRule="exact"/>
        <w:ind w:firstLine="420" w:firstLineChars="200"/>
        <w:jc w:val="left"/>
        <w:rPr>
          <w:rFonts w:ascii="宋体" w:hAnsi="宋体" w:cs="宋体"/>
          <w:color w:val="auto"/>
          <w:szCs w:val="21"/>
          <w:highlight w:val="none"/>
          <w:u w:val="single"/>
        </w:rPr>
      </w:pPr>
      <w:r>
        <w:rPr>
          <w:rFonts w:ascii="宋体" w:hAnsi="宋体" w:cs="宋体"/>
          <w:color w:val="auto"/>
          <w:szCs w:val="21"/>
          <w:highlight w:val="none"/>
        </w:rPr>
        <w:t>授权委托人（签字或盖章）：</w:t>
      </w:r>
      <w:r>
        <w:rPr>
          <w:rFonts w:ascii="宋体" w:hAnsi="宋体" w:cs="宋体"/>
          <w:color w:val="auto"/>
          <w:szCs w:val="21"/>
          <w:highlight w:val="none"/>
          <w:u w:val="single"/>
        </w:rPr>
        <w:t xml:space="preserve">                            </w:t>
      </w:r>
    </w:p>
    <w:p w14:paraId="6D46147E">
      <w:pPr>
        <w:spacing w:line="500" w:lineRule="exact"/>
        <w:ind w:firstLine="420" w:firstLineChars="200"/>
        <w:jc w:val="left"/>
        <w:rPr>
          <w:rFonts w:ascii="宋体" w:hAnsi="宋体" w:cs="宋体"/>
          <w:color w:val="auto"/>
          <w:szCs w:val="21"/>
          <w:highlight w:val="none"/>
        </w:rPr>
      </w:pPr>
      <w:r>
        <w:rPr>
          <w:rFonts w:ascii="宋体" w:hAnsi="宋体" w:cs="宋体"/>
          <w:color w:val="auto"/>
          <w:szCs w:val="21"/>
          <w:highlight w:val="none"/>
        </w:rPr>
        <w:t>联系电话</w:t>
      </w:r>
      <w:r>
        <w:rPr>
          <w:rFonts w:ascii="宋体" w:hAnsi="宋体" w:cs="宋体"/>
          <w:color w:val="auto"/>
          <w:szCs w:val="21"/>
          <w:highlight w:val="none"/>
          <w:u w:val="none"/>
        </w:rPr>
        <w:t>：</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p>
    <w:p w14:paraId="0E8CA44A">
      <w:pPr>
        <w:spacing w:line="500" w:lineRule="exact"/>
        <w:ind w:firstLine="420" w:firstLineChars="200"/>
        <w:jc w:val="left"/>
        <w:rPr>
          <w:rFonts w:ascii="宋体" w:hAnsi="宋体" w:cs="宋体"/>
          <w:color w:val="auto"/>
          <w:szCs w:val="21"/>
          <w:highlight w:val="none"/>
        </w:rPr>
      </w:pPr>
      <w:r>
        <w:rPr>
          <w:rFonts w:ascii="宋体" w:hAnsi="宋体" w:cs="宋体"/>
          <w:color w:val="auto"/>
          <w:szCs w:val="21"/>
          <w:highlight w:val="none"/>
        </w:rPr>
        <w:t>投标人全称（电子签章）</w:t>
      </w:r>
      <w:r>
        <w:rPr>
          <w:rFonts w:hint="eastAsia" w:ascii="宋体" w:hAnsi="宋体" w:cs="宋体"/>
          <w:color w:val="auto"/>
          <w:szCs w:val="21"/>
          <w:highlight w:val="none"/>
          <w:lang w:eastAsia="zh-CN"/>
        </w:rPr>
        <w:t>：</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p>
    <w:p w14:paraId="085EC6E4">
      <w:pPr>
        <w:spacing w:line="500" w:lineRule="exact"/>
        <w:ind w:firstLine="420" w:firstLineChars="200"/>
        <w:jc w:val="left"/>
        <w:rPr>
          <w:rFonts w:ascii="宋体" w:hAnsi="宋体" w:cs="宋体"/>
          <w:color w:val="auto"/>
          <w:szCs w:val="21"/>
          <w:highlight w:val="none"/>
        </w:rPr>
      </w:pPr>
      <w:r>
        <w:rPr>
          <w:rFonts w:ascii="宋体" w:hAnsi="宋体" w:cs="宋体"/>
          <w:color w:val="auto"/>
          <w:szCs w:val="21"/>
          <w:highlight w:val="none"/>
        </w:rPr>
        <w:t xml:space="preserve">日 </w:t>
      </w:r>
      <w:r>
        <w:rPr>
          <w:rFonts w:hint="eastAsia" w:ascii="宋体" w:hAnsi="宋体" w:cs="宋体"/>
          <w:color w:val="auto"/>
          <w:szCs w:val="21"/>
          <w:highlight w:val="none"/>
          <w:lang w:val="en-US" w:eastAsia="zh-CN"/>
        </w:rPr>
        <w:t xml:space="preserve">   </w:t>
      </w:r>
      <w:r>
        <w:rPr>
          <w:rFonts w:ascii="宋体" w:hAnsi="宋体" w:cs="宋体"/>
          <w:color w:val="auto"/>
          <w:szCs w:val="21"/>
          <w:highlight w:val="none"/>
        </w:rPr>
        <w:t>期：</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p>
    <w:p w14:paraId="340E40A9">
      <w:pPr>
        <w:bidi w:val="0"/>
        <w:rPr>
          <w:color w:val="auto"/>
          <w:highlight w:val="none"/>
        </w:rPr>
      </w:pPr>
    </w:p>
    <w:p w14:paraId="1529598C">
      <w:pPr>
        <w:spacing w:line="540" w:lineRule="exact"/>
        <w:jc w:val="left"/>
        <w:outlineLvl w:val="9"/>
        <w:rPr>
          <w:rFonts w:ascii="宋体" w:hAnsi="宋体" w:cs="宋体"/>
          <w:color w:val="auto"/>
          <w:szCs w:val="21"/>
          <w:highlight w:val="none"/>
        </w:rPr>
      </w:pPr>
      <w:r>
        <w:rPr>
          <w:rFonts w:ascii="宋体" w:hAnsi="宋体" w:cs="宋体"/>
          <w:b/>
          <w:color w:val="auto"/>
          <w:szCs w:val="21"/>
          <w:highlight w:val="none"/>
        </w:rPr>
        <w:t>注：附身份证复印件（正、反两面）</w:t>
      </w:r>
    </w:p>
    <w:p w14:paraId="54C3DF6F">
      <w:pPr>
        <w:bidi w:val="0"/>
        <w:rPr>
          <w:color w:val="auto"/>
          <w:highlight w:val="none"/>
        </w:rPr>
      </w:pPr>
    </w:p>
    <w:p w14:paraId="7461904D">
      <w:pPr>
        <w:bidi w:val="0"/>
        <w:rPr>
          <w:color w:val="auto"/>
          <w:highlight w:val="none"/>
        </w:rPr>
      </w:pPr>
    </w:p>
    <w:p w14:paraId="6E1F55A7">
      <w:pPr>
        <w:bidi w:val="0"/>
        <w:rPr>
          <w:color w:val="auto"/>
          <w:highlight w:val="none"/>
        </w:rPr>
      </w:pPr>
    </w:p>
    <w:p w14:paraId="0340E609">
      <w:pPr>
        <w:bidi w:val="0"/>
        <w:rPr>
          <w:color w:val="auto"/>
          <w:highlight w:val="none"/>
        </w:rPr>
      </w:pPr>
    </w:p>
    <w:p w14:paraId="3D923F0A">
      <w:pPr>
        <w:bidi w:val="0"/>
        <w:rPr>
          <w:color w:val="auto"/>
          <w:highlight w:val="none"/>
        </w:rPr>
      </w:pPr>
    </w:p>
    <w:bookmarkEnd w:id="211"/>
    <w:bookmarkEnd w:id="212"/>
    <w:p w14:paraId="45EC6328">
      <w:pPr>
        <w:bidi w:val="0"/>
        <w:rPr>
          <w:color w:val="auto"/>
          <w:highlight w:val="none"/>
        </w:rPr>
      </w:pPr>
    </w:p>
    <w:p w14:paraId="326A725F">
      <w:pPr>
        <w:bidi w:val="0"/>
        <w:rPr>
          <w:color w:val="auto"/>
          <w:highlight w:val="none"/>
        </w:rPr>
      </w:pPr>
    </w:p>
    <w:p w14:paraId="32EF7CD0">
      <w:pPr>
        <w:bidi w:val="0"/>
        <w:rPr>
          <w:color w:val="auto"/>
          <w:highlight w:val="none"/>
        </w:rPr>
      </w:pPr>
    </w:p>
    <w:p w14:paraId="7BBBA545">
      <w:pPr>
        <w:bidi w:val="0"/>
        <w:rPr>
          <w:color w:val="auto"/>
          <w:highlight w:val="none"/>
        </w:rPr>
      </w:pPr>
    </w:p>
    <w:p w14:paraId="3B4C10A8">
      <w:pPr>
        <w:bidi w:val="0"/>
        <w:rPr>
          <w:color w:val="auto"/>
          <w:highlight w:val="none"/>
        </w:rPr>
      </w:pPr>
      <w:r>
        <w:rPr>
          <w:rFonts w:hint="eastAsia" w:ascii="宋体" w:hAnsi="宋体"/>
          <w:b/>
          <w:bCs/>
          <w:color w:val="auto"/>
          <w:highlight w:val="none"/>
        </w:rPr>
        <w:t>备注：如联合体投标的，则联合体牵头人出具。</w:t>
      </w:r>
    </w:p>
    <w:p w14:paraId="021D6546">
      <w:pPr>
        <w:bidi w:val="0"/>
        <w:rPr>
          <w:color w:val="auto"/>
          <w:highlight w:val="none"/>
        </w:rPr>
      </w:pPr>
    </w:p>
    <w:p w14:paraId="76D8C286">
      <w:pPr>
        <w:bidi w:val="0"/>
        <w:rPr>
          <w:color w:val="auto"/>
          <w:highlight w:val="none"/>
        </w:rPr>
      </w:pPr>
      <w:bookmarkStart w:id="213" w:name="_Toc24529"/>
      <w:bookmarkStart w:id="214" w:name="_Toc235"/>
      <w:bookmarkStart w:id="215" w:name="_Toc476230927"/>
      <w:bookmarkStart w:id="216" w:name="_Toc26143"/>
      <w:bookmarkStart w:id="217" w:name="_Toc6319302"/>
      <w:bookmarkStart w:id="218" w:name="_Toc9415"/>
      <w:bookmarkStart w:id="219" w:name="_Toc10392"/>
      <w:bookmarkStart w:id="220" w:name="_Toc18027"/>
      <w:bookmarkStart w:id="221" w:name="_Toc2880"/>
      <w:bookmarkStart w:id="222" w:name="_Toc476230651"/>
      <w:bookmarkStart w:id="223" w:name="_Toc22352"/>
      <w:bookmarkStart w:id="224" w:name="_Toc31965"/>
      <w:bookmarkStart w:id="225" w:name="_Toc12745"/>
      <w:bookmarkStart w:id="226" w:name="_Toc495666244"/>
      <w:bookmarkStart w:id="227" w:name="_Toc29700"/>
      <w:bookmarkStart w:id="228" w:name="_Toc4608"/>
      <w:bookmarkStart w:id="229" w:name="_Toc22873"/>
      <w:bookmarkStart w:id="230" w:name="_Toc476230515"/>
      <w:bookmarkStart w:id="231" w:name="_Toc22099"/>
      <w:bookmarkStart w:id="232" w:name="_Toc476229720"/>
    </w:p>
    <w:p w14:paraId="69B397AD">
      <w:pPr>
        <w:pStyle w:val="6"/>
        <w:rPr>
          <w:color w:val="auto"/>
          <w:szCs w:val="24"/>
          <w:highlight w:val="none"/>
        </w:rPr>
      </w:pPr>
    </w:p>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14:paraId="721FE205">
      <w:pPr>
        <w:spacing w:line="540" w:lineRule="exact"/>
        <w:jc w:val="center"/>
        <w:outlineLvl w:val="9"/>
        <w:rPr>
          <w:rFonts w:ascii="宋体" w:hAnsi="宋体" w:cs="宋体"/>
          <w:b/>
          <w:color w:val="auto"/>
          <w:kern w:val="0"/>
          <w:sz w:val="30"/>
          <w:szCs w:val="30"/>
          <w:highlight w:val="none"/>
        </w:rPr>
      </w:pPr>
      <w:bookmarkStart w:id="233" w:name="_Toc23036"/>
      <w:bookmarkStart w:id="234" w:name="_Toc13627"/>
      <w:bookmarkStart w:id="235" w:name="_Toc19624"/>
      <w:bookmarkStart w:id="236" w:name="_Toc26693"/>
      <w:bookmarkStart w:id="237" w:name="_Toc6716"/>
      <w:bookmarkStart w:id="238" w:name="_Toc9328"/>
      <w:bookmarkStart w:id="239" w:name="_Toc17855"/>
      <w:bookmarkStart w:id="240" w:name="_Toc476230517"/>
      <w:bookmarkStart w:id="241" w:name="_Toc10958"/>
      <w:bookmarkStart w:id="242" w:name="_Toc25223"/>
      <w:bookmarkStart w:id="243" w:name="_Toc476229722"/>
      <w:bookmarkStart w:id="244" w:name="_Toc21276"/>
      <w:bookmarkStart w:id="245" w:name="_Toc1373"/>
      <w:bookmarkStart w:id="246" w:name="_Toc476230929"/>
      <w:bookmarkStart w:id="247" w:name="_Toc6319304"/>
      <w:bookmarkStart w:id="248" w:name="_Toc495666246"/>
      <w:bookmarkStart w:id="249" w:name="_Toc32419"/>
      <w:bookmarkStart w:id="250" w:name="_Toc476230653"/>
      <w:bookmarkStart w:id="251" w:name="_Toc26963"/>
      <w:bookmarkStart w:id="252" w:name="_Toc14677"/>
      <w:r>
        <w:rPr>
          <w:rFonts w:ascii="宋体" w:hAnsi="宋体" w:cs="宋体"/>
          <w:b/>
          <w:color w:val="auto"/>
          <w:kern w:val="0"/>
          <w:sz w:val="30"/>
          <w:szCs w:val="30"/>
          <w:highlight w:val="none"/>
        </w:rPr>
        <w:br w:type="page"/>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Start w:id="253" w:name="_Toc28128"/>
      <w:bookmarkStart w:id="254" w:name="_Toc8505"/>
      <w:bookmarkStart w:id="255" w:name="_Toc10692"/>
      <w:bookmarkStart w:id="256" w:name="_Toc495666249"/>
      <w:bookmarkStart w:id="257" w:name="_Toc14431"/>
      <w:bookmarkStart w:id="258" w:name="_Toc975"/>
      <w:bookmarkStart w:id="259" w:name="_Toc18750"/>
      <w:bookmarkStart w:id="260" w:name="_Toc476230519"/>
      <w:bookmarkStart w:id="261" w:name="_Toc476230655"/>
      <w:bookmarkStart w:id="262" w:name="_Toc7953"/>
      <w:bookmarkStart w:id="263" w:name="_Toc5332"/>
      <w:bookmarkStart w:id="264" w:name="_Toc18459"/>
      <w:bookmarkStart w:id="265" w:name="_Toc27181"/>
      <w:bookmarkStart w:id="266" w:name="_Toc476229724"/>
      <w:bookmarkStart w:id="267" w:name="_Toc14586"/>
      <w:bookmarkStart w:id="268" w:name="_Toc12726"/>
      <w:bookmarkStart w:id="269" w:name="_Toc29275"/>
      <w:bookmarkStart w:id="270" w:name="_Toc476230931"/>
      <w:bookmarkStart w:id="271" w:name="_Toc18690"/>
      <w:bookmarkStart w:id="272" w:name="_Toc6319305"/>
    </w:p>
    <w:p w14:paraId="25A2762D">
      <w:pPr>
        <w:spacing w:line="540" w:lineRule="exact"/>
        <w:jc w:val="center"/>
        <w:outlineLvl w:val="2"/>
        <w:rPr>
          <w:rFonts w:ascii="宋体" w:hAnsi="宋体" w:cs="宋体"/>
          <w:b/>
          <w:color w:val="auto"/>
          <w:kern w:val="0"/>
          <w:sz w:val="30"/>
          <w:szCs w:val="30"/>
          <w:highlight w:val="none"/>
        </w:rPr>
      </w:pPr>
      <w:r>
        <w:rPr>
          <w:rFonts w:hint="eastAsia" w:ascii="宋体" w:hAnsi="宋体" w:cs="宋体"/>
          <w:b/>
          <w:color w:val="auto"/>
          <w:sz w:val="30"/>
          <w:szCs w:val="30"/>
          <w:lang w:val="en-US" w:eastAsia="zh-CN"/>
        </w:rPr>
        <w:t>十二</w:t>
      </w:r>
      <w:r>
        <w:rPr>
          <w:rFonts w:hint="eastAsia" w:ascii="宋体" w:hAnsi="宋体" w:cs="宋体"/>
          <w:b/>
          <w:color w:val="auto"/>
          <w:sz w:val="30"/>
          <w:szCs w:val="30"/>
          <w:lang w:eastAsia="zh-CN"/>
        </w:rPr>
        <w:t>、</w:t>
      </w:r>
      <w:bookmarkStart w:id="273" w:name="_Toc467572547"/>
      <w:bookmarkStart w:id="274" w:name="_Toc463851857"/>
      <w:bookmarkStart w:id="275" w:name="_Toc469926096"/>
      <w:r>
        <w:rPr>
          <w:rFonts w:hint="eastAsia" w:ascii="宋体" w:hAnsi="宋体" w:cs="宋体"/>
          <w:b/>
          <w:color w:val="auto"/>
          <w:sz w:val="30"/>
          <w:szCs w:val="30"/>
          <w:highlight w:val="none"/>
          <w:lang w:eastAsia="zh-CN"/>
        </w:rPr>
        <w:t>开标前三年内在经营活动中没有重大违法记录的承诺书</w:t>
      </w:r>
      <w:bookmarkEnd w:id="273"/>
      <w:bookmarkEnd w:id="274"/>
      <w:bookmarkEnd w:id="275"/>
    </w:p>
    <w:p w14:paraId="591199EC">
      <w:pPr>
        <w:spacing w:line="540" w:lineRule="exact"/>
        <w:jc w:val="center"/>
        <w:outlineLvl w:val="9"/>
        <w:rPr>
          <w:rFonts w:hint="eastAsia" w:ascii="宋体" w:hAnsi="宋体" w:cs="宋体"/>
          <w:b/>
          <w:color w:val="auto"/>
          <w:kern w:val="0"/>
          <w:sz w:val="30"/>
          <w:szCs w:val="30"/>
          <w:highlight w:val="none"/>
          <w:lang w:val="en-US" w:eastAsia="zh-CN"/>
        </w:rPr>
      </w:pPr>
    </w:p>
    <w:p w14:paraId="3ABEA517">
      <w:pPr>
        <w:spacing w:line="540" w:lineRule="exact"/>
        <w:jc w:val="center"/>
        <w:outlineLvl w:val="9"/>
        <w:rPr>
          <w:rFonts w:hint="eastAsia" w:ascii="宋体" w:hAnsi="宋体" w:cs="宋体"/>
          <w:b/>
          <w:color w:val="auto"/>
          <w:kern w:val="0"/>
          <w:sz w:val="30"/>
          <w:szCs w:val="30"/>
          <w:highlight w:val="none"/>
          <w:lang w:val="en-US" w:eastAsia="zh-CN"/>
        </w:rPr>
      </w:pPr>
    </w:p>
    <w:p w14:paraId="254E6D5D">
      <w:pPr>
        <w:spacing w:line="540" w:lineRule="exact"/>
        <w:jc w:val="center"/>
        <w:outlineLvl w:val="9"/>
        <w:rPr>
          <w:rFonts w:hint="eastAsia" w:ascii="宋体" w:hAnsi="宋体" w:cs="宋体"/>
          <w:b/>
          <w:color w:val="auto"/>
          <w:kern w:val="0"/>
          <w:sz w:val="30"/>
          <w:szCs w:val="30"/>
          <w:highlight w:val="none"/>
          <w:lang w:val="en-US" w:eastAsia="zh-CN"/>
        </w:rPr>
      </w:pPr>
    </w:p>
    <w:p w14:paraId="59613531">
      <w:pPr>
        <w:spacing w:line="540" w:lineRule="exact"/>
        <w:jc w:val="center"/>
        <w:outlineLvl w:val="9"/>
        <w:rPr>
          <w:rFonts w:hint="eastAsia" w:ascii="宋体" w:hAnsi="宋体" w:cs="宋体"/>
          <w:b/>
          <w:color w:val="auto"/>
          <w:kern w:val="0"/>
          <w:sz w:val="30"/>
          <w:szCs w:val="30"/>
          <w:highlight w:val="none"/>
          <w:lang w:val="en-US" w:eastAsia="zh-CN"/>
        </w:rPr>
      </w:pPr>
    </w:p>
    <w:p w14:paraId="5ECBAAE3">
      <w:pPr>
        <w:spacing w:line="540" w:lineRule="exact"/>
        <w:jc w:val="center"/>
        <w:outlineLvl w:val="9"/>
        <w:rPr>
          <w:rFonts w:hint="eastAsia" w:ascii="宋体" w:hAnsi="宋体" w:cs="宋体"/>
          <w:b/>
          <w:color w:val="auto"/>
          <w:kern w:val="0"/>
          <w:sz w:val="30"/>
          <w:szCs w:val="30"/>
          <w:highlight w:val="none"/>
          <w:lang w:val="en-US" w:eastAsia="zh-CN"/>
        </w:rPr>
      </w:pPr>
    </w:p>
    <w:p w14:paraId="624B8D19">
      <w:pPr>
        <w:spacing w:line="400" w:lineRule="exact"/>
        <w:jc w:val="left"/>
        <w:outlineLvl w:val="9"/>
        <w:rPr>
          <w:rFonts w:hint="eastAsia" w:ascii="宋体" w:hAnsi="宋体" w:cs="宋体"/>
          <w:color w:val="auto"/>
          <w:sz w:val="24"/>
          <w:szCs w:val="24"/>
          <w:highlight w:val="none"/>
        </w:rPr>
      </w:pPr>
      <w:r>
        <w:rPr>
          <w:rFonts w:hint="eastAsia" w:ascii="宋体" w:hAnsi="宋体"/>
          <w:b/>
          <w:bCs/>
          <w:color w:val="auto"/>
          <w:highlight w:val="none"/>
        </w:rPr>
        <w:t>备注：如联合体投标的，则联合体</w:t>
      </w:r>
      <w:r>
        <w:rPr>
          <w:rFonts w:hint="eastAsia" w:ascii="宋体" w:hAnsi="宋体"/>
          <w:b/>
          <w:bCs/>
          <w:color w:val="auto"/>
          <w:highlight w:val="none"/>
          <w:lang w:val="en-US" w:eastAsia="zh-CN"/>
        </w:rPr>
        <w:t>双方均</w:t>
      </w:r>
      <w:r>
        <w:rPr>
          <w:rFonts w:hint="eastAsia" w:ascii="宋体" w:hAnsi="宋体"/>
          <w:b/>
          <w:bCs/>
          <w:color w:val="auto"/>
          <w:highlight w:val="none"/>
        </w:rPr>
        <w:t>出具。</w:t>
      </w:r>
    </w:p>
    <w:p w14:paraId="66248788">
      <w:pPr>
        <w:spacing w:line="540" w:lineRule="exact"/>
        <w:jc w:val="center"/>
        <w:outlineLvl w:val="9"/>
        <w:rPr>
          <w:rFonts w:hint="eastAsia" w:ascii="宋体" w:hAnsi="宋体" w:cs="宋体"/>
          <w:b/>
          <w:color w:val="auto"/>
          <w:kern w:val="0"/>
          <w:sz w:val="30"/>
          <w:szCs w:val="30"/>
          <w:highlight w:val="none"/>
          <w:lang w:val="en-US" w:eastAsia="zh-CN"/>
        </w:rPr>
      </w:pPr>
    </w:p>
    <w:p w14:paraId="46D889B0">
      <w:pPr>
        <w:spacing w:line="540" w:lineRule="exact"/>
        <w:jc w:val="center"/>
        <w:outlineLvl w:val="9"/>
        <w:rPr>
          <w:rFonts w:hint="eastAsia" w:ascii="宋体" w:hAnsi="宋体" w:cs="宋体"/>
          <w:b/>
          <w:color w:val="auto"/>
          <w:kern w:val="0"/>
          <w:sz w:val="30"/>
          <w:szCs w:val="30"/>
          <w:highlight w:val="none"/>
          <w:lang w:val="en-US" w:eastAsia="zh-CN"/>
        </w:rPr>
      </w:pPr>
    </w:p>
    <w:p w14:paraId="24EACC71">
      <w:pPr>
        <w:spacing w:line="540" w:lineRule="exact"/>
        <w:jc w:val="center"/>
        <w:outlineLvl w:val="9"/>
        <w:rPr>
          <w:rFonts w:hint="eastAsia" w:ascii="宋体" w:hAnsi="宋体" w:cs="宋体"/>
          <w:b/>
          <w:color w:val="auto"/>
          <w:kern w:val="0"/>
          <w:sz w:val="30"/>
          <w:szCs w:val="30"/>
          <w:highlight w:val="none"/>
          <w:lang w:val="en-US" w:eastAsia="zh-CN"/>
        </w:rPr>
      </w:pPr>
    </w:p>
    <w:p w14:paraId="4C5D828D">
      <w:pPr>
        <w:spacing w:line="540" w:lineRule="exact"/>
        <w:jc w:val="center"/>
        <w:outlineLvl w:val="9"/>
        <w:rPr>
          <w:rFonts w:hint="eastAsia" w:ascii="宋体" w:hAnsi="宋体" w:cs="宋体"/>
          <w:b/>
          <w:color w:val="auto"/>
          <w:kern w:val="0"/>
          <w:sz w:val="30"/>
          <w:szCs w:val="30"/>
          <w:highlight w:val="none"/>
          <w:lang w:val="en-US" w:eastAsia="zh-CN"/>
        </w:rPr>
      </w:pPr>
    </w:p>
    <w:p w14:paraId="42B06C04">
      <w:pPr>
        <w:spacing w:line="540" w:lineRule="exact"/>
        <w:jc w:val="center"/>
        <w:outlineLvl w:val="9"/>
        <w:rPr>
          <w:rFonts w:hint="eastAsia" w:ascii="宋体" w:hAnsi="宋体" w:cs="宋体"/>
          <w:b/>
          <w:color w:val="auto"/>
          <w:kern w:val="0"/>
          <w:sz w:val="30"/>
          <w:szCs w:val="30"/>
          <w:highlight w:val="none"/>
          <w:lang w:val="en-US" w:eastAsia="zh-CN"/>
        </w:rPr>
      </w:pPr>
    </w:p>
    <w:p w14:paraId="6F500AA0">
      <w:pPr>
        <w:spacing w:line="540" w:lineRule="exact"/>
        <w:jc w:val="center"/>
        <w:outlineLvl w:val="9"/>
        <w:rPr>
          <w:rFonts w:hint="eastAsia" w:ascii="宋体" w:hAnsi="宋体" w:cs="宋体"/>
          <w:b/>
          <w:color w:val="auto"/>
          <w:kern w:val="0"/>
          <w:sz w:val="30"/>
          <w:szCs w:val="30"/>
          <w:highlight w:val="none"/>
          <w:lang w:val="en-US" w:eastAsia="zh-CN"/>
        </w:rPr>
      </w:pPr>
    </w:p>
    <w:p w14:paraId="67AAF31B">
      <w:pPr>
        <w:spacing w:line="540" w:lineRule="exact"/>
        <w:jc w:val="center"/>
        <w:outlineLvl w:val="9"/>
        <w:rPr>
          <w:rFonts w:hint="eastAsia" w:ascii="宋体" w:hAnsi="宋体" w:cs="宋体"/>
          <w:b/>
          <w:color w:val="auto"/>
          <w:kern w:val="0"/>
          <w:sz w:val="30"/>
          <w:szCs w:val="30"/>
          <w:highlight w:val="none"/>
          <w:lang w:val="en-US" w:eastAsia="zh-CN"/>
        </w:rPr>
      </w:pPr>
    </w:p>
    <w:p w14:paraId="09FD8F04">
      <w:pPr>
        <w:spacing w:line="540" w:lineRule="exact"/>
        <w:jc w:val="center"/>
        <w:outlineLvl w:val="9"/>
        <w:rPr>
          <w:rFonts w:hint="eastAsia" w:ascii="宋体" w:hAnsi="宋体" w:cs="宋体"/>
          <w:b/>
          <w:color w:val="auto"/>
          <w:kern w:val="0"/>
          <w:sz w:val="30"/>
          <w:szCs w:val="30"/>
          <w:highlight w:val="none"/>
          <w:lang w:val="en-US" w:eastAsia="zh-CN"/>
        </w:rPr>
      </w:pPr>
    </w:p>
    <w:p w14:paraId="28F7F5EC">
      <w:pPr>
        <w:spacing w:line="540" w:lineRule="exact"/>
        <w:jc w:val="center"/>
        <w:outlineLvl w:val="9"/>
        <w:rPr>
          <w:rFonts w:hint="eastAsia" w:ascii="宋体" w:hAnsi="宋体" w:cs="宋体"/>
          <w:b/>
          <w:color w:val="auto"/>
          <w:kern w:val="0"/>
          <w:sz w:val="30"/>
          <w:szCs w:val="30"/>
          <w:highlight w:val="none"/>
          <w:lang w:val="en-US" w:eastAsia="zh-CN"/>
        </w:rPr>
      </w:pPr>
    </w:p>
    <w:p w14:paraId="37E4A37A">
      <w:pPr>
        <w:spacing w:line="540" w:lineRule="exact"/>
        <w:jc w:val="center"/>
        <w:outlineLvl w:val="9"/>
        <w:rPr>
          <w:rFonts w:hint="eastAsia" w:ascii="宋体" w:hAnsi="宋体" w:cs="宋体"/>
          <w:b/>
          <w:color w:val="auto"/>
          <w:kern w:val="0"/>
          <w:sz w:val="30"/>
          <w:szCs w:val="30"/>
          <w:highlight w:val="none"/>
          <w:lang w:val="en-US" w:eastAsia="zh-CN"/>
        </w:rPr>
      </w:pPr>
    </w:p>
    <w:p w14:paraId="2CD836B2">
      <w:pPr>
        <w:spacing w:line="540" w:lineRule="exact"/>
        <w:jc w:val="center"/>
        <w:outlineLvl w:val="9"/>
        <w:rPr>
          <w:rFonts w:hint="eastAsia" w:ascii="宋体" w:hAnsi="宋体" w:cs="宋体"/>
          <w:b/>
          <w:color w:val="auto"/>
          <w:kern w:val="0"/>
          <w:sz w:val="30"/>
          <w:szCs w:val="30"/>
          <w:highlight w:val="none"/>
          <w:lang w:val="en-US" w:eastAsia="zh-CN"/>
        </w:rPr>
      </w:pPr>
    </w:p>
    <w:p w14:paraId="4FF2AAA4">
      <w:pPr>
        <w:spacing w:line="540" w:lineRule="exact"/>
        <w:jc w:val="center"/>
        <w:outlineLvl w:val="9"/>
        <w:rPr>
          <w:rFonts w:hint="eastAsia" w:ascii="宋体" w:hAnsi="宋体" w:cs="宋体"/>
          <w:b/>
          <w:color w:val="auto"/>
          <w:kern w:val="0"/>
          <w:sz w:val="30"/>
          <w:szCs w:val="30"/>
          <w:highlight w:val="none"/>
          <w:lang w:val="en-US" w:eastAsia="zh-CN"/>
        </w:rPr>
      </w:pPr>
    </w:p>
    <w:p w14:paraId="4A130B63">
      <w:pPr>
        <w:spacing w:line="540" w:lineRule="exact"/>
        <w:jc w:val="center"/>
        <w:outlineLvl w:val="9"/>
        <w:rPr>
          <w:rFonts w:hint="eastAsia" w:ascii="宋体" w:hAnsi="宋体" w:cs="宋体"/>
          <w:b/>
          <w:color w:val="auto"/>
          <w:kern w:val="0"/>
          <w:sz w:val="30"/>
          <w:szCs w:val="30"/>
          <w:highlight w:val="none"/>
          <w:lang w:val="en-US" w:eastAsia="zh-CN"/>
        </w:rPr>
      </w:pPr>
    </w:p>
    <w:p w14:paraId="4B22122B">
      <w:pPr>
        <w:spacing w:line="540" w:lineRule="exact"/>
        <w:jc w:val="center"/>
        <w:outlineLvl w:val="9"/>
        <w:rPr>
          <w:rFonts w:hint="eastAsia" w:ascii="宋体" w:hAnsi="宋体" w:cs="宋体"/>
          <w:b/>
          <w:color w:val="auto"/>
          <w:kern w:val="0"/>
          <w:sz w:val="30"/>
          <w:szCs w:val="30"/>
          <w:highlight w:val="none"/>
          <w:lang w:val="en-US" w:eastAsia="zh-CN"/>
        </w:rPr>
      </w:pPr>
    </w:p>
    <w:p w14:paraId="711CC6D8">
      <w:pPr>
        <w:spacing w:line="540" w:lineRule="exact"/>
        <w:jc w:val="center"/>
        <w:outlineLvl w:val="9"/>
        <w:rPr>
          <w:rFonts w:hint="eastAsia" w:ascii="宋体" w:hAnsi="宋体" w:cs="宋体"/>
          <w:b/>
          <w:color w:val="auto"/>
          <w:kern w:val="0"/>
          <w:sz w:val="30"/>
          <w:szCs w:val="30"/>
          <w:highlight w:val="none"/>
          <w:lang w:val="en-US" w:eastAsia="zh-CN"/>
        </w:rPr>
      </w:pPr>
    </w:p>
    <w:p w14:paraId="254E876B">
      <w:pPr>
        <w:spacing w:line="540" w:lineRule="exact"/>
        <w:jc w:val="center"/>
        <w:outlineLvl w:val="9"/>
        <w:rPr>
          <w:rFonts w:hint="eastAsia" w:ascii="宋体" w:hAnsi="宋体" w:cs="宋体"/>
          <w:b/>
          <w:color w:val="auto"/>
          <w:kern w:val="0"/>
          <w:sz w:val="30"/>
          <w:szCs w:val="30"/>
          <w:highlight w:val="none"/>
          <w:lang w:val="en-US" w:eastAsia="zh-CN"/>
        </w:rPr>
      </w:pPr>
    </w:p>
    <w:p w14:paraId="76920182">
      <w:pPr>
        <w:spacing w:line="540" w:lineRule="exact"/>
        <w:jc w:val="center"/>
        <w:outlineLvl w:val="9"/>
        <w:rPr>
          <w:rFonts w:hint="eastAsia" w:ascii="宋体" w:hAnsi="宋体" w:cs="宋体"/>
          <w:b/>
          <w:color w:val="auto"/>
          <w:kern w:val="0"/>
          <w:sz w:val="30"/>
          <w:szCs w:val="30"/>
          <w:highlight w:val="none"/>
          <w:lang w:val="en-US" w:eastAsia="zh-CN"/>
        </w:rPr>
      </w:pPr>
    </w:p>
    <w:p w14:paraId="6E812E63">
      <w:pPr>
        <w:spacing w:line="540" w:lineRule="exact"/>
        <w:jc w:val="center"/>
        <w:outlineLvl w:val="9"/>
        <w:rPr>
          <w:rFonts w:hint="eastAsia" w:ascii="宋体" w:hAnsi="宋体" w:cs="宋体"/>
          <w:b/>
          <w:color w:val="auto"/>
          <w:kern w:val="0"/>
          <w:sz w:val="30"/>
          <w:szCs w:val="30"/>
          <w:highlight w:val="none"/>
          <w:lang w:val="en-US" w:eastAsia="zh-CN"/>
        </w:rPr>
      </w:pPr>
    </w:p>
    <w:p w14:paraId="6D394A64">
      <w:pPr>
        <w:spacing w:line="540" w:lineRule="exact"/>
        <w:jc w:val="center"/>
        <w:outlineLvl w:val="9"/>
        <w:rPr>
          <w:rFonts w:hint="eastAsia" w:ascii="宋体" w:hAnsi="宋体" w:cs="宋体"/>
          <w:b/>
          <w:color w:val="auto"/>
          <w:kern w:val="0"/>
          <w:sz w:val="30"/>
          <w:szCs w:val="30"/>
          <w:highlight w:val="none"/>
          <w:lang w:val="en-US" w:eastAsia="zh-CN"/>
        </w:rPr>
      </w:pPr>
    </w:p>
    <w:p w14:paraId="78BFBDF7">
      <w:pPr>
        <w:spacing w:line="540" w:lineRule="exact"/>
        <w:jc w:val="center"/>
        <w:outlineLvl w:val="2"/>
        <w:rPr>
          <w:rFonts w:ascii="宋体" w:hAnsi="宋体" w:cs="宋体"/>
          <w:b/>
          <w:color w:val="auto"/>
          <w:kern w:val="0"/>
          <w:sz w:val="30"/>
          <w:szCs w:val="30"/>
          <w:highlight w:val="none"/>
        </w:rPr>
      </w:pPr>
      <w:r>
        <w:rPr>
          <w:rFonts w:hint="eastAsia" w:ascii="宋体" w:hAnsi="宋体" w:cs="宋体"/>
          <w:b/>
          <w:color w:val="auto"/>
          <w:kern w:val="0"/>
          <w:sz w:val="30"/>
          <w:szCs w:val="30"/>
          <w:highlight w:val="none"/>
          <w:lang w:val="en-US" w:eastAsia="zh-CN"/>
        </w:rPr>
        <w:t>十三</w:t>
      </w:r>
      <w:r>
        <w:rPr>
          <w:rFonts w:ascii="宋体" w:hAnsi="宋体" w:cs="宋体"/>
          <w:b/>
          <w:color w:val="auto"/>
          <w:kern w:val="0"/>
          <w:sz w:val="30"/>
          <w:szCs w:val="30"/>
          <w:highlight w:val="none"/>
        </w:rPr>
        <w:t>、投标人需要说明的其他文件和说明</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3CB000C1">
      <w:pPr>
        <w:spacing w:before="320" w:beforeLines="100" w:line="440" w:lineRule="atLeast"/>
        <w:jc w:val="left"/>
        <w:rPr>
          <w:rFonts w:hint="eastAsia" w:ascii="宋体" w:hAnsi="宋体" w:cs="宋体"/>
          <w:b/>
          <w:color w:val="auto"/>
          <w:sz w:val="30"/>
          <w:szCs w:val="30"/>
          <w:highlight w:val="none"/>
        </w:rPr>
      </w:pPr>
    </w:p>
    <w:p w14:paraId="7D63DF96">
      <w:pPr>
        <w:spacing w:before="320" w:beforeLines="100" w:line="440" w:lineRule="atLeast"/>
        <w:jc w:val="left"/>
        <w:rPr>
          <w:rFonts w:hint="eastAsia" w:ascii="宋体" w:hAnsi="宋体" w:cs="宋体"/>
          <w:b/>
          <w:color w:val="auto"/>
          <w:sz w:val="30"/>
          <w:szCs w:val="30"/>
          <w:highlight w:val="none"/>
        </w:rPr>
      </w:pPr>
    </w:p>
    <w:p w14:paraId="11C605F1">
      <w:pPr>
        <w:spacing w:before="320" w:beforeLines="100" w:line="440" w:lineRule="atLeast"/>
        <w:jc w:val="left"/>
        <w:rPr>
          <w:rFonts w:hint="eastAsia" w:ascii="宋体" w:hAnsi="宋体" w:cs="宋体"/>
          <w:b/>
          <w:color w:val="auto"/>
          <w:sz w:val="30"/>
          <w:szCs w:val="30"/>
          <w:highlight w:val="none"/>
        </w:rPr>
      </w:pPr>
    </w:p>
    <w:p w14:paraId="686A2227">
      <w:pPr>
        <w:spacing w:before="320" w:beforeLines="100" w:line="440" w:lineRule="atLeast"/>
        <w:jc w:val="left"/>
        <w:rPr>
          <w:rFonts w:hint="eastAsia" w:ascii="宋体" w:hAnsi="宋体" w:cs="宋体"/>
          <w:b/>
          <w:color w:val="auto"/>
          <w:sz w:val="30"/>
          <w:szCs w:val="30"/>
          <w:highlight w:val="none"/>
        </w:rPr>
      </w:pPr>
    </w:p>
    <w:p w14:paraId="59DB2689">
      <w:pPr>
        <w:spacing w:before="320" w:beforeLines="100" w:line="440" w:lineRule="atLeast"/>
        <w:jc w:val="left"/>
        <w:rPr>
          <w:rFonts w:hint="eastAsia" w:ascii="宋体" w:hAnsi="宋体" w:cs="宋体"/>
          <w:b/>
          <w:color w:val="auto"/>
          <w:sz w:val="30"/>
          <w:szCs w:val="30"/>
          <w:highlight w:val="none"/>
        </w:rPr>
      </w:pPr>
    </w:p>
    <w:p w14:paraId="5C0434A7">
      <w:pPr>
        <w:spacing w:before="320" w:beforeLines="100" w:line="440" w:lineRule="atLeast"/>
        <w:jc w:val="left"/>
        <w:rPr>
          <w:rFonts w:hint="eastAsia" w:ascii="宋体" w:hAnsi="宋体" w:cs="宋体"/>
          <w:b/>
          <w:color w:val="auto"/>
          <w:sz w:val="30"/>
          <w:szCs w:val="30"/>
          <w:highlight w:val="none"/>
        </w:rPr>
      </w:pPr>
    </w:p>
    <w:p w14:paraId="4E915E54">
      <w:pPr>
        <w:spacing w:before="320" w:beforeLines="100" w:line="440" w:lineRule="atLeast"/>
        <w:jc w:val="left"/>
        <w:rPr>
          <w:rFonts w:hint="eastAsia" w:ascii="宋体" w:hAnsi="宋体" w:cs="宋体"/>
          <w:b/>
          <w:color w:val="auto"/>
          <w:sz w:val="30"/>
          <w:szCs w:val="30"/>
          <w:highlight w:val="none"/>
        </w:rPr>
      </w:pPr>
    </w:p>
    <w:p w14:paraId="76DC8A8E">
      <w:pPr>
        <w:spacing w:before="320" w:beforeLines="100" w:line="440" w:lineRule="atLeast"/>
        <w:jc w:val="left"/>
        <w:rPr>
          <w:rFonts w:hint="eastAsia" w:ascii="宋体" w:hAnsi="宋体" w:cs="宋体"/>
          <w:b/>
          <w:color w:val="auto"/>
          <w:sz w:val="30"/>
          <w:szCs w:val="30"/>
          <w:highlight w:val="none"/>
        </w:rPr>
      </w:pPr>
    </w:p>
    <w:p w14:paraId="161523BE">
      <w:pPr>
        <w:spacing w:before="320" w:beforeLines="100" w:line="440" w:lineRule="atLeast"/>
        <w:jc w:val="left"/>
        <w:rPr>
          <w:rFonts w:hint="eastAsia" w:ascii="宋体" w:hAnsi="宋体" w:cs="宋体"/>
          <w:b/>
          <w:color w:val="auto"/>
          <w:sz w:val="30"/>
          <w:szCs w:val="30"/>
          <w:highlight w:val="none"/>
        </w:rPr>
      </w:pPr>
    </w:p>
    <w:p w14:paraId="32B878BA">
      <w:pPr>
        <w:spacing w:before="320" w:beforeLines="100" w:line="440" w:lineRule="atLeast"/>
        <w:jc w:val="left"/>
        <w:rPr>
          <w:rFonts w:hint="eastAsia" w:ascii="宋体" w:hAnsi="宋体" w:cs="宋体"/>
          <w:b/>
          <w:color w:val="auto"/>
          <w:sz w:val="30"/>
          <w:szCs w:val="30"/>
          <w:highlight w:val="none"/>
        </w:rPr>
      </w:pPr>
    </w:p>
    <w:p w14:paraId="5F499B8D">
      <w:pPr>
        <w:spacing w:before="320" w:beforeLines="100" w:line="440" w:lineRule="atLeast"/>
        <w:jc w:val="left"/>
        <w:rPr>
          <w:rFonts w:hint="eastAsia" w:ascii="宋体" w:hAnsi="宋体" w:cs="宋体"/>
          <w:b/>
          <w:color w:val="auto"/>
          <w:sz w:val="30"/>
          <w:szCs w:val="30"/>
          <w:highlight w:val="none"/>
        </w:rPr>
      </w:pPr>
    </w:p>
    <w:p w14:paraId="75AA37C6">
      <w:pPr>
        <w:spacing w:before="320" w:beforeLines="100" w:line="440" w:lineRule="atLeast"/>
        <w:jc w:val="left"/>
        <w:rPr>
          <w:rFonts w:hint="eastAsia" w:ascii="宋体" w:hAnsi="宋体" w:cs="宋体"/>
          <w:b/>
          <w:color w:val="auto"/>
          <w:sz w:val="30"/>
          <w:szCs w:val="30"/>
          <w:highlight w:val="none"/>
        </w:rPr>
      </w:pPr>
    </w:p>
    <w:p w14:paraId="242224C9">
      <w:pPr>
        <w:spacing w:before="320" w:beforeLines="100" w:line="440" w:lineRule="atLeast"/>
        <w:rPr>
          <w:rFonts w:hint="eastAsia" w:ascii="宋体" w:hAnsi="宋体" w:cs="宋体"/>
          <w:b/>
          <w:color w:val="auto"/>
          <w:sz w:val="30"/>
          <w:szCs w:val="30"/>
          <w:highlight w:val="none"/>
        </w:rPr>
      </w:pPr>
    </w:p>
    <w:p w14:paraId="36F28CFA">
      <w:pPr>
        <w:wordWrap w:val="0"/>
        <w:spacing w:before="320" w:beforeLines="100" w:line="440" w:lineRule="atLeast"/>
        <w:jc w:val="right"/>
        <w:rPr>
          <w:rFonts w:hint="eastAsia" w:ascii="宋体" w:hAnsi="宋体" w:cs="宋体"/>
          <w:b/>
          <w:color w:val="auto"/>
          <w:sz w:val="30"/>
          <w:szCs w:val="30"/>
          <w:highlight w:val="none"/>
        </w:rPr>
      </w:pPr>
      <w:r>
        <w:rPr>
          <w:rFonts w:hint="eastAsia" w:ascii="宋体" w:hAnsi="宋体" w:cs="宋体"/>
          <w:b/>
          <w:color w:val="auto"/>
          <w:sz w:val="30"/>
          <w:szCs w:val="30"/>
          <w:highlight w:val="none"/>
        </w:rPr>
        <w:t xml:space="preserve"> </w:t>
      </w:r>
    </w:p>
    <w:p w14:paraId="7B6B387D">
      <w:pPr>
        <w:pStyle w:val="35"/>
        <w:jc w:val="center"/>
        <w:outlineLvl w:val="9"/>
        <w:rPr>
          <w:rFonts w:hint="eastAsia" w:ascii="宋体" w:hAnsi="宋体" w:eastAsia="宋体" w:cs="宋体"/>
          <w:color w:val="auto"/>
          <w:highlight w:val="none"/>
        </w:rPr>
      </w:pPr>
      <w:bookmarkStart w:id="276" w:name="_Toc8162"/>
      <w:bookmarkStart w:id="277" w:name="_Toc6851"/>
      <w:bookmarkStart w:id="278" w:name="_Toc476230520"/>
      <w:bookmarkStart w:id="279" w:name="_Toc476230932"/>
      <w:bookmarkStart w:id="280" w:name="_Toc424199688"/>
      <w:bookmarkStart w:id="281" w:name="_Toc470269898"/>
      <w:bookmarkStart w:id="282" w:name="_Toc393201740"/>
      <w:bookmarkStart w:id="283" w:name="_Toc469475483"/>
      <w:bookmarkStart w:id="284" w:name="_Toc471819743"/>
      <w:bookmarkStart w:id="285" w:name="_Toc495666250"/>
      <w:bookmarkStart w:id="286" w:name="_Toc392080799"/>
      <w:bookmarkStart w:id="287" w:name="_Toc435706557"/>
      <w:bookmarkStart w:id="288" w:name="_Toc437331628"/>
      <w:bookmarkStart w:id="289" w:name="_Toc336331381"/>
      <w:bookmarkStart w:id="290" w:name="_Toc476230656"/>
      <w:bookmarkStart w:id="291" w:name="_Toc387831518"/>
      <w:bookmarkStart w:id="292" w:name="_Toc463851859"/>
      <w:bookmarkStart w:id="293" w:name="_Toc467572549"/>
      <w:bookmarkStart w:id="294" w:name="_Toc471819803"/>
      <w:bookmarkStart w:id="295" w:name="_Toc7003"/>
      <w:bookmarkStart w:id="296" w:name="_Toc476229725"/>
      <w:bookmarkStart w:id="297" w:name="_Toc433882659"/>
      <w:bookmarkStart w:id="298" w:name="_Toc470270014"/>
      <w:bookmarkStart w:id="299" w:name="_Toc468954267"/>
    </w:p>
    <w:p w14:paraId="7138EA8F">
      <w:pPr>
        <w:jc w:val="center"/>
        <w:outlineLvl w:val="9"/>
        <w:rPr>
          <w:rFonts w:hint="eastAsia"/>
          <w:color w:val="auto"/>
        </w:rPr>
      </w:pPr>
    </w:p>
    <w:p w14:paraId="1EEEE090">
      <w:pPr>
        <w:jc w:val="center"/>
        <w:outlineLvl w:val="9"/>
        <w:rPr>
          <w:rFonts w:hint="eastAsia"/>
          <w:color w:val="auto"/>
        </w:rPr>
      </w:pPr>
    </w:p>
    <w:p w14:paraId="0A55633C">
      <w:pPr>
        <w:jc w:val="center"/>
        <w:outlineLvl w:val="9"/>
        <w:rPr>
          <w:rFonts w:hint="eastAsia"/>
          <w:color w:val="auto"/>
        </w:rPr>
      </w:pPr>
    </w:p>
    <w:p w14:paraId="212CE0F5">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宋体" w:hAnsi="宋体" w:cs="宋体"/>
          <w:b/>
          <w:color w:val="auto"/>
          <w:sz w:val="44"/>
          <w:szCs w:val="44"/>
          <w:highlight w:val="none"/>
        </w:rPr>
      </w:pPr>
    </w:p>
    <w:p w14:paraId="3B8A6EE1">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1"/>
        <w:rPr>
          <w:rFonts w:hint="eastAsia" w:ascii="宋体" w:hAnsi="宋体" w:cs="宋体"/>
          <w:b/>
          <w:color w:val="auto"/>
          <w:sz w:val="44"/>
          <w:szCs w:val="44"/>
          <w:highlight w:val="none"/>
        </w:rPr>
      </w:pPr>
      <w:r>
        <w:rPr>
          <w:rFonts w:hint="eastAsia" w:ascii="宋体" w:hAnsi="宋体" w:cs="宋体"/>
          <w:b/>
          <w:color w:val="auto"/>
          <w:sz w:val="44"/>
          <w:szCs w:val="44"/>
          <w:highlight w:val="none"/>
        </w:rPr>
        <w:t>技术商务文件</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14:paraId="26A61BF5">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cs="宋体"/>
          <w:b/>
          <w:color w:val="auto"/>
          <w:sz w:val="32"/>
          <w:szCs w:val="32"/>
          <w:highlight w:val="none"/>
        </w:rPr>
      </w:pPr>
    </w:p>
    <w:p w14:paraId="2C07B8DB">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cs="宋体"/>
          <w:b/>
          <w:color w:val="auto"/>
          <w:sz w:val="32"/>
          <w:szCs w:val="32"/>
          <w:highlight w:val="none"/>
        </w:rPr>
      </w:pPr>
    </w:p>
    <w:p w14:paraId="749B455F">
      <w:pPr>
        <w:keepNext w:val="0"/>
        <w:keepLines w:val="0"/>
        <w:pageBreakBefore w:val="0"/>
        <w:widowControl w:val="0"/>
        <w:kinsoku/>
        <w:wordWrap/>
        <w:overflowPunct/>
        <w:topLinePunct w:val="0"/>
        <w:autoSpaceDE/>
        <w:autoSpaceDN/>
        <w:bidi w:val="0"/>
        <w:adjustRightInd/>
        <w:snapToGrid/>
        <w:spacing w:line="700" w:lineRule="exact"/>
        <w:ind w:left="1964" w:leftChars="266" w:hanging="1405" w:hangingChars="500"/>
        <w:textAlignment w:val="auto"/>
        <w:rPr>
          <w:rFonts w:hint="default" w:ascii="宋体" w:hAnsi="宋体" w:cs="宋体"/>
          <w:b/>
          <w:bCs/>
          <w:color w:val="auto"/>
          <w:sz w:val="28"/>
          <w:szCs w:val="28"/>
          <w:highlight w:val="none"/>
          <w:u w:val="single"/>
          <w:lang w:val="en-US"/>
        </w:rPr>
      </w:pPr>
      <w:r>
        <w:rPr>
          <w:rFonts w:hint="eastAsia" w:ascii="宋体" w:hAnsi="宋体" w:cs="宋体"/>
          <w:b/>
          <w:color w:val="auto"/>
          <w:sz w:val="28"/>
          <w:szCs w:val="28"/>
          <w:highlight w:val="none"/>
        </w:rPr>
        <w:t>项目名称</w:t>
      </w:r>
      <w:r>
        <w:rPr>
          <w:rFonts w:hint="eastAsia" w:ascii="宋体" w:hAnsi="宋体" w:cs="宋体"/>
          <w:b/>
          <w:bCs/>
          <w:color w:val="auto"/>
          <w:sz w:val="28"/>
          <w:szCs w:val="28"/>
          <w:highlight w:val="none"/>
        </w:rPr>
        <w:t>：</w:t>
      </w:r>
      <w:r>
        <w:rPr>
          <w:rFonts w:hint="eastAsia" w:ascii="宋体" w:hAnsi="宋体" w:cs="宋体"/>
          <w:b/>
          <w:bCs/>
          <w:color w:val="auto"/>
          <w:sz w:val="28"/>
          <w:szCs w:val="28"/>
          <w:highlight w:val="none"/>
          <w:u w:val="single"/>
          <w:lang w:eastAsia="zh-CN"/>
        </w:rPr>
        <w:t>开化县怀玉山区水土保持与生态修复项目监理</w:t>
      </w:r>
      <w:r>
        <w:rPr>
          <w:rFonts w:hint="eastAsia" w:ascii="宋体" w:hAnsi="宋体" w:eastAsia="宋体" w:cs="宋体"/>
          <w:b/>
          <w:color w:val="auto"/>
          <w:sz w:val="28"/>
          <w:szCs w:val="28"/>
          <w:highlight w:val="none"/>
          <w:u w:val="single"/>
          <w:lang w:eastAsia="zh-CN"/>
        </w:rPr>
        <w:t>（</w:t>
      </w:r>
      <w:r>
        <w:rPr>
          <w:rFonts w:hint="eastAsia" w:ascii="宋体" w:hAnsi="宋体" w:eastAsia="宋体" w:cs="宋体"/>
          <w:b/>
          <w:color w:val="auto"/>
          <w:sz w:val="28"/>
          <w:szCs w:val="28"/>
          <w:highlight w:val="none"/>
          <w:u w:val="single"/>
          <w:lang w:val="en-US" w:eastAsia="zh-CN"/>
        </w:rPr>
        <w:t xml:space="preserve">标项： </w:t>
      </w:r>
      <w:r>
        <w:rPr>
          <w:rFonts w:hint="eastAsia" w:ascii="宋体" w:hAnsi="宋体" w:eastAsia="宋体" w:cs="宋体"/>
          <w:b/>
          <w:color w:val="auto"/>
          <w:sz w:val="28"/>
          <w:szCs w:val="28"/>
          <w:highlight w:val="none"/>
          <w:u w:val="single"/>
          <w:lang w:eastAsia="zh-CN"/>
        </w:rPr>
        <w:t>）</w:t>
      </w:r>
      <w:r>
        <w:rPr>
          <w:rFonts w:hint="eastAsia" w:ascii="宋体" w:hAnsi="宋体" w:cs="宋体"/>
          <w:b/>
          <w:bCs/>
          <w:color w:val="auto"/>
          <w:sz w:val="28"/>
          <w:szCs w:val="28"/>
          <w:highlight w:val="none"/>
          <w:u w:val="single"/>
          <w:lang w:val="en-US" w:eastAsia="zh-CN"/>
        </w:rPr>
        <w:t xml:space="preserve">                                           </w:t>
      </w:r>
    </w:p>
    <w:p w14:paraId="012C457D">
      <w:pPr>
        <w:pStyle w:val="8"/>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color w:val="auto"/>
          <w:highlight w:val="none"/>
        </w:rPr>
      </w:pPr>
    </w:p>
    <w:p w14:paraId="22E73D87">
      <w:pPr>
        <w:keepNext w:val="0"/>
        <w:keepLines w:val="0"/>
        <w:pageBreakBefore w:val="0"/>
        <w:widowControl w:val="0"/>
        <w:kinsoku/>
        <w:wordWrap/>
        <w:overflowPunct/>
        <w:topLinePunct w:val="0"/>
        <w:autoSpaceDE/>
        <w:autoSpaceDN/>
        <w:bidi w:val="0"/>
        <w:adjustRightInd/>
        <w:snapToGrid/>
        <w:spacing w:line="700" w:lineRule="exact"/>
        <w:ind w:firstLine="562" w:firstLineChars="200"/>
        <w:textAlignment w:val="auto"/>
        <w:rPr>
          <w:rFonts w:hint="default"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rPr>
        <w:t>项目编号：</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rPr>
        <w:tab/>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eastAsia="zh-CN"/>
        </w:rPr>
        <w:t>OBGCGLZFCG2025-007</w:t>
      </w:r>
      <w:r>
        <w:rPr>
          <w:rFonts w:hint="eastAsia" w:ascii="宋体" w:hAnsi="宋体" w:cs="宋体"/>
          <w:b/>
          <w:color w:val="auto"/>
          <w:sz w:val="28"/>
          <w:szCs w:val="28"/>
          <w:highlight w:val="none"/>
          <w:u w:val="single"/>
        </w:rPr>
        <w:t xml:space="preserve">         </w:t>
      </w:r>
      <w:r>
        <w:rPr>
          <w:rFonts w:hint="eastAsia" w:ascii="宋体" w:hAnsi="宋体" w:cs="宋体"/>
          <w:b/>
          <w:bCs/>
          <w:color w:val="auto"/>
          <w:sz w:val="28"/>
          <w:szCs w:val="28"/>
          <w:highlight w:val="none"/>
          <w:u w:val="single"/>
        </w:rPr>
        <w:t xml:space="preserve">   </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p>
    <w:p w14:paraId="6D6D813C">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宋体" w:hAnsi="宋体" w:cs="宋体"/>
          <w:b/>
          <w:color w:val="auto"/>
          <w:sz w:val="28"/>
          <w:szCs w:val="28"/>
          <w:highlight w:val="none"/>
        </w:rPr>
      </w:pPr>
    </w:p>
    <w:p w14:paraId="21DDAB9B">
      <w:pPr>
        <w:keepNext w:val="0"/>
        <w:keepLines w:val="0"/>
        <w:pageBreakBefore w:val="0"/>
        <w:widowControl w:val="0"/>
        <w:kinsoku/>
        <w:wordWrap/>
        <w:overflowPunct/>
        <w:topLinePunct w:val="0"/>
        <w:autoSpaceDE/>
        <w:autoSpaceDN/>
        <w:bidi w:val="0"/>
        <w:adjustRightInd/>
        <w:snapToGrid/>
        <w:spacing w:line="700" w:lineRule="exact"/>
        <w:ind w:firstLine="562" w:firstLineChars="200"/>
        <w:jc w:val="left"/>
        <w:textAlignment w:val="auto"/>
        <w:rPr>
          <w:rFonts w:hint="default" w:ascii="宋体" w:hAnsi="宋体" w:eastAsia="宋体" w:cs="宋体"/>
          <w:b/>
          <w:bCs/>
          <w:color w:val="auto"/>
          <w:sz w:val="28"/>
          <w:szCs w:val="28"/>
          <w:highlight w:val="none"/>
          <w:lang w:val="en-US" w:eastAsia="zh-CN"/>
        </w:rPr>
      </w:pPr>
      <w:r>
        <w:rPr>
          <w:rFonts w:hint="eastAsia" w:ascii="宋体" w:hAnsi="宋体" w:cs="宋体"/>
          <w:b/>
          <w:color w:val="auto"/>
          <w:sz w:val="28"/>
          <w:szCs w:val="28"/>
          <w:highlight w:val="none"/>
        </w:rPr>
        <w:t xml:space="preserve">投标人名称： </w:t>
      </w:r>
      <w:r>
        <w:rPr>
          <w:rFonts w:hint="eastAsia" w:ascii="宋体" w:hAnsi="宋体" w:cs="宋体"/>
          <w:b/>
          <w:color w:val="auto"/>
          <w:sz w:val="28"/>
          <w:szCs w:val="28"/>
          <w:highlight w:val="none"/>
          <w:u w:val="single"/>
        </w:rPr>
        <w:t xml:space="preserve">                            (电子签章）      </w:t>
      </w:r>
      <w:r>
        <w:rPr>
          <w:rFonts w:hint="eastAsia" w:ascii="宋体" w:hAnsi="宋体" w:cs="宋体"/>
          <w:b/>
          <w:color w:val="auto"/>
          <w:sz w:val="28"/>
          <w:szCs w:val="28"/>
          <w:highlight w:val="none"/>
          <w:u w:val="single"/>
          <w:lang w:val="en-US" w:eastAsia="zh-CN"/>
        </w:rPr>
        <w:t xml:space="preserve">    </w:t>
      </w:r>
    </w:p>
    <w:p w14:paraId="4DF095BA">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宋体" w:hAnsi="宋体" w:cs="宋体"/>
          <w:b/>
          <w:bCs/>
          <w:color w:val="auto"/>
          <w:sz w:val="28"/>
          <w:szCs w:val="28"/>
          <w:highlight w:val="none"/>
          <w:u w:val="single"/>
        </w:rPr>
      </w:pPr>
      <w:r>
        <w:rPr>
          <w:rFonts w:hint="eastAsia" w:ascii="宋体" w:hAnsi="宋体" w:cs="宋体"/>
          <w:b/>
          <w:bCs/>
          <w:color w:val="auto"/>
          <w:sz w:val="28"/>
          <w:szCs w:val="28"/>
          <w:highlight w:val="none"/>
        </w:rPr>
        <w:t xml:space="preserve"> </w:t>
      </w:r>
    </w:p>
    <w:p w14:paraId="1D24A383">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宋体" w:hAnsi="宋体" w:cs="宋体"/>
          <w:b/>
          <w:bCs/>
          <w:color w:val="auto"/>
          <w:sz w:val="28"/>
          <w:szCs w:val="28"/>
          <w:highlight w:val="none"/>
        </w:rPr>
      </w:pPr>
    </w:p>
    <w:p w14:paraId="7F4967AD">
      <w:pPr>
        <w:keepNext w:val="0"/>
        <w:keepLines w:val="0"/>
        <w:pageBreakBefore w:val="0"/>
        <w:widowControl w:val="0"/>
        <w:kinsoku/>
        <w:wordWrap/>
        <w:overflowPunct/>
        <w:topLinePunct w:val="0"/>
        <w:autoSpaceDE/>
        <w:autoSpaceDN/>
        <w:bidi w:val="0"/>
        <w:adjustRightInd/>
        <w:snapToGrid/>
        <w:spacing w:line="700" w:lineRule="exact"/>
        <w:ind w:firstLine="562" w:firstLineChars="200"/>
        <w:jc w:val="left"/>
        <w:textAlignment w:val="auto"/>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 xml:space="preserve"> </w:t>
      </w:r>
    </w:p>
    <w:p w14:paraId="2D46D4B3">
      <w:pPr>
        <w:keepNext w:val="0"/>
        <w:keepLines w:val="0"/>
        <w:pageBreakBefore w:val="0"/>
        <w:widowControl w:val="0"/>
        <w:kinsoku/>
        <w:wordWrap/>
        <w:overflowPunct/>
        <w:topLinePunct w:val="0"/>
        <w:autoSpaceDE/>
        <w:autoSpaceDN/>
        <w:bidi w:val="0"/>
        <w:adjustRightInd/>
        <w:snapToGrid/>
        <w:spacing w:line="700" w:lineRule="exact"/>
        <w:ind w:firstLine="2108" w:firstLineChars="750"/>
        <w:textAlignment w:val="auto"/>
        <w:rPr>
          <w:rFonts w:hint="eastAsia" w:ascii="宋体" w:hAnsi="宋体" w:cs="宋体"/>
          <w:b/>
          <w:bCs/>
          <w:color w:val="auto"/>
          <w:sz w:val="28"/>
          <w:szCs w:val="28"/>
          <w:highlight w:val="none"/>
        </w:rPr>
      </w:pPr>
      <w:r>
        <w:rPr>
          <w:rFonts w:hint="eastAsia" w:ascii="宋体" w:hAnsi="宋体" w:cs="宋体"/>
          <w:b/>
          <w:bCs/>
          <w:color w:val="auto"/>
          <w:sz w:val="28"/>
          <w:szCs w:val="28"/>
          <w:highlight w:val="none"/>
          <w:u w:val="single"/>
        </w:rPr>
        <w:t xml:space="preserve">         </w:t>
      </w:r>
      <w:r>
        <w:rPr>
          <w:rFonts w:hint="eastAsia" w:ascii="宋体" w:hAnsi="宋体" w:cs="宋体"/>
          <w:b/>
          <w:bCs/>
          <w:color w:val="auto"/>
          <w:sz w:val="28"/>
          <w:szCs w:val="28"/>
          <w:highlight w:val="none"/>
        </w:rPr>
        <w:t>年</w:t>
      </w:r>
      <w:r>
        <w:rPr>
          <w:rFonts w:hint="eastAsia" w:ascii="宋体" w:hAnsi="宋体" w:cs="宋体"/>
          <w:b/>
          <w:bCs/>
          <w:color w:val="auto"/>
          <w:sz w:val="28"/>
          <w:szCs w:val="28"/>
          <w:highlight w:val="none"/>
          <w:u w:val="single"/>
        </w:rPr>
        <w:t xml:space="preserve">         </w:t>
      </w:r>
      <w:r>
        <w:rPr>
          <w:rFonts w:hint="eastAsia" w:ascii="宋体" w:hAnsi="宋体" w:cs="宋体"/>
          <w:b/>
          <w:bCs/>
          <w:color w:val="auto"/>
          <w:sz w:val="28"/>
          <w:szCs w:val="28"/>
          <w:highlight w:val="none"/>
        </w:rPr>
        <w:t>月</w:t>
      </w:r>
      <w:r>
        <w:rPr>
          <w:rFonts w:hint="eastAsia" w:ascii="宋体" w:hAnsi="宋体" w:cs="宋体"/>
          <w:b/>
          <w:bCs/>
          <w:color w:val="auto"/>
          <w:sz w:val="28"/>
          <w:szCs w:val="28"/>
          <w:highlight w:val="none"/>
          <w:u w:val="single"/>
        </w:rPr>
        <w:t xml:space="preserve">         </w:t>
      </w:r>
      <w:r>
        <w:rPr>
          <w:rFonts w:hint="eastAsia" w:ascii="宋体" w:hAnsi="宋体" w:cs="宋体"/>
          <w:b/>
          <w:bCs/>
          <w:color w:val="auto"/>
          <w:sz w:val="28"/>
          <w:szCs w:val="28"/>
          <w:highlight w:val="none"/>
        </w:rPr>
        <w:t>日</w:t>
      </w:r>
    </w:p>
    <w:p w14:paraId="78AF8960">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宋体" w:hAnsi="宋体" w:cs="宋体"/>
          <w:b/>
          <w:bCs/>
          <w:color w:val="auto"/>
          <w:sz w:val="28"/>
          <w:szCs w:val="28"/>
          <w:highlight w:val="none"/>
          <w:u w:val="single"/>
        </w:rPr>
      </w:pPr>
      <w:r>
        <w:rPr>
          <w:rFonts w:hint="eastAsia" w:ascii="宋体" w:hAnsi="宋体" w:cs="宋体"/>
          <w:b/>
          <w:bCs/>
          <w:color w:val="auto"/>
          <w:sz w:val="28"/>
          <w:szCs w:val="28"/>
          <w:highlight w:val="none"/>
        </w:rPr>
        <w:t xml:space="preserve"> </w:t>
      </w:r>
    </w:p>
    <w:p w14:paraId="6413D9AE">
      <w:pPr>
        <w:keepNext w:val="0"/>
        <w:keepLines w:val="0"/>
        <w:pageBreakBefore w:val="0"/>
        <w:widowControl w:val="0"/>
        <w:kinsoku/>
        <w:wordWrap/>
        <w:overflowPunct/>
        <w:topLinePunct w:val="0"/>
        <w:autoSpaceDE/>
        <w:autoSpaceDN/>
        <w:bidi w:val="0"/>
        <w:adjustRightInd/>
        <w:snapToGrid/>
        <w:spacing w:line="700" w:lineRule="exact"/>
        <w:ind w:firstLine="703" w:firstLineChars="250"/>
        <w:jc w:val="left"/>
        <w:textAlignment w:val="auto"/>
        <w:rPr>
          <w:rFonts w:hint="eastAsia" w:ascii="宋体" w:hAnsi="宋体" w:cs="宋体"/>
          <w:b/>
          <w:color w:val="auto"/>
          <w:sz w:val="28"/>
          <w:szCs w:val="28"/>
          <w:highlight w:val="none"/>
        </w:rPr>
      </w:pPr>
    </w:p>
    <w:p w14:paraId="03A521EB">
      <w:pPr>
        <w:spacing w:line="440" w:lineRule="atLeast"/>
        <w:jc w:val="left"/>
        <w:rPr>
          <w:rFonts w:hint="eastAsia" w:ascii="宋体" w:hAnsi="宋体" w:cs="宋体"/>
          <w:b/>
          <w:color w:val="auto"/>
          <w:sz w:val="28"/>
          <w:szCs w:val="28"/>
          <w:highlight w:val="none"/>
        </w:rPr>
      </w:pPr>
    </w:p>
    <w:p w14:paraId="163638C6">
      <w:pPr>
        <w:spacing w:line="440" w:lineRule="atLeast"/>
        <w:ind w:firstLine="562" w:firstLineChars="200"/>
        <w:jc w:val="left"/>
        <w:rPr>
          <w:rFonts w:hint="eastAsia" w:ascii="宋体" w:hAnsi="宋体" w:cs="宋体"/>
          <w:b/>
          <w:color w:val="auto"/>
          <w:sz w:val="28"/>
          <w:szCs w:val="28"/>
          <w:highlight w:val="none"/>
        </w:rPr>
      </w:pPr>
      <w:r>
        <w:rPr>
          <w:rFonts w:hint="eastAsia" w:ascii="宋体" w:hAnsi="宋体" w:cs="宋体"/>
          <w:b/>
          <w:color w:val="auto"/>
          <w:sz w:val="28"/>
          <w:szCs w:val="28"/>
          <w:highlight w:val="none"/>
        </w:rPr>
        <w:t xml:space="preserve"> </w:t>
      </w:r>
    </w:p>
    <w:p w14:paraId="6D02828F">
      <w:pPr>
        <w:spacing w:line="440" w:lineRule="atLeast"/>
        <w:jc w:val="center"/>
        <w:outlineLvl w:val="2"/>
        <w:rPr>
          <w:rFonts w:hint="eastAsia" w:ascii="宋体" w:hAnsi="宋体" w:cs="宋体"/>
          <w:b/>
          <w:color w:val="auto"/>
          <w:sz w:val="30"/>
          <w:szCs w:val="30"/>
          <w:highlight w:val="none"/>
        </w:rPr>
      </w:pPr>
      <w:r>
        <w:rPr>
          <w:rFonts w:hint="eastAsia" w:ascii="宋体" w:hAnsi="宋体" w:cs="宋体"/>
          <w:b/>
          <w:color w:val="auto"/>
          <w:sz w:val="30"/>
          <w:szCs w:val="30"/>
          <w:highlight w:val="none"/>
        </w:rPr>
        <w:br w:type="page"/>
      </w:r>
      <w:r>
        <w:rPr>
          <w:rFonts w:hint="eastAsia" w:ascii="宋体" w:hAnsi="宋体" w:cs="宋体"/>
          <w:b/>
          <w:color w:val="auto"/>
          <w:sz w:val="30"/>
          <w:szCs w:val="30"/>
          <w:highlight w:val="none"/>
        </w:rPr>
        <w:t>技术商务文件目录</w:t>
      </w:r>
      <w:bookmarkStart w:id="300" w:name="_Toc424199689"/>
    </w:p>
    <w:p w14:paraId="7F8EAD36">
      <w:pPr>
        <w:bidi w:val="0"/>
        <w:rPr>
          <w:rFonts w:hint="eastAsia"/>
          <w:color w:val="auto"/>
          <w:highlight w:val="none"/>
        </w:rPr>
      </w:pPr>
    </w:p>
    <w:bookmarkEnd w:id="300"/>
    <w:p w14:paraId="720AB234">
      <w:pPr>
        <w:widowControl/>
        <w:spacing w:line="360" w:lineRule="auto"/>
        <w:ind w:firstLine="840" w:firstLineChars="400"/>
        <w:jc w:val="left"/>
        <w:rPr>
          <w:rStyle w:val="25"/>
          <w:rFonts w:hint="eastAsia" w:ascii="宋体" w:hAnsi="宋体" w:cs="宋体" w:eastAsiaTheme="minorEastAsia"/>
          <w:color w:val="auto"/>
          <w:kern w:val="0"/>
          <w:szCs w:val="22"/>
          <w:highlight w:val="none"/>
          <w:u w:val="none"/>
          <w:lang w:val="en-US" w:eastAsia="zh-CN"/>
        </w:rPr>
      </w:pPr>
      <w:bookmarkStart w:id="301" w:name="_Toc476229726"/>
      <w:bookmarkStart w:id="302" w:name="_Toc18709"/>
      <w:bookmarkStart w:id="303" w:name="_Toc476230657"/>
      <w:bookmarkStart w:id="304" w:name="_Toc476230521"/>
      <w:bookmarkStart w:id="305" w:name="_Toc9688"/>
      <w:bookmarkStart w:id="306" w:name="_Toc471819805"/>
      <w:bookmarkStart w:id="307" w:name="_Toc476230933"/>
      <w:bookmarkStart w:id="308" w:name="_Toc471819745"/>
      <w:bookmarkStart w:id="309" w:name="_Toc469475484"/>
      <w:bookmarkStart w:id="310" w:name="_Toc1695"/>
      <w:bookmarkStart w:id="311" w:name="_Toc470269899"/>
      <w:bookmarkStart w:id="312" w:name="_Toc470270015"/>
      <w:bookmarkStart w:id="313" w:name="_Toc495666251"/>
      <w:bookmarkStart w:id="314" w:name="_Toc468954268"/>
      <w:bookmarkStart w:id="315" w:name="_Toc437331322"/>
      <w:bookmarkStart w:id="316" w:name="_Toc437504047"/>
      <w:bookmarkStart w:id="317" w:name="_Toc435706562"/>
      <w:bookmarkStart w:id="318" w:name="_Toc437509344"/>
      <w:bookmarkStart w:id="319" w:name="_Toc463851861"/>
      <w:bookmarkStart w:id="320" w:name="_Toc467572551"/>
      <w:bookmarkStart w:id="321" w:name="_Toc424199693"/>
      <w:bookmarkStart w:id="322" w:name="_Toc437331633"/>
      <w:bookmarkStart w:id="323" w:name="_Toc433882664"/>
      <w:r>
        <w:rPr>
          <w:rStyle w:val="25"/>
          <w:rFonts w:hint="eastAsia" w:ascii="宋体" w:hAnsi="宋体" w:cs="宋体" w:eastAsiaTheme="minorEastAsia"/>
          <w:color w:val="auto"/>
          <w:kern w:val="0"/>
          <w:szCs w:val="22"/>
          <w:highlight w:val="none"/>
          <w:u w:val="none"/>
          <w:lang w:val="en-US" w:eastAsia="zh-CN"/>
        </w:rPr>
        <w:t>一、政府采购项目供应商技术商务评分索引表；</w:t>
      </w:r>
    </w:p>
    <w:p w14:paraId="5E84E06C">
      <w:pPr>
        <w:widowControl/>
        <w:spacing w:line="360" w:lineRule="auto"/>
        <w:ind w:firstLine="840" w:firstLineChars="400"/>
        <w:jc w:val="left"/>
        <w:rPr>
          <w:rStyle w:val="25"/>
          <w:rFonts w:hint="default" w:ascii="宋体" w:hAnsi="宋体" w:cs="宋体" w:eastAsiaTheme="minorEastAsia"/>
          <w:color w:val="auto"/>
          <w:kern w:val="0"/>
          <w:szCs w:val="22"/>
          <w:highlight w:val="none"/>
          <w:u w:val="none"/>
          <w:lang w:val="en-US" w:eastAsia="zh-CN"/>
        </w:rPr>
      </w:pPr>
      <w:r>
        <w:rPr>
          <w:rStyle w:val="25"/>
          <w:rFonts w:hint="eastAsia" w:ascii="宋体" w:hAnsi="宋体" w:cs="宋体" w:eastAsiaTheme="minorEastAsia"/>
          <w:color w:val="auto"/>
          <w:kern w:val="0"/>
          <w:szCs w:val="22"/>
          <w:highlight w:val="none"/>
          <w:u w:val="none"/>
          <w:lang w:val="en-US" w:eastAsia="zh-CN"/>
        </w:rPr>
        <w:t>二、企业业绩；</w:t>
      </w:r>
    </w:p>
    <w:p w14:paraId="54CB5D49">
      <w:pPr>
        <w:widowControl/>
        <w:spacing w:line="360" w:lineRule="auto"/>
        <w:ind w:firstLine="840" w:firstLineChars="400"/>
        <w:jc w:val="left"/>
        <w:rPr>
          <w:rStyle w:val="25"/>
          <w:rFonts w:hint="default" w:ascii="宋体" w:hAnsi="宋体" w:cs="宋体" w:eastAsiaTheme="minorEastAsia"/>
          <w:color w:val="auto"/>
          <w:kern w:val="0"/>
          <w:szCs w:val="22"/>
          <w:highlight w:val="none"/>
          <w:u w:val="none"/>
          <w:lang w:val="en-US" w:eastAsia="zh-CN"/>
        </w:rPr>
      </w:pPr>
      <w:r>
        <w:rPr>
          <w:rStyle w:val="25"/>
          <w:rFonts w:hint="eastAsia" w:ascii="宋体" w:hAnsi="宋体" w:cs="宋体" w:eastAsiaTheme="minorEastAsia"/>
          <w:color w:val="auto"/>
          <w:kern w:val="0"/>
          <w:szCs w:val="22"/>
          <w:highlight w:val="none"/>
          <w:u w:val="none"/>
          <w:lang w:val="en-US" w:eastAsia="zh-CN"/>
        </w:rPr>
        <w:t>三、项目组成人员；</w:t>
      </w:r>
    </w:p>
    <w:p w14:paraId="2E8EF584">
      <w:pPr>
        <w:widowControl/>
        <w:spacing w:line="360" w:lineRule="auto"/>
        <w:ind w:firstLine="840" w:firstLineChars="400"/>
        <w:jc w:val="left"/>
        <w:rPr>
          <w:rStyle w:val="25"/>
          <w:rFonts w:hint="eastAsia" w:ascii="宋体" w:hAnsi="宋体" w:cs="宋体" w:eastAsiaTheme="minorEastAsia"/>
          <w:color w:val="auto"/>
          <w:kern w:val="0"/>
          <w:szCs w:val="22"/>
          <w:highlight w:val="none"/>
          <w:u w:val="none"/>
          <w:lang w:val="en-US" w:eastAsia="zh-CN"/>
        </w:rPr>
      </w:pPr>
      <w:r>
        <w:rPr>
          <w:rStyle w:val="25"/>
          <w:rFonts w:hint="eastAsia" w:ascii="宋体" w:hAnsi="宋体" w:cs="宋体" w:eastAsiaTheme="minorEastAsia"/>
          <w:color w:val="auto"/>
          <w:kern w:val="0"/>
          <w:szCs w:val="22"/>
          <w:highlight w:val="none"/>
          <w:u w:val="none"/>
          <w:lang w:val="en-US" w:eastAsia="zh-CN"/>
        </w:rPr>
        <w:t>四、监理工作实施方案；</w:t>
      </w:r>
    </w:p>
    <w:p w14:paraId="0CCD3B7F">
      <w:pPr>
        <w:widowControl/>
        <w:spacing w:line="360" w:lineRule="auto"/>
        <w:ind w:firstLine="840" w:firstLineChars="400"/>
        <w:jc w:val="left"/>
        <w:rPr>
          <w:rStyle w:val="25"/>
          <w:rFonts w:hint="default" w:ascii="宋体" w:hAnsi="宋体" w:cs="宋体" w:eastAsiaTheme="minorEastAsia"/>
          <w:color w:val="auto"/>
          <w:kern w:val="0"/>
          <w:szCs w:val="22"/>
          <w:highlight w:val="none"/>
          <w:u w:val="none"/>
          <w:lang w:val="en-US" w:eastAsia="zh-CN"/>
        </w:rPr>
      </w:pPr>
      <w:r>
        <w:rPr>
          <w:rStyle w:val="25"/>
          <w:rFonts w:hint="eastAsia" w:ascii="宋体" w:hAnsi="宋体" w:cs="宋体" w:eastAsiaTheme="minorEastAsia"/>
          <w:color w:val="auto"/>
          <w:kern w:val="0"/>
          <w:szCs w:val="22"/>
          <w:highlight w:val="none"/>
          <w:u w:val="none"/>
          <w:lang w:val="en-US" w:eastAsia="zh-CN"/>
        </w:rPr>
        <w:t>五、技术力量投入及设施保障；</w:t>
      </w:r>
    </w:p>
    <w:p w14:paraId="13501BC2">
      <w:pPr>
        <w:widowControl/>
        <w:spacing w:line="360" w:lineRule="auto"/>
        <w:ind w:firstLine="840" w:firstLineChars="400"/>
        <w:jc w:val="left"/>
        <w:rPr>
          <w:rStyle w:val="25"/>
          <w:rFonts w:hint="eastAsia" w:ascii="宋体" w:hAnsi="宋体" w:cs="宋体" w:eastAsiaTheme="minorEastAsia"/>
          <w:color w:val="auto"/>
          <w:kern w:val="0"/>
          <w:szCs w:val="22"/>
          <w:highlight w:val="none"/>
          <w:u w:val="none"/>
          <w:lang w:val="en-US" w:eastAsia="zh-CN"/>
        </w:rPr>
      </w:pPr>
      <w:r>
        <w:rPr>
          <w:rStyle w:val="25"/>
          <w:rFonts w:hint="eastAsia" w:ascii="宋体" w:hAnsi="宋体" w:cs="宋体" w:eastAsiaTheme="minorEastAsia"/>
          <w:color w:val="auto"/>
          <w:kern w:val="0"/>
          <w:szCs w:val="22"/>
          <w:highlight w:val="none"/>
          <w:u w:val="none"/>
          <w:lang w:val="en-US" w:eastAsia="zh-CN"/>
        </w:rPr>
        <w:t>六、质量保障措施；</w:t>
      </w:r>
    </w:p>
    <w:p w14:paraId="7465E22E">
      <w:pPr>
        <w:widowControl/>
        <w:spacing w:line="360" w:lineRule="auto"/>
        <w:ind w:firstLine="840" w:firstLineChars="400"/>
        <w:jc w:val="left"/>
        <w:rPr>
          <w:rStyle w:val="25"/>
          <w:rFonts w:hint="eastAsia" w:ascii="宋体" w:hAnsi="宋体" w:cs="宋体" w:eastAsiaTheme="minorEastAsia"/>
          <w:color w:val="auto"/>
          <w:kern w:val="0"/>
          <w:szCs w:val="22"/>
          <w:highlight w:val="none"/>
          <w:u w:val="none"/>
          <w:lang w:val="en-US" w:eastAsia="zh-CN"/>
        </w:rPr>
      </w:pPr>
      <w:r>
        <w:rPr>
          <w:rStyle w:val="25"/>
          <w:rFonts w:hint="eastAsia" w:ascii="宋体" w:hAnsi="宋体" w:cs="宋体" w:eastAsiaTheme="minorEastAsia"/>
          <w:color w:val="auto"/>
          <w:kern w:val="0"/>
          <w:szCs w:val="22"/>
          <w:highlight w:val="none"/>
          <w:u w:val="none"/>
          <w:lang w:val="en-US" w:eastAsia="zh-CN"/>
        </w:rPr>
        <w:t>七、安全保障措施；</w:t>
      </w:r>
    </w:p>
    <w:p w14:paraId="06ADA837">
      <w:pPr>
        <w:widowControl/>
        <w:spacing w:line="360" w:lineRule="auto"/>
        <w:ind w:firstLine="840" w:firstLineChars="400"/>
        <w:jc w:val="left"/>
        <w:rPr>
          <w:rStyle w:val="25"/>
          <w:rFonts w:hint="default" w:ascii="宋体" w:hAnsi="宋体" w:cs="宋体" w:eastAsiaTheme="minorEastAsia"/>
          <w:color w:val="auto"/>
          <w:kern w:val="0"/>
          <w:szCs w:val="22"/>
          <w:highlight w:val="none"/>
          <w:u w:val="none"/>
          <w:lang w:val="en-US" w:eastAsia="zh-CN"/>
        </w:rPr>
      </w:pPr>
      <w:r>
        <w:rPr>
          <w:rStyle w:val="25"/>
          <w:rFonts w:hint="eastAsia" w:ascii="宋体" w:hAnsi="宋体" w:cs="宋体" w:eastAsiaTheme="minorEastAsia"/>
          <w:color w:val="auto"/>
          <w:kern w:val="0"/>
          <w:szCs w:val="22"/>
          <w:highlight w:val="none"/>
          <w:u w:val="none"/>
          <w:lang w:val="en-US" w:eastAsia="zh-CN"/>
        </w:rPr>
        <w:t>八、档案管理方案；</w:t>
      </w:r>
    </w:p>
    <w:p w14:paraId="09908FFD">
      <w:pPr>
        <w:widowControl/>
        <w:spacing w:line="360" w:lineRule="auto"/>
        <w:ind w:firstLine="840" w:firstLineChars="400"/>
        <w:jc w:val="left"/>
        <w:rPr>
          <w:rStyle w:val="25"/>
          <w:rFonts w:hint="eastAsia" w:ascii="宋体" w:hAnsi="宋体" w:cs="宋体" w:eastAsiaTheme="minorEastAsia"/>
          <w:color w:val="auto"/>
          <w:kern w:val="0"/>
          <w:szCs w:val="22"/>
          <w:highlight w:val="none"/>
          <w:u w:val="none"/>
          <w:lang w:val="en-US" w:eastAsia="zh-CN"/>
        </w:rPr>
      </w:pPr>
      <w:r>
        <w:rPr>
          <w:rStyle w:val="25"/>
          <w:rFonts w:hint="eastAsia" w:ascii="宋体" w:hAnsi="宋体" w:cs="宋体" w:eastAsiaTheme="minorEastAsia"/>
          <w:color w:val="auto"/>
          <w:kern w:val="0"/>
          <w:szCs w:val="22"/>
          <w:highlight w:val="none"/>
          <w:u w:val="none"/>
          <w:lang w:val="en-US" w:eastAsia="zh-CN"/>
        </w:rPr>
        <w:t>九、应急方案及措施；</w:t>
      </w:r>
    </w:p>
    <w:p w14:paraId="692C3484">
      <w:pPr>
        <w:widowControl/>
        <w:spacing w:line="360" w:lineRule="auto"/>
        <w:ind w:firstLine="840" w:firstLineChars="400"/>
        <w:jc w:val="left"/>
        <w:rPr>
          <w:rStyle w:val="25"/>
          <w:rFonts w:hint="default" w:ascii="宋体" w:hAnsi="宋体" w:cs="宋体" w:eastAsiaTheme="minorEastAsia"/>
          <w:color w:val="auto"/>
          <w:kern w:val="0"/>
          <w:szCs w:val="22"/>
          <w:highlight w:val="none"/>
          <w:u w:val="none"/>
          <w:lang w:val="en-US" w:eastAsia="zh-CN"/>
        </w:rPr>
      </w:pPr>
      <w:r>
        <w:rPr>
          <w:rStyle w:val="25"/>
          <w:rFonts w:hint="eastAsia" w:ascii="宋体" w:hAnsi="宋体" w:cs="宋体" w:eastAsiaTheme="minorEastAsia"/>
          <w:color w:val="auto"/>
          <w:kern w:val="0"/>
          <w:szCs w:val="22"/>
          <w:highlight w:val="none"/>
          <w:u w:val="none"/>
          <w:lang w:val="en-US" w:eastAsia="zh-CN"/>
        </w:rPr>
        <w:t>十、后续服务方案；</w:t>
      </w:r>
    </w:p>
    <w:p w14:paraId="07D5F588">
      <w:pPr>
        <w:widowControl/>
        <w:spacing w:line="360" w:lineRule="auto"/>
        <w:ind w:firstLine="840" w:firstLineChars="400"/>
        <w:jc w:val="left"/>
        <w:rPr>
          <w:rStyle w:val="25"/>
          <w:rFonts w:hint="eastAsia" w:ascii="宋体" w:hAnsi="宋体" w:cs="宋体" w:eastAsiaTheme="minorEastAsia"/>
          <w:color w:val="auto"/>
          <w:kern w:val="0"/>
          <w:szCs w:val="22"/>
          <w:highlight w:val="none"/>
          <w:u w:val="none"/>
          <w:lang w:val="en-US" w:eastAsia="zh-CN"/>
        </w:rPr>
      </w:pPr>
      <w:r>
        <w:rPr>
          <w:rStyle w:val="25"/>
          <w:rFonts w:hint="eastAsia" w:ascii="宋体" w:hAnsi="宋体" w:cs="宋体" w:eastAsiaTheme="minorEastAsia"/>
          <w:color w:val="auto"/>
          <w:kern w:val="0"/>
          <w:szCs w:val="22"/>
          <w:highlight w:val="none"/>
          <w:u w:val="none"/>
          <w:lang w:val="en-US" w:eastAsia="zh-CN"/>
        </w:rPr>
        <w:t>十一、投标人需要说明的其他文件和说明。</w:t>
      </w:r>
    </w:p>
    <w:p w14:paraId="1E4FBDAF">
      <w:pPr>
        <w:pStyle w:val="11"/>
        <w:tabs>
          <w:tab w:val="right" w:leader="dot" w:pos="9071"/>
        </w:tabs>
        <w:spacing w:line="360" w:lineRule="auto"/>
        <w:ind w:left="0" w:leftChars="0"/>
        <w:jc w:val="center"/>
        <w:outlineLvl w:val="2"/>
        <w:rPr>
          <w:rFonts w:hint="eastAsia" w:ascii="宋体" w:hAnsi="宋体" w:cs="宋体"/>
          <w:b/>
          <w:color w:val="auto"/>
          <w:kern w:val="0"/>
          <w:sz w:val="30"/>
          <w:szCs w:val="30"/>
          <w:highlight w:val="none"/>
        </w:rPr>
      </w:pPr>
      <w:r>
        <w:rPr>
          <w:rFonts w:hint="eastAsia" w:ascii="宋体" w:hAnsi="宋体" w:cs="宋体"/>
          <w:b/>
          <w:color w:val="auto"/>
          <w:kern w:val="0"/>
          <w:sz w:val="30"/>
          <w:szCs w:val="30"/>
          <w:highlight w:val="none"/>
        </w:rPr>
        <w:br w:type="page"/>
      </w:r>
      <w:r>
        <w:rPr>
          <w:rFonts w:hint="eastAsia" w:ascii="宋体" w:hAnsi="宋体" w:cs="宋体"/>
          <w:b/>
          <w:color w:val="auto"/>
          <w:kern w:val="0"/>
          <w:sz w:val="30"/>
          <w:szCs w:val="30"/>
          <w:highlight w:val="none"/>
        </w:rPr>
        <w:t>一、政府采购项目供应商技术商务评分索引表</w:t>
      </w:r>
      <w:bookmarkEnd w:id="301"/>
      <w:bookmarkEnd w:id="302"/>
      <w:bookmarkEnd w:id="303"/>
      <w:bookmarkEnd w:id="304"/>
      <w:bookmarkEnd w:id="305"/>
      <w:bookmarkEnd w:id="306"/>
      <w:bookmarkEnd w:id="307"/>
      <w:bookmarkEnd w:id="308"/>
      <w:bookmarkEnd w:id="309"/>
      <w:bookmarkEnd w:id="310"/>
      <w:bookmarkEnd w:id="311"/>
      <w:bookmarkEnd w:id="312"/>
      <w:bookmarkEnd w:id="313"/>
    </w:p>
    <w:bookmarkEnd w:id="314"/>
    <w:bookmarkEnd w:id="315"/>
    <w:bookmarkEnd w:id="316"/>
    <w:bookmarkEnd w:id="317"/>
    <w:bookmarkEnd w:id="318"/>
    <w:bookmarkEnd w:id="319"/>
    <w:bookmarkEnd w:id="320"/>
    <w:bookmarkEnd w:id="321"/>
    <w:bookmarkEnd w:id="322"/>
    <w:bookmarkEnd w:id="323"/>
    <w:p w14:paraId="17557001">
      <w:pPr>
        <w:keepNext w:val="0"/>
        <w:keepLines w:val="0"/>
        <w:widowControl w:val="0"/>
        <w:suppressLineNumbers w:val="0"/>
        <w:spacing w:before="0" w:beforeAutospacing="0" w:after="0" w:afterAutospacing="0" w:line="440" w:lineRule="exact"/>
        <w:ind w:left="0" w:right="0"/>
        <w:jc w:val="both"/>
        <w:outlineLvl w:val="9"/>
        <w:rPr>
          <w:rFonts w:hint="default" w:ascii="宋体" w:hAnsi="宋体" w:eastAsia="宋体" w:cs="宋体"/>
          <w:color w:val="auto"/>
          <w:kern w:val="2"/>
          <w:sz w:val="21"/>
          <w:szCs w:val="21"/>
          <w:highlight w:val="none"/>
          <w:lang w:val="en-US"/>
        </w:rPr>
      </w:pPr>
      <w:bookmarkStart w:id="324" w:name="_Toc9789"/>
      <w:r>
        <w:rPr>
          <w:rFonts w:hint="eastAsia" w:ascii="宋体" w:hAnsi="宋体" w:eastAsia="宋体" w:cs="宋体"/>
          <w:color w:val="auto"/>
          <w:kern w:val="2"/>
          <w:sz w:val="21"/>
          <w:szCs w:val="21"/>
          <w:highlight w:val="none"/>
          <w:lang w:val="en-US" w:eastAsia="zh-CN" w:bidi="ar"/>
        </w:rPr>
        <w:t>投标人名称：</w:t>
      </w:r>
      <w:r>
        <w:rPr>
          <w:rFonts w:hint="eastAsia" w:ascii="宋体" w:hAnsi="宋体" w:cs="宋体"/>
          <w:color w:val="auto"/>
          <w:kern w:val="2"/>
          <w:sz w:val="21"/>
          <w:szCs w:val="21"/>
          <w:highlight w:val="none"/>
          <w:lang w:val="en-US" w:eastAsia="zh-CN" w:bidi="ar"/>
        </w:rPr>
        <w:t xml:space="preserve">                                         </w:t>
      </w:r>
      <w:r>
        <w:rPr>
          <w:rFonts w:hint="eastAsia" w:ascii="宋体" w:hAnsi="宋体" w:cs="宋体"/>
          <w:color w:val="auto"/>
          <w:sz w:val="21"/>
          <w:szCs w:val="21"/>
          <w:lang w:val="en-US" w:eastAsia="zh-CN"/>
        </w:rPr>
        <w:t>标项：1</w:t>
      </w:r>
    </w:p>
    <w:tbl>
      <w:tblPr>
        <w:tblStyle w:val="22"/>
        <w:tblW w:w="9219"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3593"/>
        <w:gridCol w:w="1998"/>
        <w:gridCol w:w="1211"/>
        <w:gridCol w:w="1182"/>
      </w:tblGrid>
      <w:tr w14:paraId="3D5BE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4828" w:type="dxa"/>
            <w:gridSpan w:val="2"/>
            <w:tcBorders>
              <w:top w:val="single" w:color="auto" w:sz="4" w:space="0"/>
              <w:left w:val="single" w:color="auto" w:sz="4" w:space="0"/>
              <w:bottom w:val="single" w:color="auto" w:sz="4" w:space="0"/>
              <w:right w:val="single" w:color="auto" w:sz="4" w:space="0"/>
            </w:tcBorders>
            <w:noWrap w:val="0"/>
            <w:vAlign w:val="center"/>
          </w:tcPr>
          <w:p w14:paraId="34474DBD">
            <w:pPr>
              <w:keepNext w:val="0"/>
              <w:keepLines w:val="0"/>
              <w:widowControl w:val="0"/>
              <w:suppressLineNumbers w:val="0"/>
              <w:spacing w:before="0" w:beforeAutospacing="0" w:after="0" w:afterAutospacing="0" w:line="440" w:lineRule="exact"/>
              <w:ind w:left="0" w:right="0"/>
              <w:jc w:val="center"/>
              <w:outlineLvl w:val="2"/>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评审内容</w:t>
            </w:r>
          </w:p>
        </w:tc>
        <w:tc>
          <w:tcPr>
            <w:tcW w:w="1998" w:type="dxa"/>
            <w:tcBorders>
              <w:top w:val="single" w:color="auto" w:sz="4" w:space="0"/>
              <w:left w:val="nil"/>
              <w:bottom w:val="single" w:color="auto" w:sz="4" w:space="0"/>
              <w:right w:val="single" w:color="auto" w:sz="4" w:space="0"/>
            </w:tcBorders>
            <w:noWrap w:val="0"/>
            <w:vAlign w:val="center"/>
          </w:tcPr>
          <w:p w14:paraId="3366E17D">
            <w:pPr>
              <w:keepNext w:val="0"/>
              <w:keepLines w:val="0"/>
              <w:widowControl w:val="0"/>
              <w:suppressLineNumbers w:val="0"/>
              <w:spacing w:before="0" w:beforeAutospacing="0" w:after="0" w:afterAutospacing="0" w:line="440" w:lineRule="exact"/>
              <w:ind w:left="0" w:right="0"/>
              <w:jc w:val="center"/>
              <w:outlineLvl w:val="2"/>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分值</w:t>
            </w:r>
          </w:p>
        </w:tc>
        <w:tc>
          <w:tcPr>
            <w:tcW w:w="1211" w:type="dxa"/>
            <w:tcBorders>
              <w:top w:val="single" w:color="auto" w:sz="4" w:space="0"/>
              <w:left w:val="nil"/>
              <w:bottom w:val="single" w:color="auto" w:sz="4" w:space="0"/>
              <w:right w:val="single" w:color="auto" w:sz="4" w:space="0"/>
            </w:tcBorders>
            <w:noWrap w:val="0"/>
            <w:vAlign w:val="center"/>
          </w:tcPr>
          <w:p w14:paraId="174BECC4">
            <w:pPr>
              <w:keepNext w:val="0"/>
              <w:keepLines w:val="0"/>
              <w:widowControl w:val="0"/>
              <w:suppressLineNumbers w:val="0"/>
              <w:spacing w:before="0" w:beforeAutospacing="0" w:after="0" w:afterAutospacing="0" w:line="440" w:lineRule="exact"/>
              <w:ind w:left="0" w:right="0"/>
              <w:jc w:val="center"/>
              <w:outlineLvl w:val="2"/>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自评分</w:t>
            </w:r>
          </w:p>
        </w:tc>
        <w:tc>
          <w:tcPr>
            <w:tcW w:w="1182" w:type="dxa"/>
            <w:tcBorders>
              <w:top w:val="single" w:color="auto" w:sz="4" w:space="0"/>
              <w:left w:val="nil"/>
              <w:bottom w:val="single" w:color="auto" w:sz="4" w:space="0"/>
              <w:right w:val="single" w:color="auto" w:sz="4" w:space="0"/>
            </w:tcBorders>
            <w:noWrap w:val="0"/>
            <w:vAlign w:val="center"/>
          </w:tcPr>
          <w:p w14:paraId="7CF80468">
            <w:pPr>
              <w:keepNext w:val="0"/>
              <w:keepLines w:val="0"/>
              <w:widowControl w:val="0"/>
              <w:suppressLineNumbers w:val="0"/>
              <w:spacing w:before="0" w:beforeAutospacing="0" w:after="0" w:afterAutospacing="0" w:line="440" w:lineRule="exact"/>
              <w:ind w:left="0" w:right="0"/>
              <w:jc w:val="center"/>
              <w:outlineLvl w:val="2"/>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投标文件响应页码</w:t>
            </w:r>
          </w:p>
        </w:tc>
      </w:tr>
      <w:tr w14:paraId="7B0BB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235" w:type="dxa"/>
            <w:vMerge w:val="restart"/>
            <w:tcBorders>
              <w:top w:val="single" w:color="auto" w:sz="4" w:space="0"/>
              <w:left w:val="single" w:color="auto" w:sz="4" w:space="0"/>
              <w:right w:val="single" w:color="auto" w:sz="4" w:space="0"/>
            </w:tcBorders>
            <w:noWrap w:val="0"/>
            <w:vAlign w:val="center"/>
          </w:tcPr>
          <w:p w14:paraId="70CC94EC">
            <w:pPr>
              <w:keepNext w:val="0"/>
              <w:keepLines w:val="0"/>
              <w:widowControl w:val="0"/>
              <w:suppressLineNumbers w:val="0"/>
              <w:spacing w:before="0" w:beforeAutospacing="0" w:after="0" w:afterAutospacing="0" w:line="440" w:lineRule="exact"/>
              <w:ind w:left="0" w:right="0"/>
              <w:jc w:val="center"/>
              <w:outlineLvl w:val="2"/>
              <w:rPr>
                <w:rFonts w:hint="eastAsia" w:ascii="宋体" w:hAnsi="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技术商务等分值</w:t>
            </w:r>
          </w:p>
          <w:p w14:paraId="5CA7B037">
            <w:pPr>
              <w:keepNext w:val="0"/>
              <w:keepLines w:val="0"/>
              <w:widowControl w:val="0"/>
              <w:suppressLineNumbers w:val="0"/>
              <w:spacing w:before="0" w:beforeAutospacing="0" w:after="0" w:afterAutospacing="0" w:line="440" w:lineRule="exact"/>
              <w:ind w:left="0" w:right="0"/>
              <w:jc w:val="center"/>
              <w:outlineLvl w:val="2"/>
              <w:rPr>
                <w:rFonts w:hint="eastAsia" w:ascii="Times New Roman" w:hAnsi="Times New Roman" w:eastAsia="宋体" w:cs="Times New Roman"/>
                <w:color w:val="auto"/>
                <w:sz w:val="20"/>
                <w:szCs w:val="20"/>
                <w:highlight w:val="green"/>
                <w:lang w:eastAsia="zh-CN"/>
              </w:rPr>
            </w:pPr>
            <w:r>
              <w:rPr>
                <w:rFonts w:hint="eastAsia" w:ascii="宋体" w:hAnsi="宋体" w:cs="宋体"/>
                <w:color w:val="auto"/>
                <w:kern w:val="2"/>
                <w:sz w:val="21"/>
                <w:szCs w:val="21"/>
                <w:highlight w:val="none"/>
                <w:lang w:val="en-US" w:eastAsia="zh-CN" w:bidi="ar"/>
              </w:rPr>
              <w:t>80</w:t>
            </w:r>
            <w:r>
              <w:rPr>
                <w:rFonts w:hint="eastAsia" w:ascii="宋体" w:hAnsi="宋体" w:eastAsia="宋体" w:cs="宋体"/>
                <w:color w:val="auto"/>
                <w:kern w:val="2"/>
                <w:sz w:val="21"/>
                <w:szCs w:val="21"/>
                <w:highlight w:val="none"/>
                <w:lang w:val="en-US" w:eastAsia="zh-CN" w:bidi="ar"/>
              </w:rPr>
              <w:t>分</w:t>
            </w:r>
          </w:p>
        </w:tc>
        <w:tc>
          <w:tcPr>
            <w:tcW w:w="3593" w:type="dxa"/>
            <w:tcBorders>
              <w:top w:val="single" w:color="auto" w:sz="4" w:space="0"/>
              <w:left w:val="nil"/>
              <w:bottom w:val="single" w:color="auto" w:sz="4" w:space="0"/>
              <w:right w:val="single" w:color="auto" w:sz="4" w:space="0"/>
            </w:tcBorders>
            <w:noWrap w:val="0"/>
            <w:vAlign w:val="center"/>
          </w:tcPr>
          <w:p w14:paraId="5681CAD8">
            <w:pPr>
              <w:widowControl/>
              <w:spacing w:line="360" w:lineRule="auto"/>
              <w:jc w:val="center"/>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企业业绩</w:t>
            </w:r>
          </w:p>
        </w:tc>
        <w:tc>
          <w:tcPr>
            <w:tcW w:w="1998" w:type="dxa"/>
            <w:tcBorders>
              <w:top w:val="single" w:color="auto" w:sz="4" w:space="0"/>
              <w:left w:val="nil"/>
              <w:bottom w:val="single" w:color="auto" w:sz="4" w:space="0"/>
              <w:right w:val="single" w:color="auto" w:sz="4" w:space="0"/>
            </w:tcBorders>
            <w:noWrap w:val="0"/>
            <w:vAlign w:val="center"/>
          </w:tcPr>
          <w:p w14:paraId="2F9742F8">
            <w:pPr>
              <w:keepNext w:val="0"/>
              <w:keepLines w:val="0"/>
              <w:widowControl w:val="0"/>
              <w:suppressLineNumbers w:val="0"/>
              <w:spacing w:before="0" w:beforeAutospacing="0" w:after="0" w:afterAutospacing="0"/>
              <w:ind w:left="0" w:right="0"/>
              <w:jc w:val="center"/>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2分</w:t>
            </w:r>
          </w:p>
        </w:tc>
        <w:tc>
          <w:tcPr>
            <w:tcW w:w="1211" w:type="dxa"/>
            <w:tcBorders>
              <w:top w:val="single" w:color="auto" w:sz="4" w:space="0"/>
              <w:left w:val="nil"/>
              <w:bottom w:val="single" w:color="auto" w:sz="4" w:space="0"/>
              <w:right w:val="single" w:color="auto" w:sz="4" w:space="0"/>
            </w:tcBorders>
            <w:noWrap w:val="0"/>
            <w:vAlign w:val="center"/>
          </w:tcPr>
          <w:p w14:paraId="58492E0E">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1182" w:type="dxa"/>
            <w:tcBorders>
              <w:top w:val="single" w:color="auto" w:sz="4" w:space="0"/>
              <w:left w:val="nil"/>
              <w:bottom w:val="single" w:color="auto" w:sz="4" w:space="0"/>
              <w:right w:val="single" w:color="auto" w:sz="4" w:space="0"/>
            </w:tcBorders>
            <w:noWrap w:val="0"/>
            <w:vAlign w:val="center"/>
          </w:tcPr>
          <w:p w14:paraId="3ADA1654">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color w:val="auto"/>
                <w:kern w:val="2"/>
                <w:sz w:val="21"/>
                <w:szCs w:val="21"/>
                <w:highlight w:val="none"/>
              </w:rPr>
            </w:pPr>
          </w:p>
        </w:tc>
      </w:tr>
      <w:tr w14:paraId="2C093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235" w:type="dxa"/>
            <w:vMerge w:val="continue"/>
            <w:tcBorders>
              <w:left w:val="single" w:color="auto" w:sz="4" w:space="0"/>
              <w:right w:val="single" w:color="auto" w:sz="4" w:space="0"/>
            </w:tcBorders>
            <w:noWrap w:val="0"/>
            <w:vAlign w:val="center"/>
          </w:tcPr>
          <w:p w14:paraId="3BAC6C9C">
            <w:pPr>
              <w:keepNext w:val="0"/>
              <w:keepLines w:val="0"/>
              <w:widowControl w:val="0"/>
              <w:suppressLineNumbers w:val="0"/>
              <w:spacing w:before="0" w:beforeAutospacing="0" w:after="0" w:afterAutospacing="0" w:line="440" w:lineRule="exact"/>
              <w:ind w:left="0" w:right="0"/>
              <w:jc w:val="center"/>
              <w:outlineLvl w:val="2"/>
              <w:rPr>
                <w:rFonts w:hint="eastAsia" w:ascii="宋体" w:hAnsi="宋体" w:eastAsia="宋体" w:cs="宋体"/>
                <w:color w:val="auto"/>
                <w:kern w:val="2"/>
                <w:sz w:val="21"/>
                <w:szCs w:val="21"/>
                <w:highlight w:val="none"/>
                <w:lang w:val="en-US" w:eastAsia="zh-CN" w:bidi="ar"/>
              </w:rPr>
            </w:pPr>
          </w:p>
        </w:tc>
        <w:tc>
          <w:tcPr>
            <w:tcW w:w="3593" w:type="dxa"/>
            <w:tcBorders>
              <w:top w:val="single" w:color="auto" w:sz="4" w:space="0"/>
              <w:left w:val="nil"/>
              <w:bottom w:val="single" w:color="auto" w:sz="4" w:space="0"/>
              <w:right w:val="single" w:color="auto" w:sz="4" w:space="0"/>
            </w:tcBorders>
            <w:noWrap w:val="0"/>
            <w:vAlign w:val="center"/>
          </w:tcPr>
          <w:p w14:paraId="006E3701">
            <w:pPr>
              <w:widowControl/>
              <w:spacing w:line="360" w:lineRule="auto"/>
              <w:jc w:val="center"/>
              <w:rPr>
                <w:rStyle w:val="25"/>
                <w:rFonts w:hint="default" w:ascii="宋体" w:hAnsi="宋体" w:cs="宋体"/>
                <w:color w:val="auto"/>
                <w:kern w:val="0"/>
                <w:highlight w:val="none"/>
                <w:u w:val="none"/>
                <w:lang w:val="en-US" w:eastAsia="zh-CN"/>
              </w:rPr>
            </w:pPr>
            <w:r>
              <w:rPr>
                <w:rStyle w:val="25"/>
                <w:rFonts w:hint="eastAsia" w:ascii="宋体" w:hAnsi="宋体" w:cs="宋体"/>
                <w:color w:val="auto"/>
                <w:kern w:val="0"/>
                <w:highlight w:val="none"/>
                <w:u w:val="none"/>
                <w:lang w:val="en-US" w:eastAsia="zh-CN"/>
              </w:rPr>
              <w:t>项目组成人员</w:t>
            </w:r>
          </w:p>
        </w:tc>
        <w:tc>
          <w:tcPr>
            <w:tcW w:w="1998" w:type="dxa"/>
            <w:tcBorders>
              <w:top w:val="single" w:color="auto" w:sz="4" w:space="0"/>
              <w:left w:val="nil"/>
              <w:bottom w:val="single" w:color="auto" w:sz="4" w:space="0"/>
              <w:right w:val="single" w:color="auto" w:sz="4" w:space="0"/>
            </w:tcBorders>
            <w:noWrap w:val="0"/>
            <w:vAlign w:val="center"/>
          </w:tcPr>
          <w:p w14:paraId="1B1CB0BA">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13分</w:t>
            </w:r>
          </w:p>
        </w:tc>
        <w:tc>
          <w:tcPr>
            <w:tcW w:w="1211" w:type="dxa"/>
            <w:tcBorders>
              <w:top w:val="single" w:color="auto" w:sz="4" w:space="0"/>
              <w:left w:val="nil"/>
              <w:bottom w:val="single" w:color="auto" w:sz="4" w:space="0"/>
              <w:right w:val="single" w:color="auto" w:sz="4" w:space="0"/>
            </w:tcBorders>
            <w:noWrap w:val="0"/>
            <w:vAlign w:val="center"/>
          </w:tcPr>
          <w:p w14:paraId="508C44A0">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1182" w:type="dxa"/>
            <w:tcBorders>
              <w:top w:val="single" w:color="auto" w:sz="4" w:space="0"/>
              <w:left w:val="nil"/>
              <w:bottom w:val="single" w:color="auto" w:sz="4" w:space="0"/>
              <w:right w:val="single" w:color="auto" w:sz="4" w:space="0"/>
            </w:tcBorders>
            <w:noWrap w:val="0"/>
            <w:vAlign w:val="center"/>
          </w:tcPr>
          <w:p w14:paraId="224FED9A">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color w:val="auto"/>
                <w:kern w:val="2"/>
                <w:sz w:val="21"/>
                <w:szCs w:val="21"/>
                <w:highlight w:val="none"/>
              </w:rPr>
            </w:pPr>
          </w:p>
        </w:tc>
      </w:tr>
      <w:tr w14:paraId="2E5CD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235" w:type="dxa"/>
            <w:vMerge w:val="continue"/>
            <w:tcBorders>
              <w:left w:val="single" w:color="auto" w:sz="4" w:space="0"/>
              <w:right w:val="single" w:color="auto" w:sz="4" w:space="0"/>
            </w:tcBorders>
            <w:noWrap w:val="0"/>
            <w:vAlign w:val="center"/>
          </w:tcPr>
          <w:p w14:paraId="03E822F0">
            <w:pPr>
              <w:rPr>
                <w:rFonts w:hint="default" w:ascii="Times New Roman" w:hAnsi="Times New Roman" w:cs="Times New Roman"/>
                <w:color w:val="auto"/>
                <w:sz w:val="20"/>
                <w:szCs w:val="20"/>
                <w:highlight w:val="green"/>
              </w:rPr>
            </w:pPr>
          </w:p>
        </w:tc>
        <w:tc>
          <w:tcPr>
            <w:tcW w:w="3593" w:type="dxa"/>
            <w:tcBorders>
              <w:top w:val="single" w:color="auto" w:sz="4" w:space="0"/>
              <w:left w:val="nil"/>
              <w:bottom w:val="single" w:color="auto" w:sz="4" w:space="0"/>
              <w:right w:val="single" w:color="auto" w:sz="4" w:space="0"/>
            </w:tcBorders>
            <w:noWrap w:val="0"/>
            <w:vAlign w:val="center"/>
          </w:tcPr>
          <w:p w14:paraId="6AC26956">
            <w:pPr>
              <w:widowControl/>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监理工作</w:t>
            </w:r>
            <w:r>
              <w:rPr>
                <w:rFonts w:hint="eastAsia" w:ascii="宋体" w:hAnsi="宋体" w:cs="宋体"/>
                <w:color w:val="auto"/>
                <w:szCs w:val="21"/>
                <w:highlight w:val="none"/>
                <w:lang w:val="en-US" w:eastAsia="zh-CN"/>
              </w:rPr>
              <w:t>实施方案</w:t>
            </w:r>
          </w:p>
        </w:tc>
        <w:tc>
          <w:tcPr>
            <w:tcW w:w="1998" w:type="dxa"/>
            <w:tcBorders>
              <w:top w:val="single" w:color="auto" w:sz="4" w:space="0"/>
              <w:left w:val="nil"/>
              <w:bottom w:val="single" w:color="auto" w:sz="4" w:space="0"/>
              <w:right w:val="single" w:color="auto" w:sz="4" w:space="0"/>
            </w:tcBorders>
            <w:noWrap w:val="0"/>
            <w:vAlign w:val="center"/>
          </w:tcPr>
          <w:p w14:paraId="4F014525">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15分</w:t>
            </w:r>
          </w:p>
        </w:tc>
        <w:tc>
          <w:tcPr>
            <w:tcW w:w="1211" w:type="dxa"/>
            <w:tcBorders>
              <w:top w:val="single" w:color="auto" w:sz="4" w:space="0"/>
              <w:left w:val="nil"/>
              <w:bottom w:val="single" w:color="auto" w:sz="4" w:space="0"/>
              <w:right w:val="single" w:color="auto" w:sz="4" w:space="0"/>
            </w:tcBorders>
            <w:noWrap w:val="0"/>
            <w:vAlign w:val="center"/>
          </w:tcPr>
          <w:p w14:paraId="12213E3B">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w:t>
            </w:r>
          </w:p>
        </w:tc>
        <w:tc>
          <w:tcPr>
            <w:tcW w:w="1182" w:type="dxa"/>
            <w:tcBorders>
              <w:top w:val="single" w:color="auto" w:sz="4" w:space="0"/>
              <w:left w:val="nil"/>
              <w:bottom w:val="single" w:color="auto" w:sz="4" w:space="0"/>
              <w:right w:val="single" w:color="auto" w:sz="4" w:space="0"/>
            </w:tcBorders>
            <w:noWrap w:val="0"/>
            <w:vAlign w:val="center"/>
          </w:tcPr>
          <w:p w14:paraId="5AA83374">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en-US" w:eastAsia="zh-CN"/>
              </w:rPr>
            </w:pPr>
          </w:p>
        </w:tc>
      </w:tr>
      <w:tr w14:paraId="476A6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235" w:type="dxa"/>
            <w:vMerge w:val="continue"/>
            <w:tcBorders>
              <w:left w:val="single" w:color="auto" w:sz="4" w:space="0"/>
              <w:right w:val="single" w:color="auto" w:sz="4" w:space="0"/>
            </w:tcBorders>
            <w:noWrap w:val="0"/>
            <w:vAlign w:val="center"/>
          </w:tcPr>
          <w:p w14:paraId="5AD8B4C7">
            <w:pPr>
              <w:rPr>
                <w:rFonts w:hint="default" w:ascii="Times New Roman" w:hAnsi="Times New Roman" w:cs="Times New Roman"/>
                <w:color w:val="auto"/>
                <w:sz w:val="20"/>
                <w:szCs w:val="20"/>
                <w:highlight w:val="green"/>
              </w:rPr>
            </w:pPr>
          </w:p>
        </w:tc>
        <w:tc>
          <w:tcPr>
            <w:tcW w:w="3593" w:type="dxa"/>
            <w:vMerge w:val="restart"/>
            <w:tcBorders>
              <w:top w:val="single" w:color="auto" w:sz="4" w:space="0"/>
              <w:left w:val="nil"/>
              <w:right w:val="single" w:color="auto" w:sz="4" w:space="0"/>
            </w:tcBorders>
            <w:noWrap w:val="0"/>
            <w:vAlign w:val="center"/>
          </w:tcPr>
          <w:p w14:paraId="222270F9">
            <w:pPr>
              <w:widowControl/>
              <w:spacing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szCs w:val="21"/>
                <w:highlight w:val="none"/>
                <w:lang w:val="en-US" w:eastAsia="zh-CN"/>
              </w:rPr>
              <w:t>技术力量投入及设施保障</w:t>
            </w:r>
          </w:p>
        </w:tc>
        <w:tc>
          <w:tcPr>
            <w:tcW w:w="1998" w:type="dxa"/>
            <w:tcBorders>
              <w:top w:val="single" w:color="auto" w:sz="4" w:space="0"/>
              <w:left w:val="nil"/>
              <w:bottom w:val="single" w:color="auto" w:sz="4" w:space="0"/>
              <w:right w:val="single" w:color="auto" w:sz="4" w:space="0"/>
            </w:tcBorders>
            <w:noWrap w:val="0"/>
            <w:vAlign w:val="center"/>
          </w:tcPr>
          <w:p w14:paraId="5F3E047C">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6分</w:t>
            </w:r>
          </w:p>
        </w:tc>
        <w:tc>
          <w:tcPr>
            <w:tcW w:w="1211" w:type="dxa"/>
            <w:tcBorders>
              <w:top w:val="single" w:color="auto" w:sz="4" w:space="0"/>
              <w:left w:val="nil"/>
              <w:bottom w:val="single" w:color="auto" w:sz="4" w:space="0"/>
              <w:right w:val="single" w:color="auto" w:sz="4" w:space="0"/>
            </w:tcBorders>
            <w:noWrap w:val="0"/>
            <w:vAlign w:val="center"/>
          </w:tcPr>
          <w:p w14:paraId="63C3ADC1">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w:t>
            </w:r>
          </w:p>
        </w:tc>
        <w:tc>
          <w:tcPr>
            <w:tcW w:w="1182" w:type="dxa"/>
            <w:tcBorders>
              <w:top w:val="single" w:color="auto" w:sz="4" w:space="0"/>
              <w:left w:val="nil"/>
              <w:bottom w:val="single" w:color="auto" w:sz="4" w:space="0"/>
              <w:right w:val="single" w:color="auto" w:sz="4" w:space="0"/>
            </w:tcBorders>
            <w:noWrap w:val="0"/>
            <w:vAlign w:val="center"/>
          </w:tcPr>
          <w:p w14:paraId="0AE6DC5B">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en-US" w:eastAsia="zh-CN"/>
              </w:rPr>
            </w:pPr>
          </w:p>
        </w:tc>
      </w:tr>
      <w:tr w14:paraId="2A591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235" w:type="dxa"/>
            <w:vMerge w:val="continue"/>
            <w:tcBorders>
              <w:left w:val="single" w:color="auto" w:sz="4" w:space="0"/>
              <w:right w:val="single" w:color="auto" w:sz="4" w:space="0"/>
            </w:tcBorders>
            <w:noWrap w:val="0"/>
            <w:vAlign w:val="center"/>
          </w:tcPr>
          <w:p w14:paraId="79F25E94">
            <w:pPr>
              <w:keepNext w:val="0"/>
              <w:keepLines w:val="0"/>
              <w:widowControl w:val="0"/>
              <w:suppressLineNumbers w:val="0"/>
              <w:spacing w:before="0" w:beforeAutospacing="0" w:after="0" w:afterAutospacing="0"/>
              <w:ind w:left="0" w:right="0"/>
              <w:jc w:val="center"/>
              <w:rPr>
                <w:color w:val="auto"/>
              </w:rPr>
            </w:pPr>
          </w:p>
        </w:tc>
        <w:tc>
          <w:tcPr>
            <w:tcW w:w="3593" w:type="dxa"/>
            <w:vMerge w:val="continue"/>
            <w:tcBorders>
              <w:left w:val="nil"/>
              <w:bottom w:val="single" w:color="auto" w:sz="4" w:space="0"/>
              <w:right w:val="single" w:color="auto" w:sz="4" w:space="0"/>
            </w:tcBorders>
            <w:noWrap w:val="0"/>
            <w:vAlign w:val="center"/>
          </w:tcPr>
          <w:p w14:paraId="44C3679C">
            <w:pPr>
              <w:keepNext w:val="0"/>
              <w:keepLines w:val="0"/>
              <w:widowControl w:val="0"/>
              <w:suppressLineNumbers w:val="0"/>
              <w:spacing w:before="0" w:beforeAutospacing="0" w:after="0" w:afterAutospacing="0"/>
              <w:ind w:left="0" w:right="0"/>
              <w:jc w:val="center"/>
              <w:rPr>
                <w:color w:val="auto"/>
              </w:rPr>
            </w:pPr>
          </w:p>
        </w:tc>
        <w:tc>
          <w:tcPr>
            <w:tcW w:w="1998" w:type="dxa"/>
            <w:tcBorders>
              <w:top w:val="single" w:color="auto" w:sz="4" w:space="0"/>
              <w:left w:val="nil"/>
              <w:bottom w:val="single" w:color="auto" w:sz="4" w:space="0"/>
              <w:right w:val="single" w:color="auto" w:sz="4" w:space="0"/>
            </w:tcBorders>
            <w:noWrap w:val="0"/>
            <w:vAlign w:val="center"/>
          </w:tcPr>
          <w:p w14:paraId="56F12F55">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4分</w:t>
            </w:r>
          </w:p>
        </w:tc>
        <w:tc>
          <w:tcPr>
            <w:tcW w:w="1211" w:type="dxa"/>
            <w:tcBorders>
              <w:top w:val="single" w:color="auto" w:sz="4" w:space="0"/>
              <w:left w:val="nil"/>
              <w:bottom w:val="single" w:color="auto" w:sz="4" w:space="0"/>
              <w:right w:val="single" w:color="auto" w:sz="4" w:space="0"/>
            </w:tcBorders>
            <w:noWrap w:val="0"/>
            <w:vAlign w:val="center"/>
          </w:tcPr>
          <w:p w14:paraId="6871F7DC">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w:t>
            </w:r>
          </w:p>
        </w:tc>
        <w:tc>
          <w:tcPr>
            <w:tcW w:w="1182" w:type="dxa"/>
            <w:tcBorders>
              <w:top w:val="single" w:color="auto" w:sz="4" w:space="0"/>
              <w:left w:val="nil"/>
              <w:bottom w:val="single" w:color="auto" w:sz="4" w:space="0"/>
              <w:right w:val="single" w:color="auto" w:sz="4" w:space="0"/>
            </w:tcBorders>
            <w:noWrap w:val="0"/>
            <w:vAlign w:val="center"/>
          </w:tcPr>
          <w:p w14:paraId="15126312">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en-US" w:eastAsia="zh-CN"/>
              </w:rPr>
            </w:pPr>
          </w:p>
        </w:tc>
      </w:tr>
      <w:tr w14:paraId="24F99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235" w:type="dxa"/>
            <w:vMerge w:val="continue"/>
            <w:tcBorders>
              <w:left w:val="single" w:color="auto" w:sz="4" w:space="0"/>
              <w:right w:val="single" w:color="auto" w:sz="4" w:space="0"/>
            </w:tcBorders>
            <w:noWrap w:val="0"/>
            <w:vAlign w:val="center"/>
          </w:tcPr>
          <w:p w14:paraId="24DA4E35">
            <w:pPr>
              <w:rPr>
                <w:rFonts w:hint="default" w:ascii="Times New Roman" w:hAnsi="Times New Roman" w:cs="Times New Roman"/>
                <w:color w:val="auto"/>
                <w:sz w:val="20"/>
                <w:szCs w:val="20"/>
                <w:highlight w:val="green"/>
              </w:rPr>
            </w:pPr>
          </w:p>
        </w:tc>
        <w:tc>
          <w:tcPr>
            <w:tcW w:w="3593" w:type="dxa"/>
            <w:tcBorders>
              <w:top w:val="single" w:color="auto" w:sz="4" w:space="0"/>
              <w:left w:val="nil"/>
              <w:right w:val="single" w:color="auto" w:sz="4" w:space="0"/>
            </w:tcBorders>
            <w:noWrap w:val="0"/>
            <w:vAlign w:val="center"/>
          </w:tcPr>
          <w:p w14:paraId="4866F6E7">
            <w:pPr>
              <w:widowControl/>
              <w:spacing w:line="360" w:lineRule="auto"/>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szCs w:val="21"/>
                <w:highlight w:val="none"/>
                <w:lang w:val="en-US" w:eastAsia="zh-CN"/>
              </w:rPr>
              <w:t>质量保障措施</w:t>
            </w:r>
          </w:p>
        </w:tc>
        <w:tc>
          <w:tcPr>
            <w:tcW w:w="1998" w:type="dxa"/>
            <w:tcBorders>
              <w:top w:val="single" w:color="auto" w:sz="4" w:space="0"/>
              <w:left w:val="nil"/>
              <w:bottom w:val="single" w:color="auto" w:sz="4" w:space="0"/>
              <w:right w:val="single" w:color="auto" w:sz="4" w:space="0"/>
            </w:tcBorders>
            <w:noWrap w:val="0"/>
            <w:vAlign w:val="center"/>
          </w:tcPr>
          <w:p w14:paraId="2630FCED">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8分</w:t>
            </w:r>
          </w:p>
        </w:tc>
        <w:tc>
          <w:tcPr>
            <w:tcW w:w="1211" w:type="dxa"/>
            <w:tcBorders>
              <w:top w:val="single" w:color="auto" w:sz="4" w:space="0"/>
              <w:left w:val="nil"/>
              <w:bottom w:val="single" w:color="auto" w:sz="4" w:space="0"/>
              <w:right w:val="single" w:color="auto" w:sz="4" w:space="0"/>
            </w:tcBorders>
            <w:noWrap w:val="0"/>
            <w:vAlign w:val="center"/>
          </w:tcPr>
          <w:p w14:paraId="28767125">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w:t>
            </w:r>
          </w:p>
        </w:tc>
        <w:tc>
          <w:tcPr>
            <w:tcW w:w="1182" w:type="dxa"/>
            <w:tcBorders>
              <w:top w:val="single" w:color="auto" w:sz="4" w:space="0"/>
              <w:left w:val="nil"/>
              <w:bottom w:val="single" w:color="auto" w:sz="4" w:space="0"/>
              <w:right w:val="single" w:color="auto" w:sz="4" w:space="0"/>
            </w:tcBorders>
            <w:noWrap w:val="0"/>
            <w:vAlign w:val="center"/>
          </w:tcPr>
          <w:p w14:paraId="1C267FE4">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en-US" w:eastAsia="zh-CN"/>
              </w:rPr>
            </w:pPr>
          </w:p>
        </w:tc>
      </w:tr>
      <w:tr w14:paraId="12EB7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235" w:type="dxa"/>
            <w:vMerge w:val="continue"/>
            <w:tcBorders>
              <w:left w:val="single" w:color="auto" w:sz="4" w:space="0"/>
              <w:right w:val="single" w:color="auto" w:sz="4" w:space="0"/>
            </w:tcBorders>
            <w:noWrap w:val="0"/>
            <w:vAlign w:val="center"/>
          </w:tcPr>
          <w:p w14:paraId="63E2167B">
            <w:pPr>
              <w:keepNext w:val="0"/>
              <w:keepLines w:val="0"/>
              <w:widowControl w:val="0"/>
              <w:suppressLineNumbers w:val="0"/>
              <w:spacing w:before="0" w:beforeAutospacing="0" w:after="0" w:afterAutospacing="0"/>
              <w:ind w:left="0" w:right="0"/>
              <w:jc w:val="center"/>
              <w:rPr>
                <w:color w:val="auto"/>
              </w:rPr>
            </w:pPr>
          </w:p>
        </w:tc>
        <w:tc>
          <w:tcPr>
            <w:tcW w:w="3593" w:type="dxa"/>
            <w:tcBorders>
              <w:left w:val="nil"/>
              <w:right w:val="single" w:color="auto" w:sz="4" w:space="0"/>
            </w:tcBorders>
            <w:noWrap w:val="0"/>
            <w:vAlign w:val="center"/>
          </w:tcPr>
          <w:p w14:paraId="25610BAC">
            <w:pPr>
              <w:keepNext w:val="0"/>
              <w:keepLines w:val="0"/>
              <w:widowControl w:val="0"/>
              <w:suppressLineNumbers w:val="0"/>
              <w:spacing w:before="0" w:beforeAutospacing="0" w:after="0" w:afterAutospacing="0"/>
              <w:ind w:left="0" w:right="0"/>
              <w:jc w:val="center"/>
              <w:rPr>
                <w:color w:val="auto"/>
              </w:rPr>
            </w:pPr>
            <w:r>
              <w:rPr>
                <w:rFonts w:hint="eastAsia" w:ascii="宋体" w:hAnsi="宋体" w:eastAsia="宋体" w:cs="宋体"/>
                <w:color w:val="auto"/>
                <w:szCs w:val="21"/>
                <w:highlight w:val="none"/>
                <w:lang w:val="en-US" w:eastAsia="zh-CN"/>
              </w:rPr>
              <w:t>安全保障措施</w:t>
            </w:r>
          </w:p>
        </w:tc>
        <w:tc>
          <w:tcPr>
            <w:tcW w:w="1998" w:type="dxa"/>
            <w:tcBorders>
              <w:top w:val="single" w:color="auto" w:sz="4" w:space="0"/>
              <w:left w:val="nil"/>
              <w:bottom w:val="single" w:color="auto" w:sz="4" w:space="0"/>
              <w:right w:val="single" w:color="auto" w:sz="4" w:space="0"/>
            </w:tcBorders>
            <w:noWrap w:val="0"/>
            <w:vAlign w:val="center"/>
          </w:tcPr>
          <w:p w14:paraId="5194A9CC">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8分</w:t>
            </w:r>
          </w:p>
        </w:tc>
        <w:tc>
          <w:tcPr>
            <w:tcW w:w="1211" w:type="dxa"/>
            <w:tcBorders>
              <w:top w:val="single" w:color="auto" w:sz="4" w:space="0"/>
              <w:left w:val="nil"/>
              <w:bottom w:val="single" w:color="auto" w:sz="4" w:space="0"/>
              <w:right w:val="single" w:color="auto" w:sz="4" w:space="0"/>
            </w:tcBorders>
            <w:noWrap w:val="0"/>
            <w:vAlign w:val="center"/>
          </w:tcPr>
          <w:p w14:paraId="1CEDAD24">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w:t>
            </w:r>
          </w:p>
        </w:tc>
        <w:tc>
          <w:tcPr>
            <w:tcW w:w="1182" w:type="dxa"/>
            <w:tcBorders>
              <w:top w:val="single" w:color="auto" w:sz="4" w:space="0"/>
              <w:left w:val="nil"/>
              <w:bottom w:val="single" w:color="auto" w:sz="4" w:space="0"/>
              <w:right w:val="single" w:color="auto" w:sz="4" w:space="0"/>
            </w:tcBorders>
            <w:noWrap w:val="0"/>
            <w:vAlign w:val="center"/>
          </w:tcPr>
          <w:p w14:paraId="28009921">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en-US" w:eastAsia="zh-CN"/>
              </w:rPr>
            </w:pPr>
          </w:p>
        </w:tc>
      </w:tr>
      <w:tr w14:paraId="7F276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235" w:type="dxa"/>
            <w:vMerge w:val="continue"/>
            <w:tcBorders>
              <w:left w:val="single" w:color="auto" w:sz="4" w:space="0"/>
              <w:right w:val="single" w:color="auto" w:sz="4" w:space="0"/>
            </w:tcBorders>
            <w:noWrap w:val="0"/>
            <w:vAlign w:val="center"/>
          </w:tcPr>
          <w:p w14:paraId="7E5775BF">
            <w:pPr>
              <w:keepNext w:val="0"/>
              <w:keepLines w:val="0"/>
              <w:widowControl w:val="0"/>
              <w:suppressLineNumbers w:val="0"/>
              <w:spacing w:before="0" w:beforeAutospacing="0" w:after="0" w:afterAutospacing="0"/>
              <w:ind w:left="0" w:right="0"/>
              <w:jc w:val="center"/>
              <w:rPr>
                <w:color w:val="auto"/>
              </w:rPr>
            </w:pPr>
          </w:p>
        </w:tc>
        <w:tc>
          <w:tcPr>
            <w:tcW w:w="3593" w:type="dxa"/>
            <w:tcBorders>
              <w:left w:val="nil"/>
              <w:right w:val="single" w:color="auto" w:sz="4" w:space="0"/>
            </w:tcBorders>
            <w:noWrap w:val="0"/>
            <w:vAlign w:val="center"/>
          </w:tcPr>
          <w:p w14:paraId="5A6B8FAF">
            <w:pPr>
              <w:keepNext w:val="0"/>
              <w:keepLines w:val="0"/>
              <w:widowControl w:val="0"/>
              <w:suppressLineNumbers w:val="0"/>
              <w:spacing w:before="0" w:beforeAutospacing="0" w:after="0" w:afterAutospacing="0"/>
              <w:ind w:left="0" w:right="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档案管理方案</w:t>
            </w:r>
          </w:p>
        </w:tc>
        <w:tc>
          <w:tcPr>
            <w:tcW w:w="1998" w:type="dxa"/>
            <w:tcBorders>
              <w:top w:val="single" w:color="auto" w:sz="4" w:space="0"/>
              <w:left w:val="nil"/>
              <w:bottom w:val="single" w:color="auto" w:sz="4" w:space="0"/>
              <w:right w:val="single" w:color="auto" w:sz="4" w:space="0"/>
            </w:tcBorders>
            <w:noWrap w:val="0"/>
            <w:vAlign w:val="center"/>
          </w:tcPr>
          <w:p w14:paraId="425BF819">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10分</w:t>
            </w:r>
          </w:p>
        </w:tc>
        <w:tc>
          <w:tcPr>
            <w:tcW w:w="1211" w:type="dxa"/>
            <w:tcBorders>
              <w:top w:val="single" w:color="auto" w:sz="4" w:space="0"/>
              <w:left w:val="nil"/>
              <w:bottom w:val="single" w:color="auto" w:sz="4" w:space="0"/>
              <w:right w:val="single" w:color="auto" w:sz="4" w:space="0"/>
            </w:tcBorders>
            <w:noWrap w:val="0"/>
            <w:vAlign w:val="center"/>
          </w:tcPr>
          <w:p w14:paraId="5DDF8FB5">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w:t>
            </w:r>
          </w:p>
        </w:tc>
        <w:tc>
          <w:tcPr>
            <w:tcW w:w="1182" w:type="dxa"/>
            <w:tcBorders>
              <w:top w:val="single" w:color="auto" w:sz="4" w:space="0"/>
              <w:left w:val="nil"/>
              <w:bottom w:val="single" w:color="auto" w:sz="4" w:space="0"/>
              <w:right w:val="single" w:color="auto" w:sz="4" w:space="0"/>
            </w:tcBorders>
            <w:noWrap w:val="0"/>
            <w:vAlign w:val="center"/>
          </w:tcPr>
          <w:p w14:paraId="1A121D8E">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en-US" w:eastAsia="zh-CN"/>
              </w:rPr>
            </w:pPr>
          </w:p>
        </w:tc>
      </w:tr>
      <w:tr w14:paraId="7B4BD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235" w:type="dxa"/>
            <w:vMerge w:val="continue"/>
            <w:tcBorders>
              <w:left w:val="single" w:color="auto" w:sz="4" w:space="0"/>
              <w:right w:val="single" w:color="auto" w:sz="4" w:space="0"/>
            </w:tcBorders>
            <w:noWrap w:val="0"/>
            <w:vAlign w:val="center"/>
          </w:tcPr>
          <w:p w14:paraId="33EC73A3">
            <w:pPr>
              <w:keepNext w:val="0"/>
              <w:keepLines w:val="0"/>
              <w:widowControl w:val="0"/>
              <w:suppressLineNumbers w:val="0"/>
              <w:spacing w:before="0" w:beforeAutospacing="0" w:after="0" w:afterAutospacing="0"/>
              <w:ind w:left="0" w:right="0"/>
              <w:jc w:val="center"/>
              <w:rPr>
                <w:color w:val="auto"/>
              </w:rPr>
            </w:pPr>
          </w:p>
        </w:tc>
        <w:tc>
          <w:tcPr>
            <w:tcW w:w="3593" w:type="dxa"/>
            <w:tcBorders>
              <w:left w:val="nil"/>
              <w:right w:val="single" w:color="auto" w:sz="4" w:space="0"/>
            </w:tcBorders>
            <w:noWrap w:val="0"/>
            <w:vAlign w:val="center"/>
          </w:tcPr>
          <w:p w14:paraId="28486255">
            <w:pPr>
              <w:keepNext w:val="0"/>
              <w:keepLines w:val="0"/>
              <w:widowControl w:val="0"/>
              <w:suppressLineNumbers w:val="0"/>
              <w:spacing w:before="0" w:beforeAutospacing="0" w:after="0" w:afterAutospacing="0"/>
              <w:ind w:left="0" w:right="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应急方案及措施</w:t>
            </w:r>
          </w:p>
        </w:tc>
        <w:tc>
          <w:tcPr>
            <w:tcW w:w="1998" w:type="dxa"/>
            <w:tcBorders>
              <w:top w:val="single" w:color="auto" w:sz="4" w:space="0"/>
              <w:left w:val="nil"/>
              <w:bottom w:val="single" w:color="auto" w:sz="4" w:space="0"/>
              <w:right w:val="single" w:color="auto" w:sz="4" w:space="0"/>
            </w:tcBorders>
            <w:noWrap w:val="0"/>
            <w:vAlign w:val="center"/>
          </w:tcPr>
          <w:p w14:paraId="21DA5CFB">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6分</w:t>
            </w:r>
          </w:p>
        </w:tc>
        <w:tc>
          <w:tcPr>
            <w:tcW w:w="1211" w:type="dxa"/>
            <w:tcBorders>
              <w:top w:val="single" w:color="auto" w:sz="4" w:space="0"/>
              <w:left w:val="nil"/>
              <w:bottom w:val="single" w:color="auto" w:sz="4" w:space="0"/>
              <w:right w:val="single" w:color="auto" w:sz="4" w:space="0"/>
            </w:tcBorders>
            <w:noWrap w:val="0"/>
            <w:vAlign w:val="center"/>
          </w:tcPr>
          <w:p w14:paraId="6782C11C">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w:t>
            </w:r>
          </w:p>
        </w:tc>
        <w:tc>
          <w:tcPr>
            <w:tcW w:w="1182" w:type="dxa"/>
            <w:tcBorders>
              <w:top w:val="single" w:color="auto" w:sz="4" w:space="0"/>
              <w:left w:val="nil"/>
              <w:bottom w:val="single" w:color="auto" w:sz="4" w:space="0"/>
              <w:right w:val="single" w:color="auto" w:sz="4" w:space="0"/>
            </w:tcBorders>
            <w:noWrap w:val="0"/>
            <w:vAlign w:val="center"/>
          </w:tcPr>
          <w:p w14:paraId="58716C0C">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en-US" w:eastAsia="zh-CN"/>
              </w:rPr>
            </w:pPr>
          </w:p>
        </w:tc>
      </w:tr>
      <w:tr w14:paraId="1E7D4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235" w:type="dxa"/>
            <w:vMerge w:val="continue"/>
            <w:tcBorders>
              <w:left w:val="single" w:color="auto" w:sz="4" w:space="0"/>
              <w:right w:val="single" w:color="auto" w:sz="4" w:space="0"/>
            </w:tcBorders>
            <w:noWrap w:val="0"/>
            <w:vAlign w:val="center"/>
          </w:tcPr>
          <w:p w14:paraId="7ACE617A">
            <w:pPr>
              <w:keepNext w:val="0"/>
              <w:keepLines w:val="0"/>
              <w:widowControl w:val="0"/>
              <w:suppressLineNumbers w:val="0"/>
              <w:spacing w:before="0" w:beforeAutospacing="0" w:after="0" w:afterAutospacing="0"/>
              <w:ind w:left="0" w:right="0"/>
              <w:jc w:val="center"/>
              <w:rPr>
                <w:rFonts w:hint="eastAsia" w:ascii="宋体" w:hAnsi="宋体" w:cs="宋体"/>
                <w:color w:val="auto"/>
                <w:kern w:val="2"/>
                <w:sz w:val="21"/>
                <w:szCs w:val="21"/>
                <w:highlight w:val="none"/>
                <w:lang w:val="en-US" w:eastAsia="zh-CN"/>
              </w:rPr>
            </w:pPr>
          </w:p>
        </w:tc>
        <w:tc>
          <w:tcPr>
            <w:tcW w:w="3593" w:type="dxa"/>
            <w:tcBorders>
              <w:left w:val="nil"/>
              <w:bottom w:val="single" w:color="auto" w:sz="4" w:space="0"/>
              <w:right w:val="single" w:color="auto" w:sz="4" w:space="0"/>
            </w:tcBorders>
            <w:noWrap w:val="0"/>
            <w:vAlign w:val="center"/>
          </w:tcPr>
          <w:p w14:paraId="53D6DE95">
            <w:pPr>
              <w:keepNext w:val="0"/>
              <w:keepLines w:val="0"/>
              <w:widowControl w:val="0"/>
              <w:suppressLineNumbers w:val="0"/>
              <w:spacing w:before="0" w:beforeAutospacing="0" w:after="0" w:afterAutospacing="0"/>
              <w:ind w:left="0" w:right="0"/>
              <w:jc w:val="center"/>
              <w:rPr>
                <w:rFonts w:hint="eastAsia" w:ascii="宋体" w:hAnsi="宋体" w:cs="宋体"/>
                <w:color w:val="auto"/>
                <w:kern w:val="2"/>
                <w:sz w:val="21"/>
                <w:szCs w:val="21"/>
                <w:highlight w:val="none"/>
                <w:lang w:val="en-US" w:eastAsia="zh-CN"/>
              </w:rPr>
            </w:pPr>
            <w:r>
              <w:rPr>
                <w:rFonts w:hint="eastAsia" w:ascii="宋体" w:hAnsi="宋体" w:eastAsia="宋体" w:cs="宋体"/>
                <w:color w:val="auto"/>
                <w:szCs w:val="21"/>
                <w:highlight w:val="none"/>
                <w:lang w:val="en-US" w:eastAsia="zh-CN"/>
              </w:rPr>
              <w:t>后续服务方案</w:t>
            </w:r>
          </w:p>
        </w:tc>
        <w:tc>
          <w:tcPr>
            <w:tcW w:w="1998" w:type="dxa"/>
            <w:tcBorders>
              <w:top w:val="single" w:color="auto" w:sz="4" w:space="0"/>
              <w:left w:val="nil"/>
              <w:bottom w:val="single" w:color="auto" w:sz="4" w:space="0"/>
              <w:right w:val="single" w:color="auto" w:sz="4" w:space="0"/>
            </w:tcBorders>
            <w:noWrap w:val="0"/>
            <w:vAlign w:val="center"/>
          </w:tcPr>
          <w:p w14:paraId="44D5BE6D">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8分</w:t>
            </w:r>
          </w:p>
        </w:tc>
        <w:tc>
          <w:tcPr>
            <w:tcW w:w="1211" w:type="dxa"/>
            <w:tcBorders>
              <w:top w:val="single" w:color="auto" w:sz="4" w:space="0"/>
              <w:left w:val="nil"/>
              <w:bottom w:val="single" w:color="auto" w:sz="4" w:space="0"/>
              <w:right w:val="single" w:color="auto" w:sz="4" w:space="0"/>
            </w:tcBorders>
            <w:noWrap w:val="0"/>
            <w:vAlign w:val="center"/>
          </w:tcPr>
          <w:p w14:paraId="0154D8DB">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w:t>
            </w:r>
          </w:p>
        </w:tc>
        <w:tc>
          <w:tcPr>
            <w:tcW w:w="1182" w:type="dxa"/>
            <w:tcBorders>
              <w:top w:val="single" w:color="auto" w:sz="4" w:space="0"/>
              <w:left w:val="nil"/>
              <w:bottom w:val="single" w:color="auto" w:sz="4" w:space="0"/>
              <w:right w:val="single" w:color="auto" w:sz="4" w:space="0"/>
            </w:tcBorders>
            <w:noWrap w:val="0"/>
            <w:vAlign w:val="center"/>
          </w:tcPr>
          <w:p w14:paraId="7ACCA789">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en-US" w:eastAsia="zh-CN"/>
              </w:rPr>
            </w:pPr>
          </w:p>
        </w:tc>
      </w:tr>
      <w:tr w14:paraId="2BC93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235" w:type="dxa"/>
            <w:vMerge w:val="continue"/>
            <w:tcBorders>
              <w:left w:val="single" w:color="auto" w:sz="4" w:space="0"/>
              <w:bottom w:val="single" w:color="auto" w:sz="4" w:space="0"/>
              <w:right w:val="single" w:color="auto" w:sz="4" w:space="0"/>
            </w:tcBorders>
            <w:noWrap w:val="0"/>
            <w:vAlign w:val="center"/>
          </w:tcPr>
          <w:p w14:paraId="4FA0ACFB">
            <w:pPr>
              <w:rPr>
                <w:rFonts w:hint="default" w:ascii="Times New Roman" w:hAnsi="Times New Roman" w:cs="Times New Roman"/>
                <w:color w:val="auto"/>
                <w:sz w:val="20"/>
                <w:szCs w:val="20"/>
                <w:highlight w:val="green"/>
              </w:rPr>
            </w:pPr>
          </w:p>
        </w:tc>
        <w:tc>
          <w:tcPr>
            <w:tcW w:w="3593" w:type="dxa"/>
            <w:tcBorders>
              <w:top w:val="single" w:color="auto" w:sz="4" w:space="0"/>
              <w:left w:val="nil"/>
              <w:bottom w:val="single" w:color="auto" w:sz="4" w:space="0"/>
              <w:right w:val="single" w:color="auto" w:sz="4" w:space="0"/>
            </w:tcBorders>
            <w:noWrap w:val="0"/>
            <w:vAlign w:val="center"/>
          </w:tcPr>
          <w:p w14:paraId="4E050895">
            <w:pPr>
              <w:keepNext w:val="0"/>
              <w:keepLines w:val="0"/>
              <w:widowControl w:val="0"/>
              <w:suppressLineNumbers w:val="0"/>
              <w:spacing w:before="0" w:beforeAutospacing="0" w:after="0" w:afterAutospacing="0" w:line="380" w:lineRule="exact"/>
              <w:ind w:left="0" w:leftChars="0" w:right="0" w:rightChars="0"/>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合计</w:t>
            </w:r>
          </w:p>
        </w:tc>
        <w:tc>
          <w:tcPr>
            <w:tcW w:w="1998" w:type="dxa"/>
            <w:tcBorders>
              <w:top w:val="single" w:color="auto" w:sz="4" w:space="0"/>
              <w:left w:val="nil"/>
              <w:bottom w:val="single" w:color="auto" w:sz="4" w:space="0"/>
              <w:right w:val="single" w:color="auto" w:sz="4" w:space="0"/>
            </w:tcBorders>
            <w:noWrap w:val="0"/>
            <w:vAlign w:val="center"/>
          </w:tcPr>
          <w:p w14:paraId="06EA25BB">
            <w:pPr>
              <w:keepNext w:val="0"/>
              <w:keepLines w:val="0"/>
              <w:widowControl w:val="0"/>
              <w:suppressLineNumbers w:val="0"/>
              <w:spacing w:before="0" w:beforeAutospacing="0" w:after="0" w:afterAutospacing="0"/>
              <w:ind w:left="0" w:leftChars="0" w:right="0" w:rightChars="0"/>
              <w:jc w:val="center"/>
              <w:rPr>
                <w:rFonts w:hint="eastAsia" w:ascii="宋体" w:hAnsi="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80</w:t>
            </w:r>
            <w:r>
              <w:rPr>
                <w:rFonts w:hint="eastAsia" w:ascii="宋体" w:hAnsi="宋体" w:eastAsia="宋体" w:cs="宋体"/>
                <w:color w:val="auto"/>
                <w:kern w:val="2"/>
                <w:sz w:val="21"/>
                <w:szCs w:val="21"/>
                <w:highlight w:val="none"/>
                <w:lang w:val="en-US" w:eastAsia="zh-CN" w:bidi="ar"/>
              </w:rPr>
              <w:t>分</w:t>
            </w:r>
          </w:p>
        </w:tc>
        <w:tc>
          <w:tcPr>
            <w:tcW w:w="2393" w:type="dxa"/>
            <w:gridSpan w:val="2"/>
            <w:tcBorders>
              <w:top w:val="single" w:color="auto" w:sz="4" w:space="0"/>
              <w:left w:val="nil"/>
              <w:bottom w:val="single" w:color="auto" w:sz="4" w:space="0"/>
              <w:right w:val="single" w:color="auto" w:sz="4" w:space="0"/>
            </w:tcBorders>
            <w:noWrap w:val="0"/>
            <w:vAlign w:val="center"/>
          </w:tcPr>
          <w:p w14:paraId="432D55CD">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w:t>
            </w:r>
          </w:p>
        </w:tc>
      </w:tr>
    </w:tbl>
    <w:p w14:paraId="1D009FCC">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cs="宋体"/>
          <w:b/>
          <w:color w:val="auto"/>
          <w:kern w:val="0"/>
          <w:sz w:val="30"/>
          <w:szCs w:val="30"/>
          <w:highlight w:val="none"/>
          <w:lang w:eastAsia="zh-CN"/>
        </w:rPr>
      </w:pPr>
      <w:r>
        <w:rPr>
          <w:rFonts w:hint="eastAsia" w:ascii="宋体" w:hAnsi="宋体" w:cs="宋体"/>
          <w:b/>
          <w:color w:val="auto"/>
          <w:kern w:val="0"/>
          <w:sz w:val="30"/>
          <w:szCs w:val="30"/>
          <w:highlight w:val="none"/>
          <w:lang w:eastAsia="zh-CN"/>
        </w:rPr>
        <w:br w:type="page"/>
      </w:r>
    </w:p>
    <w:p w14:paraId="46B69CF0">
      <w:pPr>
        <w:keepNext w:val="0"/>
        <w:keepLines w:val="0"/>
        <w:widowControl w:val="0"/>
        <w:suppressLineNumbers w:val="0"/>
        <w:spacing w:before="0" w:beforeAutospacing="0" w:after="0" w:afterAutospacing="0" w:line="440" w:lineRule="exact"/>
        <w:ind w:left="0" w:right="0"/>
        <w:jc w:val="center"/>
        <w:outlineLvl w:val="2"/>
        <w:rPr>
          <w:rFonts w:hint="eastAsia" w:ascii="宋体" w:hAnsi="宋体" w:eastAsia="宋体" w:cs="宋体"/>
          <w:color w:val="auto"/>
          <w:kern w:val="2"/>
          <w:sz w:val="21"/>
          <w:szCs w:val="21"/>
          <w:highlight w:val="none"/>
          <w:lang w:val="en-US" w:eastAsia="zh-CN" w:bidi="ar"/>
        </w:rPr>
      </w:pPr>
      <w:r>
        <w:rPr>
          <w:rFonts w:hint="eastAsia" w:ascii="宋体" w:hAnsi="宋体" w:cs="宋体"/>
          <w:b/>
          <w:color w:val="auto"/>
          <w:kern w:val="0"/>
          <w:sz w:val="30"/>
          <w:szCs w:val="30"/>
          <w:highlight w:val="none"/>
        </w:rPr>
        <w:t>一、政府采购项目供应商技术商务评分索引表</w:t>
      </w:r>
    </w:p>
    <w:p w14:paraId="30D116C5">
      <w:pPr>
        <w:keepNext w:val="0"/>
        <w:keepLines w:val="0"/>
        <w:widowControl w:val="0"/>
        <w:suppressLineNumbers w:val="0"/>
        <w:spacing w:before="0" w:beforeAutospacing="0" w:after="0" w:afterAutospacing="0" w:line="440" w:lineRule="exact"/>
        <w:ind w:left="0" w:right="0"/>
        <w:jc w:val="both"/>
        <w:outlineLvl w:val="9"/>
        <w:rPr>
          <w:rFonts w:hint="default"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eastAsia="zh-CN" w:bidi="ar"/>
        </w:rPr>
        <w:t>投标人名称：</w:t>
      </w:r>
      <w:r>
        <w:rPr>
          <w:rFonts w:hint="eastAsia" w:ascii="宋体" w:hAnsi="宋体" w:cs="宋体"/>
          <w:color w:val="auto"/>
          <w:kern w:val="2"/>
          <w:sz w:val="21"/>
          <w:szCs w:val="21"/>
          <w:highlight w:val="none"/>
          <w:lang w:val="en-US" w:eastAsia="zh-CN" w:bidi="ar"/>
        </w:rPr>
        <w:t xml:space="preserve">                                         </w:t>
      </w:r>
      <w:r>
        <w:rPr>
          <w:rFonts w:hint="eastAsia" w:ascii="宋体" w:hAnsi="宋体" w:cs="宋体"/>
          <w:color w:val="auto"/>
          <w:sz w:val="21"/>
          <w:szCs w:val="21"/>
          <w:lang w:val="en-US" w:eastAsia="zh-CN"/>
        </w:rPr>
        <w:t>标项：2</w:t>
      </w:r>
    </w:p>
    <w:tbl>
      <w:tblPr>
        <w:tblStyle w:val="22"/>
        <w:tblW w:w="9219"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3593"/>
        <w:gridCol w:w="1998"/>
        <w:gridCol w:w="1211"/>
        <w:gridCol w:w="1182"/>
      </w:tblGrid>
      <w:tr w14:paraId="5E071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4828" w:type="dxa"/>
            <w:gridSpan w:val="2"/>
            <w:tcBorders>
              <w:top w:val="single" w:color="auto" w:sz="4" w:space="0"/>
              <w:left w:val="single" w:color="auto" w:sz="4" w:space="0"/>
              <w:bottom w:val="single" w:color="auto" w:sz="4" w:space="0"/>
              <w:right w:val="single" w:color="auto" w:sz="4" w:space="0"/>
            </w:tcBorders>
            <w:noWrap w:val="0"/>
            <w:vAlign w:val="center"/>
          </w:tcPr>
          <w:p w14:paraId="0A9C7411">
            <w:pPr>
              <w:keepNext w:val="0"/>
              <w:keepLines w:val="0"/>
              <w:widowControl w:val="0"/>
              <w:suppressLineNumbers w:val="0"/>
              <w:spacing w:before="0" w:beforeAutospacing="0" w:after="0" w:afterAutospacing="0" w:line="440" w:lineRule="exact"/>
              <w:ind w:left="0" w:right="0"/>
              <w:jc w:val="center"/>
              <w:outlineLvl w:val="2"/>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评审内容</w:t>
            </w:r>
          </w:p>
        </w:tc>
        <w:tc>
          <w:tcPr>
            <w:tcW w:w="1998" w:type="dxa"/>
            <w:tcBorders>
              <w:top w:val="single" w:color="auto" w:sz="4" w:space="0"/>
              <w:left w:val="nil"/>
              <w:bottom w:val="single" w:color="auto" w:sz="4" w:space="0"/>
              <w:right w:val="single" w:color="auto" w:sz="4" w:space="0"/>
            </w:tcBorders>
            <w:noWrap w:val="0"/>
            <w:vAlign w:val="center"/>
          </w:tcPr>
          <w:p w14:paraId="595736BE">
            <w:pPr>
              <w:keepNext w:val="0"/>
              <w:keepLines w:val="0"/>
              <w:widowControl w:val="0"/>
              <w:suppressLineNumbers w:val="0"/>
              <w:spacing w:before="0" w:beforeAutospacing="0" w:after="0" w:afterAutospacing="0" w:line="440" w:lineRule="exact"/>
              <w:ind w:left="0" w:right="0"/>
              <w:jc w:val="center"/>
              <w:outlineLvl w:val="2"/>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分值</w:t>
            </w:r>
          </w:p>
        </w:tc>
        <w:tc>
          <w:tcPr>
            <w:tcW w:w="1211" w:type="dxa"/>
            <w:tcBorders>
              <w:top w:val="single" w:color="auto" w:sz="4" w:space="0"/>
              <w:left w:val="nil"/>
              <w:bottom w:val="single" w:color="auto" w:sz="4" w:space="0"/>
              <w:right w:val="single" w:color="auto" w:sz="4" w:space="0"/>
            </w:tcBorders>
            <w:noWrap w:val="0"/>
            <w:vAlign w:val="center"/>
          </w:tcPr>
          <w:p w14:paraId="329FEECA">
            <w:pPr>
              <w:keepNext w:val="0"/>
              <w:keepLines w:val="0"/>
              <w:widowControl w:val="0"/>
              <w:suppressLineNumbers w:val="0"/>
              <w:spacing w:before="0" w:beforeAutospacing="0" w:after="0" w:afterAutospacing="0" w:line="440" w:lineRule="exact"/>
              <w:ind w:left="0" w:right="0"/>
              <w:jc w:val="center"/>
              <w:outlineLvl w:val="2"/>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自评分</w:t>
            </w:r>
          </w:p>
        </w:tc>
        <w:tc>
          <w:tcPr>
            <w:tcW w:w="1182" w:type="dxa"/>
            <w:tcBorders>
              <w:top w:val="single" w:color="auto" w:sz="4" w:space="0"/>
              <w:left w:val="nil"/>
              <w:bottom w:val="single" w:color="auto" w:sz="4" w:space="0"/>
              <w:right w:val="single" w:color="auto" w:sz="4" w:space="0"/>
            </w:tcBorders>
            <w:noWrap w:val="0"/>
            <w:vAlign w:val="center"/>
          </w:tcPr>
          <w:p w14:paraId="5EE4A4EC">
            <w:pPr>
              <w:keepNext w:val="0"/>
              <w:keepLines w:val="0"/>
              <w:widowControl w:val="0"/>
              <w:suppressLineNumbers w:val="0"/>
              <w:spacing w:before="0" w:beforeAutospacing="0" w:after="0" w:afterAutospacing="0" w:line="440" w:lineRule="exact"/>
              <w:ind w:left="0" w:right="0"/>
              <w:jc w:val="center"/>
              <w:outlineLvl w:val="2"/>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投标文件响应页码</w:t>
            </w:r>
          </w:p>
        </w:tc>
      </w:tr>
      <w:tr w14:paraId="47BA5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235" w:type="dxa"/>
            <w:vMerge w:val="restart"/>
            <w:tcBorders>
              <w:top w:val="single" w:color="auto" w:sz="4" w:space="0"/>
              <w:left w:val="single" w:color="auto" w:sz="4" w:space="0"/>
              <w:right w:val="single" w:color="auto" w:sz="4" w:space="0"/>
            </w:tcBorders>
            <w:noWrap w:val="0"/>
            <w:vAlign w:val="center"/>
          </w:tcPr>
          <w:p w14:paraId="52B4CF67">
            <w:pPr>
              <w:keepNext w:val="0"/>
              <w:keepLines w:val="0"/>
              <w:widowControl w:val="0"/>
              <w:suppressLineNumbers w:val="0"/>
              <w:spacing w:before="0" w:beforeAutospacing="0" w:after="0" w:afterAutospacing="0" w:line="440" w:lineRule="exact"/>
              <w:ind w:left="0" w:right="0"/>
              <w:jc w:val="center"/>
              <w:outlineLvl w:val="2"/>
              <w:rPr>
                <w:rFonts w:hint="eastAsia" w:ascii="宋体" w:hAnsi="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技术商务等分值</w:t>
            </w:r>
          </w:p>
          <w:p w14:paraId="1032657E">
            <w:pPr>
              <w:keepNext w:val="0"/>
              <w:keepLines w:val="0"/>
              <w:widowControl w:val="0"/>
              <w:suppressLineNumbers w:val="0"/>
              <w:spacing w:before="0" w:beforeAutospacing="0" w:after="0" w:afterAutospacing="0" w:line="440" w:lineRule="exact"/>
              <w:ind w:left="0" w:right="0"/>
              <w:jc w:val="center"/>
              <w:outlineLvl w:val="2"/>
              <w:rPr>
                <w:rFonts w:hint="eastAsia" w:ascii="Times New Roman" w:hAnsi="Times New Roman" w:eastAsia="宋体" w:cs="Times New Roman"/>
                <w:color w:val="auto"/>
                <w:sz w:val="20"/>
                <w:szCs w:val="20"/>
                <w:highlight w:val="green"/>
                <w:lang w:eastAsia="zh-CN"/>
              </w:rPr>
            </w:pPr>
            <w:r>
              <w:rPr>
                <w:rFonts w:hint="eastAsia" w:ascii="宋体" w:hAnsi="宋体" w:cs="宋体"/>
                <w:color w:val="auto"/>
                <w:kern w:val="2"/>
                <w:sz w:val="21"/>
                <w:szCs w:val="21"/>
                <w:highlight w:val="none"/>
                <w:lang w:val="en-US" w:eastAsia="zh-CN" w:bidi="ar"/>
              </w:rPr>
              <w:t>80</w:t>
            </w:r>
            <w:r>
              <w:rPr>
                <w:rFonts w:hint="eastAsia" w:ascii="宋体" w:hAnsi="宋体" w:eastAsia="宋体" w:cs="宋体"/>
                <w:color w:val="auto"/>
                <w:kern w:val="2"/>
                <w:sz w:val="21"/>
                <w:szCs w:val="21"/>
                <w:highlight w:val="none"/>
                <w:lang w:val="en-US" w:eastAsia="zh-CN" w:bidi="ar"/>
              </w:rPr>
              <w:t>分</w:t>
            </w:r>
          </w:p>
        </w:tc>
        <w:tc>
          <w:tcPr>
            <w:tcW w:w="3593" w:type="dxa"/>
            <w:tcBorders>
              <w:top w:val="single" w:color="auto" w:sz="4" w:space="0"/>
              <w:left w:val="nil"/>
              <w:bottom w:val="single" w:color="auto" w:sz="4" w:space="0"/>
              <w:right w:val="single" w:color="auto" w:sz="4" w:space="0"/>
            </w:tcBorders>
            <w:noWrap w:val="0"/>
            <w:vAlign w:val="center"/>
          </w:tcPr>
          <w:p w14:paraId="5391897F">
            <w:pPr>
              <w:widowControl/>
              <w:spacing w:line="360" w:lineRule="auto"/>
              <w:jc w:val="center"/>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企业业绩</w:t>
            </w:r>
          </w:p>
        </w:tc>
        <w:tc>
          <w:tcPr>
            <w:tcW w:w="1998" w:type="dxa"/>
            <w:tcBorders>
              <w:top w:val="single" w:color="auto" w:sz="4" w:space="0"/>
              <w:left w:val="nil"/>
              <w:bottom w:val="single" w:color="auto" w:sz="4" w:space="0"/>
              <w:right w:val="single" w:color="auto" w:sz="4" w:space="0"/>
            </w:tcBorders>
            <w:noWrap w:val="0"/>
            <w:vAlign w:val="center"/>
          </w:tcPr>
          <w:p w14:paraId="6431D73C">
            <w:pPr>
              <w:keepNext w:val="0"/>
              <w:keepLines w:val="0"/>
              <w:widowControl w:val="0"/>
              <w:suppressLineNumbers w:val="0"/>
              <w:spacing w:before="0" w:beforeAutospacing="0" w:after="0" w:afterAutospacing="0"/>
              <w:ind w:left="0" w:right="0"/>
              <w:jc w:val="center"/>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2分</w:t>
            </w:r>
          </w:p>
        </w:tc>
        <w:tc>
          <w:tcPr>
            <w:tcW w:w="1211" w:type="dxa"/>
            <w:tcBorders>
              <w:top w:val="single" w:color="auto" w:sz="4" w:space="0"/>
              <w:left w:val="nil"/>
              <w:bottom w:val="single" w:color="auto" w:sz="4" w:space="0"/>
              <w:right w:val="single" w:color="auto" w:sz="4" w:space="0"/>
            </w:tcBorders>
            <w:noWrap w:val="0"/>
            <w:vAlign w:val="center"/>
          </w:tcPr>
          <w:p w14:paraId="7EAA78DF">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1182" w:type="dxa"/>
            <w:tcBorders>
              <w:top w:val="single" w:color="auto" w:sz="4" w:space="0"/>
              <w:left w:val="nil"/>
              <w:bottom w:val="single" w:color="auto" w:sz="4" w:space="0"/>
              <w:right w:val="single" w:color="auto" w:sz="4" w:space="0"/>
            </w:tcBorders>
            <w:noWrap w:val="0"/>
            <w:vAlign w:val="center"/>
          </w:tcPr>
          <w:p w14:paraId="28D14001">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color w:val="auto"/>
                <w:kern w:val="2"/>
                <w:sz w:val="21"/>
                <w:szCs w:val="21"/>
                <w:highlight w:val="none"/>
              </w:rPr>
            </w:pPr>
          </w:p>
        </w:tc>
      </w:tr>
      <w:tr w14:paraId="11ECF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235" w:type="dxa"/>
            <w:vMerge w:val="continue"/>
            <w:tcBorders>
              <w:left w:val="single" w:color="auto" w:sz="4" w:space="0"/>
              <w:right w:val="single" w:color="auto" w:sz="4" w:space="0"/>
            </w:tcBorders>
            <w:noWrap w:val="0"/>
            <w:vAlign w:val="center"/>
          </w:tcPr>
          <w:p w14:paraId="4E56C32C">
            <w:pPr>
              <w:keepNext w:val="0"/>
              <w:keepLines w:val="0"/>
              <w:widowControl w:val="0"/>
              <w:suppressLineNumbers w:val="0"/>
              <w:spacing w:before="0" w:beforeAutospacing="0" w:after="0" w:afterAutospacing="0" w:line="440" w:lineRule="exact"/>
              <w:ind w:left="0" w:right="0"/>
              <w:jc w:val="center"/>
              <w:outlineLvl w:val="2"/>
              <w:rPr>
                <w:rFonts w:hint="eastAsia" w:ascii="宋体" w:hAnsi="宋体" w:eastAsia="宋体" w:cs="宋体"/>
                <w:color w:val="auto"/>
                <w:kern w:val="2"/>
                <w:sz w:val="21"/>
                <w:szCs w:val="21"/>
                <w:highlight w:val="none"/>
                <w:lang w:val="en-US" w:eastAsia="zh-CN" w:bidi="ar"/>
              </w:rPr>
            </w:pPr>
          </w:p>
        </w:tc>
        <w:tc>
          <w:tcPr>
            <w:tcW w:w="3593" w:type="dxa"/>
            <w:tcBorders>
              <w:top w:val="single" w:color="auto" w:sz="4" w:space="0"/>
              <w:left w:val="nil"/>
              <w:bottom w:val="single" w:color="auto" w:sz="4" w:space="0"/>
              <w:right w:val="single" w:color="auto" w:sz="4" w:space="0"/>
            </w:tcBorders>
            <w:noWrap w:val="0"/>
            <w:vAlign w:val="center"/>
          </w:tcPr>
          <w:p w14:paraId="2CDC1385">
            <w:pPr>
              <w:widowControl/>
              <w:spacing w:line="360" w:lineRule="auto"/>
              <w:jc w:val="center"/>
              <w:rPr>
                <w:rStyle w:val="25"/>
                <w:rFonts w:hint="default" w:ascii="宋体" w:hAnsi="宋体" w:cs="宋体"/>
                <w:color w:val="auto"/>
                <w:kern w:val="0"/>
                <w:highlight w:val="none"/>
                <w:u w:val="none"/>
                <w:lang w:val="en-US" w:eastAsia="zh-CN"/>
              </w:rPr>
            </w:pPr>
            <w:r>
              <w:rPr>
                <w:rStyle w:val="25"/>
                <w:rFonts w:hint="eastAsia" w:ascii="宋体" w:hAnsi="宋体" w:cs="宋体"/>
                <w:color w:val="auto"/>
                <w:kern w:val="0"/>
                <w:highlight w:val="none"/>
                <w:u w:val="none"/>
                <w:lang w:val="en-US" w:eastAsia="zh-CN"/>
              </w:rPr>
              <w:t>项目组成人员</w:t>
            </w:r>
          </w:p>
        </w:tc>
        <w:tc>
          <w:tcPr>
            <w:tcW w:w="1998" w:type="dxa"/>
            <w:tcBorders>
              <w:top w:val="single" w:color="auto" w:sz="4" w:space="0"/>
              <w:left w:val="nil"/>
              <w:bottom w:val="single" w:color="auto" w:sz="4" w:space="0"/>
              <w:right w:val="single" w:color="auto" w:sz="4" w:space="0"/>
            </w:tcBorders>
            <w:noWrap w:val="0"/>
            <w:vAlign w:val="center"/>
          </w:tcPr>
          <w:p w14:paraId="23ED4B1C">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15分</w:t>
            </w:r>
          </w:p>
        </w:tc>
        <w:tc>
          <w:tcPr>
            <w:tcW w:w="1211" w:type="dxa"/>
            <w:tcBorders>
              <w:top w:val="single" w:color="auto" w:sz="4" w:space="0"/>
              <w:left w:val="nil"/>
              <w:bottom w:val="single" w:color="auto" w:sz="4" w:space="0"/>
              <w:right w:val="single" w:color="auto" w:sz="4" w:space="0"/>
            </w:tcBorders>
            <w:noWrap w:val="0"/>
            <w:vAlign w:val="center"/>
          </w:tcPr>
          <w:p w14:paraId="2F91F650">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1182" w:type="dxa"/>
            <w:tcBorders>
              <w:top w:val="single" w:color="auto" w:sz="4" w:space="0"/>
              <w:left w:val="nil"/>
              <w:bottom w:val="single" w:color="auto" w:sz="4" w:space="0"/>
              <w:right w:val="single" w:color="auto" w:sz="4" w:space="0"/>
            </w:tcBorders>
            <w:noWrap w:val="0"/>
            <w:vAlign w:val="center"/>
          </w:tcPr>
          <w:p w14:paraId="67C46A7A">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color w:val="auto"/>
                <w:kern w:val="2"/>
                <w:sz w:val="21"/>
                <w:szCs w:val="21"/>
                <w:highlight w:val="none"/>
              </w:rPr>
            </w:pPr>
          </w:p>
        </w:tc>
      </w:tr>
      <w:tr w14:paraId="66282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235" w:type="dxa"/>
            <w:vMerge w:val="continue"/>
            <w:tcBorders>
              <w:left w:val="single" w:color="auto" w:sz="4" w:space="0"/>
              <w:right w:val="single" w:color="auto" w:sz="4" w:space="0"/>
            </w:tcBorders>
            <w:noWrap w:val="0"/>
            <w:vAlign w:val="center"/>
          </w:tcPr>
          <w:p w14:paraId="3070AC4C">
            <w:pPr>
              <w:rPr>
                <w:rFonts w:hint="default" w:ascii="Times New Roman" w:hAnsi="Times New Roman" w:cs="Times New Roman"/>
                <w:color w:val="auto"/>
                <w:sz w:val="20"/>
                <w:szCs w:val="20"/>
                <w:highlight w:val="green"/>
              </w:rPr>
            </w:pPr>
          </w:p>
        </w:tc>
        <w:tc>
          <w:tcPr>
            <w:tcW w:w="3593" w:type="dxa"/>
            <w:tcBorders>
              <w:top w:val="single" w:color="auto" w:sz="4" w:space="0"/>
              <w:left w:val="nil"/>
              <w:bottom w:val="single" w:color="auto" w:sz="4" w:space="0"/>
              <w:right w:val="single" w:color="auto" w:sz="4" w:space="0"/>
            </w:tcBorders>
            <w:noWrap w:val="0"/>
            <w:vAlign w:val="center"/>
          </w:tcPr>
          <w:p w14:paraId="0391224A">
            <w:pPr>
              <w:widowControl/>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监理工作</w:t>
            </w:r>
            <w:r>
              <w:rPr>
                <w:rFonts w:hint="eastAsia" w:ascii="宋体" w:hAnsi="宋体" w:cs="宋体"/>
                <w:color w:val="auto"/>
                <w:szCs w:val="21"/>
                <w:highlight w:val="none"/>
                <w:lang w:val="en-US" w:eastAsia="zh-CN"/>
              </w:rPr>
              <w:t>实施方案</w:t>
            </w:r>
          </w:p>
        </w:tc>
        <w:tc>
          <w:tcPr>
            <w:tcW w:w="1998" w:type="dxa"/>
            <w:tcBorders>
              <w:top w:val="single" w:color="auto" w:sz="4" w:space="0"/>
              <w:left w:val="nil"/>
              <w:bottom w:val="single" w:color="auto" w:sz="4" w:space="0"/>
              <w:right w:val="single" w:color="auto" w:sz="4" w:space="0"/>
            </w:tcBorders>
            <w:noWrap w:val="0"/>
            <w:vAlign w:val="center"/>
          </w:tcPr>
          <w:p w14:paraId="3698DE42">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15分</w:t>
            </w:r>
          </w:p>
        </w:tc>
        <w:tc>
          <w:tcPr>
            <w:tcW w:w="1211" w:type="dxa"/>
            <w:tcBorders>
              <w:top w:val="single" w:color="auto" w:sz="4" w:space="0"/>
              <w:left w:val="nil"/>
              <w:bottom w:val="single" w:color="auto" w:sz="4" w:space="0"/>
              <w:right w:val="single" w:color="auto" w:sz="4" w:space="0"/>
            </w:tcBorders>
            <w:noWrap w:val="0"/>
            <w:vAlign w:val="center"/>
          </w:tcPr>
          <w:p w14:paraId="3F0FD5F4">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w:t>
            </w:r>
          </w:p>
        </w:tc>
        <w:tc>
          <w:tcPr>
            <w:tcW w:w="1182" w:type="dxa"/>
            <w:tcBorders>
              <w:top w:val="single" w:color="auto" w:sz="4" w:space="0"/>
              <w:left w:val="nil"/>
              <w:bottom w:val="single" w:color="auto" w:sz="4" w:space="0"/>
              <w:right w:val="single" w:color="auto" w:sz="4" w:space="0"/>
            </w:tcBorders>
            <w:noWrap w:val="0"/>
            <w:vAlign w:val="center"/>
          </w:tcPr>
          <w:p w14:paraId="7DF19348">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en-US" w:eastAsia="zh-CN"/>
              </w:rPr>
            </w:pPr>
          </w:p>
        </w:tc>
      </w:tr>
      <w:tr w14:paraId="28CA2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235" w:type="dxa"/>
            <w:vMerge w:val="continue"/>
            <w:tcBorders>
              <w:left w:val="single" w:color="auto" w:sz="4" w:space="0"/>
              <w:right w:val="single" w:color="auto" w:sz="4" w:space="0"/>
            </w:tcBorders>
            <w:noWrap w:val="0"/>
            <w:vAlign w:val="center"/>
          </w:tcPr>
          <w:p w14:paraId="57F9584A">
            <w:pPr>
              <w:rPr>
                <w:rFonts w:hint="default" w:ascii="Times New Roman" w:hAnsi="Times New Roman" w:cs="Times New Roman"/>
                <w:color w:val="auto"/>
                <w:sz w:val="20"/>
                <w:szCs w:val="20"/>
                <w:highlight w:val="green"/>
              </w:rPr>
            </w:pPr>
          </w:p>
        </w:tc>
        <w:tc>
          <w:tcPr>
            <w:tcW w:w="3593" w:type="dxa"/>
            <w:vMerge w:val="restart"/>
            <w:tcBorders>
              <w:top w:val="single" w:color="auto" w:sz="4" w:space="0"/>
              <w:left w:val="nil"/>
              <w:right w:val="single" w:color="auto" w:sz="4" w:space="0"/>
            </w:tcBorders>
            <w:noWrap w:val="0"/>
            <w:vAlign w:val="center"/>
          </w:tcPr>
          <w:p w14:paraId="1B714C05">
            <w:pPr>
              <w:widowControl/>
              <w:spacing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szCs w:val="21"/>
                <w:highlight w:val="none"/>
                <w:lang w:val="en-US" w:eastAsia="zh-CN"/>
              </w:rPr>
              <w:t>技术力量投入及设施保障</w:t>
            </w:r>
          </w:p>
        </w:tc>
        <w:tc>
          <w:tcPr>
            <w:tcW w:w="1998" w:type="dxa"/>
            <w:tcBorders>
              <w:top w:val="single" w:color="auto" w:sz="4" w:space="0"/>
              <w:left w:val="nil"/>
              <w:bottom w:val="single" w:color="auto" w:sz="4" w:space="0"/>
              <w:right w:val="single" w:color="auto" w:sz="4" w:space="0"/>
            </w:tcBorders>
            <w:noWrap w:val="0"/>
            <w:vAlign w:val="center"/>
          </w:tcPr>
          <w:p w14:paraId="1D709CE2">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6分</w:t>
            </w:r>
          </w:p>
        </w:tc>
        <w:tc>
          <w:tcPr>
            <w:tcW w:w="1211" w:type="dxa"/>
            <w:tcBorders>
              <w:top w:val="single" w:color="auto" w:sz="4" w:space="0"/>
              <w:left w:val="nil"/>
              <w:bottom w:val="single" w:color="auto" w:sz="4" w:space="0"/>
              <w:right w:val="single" w:color="auto" w:sz="4" w:space="0"/>
            </w:tcBorders>
            <w:noWrap w:val="0"/>
            <w:vAlign w:val="center"/>
          </w:tcPr>
          <w:p w14:paraId="4CA7B210">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w:t>
            </w:r>
          </w:p>
        </w:tc>
        <w:tc>
          <w:tcPr>
            <w:tcW w:w="1182" w:type="dxa"/>
            <w:tcBorders>
              <w:top w:val="single" w:color="auto" w:sz="4" w:space="0"/>
              <w:left w:val="nil"/>
              <w:bottom w:val="single" w:color="auto" w:sz="4" w:space="0"/>
              <w:right w:val="single" w:color="auto" w:sz="4" w:space="0"/>
            </w:tcBorders>
            <w:noWrap w:val="0"/>
            <w:vAlign w:val="center"/>
          </w:tcPr>
          <w:p w14:paraId="0D01F1B0">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en-US" w:eastAsia="zh-CN"/>
              </w:rPr>
            </w:pPr>
          </w:p>
        </w:tc>
      </w:tr>
      <w:tr w14:paraId="3595F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235" w:type="dxa"/>
            <w:vMerge w:val="continue"/>
            <w:tcBorders>
              <w:left w:val="single" w:color="auto" w:sz="4" w:space="0"/>
              <w:right w:val="single" w:color="auto" w:sz="4" w:space="0"/>
            </w:tcBorders>
            <w:noWrap w:val="0"/>
            <w:vAlign w:val="center"/>
          </w:tcPr>
          <w:p w14:paraId="12D73B67">
            <w:pPr>
              <w:keepNext w:val="0"/>
              <w:keepLines w:val="0"/>
              <w:widowControl w:val="0"/>
              <w:suppressLineNumbers w:val="0"/>
              <w:spacing w:before="0" w:beforeAutospacing="0" w:after="0" w:afterAutospacing="0"/>
              <w:ind w:left="0" w:right="0"/>
              <w:jc w:val="center"/>
              <w:rPr>
                <w:color w:val="auto"/>
              </w:rPr>
            </w:pPr>
          </w:p>
        </w:tc>
        <w:tc>
          <w:tcPr>
            <w:tcW w:w="3593" w:type="dxa"/>
            <w:vMerge w:val="continue"/>
            <w:tcBorders>
              <w:left w:val="nil"/>
              <w:bottom w:val="single" w:color="auto" w:sz="4" w:space="0"/>
              <w:right w:val="single" w:color="auto" w:sz="4" w:space="0"/>
            </w:tcBorders>
            <w:noWrap w:val="0"/>
            <w:vAlign w:val="center"/>
          </w:tcPr>
          <w:p w14:paraId="5231C055">
            <w:pPr>
              <w:keepNext w:val="0"/>
              <w:keepLines w:val="0"/>
              <w:widowControl w:val="0"/>
              <w:suppressLineNumbers w:val="0"/>
              <w:spacing w:before="0" w:beforeAutospacing="0" w:after="0" w:afterAutospacing="0"/>
              <w:ind w:left="0" w:right="0"/>
              <w:jc w:val="center"/>
              <w:rPr>
                <w:color w:val="auto"/>
              </w:rPr>
            </w:pPr>
          </w:p>
        </w:tc>
        <w:tc>
          <w:tcPr>
            <w:tcW w:w="1998" w:type="dxa"/>
            <w:tcBorders>
              <w:top w:val="single" w:color="auto" w:sz="4" w:space="0"/>
              <w:left w:val="nil"/>
              <w:bottom w:val="single" w:color="auto" w:sz="4" w:space="0"/>
              <w:right w:val="single" w:color="auto" w:sz="4" w:space="0"/>
            </w:tcBorders>
            <w:noWrap w:val="0"/>
            <w:vAlign w:val="center"/>
          </w:tcPr>
          <w:p w14:paraId="68DE6084">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4分</w:t>
            </w:r>
          </w:p>
        </w:tc>
        <w:tc>
          <w:tcPr>
            <w:tcW w:w="1211" w:type="dxa"/>
            <w:tcBorders>
              <w:top w:val="single" w:color="auto" w:sz="4" w:space="0"/>
              <w:left w:val="nil"/>
              <w:bottom w:val="single" w:color="auto" w:sz="4" w:space="0"/>
              <w:right w:val="single" w:color="auto" w:sz="4" w:space="0"/>
            </w:tcBorders>
            <w:noWrap w:val="0"/>
            <w:vAlign w:val="center"/>
          </w:tcPr>
          <w:p w14:paraId="25EFC7FA">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w:t>
            </w:r>
          </w:p>
        </w:tc>
        <w:tc>
          <w:tcPr>
            <w:tcW w:w="1182" w:type="dxa"/>
            <w:tcBorders>
              <w:top w:val="single" w:color="auto" w:sz="4" w:space="0"/>
              <w:left w:val="nil"/>
              <w:bottom w:val="single" w:color="auto" w:sz="4" w:space="0"/>
              <w:right w:val="single" w:color="auto" w:sz="4" w:space="0"/>
            </w:tcBorders>
            <w:noWrap w:val="0"/>
            <w:vAlign w:val="center"/>
          </w:tcPr>
          <w:p w14:paraId="3219E724">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en-US" w:eastAsia="zh-CN"/>
              </w:rPr>
            </w:pPr>
          </w:p>
        </w:tc>
      </w:tr>
      <w:tr w14:paraId="521C5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235" w:type="dxa"/>
            <w:vMerge w:val="continue"/>
            <w:tcBorders>
              <w:left w:val="single" w:color="auto" w:sz="4" w:space="0"/>
              <w:right w:val="single" w:color="auto" w:sz="4" w:space="0"/>
            </w:tcBorders>
            <w:noWrap w:val="0"/>
            <w:vAlign w:val="center"/>
          </w:tcPr>
          <w:p w14:paraId="6277AAEB">
            <w:pPr>
              <w:rPr>
                <w:rFonts w:hint="default" w:ascii="Times New Roman" w:hAnsi="Times New Roman" w:cs="Times New Roman"/>
                <w:color w:val="auto"/>
                <w:sz w:val="20"/>
                <w:szCs w:val="20"/>
                <w:highlight w:val="green"/>
              </w:rPr>
            </w:pPr>
          </w:p>
        </w:tc>
        <w:tc>
          <w:tcPr>
            <w:tcW w:w="3593" w:type="dxa"/>
            <w:tcBorders>
              <w:top w:val="single" w:color="auto" w:sz="4" w:space="0"/>
              <w:left w:val="nil"/>
              <w:right w:val="single" w:color="auto" w:sz="4" w:space="0"/>
            </w:tcBorders>
            <w:noWrap w:val="0"/>
            <w:vAlign w:val="center"/>
          </w:tcPr>
          <w:p w14:paraId="0FAF11C5">
            <w:pPr>
              <w:widowControl/>
              <w:spacing w:line="360" w:lineRule="auto"/>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szCs w:val="21"/>
                <w:highlight w:val="none"/>
                <w:lang w:val="en-US" w:eastAsia="zh-CN"/>
              </w:rPr>
              <w:t>质量保障措施</w:t>
            </w:r>
          </w:p>
        </w:tc>
        <w:tc>
          <w:tcPr>
            <w:tcW w:w="1998" w:type="dxa"/>
            <w:tcBorders>
              <w:top w:val="single" w:color="auto" w:sz="4" w:space="0"/>
              <w:left w:val="nil"/>
              <w:bottom w:val="single" w:color="auto" w:sz="4" w:space="0"/>
              <w:right w:val="single" w:color="auto" w:sz="4" w:space="0"/>
            </w:tcBorders>
            <w:noWrap w:val="0"/>
            <w:vAlign w:val="center"/>
          </w:tcPr>
          <w:p w14:paraId="4952A734">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8分</w:t>
            </w:r>
          </w:p>
        </w:tc>
        <w:tc>
          <w:tcPr>
            <w:tcW w:w="1211" w:type="dxa"/>
            <w:tcBorders>
              <w:top w:val="single" w:color="auto" w:sz="4" w:space="0"/>
              <w:left w:val="nil"/>
              <w:bottom w:val="single" w:color="auto" w:sz="4" w:space="0"/>
              <w:right w:val="single" w:color="auto" w:sz="4" w:space="0"/>
            </w:tcBorders>
            <w:noWrap w:val="0"/>
            <w:vAlign w:val="center"/>
          </w:tcPr>
          <w:p w14:paraId="6CE17062">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w:t>
            </w:r>
          </w:p>
        </w:tc>
        <w:tc>
          <w:tcPr>
            <w:tcW w:w="1182" w:type="dxa"/>
            <w:tcBorders>
              <w:top w:val="single" w:color="auto" w:sz="4" w:space="0"/>
              <w:left w:val="nil"/>
              <w:bottom w:val="single" w:color="auto" w:sz="4" w:space="0"/>
              <w:right w:val="single" w:color="auto" w:sz="4" w:space="0"/>
            </w:tcBorders>
            <w:noWrap w:val="0"/>
            <w:vAlign w:val="center"/>
          </w:tcPr>
          <w:p w14:paraId="5D08749A">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en-US" w:eastAsia="zh-CN"/>
              </w:rPr>
            </w:pPr>
          </w:p>
        </w:tc>
      </w:tr>
      <w:tr w14:paraId="0F51B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235" w:type="dxa"/>
            <w:vMerge w:val="continue"/>
            <w:tcBorders>
              <w:left w:val="single" w:color="auto" w:sz="4" w:space="0"/>
              <w:right w:val="single" w:color="auto" w:sz="4" w:space="0"/>
            </w:tcBorders>
            <w:noWrap w:val="0"/>
            <w:vAlign w:val="center"/>
          </w:tcPr>
          <w:p w14:paraId="0EC32EA1">
            <w:pPr>
              <w:keepNext w:val="0"/>
              <w:keepLines w:val="0"/>
              <w:widowControl w:val="0"/>
              <w:suppressLineNumbers w:val="0"/>
              <w:spacing w:before="0" w:beforeAutospacing="0" w:after="0" w:afterAutospacing="0"/>
              <w:ind w:left="0" w:right="0"/>
              <w:jc w:val="center"/>
              <w:rPr>
                <w:color w:val="auto"/>
              </w:rPr>
            </w:pPr>
          </w:p>
        </w:tc>
        <w:tc>
          <w:tcPr>
            <w:tcW w:w="3593" w:type="dxa"/>
            <w:tcBorders>
              <w:left w:val="nil"/>
              <w:right w:val="single" w:color="auto" w:sz="4" w:space="0"/>
            </w:tcBorders>
            <w:noWrap w:val="0"/>
            <w:vAlign w:val="center"/>
          </w:tcPr>
          <w:p w14:paraId="344AA04C">
            <w:pPr>
              <w:keepNext w:val="0"/>
              <w:keepLines w:val="0"/>
              <w:widowControl w:val="0"/>
              <w:suppressLineNumbers w:val="0"/>
              <w:spacing w:before="0" w:beforeAutospacing="0" w:after="0" w:afterAutospacing="0"/>
              <w:ind w:left="0" w:right="0"/>
              <w:jc w:val="center"/>
              <w:rPr>
                <w:color w:val="auto"/>
              </w:rPr>
            </w:pPr>
            <w:r>
              <w:rPr>
                <w:rFonts w:hint="eastAsia" w:ascii="宋体" w:hAnsi="宋体" w:eastAsia="宋体" w:cs="宋体"/>
                <w:color w:val="auto"/>
                <w:szCs w:val="21"/>
                <w:highlight w:val="none"/>
                <w:lang w:val="en-US" w:eastAsia="zh-CN"/>
              </w:rPr>
              <w:t>安全保障措施</w:t>
            </w:r>
          </w:p>
        </w:tc>
        <w:tc>
          <w:tcPr>
            <w:tcW w:w="1998" w:type="dxa"/>
            <w:tcBorders>
              <w:top w:val="single" w:color="auto" w:sz="4" w:space="0"/>
              <w:left w:val="nil"/>
              <w:bottom w:val="single" w:color="auto" w:sz="4" w:space="0"/>
              <w:right w:val="single" w:color="auto" w:sz="4" w:space="0"/>
            </w:tcBorders>
            <w:noWrap w:val="0"/>
            <w:vAlign w:val="center"/>
          </w:tcPr>
          <w:p w14:paraId="1F7D7E53">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8分</w:t>
            </w:r>
          </w:p>
        </w:tc>
        <w:tc>
          <w:tcPr>
            <w:tcW w:w="1211" w:type="dxa"/>
            <w:tcBorders>
              <w:top w:val="single" w:color="auto" w:sz="4" w:space="0"/>
              <w:left w:val="nil"/>
              <w:bottom w:val="single" w:color="auto" w:sz="4" w:space="0"/>
              <w:right w:val="single" w:color="auto" w:sz="4" w:space="0"/>
            </w:tcBorders>
            <w:noWrap w:val="0"/>
            <w:vAlign w:val="center"/>
          </w:tcPr>
          <w:p w14:paraId="3F92BFAA">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w:t>
            </w:r>
          </w:p>
        </w:tc>
        <w:tc>
          <w:tcPr>
            <w:tcW w:w="1182" w:type="dxa"/>
            <w:tcBorders>
              <w:top w:val="single" w:color="auto" w:sz="4" w:space="0"/>
              <w:left w:val="nil"/>
              <w:bottom w:val="single" w:color="auto" w:sz="4" w:space="0"/>
              <w:right w:val="single" w:color="auto" w:sz="4" w:space="0"/>
            </w:tcBorders>
            <w:noWrap w:val="0"/>
            <w:vAlign w:val="center"/>
          </w:tcPr>
          <w:p w14:paraId="00C3B450">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en-US" w:eastAsia="zh-CN"/>
              </w:rPr>
            </w:pPr>
          </w:p>
        </w:tc>
      </w:tr>
      <w:tr w14:paraId="0BF24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235" w:type="dxa"/>
            <w:vMerge w:val="continue"/>
            <w:tcBorders>
              <w:left w:val="single" w:color="auto" w:sz="4" w:space="0"/>
              <w:right w:val="single" w:color="auto" w:sz="4" w:space="0"/>
            </w:tcBorders>
            <w:noWrap w:val="0"/>
            <w:vAlign w:val="center"/>
          </w:tcPr>
          <w:p w14:paraId="2AEE6EF6">
            <w:pPr>
              <w:keepNext w:val="0"/>
              <w:keepLines w:val="0"/>
              <w:widowControl w:val="0"/>
              <w:suppressLineNumbers w:val="0"/>
              <w:spacing w:before="0" w:beforeAutospacing="0" w:after="0" w:afterAutospacing="0"/>
              <w:ind w:left="0" w:right="0"/>
              <w:jc w:val="center"/>
              <w:rPr>
                <w:color w:val="auto"/>
              </w:rPr>
            </w:pPr>
          </w:p>
        </w:tc>
        <w:tc>
          <w:tcPr>
            <w:tcW w:w="3593" w:type="dxa"/>
            <w:tcBorders>
              <w:left w:val="nil"/>
              <w:right w:val="single" w:color="auto" w:sz="4" w:space="0"/>
            </w:tcBorders>
            <w:noWrap w:val="0"/>
            <w:vAlign w:val="center"/>
          </w:tcPr>
          <w:p w14:paraId="03910649">
            <w:pPr>
              <w:keepNext w:val="0"/>
              <w:keepLines w:val="0"/>
              <w:widowControl w:val="0"/>
              <w:suppressLineNumbers w:val="0"/>
              <w:spacing w:before="0" w:beforeAutospacing="0" w:after="0" w:afterAutospacing="0"/>
              <w:ind w:left="0" w:right="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档案管理方案</w:t>
            </w:r>
          </w:p>
        </w:tc>
        <w:tc>
          <w:tcPr>
            <w:tcW w:w="1998" w:type="dxa"/>
            <w:tcBorders>
              <w:top w:val="single" w:color="auto" w:sz="4" w:space="0"/>
              <w:left w:val="nil"/>
              <w:bottom w:val="single" w:color="auto" w:sz="4" w:space="0"/>
              <w:right w:val="single" w:color="auto" w:sz="4" w:space="0"/>
            </w:tcBorders>
            <w:noWrap w:val="0"/>
            <w:vAlign w:val="center"/>
          </w:tcPr>
          <w:p w14:paraId="2E82133C">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10分</w:t>
            </w:r>
          </w:p>
        </w:tc>
        <w:tc>
          <w:tcPr>
            <w:tcW w:w="1211" w:type="dxa"/>
            <w:tcBorders>
              <w:top w:val="single" w:color="auto" w:sz="4" w:space="0"/>
              <w:left w:val="nil"/>
              <w:bottom w:val="single" w:color="auto" w:sz="4" w:space="0"/>
              <w:right w:val="single" w:color="auto" w:sz="4" w:space="0"/>
            </w:tcBorders>
            <w:noWrap w:val="0"/>
            <w:vAlign w:val="center"/>
          </w:tcPr>
          <w:p w14:paraId="6690F78E">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w:t>
            </w:r>
          </w:p>
        </w:tc>
        <w:tc>
          <w:tcPr>
            <w:tcW w:w="1182" w:type="dxa"/>
            <w:tcBorders>
              <w:top w:val="single" w:color="auto" w:sz="4" w:space="0"/>
              <w:left w:val="nil"/>
              <w:bottom w:val="single" w:color="auto" w:sz="4" w:space="0"/>
              <w:right w:val="single" w:color="auto" w:sz="4" w:space="0"/>
            </w:tcBorders>
            <w:noWrap w:val="0"/>
            <w:vAlign w:val="center"/>
          </w:tcPr>
          <w:p w14:paraId="4FA534EE">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en-US" w:eastAsia="zh-CN"/>
              </w:rPr>
            </w:pPr>
          </w:p>
        </w:tc>
      </w:tr>
      <w:tr w14:paraId="7BBB9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235" w:type="dxa"/>
            <w:vMerge w:val="continue"/>
            <w:tcBorders>
              <w:left w:val="single" w:color="auto" w:sz="4" w:space="0"/>
              <w:right w:val="single" w:color="auto" w:sz="4" w:space="0"/>
            </w:tcBorders>
            <w:noWrap w:val="0"/>
            <w:vAlign w:val="center"/>
          </w:tcPr>
          <w:p w14:paraId="4D504F60">
            <w:pPr>
              <w:keepNext w:val="0"/>
              <w:keepLines w:val="0"/>
              <w:widowControl w:val="0"/>
              <w:suppressLineNumbers w:val="0"/>
              <w:spacing w:before="0" w:beforeAutospacing="0" w:after="0" w:afterAutospacing="0"/>
              <w:ind w:left="0" w:right="0"/>
              <w:jc w:val="center"/>
              <w:rPr>
                <w:color w:val="auto"/>
              </w:rPr>
            </w:pPr>
          </w:p>
        </w:tc>
        <w:tc>
          <w:tcPr>
            <w:tcW w:w="3593" w:type="dxa"/>
            <w:tcBorders>
              <w:left w:val="nil"/>
              <w:right w:val="single" w:color="auto" w:sz="4" w:space="0"/>
            </w:tcBorders>
            <w:noWrap w:val="0"/>
            <w:vAlign w:val="center"/>
          </w:tcPr>
          <w:p w14:paraId="26349E30">
            <w:pPr>
              <w:keepNext w:val="0"/>
              <w:keepLines w:val="0"/>
              <w:widowControl w:val="0"/>
              <w:suppressLineNumbers w:val="0"/>
              <w:spacing w:before="0" w:beforeAutospacing="0" w:after="0" w:afterAutospacing="0"/>
              <w:ind w:left="0" w:right="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应急方案及措施</w:t>
            </w:r>
          </w:p>
        </w:tc>
        <w:tc>
          <w:tcPr>
            <w:tcW w:w="1998" w:type="dxa"/>
            <w:tcBorders>
              <w:top w:val="single" w:color="auto" w:sz="4" w:space="0"/>
              <w:left w:val="nil"/>
              <w:bottom w:val="single" w:color="auto" w:sz="4" w:space="0"/>
              <w:right w:val="single" w:color="auto" w:sz="4" w:space="0"/>
            </w:tcBorders>
            <w:noWrap w:val="0"/>
            <w:vAlign w:val="center"/>
          </w:tcPr>
          <w:p w14:paraId="26B29FA3">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4分</w:t>
            </w:r>
          </w:p>
        </w:tc>
        <w:tc>
          <w:tcPr>
            <w:tcW w:w="1211" w:type="dxa"/>
            <w:tcBorders>
              <w:top w:val="single" w:color="auto" w:sz="4" w:space="0"/>
              <w:left w:val="nil"/>
              <w:bottom w:val="single" w:color="auto" w:sz="4" w:space="0"/>
              <w:right w:val="single" w:color="auto" w:sz="4" w:space="0"/>
            </w:tcBorders>
            <w:noWrap w:val="0"/>
            <w:vAlign w:val="center"/>
          </w:tcPr>
          <w:p w14:paraId="4A51E5B0">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w:t>
            </w:r>
          </w:p>
        </w:tc>
        <w:tc>
          <w:tcPr>
            <w:tcW w:w="1182" w:type="dxa"/>
            <w:tcBorders>
              <w:top w:val="single" w:color="auto" w:sz="4" w:space="0"/>
              <w:left w:val="nil"/>
              <w:bottom w:val="single" w:color="auto" w:sz="4" w:space="0"/>
              <w:right w:val="single" w:color="auto" w:sz="4" w:space="0"/>
            </w:tcBorders>
            <w:noWrap w:val="0"/>
            <w:vAlign w:val="center"/>
          </w:tcPr>
          <w:p w14:paraId="77600741">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en-US" w:eastAsia="zh-CN"/>
              </w:rPr>
            </w:pPr>
          </w:p>
        </w:tc>
      </w:tr>
      <w:tr w14:paraId="01173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235" w:type="dxa"/>
            <w:vMerge w:val="continue"/>
            <w:tcBorders>
              <w:left w:val="single" w:color="auto" w:sz="4" w:space="0"/>
              <w:right w:val="single" w:color="auto" w:sz="4" w:space="0"/>
            </w:tcBorders>
            <w:noWrap w:val="0"/>
            <w:vAlign w:val="center"/>
          </w:tcPr>
          <w:p w14:paraId="47E156A0">
            <w:pPr>
              <w:keepNext w:val="0"/>
              <w:keepLines w:val="0"/>
              <w:widowControl w:val="0"/>
              <w:suppressLineNumbers w:val="0"/>
              <w:spacing w:before="0" w:beforeAutospacing="0" w:after="0" w:afterAutospacing="0"/>
              <w:ind w:left="0" w:right="0"/>
              <w:jc w:val="center"/>
              <w:rPr>
                <w:rFonts w:hint="eastAsia" w:ascii="宋体" w:hAnsi="宋体" w:cs="宋体"/>
                <w:color w:val="auto"/>
                <w:kern w:val="2"/>
                <w:sz w:val="21"/>
                <w:szCs w:val="21"/>
                <w:highlight w:val="none"/>
                <w:lang w:val="en-US" w:eastAsia="zh-CN"/>
              </w:rPr>
            </w:pPr>
          </w:p>
        </w:tc>
        <w:tc>
          <w:tcPr>
            <w:tcW w:w="3593" w:type="dxa"/>
            <w:tcBorders>
              <w:left w:val="nil"/>
              <w:bottom w:val="single" w:color="auto" w:sz="4" w:space="0"/>
              <w:right w:val="single" w:color="auto" w:sz="4" w:space="0"/>
            </w:tcBorders>
            <w:noWrap w:val="0"/>
            <w:vAlign w:val="center"/>
          </w:tcPr>
          <w:p w14:paraId="44F85AC7">
            <w:pPr>
              <w:keepNext w:val="0"/>
              <w:keepLines w:val="0"/>
              <w:widowControl w:val="0"/>
              <w:suppressLineNumbers w:val="0"/>
              <w:spacing w:before="0" w:beforeAutospacing="0" w:after="0" w:afterAutospacing="0"/>
              <w:ind w:left="0" w:right="0"/>
              <w:jc w:val="center"/>
              <w:rPr>
                <w:rFonts w:hint="eastAsia" w:ascii="宋体" w:hAnsi="宋体" w:cs="宋体"/>
                <w:color w:val="auto"/>
                <w:kern w:val="2"/>
                <w:sz w:val="21"/>
                <w:szCs w:val="21"/>
                <w:highlight w:val="none"/>
                <w:lang w:val="en-US" w:eastAsia="zh-CN"/>
              </w:rPr>
            </w:pPr>
            <w:r>
              <w:rPr>
                <w:rFonts w:hint="eastAsia" w:ascii="宋体" w:hAnsi="宋体" w:eastAsia="宋体" w:cs="宋体"/>
                <w:color w:val="auto"/>
                <w:szCs w:val="21"/>
                <w:highlight w:val="none"/>
                <w:lang w:val="en-US" w:eastAsia="zh-CN"/>
              </w:rPr>
              <w:t>后续服务方案</w:t>
            </w:r>
          </w:p>
        </w:tc>
        <w:tc>
          <w:tcPr>
            <w:tcW w:w="1998" w:type="dxa"/>
            <w:tcBorders>
              <w:top w:val="single" w:color="auto" w:sz="4" w:space="0"/>
              <w:left w:val="nil"/>
              <w:bottom w:val="single" w:color="auto" w:sz="4" w:space="0"/>
              <w:right w:val="single" w:color="auto" w:sz="4" w:space="0"/>
            </w:tcBorders>
            <w:noWrap w:val="0"/>
            <w:vAlign w:val="center"/>
          </w:tcPr>
          <w:p w14:paraId="0B2B6AC7">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8分</w:t>
            </w:r>
          </w:p>
        </w:tc>
        <w:tc>
          <w:tcPr>
            <w:tcW w:w="1211" w:type="dxa"/>
            <w:tcBorders>
              <w:top w:val="single" w:color="auto" w:sz="4" w:space="0"/>
              <w:left w:val="nil"/>
              <w:bottom w:val="single" w:color="auto" w:sz="4" w:space="0"/>
              <w:right w:val="single" w:color="auto" w:sz="4" w:space="0"/>
            </w:tcBorders>
            <w:noWrap w:val="0"/>
            <w:vAlign w:val="center"/>
          </w:tcPr>
          <w:p w14:paraId="3F231759">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w:t>
            </w:r>
          </w:p>
        </w:tc>
        <w:tc>
          <w:tcPr>
            <w:tcW w:w="1182" w:type="dxa"/>
            <w:tcBorders>
              <w:top w:val="single" w:color="auto" w:sz="4" w:space="0"/>
              <w:left w:val="nil"/>
              <w:bottom w:val="single" w:color="auto" w:sz="4" w:space="0"/>
              <w:right w:val="single" w:color="auto" w:sz="4" w:space="0"/>
            </w:tcBorders>
            <w:noWrap w:val="0"/>
            <w:vAlign w:val="center"/>
          </w:tcPr>
          <w:p w14:paraId="5CCC7A4D">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en-US" w:eastAsia="zh-CN"/>
              </w:rPr>
            </w:pPr>
          </w:p>
        </w:tc>
      </w:tr>
      <w:tr w14:paraId="06BDE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235" w:type="dxa"/>
            <w:vMerge w:val="continue"/>
            <w:tcBorders>
              <w:left w:val="single" w:color="auto" w:sz="4" w:space="0"/>
              <w:bottom w:val="single" w:color="auto" w:sz="4" w:space="0"/>
              <w:right w:val="single" w:color="auto" w:sz="4" w:space="0"/>
            </w:tcBorders>
            <w:noWrap w:val="0"/>
            <w:vAlign w:val="center"/>
          </w:tcPr>
          <w:p w14:paraId="6D080B4C">
            <w:pPr>
              <w:rPr>
                <w:rFonts w:hint="default" w:ascii="Times New Roman" w:hAnsi="Times New Roman" w:cs="Times New Roman"/>
                <w:color w:val="auto"/>
                <w:sz w:val="20"/>
                <w:szCs w:val="20"/>
                <w:highlight w:val="green"/>
              </w:rPr>
            </w:pPr>
          </w:p>
        </w:tc>
        <w:tc>
          <w:tcPr>
            <w:tcW w:w="3593" w:type="dxa"/>
            <w:tcBorders>
              <w:top w:val="single" w:color="auto" w:sz="4" w:space="0"/>
              <w:left w:val="nil"/>
              <w:bottom w:val="single" w:color="auto" w:sz="4" w:space="0"/>
              <w:right w:val="single" w:color="auto" w:sz="4" w:space="0"/>
            </w:tcBorders>
            <w:noWrap w:val="0"/>
            <w:vAlign w:val="center"/>
          </w:tcPr>
          <w:p w14:paraId="108FB6EA">
            <w:pPr>
              <w:keepNext w:val="0"/>
              <w:keepLines w:val="0"/>
              <w:widowControl w:val="0"/>
              <w:suppressLineNumbers w:val="0"/>
              <w:spacing w:before="0" w:beforeAutospacing="0" w:after="0" w:afterAutospacing="0" w:line="380" w:lineRule="exact"/>
              <w:ind w:left="0" w:leftChars="0" w:right="0" w:rightChars="0"/>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合计</w:t>
            </w:r>
          </w:p>
        </w:tc>
        <w:tc>
          <w:tcPr>
            <w:tcW w:w="1998" w:type="dxa"/>
            <w:tcBorders>
              <w:top w:val="single" w:color="auto" w:sz="4" w:space="0"/>
              <w:left w:val="nil"/>
              <w:bottom w:val="single" w:color="auto" w:sz="4" w:space="0"/>
              <w:right w:val="single" w:color="auto" w:sz="4" w:space="0"/>
            </w:tcBorders>
            <w:noWrap w:val="0"/>
            <w:vAlign w:val="center"/>
          </w:tcPr>
          <w:p w14:paraId="19BC033E">
            <w:pPr>
              <w:keepNext w:val="0"/>
              <w:keepLines w:val="0"/>
              <w:widowControl w:val="0"/>
              <w:suppressLineNumbers w:val="0"/>
              <w:spacing w:before="0" w:beforeAutospacing="0" w:after="0" w:afterAutospacing="0"/>
              <w:ind w:left="0" w:leftChars="0" w:right="0" w:rightChars="0"/>
              <w:jc w:val="center"/>
              <w:rPr>
                <w:rFonts w:hint="eastAsia" w:ascii="宋体" w:hAnsi="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80</w:t>
            </w:r>
            <w:r>
              <w:rPr>
                <w:rFonts w:hint="eastAsia" w:ascii="宋体" w:hAnsi="宋体" w:eastAsia="宋体" w:cs="宋体"/>
                <w:color w:val="auto"/>
                <w:kern w:val="2"/>
                <w:sz w:val="21"/>
                <w:szCs w:val="21"/>
                <w:highlight w:val="none"/>
                <w:lang w:val="en-US" w:eastAsia="zh-CN" w:bidi="ar"/>
              </w:rPr>
              <w:t>分</w:t>
            </w:r>
          </w:p>
        </w:tc>
        <w:tc>
          <w:tcPr>
            <w:tcW w:w="2393" w:type="dxa"/>
            <w:gridSpan w:val="2"/>
            <w:tcBorders>
              <w:top w:val="single" w:color="auto" w:sz="4" w:space="0"/>
              <w:left w:val="nil"/>
              <w:bottom w:val="single" w:color="auto" w:sz="4" w:space="0"/>
              <w:right w:val="single" w:color="auto" w:sz="4" w:space="0"/>
            </w:tcBorders>
            <w:noWrap w:val="0"/>
            <w:vAlign w:val="center"/>
          </w:tcPr>
          <w:p w14:paraId="1C1EAFB1">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w:t>
            </w:r>
          </w:p>
        </w:tc>
      </w:tr>
    </w:tbl>
    <w:p w14:paraId="7C900897">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cs="宋体"/>
          <w:b/>
          <w:color w:val="auto"/>
          <w:kern w:val="0"/>
          <w:sz w:val="30"/>
          <w:szCs w:val="30"/>
          <w:highlight w:val="none"/>
          <w:lang w:eastAsia="zh-CN"/>
        </w:rPr>
      </w:pPr>
      <w:r>
        <w:rPr>
          <w:rFonts w:hint="eastAsia" w:ascii="宋体" w:hAnsi="宋体" w:cs="宋体"/>
          <w:b/>
          <w:color w:val="auto"/>
          <w:kern w:val="0"/>
          <w:sz w:val="30"/>
          <w:szCs w:val="30"/>
          <w:highlight w:val="none"/>
          <w:lang w:eastAsia="zh-CN"/>
        </w:rPr>
        <w:br w:type="page"/>
      </w:r>
    </w:p>
    <w:p w14:paraId="2D518D4E">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2"/>
        <w:rPr>
          <w:rFonts w:hint="eastAsia" w:ascii="宋体" w:hAnsi="宋体" w:cs="宋体"/>
          <w:b/>
          <w:color w:val="auto"/>
          <w:kern w:val="0"/>
          <w:sz w:val="30"/>
          <w:szCs w:val="30"/>
          <w:highlight w:val="none"/>
          <w:lang w:eastAsia="zh-CN"/>
        </w:rPr>
      </w:pPr>
      <w:r>
        <w:rPr>
          <w:rFonts w:hint="eastAsia" w:ascii="宋体" w:hAnsi="宋体" w:cs="宋体"/>
          <w:b/>
          <w:color w:val="auto"/>
          <w:kern w:val="0"/>
          <w:sz w:val="30"/>
          <w:szCs w:val="30"/>
          <w:highlight w:val="none"/>
          <w:lang w:val="en-US" w:eastAsia="zh-CN"/>
        </w:rPr>
        <w:t>二</w:t>
      </w:r>
      <w:r>
        <w:rPr>
          <w:rFonts w:hint="eastAsia" w:ascii="宋体" w:hAnsi="宋体" w:cs="宋体"/>
          <w:b/>
          <w:color w:val="auto"/>
          <w:kern w:val="0"/>
          <w:sz w:val="30"/>
          <w:szCs w:val="30"/>
          <w:highlight w:val="none"/>
          <w:lang w:eastAsia="zh-CN"/>
        </w:rPr>
        <w:t>、</w:t>
      </w:r>
      <w:r>
        <w:rPr>
          <w:rFonts w:hint="eastAsia" w:ascii="宋体" w:hAnsi="宋体" w:cs="宋体"/>
          <w:b/>
          <w:color w:val="auto"/>
          <w:kern w:val="0"/>
          <w:sz w:val="30"/>
          <w:szCs w:val="30"/>
          <w:highlight w:val="none"/>
          <w:lang w:val="en-US" w:eastAsia="zh-CN"/>
        </w:rPr>
        <w:t>企业</w:t>
      </w:r>
      <w:r>
        <w:rPr>
          <w:rFonts w:hint="eastAsia" w:ascii="宋体" w:hAnsi="宋体" w:cs="宋体"/>
          <w:b/>
          <w:color w:val="auto"/>
          <w:kern w:val="0"/>
          <w:sz w:val="30"/>
          <w:szCs w:val="30"/>
          <w:highlight w:val="none"/>
          <w:lang w:eastAsia="zh-CN"/>
        </w:rPr>
        <w:t>业绩</w:t>
      </w:r>
    </w:p>
    <w:p w14:paraId="36E8D1C6">
      <w:pPr>
        <w:pageBreakBefore w:val="0"/>
        <w:widowControl/>
        <w:kinsoku/>
        <w:wordWrap/>
        <w:topLinePunct w:val="0"/>
        <w:bidi w:val="0"/>
        <w:spacing w:line="50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项目名称:                     </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项目编号：</w:t>
      </w:r>
      <w:r>
        <w:rPr>
          <w:rFonts w:hint="eastAsia" w:ascii="宋体" w:hAnsi="宋体" w:cs="宋体"/>
          <w:color w:val="auto"/>
          <w:sz w:val="21"/>
          <w:szCs w:val="21"/>
          <w:lang w:val="en-US" w:eastAsia="zh-CN"/>
        </w:rPr>
        <w:t xml:space="preserve">                   标项：</w:t>
      </w:r>
    </w:p>
    <w:tbl>
      <w:tblPr>
        <w:tblStyle w:val="22"/>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432"/>
        <w:gridCol w:w="2160"/>
        <w:gridCol w:w="2823"/>
        <w:gridCol w:w="2224"/>
      </w:tblGrid>
      <w:tr w14:paraId="41572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816" w:type="dxa"/>
            <w:noWrap w:val="0"/>
            <w:vAlign w:val="center"/>
          </w:tcPr>
          <w:p w14:paraId="4FC34B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432" w:type="dxa"/>
            <w:noWrap w:val="0"/>
            <w:vAlign w:val="center"/>
          </w:tcPr>
          <w:p w14:paraId="037178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采购单位</w:t>
            </w:r>
          </w:p>
          <w:p w14:paraId="23D6C5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2160" w:type="dxa"/>
            <w:noWrap w:val="0"/>
            <w:vAlign w:val="center"/>
          </w:tcPr>
          <w:p w14:paraId="6004E2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2823" w:type="dxa"/>
            <w:noWrap w:val="0"/>
            <w:vAlign w:val="center"/>
          </w:tcPr>
          <w:p w14:paraId="5024FE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业绩类型</w:t>
            </w:r>
          </w:p>
        </w:tc>
        <w:tc>
          <w:tcPr>
            <w:tcW w:w="2224" w:type="dxa"/>
            <w:noWrap w:val="0"/>
            <w:vAlign w:val="center"/>
          </w:tcPr>
          <w:p w14:paraId="2DD726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采购单位联系人及联系电话</w:t>
            </w:r>
          </w:p>
        </w:tc>
      </w:tr>
      <w:tr w14:paraId="37694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816" w:type="dxa"/>
            <w:noWrap w:val="0"/>
            <w:vAlign w:val="center"/>
          </w:tcPr>
          <w:p w14:paraId="2AF893A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432" w:type="dxa"/>
            <w:noWrap w:val="0"/>
            <w:vAlign w:val="center"/>
          </w:tcPr>
          <w:p w14:paraId="612220B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160" w:type="dxa"/>
            <w:noWrap w:val="0"/>
            <w:vAlign w:val="center"/>
          </w:tcPr>
          <w:p w14:paraId="2E4D989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823" w:type="dxa"/>
            <w:noWrap w:val="0"/>
            <w:vAlign w:val="center"/>
          </w:tcPr>
          <w:p w14:paraId="6E215DF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224" w:type="dxa"/>
            <w:noWrap w:val="0"/>
            <w:vAlign w:val="center"/>
          </w:tcPr>
          <w:p w14:paraId="3458C46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358AC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16" w:type="dxa"/>
            <w:noWrap w:val="0"/>
            <w:vAlign w:val="center"/>
          </w:tcPr>
          <w:p w14:paraId="2B78156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432" w:type="dxa"/>
            <w:noWrap w:val="0"/>
            <w:vAlign w:val="center"/>
          </w:tcPr>
          <w:p w14:paraId="383E71B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0"/>
                <w:sz w:val="21"/>
                <w:szCs w:val="21"/>
                <w:highlight w:val="none"/>
              </w:rPr>
            </w:pPr>
          </w:p>
        </w:tc>
        <w:tc>
          <w:tcPr>
            <w:tcW w:w="2160" w:type="dxa"/>
            <w:noWrap w:val="0"/>
            <w:vAlign w:val="center"/>
          </w:tcPr>
          <w:p w14:paraId="7060324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0"/>
                <w:sz w:val="21"/>
                <w:szCs w:val="21"/>
                <w:highlight w:val="none"/>
              </w:rPr>
            </w:pPr>
          </w:p>
        </w:tc>
        <w:tc>
          <w:tcPr>
            <w:tcW w:w="2823" w:type="dxa"/>
            <w:noWrap w:val="0"/>
            <w:vAlign w:val="center"/>
          </w:tcPr>
          <w:p w14:paraId="155D0C3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0"/>
                <w:sz w:val="21"/>
                <w:szCs w:val="21"/>
                <w:highlight w:val="none"/>
              </w:rPr>
            </w:pPr>
          </w:p>
        </w:tc>
        <w:tc>
          <w:tcPr>
            <w:tcW w:w="2224" w:type="dxa"/>
            <w:noWrap w:val="0"/>
            <w:vAlign w:val="center"/>
          </w:tcPr>
          <w:p w14:paraId="48F4CD8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0"/>
                <w:sz w:val="21"/>
                <w:szCs w:val="21"/>
                <w:highlight w:val="none"/>
              </w:rPr>
            </w:pPr>
          </w:p>
        </w:tc>
      </w:tr>
      <w:tr w14:paraId="0AD5F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816" w:type="dxa"/>
            <w:noWrap w:val="0"/>
            <w:vAlign w:val="center"/>
          </w:tcPr>
          <w:p w14:paraId="1193E1B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432" w:type="dxa"/>
            <w:noWrap w:val="0"/>
            <w:vAlign w:val="center"/>
          </w:tcPr>
          <w:p w14:paraId="19701EF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0"/>
                <w:sz w:val="21"/>
                <w:szCs w:val="21"/>
                <w:highlight w:val="none"/>
              </w:rPr>
            </w:pPr>
          </w:p>
        </w:tc>
        <w:tc>
          <w:tcPr>
            <w:tcW w:w="2160" w:type="dxa"/>
            <w:noWrap w:val="0"/>
            <w:vAlign w:val="center"/>
          </w:tcPr>
          <w:p w14:paraId="3D5A306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0"/>
                <w:sz w:val="21"/>
                <w:szCs w:val="21"/>
                <w:highlight w:val="none"/>
              </w:rPr>
            </w:pPr>
          </w:p>
        </w:tc>
        <w:tc>
          <w:tcPr>
            <w:tcW w:w="2823" w:type="dxa"/>
            <w:noWrap w:val="0"/>
            <w:vAlign w:val="center"/>
          </w:tcPr>
          <w:p w14:paraId="392F4F5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0"/>
                <w:sz w:val="21"/>
                <w:szCs w:val="21"/>
                <w:highlight w:val="none"/>
              </w:rPr>
            </w:pPr>
          </w:p>
        </w:tc>
        <w:tc>
          <w:tcPr>
            <w:tcW w:w="2224" w:type="dxa"/>
            <w:noWrap w:val="0"/>
            <w:vAlign w:val="center"/>
          </w:tcPr>
          <w:p w14:paraId="637925F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0"/>
                <w:sz w:val="21"/>
                <w:szCs w:val="21"/>
                <w:highlight w:val="none"/>
              </w:rPr>
            </w:pPr>
          </w:p>
        </w:tc>
      </w:tr>
      <w:tr w14:paraId="10805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16" w:type="dxa"/>
            <w:noWrap w:val="0"/>
            <w:vAlign w:val="center"/>
          </w:tcPr>
          <w:p w14:paraId="40F5762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432" w:type="dxa"/>
            <w:noWrap w:val="0"/>
            <w:vAlign w:val="center"/>
          </w:tcPr>
          <w:p w14:paraId="0AF3974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0"/>
                <w:sz w:val="21"/>
                <w:szCs w:val="21"/>
                <w:highlight w:val="none"/>
              </w:rPr>
            </w:pPr>
          </w:p>
        </w:tc>
        <w:tc>
          <w:tcPr>
            <w:tcW w:w="2160" w:type="dxa"/>
            <w:noWrap w:val="0"/>
            <w:vAlign w:val="center"/>
          </w:tcPr>
          <w:p w14:paraId="33F0C54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0"/>
                <w:sz w:val="21"/>
                <w:szCs w:val="21"/>
                <w:highlight w:val="none"/>
              </w:rPr>
            </w:pPr>
          </w:p>
        </w:tc>
        <w:tc>
          <w:tcPr>
            <w:tcW w:w="2823" w:type="dxa"/>
            <w:noWrap w:val="0"/>
            <w:vAlign w:val="center"/>
          </w:tcPr>
          <w:p w14:paraId="63D601B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0"/>
                <w:sz w:val="21"/>
                <w:szCs w:val="21"/>
                <w:highlight w:val="none"/>
              </w:rPr>
            </w:pPr>
          </w:p>
        </w:tc>
        <w:tc>
          <w:tcPr>
            <w:tcW w:w="2224" w:type="dxa"/>
            <w:noWrap w:val="0"/>
            <w:vAlign w:val="center"/>
          </w:tcPr>
          <w:p w14:paraId="01D2CBC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0"/>
                <w:sz w:val="21"/>
                <w:szCs w:val="21"/>
                <w:highlight w:val="none"/>
              </w:rPr>
            </w:pPr>
          </w:p>
        </w:tc>
      </w:tr>
      <w:tr w14:paraId="36657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816" w:type="dxa"/>
            <w:noWrap w:val="0"/>
            <w:vAlign w:val="center"/>
          </w:tcPr>
          <w:p w14:paraId="2554564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432" w:type="dxa"/>
            <w:noWrap w:val="0"/>
            <w:vAlign w:val="center"/>
          </w:tcPr>
          <w:p w14:paraId="69E59DC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0"/>
                <w:sz w:val="21"/>
                <w:szCs w:val="21"/>
                <w:highlight w:val="none"/>
              </w:rPr>
            </w:pPr>
          </w:p>
        </w:tc>
        <w:tc>
          <w:tcPr>
            <w:tcW w:w="2160" w:type="dxa"/>
            <w:noWrap w:val="0"/>
            <w:vAlign w:val="center"/>
          </w:tcPr>
          <w:p w14:paraId="515266C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0"/>
                <w:sz w:val="21"/>
                <w:szCs w:val="21"/>
                <w:highlight w:val="none"/>
              </w:rPr>
            </w:pPr>
          </w:p>
        </w:tc>
        <w:tc>
          <w:tcPr>
            <w:tcW w:w="2823" w:type="dxa"/>
            <w:noWrap w:val="0"/>
            <w:vAlign w:val="center"/>
          </w:tcPr>
          <w:p w14:paraId="6C6199B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0"/>
                <w:sz w:val="21"/>
                <w:szCs w:val="21"/>
                <w:highlight w:val="none"/>
              </w:rPr>
            </w:pPr>
          </w:p>
        </w:tc>
        <w:tc>
          <w:tcPr>
            <w:tcW w:w="2224" w:type="dxa"/>
            <w:noWrap w:val="0"/>
            <w:vAlign w:val="center"/>
          </w:tcPr>
          <w:p w14:paraId="67E776F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0"/>
                <w:sz w:val="21"/>
                <w:szCs w:val="21"/>
                <w:highlight w:val="none"/>
              </w:rPr>
            </w:pPr>
          </w:p>
        </w:tc>
      </w:tr>
      <w:tr w14:paraId="6A7C1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16" w:type="dxa"/>
            <w:noWrap w:val="0"/>
            <w:vAlign w:val="center"/>
          </w:tcPr>
          <w:p w14:paraId="5B87A1D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432" w:type="dxa"/>
            <w:noWrap w:val="0"/>
            <w:vAlign w:val="center"/>
          </w:tcPr>
          <w:p w14:paraId="571E818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0"/>
                <w:sz w:val="21"/>
                <w:szCs w:val="21"/>
                <w:highlight w:val="none"/>
              </w:rPr>
            </w:pPr>
          </w:p>
        </w:tc>
        <w:tc>
          <w:tcPr>
            <w:tcW w:w="2160" w:type="dxa"/>
            <w:noWrap w:val="0"/>
            <w:vAlign w:val="center"/>
          </w:tcPr>
          <w:p w14:paraId="007C0D2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0"/>
                <w:sz w:val="21"/>
                <w:szCs w:val="21"/>
                <w:highlight w:val="none"/>
              </w:rPr>
            </w:pPr>
          </w:p>
        </w:tc>
        <w:tc>
          <w:tcPr>
            <w:tcW w:w="2823" w:type="dxa"/>
            <w:noWrap w:val="0"/>
            <w:vAlign w:val="center"/>
          </w:tcPr>
          <w:p w14:paraId="6F2F526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0"/>
                <w:sz w:val="21"/>
                <w:szCs w:val="21"/>
                <w:highlight w:val="none"/>
              </w:rPr>
            </w:pPr>
          </w:p>
        </w:tc>
        <w:tc>
          <w:tcPr>
            <w:tcW w:w="2224" w:type="dxa"/>
            <w:noWrap w:val="0"/>
            <w:vAlign w:val="center"/>
          </w:tcPr>
          <w:p w14:paraId="050851F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0"/>
                <w:sz w:val="21"/>
                <w:szCs w:val="21"/>
                <w:highlight w:val="none"/>
              </w:rPr>
            </w:pPr>
          </w:p>
        </w:tc>
      </w:tr>
      <w:tr w14:paraId="171F1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6" w:type="dxa"/>
            <w:noWrap w:val="0"/>
            <w:vAlign w:val="center"/>
          </w:tcPr>
          <w:p w14:paraId="73E0C81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432" w:type="dxa"/>
            <w:noWrap w:val="0"/>
            <w:vAlign w:val="center"/>
          </w:tcPr>
          <w:p w14:paraId="410AF5B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0"/>
                <w:sz w:val="21"/>
                <w:szCs w:val="21"/>
                <w:highlight w:val="none"/>
              </w:rPr>
            </w:pPr>
          </w:p>
        </w:tc>
        <w:tc>
          <w:tcPr>
            <w:tcW w:w="2160" w:type="dxa"/>
            <w:noWrap w:val="0"/>
            <w:vAlign w:val="center"/>
          </w:tcPr>
          <w:p w14:paraId="18C01DE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0"/>
                <w:sz w:val="21"/>
                <w:szCs w:val="21"/>
                <w:highlight w:val="none"/>
              </w:rPr>
            </w:pPr>
          </w:p>
        </w:tc>
        <w:tc>
          <w:tcPr>
            <w:tcW w:w="2823" w:type="dxa"/>
            <w:noWrap w:val="0"/>
            <w:vAlign w:val="center"/>
          </w:tcPr>
          <w:p w14:paraId="1F3FE87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0"/>
                <w:sz w:val="21"/>
                <w:szCs w:val="21"/>
                <w:highlight w:val="none"/>
              </w:rPr>
            </w:pPr>
          </w:p>
        </w:tc>
        <w:tc>
          <w:tcPr>
            <w:tcW w:w="2224" w:type="dxa"/>
            <w:noWrap w:val="0"/>
            <w:vAlign w:val="center"/>
          </w:tcPr>
          <w:p w14:paraId="06CECD9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0"/>
                <w:sz w:val="21"/>
                <w:szCs w:val="21"/>
                <w:highlight w:val="none"/>
              </w:rPr>
            </w:pPr>
          </w:p>
        </w:tc>
      </w:tr>
    </w:tbl>
    <w:p w14:paraId="25173264">
      <w:pPr>
        <w:keepNext w:val="0"/>
        <w:keepLines w:val="0"/>
        <w:pageBreakBefore w:val="0"/>
        <w:widowControl/>
        <w:kinsoku/>
        <w:wordWrap/>
        <w:overflowPunct/>
        <w:topLinePunct w:val="0"/>
        <w:autoSpaceDE/>
        <w:autoSpaceDN/>
        <w:bidi w:val="0"/>
        <w:adjustRightInd/>
        <w:snapToGrid w:val="0"/>
        <w:spacing w:line="500" w:lineRule="exact"/>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注：1、提供证明材料详见评分标准表，否则不得分；</w:t>
      </w:r>
    </w:p>
    <w:p w14:paraId="24EAC3FC">
      <w:pPr>
        <w:pageBreakBefore w:val="0"/>
        <w:widowControl/>
        <w:kinsoku/>
        <w:wordWrap/>
        <w:topLinePunct w:val="0"/>
        <w:bidi w:val="0"/>
        <w:spacing w:line="500" w:lineRule="exact"/>
        <w:ind w:firstLine="420" w:firstLineChars="200"/>
        <w:jc w:val="both"/>
        <w:outlineLvl w:val="9"/>
        <w:rPr>
          <w:rFonts w:hint="eastAsia" w:ascii="宋体" w:hAnsi="宋体" w:eastAsia="宋体" w:cs="宋体"/>
          <w:b/>
          <w:color w:val="auto"/>
          <w:kern w:val="0"/>
          <w:sz w:val="21"/>
          <w:szCs w:val="21"/>
          <w:highlight w:val="none"/>
          <w:lang w:eastAsia="zh-CN"/>
        </w:rPr>
      </w:pPr>
      <w:r>
        <w:rPr>
          <w:rFonts w:hint="eastAsia" w:ascii="宋体" w:hAnsi="宋体" w:cs="宋体"/>
          <w:color w:val="auto"/>
          <w:sz w:val="21"/>
          <w:szCs w:val="21"/>
          <w:lang w:eastAsia="zh-CN"/>
        </w:rPr>
        <w:t>2、在填写时，如本表格不适合响应人的实际情况，可根据本表格式自行划表填写。</w:t>
      </w:r>
    </w:p>
    <w:p w14:paraId="0C6893B3">
      <w:pPr>
        <w:pageBreakBefore w:val="0"/>
        <w:widowControl/>
        <w:kinsoku/>
        <w:wordWrap/>
        <w:topLinePunct w:val="0"/>
        <w:bidi w:val="0"/>
        <w:spacing w:line="500" w:lineRule="exact"/>
        <w:jc w:val="center"/>
        <w:outlineLvl w:val="9"/>
        <w:rPr>
          <w:rFonts w:hint="eastAsia" w:ascii="宋体" w:hAnsi="宋体" w:eastAsia="宋体" w:cs="宋体"/>
          <w:b/>
          <w:color w:val="auto"/>
          <w:kern w:val="0"/>
          <w:sz w:val="21"/>
          <w:szCs w:val="21"/>
          <w:highlight w:val="none"/>
          <w:lang w:eastAsia="zh-CN"/>
        </w:rPr>
      </w:pPr>
    </w:p>
    <w:p w14:paraId="325DF3C2">
      <w:pPr>
        <w:pageBreakBefore w:val="0"/>
        <w:kinsoku/>
        <w:wordWrap/>
        <w:topLinePunct w:val="0"/>
        <w:bidi w:val="0"/>
        <w:spacing w:line="500" w:lineRule="exact"/>
        <w:ind w:firstLine="3360" w:firstLineChars="1600"/>
        <w:rPr>
          <w:rFonts w:hint="eastAsia" w:ascii="宋体" w:hAnsi="宋体" w:eastAsia="宋体" w:cs="宋体"/>
          <w:strike w:val="0"/>
          <w:dstrike w:val="0"/>
          <w:color w:val="auto"/>
          <w:sz w:val="21"/>
          <w:szCs w:val="21"/>
          <w:highlight w:val="none"/>
          <w:lang w:eastAsia="zh-CN"/>
        </w:rPr>
      </w:pPr>
    </w:p>
    <w:p w14:paraId="08DD8523">
      <w:pPr>
        <w:pageBreakBefore w:val="0"/>
        <w:kinsoku/>
        <w:wordWrap/>
        <w:topLinePunct w:val="0"/>
        <w:bidi w:val="0"/>
        <w:spacing w:line="500" w:lineRule="exact"/>
        <w:ind w:firstLine="3360" w:firstLineChars="1600"/>
        <w:rPr>
          <w:rFonts w:hint="eastAsia" w:ascii="宋体" w:hAnsi="宋体" w:eastAsia="宋体" w:cs="宋体"/>
          <w:strike w:val="0"/>
          <w:dstrike w:val="0"/>
          <w:color w:val="auto"/>
          <w:sz w:val="21"/>
          <w:szCs w:val="21"/>
          <w:highlight w:val="none"/>
          <w:lang w:eastAsia="zh-CN"/>
        </w:rPr>
      </w:pPr>
    </w:p>
    <w:p w14:paraId="7E5C728E">
      <w:pPr>
        <w:pageBreakBefore w:val="0"/>
        <w:kinsoku/>
        <w:wordWrap/>
        <w:topLinePunct w:val="0"/>
        <w:bidi w:val="0"/>
        <w:spacing w:line="500" w:lineRule="exact"/>
        <w:ind w:firstLine="3360" w:firstLineChars="1600"/>
        <w:rPr>
          <w:rFonts w:hint="eastAsia" w:ascii="宋体" w:hAnsi="宋体" w:eastAsia="宋体" w:cs="宋体"/>
          <w:strike w:val="0"/>
          <w:dstrike w:val="0"/>
          <w:color w:val="auto"/>
          <w:sz w:val="21"/>
          <w:szCs w:val="21"/>
          <w:highlight w:val="none"/>
        </w:rPr>
      </w:pPr>
      <w:r>
        <w:rPr>
          <w:rFonts w:hint="eastAsia" w:ascii="宋体" w:hAnsi="宋体" w:cs="宋体"/>
          <w:strike w:val="0"/>
          <w:dstrike w:val="0"/>
          <w:color w:val="auto"/>
          <w:sz w:val="21"/>
          <w:szCs w:val="21"/>
          <w:highlight w:val="none"/>
          <w:lang w:eastAsia="zh-CN"/>
        </w:rPr>
        <w:t>投标人</w:t>
      </w:r>
      <w:r>
        <w:rPr>
          <w:rFonts w:hint="eastAsia" w:ascii="宋体" w:hAnsi="宋体" w:eastAsia="宋体" w:cs="宋体"/>
          <w:strike w:val="0"/>
          <w:dstrike w:val="0"/>
          <w:color w:val="auto"/>
          <w:sz w:val="21"/>
          <w:szCs w:val="21"/>
          <w:highlight w:val="none"/>
          <w:lang w:eastAsia="zh-CN"/>
        </w:rPr>
        <w:t>全称（电子签章）</w:t>
      </w:r>
      <w:r>
        <w:rPr>
          <w:rFonts w:hint="eastAsia" w:ascii="宋体" w:hAnsi="宋体" w:eastAsia="宋体" w:cs="宋体"/>
          <w:strike w:val="0"/>
          <w:dstrike w:val="0"/>
          <w:color w:val="auto"/>
          <w:sz w:val="21"/>
          <w:szCs w:val="21"/>
          <w:highlight w:val="none"/>
        </w:rPr>
        <w:t>：</w:t>
      </w:r>
      <w:r>
        <w:rPr>
          <w:rFonts w:hint="eastAsia" w:ascii="宋体" w:hAnsi="宋体" w:eastAsia="宋体" w:cs="宋体"/>
          <w:strike w:val="0"/>
          <w:dstrike w:val="0"/>
          <w:color w:val="auto"/>
          <w:sz w:val="21"/>
          <w:szCs w:val="21"/>
          <w:highlight w:val="none"/>
          <w:u w:val="single"/>
        </w:rPr>
        <w:t xml:space="preserve">                    </w:t>
      </w:r>
    </w:p>
    <w:p w14:paraId="069CA0AF">
      <w:pPr>
        <w:pageBreakBefore w:val="0"/>
        <w:widowControl/>
        <w:kinsoku/>
        <w:wordWrap/>
        <w:topLinePunct w:val="0"/>
        <w:bidi w:val="0"/>
        <w:snapToGrid w:val="0"/>
        <w:spacing w:line="500" w:lineRule="exact"/>
        <w:ind w:firstLine="3360" w:firstLineChars="1600"/>
        <w:textAlignment w:val="baseline"/>
        <w:rPr>
          <w:rFonts w:hint="eastAsia" w:ascii="宋体" w:hAnsi="宋体" w:eastAsia="宋体" w:cs="宋体"/>
          <w:b/>
          <w:strike w:val="0"/>
          <w:dstrike w:val="0"/>
          <w:color w:val="auto"/>
          <w:sz w:val="21"/>
          <w:szCs w:val="21"/>
          <w:highlight w:val="none"/>
        </w:rPr>
      </w:pPr>
      <w:r>
        <w:rPr>
          <w:rFonts w:hint="eastAsia" w:ascii="宋体" w:hAnsi="宋体" w:eastAsia="宋体" w:cs="宋体"/>
          <w:strike w:val="0"/>
          <w:dstrike w:val="0"/>
          <w:color w:val="auto"/>
          <w:sz w:val="21"/>
          <w:szCs w:val="21"/>
          <w:highlight w:val="none"/>
        </w:rPr>
        <w:t>日</w:t>
      </w:r>
      <w:r>
        <w:rPr>
          <w:rFonts w:hint="eastAsia" w:ascii="宋体" w:hAnsi="宋体" w:cs="宋体"/>
          <w:strike w:val="0"/>
          <w:dstrike w:val="0"/>
          <w:color w:val="auto"/>
          <w:sz w:val="21"/>
          <w:szCs w:val="21"/>
          <w:highlight w:val="none"/>
          <w:lang w:val="en-US" w:eastAsia="zh-CN"/>
        </w:rPr>
        <w:t xml:space="preserve">     </w:t>
      </w:r>
      <w:r>
        <w:rPr>
          <w:rFonts w:hint="eastAsia" w:ascii="宋体" w:hAnsi="宋体" w:eastAsia="宋体" w:cs="宋体"/>
          <w:strike w:val="0"/>
          <w:dstrike w:val="0"/>
          <w:color w:val="auto"/>
          <w:sz w:val="21"/>
          <w:szCs w:val="21"/>
          <w:highlight w:val="none"/>
        </w:rPr>
        <w:t xml:space="preserve"> 期：</w:t>
      </w:r>
      <w:r>
        <w:rPr>
          <w:rFonts w:hint="eastAsia" w:ascii="宋体" w:hAnsi="宋体" w:eastAsia="宋体" w:cs="宋体"/>
          <w:strike w:val="0"/>
          <w:dstrike w:val="0"/>
          <w:color w:val="auto"/>
          <w:sz w:val="21"/>
          <w:szCs w:val="21"/>
          <w:highlight w:val="none"/>
          <w:u w:val="single"/>
        </w:rPr>
        <w:t xml:space="preserve">                                </w:t>
      </w:r>
    </w:p>
    <w:p w14:paraId="18789AEC">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cs="宋体"/>
          <w:b/>
          <w:color w:val="auto"/>
          <w:kern w:val="0"/>
          <w:sz w:val="30"/>
          <w:szCs w:val="30"/>
          <w:highlight w:val="none"/>
          <w:lang w:eastAsia="zh-CN"/>
        </w:rPr>
      </w:pPr>
      <w:r>
        <w:rPr>
          <w:rFonts w:hint="eastAsia" w:ascii="宋体" w:hAnsi="宋体" w:cs="宋体"/>
          <w:b/>
          <w:color w:val="auto"/>
          <w:kern w:val="0"/>
          <w:sz w:val="30"/>
          <w:szCs w:val="30"/>
          <w:highlight w:val="none"/>
          <w:lang w:val="en-US" w:eastAsia="zh-CN"/>
        </w:rPr>
        <w:br w:type="page"/>
      </w:r>
    </w:p>
    <w:p w14:paraId="6739E8F2">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2"/>
        <w:rPr>
          <w:rFonts w:hint="default"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三、项目组成人员</w:t>
      </w:r>
    </w:p>
    <w:p w14:paraId="43CCEC10">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2"/>
          <w:szCs w:val="32"/>
          <w:highlight w:val="none"/>
          <w:lang w:val="en-US" w:eastAsia="zh-CN"/>
        </w:rPr>
      </w:pPr>
    </w:p>
    <w:p w14:paraId="7E6619B7">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2"/>
          <w:szCs w:val="32"/>
          <w:highlight w:val="none"/>
          <w:lang w:val="en-US" w:eastAsia="zh-CN"/>
        </w:rPr>
      </w:pPr>
    </w:p>
    <w:p w14:paraId="52FA8E0E">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2"/>
          <w:szCs w:val="32"/>
          <w:highlight w:val="none"/>
          <w:lang w:val="en-US" w:eastAsia="zh-CN"/>
        </w:rPr>
      </w:pPr>
    </w:p>
    <w:p w14:paraId="59C51EF2">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2"/>
          <w:szCs w:val="32"/>
          <w:highlight w:val="none"/>
          <w:lang w:val="en-US" w:eastAsia="zh-CN"/>
        </w:rPr>
      </w:pPr>
    </w:p>
    <w:p w14:paraId="1E8DD707">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2"/>
          <w:szCs w:val="32"/>
          <w:highlight w:val="none"/>
          <w:lang w:val="en-US" w:eastAsia="zh-CN"/>
        </w:rPr>
      </w:pPr>
    </w:p>
    <w:p w14:paraId="1C3E2E30">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2"/>
          <w:szCs w:val="32"/>
          <w:highlight w:val="none"/>
          <w:lang w:val="en-US" w:eastAsia="zh-CN"/>
        </w:rPr>
      </w:pPr>
    </w:p>
    <w:p w14:paraId="314B3523">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2"/>
          <w:szCs w:val="32"/>
          <w:highlight w:val="none"/>
          <w:lang w:val="en-US" w:eastAsia="zh-CN"/>
        </w:rPr>
      </w:pPr>
    </w:p>
    <w:p w14:paraId="1771F3C6">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2"/>
          <w:szCs w:val="32"/>
          <w:highlight w:val="none"/>
          <w:lang w:val="en-US" w:eastAsia="zh-CN"/>
        </w:rPr>
      </w:pPr>
    </w:p>
    <w:p w14:paraId="19501F91">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2"/>
          <w:szCs w:val="32"/>
          <w:highlight w:val="none"/>
          <w:lang w:val="en-US" w:eastAsia="zh-CN"/>
        </w:rPr>
      </w:pPr>
    </w:p>
    <w:p w14:paraId="7BC4D861">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2"/>
          <w:szCs w:val="32"/>
          <w:highlight w:val="none"/>
          <w:lang w:val="en-US" w:eastAsia="zh-CN"/>
        </w:rPr>
      </w:pPr>
    </w:p>
    <w:p w14:paraId="39482035">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2"/>
          <w:szCs w:val="32"/>
          <w:highlight w:val="none"/>
          <w:lang w:val="en-US" w:eastAsia="zh-CN"/>
        </w:rPr>
      </w:pPr>
    </w:p>
    <w:p w14:paraId="2BFAE092">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2"/>
          <w:szCs w:val="32"/>
          <w:highlight w:val="none"/>
          <w:lang w:val="en-US" w:eastAsia="zh-CN"/>
        </w:rPr>
      </w:pPr>
    </w:p>
    <w:p w14:paraId="58046404">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2"/>
          <w:szCs w:val="32"/>
          <w:highlight w:val="none"/>
          <w:lang w:val="en-US" w:eastAsia="zh-CN"/>
        </w:rPr>
      </w:pPr>
    </w:p>
    <w:p w14:paraId="27707796">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2"/>
          <w:szCs w:val="32"/>
          <w:highlight w:val="none"/>
          <w:lang w:val="en-US" w:eastAsia="zh-CN"/>
        </w:rPr>
      </w:pPr>
    </w:p>
    <w:p w14:paraId="39AAF9FA">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2"/>
          <w:szCs w:val="32"/>
          <w:highlight w:val="none"/>
          <w:lang w:val="en-US" w:eastAsia="zh-CN"/>
        </w:rPr>
      </w:pPr>
    </w:p>
    <w:p w14:paraId="161EADAD">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2"/>
          <w:szCs w:val="32"/>
          <w:highlight w:val="none"/>
          <w:lang w:val="en-US" w:eastAsia="zh-CN"/>
        </w:rPr>
      </w:pPr>
    </w:p>
    <w:p w14:paraId="13356BF0">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2"/>
          <w:szCs w:val="32"/>
          <w:highlight w:val="none"/>
          <w:lang w:val="en-US" w:eastAsia="zh-CN"/>
        </w:rPr>
      </w:pPr>
    </w:p>
    <w:p w14:paraId="33B18F0E">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2"/>
          <w:szCs w:val="32"/>
          <w:highlight w:val="none"/>
          <w:lang w:val="en-US" w:eastAsia="zh-CN"/>
        </w:rPr>
      </w:pPr>
    </w:p>
    <w:p w14:paraId="069EAB9B">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2"/>
          <w:szCs w:val="32"/>
          <w:highlight w:val="none"/>
          <w:lang w:val="en-US" w:eastAsia="zh-CN"/>
        </w:rPr>
      </w:pPr>
    </w:p>
    <w:p w14:paraId="6AEFAA47">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2"/>
          <w:szCs w:val="32"/>
          <w:highlight w:val="none"/>
          <w:lang w:val="en-US" w:eastAsia="zh-CN"/>
        </w:rPr>
      </w:pPr>
    </w:p>
    <w:p w14:paraId="30A686C0">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2"/>
          <w:szCs w:val="32"/>
          <w:highlight w:val="none"/>
          <w:lang w:val="en-US" w:eastAsia="zh-CN"/>
        </w:rPr>
      </w:pPr>
    </w:p>
    <w:p w14:paraId="257AB65F">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2"/>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四、监理工作实施方案</w:t>
      </w:r>
    </w:p>
    <w:p w14:paraId="5C404FD7">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653B301C">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3DA9072E">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088335F3">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6F882B5F">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35F9EB6F">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3D5731D3">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53FE54E4">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2AA8767A">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1EBA37D7">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6A47ACB4">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76D6CA8A">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1A765B3B">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14BCBEBB">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244B587A">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085FA291">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4EE81743">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5039B574">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138ECC01">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444F621C">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7D709E1C">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26B992CD">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2"/>
        <w:rPr>
          <w:rFonts w:hint="default"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五、技术力量投入及设施保障</w:t>
      </w:r>
    </w:p>
    <w:p w14:paraId="144BDFC3">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44BE3A77">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7CB87430">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53EA38EF">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7DECA7C8">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40D30288">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0C9167F1">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0E175D1D">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6D2F74EB">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31E18C09">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3C52E791">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4B05DAE6">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1C925641">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2237E8D8">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2C337F34">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16A4AEB9">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4DBF0738">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11D7EE91">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68B2BAB7">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00FA6C41">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6F651070">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597C780E">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2"/>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六、质量保障措施</w:t>
      </w:r>
    </w:p>
    <w:p w14:paraId="16B64724">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36CE70C4">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65D8C6A4">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40C6E7E1">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62C84354">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310F162F">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6D20CBFA">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41CACECF">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62CF3C9E">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6E07A19D">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6A8701CF">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49495B84">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094C75B3">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64E23B91">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2A396A8B">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1F79FE15">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45819755">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23BF558A">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63E87B69">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2DA906DC">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7E849EEC">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5DC26111">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2"/>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七、安全保障措施</w:t>
      </w:r>
    </w:p>
    <w:p w14:paraId="3827DA3D">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6EF9CED3">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2B3488DE">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028CC71A">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2F257750">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61F48638">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78EC5317">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3120EBB3">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655D5B4C">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6C003274">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77AA4E25">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012398AF">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3D2B8C6C">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0F9BA623">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3718526A">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5C06DF6F">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217DB9F2">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137D80A0">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6A6A3245">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5F5B2077">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2209BF3E">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3EE45857">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2"/>
        <w:rPr>
          <w:rFonts w:hint="default"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八、档案管理方案</w:t>
      </w:r>
    </w:p>
    <w:p w14:paraId="4938330B">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182FC8C0">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37AB968F">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06B7B6E5">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3B312C8D">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06821B81">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194B0F4B">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5C70D489">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19F8EDD1">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2AC4AFF2">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6495F203">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4961146C">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05C8E6C9">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5C1A6DAC">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0A0949AC">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3B2AE1D1">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72EFAC1B">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536B1B2B">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76664D87">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13690AF9">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093198FA">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370FB1C2">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2"/>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九、应急方案及措施</w:t>
      </w:r>
    </w:p>
    <w:p w14:paraId="7F5FCCA7">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36856806">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389AEB5F">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424E03ED">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637B65F2">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0E44E3E8">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1D78A591">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013437C4">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722F0C69">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4FD0C68D">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6AB92296">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41CFB904">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640EC81C">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2135B2D2">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2297B8E6">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7C6AB300">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1947D9F9">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1F02E295">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45CD1178">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0555C2DC">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66919739">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55657F80">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2"/>
        <w:rPr>
          <w:rFonts w:hint="default"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十、后续服务方案</w:t>
      </w:r>
    </w:p>
    <w:p w14:paraId="6BFACE83">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2264C398">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2FA7AD1D">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58A2C11C">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2A499B13">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3FD79683">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2FCA0621">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44BE923D">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7C00C264">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393B6A1F">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61C010DC">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251B5790">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65ED426C">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400649BC">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189484D9">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094E630C">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597CE9D1">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45DF7D06">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119E0A10">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0D0F2D81">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3F81E1C7">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18F3437C">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2"/>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十一、投标人需要说明的其他文件和说明</w:t>
      </w:r>
    </w:p>
    <w:p w14:paraId="39CF2869">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7FD0BC87">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153776E2">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09756C8D">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0F16A494">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46BF2D56">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2EE7DCA7">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53253109">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61FC26C8">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5902B8FC">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668EE5F5">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5B405059">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687DE3D2">
      <w:pPr>
        <w:pStyle w:val="9"/>
        <w:rPr>
          <w:rFonts w:hint="eastAsia" w:ascii="宋体" w:hAnsi="宋体" w:eastAsia="宋体" w:cs="宋体"/>
          <w:b/>
          <w:color w:val="auto"/>
          <w:kern w:val="0"/>
          <w:sz w:val="30"/>
          <w:szCs w:val="30"/>
          <w:highlight w:val="none"/>
          <w:lang w:val="en-US" w:eastAsia="zh-CN"/>
        </w:rPr>
      </w:pPr>
    </w:p>
    <w:p w14:paraId="7CE807B2">
      <w:pPr>
        <w:rPr>
          <w:rFonts w:hint="eastAsia" w:ascii="宋体" w:hAnsi="宋体" w:eastAsia="宋体" w:cs="宋体"/>
          <w:b/>
          <w:color w:val="auto"/>
          <w:kern w:val="0"/>
          <w:sz w:val="30"/>
          <w:szCs w:val="30"/>
          <w:highlight w:val="none"/>
          <w:lang w:val="en-US" w:eastAsia="zh-CN"/>
        </w:rPr>
      </w:pPr>
    </w:p>
    <w:p w14:paraId="072A2440">
      <w:pPr>
        <w:pStyle w:val="9"/>
        <w:rPr>
          <w:rFonts w:hint="eastAsia" w:ascii="宋体" w:hAnsi="宋体" w:eastAsia="宋体" w:cs="宋体"/>
          <w:b/>
          <w:color w:val="auto"/>
          <w:kern w:val="0"/>
          <w:sz w:val="30"/>
          <w:szCs w:val="30"/>
          <w:highlight w:val="none"/>
          <w:lang w:val="en-US" w:eastAsia="zh-CN"/>
        </w:rPr>
      </w:pPr>
    </w:p>
    <w:p w14:paraId="497F817A">
      <w:pPr>
        <w:rPr>
          <w:rFonts w:hint="eastAsia" w:ascii="宋体" w:hAnsi="宋体" w:eastAsia="宋体" w:cs="宋体"/>
          <w:b/>
          <w:color w:val="auto"/>
          <w:kern w:val="0"/>
          <w:sz w:val="30"/>
          <w:szCs w:val="30"/>
          <w:highlight w:val="none"/>
          <w:lang w:val="en-US" w:eastAsia="zh-CN"/>
        </w:rPr>
      </w:pPr>
    </w:p>
    <w:p w14:paraId="46F1C7D0">
      <w:pPr>
        <w:pStyle w:val="9"/>
        <w:rPr>
          <w:rFonts w:hint="eastAsia" w:ascii="宋体" w:hAnsi="宋体" w:eastAsia="宋体" w:cs="宋体"/>
          <w:b/>
          <w:color w:val="auto"/>
          <w:kern w:val="0"/>
          <w:sz w:val="30"/>
          <w:szCs w:val="30"/>
          <w:highlight w:val="none"/>
          <w:lang w:val="en-US" w:eastAsia="zh-CN"/>
        </w:rPr>
      </w:pPr>
    </w:p>
    <w:p w14:paraId="0E6B9A5B">
      <w:pPr>
        <w:rPr>
          <w:rFonts w:hint="eastAsia" w:ascii="宋体" w:hAnsi="宋体" w:eastAsia="宋体" w:cs="宋体"/>
          <w:b/>
          <w:color w:val="auto"/>
          <w:kern w:val="0"/>
          <w:sz w:val="30"/>
          <w:szCs w:val="30"/>
          <w:highlight w:val="none"/>
          <w:lang w:val="en-US" w:eastAsia="zh-CN"/>
        </w:rPr>
      </w:pPr>
    </w:p>
    <w:p w14:paraId="20031949">
      <w:pPr>
        <w:pStyle w:val="9"/>
        <w:rPr>
          <w:rFonts w:hint="eastAsia" w:ascii="宋体" w:hAnsi="宋体" w:eastAsia="宋体" w:cs="宋体"/>
          <w:b/>
          <w:color w:val="auto"/>
          <w:kern w:val="0"/>
          <w:sz w:val="30"/>
          <w:szCs w:val="30"/>
          <w:highlight w:val="none"/>
          <w:lang w:val="en-US" w:eastAsia="zh-CN"/>
        </w:rPr>
      </w:pPr>
    </w:p>
    <w:p w14:paraId="6B30C68D">
      <w:pPr>
        <w:rPr>
          <w:rFonts w:hint="eastAsia" w:ascii="宋体" w:hAnsi="宋体" w:eastAsia="宋体" w:cs="宋体"/>
          <w:b/>
          <w:color w:val="auto"/>
          <w:kern w:val="0"/>
          <w:sz w:val="30"/>
          <w:szCs w:val="30"/>
          <w:highlight w:val="none"/>
          <w:lang w:val="en-US" w:eastAsia="zh-CN"/>
        </w:rPr>
      </w:pPr>
    </w:p>
    <w:p w14:paraId="5114F72B">
      <w:pPr>
        <w:pStyle w:val="9"/>
        <w:rPr>
          <w:rFonts w:hint="eastAsia" w:ascii="宋体" w:hAnsi="宋体" w:eastAsia="宋体" w:cs="宋体"/>
          <w:b/>
          <w:color w:val="auto"/>
          <w:kern w:val="0"/>
          <w:sz w:val="30"/>
          <w:szCs w:val="30"/>
          <w:highlight w:val="none"/>
          <w:lang w:val="en-US" w:eastAsia="zh-CN"/>
        </w:rPr>
      </w:pPr>
    </w:p>
    <w:p w14:paraId="5FC95D32">
      <w:pPr>
        <w:jc w:val="center"/>
        <w:outlineLvl w:val="9"/>
        <w:rPr>
          <w:rFonts w:hint="eastAsia"/>
          <w:color w:val="auto"/>
          <w:lang w:val="en-US" w:eastAsia="zh-CN"/>
        </w:rPr>
      </w:pPr>
    </w:p>
    <w:p w14:paraId="625F103D">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9"/>
        <w:rPr>
          <w:rFonts w:hint="eastAsia" w:ascii="宋体" w:hAnsi="宋体" w:eastAsia="宋体" w:cs="宋体"/>
          <w:b/>
          <w:color w:val="auto"/>
          <w:kern w:val="0"/>
          <w:sz w:val="30"/>
          <w:szCs w:val="30"/>
          <w:highlight w:val="none"/>
          <w:lang w:val="en-US" w:eastAsia="zh-CN"/>
        </w:rPr>
      </w:pPr>
    </w:p>
    <w:p w14:paraId="1FC364F8">
      <w:pPr>
        <w:jc w:val="center"/>
        <w:outlineLvl w:val="9"/>
        <w:rPr>
          <w:rFonts w:hint="eastAsia"/>
          <w:color w:val="auto"/>
          <w:lang w:val="en-US" w:eastAsia="zh-CN"/>
        </w:rPr>
      </w:pPr>
    </w:p>
    <w:p w14:paraId="321D4ADB">
      <w:pPr>
        <w:jc w:val="center"/>
        <w:outlineLvl w:val="9"/>
        <w:rPr>
          <w:rFonts w:hint="eastAsia"/>
          <w:color w:val="auto"/>
          <w:lang w:val="en-US" w:eastAsia="zh-CN"/>
        </w:rPr>
      </w:pPr>
    </w:p>
    <w:bookmarkEnd w:id="324"/>
    <w:p w14:paraId="40ACD017">
      <w:pPr>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宋体" w:hAnsi="宋体" w:cs="宋体"/>
          <w:b/>
          <w:color w:val="auto"/>
          <w:sz w:val="44"/>
          <w:szCs w:val="44"/>
          <w:highlight w:val="none"/>
        </w:rPr>
      </w:pPr>
      <w:bookmarkStart w:id="325" w:name="_Toc469475496"/>
      <w:bookmarkStart w:id="326" w:name="_Toc424199703"/>
      <w:bookmarkStart w:id="327" w:name="_Toc29119"/>
      <w:bookmarkStart w:id="328" w:name="_Toc437331646"/>
      <w:bookmarkStart w:id="329" w:name="_Toc392080815"/>
      <w:bookmarkStart w:id="330" w:name="_Toc435706613"/>
      <w:bookmarkStart w:id="331" w:name="_Toc476230704"/>
      <w:bookmarkStart w:id="332" w:name="_Toc476230980"/>
      <w:bookmarkStart w:id="333" w:name="_Toc336331393"/>
      <w:bookmarkStart w:id="334" w:name="_Toc433882681"/>
      <w:bookmarkStart w:id="335" w:name="_Toc470270026"/>
      <w:bookmarkStart w:id="336" w:name="_Toc387831536"/>
      <w:bookmarkStart w:id="337" w:name="_Toc393201763"/>
      <w:bookmarkStart w:id="338" w:name="_Toc471819814"/>
      <w:bookmarkStart w:id="339" w:name="_Toc32686"/>
      <w:bookmarkStart w:id="340" w:name="_Toc476229739"/>
      <w:bookmarkStart w:id="341" w:name="_Toc467572563"/>
      <w:bookmarkStart w:id="342" w:name="_Toc468954275"/>
      <w:bookmarkStart w:id="343" w:name="_Toc463851873"/>
      <w:bookmarkStart w:id="344" w:name="_Toc470269910"/>
      <w:bookmarkStart w:id="345" w:name="_Toc471819754"/>
      <w:bookmarkStart w:id="346" w:name="_Toc476230568"/>
      <w:bookmarkStart w:id="347" w:name="_Toc495666259"/>
      <w:bookmarkStart w:id="348" w:name="_Toc14177"/>
    </w:p>
    <w:p w14:paraId="311A1969">
      <w:pPr>
        <w:pageBreakBefore w:val="0"/>
        <w:widowControl w:val="0"/>
        <w:kinsoku/>
        <w:wordWrap/>
        <w:overflowPunct/>
        <w:topLinePunct w:val="0"/>
        <w:autoSpaceDE/>
        <w:autoSpaceDN/>
        <w:bidi w:val="0"/>
        <w:adjustRightInd/>
        <w:snapToGrid/>
        <w:spacing w:line="700" w:lineRule="exact"/>
        <w:jc w:val="center"/>
        <w:textAlignment w:val="auto"/>
        <w:outlineLvl w:val="1"/>
        <w:rPr>
          <w:rFonts w:hint="eastAsia" w:ascii="宋体" w:hAnsi="宋体" w:cs="宋体"/>
          <w:b/>
          <w:color w:val="auto"/>
          <w:sz w:val="44"/>
          <w:szCs w:val="44"/>
          <w:highlight w:val="none"/>
        </w:rPr>
      </w:pPr>
      <w:r>
        <w:rPr>
          <w:rFonts w:hint="eastAsia" w:ascii="宋体" w:hAnsi="宋体" w:cs="宋体"/>
          <w:b/>
          <w:color w:val="auto"/>
          <w:sz w:val="44"/>
          <w:szCs w:val="44"/>
          <w:highlight w:val="none"/>
        </w:rPr>
        <w:t>报价文件</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14:paraId="1DE744AB">
      <w:pPr>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cs="宋体"/>
          <w:b/>
          <w:color w:val="auto"/>
          <w:sz w:val="32"/>
          <w:szCs w:val="32"/>
          <w:highlight w:val="none"/>
        </w:rPr>
      </w:pPr>
    </w:p>
    <w:p w14:paraId="7CC53F4B">
      <w:pPr>
        <w:pStyle w:val="35"/>
        <w:pageBreakBefore w:val="0"/>
        <w:widowControl w:val="0"/>
        <w:kinsoku/>
        <w:wordWrap/>
        <w:overflowPunct/>
        <w:topLinePunct w:val="0"/>
        <w:autoSpaceDE/>
        <w:autoSpaceDN/>
        <w:bidi w:val="0"/>
        <w:adjustRightInd/>
        <w:snapToGrid/>
        <w:spacing w:before="0" w:line="700" w:lineRule="exact"/>
        <w:jc w:val="both"/>
        <w:textAlignment w:val="auto"/>
        <w:rPr>
          <w:rFonts w:hint="eastAsia" w:ascii="宋体" w:hAnsi="宋体" w:eastAsia="宋体" w:cs="宋体"/>
          <w:color w:val="auto"/>
          <w:highlight w:val="none"/>
        </w:rPr>
      </w:pPr>
    </w:p>
    <w:p w14:paraId="0CBB7E18">
      <w:pPr>
        <w:pageBreakBefore w:val="0"/>
        <w:widowControl w:val="0"/>
        <w:kinsoku/>
        <w:wordWrap/>
        <w:overflowPunct/>
        <w:topLinePunct w:val="0"/>
        <w:autoSpaceDE/>
        <w:autoSpaceDN/>
        <w:bidi w:val="0"/>
        <w:adjustRightInd/>
        <w:snapToGrid/>
        <w:spacing w:line="700" w:lineRule="exact"/>
        <w:ind w:left="1964" w:leftChars="266" w:hanging="1405" w:hangingChars="500"/>
        <w:textAlignment w:val="auto"/>
        <w:rPr>
          <w:rFonts w:hint="default" w:ascii="宋体" w:hAnsi="宋体" w:cs="宋体"/>
          <w:b/>
          <w:bCs/>
          <w:color w:val="auto"/>
          <w:sz w:val="28"/>
          <w:szCs w:val="28"/>
          <w:highlight w:val="none"/>
          <w:u w:val="single"/>
          <w:lang w:val="en-US"/>
        </w:rPr>
      </w:pPr>
      <w:r>
        <w:rPr>
          <w:rFonts w:hint="eastAsia" w:ascii="宋体" w:hAnsi="宋体" w:cs="宋体"/>
          <w:b/>
          <w:color w:val="auto"/>
          <w:sz w:val="28"/>
          <w:szCs w:val="28"/>
          <w:highlight w:val="none"/>
        </w:rPr>
        <w:t>项目名称</w:t>
      </w:r>
      <w:r>
        <w:rPr>
          <w:rFonts w:hint="eastAsia" w:ascii="宋体" w:hAnsi="宋体" w:cs="宋体"/>
          <w:b/>
          <w:bCs/>
          <w:color w:val="auto"/>
          <w:sz w:val="28"/>
          <w:szCs w:val="28"/>
          <w:highlight w:val="none"/>
        </w:rPr>
        <w:t>：</w:t>
      </w:r>
      <w:r>
        <w:rPr>
          <w:rFonts w:hint="eastAsia" w:ascii="宋体" w:hAnsi="宋体" w:cs="宋体"/>
          <w:b/>
          <w:bCs/>
          <w:color w:val="auto"/>
          <w:sz w:val="28"/>
          <w:szCs w:val="28"/>
          <w:highlight w:val="none"/>
          <w:u w:val="single"/>
          <w:lang w:eastAsia="zh-CN"/>
        </w:rPr>
        <w:t>开化县怀玉山区水土保持与生态修复项目监理</w:t>
      </w:r>
      <w:r>
        <w:rPr>
          <w:rFonts w:hint="eastAsia" w:ascii="宋体" w:hAnsi="宋体" w:eastAsia="宋体" w:cs="宋体"/>
          <w:b/>
          <w:color w:val="auto"/>
          <w:sz w:val="28"/>
          <w:szCs w:val="28"/>
          <w:highlight w:val="none"/>
          <w:u w:val="single"/>
          <w:lang w:eastAsia="zh-CN"/>
        </w:rPr>
        <w:t>（</w:t>
      </w:r>
      <w:r>
        <w:rPr>
          <w:rFonts w:hint="eastAsia" w:ascii="宋体" w:hAnsi="宋体" w:eastAsia="宋体" w:cs="宋体"/>
          <w:b/>
          <w:color w:val="auto"/>
          <w:sz w:val="28"/>
          <w:szCs w:val="28"/>
          <w:highlight w:val="none"/>
          <w:u w:val="single"/>
          <w:lang w:val="en-US" w:eastAsia="zh-CN"/>
        </w:rPr>
        <w:t xml:space="preserve">标项： </w:t>
      </w:r>
      <w:r>
        <w:rPr>
          <w:rFonts w:hint="eastAsia" w:ascii="宋体" w:hAnsi="宋体" w:eastAsia="宋体" w:cs="宋体"/>
          <w:b/>
          <w:color w:val="auto"/>
          <w:sz w:val="28"/>
          <w:szCs w:val="28"/>
          <w:highlight w:val="none"/>
          <w:u w:val="single"/>
          <w:lang w:eastAsia="zh-CN"/>
        </w:rPr>
        <w:t>）</w:t>
      </w:r>
      <w:r>
        <w:rPr>
          <w:rFonts w:hint="eastAsia" w:ascii="宋体" w:hAnsi="宋体" w:cs="宋体"/>
          <w:b/>
          <w:bCs/>
          <w:color w:val="auto"/>
          <w:sz w:val="28"/>
          <w:szCs w:val="28"/>
          <w:highlight w:val="none"/>
          <w:u w:val="single"/>
          <w:lang w:val="en-US" w:eastAsia="zh-CN"/>
        </w:rPr>
        <w:t xml:space="preserve">     </w:t>
      </w:r>
    </w:p>
    <w:p w14:paraId="39CEEAB2">
      <w:pPr>
        <w:pageBreakBefore w:val="0"/>
        <w:widowControl w:val="0"/>
        <w:kinsoku/>
        <w:wordWrap/>
        <w:overflowPunct/>
        <w:topLinePunct w:val="0"/>
        <w:autoSpaceDE/>
        <w:autoSpaceDN/>
        <w:bidi w:val="0"/>
        <w:adjustRightInd/>
        <w:snapToGrid/>
        <w:spacing w:line="700" w:lineRule="exact"/>
        <w:textAlignment w:val="auto"/>
        <w:rPr>
          <w:rFonts w:hint="eastAsia"/>
          <w:color w:val="auto"/>
          <w:highlight w:val="none"/>
        </w:rPr>
      </w:pPr>
    </w:p>
    <w:p w14:paraId="2047BB34">
      <w:pPr>
        <w:pageBreakBefore w:val="0"/>
        <w:widowControl w:val="0"/>
        <w:kinsoku/>
        <w:wordWrap/>
        <w:overflowPunct/>
        <w:topLinePunct w:val="0"/>
        <w:autoSpaceDE/>
        <w:autoSpaceDN/>
        <w:bidi w:val="0"/>
        <w:adjustRightInd/>
        <w:snapToGrid/>
        <w:spacing w:line="700" w:lineRule="exact"/>
        <w:ind w:firstLine="562" w:firstLineChars="200"/>
        <w:textAlignment w:val="auto"/>
        <w:rPr>
          <w:rFonts w:hint="default"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rPr>
        <w:t>项目编号：</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rPr>
        <w:tab/>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eastAsia="zh-CN"/>
        </w:rPr>
        <w:t>OBGCGLZFCG2025-007</w:t>
      </w:r>
      <w:r>
        <w:rPr>
          <w:rFonts w:hint="eastAsia" w:ascii="宋体" w:hAnsi="宋体" w:cs="宋体"/>
          <w:b/>
          <w:color w:val="auto"/>
          <w:sz w:val="28"/>
          <w:szCs w:val="28"/>
          <w:highlight w:val="none"/>
          <w:u w:val="single"/>
        </w:rPr>
        <w:t xml:space="preserve">         </w:t>
      </w:r>
      <w:r>
        <w:rPr>
          <w:rFonts w:hint="eastAsia" w:ascii="宋体" w:hAnsi="宋体" w:cs="宋体"/>
          <w:b/>
          <w:bCs/>
          <w:color w:val="auto"/>
          <w:sz w:val="28"/>
          <w:szCs w:val="28"/>
          <w:highlight w:val="none"/>
          <w:u w:val="single"/>
        </w:rPr>
        <w:t xml:space="preserve">   </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p>
    <w:p w14:paraId="6089E59B">
      <w:pPr>
        <w:pageBreakBefore w:val="0"/>
        <w:widowControl w:val="0"/>
        <w:kinsoku/>
        <w:wordWrap/>
        <w:overflowPunct/>
        <w:topLinePunct w:val="0"/>
        <w:autoSpaceDE/>
        <w:autoSpaceDN/>
        <w:bidi w:val="0"/>
        <w:adjustRightInd/>
        <w:snapToGrid/>
        <w:spacing w:line="700" w:lineRule="exact"/>
        <w:jc w:val="left"/>
        <w:textAlignment w:val="auto"/>
        <w:rPr>
          <w:rFonts w:hint="eastAsia" w:ascii="宋体" w:hAnsi="宋体" w:cs="宋体"/>
          <w:b/>
          <w:color w:val="auto"/>
          <w:sz w:val="28"/>
          <w:szCs w:val="28"/>
          <w:highlight w:val="none"/>
        </w:rPr>
      </w:pPr>
    </w:p>
    <w:p w14:paraId="1F2A672F">
      <w:pPr>
        <w:pageBreakBefore w:val="0"/>
        <w:widowControl w:val="0"/>
        <w:kinsoku/>
        <w:wordWrap/>
        <w:overflowPunct/>
        <w:topLinePunct w:val="0"/>
        <w:autoSpaceDE/>
        <w:autoSpaceDN/>
        <w:bidi w:val="0"/>
        <w:adjustRightInd/>
        <w:snapToGrid/>
        <w:spacing w:line="700" w:lineRule="exact"/>
        <w:ind w:firstLine="562" w:firstLineChars="200"/>
        <w:jc w:val="left"/>
        <w:textAlignment w:val="auto"/>
        <w:rPr>
          <w:rFonts w:hint="eastAsia" w:ascii="宋体" w:hAnsi="宋体" w:cs="宋体"/>
          <w:b/>
          <w:bCs/>
          <w:color w:val="auto"/>
          <w:sz w:val="28"/>
          <w:szCs w:val="28"/>
          <w:highlight w:val="none"/>
        </w:rPr>
      </w:pPr>
      <w:r>
        <w:rPr>
          <w:rFonts w:hint="eastAsia" w:ascii="宋体" w:hAnsi="宋体" w:cs="宋体"/>
          <w:b/>
          <w:color w:val="auto"/>
          <w:sz w:val="28"/>
          <w:szCs w:val="28"/>
          <w:highlight w:val="none"/>
        </w:rPr>
        <w:t xml:space="preserve">投标人名称： </w:t>
      </w:r>
      <w:r>
        <w:rPr>
          <w:rFonts w:hint="eastAsia" w:ascii="宋体" w:hAnsi="宋体" w:cs="宋体"/>
          <w:b/>
          <w:color w:val="auto"/>
          <w:sz w:val="28"/>
          <w:szCs w:val="28"/>
          <w:highlight w:val="none"/>
          <w:u w:val="single"/>
        </w:rPr>
        <w:t xml:space="preserve">                            (电子签章）    </w:t>
      </w:r>
      <w:r>
        <w:rPr>
          <w:rFonts w:hint="eastAsia" w:ascii="宋体" w:hAnsi="宋体" w:cs="宋体"/>
          <w:b/>
          <w:color w:val="auto"/>
          <w:sz w:val="28"/>
          <w:szCs w:val="28"/>
          <w:highlight w:val="none"/>
          <w:u w:val="single"/>
          <w:lang w:val="en-US" w:eastAsia="zh-CN"/>
        </w:rPr>
        <w:t xml:space="preserve">      </w:t>
      </w:r>
      <w:r>
        <w:rPr>
          <w:rFonts w:hint="eastAsia" w:ascii="宋体" w:hAnsi="宋体" w:cs="宋体"/>
          <w:b/>
          <w:bCs/>
          <w:color w:val="auto"/>
          <w:sz w:val="28"/>
          <w:szCs w:val="28"/>
          <w:highlight w:val="none"/>
          <w:lang w:val="en-US" w:eastAsia="zh-CN"/>
        </w:rPr>
        <w:t xml:space="preserve">  </w:t>
      </w:r>
      <w:r>
        <w:rPr>
          <w:rFonts w:hint="eastAsia" w:ascii="宋体" w:hAnsi="宋体" w:cs="宋体"/>
          <w:b/>
          <w:bCs/>
          <w:color w:val="auto"/>
          <w:sz w:val="28"/>
          <w:szCs w:val="28"/>
          <w:highlight w:val="none"/>
        </w:rPr>
        <w:t xml:space="preserve"> </w:t>
      </w:r>
    </w:p>
    <w:p w14:paraId="6E41352F">
      <w:pPr>
        <w:pageBreakBefore w:val="0"/>
        <w:widowControl w:val="0"/>
        <w:kinsoku/>
        <w:wordWrap/>
        <w:overflowPunct/>
        <w:topLinePunct w:val="0"/>
        <w:autoSpaceDE/>
        <w:autoSpaceDN/>
        <w:bidi w:val="0"/>
        <w:adjustRightInd/>
        <w:snapToGrid/>
        <w:spacing w:line="700" w:lineRule="exact"/>
        <w:textAlignment w:val="auto"/>
        <w:outlineLvl w:val="9"/>
        <w:rPr>
          <w:rFonts w:hint="eastAsia" w:ascii="宋体" w:hAnsi="宋体" w:cs="宋体"/>
          <w:b/>
          <w:bCs/>
          <w:color w:val="auto"/>
          <w:sz w:val="28"/>
          <w:szCs w:val="28"/>
          <w:highlight w:val="none"/>
        </w:rPr>
      </w:pPr>
    </w:p>
    <w:p w14:paraId="0FD36408">
      <w:pPr>
        <w:pageBreakBefore w:val="0"/>
        <w:widowControl w:val="0"/>
        <w:kinsoku/>
        <w:wordWrap/>
        <w:overflowPunct/>
        <w:topLinePunct w:val="0"/>
        <w:autoSpaceDE/>
        <w:autoSpaceDN/>
        <w:bidi w:val="0"/>
        <w:adjustRightInd/>
        <w:snapToGrid/>
        <w:spacing w:line="700" w:lineRule="exact"/>
        <w:textAlignment w:val="auto"/>
        <w:rPr>
          <w:rFonts w:hint="eastAsia"/>
          <w:color w:val="auto"/>
          <w:highlight w:val="none"/>
        </w:rPr>
      </w:pPr>
    </w:p>
    <w:p w14:paraId="34EE854C">
      <w:pPr>
        <w:outlineLvl w:val="9"/>
        <w:rPr>
          <w:rFonts w:hint="eastAsia"/>
          <w:color w:val="auto"/>
        </w:rPr>
      </w:pPr>
    </w:p>
    <w:p w14:paraId="28A192F8">
      <w:pPr>
        <w:pageBreakBefore w:val="0"/>
        <w:widowControl w:val="0"/>
        <w:kinsoku/>
        <w:wordWrap/>
        <w:overflowPunct/>
        <w:topLinePunct w:val="0"/>
        <w:autoSpaceDE/>
        <w:autoSpaceDN/>
        <w:bidi w:val="0"/>
        <w:adjustRightInd/>
        <w:snapToGrid/>
        <w:spacing w:line="700" w:lineRule="exact"/>
        <w:ind w:firstLine="2108" w:firstLineChars="750"/>
        <w:textAlignment w:val="auto"/>
        <w:rPr>
          <w:rFonts w:hint="eastAsia" w:ascii="宋体" w:hAnsi="宋体" w:cs="宋体"/>
          <w:b/>
          <w:bCs/>
          <w:color w:val="auto"/>
          <w:sz w:val="28"/>
          <w:szCs w:val="28"/>
          <w:highlight w:val="none"/>
        </w:rPr>
      </w:pPr>
      <w:r>
        <w:rPr>
          <w:rFonts w:hint="eastAsia" w:ascii="宋体" w:hAnsi="宋体" w:cs="宋体"/>
          <w:b/>
          <w:bCs/>
          <w:color w:val="auto"/>
          <w:sz w:val="28"/>
          <w:szCs w:val="28"/>
          <w:highlight w:val="none"/>
          <w:u w:val="single"/>
        </w:rPr>
        <w:t xml:space="preserve">         </w:t>
      </w:r>
      <w:r>
        <w:rPr>
          <w:rFonts w:hint="eastAsia" w:ascii="宋体" w:hAnsi="宋体" w:cs="宋体"/>
          <w:b/>
          <w:bCs/>
          <w:color w:val="auto"/>
          <w:sz w:val="28"/>
          <w:szCs w:val="28"/>
          <w:highlight w:val="none"/>
        </w:rPr>
        <w:t>年</w:t>
      </w:r>
      <w:r>
        <w:rPr>
          <w:rFonts w:hint="eastAsia" w:ascii="宋体" w:hAnsi="宋体" w:cs="宋体"/>
          <w:b/>
          <w:bCs/>
          <w:color w:val="auto"/>
          <w:sz w:val="28"/>
          <w:szCs w:val="28"/>
          <w:highlight w:val="none"/>
          <w:u w:val="single"/>
        </w:rPr>
        <w:t xml:space="preserve">         </w:t>
      </w:r>
      <w:r>
        <w:rPr>
          <w:rFonts w:hint="eastAsia" w:ascii="宋体" w:hAnsi="宋体" w:cs="宋体"/>
          <w:b/>
          <w:bCs/>
          <w:color w:val="auto"/>
          <w:sz w:val="28"/>
          <w:szCs w:val="28"/>
          <w:highlight w:val="none"/>
        </w:rPr>
        <w:t>月</w:t>
      </w:r>
      <w:r>
        <w:rPr>
          <w:rFonts w:hint="eastAsia" w:ascii="宋体" w:hAnsi="宋体" w:cs="宋体"/>
          <w:b/>
          <w:bCs/>
          <w:color w:val="auto"/>
          <w:sz w:val="28"/>
          <w:szCs w:val="28"/>
          <w:highlight w:val="none"/>
          <w:u w:val="single"/>
        </w:rPr>
        <w:t xml:space="preserve">         </w:t>
      </w:r>
      <w:r>
        <w:rPr>
          <w:rFonts w:hint="eastAsia" w:ascii="宋体" w:hAnsi="宋体" w:cs="宋体"/>
          <w:b/>
          <w:bCs/>
          <w:color w:val="auto"/>
          <w:sz w:val="28"/>
          <w:szCs w:val="28"/>
          <w:highlight w:val="none"/>
        </w:rPr>
        <w:t>日</w:t>
      </w:r>
    </w:p>
    <w:p w14:paraId="0E1B6D77">
      <w:pPr>
        <w:jc w:val="left"/>
        <w:rPr>
          <w:rFonts w:hint="eastAsia" w:ascii="宋体" w:hAnsi="宋体" w:cs="宋体"/>
          <w:b/>
          <w:bCs/>
          <w:color w:val="auto"/>
          <w:sz w:val="28"/>
          <w:szCs w:val="28"/>
          <w:highlight w:val="none"/>
          <w:u w:val="single"/>
        </w:rPr>
      </w:pPr>
      <w:r>
        <w:rPr>
          <w:rFonts w:hint="eastAsia" w:ascii="宋体" w:hAnsi="宋体" w:cs="宋体"/>
          <w:b/>
          <w:bCs/>
          <w:color w:val="auto"/>
          <w:sz w:val="28"/>
          <w:szCs w:val="28"/>
          <w:highlight w:val="none"/>
        </w:rPr>
        <w:t xml:space="preserve"> </w:t>
      </w:r>
    </w:p>
    <w:p w14:paraId="04120FC8">
      <w:pPr>
        <w:spacing w:line="440" w:lineRule="atLeast"/>
        <w:ind w:firstLine="562" w:firstLineChars="200"/>
        <w:jc w:val="left"/>
        <w:rPr>
          <w:rFonts w:hint="eastAsia" w:ascii="宋体" w:hAnsi="宋体" w:cs="宋体"/>
          <w:b/>
          <w:color w:val="auto"/>
          <w:sz w:val="28"/>
          <w:szCs w:val="28"/>
          <w:highlight w:val="none"/>
        </w:rPr>
      </w:pPr>
    </w:p>
    <w:p w14:paraId="3494EFC1">
      <w:pPr>
        <w:rPr>
          <w:rFonts w:hint="eastAsia" w:ascii="宋体" w:hAnsi="宋体" w:cs="宋体"/>
          <w:b/>
          <w:color w:val="auto"/>
          <w:sz w:val="30"/>
          <w:szCs w:val="30"/>
          <w:highlight w:val="none"/>
        </w:rPr>
      </w:pPr>
      <w:r>
        <w:rPr>
          <w:rFonts w:hint="eastAsia" w:ascii="宋体" w:hAnsi="宋体" w:cs="宋体"/>
          <w:b/>
          <w:color w:val="auto"/>
          <w:sz w:val="30"/>
          <w:szCs w:val="30"/>
          <w:highlight w:val="none"/>
        </w:rPr>
        <w:br w:type="page"/>
      </w:r>
    </w:p>
    <w:p w14:paraId="7B2A4E8D">
      <w:pPr>
        <w:spacing w:before="320" w:beforeLines="100" w:after="320" w:afterLines="100" w:line="440" w:lineRule="atLeast"/>
        <w:jc w:val="center"/>
        <w:outlineLvl w:val="2"/>
        <w:rPr>
          <w:rFonts w:hint="eastAsia" w:ascii="宋体" w:hAnsi="宋体" w:cs="宋体"/>
          <w:b/>
          <w:color w:val="auto"/>
          <w:sz w:val="30"/>
          <w:szCs w:val="30"/>
          <w:highlight w:val="none"/>
        </w:rPr>
      </w:pPr>
      <w:r>
        <w:rPr>
          <w:rFonts w:hint="eastAsia" w:ascii="宋体" w:hAnsi="宋体" w:cs="宋体"/>
          <w:b/>
          <w:color w:val="auto"/>
          <w:sz w:val="30"/>
          <w:szCs w:val="30"/>
          <w:highlight w:val="none"/>
        </w:rPr>
        <w:t>报价文件目录</w:t>
      </w:r>
    </w:p>
    <w:p w14:paraId="30046731">
      <w:pPr>
        <w:pStyle w:val="11"/>
        <w:tabs>
          <w:tab w:val="right" w:leader="dot" w:pos="8730"/>
        </w:tabs>
        <w:spacing w:line="500" w:lineRule="exact"/>
        <w:ind w:left="0" w:leftChars="0" w:firstLine="420" w:firstLineChars="20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_Toc4655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0"/>
          <w:sz w:val="21"/>
          <w:szCs w:val="21"/>
          <w:highlight w:val="none"/>
        </w:rPr>
        <w:t>一、投标函</w:t>
      </w:r>
      <w:r>
        <w:rPr>
          <w:rFonts w:hint="eastAsia" w:ascii="宋体" w:hAnsi="宋体" w:eastAsia="宋体" w:cs="宋体"/>
          <w:color w:val="auto"/>
          <w:kern w:val="0"/>
          <w:sz w:val="21"/>
          <w:szCs w:val="21"/>
          <w:highlight w:val="none"/>
          <w:lang w:eastAsia="zh-CN"/>
        </w:rPr>
        <w:t>；</w:t>
      </w:r>
    </w:p>
    <w:p w14:paraId="769DD931">
      <w:pPr>
        <w:pStyle w:val="11"/>
        <w:tabs>
          <w:tab w:val="right" w:leader="dot" w:pos="8730"/>
        </w:tabs>
        <w:spacing w:line="500" w:lineRule="exact"/>
        <w:ind w:left="0" w:left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_Toc11829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0"/>
          <w:sz w:val="21"/>
          <w:szCs w:val="21"/>
          <w:highlight w:val="none"/>
        </w:rPr>
        <w:t>二、开标一览表</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lang w:eastAsia="zh-CN"/>
        </w:rPr>
        <w:t>；</w:t>
      </w:r>
    </w:p>
    <w:p w14:paraId="2E6279CB">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_Toc19383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、响应方需要说明的其他文件和说明</w:t>
      </w:r>
      <w:r>
        <w:rPr>
          <w:rFonts w:hint="eastAsia" w:ascii="宋体" w:hAnsi="宋体" w:eastAsia="宋体" w:cs="宋体"/>
          <w:color w:val="auto"/>
          <w:sz w:val="21"/>
          <w:szCs w:val="21"/>
          <w:highlight w:val="none"/>
          <w:lang w:eastAsia="zh-CN"/>
        </w:rPr>
        <w:t>。</w:t>
      </w:r>
    </w:p>
    <w:p w14:paraId="701718A0">
      <w:pPr>
        <w:pStyle w:val="11"/>
        <w:tabs>
          <w:tab w:val="right" w:leader="dot" w:pos="8730"/>
        </w:tabs>
        <w:spacing w:line="500" w:lineRule="exact"/>
        <w:ind w:left="0" w:leftChars="0" w:firstLine="420" w:firstLineChars="200"/>
        <w:rPr>
          <w:rFonts w:hint="eastAsia" w:ascii="宋体" w:hAnsi="宋体" w:cs="宋体"/>
          <w:b/>
          <w:color w:val="auto"/>
          <w:szCs w:val="21"/>
          <w:highlight w:val="none"/>
        </w:rPr>
      </w:pPr>
      <w:r>
        <w:rPr>
          <w:rFonts w:hint="eastAsia" w:ascii="宋体" w:hAnsi="宋体" w:eastAsia="宋体" w:cs="宋体"/>
          <w:color w:val="auto"/>
          <w:sz w:val="21"/>
          <w:szCs w:val="21"/>
          <w:highlight w:val="none"/>
        </w:rPr>
        <w:fldChar w:fldCharType="end"/>
      </w:r>
    </w:p>
    <w:p w14:paraId="52A682DD">
      <w:pPr>
        <w:spacing w:line="360" w:lineRule="auto"/>
        <w:jc w:val="center"/>
        <w:rPr>
          <w:rFonts w:hint="eastAsia" w:ascii="宋体" w:hAnsi="宋体" w:cs="宋体"/>
          <w:b/>
          <w:color w:val="auto"/>
          <w:sz w:val="30"/>
          <w:szCs w:val="30"/>
          <w:highlight w:val="none"/>
        </w:rPr>
      </w:pPr>
    </w:p>
    <w:p w14:paraId="60F6D4F6">
      <w:pPr>
        <w:spacing w:before="320" w:beforeLines="100" w:after="320" w:afterLines="100" w:line="440" w:lineRule="atLeast"/>
        <w:jc w:val="center"/>
        <w:rPr>
          <w:rFonts w:hint="eastAsia" w:ascii="宋体" w:hAnsi="宋体" w:cs="宋体"/>
          <w:b/>
          <w:color w:val="auto"/>
          <w:sz w:val="30"/>
          <w:szCs w:val="30"/>
          <w:highlight w:val="none"/>
        </w:rPr>
      </w:pPr>
    </w:p>
    <w:p w14:paraId="7EC75637">
      <w:pPr>
        <w:spacing w:before="320" w:beforeLines="100" w:after="320" w:afterLines="100" w:line="440" w:lineRule="atLeast"/>
        <w:jc w:val="center"/>
        <w:rPr>
          <w:rFonts w:hint="eastAsia" w:ascii="宋体" w:hAnsi="宋体" w:cs="宋体"/>
          <w:b/>
          <w:color w:val="auto"/>
          <w:sz w:val="30"/>
          <w:szCs w:val="30"/>
          <w:highlight w:val="none"/>
        </w:rPr>
      </w:pPr>
    </w:p>
    <w:p w14:paraId="74E40FFE">
      <w:pPr>
        <w:spacing w:before="320" w:beforeLines="100" w:after="320" w:afterLines="100" w:line="440" w:lineRule="atLeast"/>
        <w:jc w:val="center"/>
        <w:rPr>
          <w:rFonts w:hint="eastAsia" w:ascii="宋体" w:hAnsi="宋体" w:cs="宋体"/>
          <w:b/>
          <w:color w:val="auto"/>
          <w:sz w:val="30"/>
          <w:szCs w:val="30"/>
          <w:highlight w:val="none"/>
        </w:rPr>
      </w:pPr>
    </w:p>
    <w:p w14:paraId="22D2228D">
      <w:pPr>
        <w:spacing w:before="320" w:beforeLines="100" w:after="320" w:afterLines="100" w:line="440" w:lineRule="atLeast"/>
        <w:jc w:val="center"/>
        <w:rPr>
          <w:rFonts w:hint="eastAsia" w:ascii="宋体" w:hAnsi="宋体" w:cs="宋体"/>
          <w:b/>
          <w:color w:val="auto"/>
          <w:sz w:val="30"/>
          <w:szCs w:val="30"/>
          <w:highlight w:val="none"/>
        </w:rPr>
      </w:pPr>
    </w:p>
    <w:p w14:paraId="07192932">
      <w:pPr>
        <w:pStyle w:val="20"/>
        <w:ind w:firstLine="602"/>
        <w:rPr>
          <w:rFonts w:hint="eastAsia" w:ascii="宋体" w:hAnsi="宋体" w:eastAsia="宋体" w:cs="宋体"/>
          <w:b/>
          <w:bCs w:val="0"/>
          <w:color w:val="auto"/>
          <w:szCs w:val="30"/>
          <w:highlight w:val="none"/>
        </w:rPr>
      </w:pPr>
    </w:p>
    <w:p w14:paraId="2D8364D9">
      <w:pPr>
        <w:pStyle w:val="20"/>
        <w:ind w:firstLine="602"/>
        <w:rPr>
          <w:rFonts w:hint="eastAsia" w:ascii="宋体" w:hAnsi="宋体" w:eastAsia="宋体" w:cs="宋体"/>
          <w:b/>
          <w:bCs w:val="0"/>
          <w:color w:val="auto"/>
          <w:szCs w:val="30"/>
          <w:highlight w:val="none"/>
        </w:rPr>
      </w:pPr>
    </w:p>
    <w:p w14:paraId="2827B276">
      <w:pPr>
        <w:pStyle w:val="20"/>
        <w:ind w:firstLine="602"/>
        <w:rPr>
          <w:rFonts w:hint="eastAsia" w:ascii="宋体" w:hAnsi="宋体" w:eastAsia="宋体" w:cs="宋体"/>
          <w:b/>
          <w:bCs w:val="0"/>
          <w:color w:val="auto"/>
          <w:szCs w:val="30"/>
          <w:highlight w:val="none"/>
        </w:rPr>
      </w:pPr>
    </w:p>
    <w:p w14:paraId="7746A68F">
      <w:pPr>
        <w:pStyle w:val="20"/>
        <w:ind w:firstLine="600"/>
        <w:rPr>
          <w:rFonts w:hint="eastAsia" w:ascii="宋体" w:hAnsi="宋体" w:eastAsia="宋体" w:cs="宋体"/>
          <w:color w:val="auto"/>
          <w:highlight w:val="none"/>
        </w:rPr>
      </w:pPr>
    </w:p>
    <w:p w14:paraId="5A69FB4F">
      <w:pPr>
        <w:snapToGrid w:val="0"/>
        <w:spacing w:line="400" w:lineRule="exact"/>
        <w:jc w:val="center"/>
        <w:outlineLvl w:val="9"/>
        <w:rPr>
          <w:rFonts w:hint="eastAsia" w:ascii="宋体" w:hAnsi="宋体" w:cs="宋体"/>
          <w:b/>
          <w:color w:val="auto"/>
          <w:kern w:val="0"/>
          <w:sz w:val="30"/>
          <w:szCs w:val="30"/>
          <w:highlight w:val="none"/>
        </w:rPr>
        <w:sectPr>
          <w:headerReference r:id="rId7" w:type="default"/>
          <w:footerReference r:id="rId8" w:type="default"/>
          <w:pgSz w:w="11906" w:h="16838"/>
          <w:pgMar w:top="1361" w:right="1304" w:bottom="1191" w:left="1304" w:header="794" w:footer="794" w:gutter="0"/>
          <w:pgNumType w:fmt="decimal"/>
          <w:cols w:space="720" w:num="1"/>
          <w:docGrid w:type="lines" w:linePitch="320" w:charSpace="0"/>
        </w:sectPr>
      </w:pPr>
      <w:bookmarkStart w:id="349" w:name="_Toc387831537"/>
      <w:bookmarkStart w:id="350" w:name="_Toc463851874"/>
      <w:bookmarkStart w:id="351" w:name="_Toc469475497"/>
      <w:bookmarkStart w:id="352" w:name="_Toc335295011"/>
      <w:bookmarkStart w:id="353" w:name="_Toc476230705"/>
      <w:bookmarkStart w:id="354" w:name="_Toc437504069"/>
      <w:bookmarkStart w:id="355" w:name="_Toc471819756"/>
      <w:bookmarkStart w:id="356" w:name="_Toc437331647"/>
      <w:bookmarkStart w:id="357" w:name="_Toc476229740"/>
      <w:bookmarkStart w:id="358" w:name="_Toc335294211"/>
      <w:bookmarkStart w:id="359" w:name="_Toc435706614"/>
      <w:bookmarkStart w:id="360" w:name="_Toc470270027"/>
      <w:bookmarkStart w:id="361" w:name="_Toc471819816"/>
      <w:bookmarkStart w:id="362" w:name="_Toc467572564"/>
      <w:bookmarkStart w:id="363" w:name="_Toc468954276"/>
      <w:bookmarkStart w:id="364" w:name="_Toc1893"/>
      <w:bookmarkStart w:id="365" w:name="_Toc336671805"/>
      <w:bookmarkStart w:id="366" w:name="_Toc433882682"/>
      <w:bookmarkStart w:id="367" w:name="_Toc9958"/>
      <w:bookmarkStart w:id="368" w:name="_Toc28503"/>
      <w:bookmarkStart w:id="369" w:name="_Toc424199704"/>
      <w:bookmarkStart w:id="370" w:name="_Toc335297853"/>
      <w:bookmarkStart w:id="371" w:name="_Toc476230981"/>
      <w:bookmarkStart w:id="372" w:name="_Toc437509366"/>
      <w:bookmarkStart w:id="373" w:name="_Toc392080816"/>
      <w:bookmarkStart w:id="374" w:name="_Toc393201764"/>
      <w:bookmarkStart w:id="375" w:name="_Toc335298321"/>
      <w:bookmarkStart w:id="376" w:name="_Toc476230569"/>
      <w:bookmarkStart w:id="377" w:name="_Toc437331336"/>
      <w:bookmarkStart w:id="378" w:name="_Toc495666260"/>
      <w:bookmarkStart w:id="379" w:name="_Toc470269911"/>
    </w:p>
    <w:p w14:paraId="22DF9890">
      <w:pPr>
        <w:snapToGrid w:val="0"/>
        <w:spacing w:line="400" w:lineRule="exact"/>
        <w:jc w:val="center"/>
        <w:outlineLvl w:val="2"/>
        <w:rPr>
          <w:rFonts w:hint="eastAsia" w:ascii="宋体" w:hAnsi="宋体" w:cs="宋体"/>
          <w:b/>
          <w:color w:val="auto"/>
          <w:kern w:val="0"/>
          <w:sz w:val="30"/>
          <w:szCs w:val="30"/>
          <w:highlight w:val="none"/>
        </w:rPr>
      </w:pPr>
      <w:r>
        <w:rPr>
          <w:rFonts w:hint="eastAsia" w:ascii="宋体" w:hAnsi="宋体" w:cs="宋体"/>
          <w:b/>
          <w:color w:val="auto"/>
          <w:kern w:val="0"/>
          <w:sz w:val="30"/>
          <w:szCs w:val="30"/>
          <w:highlight w:val="none"/>
        </w:rPr>
        <w:t>一、投  标  函</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14:paraId="7ADBA404">
      <w:pPr>
        <w:spacing w:line="440" w:lineRule="exact"/>
        <w:jc w:val="left"/>
        <w:rPr>
          <w:rFonts w:hint="eastAsia" w:ascii="宋体" w:hAnsi="宋体" w:cs="宋体"/>
          <w:color w:val="auto"/>
          <w:kern w:val="0"/>
          <w:szCs w:val="21"/>
          <w:highlight w:val="none"/>
        </w:rPr>
      </w:pPr>
      <w:bookmarkStart w:id="380" w:name="_Toc424199705"/>
      <w:bookmarkStart w:id="381" w:name="_Toc433882683"/>
      <w:bookmarkStart w:id="382" w:name="_Toc437504070"/>
      <w:bookmarkStart w:id="383" w:name="_Toc340736225"/>
      <w:bookmarkStart w:id="384" w:name="_Toc437331337"/>
      <w:bookmarkStart w:id="385" w:name="_Toc393201765"/>
      <w:bookmarkStart w:id="386" w:name="_Toc437331648"/>
      <w:bookmarkStart w:id="387" w:name="_Toc437509367"/>
      <w:bookmarkStart w:id="388" w:name="_Toc392080817"/>
      <w:bookmarkStart w:id="389" w:name="_Toc435706615"/>
      <w:bookmarkStart w:id="390" w:name="_Toc387831538"/>
      <w:bookmarkStart w:id="391" w:name="_Toc335298322"/>
      <w:bookmarkStart w:id="392" w:name="_Toc335295012"/>
      <w:bookmarkStart w:id="393" w:name="_Toc336671806"/>
      <w:bookmarkStart w:id="394" w:name="_Toc335294212"/>
      <w:bookmarkStart w:id="395" w:name="_Toc335297854"/>
    </w:p>
    <w:p w14:paraId="391ED469">
      <w:pPr>
        <w:spacing w:line="500" w:lineRule="exact"/>
        <w:jc w:val="left"/>
        <w:rPr>
          <w:rFonts w:hint="eastAsia" w:ascii="宋体" w:hAnsi="宋体" w:cs="宋体"/>
          <w:color w:val="auto"/>
          <w:kern w:val="0"/>
          <w:szCs w:val="21"/>
          <w:highlight w:val="none"/>
        </w:rPr>
      </w:pPr>
      <w:bookmarkStart w:id="396" w:name="_Toc471819818"/>
      <w:bookmarkStart w:id="397" w:name="_Toc470270028"/>
      <w:bookmarkStart w:id="398" w:name="_Toc476230570"/>
      <w:bookmarkStart w:id="399" w:name="_Toc476230706"/>
      <w:bookmarkStart w:id="400" w:name="_Toc476229741"/>
      <w:bookmarkStart w:id="401" w:name="_Toc469475498"/>
      <w:bookmarkStart w:id="402" w:name="_Toc15876"/>
      <w:bookmarkStart w:id="403" w:name="_Toc468954277"/>
      <w:bookmarkStart w:id="404" w:name="_Toc495666261"/>
      <w:bookmarkStart w:id="405" w:name="_Toc467572565"/>
      <w:bookmarkStart w:id="406" w:name="_Toc463851875"/>
      <w:bookmarkStart w:id="407" w:name="_Toc3930"/>
      <w:bookmarkStart w:id="408" w:name="_Toc470269912"/>
      <w:bookmarkStart w:id="409" w:name="_Toc471819758"/>
      <w:bookmarkStart w:id="410" w:name="_Toc476230982"/>
      <w:bookmarkStart w:id="411" w:name="_Toc28301"/>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                        </w:t>
      </w:r>
    </w:p>
    <w:p w14:paraId="059E1074">
      <w:pPr>
        <w:spacing w:line="5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根据贵方</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项目的招标文件（项目编号：</w:t>
      </w:r>
      <w:r>
        <w:rPr>
          <w:rFonts w:hint="eastAsia" w:ascii="宋体" w:hAnsi="宋体" w:cs="宋体"/>
          <w:b/>
          <w:bCs/>
          <w:color w:val="auto"/>
          <w:kern w:val="0"/>
          <w:szCs w:val="21"/>
          <w:highlight w:val="none"/>
          <w:u w:val="single"/>
        </w:rPr>
        <w:t xml:space="preserve">            </w:t>
      </w:r>
      <w:r>
        <w:rPr>
          <w:rFonts w:hint="eastAsia" w:ascii="宋体" w:hAnsi="宋体" w:cs="宋体"/>
          <w:color w:val="auto"/>
          <w:kern w:val="0"/>
          <w:szCs w:val="21"/>
          <w:highlight w:val="none"/>
        </w:rPr>
        <w:t>），正式授权下述签字人</w:t>
      </w:r>
      <w:r>
        <w:rPr>
          <w:rFonts w:hint="eastAsia" w:ascii="宋体" w:hAnsi="宋体" w:cs="宋体"/>
          <w:b/>
          <w:bCs/>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rPr>
        <w:t>姓名</w:t>
      </w:r>
      <w:r>
        <w:rPr>
          <w:rFonts w:hint="eastAsia" w:ascii="宋体" w:hAnsi="宋体" w:cs="宋体"/>
          <w:color w:val="auto"/>
          <w:kern w:val="0"/>
          <w:szCs w:val="21"/>
          <w:highlight w:val="none"/>
        </w:rPr>
        <w:t>和</w:t>
      </w:r>
      <w:r>
        <w:rPr>
          <w:rFonts w:hint="eastAsia" w:ascii="宋体" w:hAnsi="宋体" w:cs="宋体"/>
          <w:color w:val="auto"/>
          <w:kern w:val="0"/>
          <w:szCs w:val="21"/>
          <w:highlight w:val="none"/>
          <w:u w:val="single"/>
        </w:rPr>
        <w:t>职务</w:t>
      </w:r>
      <w:r>
        <w:rPr>
          <w:rFonts w:hint="eastAsia" w:ascii="宋体" w:hAnsi="宋体" w:cs="宋体"/>
          <w:color w:val="auto"/>
          <w:kern w:val="0"/>
          <w:szCs w:val="21"/>
          <w:highlight w:val="none"/>
        </w:rPr>
        <w:t>）代表</w:t>
      </w:r>
      <w:r>
        <w:rPr>
          <w:rFonts w:hint="eastAsia" w:ascii="宋体" w:hAnsi="宋体" w:cs="宋体"/>
          <w:b/>
          <w:bCs/>
          <w:color w:val="auto"/>
          <w:kern w:val="0"/>
          <w:szCs w:val="21"/>
          <w:highlight w:val="none"/>
          <w:u w:val="single"/>
        </w:rPr>
        <w:t xml:space="preserve">            </w:t>
      </w:r>
      <w:r>
        <w:rPr>
          <w:rFonts w:hint="eastAsia" w:ascii="宋体" w:hAnsi="宋体" w:cs="宋体"/>
          <w:color w:val="auto"/>
          <w:kern w:val="0"/>
          <w:szCs w:val="21"/>
          <w:highlight w:val="none"/>
        </w:rPr>
        <w:t>（投标人的名称），提交的投标文件包含以下内容：</w:t>
      </w:r>
    </w:p>
    <w:p w14:paraId="5FE40E33">
      <w:pPr>
        <w:spacing w:line="5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（1）资格证明文件；</w:t>
      </w:r>
    </w:p>
    <w:p w14:paraId="115B2C32">
      <w:pPr>
        <w:spacing w:line="5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（2）技术商务文件；</w:t>
      </w:r>
    </w:p>
    <w:p w14:paraId="50F18FE2">
      <w:pPr>
        <w:spacing w:line="5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（3）报价文件；</w:t>
      </w:r>
    </w:p>
    <w:p w14:paraId="7567B437">
      <w:pPr>
        <w:spacing w:line="5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据此函，签字人兹宣布同意如下：</w:t>
      </w:r>
    </w:p>
    <w:p w14:paraId="696D7C6A">
      <w:pPr>
        <w:spacing w:line="5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1、我方向贵方提交的所有投标文件、资料都是准确的和真实的。</w:t>
      </w:r>
    </w:p>
    <w:p w14:paraId="28C61425">
      <w:pPr>
        <w:spacing w:line="5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2、我们承担根据招标文件的规定，完成合同的责任和义务。</w:t>
      </w:r>
    </w:p>
    <w:p w14:paraId="3DA76EEC">
      <w:pPr>
        <w:spacing w:line="5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3、我们已详细阅读全部招标文件，参考资料及有关附件，我们完全理解并同意放弃对这方面有不明或误解的权利。</w:t>
      </w:r>
    </w:p>
    <w:p w14:paraId="1E4EBC92">
      <w:pPr>
        <w:spacing w:line="5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4、我们同意在投标人须知规定的截止日期起遵循本投标文件，并在投标人须知规定的有效期满之前均具有约束力，并有可能中标。</w:t>
      </w:r>
    </w:p>
    <w:p w14:paraId="35074D8D">
      <w:pPr>
        <w:spacing w:line="5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5、同意向贵方提供贵方可能要求的与本投标有关的任何数据或资料。</w:t>
      </w:r>
    </w:p>
    <w:p w14:paraId="4A0EEA1A">
      <w:pPr>
        <w:spacing w:line="5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与本次投标有关的正式通讯地址为：</w:t>
      </w:r>
    </w:p>
    <w:p w14:paraId="0F7209D5">
      <w:pPr>
        <w:spacing w:line="5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地址：</w:t>
      </w:r>
      <w:r>
        <w:rPr>
          <w:rFonts w:hint="eastAsia" w:ascii="宋体" w:hAnsi="宋体" w:cs="宋体"/>
          <w:b/>
          <w:bCs/>
          <w:color w:val="auto"/>
          <w:kern w:val="0"/>
          <w:szCs w:val="21"/>
          <w:highlight w:val="none"/>
          <w:u w:val="single"/>
        </w:rPr>
        <w:t xml:space="preserve">                     </w:t>
      </w:r>
      <w:r>
        <w:rPr>
          <w:rFonts w:hint="eastAsia" w:ascii="宋体" w:hAnsi="宋体" w:cs="宋体"/>
          <w:b/>
          <w:bCs/>
          <w:color w:val="auto"/>
          <w:kern w:val="0"/>
          <w:szCs w:val="21"/>
          <w:highlight w:val="none"/>
          <w:u w:val="single"/>
          <w:lang w:val="en-US" w:eastAsia="zh-CN"/>
        </w:rPr>
        <w:t xml:space="preserve">       </w:t>
      </w:r>
      <w:r>
        <w:rPr>
          <w:rFonts w:hint="eastAsia" w:ascii="宋体" w:hAnsi="宋体" w:cs="宋体"/>
          <w:b/>
          <w:bCs/>
          <w:color w:val="auto"/>
          <w:kern w:val="0"/>
          <w:szCs w:val="21"/>
          <w:highlight w:val="none"/>
          <w:u w:val="single"/>
        </w:rPr>
        <w:t xml:space="preserve">    </w:t>
      </w:r>
    </w:p>
    <w:p w14:paraId="5A1C7C68">
      <w:pPr>
        <w:spacing w:line="5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邮编：</w:t>
      </w:r>
      <w:r>
        <w:rPr>
          <w:rFonts w:hint="eastAsia" w:ascii="宋体" w:hAnsi="宋体" w:cs="宋体"/>
          <w:b/>
          <w:bCs/>
          <w:color w:val="auto"/>
          <w:kern w:val="0"/>
          <w:szCs w:val="21"/>
          <w:highlight w:val="none"/>
          <w:u w:val="single"/>
        </w:rPr>
        <w:t xml:space="preserve">                     </w:t>
      </w:r>
      <w:r>
        <w:rPr>
          <w:rFonts w:hint="eastAsia" w:ascii="宋体" w:hAnsi="宋体" w:cs="宋体"/>
          <w:b/>
          <w:bCs/>
          <w:color w:val="auto"/>
          <w:kern w:val="0"/>
          <w:szCs w:val="21"/>
          <w:highlight w:val="none"/>
          <w:u w:val="single"/>
          <w:lang w:val="en-US" w:eastAsia="zh-CN"/>
        </w:rPr>
        <w:t xml:space="preserve">       </w:t>
      </w:r>
      <w:r>
        <w:rPr>
          <w:rFonts w:hint="eastAsia" w:ascii="宋体" w:hAnsi="宋体" w:cs="宋体"/>
          <w:b/>
          <w:bCs/>
          <w:color w:val="auto"/>
          <w:kern w:val="0"/>
          <w:szCs w:val="21"/>
          <w:highlight w:val="none"/>
          <w:u w:val="single"/>
        </w:rPr>
        <w:t xml:space="preserve">    </w:t>
      </w:r>
    </w:p>
    <w:p w14:paraId="4BBE2E41">
      <w:pPr>
        <w:spacing w:line="5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电话、传真：</w:t>
      </w:r>
      <w:r>
        <w:rPr>
          <w:rFonts w:hint="eastAsia" w:ascii="宋体" w:hAnsi="宋体" w:cs="宋体"/>
          <w:b/>
          <w:bCs/>
          <w:color w:val="auto"/>
          <w:kern w:val="0"/>
          <w:szCs w:val="21"/>
          <w:highlight w:val="none"/>
          <w:u w:val="single"/>
        </w:rPr>
        <w:t xml:space="preserve">                </w:t>
      </w:r>
      <w:r>
        <w:rPr>
          <w:rFonts w:hint="eastAsia" w:ascii="宋体" w:hAnsi="宋体" w:cs="宋体"/>
          <w:b/>
          <w:bCs/>
          <w:color w:val="auto"/>
          <w:kern w:val="0"/>
          <w:szCs w:val="21"/>
          <w:highlight w:val="none"/>
          <w:u w:val="single"/>
          <w:lang w:val="en-US" w:eastAsia="zh-CN"/>
        </w:rPr>
        <w:t xml:space="preserve">       </w:t>
      </w:r>
      <w:r>
        <w:rPr>
          <w:rFonts w:hint="eastAsia" w:ascii="宋体" w:hAnsi="宋体" w:cs="宋体"/>
          <w:b/>
          <w:bCs/>
          <w:color w:val="auto"/>
          <w:kern w:val="0"/>
          <w:szCs w:val="21"/>
          <w:highlight w:val="none"/>
          <w:u w:val="single"/>
        </w:rPr>
        <w:t xml:space="preserve">   </w:t>
      </w:r>
    </w:p>
    <w:p w14:paraId="733DF8D3">
      <w:pPr>
        <w:spacing w:line="5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开户银行：</w:t>
      </w:r>
      <w:r>
        <w:rPr>
          <w:rFonts w:hint="eastAsia" w:ascii="宋体" w:hAnsi="宋体" w:cs="宋体"/>
          <w:b/>
          <w:bCs/>
          <w:color w:val="auto"/>
          <w:kern w:val="0"/>
          <w:szCs w:val="21"/>
          <w:highlight w:val="none"/>
          <w:u w:val="single"/>
        </w:rPr>
        <w:t xml:space="preserve">                 </w:t>
      </w:r>
      <w:r>
        <w:rPr>
          <w:rFonts w:hint="eastAsia" w:ascii="宋体" w:hAnsi="宋体" w:cs="宋体"/>
          <w:b/>
          <w:bCs/>
          <w:color w:val="auto"/>
          <w:kern w:val="0"/>
          <w:szCs w:val="21"/>
          <w:highlight w:val="none"/>
          <w:u w:val="single"/>
          <w:lang w:val="en-US" w:eastAsia="zh-CN"/>
        </w:rPr>
        <w:t xml:space="preserve">       </w:t>
      </w:r>
      <w:r>
        <w:rPr>
          <w:rFonts w:hint="eastAsia" w:ascii="宋体" w:hAnsi="宋体" w:cs="宋体"/>
          <w:b/>
          <w:bCs/>
          <w:color w:val="auto"/>
          <w:kern w:val="0"/>
          <w:szCs w:val="21"/>
          <w:highlight w:val="none"/>
          <w:u w:val="single"/>
        </w:rPr>
        <w:t xml:space="preserve">    </w:t>
      </w:r>
    </w:p>
    <w:p w14:paraId="7FE7711A">
      <w:pPr>
        <w:spacing w:line="5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银行账号：</w:t>
      </w:r>
      <w:r>
        <w:rPr>
          <w:rFonts w:hint="eastAsia" w:ascii="宋体" w:hAnsi="宋体" w:cs="宋体"/>
          <w:b/>
          <w:bCs/>
          <w:color w:val="auto"/>
          <w:kern w:val="0"/>
          <w:szCs w:val="21"/>
          <w:highlight w:val="none"/>
          <w:u w:val="single"/>
        </w:rPr>
        <w:t xml:space="preserve">                  </w:t>
      </w:r>
      <w:r>
        <w:rPr>
          <w:rFonts w:hint="eastAsia" w:ascii="宋体" w:hAnsi="宋体" w:cs="宋体"/>
          <w:b/>
          <w:bCs/>
          <w:color w:val="auto"/>
          <w:kern w:val="0"/>
          <w:szCs w:val="21"/>
          <w:highlight w:val="none"/>
          <w:u w:val="single"/>
          <w:lang w:val="en-US" w:eastAsia="zh-CN"/>
        </w:rPr>
        <w:t xml:space="preserve">       </w:t>
      </w:r>
      <w:r>
        <w:rPr>
          <w:rFonts w:hint="eastAsia" w:ascii="宋体" w:hAnsi="宋体" w:cs="宋体"/>
          <w:b/>
          <w:bCs/>
          <w:color w:val="auto"/>
          <w:kern w:val="0"/>
          <w:szCs w:val="21"/>
          <w:highlight w:val="none"/>
          <w:u w:val="single"/>
        </w:rPr>
        <w:t xml:space="preserve">   </w:t>
      </w:r>
    </w:p>
    <w:p w14:paraId="5F5E3C25">
      <w:pPr>
        <w:spacing w:line="500" w:lineRule="exact"/>
        <w:ind w:firstLine="420" w:firstLineChars="200"/>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 xml:space="preserve">投标人全称（电子签章）： </w:t>
      </w:r>
      <w:r>
        <w:rPr>
          <w:rFonts w:hint="eastAsia" w:ascii="宋体" w:hAnsi="宋体" w:cs="宋体"/>
          <w:b/>
          <w:bCs/>
          <w:color w:val="auto"/>
          <w:kern w:val="0"/>
          <w:szCs w:val="21"/>
          <w:highlight w:val="none"/>
          <w:u w:val="single"/>
        </w:rPr>
        <w:t xml:space="preserve">   </w:t>
      </w:r>
      <w:r>
        <w:rPr>
          <w:rFonts w:hint="eastAsia" w:ascii="宋体" w:hAnsi="宋体" w:cs="宋体"/>
          <w:b/>
          <w:bCs/>
          <w:color w:val="auto"/>
          <w:kern w:val="0"/>
          <w:szCs w:val="21"/>
          <w:highlight w:val="none"/>
          <w:u w:val="single"/>
          <w:lang w:val="en-US" w:eastAsia="zh-CN"/>
        </w:rPr>
        <w:t xml:space="preserve">       </w:t>
      </w:r>
      <w:r>
        <w:rPr>
          <w:rFonts w:hint="eastAsia" w:ascii="宋体" w:hAnsi="宋体" w:cs="宋体"/>
          <w:b/>
          <w:bCs/>
          <w:color w:val="auto"/>
          <w:kern w:val="0"/>
          <w:szCs w:val="21"/>
          <w:highlight w:val="none"/>
          <w:u w:val="single"/>
        </w:rPr>
        <w:t xml:space="preserve">   </w:t>
      </w:r>
    </w:p>
    <w:p w14:paraId="0470603A">
      <w:pPr>
        <w:spacing w:line="5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日期：</w:t>
      </w:r>
      <w:r>
        <w:rPr>
          <w:rFonts w:hint="eastAsia" w:ascii="宋体" w:hAnsi="宋体" w:cs="宋体"/>
          <w:b/>
          <w:bCs/>
          <w:color w:val="auto"/>
          <w:kern w:val="0"/>
          <w:szCs w:val="21"/>
          <w:highlight w:val="none"/>
          <w:u w:val="single"/>
        </w:rPr>
        <w:t xml:space="preserve">   </w:t>
      </w:r>
      <w:r>
        <w:rPr>
          <w:rFonts w:hint="eastAsia" w:ascii="宋体" w:hAnsi="宋体" w:cs="宋体"/>
          <w:b/>
          <w:bCs/>
          <w:color w:val="auto"/>
          <w:kern w:val="0"/>
          <w:szCs w:val="21"/>
          <w:highlight w:val="none"/>
          <w:u w:val="single"/>
          <w:lang w:val="en-US" w:eastAsia="zh-CN"/>
        </w:rPr>
        <w:t xml:space="preserve">  </w:t>
      </w:r>
      <w:r>
        <w:rPr>
          <w:rFonts w:hint="eastAsia" w:ascii="宋体" w:hAnsi="宋体" w:cs="宋体"/>
          <w:b/>
          <w:bCs/>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b/>
          <w:bCs/>
          <w:color w:val="auto"/>
          <w:kern w:val="0"/>
          <w:szCs w:val="21"/>
          <w:highlight w:val="none"/>
          <w:u w:val="single"/>
        </w:rPr>
        <w:t xml:space="preserve">    </w:t>
      </w:r>
      <w:r>
        <w:rPr>
          <w:rFonts w:hint="eastAsia" w:ascii="宋体" w:hAnsi="宋体" w:cs="宋体"/>
          <w:b/>
          <w:bCs/>
          <w:color w:val="auto"/>
          <w:kern w:val="0"/>
          <w:szCs w:val="21"/>
          <w:highlight w:val="none"/>
          <w:u w:val="single"/>
          <w:lang w:val="en-US" w:eastAsia="zh-CN"/>
        </w:rPr>
        <w:t xml:space="preserve">  </w:t>
      </w:r>
      <w:r>
        <w:rPr>
          <w:rFonts w:hint="eastAsia" w:ascii="宋体" w:hAnsi="宋体" w:cs="宋体"/>
          <w:b/>
          <w:bCs/>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b/>
          <w:bCs/>
          <w:color w:val="auto"/>
          <w:kern w:val="0"/>
          <w:szCs w:val="21"/>
          <w:highlight w:val="none"/>
          <w:u w:val="single"/>
        </w:rPr>
        <w:t xml:space="preserve">   </w:t>
      </w:r>
      <w:r>
        <w:rPr>
          <w:rFonts w:hint="eastAsia" w:ascii="宋体" w:hAnsi="宋体" w:cs="宋体"/>
          <w:b/>
          <w:bCs/>
          <w:color w:val="auto"/>
          <w:kern w:val="0"/>
          <w:szCs w:val="21"/>
          <w:highlight w:val="none"/>
          <w:u w:val="single"/>
          <w:lang w:val="en-US" w:eastAsia="zh-CN"/>
        </w:rPr>
        <w:t xml:space="preserve"> </w:t>
      </w:r>
      <w:r>
        <w:rPr>
          <w:rFonts w:hint="eastAsia" w:ascii="宋体" w:hAnsi="宋体" w:cs="宋体"/>
          <w:b/>
          <w:bCs/>
          <w:color w:val="auto"/>
          <w:kern w:val="0"/>
          <w:szCs w:val="21"/>
          <w:highlight w:val="none"/>
          <w:u w:val="single"/>
        </w:rPr>
        <w:t xml:space="preserve">  </w:t>
      </w:r>
      <w:r>
        <w:rPr>
          <w:rFonts w:hint="eastAsia" w:ascii="宋体" w:hAnsi="宋体" w:cs="宋体"/>
          <w:b/>
          <w:bCs/>
          <w:color w:val="auto"/>
          <w:kern w:val="0"/>
          <w:szCs w:val="21"/>
          <w:highlight w:val="none"/>
          <w:u w:val="single"/>
          <w:lang w:val="en-US" w:eastAsia="zh-CN"/>
        </w:rPr>
        <w:t xml:space="preserve"> </w:t>
      </w:r>
      <w:r>
        <w:rPr>
          <w:rFonts w:hint="eastAsia" w:ascii="宋体" w:hAnsi="宋体" w:cs="宋体"/>
          <w:b/>
          <w:bCs/>
          <w:color w:val="auto"/>
          <w:kern w:val="0"/>
          <w:szCs w:val="21"/>
          <w:highlight w:val="none"/>
          <w:u w:val="single"/>
        </w:rPr>
        <w:t xml:space="preserve">   </w:t>
      </w:r>
      <w:r>
        <w:rPr>
          <w:rFonts w:hint="eastAsia" w:ascii="宋体" w:hAnsi="宋体" w:cs="宋体"/>
          <w:color w:val="auto"/>
          <w:kern w:val="0"/>
          <w:szCs w:val="21"/>
          <w:highlight w:val="none"/>
        </w:rPr>
        <w:t>日</w:t>
      </w:r>
    </w:p>
    <w:p w14:paraId="0130BCC0">
      <w:pPr>
        <w:snapToGrid w:val="0"/>
        <w:spacing w:line="400" w:lineRule="exact"/>
        <w:jc w:val="center"/>
        <w:outlineLvl w:val="2"/>
        <w:rPr>
          <w:rFonts w:hint="eastAsia" w:ascii="宋体" w:hAnsi="宋体" w:cs="宋体"/>
          <w:b/>
          <w:color w:val="auto"/>
          <w:kern w:val="0"/>
          <w:sz w:val="30"/>
          <w:szCs w:val="30"/>
          <w:highlight w:val="none"/>
        </w:rPr>
      </w:pPr>
      <w:r>
        <w:rPr>
          <w:rFonts w:hint="eastAsia" w:ascii="宋体" w:hAnsi="宋体" w:cs="宋体"/>
          <w:b/>
          <w:color w:val="auto"/>
          <w:kern w:val="0"/>
          <w:sz w:val="30"/>
          <w:szCs w:val="30"/>
          <w:highlight w:val="none"/>
        </w:rPr>
        <w:br w:type="page"/>
      </w:r>
      <w:r>
        <w:rPr>
          <w:rFonts w:hint="eastAsia" w:ascii="宋体" w:hAnsi="宋体" w:cs="宋体"/>
          <w:b/>
          <w:color w:val="auto"/>
          <w:kern w:val="0"/>
          <w:sz w:val="30"/>
          <w:szCs w:val="30"/>
          <w:highlight w:val="none"/>
        </w:rPr>
        <w:t>二、开标一览表</w:t>
      </w:r>
      <w:bookmarkEnd w:id="380"/>
      <w:bookmarkEnd w:id="381"/>
      <w:bookmarkEnd w:id="382"/>
      <w:bookmarkEnd w:id="383"/>
      <w:bookmarkEnd w:id="384"/>
      <w:bookmarkEnd w:id="385"/>
      <w:bookmarkEnd w:id="386"/>
      <w:bookmarkEnd w:id="387"/>
      <w:bookmarkEnd w:id="388"/>
      <w:bookmarkEnd w:id="389"/>
      <w:bookmarkEnd w:id="390"/>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14:paraId="77FDE448">
      <w:pPr>
        <w:keepLines w:val="0"/>
        <w:outlineLvl w:val="9"/>
        <w:rPr>
          <w:rFonts w:hint="eastAsia"/>
          <w:color w:val="auto"/>
          <w:highlight w:val="none"/>
        </w:rPr>
      </w:pPr>
    </w:p>
    <w:p w14:paraId="2DC43A46">
      <w:pPr>
        <w:outlineLvl w:val="9"/>
        <w:rPr>
          <w:rFonts w:hint="eastAsia"/>
          <w:color w:val="auto"/>
          <w:highlight w:val="none"/>
        </w:rPr>
      </w:pPr>
    </w:p>
    <w:bookmarkEnd w:id="391"/>
    <w:bookmarkEnd w:id="392"/>
    <w:bookmarkEnd w:id="393"/>
    <w:bookmarkEnd w:id="394"/>
    <w:bookmarkEnd w:id="395"/>
    <w:p w14:paraId="1AAE9AC9">
      <w:pPr>
        <w:keepNext w:val="0"/>
        <w:keepLines w:val="0"/>
        <w:pageBreakBefore w:val="0"/>
        <w:widowControl w:val="0"/>
        <w:kinsoku/>
        <w:topLinePunct w:val="0"/>
        <w:bidi w:val="0"/>
        <w:adjustRightInd/>
        <w:snapToGrid w:val="0"/>
        <w:spacing w:line="600" w:lineRule="exact"/>
        <w:textAlignment w:val="auto"/>
        <w:rPr>
          <w:rFonts w:hint="default" w:ascii="宋体" w:hAnsi="宋体" w:eastAsia="宋体" w:cs="宋体"/>
          <w:color w:val="auto"/>
          <w:szCs w:val="21"/>
          <w:highlight w:val="none"/>
          <w:lang w:val="en-US" w:eastAsia="zh-CN"/>
        </w:rPr>
      </w:pPr>
      <w:bookmarkStart w:id="412" w:name="_Toc437331649"/>
      <w:bookmarkStart w:id="413" w:name="_Toc335295013"/>
      <w:bookmarkStart w:id="414" w:name="_Toc495666262"/>
      <w:bookmarkStart w:id="415" w:name="_Toc470270029"/>
      <w:bookmarkStart w:id="416" w:name="_Toc437509368"/>
      <w:bookmarkStart w:id="417" w:name="_Toc469475499"/>
      <w:bookmarkStart w:id="418" w:name="_Toc336671807"/>
      <w:bookmarkStart w:id="419" w:name="_Toc435706616"/>
      <w:bookmarkStart w:id="420" w:name="_Toc31436"/>
      <w:bookmarkStart w:id="421" w:name="_Toc463851876"/>
      <w:bookmarkStart w:id="422" w:name="_Toc476230983"/>
      <w:bookmarkStart w:id="423" w:name="_Toc437331338"/>
      <w:bookmarkStart w:id="424" w:name="_Toc471819760"/>
      <w:bookmarkStart w:id="425" w:name="_Toc433882684"/>
      <w:bookmarkStart w:id="426" w:name="_Toc468954278"/>
      <w:bookmarkStart w:id="427" w:name="_Toc387831539"/>
      <w:bookmarkStart w:id="428" w:name="_Toc476229742"/>
      <w:bookmarkStart w:id="429" w:name="_Toc17506"/>
      <w:bookmarkStart w:id="430" w:name="_Toc392080818"/>
      <w:bookmarkStart w:id="431" w:name="_Toc335294213"/>
      <w:bookmarkStart w:id="432" w:name="_Toc476230707"/>
      <w:bookmarkStart w:id="433" w:name="_Toc437504071"/>
      <w:bookmarkStart w:id="434" w:name="_Toc467572566"/>
      <w:bookmarkStart w:id="435" w:name="_Toc393201766"/>
      <w:bookmarkStart w:id="436" w:name="_Toc335297855"/>
      <w:bookmarkStart w:id="437" w:name="_Toc424199706"/>
      <w:bookmarkStart w:id="438" w:name="_Toc340736224"/>
      <w:bookmarkStart w:id="439" w:name="_Toc476230571"/>
      <w:bookmarkStart w:id="440" w:name="_Toc471819820"/>
      <w:bookmarkStart w:id="441" w:name="_Toc470269913"/>
      <w:bookmarkStart w:id="442" w:name="_Toc335298323"/>
      <w:bookmarkStart w:id="443" w:name="_Toc27300"/>
      <w:r>
        <w:rPr>
          <w:rFonts w:hint="eastAsia" w:ascii="宋体" w:hAnsi="宋体" w:cs="宋体"/>
          <w:color w:val="auto"/>
          <w:szCs w:val="21"/>
          <w:highlight w:val="none"/>
        </w:rPr>
        <w:t xml:space="preserve">项目编号：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t xml:space="preserve">标项：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金额单位：元</w:t>
      </w:r>
      <w:r>
        <w:rPr>
          <w:rFonts w:hint="eastAsia" w:ascii="宋体" w:hAnsi="宋体" w:cs="宋体"/>
          <w:color w:val="auto"/>
          <w:szCs w:val="21"/>
          <w:highlight w:val="none"/>
          <w:lang w:val="en-US" w:eastAsia="zh-CN"/>
        </w:rPr>
        <w:t xml:space="preserve">          </w:t>
      </w:r>
    </w:p>
    <w:tbl>
      <w:tblPr>
        <w:tblStyle w:val="22"/>
        <w:tblW w:w="958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7763"/>
      </w:tblGrid>
      <w:tr w14:paraId="3ABAA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825" w:type="dxa"/>
            <w:tcBorders>
              <w:top w:val="single" w:color="auto" w:sz="4" w:space="0"/>
              <w:left w:val="single" w:color="auto" w:sz="4" w:space="0"/>
              <w:bottom w:val="single" w:color="auto" w:sz="4" w:space="0"/>
              <w:right w:val="single" w:color="auto" w:sz="4" w:space="0"/>
            </w:tcBorders>
            <w:noWrap w:val="0"/>
            <w:vAlign w:val="center"/>
          </w:tcPr>
          <w:p w14:paraId="1D00FBB0">
            <w:pPr>
              <w:keepNext w:val="0"/>
              <w:keepLines w:val="0"/>
              <w:pageBreakBefore w:val="0"/>
              <w:widowControl w:val="0"/>
              <w:kinsoku/>
              <w:topLinePunct w:val="0"/>
              <w:bidi w:val="0"/>
              <w:adjustRightInd/>
              <w:snapToGrid w:val="0"/>
              <w:spacing w:line="6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7763" w:type="dxa"/>
            <w:tcBorders>
              <w:top w:val="single" w:color="auto" w:sz="4" w:space="0"/>
              <w:left w:val="single" w:color="auto" w:sz="4" w:space="0"/>
              <w:bottom w:val="single" w:color="auto" w:sz="4" w:space="0"/>
              <w:right w:val="single" w:color="auto" w:sz="4" w:space="0"/>
            </w:tcBorders>
            <w:noWrap w:val="0"/>
            <w:vAlign w:val="center"/>
          </w:tcPr>
          <w:p w14:paraId="48328A90">
            <w:pPr>
              <w:keepNext w:val="0"/>
              <w:keepLines w:val="0"/>
              <w:pageBreakBefore w:val="0"/>
              <w:widowControl w:val="0"/>
              <w:kinsoku/>
              <w:topLinePunct w:val="0"/>
              <w:bidi w:val="0"/>
              <w:adjustRightInd/>
              <w:snapToGrid w:val="0"/>
              <w:spacing w:line="600" w:lineRule="exact"/>
              <w:textAlignment w:val="auto"/>
              <w:rPr>
                <w:rFonts w:hint="eastAsia" w:ascii="宋体" w:hAnsi="宋体" w:cs="宋体"/>
                <w:color w:val="auto"/>
                <w:szCs w:val="21"/>
                <w:highlight w:val="none"/>
              </w:rPr>
            </w:pPr>
          </w:p>
        </w:tc>
      </w:tr>
      <w:tr w14:paraId="729AB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825" w:type="dxa"/>
            <w:tcBorders>
              <w:top w:val="single" w:color="auto" w:sz="4" w:space="0"/>
              <w:left w:val="single" w:color="auto" w:sz="4" w:space="0"/>
              <w:bottom w:val="single" w:color="auto" w:sz="4" w:space="0"/>
              <w:right w:val="single" w:color="auto" w:sz="4" w:space="0"/>
            </w:tcBorders>
            <w:noWrap w:val="0"/>
            <w:vAlign w:val="center"/>
          </w:tcPr>
          <w:p w14:paraId="32381A3A">
            <w:pPr>
              <w:keepNext w:val="0"/>
              <w:keepLines w:val="0"/>
              <w:pageBreakBefore w:val="0"/>
              <w:widowControl w:val="0"/>
              <w:kinsoku/>
              <w:topLinePunct w:val="0"/>
              <w:bidi w:val="0"/>
              <w:adjustRightInd/>
              <w:snapToGrid w:val="0"/>
              <w:spacing w:line="6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投标报价</w:t>
            </w:r>
          </w:p>
        </w:tc>
        <w:tc>
          <w:tcPr>
            <w:tcW w:w="7763" w:type="dxa"/>
            <w:tcBorders>
              <w:top w:val="single" w:color="auto" w:sz="4" w:space="0"/>
              <w:left w:val="single" w:color="auto" w:sz="4" w:space="0"/>
              <w:bottom w:val="single" w:color="auto" w:sz="4" w:space="0"/>
              <w:right w:val="single" w:color="auto" w:sz="4" w:space="0"/>
            </w:tcBorders>
            <w:noWrap w:val="0"/>
            <w:vAlign w:val="center"/>
          </w:tcPr>
          <w:p w14:paraId="61507D05">
            <w:pPr>
              <w:keepNext w:val="0"/>
              <w:keepLines w:val="0"/>
              <w:pageBreakBefore w:val="0"/>
              <w:widowControl w:val="0"/>
              <w:kinsoku/>
              <w:wordWrap w:val="0"/>
              <w:overflowPunct w:val="0"/>
              <w:topLinePunct w:val="0"/>
              <w:autoSpaceDE w:val="0"/>
              <w:autoSpaceDN w:val="0"/>
              <w:bidi w:val="0"/>
              <w:adjustRightInd/>
              <w:snapToGrid w:val="0"/>
              <w:spacing w:line="6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大写：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（小写：￥___________）</w:t>
            </w:r>
          </w:p>
        </w:tc>
      </w:tr>
    </w:tbl>
    <w:p w14:paraId="5826C397">
      <w:pPr>
        <w:keepNext w:val="0"/>
        <w:keepLines w:val="0"/>
        <w:pageBreakBefore w:val="0"/>
        <w:widowControl w:val="0"/>
        <w:kinsoku/>
        <w:topLinePunct w:val="0"/>
        <w:bidi w:val="0"/>
        <w:adjustRightInd/>
        <w:snapToGrid w:val="0"/>
        <w:spacing w:line="6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注: </w:t>
      </w:r>
    </w:p>
    <w:p w14:paraId="32A969E2">
      <w:pPr>
        <w:keepNext w:val="0"/>
        <w:keepLines w:val="0"/>
        <w:pageBreakBefore w:val="0"/>
        <w:widowControl w:val="0"/>
        <w:kinsoku/>
        <w:topLinePunct w:val="0"/>
        <w:bidi w:val="0"/>
        <w:adjustRightInd/>
        <w:snapToGrid w:val="0"/>
        <w:spacing w:line="6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1.报价一经涂改，应在涂改处加盖单位公章或者由法定代表人或授权委托人签字或盖章，否则其投标作无效标处理。</w:t>
      </w:r>
    </w:p>
    <w:p w14:paraId="3D47062B">
      <w:pPr>
        <w:keepNext w:val="0"/>
        <w:keepLines w:val="0"/>
        <w:pageBreakBefore w:val="0"/>
        <w:widowControl w:val="0"/>
        <w:kinsoku/>
        <w:topLinePunct w:val="0"/>
        <w:bidi w:val="0"/>
        <w:adjustRightInd/>
        <w:spacing w:line="600" w:lineRule="exact"/>
        <w:ind w:firstLine="420" w:firstLineChars="200"/>
        <w:textAlignment w:val="auto"/>
        <w:rPr>
          <w:rFonts w:hint="eastAsia" w:ascii="宋体" w:hAnsi="宋体" w:eastAsia="宋体" w:cs="宋体"/>
          <w:strike w:val="0"/>
          <w:dstrike w:val="0"/>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default" w:ascii="宋体" w:hAnsi="宋体" w:cs="宋体"/>
          <w:color w:val="auto"/>
          <w:sz w:val="21"/>
          <w:szCs w:val="21"/>
          <w:highlight w:val="none"/>
        </w:rPr>
        <w:t>投标人报价超过</w:t>
      </w:r>
      <w:r>
        <w:rPr>
          <w:rFonts w:hint="eastAsia" w:ascii="宋体" w:hAnsi="宋体" w:cs="宋体"/>
          <w:color w:val="auto"/>
          <w:sz w:val="21"/>
          <w:szCs w:val="21"/>
          <w:highlight w:val="none"/>
          <w:lang w:eastAsia="zh-CN"/>
        </w:rPr>
        <w:t>最高限价</w:t>
      </w:r>
      <w:r>
        <w:rPr>
          <w:rFonts w:hint="default" w:ascii="宋体" w:hAnsi="宋体" w:cs="宋体"/>
          <w:color w:val="auto"/>
          <w:sz w:val="21"/>
          <w:szCs w:val="21"/>
          <w:highlight w:val="none"/>
        </w:rPr>
        <w:t>的为无效报价</w:t>
      </w:r>
      <w:r>
        <w:rPr>
          <w:rFonts w:hint="eastAsia" w:ascii="宋体" w:hAnsi="宋体" w:cs="宋体"/>
          <w:color w:val="auto"/>
          <w:sz w:val="21"/>
          <w:szCs w:val="21"/>
          <w:highlight w:val="none"/>
          <w:lang w:eastAsia="zh-CN"/>
        </w:rPr>
        <w:t>。</w:t>
      </w:r>
    </w:p>
    <w:p w14:paraId="1B66F242">
      <w:pPr>
        <w:keepNext w:val="0"/>
        <w:keepLines w:val="0"/>
        <w:pageBreakBefore w:val="0"/>
        <w:widowControl w:val="0"/>
        <w:kinsoku/>
        <w:topLinePunct w:val="0"/>
        <w:bidi w:val="0"/>
        <w:adjustRightInd/>
        <w:spacing w:line="600" w:lineRule="exact"/>
        <w:ind w:right="-21" w:rightChars="-10" w:firstLine="630" w:firstLineChars="300"/>
        <w:textAlignment w:val="auto"/>
        <w:rPr>
          <w:rFonts w:hint="eastAsia" w:ascii="宋体" w:hAnsi="宋体" w:cs="宋体"/>
          <w:color w:val="auto"/>
          <w:szCs w:val="21"/>
          <w:highlight w:val="none"/>
        </w:rPr>
      </w:pPr>
    </w:p>
    <w:p w14:paraId="694FB54E">
      <w:pPr>
        <w:pStyle w:val="21"/>
        <w:keepNext w:val="0"/>
        <w:keepLines w:val="0"/>
        <w:pageBreakBefore w:val="0"/>
        <w:widowControl w:val="0"/>
        <w:kinsoku/>
        <w:topLinePunct w:val="0"/>
        <w:bidi w:val="0"/>
        <w:adjustRightInd/>
        <w:spacing w:after="0" w:line="600" w:lineRule="exact"/>
        <w:ind w:firstLine="400"/>
        <w:textAlignment w:val="auto"/>
        <w:rPr>
          <w:rFonts w:hint="eastAsia" w:ascii="宋体" w:hAnsi="宋体"/>
          <w:color w:val="auto"/>
          <w:sz w:val="20"/>
          <w:highlight w:val="none"/>
        </w:rPr>
      </w:pPr>
    </w:p>
    <w:p w14:paraId="18854599">
      <w:pPr>
        <w:pStyle w:val="21"/>
        <w:keepNext w:val="0"/>
        <w:keepLines w:val="0"/>
        <w:pageBreakBefore w:val="0"/>
        <w:widowControl w:val="0"/>
        <w:kinsoku/>
        <w:topLinePunct w:val="0"/>
        <w:bidi w:val="0"/>
        <w:adjustRightInd/>
        <w:spacing w:after="0" w:line="600" w:lineRule="exact"/>
        <w:ind w:firstLine="400"/>
        <w:textAlignment w:val="auto"/>
        <w:rPr>
          <w:rFonts w:hint="eastAsia" w:ascii="宋体" w:hAnsi="宋体"/>
          <w:color w:val="auto"/>
          <w:sz w:val="20"/>
          <w:highlight w:val="none"/>
        </w:rPr>
      </w:pPr>
    </w:p>
    <w:p w14:paraId="0D7BDC0A">
      <w:pPr>
        <w:pStyle w:val="21"/>
        <w:keepNext w:val="0"/>
        <w:keepLines w:val="0"/>
        <w:pageBreakBefore w:val="0"/>
        <w:widowControl w:val="0"/>
        <w:kinsoku/>
        <w:topLinePunct w:val="0"/>
        <w:bidi w:val="0"/>
        <w:adjustRightInd/>
        <w:spacing w:after="0" w:line="600" w:lineRule="exact"/>
        <w:ind w:firstLine="400"/>
        <w:textAlignment w:val="auto"/>
        <w:rPr>
          <w:rFonts w:hint="eastAsia" w:ascii="宋体" w:hAnsi="宋体"/>
          <w:color w:val="auto"/>
          <w:sz w:val="20"/>
          <w:highlight w:val="none"/>
        </w:rPr>
      </w:pPr>
    </w:p>
    <w:p w14:paraId="7A2ECD9B">
      <w:pPr>
        <w:pStyle w:val="21"/>
        <w:keepNext w:val="0"/>
        <w:keepLines w:val="0"/>
        <w:pageBreakBefore w:val="0"/>
        <w:widowControl w:val="0"/>
        <w:kinsoku/>
        <w:topLinePunct w:val="0"/>
        <w:bidi w:val="0"/>
        <w:adjustRightInd/>
        <w:spacing w:after="0" w:line="600" w:lineRule="exact"/>
        <w:ind w:firstLine="400"/>
        <w:textAlignment w:val="auto"/>
        <w:rPr>
          <w:rFonts w:hint="eastAsia" w:ascii="宋体" w:hAnsi="宋体"/>
          <w:color w:val="auto"/>
          <w:sz w:val="20"/>
          <w:highlight w:val="none"/>
        </w:rPr>
      </w:pPr>
    </w:p>
    <w:p w14:paraId="10EB6864">
      <w:pPr>
        <w:keepNext w:val="0"/>
        <w:keepLines w:val="0"/>
        <w:pageBreakBefore w:val="0"/>
        <w:widowControl w:val="0"/>
        <w:kinsoku/>
        <w:topLinePunct w:val="0"/>
        <w:bidi w:val="0"/>
        <w:adjustRightInd/>
        <w:snapToGrid w:val="0"/>
        <w:spacing w:line="600" w:lineRule="exact"/>
        <w:ind w:firstLine="480" w:firstLineChars="200"/>
        <w:jc w:val="left"/>
        <w:textAlignment w:val="auto"/>
        <w:rPr>
          <w:rFonts w:hint="eastAsia" w:ascii="仿宋" w:hAnsi="仿宋" w:eastAsia="仿宋"/>
          <w:color w:val="auto"/>
          <w:sz w:val="24"/>
          <w:highlight w:val="none"/>
        </w:rPr>
      </w:pPr>
    </w:p>
    <w:p w14:paraId="318EFC62">
      <w:pPr>
        <w:keepNext w:val="0"/>
        <w:keepLines w:val="0"/>
        <w:pageBreakBefore w:val="0"/>
        <w:widowControl w:val="0"/>
        <w:kinsoku/>
        <w:wordWrap w:val="0"/>
        <w:topLinePunct w:val="0"/>
        <w:bidi w:val="0"/>
        <w:adjustRightInd/>
        <w:spacing w:line="600" w:lineRule="exact"/>
        <w:ind w:firstLine="420" w:firstLineChars="200"/>
        <w:textAlignment w:val="auto"/>
        <w:rPr>
          <w:rFonts w:hint="eastAsia" w:ascii="宋体" w:hAnsi="宋体"/>
          <w:color w:val="auto"/>
          <w:highlight w:val="none"/>
        </w:rPr>
      </w:pPr>
      <w:r>
        <w:rPr>
          <w:rFonts w:hint="eastAsia" w:ascii="宋体" w:hAnsi="宋体"/>
          <w:color w:val="auto"/>
          <w:highlight w:val="none"/>
        </w:rPr>
        <w:t xml:space="preserve">                                 </w:t>
      </w:r>
    </w:p>
    <w:p w14:paraId="7EB68CB4">
      <w:pPr>
        <w:keepNext w:val="0"/>
        <w:keepLines w:val="0"/>
        <w:pageBreakBefore w:val="0"/>
        <w:widowControl w:val="0"/>
        <w:kinsoku/>
        <w:wordWrap w:val="0"/>
        <w:topLinePunct w:val="0"/>
        <w:bidi w:val="0"/>
        <w:adjustRightInd/>
        <w:spacing w:line="600" w:lineRule="exact"/>
        <w:ind w:firstLine="420" w:firstLineChars="200"/>
        <w:textAlignment w:val="auto"/>
        <w:rPr>
          <w:rFonts w:hint="eastAsia" w:ascii="宋体" w:hAnsi="宋体"/>
          <w:color w:val="auto"/>
          <w:highlight w:val="none"/>
        </w:rPr>
      </w:pPr>
    </w:p>
    <w:p w14:paraId="24DA52E1">
      <w:pPr>
        <w:keepNext w:val="0"/>
        <w:keepLines w:val="0"/>
        <w:pageBreakBefore w:val="0"/>
        <w:widowControl w:val="0"/>
        <w:kinsoku/>
        <w:topLinePunct w:val="0"/>
        <w:bidi w:val="0"/>
        <w:adjustRightInd/>
        <w:spacing w:line="600" w:lineRule="exact"/>
        <w:ind w:firstLine="3360" w:firstLineChars="1600"/>
        <w:textAlignment w:val="auto"/>
        <w:rPr>
          <w:rFonts w:hint="eastAsia" w:ascii="宋体" w:hAnsi="宋体" w:cs="宋体"/>
          <w:color w:val="auto"/>
          <w:szCs w:val="21"/>
          <w:highlight w:val="none"/>
        </w:rPr>
      </w:pPr>
      <w:r>
        <w:rPr>
          <w:rFonts w:hint="eastAsia" w:ascii="宋体" w:hAnsi="宋体"/>
          <w:color w:val="auto"/>
          <w:highlight w:val="none"/>
        </w:rPr>
        <w:t xml:space="preserve">            </w:t>
      </w:r>
      <w:r>
        <w:rPr>
          <w:rFonts w:hint="eastAsia" w:ascii="宋体" w:hAnsi="宋体" w:cs="宋体"/>
          <w:color w:val="auto"/>
          <w:szCs w:val="21"/>
          <w:highlight w:val="none"/>
        </w:rPr>
        <w:t>投标人全称（电子签章）</w:t>
      </w:r>
      <w:r>
        <w:rPr>
          <w:rFonts w:hint="eastAsia" w:ascii="宋体" w:hAnsi="宋体" w:cs="宋体"/>
          <w:color w:val="auto"/>
          <w:szCs w:val="21"/>
          <w:highlight w:val="none"/>
          <w:lang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6571CCE0">
      <w:pPr>
        <w:keepNext w:val="0"/>
        <w:keepLines w:val="0"/>
        <w:pageBreakBefore w:val="0"/>
        <w:widowControl w:val="0"/>
        <w:kinsoku/>
        <w:wordWrap w:val="0"/>
        <w:topLinePunct w:val="0"/>
        <w:bidi w:val="0"/>
        <w:adjustRightInd/>
        <w:spacing w:line="600" w:lineRule="exact"/>
        <w:ind w:firstLine="420" w:firstLineChars="200"/>
        <w:jc w:val="center"/>
        <w:textAlignment w:val="auto"/>
        <w:rPr>
          <w:rFonts w:hint="eastAsia" w:ascii="宋体" w:hAnsi="宋体" w:cs="宋体"/>
          <w:color w:val="auto"/>
          <w:szCs w:val="21"/>
          <w:highlight w:val="none"/>
          <w:u w:val="single"/>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日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p>
    <w:p w14:paraId="6F778421">
      <w:pPr>
        <w:tabs>
          <w:tab w:val="left" w:pos="727"/>
        </w:tabs>
        <w:jc w:val="center"/>
        <w:outlineLvl w:val="2"/>
        <w:rPr>
          <w:rFonts w:hint="eastAsia" w:ascii="宋体" w:hAnsi="宋体" w:cs="宋体"/>
          <w:b/>
          <w:color w:val="auto"/>
          <w:kern w:val="0"/>
          <w:sz w:val="30"/>
          <w:szCs w:val="30"/>
          <w:highlight w:val="none"/>
        </w:rPr>
      </w:pPr>
      <w:r>
        <w:rPr>
          <w:rFonts w:hint="eastAsia" w:ascii="宋体" w:hAnsi="宋体" w:cs="宋体"/>
          <w:b/>
          <w:color w:val="auto"/>
          <w:kern w:val="0"/>
          <w:sz w:val="30"/>
          <w:szCs w:val="30"/>
          <w:highlight w:val="none"/>
        </w:rPr>
        <w:br w:type="page"/>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Start w:id="444" w:name="_Toc435706618"/>
      <w:bookmarkStart w:id="445" w:name="_Toc463851878"/>
      <w:bookmarkStart w:id="446" w:name="_Toc468954280"/>
      <w:bookmarkStart w:id="447" w:name="_Toc470269915"/>
      <w:bookmarkStart w:id="448" w:name="_Toc437331651"/>
      <w:bookmarkStart w:id="449" w:name="_Toc476229743"/>
      <w:bookmarkStart w:id="450" w:name="_Toc467572568"/>
      <w:bookmarkStart w:id="451" w:name="_Toc471819821"/>
      <w:bookmarkStart w:id="452" w:name="_Toc471819761"/>
      <w:bookmarkStart w:id="453" w:name="_Toc476230572"/>
      <w:bookmarkStart w:id="454" w:name="_Toc476230708"/>
      <w:bookmarkStart w:id="455" w:name="_Toc476230984"/>
      <w:bookmarkStart w:id="456" w:name="_Toc433882686"/>
      <w:bookmarkStart w:id="457" w:name="_Toc470270031"/>
      <w:bookmarkStart w:id="458" w:name="_Toc469475501"/>
      <w:bookmarkStart w:id="459" w:name="_Toc424199708"/>
      <w:r>
        <w:rPr>
          <w:rFonts w:hint="eastAsia" w:ascii="宋体" w:hAnsi="宋体" w:cs="宋体"/>
          <w:b/>
          <w:color w:val="auto"/>
          <w:kern w:val="0"/>
          <w:sz w:val="30"/>
          <w:szCs w:val="30"/>
          <w:highlight w:val="none"/>
          <w:lang w:val="en-US" w:eastAsia="zh-CN"/>
        </w:rPr>
        <w:t>三</w:t>
      </w:r>
      <w:r>
        <w:rPr>
          <w:rFonts w:hint="eastAsia" w:ascii="宋体" w:hAnsi="宋体" w:cs="宋体"/>
          <w:b/>
          <w:color w:val="auto"/>
          <w:kern w:val="0"/>
          <w:sz w:val="30"/>
          <w:szCs w:val="30"/>
          <w:highlight w:val="none"/>
        </w:rPr>
        <w:t>、投标人需要说明的其他文件和说明</w:t>
      </w:r>
    </w:p>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14:paraId="546E1BA6">
      <w:pPr>
        <w:rPr>
          <w:color w:val="auto"/>
        </w:rPr>
      </w:pPr>
    </w:p>
    <w:p w14:paraId="68F9AF5C">
      <w:pPr>
        <w:pStyle w:val="3"/>
        <w:rPr>
          <w:color w:val="auto"/>
        </w:rPr>
      </w:pPr>
    </w:p>
    <w:p w14:paraId="5B9B4343">
      <w:pPr>
        <w:rPr>
          <w:color w:val="auto"/>
        </w:rPr>
      </w:pPr>
    </w:p>
    <w:p w14:paraId="6E27A86E">
      <w:pPr>
        <w:pStyle w:val="3"/>
        <w:rPr>
          <w:color w:val="auto"/>
        </w:rPr>
      </w:pPr>
    </w:p>
    <w:p w14:paraId="0A4F6494">
      <w:pPr>
        <w:rPr>
          <w:color w:val="auto"/>
        </w:rPr>
      </w:pPr>
    </w:p>
    <w:p w14:paraId="38DED9BC">
      <w:pPr>
        <w:pStyle w:val="3"/>
        <w:rPr>
          <w:color w:val="auto"/>
        </w:rPr>
      </w:pPr>
    </w:p>
    <w:p w14:paraId="5E67218D">
      <w:pPr>
        <w:rPr>
          <w:color w:val="auto"/>
        </w:rPr>
      </w:pPr>
    </w:p>
    <w:p w14:paraId="7A33AA0B">
      <w:pPr>
        <w:pStyle w:val="3"/>
        <w:rPr>
          <w:color w:val="auto"/>
        </w:rPr>
      </w:pPr>
    </w:p>
    <w:p w14:paraId="490108AE">
      <w:pPr>
        <w:rPr>
          <w:color w:val="auto"/>
        </w:rPr>
      </w:pPr>
    </w:p>
    <w:p w14:paraId="05C2EEEA">
      <w:pPr>
        <w:pStyle w:val="3"/>
        <w:rPr>
          <w:color w:val="auto"/>
        </w:rPr>
      </w:pPr>
    </w:p>
    <w:p w14:paraId="4E380BAF">
      <w:pPr>
        <w:rPr>
          <w:color w:val="auto"/>
        </w:rPr>
      </w:pPr>
    </w:p>
    <w:p w14:paraId="2FD7E4A1">
      <w:pPr>
        <w:pStyle w:val="3"/>
        <w:rPr>
          <w:color w:val="auto"/>
        </w:rPr>
      </w:pPr>
    </w:p>
    <w:p w14:paraId="3F542EAF">
      <w:pPr>
        <w:rPr>
          <w:color w:val="auto"/>
        </w:rPr>
      </w:pPr>
    </w:p>
    <w:p w14:paraId="4B372164">
      <w:pPr>
        <w:pStyle w:val="3"/>
        <w:rPr>
          <w:color w:val="auto"/>
        </w:rPr>
      </w:pPr>
    </w:p>
    <w:p w14:paraId="09E2C8B6">
      <w:pPr>
        <w:rPr>
          <w:color w:val="auto"/>
        </w:rPr>
      </w:pPr>
    </w:p>
    <w:p w14:paraId="4B68FA38">
      <w:pPr>
        <w:pStyle w:val="3"/>
        <w:rPr>
          <w:color w:val="auto"/>
        </w:rPr>
      </w:pPr>
    </w:p>
    <w:p w14:paraId="6C8334AD">
      <w:pPr>
        <w:rPr>
          <w:color w:val="auto"/>
        </w:rPr>
      </w:pPr>
    </w:p>
    <w:p w14:paraId="13D79E25">
      <w:pPr>
        <w:pStyle w:val="3"/>
        <w:rPr>
          <w:color w:val="auto"/>
        </w:rPr>
      </w:pPr>
    </w:p>
    <w:p w14:paraId="391D8BE7">
      <w:pPr>
        <w:rPr>
          <w:color w:val="auto"/>
        </w:rPr>
      </w:pPr>
    </w:p>
    <w:p w14:paraId="5569D663">
      <w:pPr>
        <w:pStyle w:val="3"/>
        <w:rPr>
          <w:color w:val="auto"/>
        </w:rPr>
      </w:pPr>
    </w:p>
    <w:p w14:paraId="298F394C">
      <w:pPr>
        <w:rPr>
          <w:color w:val="auto"/>
        </w:rPr>
      </w:pPr>
    </w:p>
    <w:p w14:paraId="22C53DF0">
      <w:pPr>
        <w:pStyle w:val="3"/>
        <w:rPr>
          <w:color w:val="auto"/>
        </w:rPr>
      </w:pPr>
    </w:p>
    <w:p w14:paraId="108A202A">
      <w:pPr>
        <w:rPr>
          <w:color w:val="auto"/>
        </w:rPr>
      </w:pPr>
    </w:p>
    <w:p w14:paraId="1D7DDEBA">
      <w:pPr>
        <w:pStyle w:val="3"/>
        <w:rPr>
          <w:color w:val="auto"/>
        </w:rPr>
      </w:pPr>
    </w:p>
    <w:p w14:paraId="1B75C7B0">
      <w:pPr>
        <w:rPr>
          <w:color w:val="auto"/>
        </w:rPr>
      </w:pPr>
    </w:p>
    <w:p w14:paraId="395FDE76">
      <w:pPr>
        <w:pStyle w:val="3"/>
        <w:rPr>
          <w:color w:val="auto"/>
        </w:rPr>
      </w:pPr>
    </w:p>
    <w:p w14:paraId="414B9AEB">
      <w:pPr>
        <w:rPr>
          <w:color w:val="auto"/>
        </w:rPr>
      </w:pPr>
    </w:p>
    <w:p w14:paraId="1DF38720">
      <w:pPr>
        <w:pStyle w:val="3"/>
        <w:rPr>
          <w:color w:val="auto"/>
        </w:rPr>
      </w:pPr>
    </w:p>
    <w:p w14:paraId="5CE7988B">
      <w:pPr>
        <w:rPr>
          <w:color w:val="auto"/>
        </w:rPr>
      </w:pPr>
    </w:p>
    <w:p w14:paraId="26B98187">
      <w:pPr>
        <w:keepNext w:val="0"/>
        <w:keepLines w:val="0"/>
        <w:pageBreakBefore w:val="0"/>
        <w:kinsoku/>
        <w:wordWrap/>
        <w:overflowPunct/>
        <w:topLinePunct w:val="0"/>
        <w:autoSpaceDE/>
        <w:autoSpaceDN/>
        <w:bidi w:val="0"/>
        <w:adjustRightInd/>
        <w:spacing w:line="400" w:lineRule="exact"/>
        <w:jc w:val="both"/>
        <w:textAlignment w:val="auto"/>
        <w:outlineLvl w:val="9"/>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附件</w:t>
      </w:r>
      <w:r>
        <w:rPr>
          <w:rFonts w:hint="eastAsia" w:ascii="宋体" w:hAnsi="宋体" w:eastAsia="宋体" w:cs="宋体"/>
          <w:b/>
          <w:color w:val="auto"/>
          <w:sz w:val="24"/>
          <w:szCs w:val="24"/>
          <w:highlight w:val="none"/>
          <w:lang w:val="en-US" w:eastAsia="zh-CN"/>
        </w:rPr>
        <w:t>：</w:t>
      </w:r>
    </w:p>
    <w:p w14:paraId="073A8EAC">
      <w:pPr>
        <w:pStyle w:val="39"/>
        <w:keepNext w:val="0"/>
        <w:keepLines w:val="0"/>
        <w:pageBreakBefore w:val="0"/>
        <w:widowControl w:val="0"/>
        <w:kinsoku/>
        <w:wordWrap/>
        <w:overflowPunct/>
        <w:topLinePunct w:val="0"/>
        <w:autoSpaceDE/>
        <w:autoSpaceDN/>
        <w:bidi w:val="0"/>
        <w:adjustRightInd/>
        <w:snapToGrid w:val="0"/>
        <w:spacing w:line="480" w:lineRule="auto"/>
        <w:jc w:val="center"/>
        <w:textAlignment w:val="auto"/>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政府采购活动现场确认声明书</w:t>
      </w:r>
    </w:p>
    <w:p w14:paraId="3D5C7484">
      <w:pPr>
        <w:pStyle w:val="39"/>
        <w:keepNext w:val="0"/>
        <w:keepLines w:val="0"/>
        <w:pageBreakBefore w:val="0"/>
        <w:widowControl w:val="0"/>
        <w:kinsoku/>
        <w:wordWrap/>
        <w:overflowPunct/>
        <w:topLinePunct w:val="0"/>
        <w:autoSpaceDE/>
        <w:autoSpaceDN/>
        <w:bidi w:val="0"/>
        <w:adjustRightInd/>
        <w:snapToGrid w:val="0"/>
        <w:spacing w:line="400" w:lineRule="exact"/>
        <w:jc w:val="both"/>
        <w:textAlignment w:val="auto"/>
        <w:outlineLvl w:val="9"/>
        <w:rPr>
          <w:rFonts w:hint="eastAsia" w:ascii="宋体" w:hAnsi="宋体" w:eastAsia="宋体" w:cs="宋体"/>
          <w:b/>
          <w:color w:val="auto"/>
          <w:sz w:val="24"/>
          <w:szCs w:val="24"/>
          <w:highlight w:val="none"/>
        </w:rPr>
      </w:pPr>
      <w:r>
        <w:rPr>
          <w:rFonts w:hint="eastAsia" w:ascii="宋体" w:hAnsi="宋体" w:eastAsia="宋体" w:cs="宋体"/>
          <w:color w:val="auto"/>
          <w:kern w:val="21"/>
          <w:sz w:val="24"/>
          <w:szCs w:val="24"/>
          <w:highlight w:val="none"/>
          <w:u w:val="single"/>
          <w:lang w:val="en-US" w:eastAsia="zh-CN"/>
        </w:rPr>
        <w:t>欧邦工程管理集团有限公司</w:t>
      </w:r>
      <w:r>
        <w:rPr>
          <w:rFonts w:hint="eastAsia" w:ascii="宋体" w:hAnsi="宋体" w:eastAsia="宋体" w:cs="宋体"/>
          <w:color w:val="auto"/>
          <w:kern w:val="0"/>
          <w:sz w:val="24"/>
          <w:szCs w:val="24"/>
          <w:highlight w:val="none"/>
        </w:rPr>
        <w:t>（采购组织机构名称）：</w:t>
      </w:r>
    </w:p>
    <w:p w14:paraId="3662A6FB">
      <w:pPr>
        <w:keepNext w:val="0"/>
        <w:keepLines w:val="0"/>
        <w:pageBreakBefore w:val="0"/>
        <w:widowControl/>
        <w:kinsoku/>
        <w:wordWrap/>
        <w:overflowPunct/>
        <w:topLinePunct w:val="0"/>
        <w:autoSpaceDE/>
        <w:autoSpaceDN/>
        <w:bidi w:val="0"/>
        <w:adjustRightInd/>
        <w:spacing w:line="400" w:lineRule="exact"/>
        <w:ind w:firstLine="504" w:firstLineChars="200"/>
        <w:jc w:val="left"/>
        <w:textAlignment w:val="auto"/>
        <w:outlineLvl w:val="9"/>
        <w:rPr>
          <w:rFonts w:hint="eastAsia" w:ascii="宋体" w:hAnsi="宋体" w:eastAsia="宋体" w:cs="宋体"/>
          <w:color w:val="auto"/>
          <w:sz w:val="24"/>
          <w:highlight w:val="none"/>
          <w:u w:val="single"/>
        </w:rPr>
      </w:pPr>
      <w:r>
        <w:rPr>
          <w:rFonts w:hint="eastAsia" w:ascii="宋体" w:hAnsi="宋体" w:eastAsia="宋体" w:cs="宋体"/>
          <w:color w:val="auto"/>
          <w:spacing w:val="6"/>
          <w:sz w:val="24"/>
          <w:highlight w:val="none"/>
        </w:rPr>
        <w:t>本人经由</w:t>
      </w:r>
      <w:r>
        <w:rPr>
          <w:rFonts w:hint="eastAsia" w:ascii="宋体" w:hAnsi="宋体" w:eastAsia="宋体" w:cs="宋体"/>
          <w:color w:val="auto"/>
          <w:spacing w:val="6"/>
          <w:sz w:val="24"/>
          <w:highlight w:val="none"/>
          <w:u w:val="single"/>
        </w:rPr>
        <w:t xml:space="preserve">                    （单位）</w:t>
      </w:r>
      <w:r>
        <w:rPr>
          <w:rFonts w:hint="eastAsia" w:ascii="宋体" w:hAnsi="宋体" w:eastAsia="宋体" w:cs="宋体"/>
          <w:color w:val="auto"/>
          <w:spacing w:val="6"/>
          <w:sz w:val="24"/>
          <w:highlight w:val="none"/>
        </w:rPr>
        <w:t>负责人</w:t>
      </w:r>
      <w:r>
        <w:rPr>
          <w:rFonts w:hint="eastAsia" w:ascii="宋体" w:hAnsi="宋体" w:eastAsia="宋体" w:cs="宋体"/>
          <w:color w:val="auto"/>
          <w:spacing w:val="6"/>
          <w:sz w:val="24"/>
          <w:highlight w:val="none"/>
          <w:u w:val="single"/>
        </w:rPr>
        <w:t xml:space="preserve">        （姓名）</w:t>
      </w:r>
      <w:r>
        <w:rPr>
          <w:rFonts w:hint="eastAsia" w:ascii="宋体" w:hAnsi="宋体" w:eastAsia="宋体" w:cs="宋体"/>
          <w:color w:val="auto"/>
          <w:spacing w:val="6"/>
          <w:sz w:val="24"/>
          <w:highlight w:val="none"/>
        </w:rPr>
        <w:t>合法授权参加</w:t>
      </w:r>
      <w:r>
        <w:rPr>
          <w:rFonts w:hint="eastAsia" w:ascii="宋体" w:hAnsi="宋体" w:eastAsia="宋体" w:cs="宋体"/>
          <w:color w:val="auto"/>
          <w:spacing w:val="6"/>
          <w:sz w:val="24"/>
          <w:highlight w:val="none"/>
          <w:u w:val="single"/>
        </w:rPr>
        <w:t xml:space="preserve"> </w:t>
      </w:r>
      <w:r>
        <w:rPr>
          <w:rFonts w:hint="eastAsia" w:ascii="宋体" w:hAnsi="宋体" w:eastAsia="宋体" w:cs="宋体"/>
          <w:color w:val="auto"/>
          <w:spacing w:val="6"/>
          <w:sz w:val="24"/>
          <w:highlight w:val="none"/>
          <w:u w:val="single"/>
          <w:lang w:val="en-US" w:eastAsia="zh-CN"/>
        </w:rPr>
        <w:t xml:space="preserve">     (项目名称）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pacing w:val="6"/>
          <w:sz w:val="24"/>
          <w:highlight w:val="none"/>
        </w:rPr>
        <w:t xml:space="preserve">政府采购活动，经与本单位法人代表（负责人）联系确认，现就有关公平竞争事项郑重声明如下： </w:t>
      </w:r>
    </w:p>
    <w:p w14:paraId="59064A45">
      <w:pPr>
        <w:pStyle w:val="40"/>
        <w:keepNext w:val="0"/>
        <w:keepLines w:val="0"/>
        <w:pageBreakBefore w:val="0"/>
        <w:widowControl/>
        <w:numPr>
          <w:ilvl w:val="0"/>
          <w:numId w:val="1"/>
        </w:numPr>
        <w:kinsoku/>
        <w:wordWrap/>
        <w:overflowPunct/>
        <w:topLinePunct w:val="0"/>
        <w:autoSpaceDE/>
        <w:autoSpaceDN/>
        <w:bidi w:val="0"/>
        <w:adjustRightInd/>
        <w:snapToGrid w:val="0"/>
        <w:spacing w:line="400" w:lineRule="exact"/>
        <w:ind w:firstLine="453" w:firstLineChars="189"/>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本单位与采购人之间 □不存在利害关系 □存在下列利害关系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2C119249">
      <w:pPr>
        <w:pStyle w:val="40"/>
        <w:keepNext w:val="0"/>
        <w:keepLines w:val="0"/>
        <w:pageBreakBefore w:val="0"/>
        <w:widowControl/>
        <w:kinsoku/>
        <w:wordWrap/>
        <w:overflowPunct/>
        <w:topLinePunct w:val="0"/>
        <w:autoSpaceDE/>
        <w:autoSpaceDN/>
        <w:bidi w:val="0"/>
        <w:adjustRightInd/>
        <w:snapToGrid w:val="0"/>
        <w:spacing w:line="400" w:lineRule="exac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A.投资关系    B.行政隶属关系    C.业务指导关系</w:t>
      </w:r>
    </w:p>
    <w:p w14:paraId="1B367E70">
      <w:pPr>
        <w:pStyle w:val="40"/>
        <w:keepNext w:val="0"/>
        <w:keepLines w:val="0"/>
        <w:pageBreakBefore w:val="0"/>
        <w:widowControl/>
        <w:kinsoku/>
        <w:wordWrap/>
        <w:overflowPunct/>
        <w:topLinePunct w:val="0"/>
        <w:autoSpaceDE/>
        <w:autoSpaceDN/>
        <w:bidi w:val="0"/>
        <w:adjustRightInd/>
        <w:snapToGrid w:val="0"/>
        <w:spacing w:line="400" w:lineRule="exac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D.其他可能</w:t>
      </w:r>
      <w:r>
        <w:rPr>
          <w:rFonts w:hint="eastAsia" w:ascii="宋体" w:hAnsi="宋体" w:eastAsia="宋体" w:cs="宋体"/>
          <w:color w:val="auto"/>
          <w:sz w:val="24"/>
          <w:szCs w:val="24"/>
          <w:highlight w:val="none"/>
        </w:rPr>
        <w:t>影响采购公正的</w:t>
      </w:r>
      <w:r>
        <w:rPr>
          <w:rFonts w:hint="eastAsia" w:ascii="宋体" w:hAnsi="宋体" w:eastAsia="宋体" w:cs="宋体"/>
          <w:color w:val="auto"/>
          <w:kern w:val="0"/>
          <w:sz w:val="24"/>
          <w:szCs w:val="24"/>
          <w:highlight w:val="none"/>
        </w:rPr>
        <w:t>利害关系</w:t>
      </w:r>
      <w:r>
        <w:rPr>
          <w:rFonts w:hint="eastAsia" w:ascii="宋体" w:hAnsi="宋体" w:eastAsia="宋体" w:cs="宋体"/>
          <w:color w:val="auto"/>
          <w:kern w:val="0"/>
          <w:sz w:val="24"/>
          <w:szCs w:val="24"/>
          <w:highlight w:val="none"/>
          <w:u w:val="single"/>
        </w:rPr>
        <w:t xml:space="preserve">（如有，请如实说明）                 </w:t>
      </w:r>
      <w:r>
        <w:rPr>
          <w:rFonts w:hint="eastAsia" w:ascii="宋体" w:hAnsi="宋体" w:eastAsia="宋体" w:cs="宋体"/>
          <w:color w:val="auto"/>
          <w:kern w:val="0"/>
          <w:sz w:val="24"/>
          <w:szCs w:val="24"/>
          <w:highlight w:val="none"/>
        </w:rPr>
        <w:t>。</w:t>
      </w:r>
    </w:p>
    <w:p w14:paraId="368ACED0">
      <w:pPr>
        <w:pStyle w:val="40"/>
        <w:keepNext w:val="0"/>
        <w:keepLines w:val="0"/>
        <w:pageBreakBefore w:val="0"/>
        <w:widowControl/>
        <w:kinsoku/>
        <w:wordWrap/>
        <w:overflowPunct/>
        <w:topLinePunct w:val="0"/>
        <w:autoSpaceDE/>
        <w:autoSpaceDN/>
        <w:bidi w:val="0"/>
        <w:adjustRightInd/>
        <w:snapToGrid w:val="0"/>
        <w:spacing w:line="400" w:lineRule="exac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pacing w:val="6"/>
          <w:sz w:val="24"/>
          <w:szCs w:val="24"/>
          <w:highlight w:val="none"/>
        </w:rPr>
        <w:t xml:space="preserve">  二、</w:t>
      </w:r>
      <w:r>
        <w:rPr>
          <w:rFonts w:hint="eastAsia" w:ascii="宋体" w:hAnsi="宋体" w:eastAsia="宋体" w:cs="宋体"/>
          <w:color w:val="auto"/>
          <w:kern w:val="0"/>
          <w:sz w:val="24"/>
          <w:szCs w:val="24"/>
          <w:highlight w:val="none"/>
        </w:rPr>
        <w:t>现已清楚知道参加本项目采购活动的其他所有供应商名称，本单位 □与其他所有供应商之间均不存在利害关系 □与</w:t>
      </w:r>
      <w:r>
        <w:rPr>
          <w:rFonts w:hint="eastAsia" w:ascii="宋体" w:hAnsi="宋体" w:eastAsia="宋体" w:cs="宋体"/>
          <w:color w:val="auto"/>
          <w:kern w:val="0"/>
          <w:sz w:val="24"/>
          <w:szCs w:val="24"/>
          <w:highlight w:val="none"/>
          <w:u w:val="single"/>
        </w:rPr>
        <w:t xml:space="preserve">           （供应商名称）</w:t>
      </w:r>
      <w:r>
        <w:rPr>
          <w:rFonts w:hint="eastAsia" w:ascii="宋体" w:hAnsi="宋体" w:eastAsia="宋体" w:cs="宋体"/>
          <w:color w:val="auto"/>
          <w:kern w:val="0"/>
          <w:sz w:val="24"/>
          <w:szCs w:val="24"/>
          <w:highlight w:val="none"/>
        </w:rPr>
        <w:t>之间存在下列利害关系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526511FC">
      <w:pPr>
        <w:pStyle w:val="39"/>
        <w:keepNext w:val="0"/>
        <w:keepLines w:val="0"/>
        <w:pageBreakBefore w:val="0"/>
        <w:widowControl w:val="0"/>
        <w:kinsoku/>
        <w:wordWrap/>
        <w:overflowPunct/>
        <w:topLinePunct w:val="0"/>
        <w:autoSpaceDE/>
        <w:autoSpaceDN/>
        <w:bidi w:val="0"/>
        <w:adjustRightInd/>
        <w:snapToGrid w:val="0"/>
        <w:spacing w:line="400" w:lineRule="exact"/>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A.法定代表人或负责人或实际控制人是同一人</w:t>
      </w:r>
    </w:p>
    <w:p w14:paraId="0A07F143">
      <w:pPr>
        <w:pStyle w:val="39"/>
        <w:keepNext w:val="0"/>
        <w:keepLines w:val="0"/>
        <w:pageBreakBefore w:val="0"/>
        <w:widowControl w:val="0"/>
        <w:kinsoku/>
        <w:wordWrap/>
        <w:overflowPunct/>
        <w:topLinePunct w:val="0"/>
        <w:autoSpaceDE/>
        <w:autoSpaceDN/>
        <w:bidi w:val="0"/>
        <w:adjustRightInd/>
        <w:snapToGrid w:val="0"/>
        <w:spacing w:line="400" w:lineRule="exact"/>
        <w:jc w:val="both"/>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B.法定代表人或负责人或实际控制人是夫妻关系</w:t>
      </w:r>
    </w:p>
    <w:p w14:paraId="4E5248F7">
      <w:pPr>
        <w:pStyle w:val="39"/>
        <w:keepNext w:val="0"/>
        <w:keepLines w:val="0"/>
        <w:pageBreakBefore w:val="0"/>
        <w:widowControl w:val="0"/>
        <w:kinsoku/>
        <w:wordWrap/>
        <w:overflowPunct/>
        <w:topLinePunct w:val="0"/>
        <w:autoSpaceDE/>
        <w:autoSpaceDN/>
        <w:bidi w:val="0"/>
        <w:adjustRightInd/>
        <w:snapToGrid w:val="0"/>
        <w:spacing w:line="400" w:lineRule="exact"/>
        <w:jc w:val="both"/>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C.法定代表人或负责人或实际控制人是直系血亲关系</w:t>
      </w:r>
    </w:p>
    <w:p w14:paraId="041466F4">
      <w:pPr>
        <w:pStyle w:val="39"/>
        <w:keepNext w:val="0"/>
        <w:keepLines w:val="0"/>
        <w:pageBreakBefore w:val="0"/>
        <w:widowControl w:val="0"/>
        <w:kinsoku/>
        <w:wordWrap/>
        <w:overflowPunct/>
        <w:topLinePunct w:val="0"/>
        <w:autoSpaceDE/>
        <w:autoSpaceDN/>
        <w:bidi w:val="0"/>
        <w:adjustRightInd/>
        <w:snapToGrid w:val="0"/>
        <w:spacing w:line="400" w:lineRule="exact"/>
        <w:jc w:val="both"/>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D.法定代表人或负责人或实际控制人存在三代以内旁系血亲关系</w:t>
      </w:r>
    </w:p>
    <w:p w14:paraId="50AC594B">
      <w:pPr>
        <w:pStyle w:val="39"/>
        <w:keepNext w:val="0"/>
        <w:keepLines w:val="0"/>
        <w:pageBreakBefore w:val="0"/>
        <w:widowControl w:val="0"/>
        <w:kinsoku/>
        <w:wordWrap/>
        <w:overflowPunct/>
        <w:topLinePunct w:val="0"/>
        <w:autoSpaceDE/>
        <w:autoSpaceDN/>
        <w:bidi w:val="0"/>
        <w:adjustRightInd/>
        <w:snapToGrid w:val="0"/>
        <w:spacing w:line="400" w:lineRule="exact"/>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E.法定代表人或负责人或实际控制人存在近姻亲关系</w:t>
      </w:r>
    </w:p>
    <w:p w14:paraId="45D869C1">
      <w:pPr>
        <w:pStyle w:val="39"/>
        <w:keepNext w:val="0"/>
        <w:keepLines w:val="0"/>
        <w:pageBreakBefore w:val="0"/>
        <w:widowControl w:val="0"/>
        <w:kinsoku/>
        <w:wordWrap/>
        <w:overflowPunct/>
        <w:topLinePunct w:val="0"/>
        <w:autoSpaceDE/>
        <w:autoSpaceDN/>
        <w:bidi w:val="0"/>
        <w:adjustRightInd/>
        <w:snapToGrid w:val="0"/>
        <w:spacing w:line="400" w:lineRule="exact"/>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F.法定代表人或负责人或实际控制人存在股份控制或实际控制关系</w:t>
      </w:r>
    </w:p>
    <w:p w14:paraId="417BFCDD">
      <w:pPr>
        <w:pStyle w:val="39"/>
        <w:keepNext w:val="0"/>
        <w:keepLines w:val="0"/>
        <w:pageBreakBefore w:val="0"/>
        <w:widowControl w:val="0"/>
        <w:kinsoku/>
        <w:wordWrap/>
        <w:overflowPunct/>
        <w:topLinePunct w:val="0"/>
        <w:autoSpaceDE/>
        <w:autoSpaceDN/>
        <w:bidi w:val="0"/>
        <w:adjustRightInd/>
        <w:snapToGrid w:val="0"/>
        <w:spacing w:line="400" w:lineRule="exact"/>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G.存在共同直接或间接投资设立子公司、联营企业和合营企业情况</w:t>
      </w:r>
    </w:p>
    <w:p w14:paraId="31440FB3">
      <w:pPr>
        <w:pStyle w:val="39"/>
        <w:keepNext w:val="0"/>
        <w:keepLines w:val="0"/>
        <w:pageBreakBefore w:val="0"/>
        <w:widowControl w:val="0"/>
        <w:kinsoku/>
        <w:wordWrap/>
        <w:overflowPunct/>
        <w:topLinePunct w:val="0"/>
        <w:autoSpaceDE/>
        <w:autoSpaceDN/>
        <w:bidi w:val="0"/>
        <w:adjustRightInd/>
        <w:snapToGrid w:val="0"/>
        <w:spacing w:line="400" w:lineRule="exact"/>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  H.存在分级代理或代销关系、同一生产制造商关系、</w:t>
      </w:r>
      <w:r>
        <w:rPr>
          <w:rFonts w:hint="eastAsia" w:ascii="宋体" w:hAnsi="宋体" w:eastAsia="宋体" w:cs="宋体"/>
          <w:color w:val="auto"/>
          <w:sz w:val="24"/>
          <w:szCs w:val="24"/>
          <w:highlight w:val="none"/>
        </w:rPr>
        <w:t>管理关系、重要业务（占主营业务收入50%以上）或重要财务往来关系（如融资）等其他实质性控制关系</w:t>
      </w:r>
    </w:p>
    <w:p w14:paraId="6E03336D">
      <w:pPr>
        <w:pStyle w:val="39"/>
        <w:keepNext w:val="0"/>
        <w:keepLines w:val="0"/>
        <w:pageBreakBefore w:val="0"/>
        <w:widowControl w:val="0"/>
        <w:kinsoku/>
        <w:wordWrap/>
        <w:overflowPunct/>
        <w:topLinePunct w:val="0"/>
        <w:autoSpaceDE/>
        <w:autoSpaceDN/>
        <w:bidi w:val="0"/>
        <w:adjustRightInd/>
        <w:snapToGrid w:val="0"/>
        <w:spacing w:line="400" w:lineRule="exact"/>
        <w:jc w:val="both"/>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 xml:space="preserve">    I</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其他利害关系情况</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28B4786F">
      <w:pPr>
        <w:pStyle w:val="40"/>
        <w:keepNext w:val="0"/>
        <w:keepLines w:val="0"/>
        <w:pageBreakBefore w:val="0"/>
        <w:widowControl/>
        <w:numPr>
          <w:ilvl w:val="0"/>
          <w:numId w:val="2"/>
        </w:numPr>
        <w:kinsoku/>
        <w:wordWrap/>
        <w:overflowPunct/>
        <w:topLinePunct w:val="0"/>
        <w:autoSpaceDE/>
        <w:autoSpaceDN/>
        <w:bidi w:val="0"/>
        <w:adjustRightInd/>
        <w:snapToGrid w:val="0"/>
        <w:spacing w:line="400" w:lineRule="exact"/>
        <w:ind w:firstLine="453" w:firstLineChars="189"/>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现已清楚知道并</w:t>
      </w:r>
      <w:r>
        <w:rPr>
          <w:rFonts w:hint="eastAsia" w:ascii="宋体" w:hAnsi="宋体" w:eastAsia="宋体" w:cs="宋体"/>
          <w:color w:val="auto"/>
          <w:kern w:val="0"/>
          <w:sz w:val="24"/>
          <w:szCs w:val="24"/>
          <w:highlight w:val="none"/>
        </w:rPr>
        <w:t>严格遵守政府采购法律法规和现场纪律。</w:t>
      </w:r>
    </w:p>
    <w:p w14:paraId="593EAE4A">
      <w:pPr>
        <w:pStyle w:val="40"/>
        <w:keepNext w:val="0"/>
        <w:keepLines w:val="0"/>
        <w:pageBreakBefore w:val="0"/>
        <w:widowControl/>
        <w:numPr>
          <w:ilvl w:val="0"/>
          <w:numId w:val="2"/>
        </w:numPr>
        <w:kinsoku/>
        <w:wordWrap/>
        <w:overflowPunct/>
        <w:topLinePunct w:val="0"/>
        <w:autoSpaceDE/>
        <w:autoSpaceDN/>
        <w:bidi w:val="0"/>
        <w:adjustRightInd/>
        <w:snapToGrid w:val="0"/>
        <w:spacing w:line="400" w:lineRule="exact"/>
        <w:ind w:firstLine="453" w:firstLineChars="189"/>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我发现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供应商之间存在或可能存在上述第二条第</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项利害关系。</w:t>
      </w:r>
    </w:p>
    <w:p w14:paraId="404785A8">
      <w:pPr>
        <w:pStyle w:val="39"/>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C400BCE">
      <w:pPr>
        <w:pStyle w:val="39"/>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（供应商代表签名）</w:t>
      </w:r>
    </w:p>
    <w:p w14:paraId="70336D2B">
      <w:pPr>
        <w:outlineLvl w:val="9"/>
        <w:rPr>
          <w:rFonts w:hint="eastAsia" w:ascii="宋体" w:hAnsi="宋体" w:eastAsia="宋体" w:cs="宋体"/>
          <w:color w:val="auto"/>
          <w:highlight w:val="none"/>
          <w:lang w:eastAsia="zh-CN"/>
        </w:rPr>
      </w:pPr>
    </w:p>
    <w:p w14:paraId="75647930">
      <w:pPr>
        <w:outlineLvl w:val="9"/>
        <w:rPr>
          <w:rFonts w:hint="eastAsia" w:ascii="宋体" w:hAnsi="宋体" w:eastAsia="宋体" w:cs="宋体"/>
          <w:color w:val="auto"/>
          <w:highlight w:val="none"/>
          <w:lang w:eastAsia="zh-CN"/>
        </w:rPr>
      </w:pPr>
    </w:p>
    <w:p w14:paraId="5202537C">
      <w:pPr>
        <w:jc w:val="right"/>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2025年  月  日</w:t>
      </w:r>
    </w:p>
    <w:p w14:paraId="1DC52DBE">
      <w:pPr>
        <w:jc w:val="right"/>
        <w:outlineLvl w:val="9"/>
        <w:rPr>
          <w:rFonts w:hint="eastAsia" w:ascii="宋体" w:hAnsi="宋体" w:eastAsia="宋体" w:cs="宋体"/>
          <w:color w:val="auto"/>
          <w:highlight w:val="none"/>
        </w:rPr>
      </w:pPr>
    </w:p>
    <w:p w14:paraId="30CECE38">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▲注：投标人解密投标文件后填写，本确认书以扫描件形式提交给采购代理机构。邮箱</w:t>
      </w:r>
      <w:r>
        <w:rPr>
          <w:rFonts w:hint="eastAsia" w:ascii="宋体" w:hAnsi="宋体" w:eastAsia="宋体" w:cs="宋体"/>
          <w:b/>
          <w:color w:val="auto"/>
          <w:kern w:val="0"/>
          <w:sz w:val="21"/>
          <w:szCs w:val="21"/>
          <w:highlight w:val="none"/>
          <w:lang w:eastAsia="zh-CN"/>
        </w:rPr>
        <w:t>：</w:t>
      </w:r>
      <w:r>
        <w:rPr>
          <w:rFonts w:hint="eastAsia" w:ascii="宋体" w:hAnsi="宋体" w:eastAsia="宋体" w:cs="宋体"/>
          <w:b/>
          <w:bCs/>
          <w:color w:val="auto"/>
          <w:szCs w:val="21"/>
          <w:highlight w:val="none"/>
        </w:rPr>
        <w:fldChar w:fldCharType="begin"/>
      </w:r>
      <w:r>
        <w:rPr>
          <w:rFonts w:hint="eastAsia" w:ascii="宋体" w:hAnsi="宋体" w:eastAsia="宋体" w:cs="宋体"/>
          <w:b/>
          <w:bCs/>
          <w:color w:val="auto"/>
          <w:szCs w:val="21"/>
          <w:highlight w:val="none"/>
        </w:rPr>
        <w:instrText xml:space="preserve"> HYPERLINK "mailto:khxztbzx@163.com" </w:instrText>
      </w:r>
      <w:r>
        <w:rPr>
          <w:rFonts w:hint="eastAsia" w:ascii="宋体" w:hAnsi="宋体" w:eastAsia="宋体" w:cs="宋体"/>
          <w:b/>
          <w:bCs/>
          <w:color w:val="auto"/>
          <w:szCs w:val="21"/>
          <w:highlight w:val="none"/>
        </w:rPr>
        <w:fldChar w:fldCharType="separate"/>
      </w:r>
      <w:r>
        <w:rPr>
          <w:rStyle w:val="25"/>
          <w:rFonts w:hint="eastAsia" w:ascii="宋体" w:hAnsi="宋体" w:cs="宋体"/>
          <w:b/>
          <w:bCs/>
          <w:color w:val="auto"/>
          <w:szCs w:val="21"/>
          <w:highlight w:val="none"/>
          <w:lang w:val="en-US" w:eastAsia="zh-CN"/>
        </w:rPr>
        <w:t>498602296</w:t>
      </w:r>
      <w:r>
        <w:rPr>
          <w:rStyle w:val="25"/>
          <w:rFonts w:hint="eastAsia" w:ascii="宋体" w:hAnsi="宋体" w:eastAsia="宋体" w:cs="宋体"/>
          <w:b/>
          <w:bCs/>
          <w:color w:val="auto"/>
          <w:szCs w:val="21"/>
          <w:highlight w:val="none"/>
          <w:lang w:val="en-US" w:eastAsia="zh-CN"/>
        </w:rPr>
        <w:t>@qq.com</w:t>
      </w:r>
      <w:r>
        <w:rPr>
          <w:rFonts w:hint="eastAsia" w:ascii="宋体" w:hAnsi="宋体" w:eastAsia="宋体" w:cs="宋体"/>
          <w:b/>
          <w:bCs/>
          <w:color w:val="auto"/>
          <w:szCs w:val="21"/>
          <w:highlight w:val="none"/>
        </w:rPr>
        <w:fldChar w:fldCharType="end"/>
      </w:r>
      <w:r>
        <w:rPr>
          <w:rFonts w:hint="eastAsia" w:ascii="宋体" w:hAnsi="宋体" w:eastAsia="宋体" w:cs="宋体"/>
          <w:b/>
          <w:bCs/>
          <w:color w:val="auto"/>
          <w:kern w:val="0"/>
          <w:sz w:val="21"/>
          <w:szCs w:val="21"/>
          <w:highlight w:val="none"/>
        </w:rPr>
        <w:t>，</w:t>
      </w:r>
      <w:r>
        <w:rPr>
          <w:rFonts w:hint="eastAsia" w:ascii="宋体" w:hAnsi="宋体" w:eastAsia="宋体" w:cs="宋体"/>
          <w:b/>
          <w:color w:val="auto"/>
          <w:kern w:val="0"/>
          <w:sz w:val="21"/>
          <w:szCs w:val="21"/>
          <w:highlight w:val="none"/>
        </w:rPr>
        <w:t>打印时请删除此项注明</w:t>
      </w:r>
      <w:r>
        <w:rPr>
          <w:rFonts w:hint="eastAsia" w:ascii="宋体" w:hAnsi="宋体" w:eastAsia="宋体" w:cs="宋体"/>
          <w:b/>
          <w:color w:val="auto"/>
          <w:kern w:val="0"/>
          <w:sz w:val="21"/>
          <w:szCs w:val="21"/>
          <w:highlight w:val="none"/>
          <w:lang w:eastAsia="zh-CN"/>
        </w:rPr>
        <w:t>。</w:t>
      </w:r>
    </w:p>
    <w:p w14:paraId="48821E6B">
      <w:pPr>
        <w:pageBreakBefore w:val="0"/>
        <w:kinsoku/>
        <w:wordWrap/>
        <w:topLinePunct w:val="0"/>
        <w:bidi w:val="0"/>
        <w:spacing w:line="500" w:lineRule="exact"/>
        <w:jc w:val="center"/>
        <w:outlineLvl w:val="9"/>
        <w:rPr>
          <w:rFonts w:hint="eastAsia" w:ascii="宋体" w:hAnsi="宋体" w:eastAsia="宋体" w:cs="宋体"/>
          <w:b/>
          <w:color w:val="auto"/>
          <w:kern w:val="0"/>
          <w:sz w:val="21"/>
          <w:szCs w:val="21"/>
          <w:highlight w:val="none"/>
        </w:rPr>
      </w:pPr>
    </w:p>
    <w:p w14:paraId="1D15FBD5">
      <w:pPr>
        <w:pStyle w:val="3"/>
        <w:rPr>
          <w:color w:val="auto"/>
        </w:rPr>
      </w:pPr>
    </w:p>
    <w:sectPr>
      <w:pgSz w:w="11906" w:h="16838"/>
      <w:pgMar w:top="1361" w:right="1304" w:bottom="1191" w:left="130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34"/>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8D6AAB2-07B5-4B8B-8309-432FF09E224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C53C216B-8BA7-42AF-B5DB-84440A2D8CFF}"/>
  </w:font>
  <w:font w:name="_x000B__x000C_">
    <w:altName w:val="Times New Roman"/>
    <w:panose1 w:val="00000000000000000000"/>
    <w:charset w:val="00"/>
    <w:family w:val="moder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embedRegular r:id="rId3" w:fontKey="{18428010-270B-49D1-BBBA-FD543C1EEC23}"/>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C5D54">
    <w:pPr>
      <w:pStyle w:val="13"/>
      <w:tabs>
        <w:tab w:val="right" w:pos="8820"/>
        <w:tab w:val="clear" w:pos="8306"/>
      </w:tabs>
      <w:ind w:right="-512" w:rightChars="-244"/>
      <w:rPr>
        <w:rFonts w:hint="eastAsia" w:ascii="宋体" w:hAnsi="宋体"/>
      </w:rP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CF37B6">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67CF37B6">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v:textbox>
            </v:shape>
          </w:pict>
        </mc:Fallback>
      </mc:AlternateContent>
    </w:r>
    <w:r>
      <w:rPr>
        <w:rFonts w:hint="eastAsia" w:ascii="宋体" w:hAnsi="宋体"/>
      </w:rPr>
      <w:t>欧邦工程管理集团有限公司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70A3F">
    <w:pPr>
      <w:pStyle w:val="13"/>
      <w:rPr>
        <w:rFonts w:hint="default"/>
        <w:lang w:val="en-US"/>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107DE2">
                          <w:pPr>
                            <w:pStyle w:val="13"/>
                          </w:pPr>
                          <w:r>
                            <w:fldChar w:fldCharType="begin"/>
                          </w:r>
                          <w:r>
                            <w:instrText xml:space="preserve"> PAGE  \* MERGEFORMAT </w:instrText>
                          </w:r>
                          <w:r>
                            <w:fldChar w:fldCharType="separate"/>
                          </w:r>
                          <w:r>
                            <w:t>27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D107DE2">
                    <w:pPr>
                      <w:pStyle w:val="13"/>
                    </w:pPr>
                    <w:r>
                      <w:fldChar w:fldCharType="begin"/>
                    </w:r>
                    <w:r>
                      <w:instrText xml:space="preserve"> PAGE  \* MERGEFORMAT </w:instrText>
                    </w:r>
                    <w:r>
                      <w:fldChar w:fldCharType="separate"/>
                    </w:r>
                    <w:r>
                      <w:t>27</w:t>
                    </w:r>
                    <w:r>
                      <w:fldChar w:fldCharType="end"/>
                    </w:r>
                  </w:p>
                </w:txbxContent>
              </v:textbox>
            </v:shape>
          </w:pict>
        </mc:Fallback>
      </mc:AlternateContent>
    </w:r>
    <w:r>
      <w:rPr>
        <w:rFonts w:hint="eastAsia"/>
        <w:lang w:val="en-US" w:eastAsia="zh-CN"/>
      </w:rPr>
      <w:t>欧邦工程管理集团有限公司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1D104">
    <w:pPr>
      <w:pStyle w:val="13"/>
      <w:rPr>
        <w:rFonts w:hint="default" w:eastAsia="宋体"/>
        <w:lang w:val="en-US" w:eastAsia="zh-CN"/>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424E55">
                          <w:pPr>
                            <w:pStyle w:val="13"/>
                          </w:pPr>
                          <w:r>
                            <w:fldChar w:fldCharType="begin"/>
                          </w:r>
                          <w:r>
                            <w:instrText xml:space="preserve"> PAGE  \* MERGEFORMAT </w:instrText>
                          </w:r>
                          <w:r>
                            <w:fldChar w:fldCharType="separate"/>
                          </w:r>
                          <w:r>
                            <w:t>27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6424E55">
                    <w:pPr>
                      <w:pStyle w:val="13"/>
                    </w:pPr>
                    <w:r>
                      <w:fldChar w:fldCharType="begin"/>
                    </w:r>
                    <w:r>
                      <w:instrText xml:space="preserve"> PAGE  \* MERGEFORMAT </w:instrText>
                    </w:r>
                    <w:r>
                      <w:fldChar w:fldCharType="separate"/>
                    </w:r>
                    <w:r>
                      <w:t>27</w:t>
                    </w:r>
                    <w:r>
                      <w:fldChar w:fldCharType="end"/>
                    </w:r>
                  </w:p>
                </w:txbxContent>
              </v:textbox>
            </v:shape>
          </w:pict>
        </mc:Fallback>
      </mc:AlternateContent>
    </w:r>
    <w:r>
      <w:rPr>
        <w:rFonts w:hint="eastAsia"/>
        <w:lang w:val="en-US" w:eastAsia="zh-CN"/>
      </w:rPr>
      <w:t>欧邦工程管理集团有限公司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751C3">
    <w:pPr>
      <w:pStyle w:val="14"/>
      <w:jc w:val="both"/>
    </w:pPr>
    <w:r>
      <w:rPr>
        <w:rFonts w:hint="eastAsia" w:ascii="宋体" w:hAnsi="宋体" w:eastAsia="宋体" w:cs="宋体"/>
        <w:lang w:eastAsia="zh-CN"/>
      </w:rPr>
      <w:t>开化县怀玉山区水土保持与生态修复项目监理</w:t>
    </w:r>
    <w:r>
      <w:rPr>
        <w:rFonts w:hint="eastAsia" w:ascii="宋体" w:hAnsi="宋体" w:eastAsia="宋体" w:cs="宋体"/>
      </w:rPr>
      <w:t>公开招标采购文件</w:t>
    </w:r>
    <w:r>
      <w:rPr>
        <w:rFonts w:hint="eastAsia" w:ascii="宋体" w:hAnsi="宋体" w:eastAsia="宋体" w:cs="宋体"/>
        <w:lang w:val="en-US" w:eastAsia="zh-CN"/>
      </w:rPr>
      <w:t xml:space="preserve">                   </w:t>
    </w:r>
    <w:r>
      <w:rPr>
        <w:rFonts w:hint="eastAsia" w:ascii="宋体" w:hAnsi="宋体" w:cs="宋体"/>
        <w:lang w:val="en-US" w:eastAsia="zh-CN"/>
      </w:rPr>
      <w:t xml:space="preserve">   </w:t>
    </w:r>
    <w:r>
      <w:rPr>
        <w:rFonts w:hint="eastAsia" w:ascii="宋体" w:hAnsi="宋体" w:eastAsia="宋体" w:cs="宋体"/>
        <w:lang w:val="en-US" w:eastAsia="zh-CN"/>
      </w:rPr>
      <w:t>联系电话：0570-6023598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BAF7E">
    <w:pPr>
      <w:pStyle w:val="14"/>
      <w:jc w:val="both"/>
      <w:rPr>
        <w:rFonts w:hint="default" w:ascii="宋体" w:hAnsi="宋体" w:eastAsia="宋体" w:cs="宋体"/>
        <w:lang w:val="en-US" w:eastAsia="zh-CN"/>
      </w:rPr>
    </w:pPr>
    <w:r>
      <w:rPr>
        <w:rFonts w:hint="eastAsia" w:ascii="宋体" w:hAnsi="宋体" w:eastAsia="宋体" w:cs="宋体"/>
        <w:lang w:eastAsia="zh-CN"/>
      </w:rPr>
      <w:t>开化县怀玉山区水土保持与生态修复项目监理</w:t>
    </w:r>
    <w:r>
      <w:rPr>
        <w:rFonts w:hint="eastAsia" w:ascii="宋体" w:hAnsi="宋体" w:eastAsia="宋体" w:cs="宋体"/>
      </w:rPr>
      <w:t>公开招标采购文件</w:t>
    </w:r>
    <w:r>
      <w:rPr>
        <w:rFonts w:hint="eastAsia" w:ascii="宋体" w:hAnsi="宋体" w:eastAsia="宋体" w:cs="宋体"/>
        <w:lang w:val="en-US" w:eastAsia="zh-CN"/>
      </w:rPr>
      <w:t xml:space="preserve">                            联系电话：0570-6023598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82C72">
    <w:pPr>
      <w:pStyle w:val="14"/>
      <w:jc w:val="both"/>
      <w:rPr>
        <w:rFonts w:hint="default" w:ascii="宋体" w:hAnsi="宋体" w:eastAsia="宋体" w:cs="宋体"/>
        <w:lang w:val="en-US" w:eastAsia="zh-CN"/>
      </w:rPr>
    </w:pPr>
    <w:r>
      <w:rPr>
        <w:rFonts w:hint="eastAsia" w:ascii="宋体" w:hAnsi="宋体" w:eastAsia="宋体" w:cs="宋体"/>
        <w:lang w:eastAsia="zh-CN"/>
      </w:rPr>
      <w:t>开化县怀玉山区水土保持与生态修复项目监理</w:t>
    </w:r>
    <w:r>
      <w:rPr>
        <w:rFonts w:hint="eastAsia" w:ascii="宋体" w:hAnsi="宋体" w:eastAsia="宋体" w:cs="宋体"/>
      </w:rPr>
      <w:t>公开招标采购文件</w:t>
    </w:r>
    <w:r>
      <w:rPr>
        <w:rFonts w:hint="eastAsia" w:ascii="宋体" w:hAnsi="宋体" w:eastAsia="宋体" w:cs="宋体"/>
        <w:lang w:val="en-US" w:eastAsia="zh-CN"/>
      </w:rPr>
      <w:t xml:space="preserve">                         联系电话：0570-6023598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F403B5"/>
    <w:multiLevelType w:val="singleLevel"/>
    <w:tmpl w:val="54F403B5"/>
    <w:lvl w:ilvl="0" w:tentative="0">
      <w:start w:val="1"/>
      <w:numFmt w:val="chineseCounting"/>
      <w:suff w:val="nothing"/>
      <w:lvlText w:val="%1、"/>
      <w:lvlJc w:val="left"/>
    </w:lvl>
  </w:abstractNum>
  <w:abstractNum w:abstractNumId="1">
    <w:nsid w:val="557FD3DA"/>
    <w:multiLevelType w:val="singleLevel"/>
    <w:tmpl w:val="557FD3DA"/>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E83F85"/>
    <w:rsid w:val="000749E3"/>
    <w:rsid w:val="0009075B"/>
    <w:rsid w:val="000E7B1F"/>
    <w:rsid w:val="0012209B"/>
    <w:rsid w:val="00186578"/>
    <w:rsid w:val="001A64C4"/>
    <w:rsid w:val="001C66E0"/>
    <w:rsid w:val="001F3ADA"/>
    <w:rsid w:val="0023625C"/>
    <w:rsid w:val="002410F1"/>
    <w:rsid w:val="002C61F7"/>
    <w:rsid w:val="002E01C1"/>
    <w:rsid w:val="002E1F6F"/>
    <w:rsid w:val="00337586"/>
    <w:rsid w:val="003471E1"/>
    <w:rsid w:val="003752C8"/>
    <w:rsid w:val="003D0404"/>
    <w:rsid w:val="00417EF4"/>
    <w:rsid w:val="00443541"/>
    <w:rsid w:val="004479E5"/>
    <w:rsid w:val="00473031"/>
    <w:rsid w:val="004E0863"/>
    <w:rsid w:val="0054508A"/>
    <w:rsid w:val="005539A0"/>
    <w:rsid w:val="005574FC"/>
    <w:rsid w:val="00563274"/>
    <w:rsid w:val="00586FEC"/>
    <w:rsid w:val="005F481F"/>
    <w:rsid w:val="00621C19"/>
    <w:rsid w:val="006B6D1F"/>
    <w:rsid w:val="006E6810"/>
    <w:rsid w:val="006E6C0D"/>
    <w:rsid w:val="00755DF0"/>
    <w:rsid w:val="007760B6"/>
    <w:rsid w:val="007958E0"/>
    <w:rsid w:val="007A6F63"/>
    <w:rsid w:val="0083050D"/>
    <w:rsid w:val="00892839"/>
    <w:rsid w:val="009516CD"/>
    <w:rsid w:val="009C337D"/>
    <w:rsid w:val="009C4A0E"/>
    <w:rsid w:val="009E5347"/>
    <w:rsid w:val="00A12741"/>
    <w:rsid w:val="00A364B9"/>
    <w:rsid w:val="00A641FB"/>
    <w:rsid w:val="00B22BA0"/>
    <w:rsid w:val="00B32474"/>
    <w:rsid w:val="00B5443F"/>
    <w:rsid w:val="00BE1545"/>
    <w:rsid w:val="00BE7797"/>
    <w:rsid w:val="00C44682"/>
    <w:rsid w:val="00C50B26"/>
    <w:rsid w:val="00C7046D"/>
    <w:rsid w:val="00CB5A10"/>
    <w:rsid w:val="00CF5500"/>
    <w:rsid w:val="00D26D9F"/>
    <w:rsid w:val="00D51D8E"/>
    <w:rsid w:val="00D743B5"/>
    <w:rsid w:val="00D91EDB"/>
    <w:rsid w:val="00DC7C1D"/>
    <w:rsid w:val="00E123C4"/>
    <w:rsid w:val="00E6284A"/>
    <w:rsid w:val="00E645F8"/>
    <w:rsid w:val="00EA40E8"/>
    <w:rsid w:val="00ED1E2A"/>
    <w:rsid w:val="00FC3E1B"/>
    <w:rsid w:val="01044658"/>
    <w:rsid w:val="010B405F"/>
    <w:rsid w:val="010D7DD7"/>
    <w:rsid w:val="010F3B4F"/>
    <w:rsid w:val="011253ED"/>
    <w:rsid w:val="011439B2"/>
    <w:rsid w:val="011949CD"/>
    <w:rsid w:val="011E0236"/>
    <w:rsid w:val="011E1FE4"/>
    <w:rsid w:val="01235E37"/>
    <w:rsid w:val="012375FA"/>
    <w:rsid w:val="012515C4"/>
    <w:rsid w:val="0127533C"/>
    <w:rsid w:val="012F2443"/>
    <w:rsid w:val="01323CE1"/>
    <w:rsid w:val="01342028"/>
    <w:rsid w:val="013637D1"/>
    <w:rsid w:val="0136557F"/>
    <w:rsid w:val="01371622"/>
    <w:rsid w:val="013C246A"/>
    <w:rsid w:val="013D4B60"/>
    <w:rsid w:val="01410F36"/>
    <w:rsid w:val="01422176"/>
    <w:rsid w:val="01431A4A"/>
    <w:rsid w:val="01457570"/>
    <w:rsid w:val="014A2DD9"/>
    <w:rsid w:val="014F03EF"/>
    <w:rsid w:val="014F6641"/>
    <w:rsid w:val="01514167"/>
    <w:rsid w:val="01527EDF"/>
    <w:rsid w:val="01565C22"/>
    <w:rsid w:val="015C5E96"/>
    <w:rsid w:val="015E0632"/>
    <w:rsid w:val="015E4AD6"/>
    <w:rsid w:val="015E6884"/>
    <w:rsid w:val="015F5F58"/>
    <w:rsid w:val="01665496"/>
    <w:rsid w:val="01687703"/>
    <w:rsid w:val="016D6AC7"/>
    <w:rsid w:val="017B7436"/>
    <w:rsid w:val="01802C9E"/>
    <w:rsid w:val="01822573"/>
    <w:rsid w:val="01826A17"/>
    <w:rsid w:val="018362EB"/>
    <w:rsid w:val="018865F4"/>
    <w:rsid w:val="018A2655"/>
    <w:rsid w:val="018A7679"/>
    <w:rsid w:val="018E53BB"/>
    <w:rsid w:val="01944054"/>
    <w:rsid w:val="0196601E"/>
    <w:rsid w:val="01981D96"/>
    <w:rsid w:val="01993D60"/>
    <w:rsid w:val="019A7B27"/>
    <w:rsid w:val="019B1886"/>
    <w:rsid w:val="01A52705"/>
    <w:rsid w:val="01A56261"/>
    <w:rsid w:val="01A7647D"/>
    <w:rsid w:val="01AA1AC9"/>
    <w:rsid w:val="01AA7D1B"/>
    <w:rsid w:val="01AE3368"/>
    <w:rsid w:val="01B42A40"/>
    <w:rsid w:val="01B446F6"/>
    <w:rsid w:val="01BD17FD"/>
    <w:rsid w:val="01C20BC1"/>
    <w:rsid w:val="01C54B55"/>
    <w:rsid w:val="01C761D7"/>
    <w:rsid w:val="01C901A1"/>
    <w:rsid w:val="01CC1A40"/>
    <w:rsid w:val="01CF1530"/>
    <w:rsid w:val="01D60B10"/>
    <w:rsid w:val="01D86637"/>
    <w:rsid w:val="01DB6127"/>
    <w:rsid w:val="01DD4BB7"/>
    <w:rsid w:val="01E6152D"/>
    <w:rsid w:val="01E943A0"/>
    <w:rsid w:val="01EA636A"/>
    <w:rsid w:val="01EB45BC"/>
    <w:rsid w:val="01EC5C3E"/>
    <w:rsid w:val="01F571E8"/>
    <w:rsid w:val="01F62F61"/>
    <w:rsid w:val="01F66ABD"/>
    <w:rsid w:val="01FF0067"/>
    <w:rsid w:val="02021905"/>
    <w:rsid w:val="02092C94"/>
    <w:rsid w:val="02094A42"/>
    <w:rsid w:val="020E2058"/>
    <w:rsid w:val="02117D9A"/>
    <w:rsid w:val="0213766F"/>
    <w:rsid w:val="021B4775"/>
    <w:rsid w:val="021D229B"/>
    <w:rsid w:val="022573A2"/>
    <w:rsid w:val="0227136C"/>
    <w:rsid w:val="02273395"/>
    <w:rsid w:val="02300221"/>
    <w:rsid w:val="02377801"/>
    <w:rsid w:val="023870D5"/>
    <w:rsid w:val="023A4BFB"/>
    <w:rsid w:val="023A64A7"/>
    <w:rsid w:val="024261A6"/>
    <w:rsid w:val="02443CCC"/>
    <w:rsid w:val="0247556A"/>
    <w:rsid w:val="024E4B4B"/>
    <w:rsid w:val="02535CBD"/>
    <w:rsid w:val="02544950"/>
    <w:rsid w:val="02565708"/>
    <w:rsid w:val="025657AD"/>
    <w:rsid w:val="02571C51"/>
    <w:rsid w:val="02587777"/>
    <w:rsid w:val="025B2DC4"/>
    <w:rsid w:val="025D4D8E"/>
    <w:rsid w:val="025F4662"/>
    <w:rsid w:val="026003DA"/>
    <w:rsid w:val="0261487E"/>
    <w:rsid w:val="026779BA"/>
    <w:rsid w:val="02693733"/>
    <w:rsid w:val="026A2F41"/>
    <w:rsid w:val="02704AC1"/>
    <w:rsid w:val="02714395"/>
    <w:rsid w:val="0273010D"/>
    <w:rsid w:val="02783D4A"/>
    <w:rsid w:val="02820350"/>
    <w:rsid w:val="02881E0B"/>
    <w:rsid w:val="02897931"/>
    <w:rsid w:val="028C0A7F"/>
    <w:rsid w:val="028D5673"/>
    <w:rsid w:val="028F7400"/>
    <w:rsid w:val="02906F11"/>
    <w:rsid w:val="0295277A"/>
    <w:rsid w:val="029562D6"/>
    <w:rsid w:val="02994018"/>
    <w:rsid w:val="02A30447"/>
    <w:rsid w:val="02A36C44"/>
    <w:rsid w:val="02A604E3"/>
    <w:rsid w:val="02A66735"/>
    <w:rsid w:val="02A67BEC"/>
    <w:rsid w:val="02A76009"/>
    <w:rsid w:val="02AB37CF"/>
    <w:rsid w:val="02AE55E9"/>
    <w:rsid w:val="02B40E52"/>
    <w:rsid w:val="02B50726"/>
    <w:rsid w:val="02BF15A4"/>
    <w:rsid w:val="02C0796F"/>
    <w:rsid w:val="02C170CB"/>
    <w:rsid w:val="02CB7F49"/>
    <w:rsid w:val="02CE17E8"/>
    <w:rsid w:val="02D0730E"/>
    <w:rsid w:val="02D84414"/>
    <w:rsid w:val="02EA06AE"/>
    <w:rsid w:val="02EC54FC"/>
    <w:rsid w:val="02ED4364"/>
    <w:rsid w:val="02ED7EC0"/>
    <w:rsid w:val="02EF12AC"/>
    <w:rsid w:val="02F1679D"/>
    <w:rsid w:val="02F474A0"/>
    <w:rsid w:val="02FC45A7"/>
    <w:rsid w:val="03015719"/>
    <w:rsid w:val="03045209"/>
    <w:rsid w:val="030671D3"/>
    <w:rsid w:val="03082F4B"/>
    <w:rsid w:val="03094A24"/>
    <w:rsid w:val="030B6598"/>
    <w:rsid w:val="03101E00"/>
    <w:rsid w:val="03196F07"/>
    <w:rsid w:val="031A4A2D"/>
    <w:rsid w:val="031C07A5"/>
    <w:rsid w:val="03200295"/>
    <w:rsid w:val="03247659"/>
    <w:rsid w:val="032A2EC2"/>
    <w:rsid w:val="032F04D8"/>
    <w:rsid w:val="0334789D"/>
    <w:rsid w:val="033755DF"/>
    <w:rsid w:val="03455F4E"/>
    <w:rsid w:val="034877EC"/>
    <w:rsid w:val="034A5312"/>
    <w:rsid w:val="034D4E02"/>
    <w:rsid w:val="034F2928"/>
    <w:rsid w:val="035717DD"/>
    <w:rsid w:val="03575C81"/>
    <w:rsid w:val="035937A7"/>
    <w:rsid w:val="03595555"/>
    <w:rsid w:val="035A307B"/>
    <w:rsid w:val="035B12CD"/>
    <w:rsid w:val="035D3297"/>
    <w:rsid w:val="035E700F"/>
    <w:rsid w:val="03604B36"/>
    <w:rsid w:val="0365214C"/>
    <w:rsid w:val="036B5288"/>
    <w:rsid w:val="036F3BD2"/>
    <w:rsid w:val="0370464D"/>
    <w:rsid w:val="0371289F"/>
    <w:rsid w:val="03716D43"/>
    <w:rsid w:val="037800D1"/>
    <w:rsid w:val="03795BF7"/>
    <w:rsid w:val="037D56E7"/>
    <w:rsid w:val="037E4FBC"/>
    <w:rsid w:val="03824AAC"/>
    <w:rsid w:val="03863E70"/>
    <w:rsid w:val="0388408C"/>
    <w:rsid w:val="038B1487"/>
    <w:rsid w:val="038F31BC"/>
    <w:rsid w:val="038F71C9"/>
    <w:rsid w:val="039B791C"/>
    <w:rsid w:val="039E565E"/>
    <w:rsid w:val="03A013D6"/>
    <w:rsid w:val="03A5079A"/>
    <w:rsid w:val="03A8028B"/>
    <w:rsid w:val="03A82039"/>
    <w:rsid w:val="03AD58A1"/>
    <w:rsid w:val="03B24C65"/>
    <w:rsid w:val="03B804CE"/>
    <w:rsid w:val="03C2759E"/>
    <w:rsid w:val="03C36E72"/>
    <w:rsid w:val="03CF3A69"/>
    <w:rsid w:val="03D1333D"/>
    <w:rsid w:val="03D270B5"/>
    <w:rsid w:val="03D472D2"/>
    <w:rsid w:val="03D8291E"/>
    <w:rsid w:val="03D90444"/>
    <w:rsid w:val="03DE5A5A"/>
    <w:rsid w:val="03DF1EFE"/>
    <w:rsid w:val="03E5328D"/>
    <w:rsid w:val="03E70DB3"/>
    <w:rsid w:val="03F50AEE"/>
    <w:rsid w:val="03F62DA4"/>
    <w:rsid w:val="03FA6D38"/>
    <w:rsid w:val="03FB660C"/>
    <w:rsid w:val="04003C23"/>
    <w:rsid w:val="04073203"/>
    <w:rsid w:val="040D00EE"/>
    <w:rsid w:val="040E6340"/>
    <w:rsid w:val="040F20B8"/>
    <w:rsid w:val="041358F2"/>
    <w:rsid w:val="04180F6C"/>
    <w:rsid w:val="04194CE4"/>
    <w:rsid w:val="04205325"/>
    <w:rsid w:val="04227ABC"/>
    <w:rsid w:val="04253689"/>
    <w:rsid w:val="042711AF"/>
    <w:rsid w:val="04277401"/>
    <w:rsid w:val="04310280"/>
    <w:rsid w:val="043164D2"/>
    <w:rsid w:val="04387860"/>
    <w:rsid w:val="04390EE3"/>
    <w:rsid w:val="044B7594"/>
    <w:rsid w:val="044E498E"/>
    <w:rsid w:val="04504BAA"/>
    <w:rsid w:val="04536448"/>
    <w:rsid w:val="04557CB0"/>
    <w:rsid w:val="04565F0C"/>
    <w:rsid w:val="04581CB1"/>
    <w:rsid w:val="045F303F"/>
    <w:rsid w:val="04610B65"/>
    <w:rsid w:val="046441B2"/>
    <w:rsid w:val="04671EF4"/>
    <w:rsid w:val="04695C6C"/>
    <w:rsid w:val="046B3792"/>
    <w:rsid w:val="04702B56"/>
    <w:rsid w:val="04730898"/>
    <w:rsid w:val="04763EE5"/>
    <w:rsid w:val="047C599F"/>
    <w:rsid w:val="047D34C5"/>
    <w:rsid w:val="04812FB5"/>
    <w:rsid w:val="04814D63"/>
    <w:rsid w:val="048605CC"/>
    <w:rsid w:val="04874344"/>
    <w:rsid w:val="04891E6A"/>
    <w:rsid w:val="04904FA7"/>
    <w:rsid w:val="049525BD"/>
    <w:rsid w:val="049727D9"/>
    <w:rsid w:val="04A10F62"/>
    <w:rsid w:val="04A22F2C"/>
    <w:rsid w:val="04A66578"/>
    <w:rsid w:val="04AB3B8E"/>
    <w:rsid w:val="04AC792F"/>
    <w:rsid w:val="04AD3DAA"/>
    <w:rsid w:val="04B0389B"/>
    <w:rsid w:val="04B2316F"/>
    <w:rsid w:val="04B75458"/>
    <w:rsid w:val="04B8274F"/>
    <w:rsid w:val="04C44C50"/>
    <w:rsid w:val="04C74740"/>
    <w:rsid w:val="04CB2483"/>
    <w:rsid w:val="04CE3D21"/>
    <w:rsid w:val="04CE5ACF"/>
    <w:rsid w:val="04D05CEB"/>
    <w:rsid w:val="04D53301"/>
    <w:rsid w:val="04D550AF"/>
    <w:rsid w:val="04D72BD5"/>
    <w:rsid w:val="04D806FC"/>
    <w:rsid w:val="04DA126C"/>
    <w:rsid w:val="04DA4474"/>
    <w:rsid w:val="04E86B91"/>
    <w:rsid w:val="04F217BD"/>
    <w:rsid w:val="04F35535"/>
    <w:rsid w:val="04F44FB8"/>
    <w:rsid w:val="04F8558C"/>
    <w:rsid w:val="04FC088E"/>
    <w:rsid w:val="05017C52"/>
    <w:rsid w:val="0506170D"/>
    <w:rsid w:val="05096B07"/>
    <w:rsid w:val="050E411D"/>
    <w:rsid w:val="051200B1"/>
    <w:rsid w:val="051554AC"/>
    <w:rsid w:val="051E0804"/>
    <w:rsid w:val="051F632A"/>
    <w:rsid w:val="05241B93"/>
    <w:rsid w:val="052676B9"/>
    <w:rsid w:val="052971A9"/>
    <w:rsid w:val="052C563B"/>
    <w:rsid w:val="052E47BF"/>
    <w:rsid w:val="052E6A0C"/>
    <w:rsid w:val="05340028"/>
    <w:rsid w:val="053B7608"/>
    <w:rsid w:val="053E4A03"/>
    <w:rsid w:val="053F69CD"/>
    <w:rsid w:val="05412745"/>
    <w:rsid w:val="05483AD3"/>
    <w:rsid w:val="0548762F"/>
    <w:rsid w:val="054933A7"/>
    <w:rsid w:val="054B5371"/>
    <w:rsid w:val="054C00FE"/>
    <w:rsid w:val="054F6A7F"/>
    <w:rsid w:val="055406CA"/>
    <w:rsid w:val="0559183C"/>
    <w:rsid w:val="055B47FF"/>
    <w:rsid w:val="05656433"/>
    <w:rsid w:val="05665D07"/>
    <w:rsid w:val="056A57F8"/>
    <w:rsid w:val="056B1570"/>
    <w:rsid w:val="056D353A"/>
    <w:rsid w:val="056F2E0E"/>
    <w:rsid w:val="05704DD8"/>
    <w:rsid w:val="057332A8"/>
    <w:rsid w:val="05790131"/>
    <w:rsid w:val="05791EDF"/>
    <w:rsid w:val="057E12A3"/>
    <w:rsid w:val="05832D5D"/>
    <w:rsid w:val="058E2DB6"/>
    <w:rsid w:val="059164D8"/>
    <w:rsid w:val="05916831"/>
    <w:rsid w:val="059960DD"/>
    <w:rsid w:val="059E1945"/>
    <w:rsid w:val="05A21435"/>
    <w:rsid w:val="05A351AD"/>
    <w:rsid w:val="05AB1859"/>
    <w:rsid w:val="05AD3936"/>
    <w:rsid w:val="05B41169"/>
    <w:rsid w:val="05B72A07"/>
    <w:rsid w:val="05B9677F"/>
    <w:rsid w:val="05BC1DCB"/>
    <w:rsid w:val="05BE6CDA"/>
    <w:rsid w:val="05C018BB"/>
    <w:rsid w:val="05C460E0"/>
    <w:rsid w:val="05CA098C"/>
    <w:rsid w:val="05D215EF"/>
    <w:rsid w:val="05D47115"/>
    <w:rsid w:val="05D67331"/>
    <w:rsid w:val="05D830A9"/>
    <w:rsid w:val="05D90BCF"/>
    <w:rsid w:val="05DB04A3"/>
    <w:rsid w:val="05E05ABA"/>
    <w:rsid w:val="05E97064"/>
    <w:rsid w:val="05EC26B0"/>
    <w:rsid w:val="05F11A75"/>
    <w:rsid w:val="05F504EE"/>
    <w:rsid w:val="05F6352F"/>
    <w:rsid w:val="05F872A7"/>
    <w:rsid w:val="05FB6D97"/>
    <w:rsid w:val="05FF6D42"/>
    <w:rsid w:val="060043AE"/>
    <w:rsid w:val="060379FA"/>
    <w:rsid w:val="060519C4"/>
    <w:rsid w:val="06085010"/>
    <w:rsid w:val="060C6775"/>
    <w:rsid w:val="06112117"/>
    <w:rsid w:val="06141C07"/>
    <w:rsid w:val="061B41EE"/>
    <w:rsid w:val="061F2A86"/>
    <w:rsid w:val="06257970"/>
    <w:rsid w:val="062A31D9"/>
    <w:rsid w:val="062E0F1B"/>
    <w:rsid w:val="063127B9"/>
    <w:rsid w:val="06314567"/>
    <w:rsid w:val="06367DD0"/>
    <w:rsid w:val="06383B48"/>
    <w:rsid w:val="064222D0"/>
    <w:rsid w:val="06426774"/>
    <w:rsid w:val="0644429B"/>
    <w:rsid w:val="06473D8B"/>
    <w:rsid w:val="064918B1"/>
    <w:rsid w:val="064C13A1"/>
    <w:rsid w:val="064C314F"/>
    <w:rsid w:val="064C75F3"/>
    <w:rsid w:val="06500E91"/>
    <w:rsid w:val="06510766"/>
    <w:rsid w:val="06585F98"/>
    <w:rsid w:val="065A3ABE"/>
    <w:rsid w:val="065F7326"/>
    <w:rsid w:val="06652463"/>
    <w:rsid w:val="066606B5"/>
    <w:rsid w:val="06677F89"/>
    <w:rsid w:val="066A1827"/>
    <w:rsid w:val="066C31F2"/>
    <w:rsid w:val="067A7CBC"/>
    <w:rsid w:val="067B57E2"/>
    <w:rsid w:val="067D155B"/>
    <w:rsid w:val="067D59FE"/>
    <w:rsid w:val="068154EF"/>
    <w:rsid w:val="06820B04"/>
    <w:rsid w:val="068368A8"/>
    <w:rsid w:val="06862B05"/>
    <w:rsid w:val="068648B3"/>
    <w:rsid w:val="068723D9"/>
    <w:rsid w:val="06875229"/>
    <w:rsid w:val="068766B9"/>
    <w:rsid w:val="068C5C42"/>
    <w:rsid w:val="06905732"/>
    <w:rsid w:val="0696261C"/>
    <w:rsid w:val="06A27213"/>
    <w:rsid w:val="06AE5BB8"/>
    <w:rsid w:val="06B238FA"/>
    <w:rsid w:val="06B34F7C"/>
    <w:rsid w:val="06B55198"/>
    <w:rsid w:val="06B56F46"/>
    <w:rsid w:val="06B907EC"/>
    <w:rsid w:val="06BA455D"/>
    <w:rsid w:val="06BC6527"/>
    <w:rsid w:val="06BD5DFB"/>
    <w:rsid w:val="06BE2C32"/>
    <w:rsid w:val="06CE0008"/>
    <w:rsid w:val="06CE1DB6"/>
    <w:rsid w:val="06D60D20"/>
    <w:rsid w:val="06DC0977"/>
    <w:rsid w:val="06DF5D71"/>
    <w:rsid w:val="06E635A4"/>
    <w:rsid w:val="06EC66E0"/>
    <w:rsid w:val="06EF00DE"/>
    <w:rsid w:val="06F23CF7"/>
    <w:rsid w:val="06F35CC1"/>
    <w:rsid w:val="06F86E33"/>
    <w:rsid w:val="06FC6923"/>
    <w:rsid w:val="06FE6B3F"/>
    <w:rsid w:val="070168AD"/>
    <w:rsid w:val="070457D8"/>
    <w:rsid w:val="07047ECE"/>
    <w:rsid w:val="070954E4"/>
    <w:rsid w:val="070B4DB8"/>
    <w:rsid w:val="071023CF"/>
    <w:rsid w:val="07153E89"/>
    <w:rsid w:val="07155C37"/>
    <w:rsid w:val="07164389"/>
    <w:rsid w:val="071C34B5"/>
    <w:rsid w:val="071E2D3E"/>
    <w:rsid w:val="071F0864"/>
    <w:rsid w:val="072145DC"/>
    <w:rsid w:val="07287718"/>
    <w:rsid w:val="07320597"/>
    <w:rsid w:val="07342561"/>
    <w:rsid w:val="07351E35"/>
    <w:rsid w:val="073562D9"/>
    <w:rsid w:val="073A744C"/>
    <w:rsid w:val="073E3C7E"/>
    <w:rsid w:val="073F4A62"/>
    <w:rsid w:val="07416A2C"/>
    <w:rsid w:val="074402CA"/>
    <w:rsid w:val="07474FE1"/>
    <w:rsid w:val="074958E1"/>
    <w:rsid w:val="074C2F57"/>
    <w:rsid w:val="074F739B"/>
    <w:rsid w:val="07500A1D"/>
    <w:rsid w:val="07550729"/>
    <w:rsid w:val="07593D76"/>
    <w:rsid w:val="075E5180"/>
    <w:rsid w:val="075E75DE"/>
    <w:rsid w:val="07612C2A"/>
    <w:rsid w:val="0765096C"/>
    <w:rsid w:val="07660241"/>
    <w:rsid w:val="076B5857"/>
    <w:rsid w:val="077A1F3E"/>
    <w:rsid w:val="077D7F4A"/>
    <w:rsid w:val="078537BE"/>
    <w:rsid w:val="07886409"/>
    <w:rsid w:val="0790350F"/>
    <w:rsid w:val="07906B0F"/>
    <w:rsid w:val="079254DA"/>
    <w:rsid w:val="07944DAE"/>
    <w:rsid w:val="079A5410"/>
    <w:rsid w:val="07A66242"/>
    <w:rsid w:val="07AA637F"/>
    <w:rsid w:val="07AD2313"/>
    <w:rsid w:val="07AD5E6F"/>
    <w:rsid w:val="07B0770E"/>
    <w:rsid w:val="07B2792A"/>
    <w:rsid w:val="07B54D24"/>
    <w:rsid w:val="07B611C8"/>
    <w:rsid w:val="07BD6329"/>
    <w:rsid w:val="07C76053"/>
    <w:rsid w:val="07CF5C53"/>
    <w:rsid w:val="07D17DB0"/>
    <w:rsid w:val="07D5339B"/>
    <w:rsid w:val="07D826C8"/>
    <w:rsid w:val="07DE24CD"/>
    <w:rsid w:val="07E15B19"/>
    <w:rsid w:val="07EA4131"/>
    <w:rsid w:val="07EF6488"/>
    <w:rsid w:val="07F16DBE"/>
    <w:rsid w:val="07F25F78"/>
    <w:rsid w:val="07F41CF0"/>
    <w:rsid w:val="07F615C4"/>
    <w:rsid w:val="07F67816"/>
    <w:rsid w:val="07F70453"/>
    <w:rsid w:val="07F7533D"/>
    <w:rsid w:val="07F910B5"/>
    <w:rsid w:val="07FE66CB"/>
    <w:rsid w:val="08000695"/>
    <w:rsid w:val="080041F1"/>
    <w:rsid w:val="08055CAB"/>
    <w:rsid w:val="080F6B2A"/>
    <w:rsid w:val="081A1ACF"/>
    <w:rsid w:val="081B2F5F"/>
    <w:rsid w:val="081E0B1B"/>
    <w:rsid w:val="081E6D6D"/>
    <w:rsid w:val="08251EAA"/>
    <w:rsid w:val="08276291"/>
    <w:rsid w:val="082779D0"/>
    <w:rsid w:val="082F4AD6"/>
    <w:rsid w:val="08316AA1"/>
    <w:rsid w:val="083206B8"/>
    <w:rsid w:val="0834033F"/>
    <w:rsid w:val="08420CAE"/>
    <w:rsid w:val="0845254C"/>
    <w:rsid w:val="084560A8"/>
    <w:rsid w:val="08510EF1"/>
    <w:rsid w:val="08536A17"/>
    <w:rsid w:val="085542CE"/>
    <w:rsid w:val="08585DDB"/>
    <w:rsid w:val="085B4483"/>
    <w:rsid w:val="085E716A"/>
    <w:rsid w:val="08601134"/>
    <w:rsid w:val="086230FE"/>
    <w:rsid w:val="086724C2"/>
    <w:rsid w:val="086F75C9"/>
    <w:rsid w:val="08716E9D"/>
    <w:rsid w:val="08777BCA"/>
    <w:rsid w:val="087B28E6"/>
    <w:rsid w:val="087D22FB"/>
    <w:rsid w:val="088766C0"/>
    <w:rsid w:val="088C3A7B"/>
    <w:rsid w:val="088C3CD7"/>
    <w:rsid w:val="088F5575"/>
    <w:rsid w:val="089112ED"/>
    <w:rsid w:val="089B216C"/>
    <w:rsid w:val="08A234FA"/>
    <w:rsid w:val="08A70B11"/>
    <w:rsid w:val="08A96637"/>
    <w:rsid w:val="08AC6127"/>
    <w:rsid w:val="08AF79C5"/>
    <w:rsid w:val="08B1373D"/>
    <w:rsid w:val="08B17BE1"/>
    <w:rsid w:val="08B374B6"/>
    <w:rsid w:val="08B576D2"/>
    <w:rsid w:val="08B63BCD"/>
    <w:rsid w:val="08B66FA6"/>
    <w:rsid w:val="08B82D1E"/>
    <w:rsid w:val="08B84ACC"/>
    <w:rsid w:val="08C01BD2"/>
    <w:rsid w:val="08C2594B"/>
    <w:rsid w:val="08C571E9"/>
    <w:rsid w:val="08C6543B"/>
    <w:rsid w:val="08CB0CA3"/>
    <w:rsid w:val="08CC4A1B"/>
    <w:rsid w:val="08CE609D"/>
    <w:rsid w:val="08CE79ED"/>
    <w:rsid w:val="08D15B8E"/>
    <w:rsid w:val="08D2254A"/>
    <w:rsid w:val="08D4742C"/>
    <w:rsid w:val="08D51B22"/>
    <w:rsid w:val="08D631A4"/>
    <w:rsid w:val="08D77648"/>
    <w:rsid w:val="08DA2C94"/>
    <w:rsid w:val="08DC4C5E"/>
    <w:rsid w:val="08E056F9"/>
    <w:rsid w:val="08E43B13"/>
    <w:rsid w:val="08E50D18"/>
    <w:rsid w:val="08E51639"/>
    <w:rsid w:val="08E720CC"/>
    <w:rsid w:val="08E73603"/>
    <w:rsid w:val="08E91129"/>
    <w:rsid w:val="08E92ED7"/>
    <w:rsid w:val="08EC0C19"/>
    <w:rsid w:val="08F24482"/>
    <w:rsid w:val="08F33D56"/>
    <w:rsid w:val="08F5187C"/>
    <w:rsid w:val="09000221"/>
    <w:rsid w:val="090058EC"/>
    <w:rsid w:val="09045F63"/>
    <w:rsid w:val="090D306A"/>
    <w:rsid w:val="090E0B90"/>
    <w:rsid w:val="091343F8"/>
    <w:rsid w:val="09155A79"/>
    <w:rsid w:val="09167A44"/>
    <w:rsid w:val="09181A0E"/>
    <w:rsid w:val="092108C3"/>
    <w:rsid w:val="09212671"/>
    <w:rsid w:val="09242161"/>
    <w:rsid w:val="09267C87"/>
    <w:rsid w:val="09273A00"/>
    <w:rsid w:val="09306D58"/>
    <w:rsid w:val="09336848"/>
    <w:rsid w:val="09383E5F"/>
    <w:rsid w:val="093920B1"/>
    <w:rsid w:val="09436A8B"/>
    <w:rsid w:val="094B3B92"/>
    <w:rsid w:val="09540C99"/>
    <w:rsid w:val="095E1B17"/>
    <w:rsid w:val="095F763D"/>
    <w:rsid w:val="09645F3F"/>
    <w:rsid w:val="096D3B08"/>
    <w:rsid w:val="0972111F"/>
    <w:rsid w:val="097529BD"/>
    <w:rsid w:val="097F1D39"/>
    <w:rsid w:val="097F55EA"/>
    <w:rsid w:val="098552F6"/>
    <w:rsid w:val="09866978"/>
    <w:rsid w:val="098B0432"/>
    <w:rsid w:val="098D7D07"/>
    <w:rsid w:val="098E3A7F"/>
    <w:rsid w:val="09970B85"/>
    <w:rsid w:val="099A2423"/>
    <w:rsid w:val="099C263F"/>
    <w:rsid w:val="099C43EE"/>
    <w:rsid w:val="09A137B2"/>
    <w:rsid w:val="09A17C56"/>
    <w:rsid w:val="09A60DC8"/>
    <w:rsid w:val="09AA4D5C"/>
    <w:rsid w:val="09AD65FB"/>
    <w:rsid w:val="09AF4121"/>
    <w:rsid w:val="09B259BF"/>
    <w:rsid w:val="09B74D83"/>
    <w:rsid w:val="09C13E54"/>
    <w:rsid w:val="09C2364D"/>
    <w:rsid w:val="09C35E1E"/>
    <w:rsid w:val="09C94AB7"/>
    <w:rsid w:val="09CF47C3"/>
    <w:rsid w:val="09DC2A3C"/>
    <w:rsid w:val="09E0252C"/>
    <w:rsid w:val="09E244F6"/>
    <w:rsid w:val="09E3201C"/>
    <w:rsid w:val="09E518F1"/>
    <w:rsid w:val="09E65669"/>
    <w:rsid w:val="09ED69F7"/>
    <w:rsid w:val="09EF451D"/>
    <w:rsid w:val="09F064E7"/>
    <w:rsid w:val="09F63AFE"/>
    <w:rsid w:val="0A021C7D"/>
    <w:rsid w:val="0A03446D"/>
    <w:rsid w:val="0A053D41"/>
    <w:rsid w:val="0A0C5900"/>
    <w:rsid w:val="0A0D0E47"/>
    <w:rsid w:val="0A0D52EB"/>
    <w:rsid w:val="0A0D7099"/>
    <w:rsid w:val="0A106D52"/>
    <w:rsid w:val="0A1500F3"/>
    <w:rsid w:val="0A165F4E"/>
    <w:rsid w:val="0A173A74"/>
    <w:rsid w:val="0A187F18"/>
    <w:rsid w:val="0A1977EC"/>
    <w:rsid w:val="0A23663E"/>
    <w:rsid w:val="0A283ED3"/>
    <w:rsid w:val="0A2C5771"/>
    <w:rsid w:val="0A2D637A"/>
    <w:rsid w:val="0A36214C"/>
    <w:rsid w:val="0A3665F0"/>
    <w:rsid w:val="0A402FCB"/>
    <w:rsid w:val="0A430D0D"/>
    <w:rsid w:val="0A4A0473"/>
    <w:rsid w:val="0A4C1970"/>
    <w:rsid w:val="0A4D56E8"/>
    <w:rsid w:val="0A4D7496"/>
    <w:rsid w:val="0A4E393A"/>
    <w:rsid w:val="0A51342A"/>
    <w:rsid w:val="0A516F86"/>
    <w:rsid w:val="0A540824"/>
    <w:rsid w:val="0A546A76"/>
    <w:rsid w:val="0A590531"/>
    <w:rsid w:val="0A5F5B47"/>
    <w:rsid w:val="0A636CB9"/>
    <w:rsid w:val="0A665446"/>
    <w:rsid w:val="0A6E5D8A"/>
    <w:rsid w:val="0A7333A0"/>
    <w:rsid w:val="0A747118"/>
    <w:rsid w:val="0A80731A"/>
    <w:rsid w:val="0A854E82"/>
    <w:rsid w:val="0A8A2498"/>
    <w:rsid w:val="0A8A693C"/>
    <w:rsid w:val="0A8D3D36"/>
    <w:rsid w:val="0A8E086A"/>
    <w:rsid w:val="0A917CCA"/>
    <w:rsid w:val="0A92134D"/>
    <w:rsid w:val="0A933DE7"/>
    <w:rsid w:val="0A9450C5"/>
    <w:rsid w:val="0A971D5C"/>
    <w:rsid w:val="0A9D666F"/>
    <w:rsid w:val="0A9E5F43"/>
    <w:rsid w:val="0A9E7CF1"/>
    <w:rsid w:val="0A9F23E7"/>
    <w:rsid w:val="0AA479FE"/>
    <w:rsid w:val="0AAA48E8"/>
    <w:rsid w:val="0AAE6186"/>
    <w:rsid w:val="0AB37C41"/>
    <w:rsid w:val="0AB45767"/>
    <w:rsid w:val="0AB67731"/>
    <w:rsid w:val="0AB80DB3"/>
    <w:rsid w:val="0AB85257"/>
    <w:rsid w:val="0ABA0FCF"/>
    <w:rsid w:val="0ABD0ABF"/>
    <w:rsid w:val="0AC27E84"/>
    <w:rsid w:val="0AC37758"/>
    <w:rsid w:val="0AC51722"/>
    <w:rsid w:val="0AC534D0"/>
    <w:rsid w:val="0ACB31DC"/>
    <w:rsid w:val="0AD1695A"/>
    <w:rsid w:val="0AD33E3F"/>
    <w:rsid w:val="0AD61B81"/>
    <w:rsid w:val="0AD81455"/>
    <w:rsid w:val="0ADD625D"/>
    <w:rsid w:val="0AE0030A"/>
    <w:rsid w:val="0AE47DFA"/>
    <w:rsid w:val="0AEE0C79"/>
    <w:rsid w:val="0AF142C5"/>
    <w:rsid w:val="0AF448C5"/>
    <w:rsid w:val="0AF618DB"/>
    <w:rsid w:val="0AF67B2D"/>
    <w:rsid w:val="0AF838A6"/>
    <w:rsid w:val="0AFA761E"/>
    <w:rsid w:val="0AFF4C34"/>
    <w:rsid w:val="0B016BFE"/>
    <w:rsid w:val="0B024724"/>
    <w:rsid w:val="0B043FF8"/>
    <w:rsid w:val="0B100BEF"/>
    <w:rsid w:val="0B154457"/>
    <w:rsid w:val="0B185CF6"/>
    <w:rsid w:val="0B1A1A6E"/>
    <w:rsid w:val="0B1C3A38"/>
    <w:rsid w:val="0B2B77D7"/>
    <w:rsid w:val="0B2C354F"/>
    <w:rsid w:val="0B310B66"/>
    <w:rsid w:val="0B350656"/>
    <w:rsid w:val="0B3643CE"/>
    <w:rsid w:val="0B36617C"/>
    <w:rsid w:val="0B3F3282"/>
    <w:rsid w:val="0B424B21"/>
    <w:rsid w:val="0B446AEB"/>
    <w:rsid w:val="0B464611"/>
    <w:rsid w:val="0B49165D"/>
    <w:rsid w:val="0B494101"/>
    <w:rsid w:val="0B4B1C27"/>
    <w:rsid w:val="0B4B7E79"/>
    <w:rsid w:val="0B4C599F"/>
    <w:rsid w:val="0B4D7D2D"/>
    <w:rsid w:val="0B505490"/>
    <w:rsid w:val="0B562520"/>
    <w:rsid w:val="0B5C3E34"/>
    <w:rsid w:val="0B5E38EE"/>
    <w:rsid w:val="0B633415"/>
    <w:rsid w:val="0B644B24"/>
    <w:rsid w:val="0B7078E0"/>
    <w:rsid w:val="0B7218AA"/>
    <w:rsid w:val="0B725406"/>
    <w:rsid w:val="0B745622"/>
    <w:rsid w:val="0B792C38"/>
    <w:rsid w:val="0B8213C1"/>
    <w:rsid w:val="0B8909A2"/>
    <w:rsid w:val="0B8B64C8"/>
    <w:rsid w:val="0B8E420A"/>
    <w:rsid w:val="0B8E7D66"/>
    <w:rsid w:val="0B903ADE"/>
    <w:rsid w:val="0B907F82"/>
    <w:rsid w:val="0B927856"/>
    <w:rsid w:val="0B941820"/>
    <w:rsid w:val="0B955598"/>
    <w:rsid w:val="0B971310"/>
    <w:rsid w:val="0B9A670B"/>
    <w:rsid w:val="0B9E269F"/>
    <w:rsid w:val="0B9F6417"/>
    <w:rsid w:val="0BA347CD"/>
    <w:rsid w:val="0BAB0918"/>
    <w:rsid w:val="0BAB4DBC"/>
    <w:rsid w:val="0BAC0749"/>
    <w:rsid w:val="0BAE0408"/>
    <w:rsid w:val="0BB023D2"/>
    <w:rsid w:val="0BB23C7E"/>
    <w:rsid w:val="0BB772BD"/>
    <w:rsid w:val="0BB84DE3"/>
    <w:rsid w:val="0BBC0D77"/>
    <w:rsid w:val="0BC32105"/>
    <w:rsid w:val="0BD50DE5"/>
    <w:rsid w:val="0BD87233"/>
    <w:rsid w:val="0BD936D7"/>
    <w:rsid w:val="0BD95198"/>
    <w:rsid w:val="0BDF61A9"/>
    <w:rsid w:val="0BE107DE"/>
    <w:rsid w:val="0BE61950"/>
    <w:rsid w:val="0BE8391A"/>
    <w:rsid w:val="0BE91440"/>
    <w:rsid w:val="0BE91675"/>
    <w:rsid w:val="0BEA58E4"/>
    <w:rsid w:val="0BEB6F66"/>
    <w:rsid w:val="0BF202F5"/>
    <w:rsid w:val="0BF26547"/>
    <w:rsid w:val="0BF86D50"/>
    <w:rsid w:val="0BFE2BC2"/>
    <w:rsid w:val="0C012C2E"/>
    <w:rsid w:val="0C013B43"/>
    <w:rsid w:val="0C01678A"/>
    <w:rsid w:val="0C083FBC"/>
    <w:rsid w:val="0C094FC7"/>
    <w:rsid w:val="0C142961"/>
    <w:rsid w:val="0C1666D9"/>
    <w:rsid w:val="0C183BD3"/>
    <w:rsid w:val="0C1E558E"/>
    <w:rsid w:val="0C201306"/>
    <w:rsid w:val="0C210BDA"/>
    <w:rsid w:val="0C246310"/>
    <w:rsid w:val="0C28640C"/>
    <w:rsid w:val="0C2B3807"/>
    <w:rsid w:val="0C2D252D"/>
    <w:rsid w:val="0C34090D"/>
    <w:rsid w:val="0C346B5F"/>
    <w:rsid w:val="0C3923C8"/>
    <w:rsid w:val="0C3C5A14"/>
    <w:rsid w:val="0C450D6C"/>
    <w:rsid w:val="0C4548C9"/>
    <w:rsid w:val="0C455357"/>
    <w:rsid w:val="0C462AD9"/>
    <w:rsid w:val="0C4A0131"/>
    <w:rsid w:val="0C4F74F5"/>
    <w:rsid w:val="0C517711"/>
    <w:rsid w:val="0C550884"/>
    <w:rsid w:val="0C564D28"/>
    <w:rsid w:val="0C5E3BDC"/>
    <w:rsid w:val="0C653200"/>
    <w:rsid w:val="0C656D19"/>
    <w:rsid w:val="0C676F35"/>
    <w:rsid w:val="0C6A07D3"/>
    <w:rsid w:val="0C6A44A1"/>
    <w:rsid w:val="0C6C00A7"/>
    <w:rsid w:val="0C6C62F9"/>
    <w:rsid w:val="0C6F7B97"/>
    <w:rsid w:val="0C700313"/>
    <w:rsid w:val="0C7358DA"/>
    <w:rsid w:val="0C7B653C"/>
    <w:rsid w:val="0C7C4062"/>
    <w:rsid w:val="0C7E602C"/>
    <w:rsid w:val="0C871385"/>
    <w:rsid w:val="0C886EAB"/>
    <w:rsid w:val="0C8D626F"/>
    <w:rsid w:val="0C8E44C1"/>
    <w:rsid w:val="0C905ACD"/>
    <w:rsid w:val="0C951EE3"/>
    <w:rsid w:val="0C9910B8"/>
    <w:rsid w:val="0C9D2956"/>
    <w:rsid w:val="0CA737D5"/>
    <w:rsid w:val="0CA84E57"/>
    <w:rsid w:val="0CAA0BCF"/>
    <w:rsid w:val="0CAA1934"/>
    <w:rsid w:val="0CB437FC"/>
    <w:rsid w:val="0CB47CA0"/>
    <w:rsid w:val="0CBA3508"/>
    <w:rsid w:val="0CBD0903"/>
    <w:rsid w:val="0CBD4DA7"/>
    <w:rsid w:val="0CBD5514"/>
    <w:rsid w:val="0CC46135"/>
    <w:rsid w:val="0CCA1272"/>
    <w:rsid w:val="0CCE2B10"/>
    <w:rsid w:val="0CD23491"/>
    <w:rsid w:val="0CD345CA"/>
    <w:rsid w:val="0CD50B16"/>
    <w:rsid w:val="0CD81BE1"/>
    <w:rsid w:val="0CD93263"/>
    <w:rsid w:val="0CDB3112"/>
    <w:rsid w:val="0CDB6FDB"/>
    <w:rsid w:val="0CDD71F7"/>
    <w:rsid w:val="0CE40585"/>
    <w:rsid w:val="0CE57E5A"/>
    <w:rsid w:val="0CE73BD2"/>
    <w:rsid w:val="0CEC568C"/>
    <w:rsid w:val="0CEE4F60"/>
    <w:rsid w:val="0CF06F2A"/>
    <w:rsid w:val="0CF14C50"/>
    <w:rsid w:val="0CF307C8"/>
    <w:rsid w:val="0CF55810"/>
    <w:rsid w:val="0CFD51A3"/>
    <w:rsid w:val="0D0012DD"/>
    <w:rsid w:val="0D002EE5"/>
    <w:rsid w:val="0D006A41"/>
    <w:rsid w:val="0D0227BA"/>
    <w:rsid w:val="0D0364DD"/>
    <w:rsid w:val="0D0504FC"/>
    <w:rsid w:val="0D074274"/>
    <w:rsid w:val="0D091D9A"/>
    <w:rsid w:val="0D0C53E6"/>
    <w:rsid w:val="0D0E115E"/>
    <w:rsid w:val="0D1354FD"/>
    <w:rsid w:val="0D186481"/>
    <w:rsid w:val="0D26294C"/>
    <w:rsid w:val="0D272220"/>
    <w:rsid w:val="0D2A3ABE"/>
    <w:rsid w:val="0D2B61B4"/>
    <w:rsid w:val="0D2E35AF"/>
    <w:rsid w:val="0D2E38C4"/>
    <w:rsid w:val="0D315E36"/>
    <w:rsid w:val="0D3627FC"/>
    <w:rsid w:val="0D3A7B41"/>
    <w:rsid w:val="0D3C216F"/>
    <w:rsid w:val="0D3D1A44"/>
    <w:rsid w:val="0D49488C"/>
    <w:rsid w:val="0D4A5F0F"/>
    <w:rsid w:val="0D4B4CD3"/>
    <w:rsid w:val="0D4C1C87"/>
    <w:rsid w:val="0D4E59FF"/>
    <w:rsid w:val="0D51729D"/>
    <w:rsid w:val="0D523741"/>
    <w:rsid w:val="0D553231"/>
    <w:rsid w:val="0D564445"/>
    <w:rsid w:val="0D5648B3"/>
    <w:rsid w:val="0D570D57"/>
    <w:rsid w:val="0D5A25F6"/>
    <w:rsid w:val="0D5C45C0"/>
    <w:rsid w:val="0D605732"/>
    <w:rsid w:val="0D6276FC"/>
    <w:rsid w:val="0D690A8B"/>
    <w:rsid w:val="0D692839"/>
    <w:rsid w:val="0D705975"/>
    <w:rsid w:val="0D73266E"/>
    <w:rsid w:val="0D735465"/>
    <w:rsid w:val="0D7C256C"/>
    <w:rsid w:val="0D7F02AE"/>
    <w:rsid w:val="0D821B4C"/>
    <w:rsid w:val="0D832544"/>
    <w:rsid w:val="0D8633EB"/>
    <w:rsid w:val="0D8853B5"/>
    <w:rsid w:val="0D8E5F16"/>
    <w:rsid w:val="0D906017"/>
    <w:rsid w:val="0D9A6371"/>
    <w:rsid w:val="0D9C676A"/>
    <w:rsid w:val="0DA10224"/>
    <w:rsid w:val="0DA33F9D"/>
    <w:rsid w:val="0DAE2941"/>
    <w:rsid w:val="0DB00467"/>
    <w:rsid w:val="0DB55A7E"/>
    <w:rsid w:val="0DB77A48"/>
    <w:rsid w:val="0DBD4932"/>
    <w:rsid w:val="0DBF4B4E"/>
    <w:rsid w:val="0DC12675"/>
    <w:rsid w:val="0DC161D1"/>
    <w:rsid w:val="0DC602BF"/>
    <w:rsid w:val="0DC83A03"/>
    <w:rsid w:val="0DD177A6"/>
    <w:rsid w:val="0DD20D93"/>
    <w:rsid w:val="0DDF0D4D"/>
    <w:rsid w:val="0DE34399"/>
    <w:rsid w:val="0DE40111"/>
    <w:rsid w:val="0DE63E89"/>
    <w:rsid w:val="0DEF71E2"/>
    <w:rsid w:val="0DF742E8"/>
    <w:rsid w:val="0DF77E44"/>
    <w:rsid w:val="0DF91E0E"/>
    <w:rsid w:val="0DFC18FF"/>
    <w:rsid w:val="0E004DA8"/>
    <w:rsid w:val="0E042561"/>
    <w:rsid w:val="0E0662D9"/>
    <w:rsid w:val="0E0F1632"/>
    <w:rsid w:val="0E15476E"/>
    <w:rsid w:val="0E15651D"/>
    <w:rsid w:val="0E1844BF"/>
    <w:rsid w:val="0E1B7FD7"/>
    <w:rsid w:val="0E1D6EA1"/>
    <w:rsid w:val="0E252C04"/>
    <w:rsid w:val="0E2C21E4"/>
    <w:rsid w:val="0E2F3A82"/>
    <w:rsid w:val="0E323572"/>
    <w:rsid w:val="0E325320"/>
    <w:rsid w:val="0E344BF5"/>
    <w:rsid w:val="0E35096D"/>
    <w:rsid w:val="0E370B89"/>
    <w:rsid w:val="0E3A41D5"/>
    <w:rsid w:val="0E3E1F17"/>
    <w:rsid w:val="0E3F0DAA"/>
    <w:rsid w:val="0E4017EB"/>
    <w:rsid w:val="0E407A3D"/>
    <w:rsid w:val="0E417312"/>
    <w:rsid w:val="0E48359D"/>
    <w:rsid w:val="0E4A266A"/>
    <w:rsid w:val="0E4A4418"/>
    <w:rsid w:val="0E4B63E2"/>
    <w:rsid w:val="0E4D215A"/>
    <w:rsid w:val="0E52283C"/>
    <w:rsid w:val="0E544313"/>
    <w:rsid w:val="0E5A03D3"/>
    <w:rsid w:val="0E601E8E"/>
    <w:rsid w:val="0E6059EA"/>
    <w:rsid w:val="0E6C5028"/>
    <w:rsid w:val="0E7F623D"/>
    <w:rsid w:val="0E8813E4"/>
    <w:rsid w:val="0E884F40"/>
    <w:rsid w:val="0E8872EF"/>
    <w:rsid w:val="0E8D1EBF"/>
    <w:rsid w:val="0E8D2557"/>
    <w:rsid w:val="0E941B37"/>
    <w:rsid w:val="0E9733D5"/>
    <w:rsid w:val="0E981627"/>
    <w:rsid w:val="0EA16002"/>
    <w:rsid w:val="0EA646CE"/>
    <w:rsid w:val="0EAA7549"/>
    <w:rsid w:val="0EAF4BC3"/>
    <w:rsid w:val="0EB164FB"/>
    <w:rsid w:val="0EB775D4"/>
    <w:rsid w:val="0EBB70C4"/>
    <w:rsid w:val="0EBC3FF3"/>
    <w:rsid w:val="0EBD52BD"/>
    <w:rsid w:val="0EC51CF1"/>
    <w:rsid w:val="0EC56195"/>
    <w:rsid w:val="0EC95C85"/>
    <w:rsid w:val="0ECA5559"/>
    <w:rsid w:val="0ECA7307"/>
    <w:rsid w:val="0ED2440E"/>
    <w:rsid w:val="0ED55194"/>
    <w:rsid w:val="0ED63EFE"/>
    <w:rsid w:val="0ED65CAC"/>
    <w:rsid w:val="0ED778C6"/>
    <w:rsid w:val="0ED9579C"/>
    <w:rsid w:val="0EDD528C"/>
    <w:rsid w:val="0EDE1004"/>
    <w:rsid w:val="0EED1247"/>
    <w:rsid w:val="0EEE7499"/>
    <w:rsid w:val="0EEF4FBF"/>
    <w:rsid w:val="0EF12AE6"/>
    <w:rsid w:val="0EF260FC"/>
    <w:rsid w:val="0EF461D9"/>
    <w:rsid w:val="0EF83E74"/>
    <w:rsid w:val="0EF95E3E"/>
    <w:rsid w:val="0EFE3455"/>
    <w:rsid w:val="0EFE38B6"/>
    <w:rsid w:val="0F024CF3"/>
    <w:rsid w:val="0F032819"/>
    <w:rsid w:val="0F07055B"/>
    <w:rsid w:val="0F087E2F"/>
    <w:rsid w:val="0F0A3BA7"/>
    <w:rsid w:val="0F0E18EA"/>
    <w:rsid w:val="0F0F5662"/>
    <w:rsid w:val="0F0F7410"/>
    <w:rsid w:val="0F1113DA"/>
    <w:rsid w:val="0F136F00"/>
    <w:rsid w:val="0F19203C"/>
    <w:rsid w:val="0F1B7B63"/>
    <w:rsid w:val="0F20161D"/>
    <w:rsid w:val="0F264E85"/>
    <w:rsid w:val="0F2729AB"/>
    <w:rsid w:val="0F2A446A"/>
    <w:rsid w:val="0F2C6214"/>
    <w:rsid w:val="0F2F0EC2"/>
    <w:rsid w:val="0F3550C8"/>
    <w:rsid w:val="0F384BB8"/>
    <w:rsid w:val="0F386966"/>
    <w:rsid w:val="0F3A448D"/>
    <w:rsid w:val="0F3B0205"/>
    <w:rsid w:val="0F3D5D2B"/>
    <w:rsid w:val="0F40581B"/>
    <w:rsid w:val="0F4075C9"/>
    <w:rsid w:val="0F4A0448"/>
    <w:rsid w:val="0F4B48EC"/>
    <w:rsid w:val="0F4B7EA1"/>
    <w:rsid w:val="0F4C0664"/>
    <w:rsid w:val="0F501F02"/>
    <w:rsid w:val="0F514D91"/>
    <w:rsid w:val="0F56503F"/>
    <w:rsid w:val="0F582B65"/>
    <w:rsid w:val="0F615EBD"/>
    <w:rsid w:val="0F655282"/>
    <w:rsid w:val="0F670FFA"/>
    <w:rsid w:val="0F67724C"/>
    <w:rsid w:val="0F694F51"/>
    <w:rsid w:val="0F707EAE"/>
    <w:rsid w:val="0F751969"/>
    <w:rsid w:val="0F7554C5"/>
    <w:rsid w:val="0F7756E1"/>
    <w:rsid w:val="0F7A0D2D"/>
    <w:rsid w:val="0F7A2ADB"/>
    <w:rsid w:val="0F7D6A6F"/>
    <w:rsid w:val="0F7F6343"/>
    <w:rsid w:val="0F824086"/>
    <w:rsid w:val="0F825E34"/>
    <w:rsid w:val="0F8676D2"/>
    <w:rsid w:val="0F87169C"/>
    <w:rsid w:val="0F8E1AAD"/>
    <w:rsid w:val="0F8E6586"/>
    <w:rsid w:val="0F9022FF"/>
    <w:rsid w:val="0F953DB9"/>
    <w:rsid w:val="0FA43FFC"/>
    <w:rsid w:val="0FA77648"/>
    <w:rsid w:val="0FA91612"/>
    <w:rsid w:val="0FA933C0"/>
    <w:rsid w:val="0FAE4E7B"/>
    <w:rsid w:val="0FAF605E"/>
    <w:rsid w:val="0FB35FED"/>
    <w:rsid w:val="0FB57FB7"/>
    <w:rsid w:val="0FB73D2F"/>
    <w:rsid w:val="0FB83603"/>
    <w:rsid w:val="0FBD6E6C"/>
    <w:rsid w:val="0FC1070A"/>
    <w:rsid w:val="0FC226D4"/>
    <w:rsid w:val="0FC87CEA"/>
    <w:rsid w:val="0FCD3553"/>
    <w:rsid w:val="0FD03043"/>
    <w:rsid w:val="0FD7617F"/>
    <w:rsid w:val="0FD97D81"/>
    <w:rsid w:val="0FDD12BC"/>
    <w:rsid w:val="0FDD306A"/>
    <w:rsid w:val="0FE91A0F"/>
    <w:rsid w:val="0FE97C61"/>
    <w:rsid w:val="0FEB1C2B"/>
    <w:rsid w:val="0FEB5787"/>
    <w:rsid w:val="0FEF171B"/>
    <w:rsid w:val="0FF06008"/>
    <w:rsid w:val="0FF46D31"/>
    <w:rsid w:val="0FF56606"/>
    <w:rsid w:val="0FF705D0"/>
    <w:rsid w:val="0FF87EA4"/>
    <w:rsid w:val="0FFC3E38"/>
    <w:rsid w:val="0FFE37BB"/>
    <w:rsid w:val="100625C1"/>
    <w:rsid w:val="10090303"/>
    <w:rsid w:val="100B407B"/>
    <w:rsid w:val="10150A56"/>
    <w:rsid w:val="10152804"/>
    <w:rsid w:val="101E5B5C"/>
    <w:rsid w:val="102869DB"/>
    <w:rsid w:val="102B64CB"/>
    <w:rsid w:val="102D2243"/>
    <w:rsid w:val="102D5D9F"/>
    <w:rsid w:val="1032785A"/>
    <w:rsid w:val="10345380"/>
    <w:rsid w:val="1034712E"/>
    <w:rsid w:val="10390BE8"/>
    <w:rsid w:val="103A670E"/>
    <w:rsid w:val="103B4960"/>
    <w:rsid w:val="10433815"/>
    <w:rsid w:val="1045133B"/>
    <w:rsid w:val="10463305"/>
    <w:rsid w:val="104B4477"/>
    <w:rsid w:val="104D01F0"/>
    <w:rsid w:val="105A46BB"/>
    <w:rsid w:val="105C48D7"/>
    <w:rsid w:val="105E23FD"/>
    <w:rsid w:val="10611EED"/>
    <w:rsid w:val="106519DD"/>
    <w:rsid w:val="106612B1"/>
    <w:rsid w:val="10690B0E"/>
    <w:rsid w:val="106B68C8"/>
    <w:rsid w:val="106D0892"/>
    <w:rsid w:val="10757B43"/>
    <w:rsid w:val="10771710"/>
    <w:rsid w:val="1077526D"/>
    <w:rsid w:val="107F0B8D"/>
    <w:rsid w:val="10833C11"/>
    <w:rsid w:val="10853E2D"/>
    <w:rsid w:val="10857989"/>
    <w:rsid w:val="10863702"/>
    <w:rsid w:val="10895071"/>
    <w:rsid w:val="108B1E21"/>
    <w:rsid w:val="108D683E"/>
    <w:rsid w:val="108E2244"/>
    <w:rsid w:val="108F0808"/>
    <w:rsid w:val="1090553E"/>
    <w:rsid w:val="109202F8"/>
    <w:rsid w:val="10953945"/>
    <w:rsid w:val="1097521A"/>
    <w:rsid w:val="10993435"/>
    <w:rsid w:val="10997B3A"/>
    <w:rsid w:val="109B2EEE"/>
    <w:rsid w:val="109E0A4B"/>
    <w:rsid w:val="10A5627E"/>
    <w:rsid w:val="10AD6EE0"/>
    <w:rsid w:val="10B04931"/>
    <w:rsid w:val="10B464C1"/>
    <w:rsid w:val="10B514AB"/>
    <w:rsid w:val="10B65D95"/>
    <w:rsid w:val="10BE10ED"/>
    <w:rsid w:val="10BE4C49"/>
    <w:rsid w:val="10C1473A"/>
    <w:rsid w:val="10C304B2"/>
    <w:rsid w:val="10C55FD8"/>
    <w:rsid w:val="10C81F6C"/>
    <w:rsid w:val="10CA1840"/>
    <w:rsid w:val="10D10E21"/>
    <w:rsid w:val="10D12BCF"/>
    <w:rsid w:val="10D34B99"/>
    <w:rsid w:val="10D426BF"/>
    <w:rsid w:val="10D64689"/>
    <w:rsid w:val="10D66437"/>
    <w:rsid w:val="10D6664C"/>
    <w:rsid w:val="10D95F27"/>
    <w:rsid w:val="10D97CD5"/>
    <w:rsid w:val="10ED3781"/>
    <w:rsid w:val="10F22B45"/>
    <w:rsid w:val="10F90377"/>
    <w:rsid w:val="10F945B7"/>
    <w:rsid w:val="10FB0136"/>
    <w:rsid w:val="10FD7E68"/>
    <w:rsid w:val="10FE14EA"/>
    <w:rsid w:val="10FE598E"/>
    <w:rsid w:val="11036B00"/>
    <w:rsid w:val="11050ACA"/>
    <w:rsid w:val="110B30B1"/>
    <w:rsid w:val="11131439"/>
    <w:rsid w:val="111411BF"/>
    <w:rsid w:val="11194576"/>
    <w:rsid w:val="111E1B8C"/>
    <w:rsid w:val="111F62D1"/>
    <w:rsid w:val="1122342A"/>
    <w:rsid w:val="112453F4"/>
    <w:rsid w:val="11276C93"/>
    <w:rsid w:val="112A0531"/>
    <w:rsid w:val="11366ED6"/>
    <w:rsid w:val="113B44EC"/>
    <w:rsid w:val="11407D54"/>
    <w:rsid w:val="1149458E"/>
    <w:rsid w:val="114C04A7"/>
    <w:rsid w:val="114F1D45"/>
    <w:rsid w:val="114F7F97"/>
    <w:rsid w:val="1152760B"/>
    <w:rsid w:val="11553800"/>
    <w:rsid w:val="11561326"/>
    <w:rsid w:val="11567578"/>
    <w:rsid w:val="11624B8C"/>
    <w:rsid w:val="116309A4"/>
    <w:rsid w:val="116577BB"/>
    <w:rsid w:val="11687684"/>
    <w:rsid w:val="116C0B49"/>
    <w:rsid w:val="1170063A"/>
    <w:rsid w:val="1173012A"/>
    <w:rsid w:val="117417AC"/>
    <w:rsid w:val="117479FE"/>
    <w:rsid w:val="117B0D8C"/>
    <w:rsid w:val="118045F5"/>
    <w:rsid w:val="1182036D"/>
    <w:rsid w:val="1182211B"/>
    <w:rsid w:val="11841112"/>
    <w:rsid w:val="11902A8A"/>
    <w:rsid w:val="11943BFC"/>
    <w:rsid w:val="11A31A3B"/>
    <w:rsid w:val="11A55E09"/>
    <w:rsid w:val="11A65F71"/>
    <w:rsid w:val="11A976A8"/>
    <w:rsid w:val="11AB1672"/>
    <w:rsid w:val="11AB78C4"/>
    <w:rsid w:val="11AE1162"/>
    <w:rsid w:val="11B61DC5"/>
    <w:rsid w:val="11B85B3D"/>
    <w:rsid w:val="11D84431"/>
    <w:rsid w:val="11DC3CC5"/>
    <w:rsid w:val="11E46932"/>
    <w:rsid w:val="11E64458"/>
    <w:rsid w:val="11E701D0"/>
    <w:rsid w:val="11E94041"/>
    <w:rsid w:val="11EC3A38"/>
    <w:rsid w:val="11ED1C8A"/>
    <w:rsid w:val="11EE2FAE"/>
    <w:rsid w:val="11F757A1"/>
    <w:rsid w:val="12046FD4"/>
    <w:rsid w:val="12080872"/>
    <w:rsid w:val="120B0362"/>
    <w:rsid w:val="120C50A7"/>
    <w:rsid w:val="120C7C36"/>
    <w:rsid w:val="120E7E53"/>
    <w:rsid w:val="121216F1"/>
    <w:rsid w:val="12135469"/>
    <w:rsid w:val="12170AB5"/>
    <w:rsid w:val="121C60CC"/>
    <w:rsid w:val="121D3BF2"/>
    <w:rsid w:val="122338FE"/>
    <w:rsid w:val="12274A70"/>
    <w:rsid w:val="122D02D9"/>
    <w:rsid w:val="122E4051"/>
    <w:rsid w:val="12301B77"/>
    <w:rsid w:val="1230601B"/>
    <w:rsid w:val="12333415"/>
    <w:rsid w:val="12380A2C"/>
    <w:rsid w:val="12394ECF"/>
    <w:rsid w:val="123B4946"/>
    <w:rsid w:val="1246139A"/>
    <w:rsid w:val="124675EC"/>
    <w:rsid w:val="12483364"/>
    <w:rsid w:val="124A70DD"/>
    <w:rsid w:val="124E024F"/>
    <w:rsid w:val="125A5FCE"/>
    <w:rsid w:val="125C6E10"/>
    <w:rsid w:val="125E4936"/>
    <w:rsid w:val="12631F4C"/>
    <w:rsid w:val="12655CC4"/>
    <w:rsid w:val="12665599"/>
    <w:rsid w:val="12681311"/>
    <w:rsid w:val="126D4B79"/>
    <w:rsid w:val="12706417"/>
    <w:rsid w:val="127557DC"/>
    <w:rsid w:val="127B4D3E"/>
    <w:rsid w:val="127E6D86"/>
    <w:rsid w:val="12865C3B"/>
    <w:rsid w:val="12887BC1"/>
    <w:rsid w:val="128A6AC3"/>
    <w:rsid w:val="128B14A3"/>
    <w:rsid w:val="128B4FFF"/>
    <w:rsid w:val="128C79CD"/>
    <w:rsid w:val="12940358"/>
    <w:rsid w:val="129640D0"/>
    <w:rsid w:val="12993BC0"/>
    <w:rsid w:val="129B16E6"/>
    <w:rsid w:val="129E11D6"/>
    <w:rsid w:val="129E2F84"/>
    <w:rsid w:val="12AF6F40"/>
    <w:rsid w:val="12B02AB5"/>
    <w:rsid w:val="12B207DE"/>
    <w:rsid w:val="12B427A8"/>
    <w:rsid w:val="12B75DF4"/>
    <w:rsid w:val="12D35525"/>
    <w:rsid w:val="12D55F11"/>
    <w:rsid w:val="12D746E8"/>
    <w:rsid w:val="12E27315"/>
    <w:rsid w:val="12E7492B"/>
    <w:rsid w:val="12EB1878"/>
    <w:rsid w:val="12EC0194"/>
    <w:rsid w:val="12EC1F42"/>
    <w:rsid w:val="12ED5CBA"/>
    <w:rsid w:val="12F069E1"/>
    <w:rsid w:val="12F47048"/>
    <w:rsid w:val="12F9465F"/>
    <w:rsid w:val="12FB03D7"/>
    <w:rsid w:val="12FB2185"/>
    <w:rsid w:val="12FD4C6A"/>
    <w:rsid w:val="130003A3"/>
    <w:rsid w:val="130152C1"/>
    <w:rsid w:val="130354DD"/>
    <w:rsid w:val="13076D7C"/>
    <w:rsid w:val="130F3E82"/>
    <w:rsid w:val="130F5C30"/>
    <w:rsid w:val="1312127D"/>
    <w:rsid w:val="131274CE"/>
    <w:rsid w:val="13135720"/>
    <w:rsid w:val="1315611C"/>
    <w:rsid w:val="13180F89"/>
    <w:rsid w:val="13182D37"/>
    <w:rsid w:val="1319085D"/>
    <w:rsid w:val="131B2827"/>
    <w:rsid w:val="13250FB0"/>
    <w:rsid w:val="13257202"/>
    <w:rsid w:val="13286C49"/>
    <w:rsid w:val="13287763"/>
    <w:rsid w:val="133438E9"/>
    <w:rsid w:val="13367661"/>
    <w:rsid w:val="133833D9"/>
    <w:rsid w:val="13385187"/>
    <w:rsid w:val="13386F35"/>
    <w:rsid w:val="13390EFF"/>
    <w:rsid w:val="133B07D3"/>
    <w:rsid w:val="133E5820"/>
    <w:rsid w:val="13451652"/>
    <w:rsid w:val="13491142"/>
    <w:rsid w:val="13497394"/>
    <w:rsid w:val="134A0A16"/>
    <w:rsid w:val="134A4EBA"/>
    <w:rsid w:val="134C29E0"/>
    <w:rsid w:val="134E49AB"/>
    <w:rsid w:val="134F0723"/>
    <w:rsid w:val="134F24D1"/>
    <w:rsid w:val="13511DA5"/>
    <w:rsid w:val="13525B1D"/>
    <w:rsid w:val="13533D6F"/>
    <w:rsid w:val="13547AE7"/>
    <w:rsid w:val="13581385"/>
    <w:rsid w:val="1360023A"/>
    <w:rsid w:val="13615BDA"/>
    <w:rsid w:val="13620456"/>
    <w:rsid w:val="136441CE"/>
    <w:rsid w:val="136A730B"/>
    <w:rsid w:val="136C3083"/>
    <w:rsid w:val="136C6BDF"/>
    <w:rsid w:val="13705615"/>
    <w:rsid w:val="137A57A0"/>
    <w:rsid w:val="137D0DEC"/>
    <w:rsid w:val="137E6912"/>
    <w:rsid w:val="138417CB"/>
    <w:rsid w:val="13854144"/>
    <w:rsid w:val="13871C6A"/>
    <w:rsid w:val="138F0B1F"/>
    <w:rsid w:val="138F7287"/>
    <w:rsid w:val="13906D71"/>
    <w:rsid w:val="13907FE6"/>
    <w:rsid w:val="139323BD"/>
    <w:rsid w:val="13942DFB"/>
    <w:rsid w:val="13954387"/>
    <w:rsid w:val="139A16DC"/>
    <w:rsid w:val="139F5206"/>
    <w:rsid w:val="13A22600"/>
    <w:rsid w:val="13A520F1"/>
    <w:rsid w:val="13A65E7C"/>
    <w:rsid w:val="13AC347F"/>
    <w:rsid w:val="13B01C0F"/>
    <w:rsid w:val="13B375ED"/>
    <w:rsid w:val="13B642FE"/>
    <w:rsid w:val="13BB1914"/>
    <w:rsid w:val="13BB36C2"/>
    <w:rsid w:val="13BB7B66"/>
    <w:rsid w:val="13BD568C"/>
    <w:rsid w:val="13C133CE"/>
    <w:rsid w:val="13C94031"/>
    <w:rsid w:val="13CB7DA9"/>
    <w:rsid w:val="13D1738A"/>
    <w:rsid w:val="13D44784"/>
    <w:rsid w:val="13D80718"/>
    <w:rsid w:val="13DA7FEC"/>
    <w:rsid w:val="13DB5B12"/>
    <w:rsid w:val="13E23345"/>
    <w:rsid w:val="13E50081"/>
    <w:rsid w:val="13E7095B"/>
    <w:rsid w:val="13E72709"/>
    <w:rsid w:val="13EC7D20"/>
    <w:rsid w:val="13FD017F"/>
    <w:rsid w:val="140908D1"/>
    <w:rsid w:val="140E7C96"/>
    <w:rsid w:val="141379A2"/>
    <w:rsid w:val="14151024"/>
    <w:rsid w:val="14157276"/>
    <w:rsid w:val="141A0400"/>
    <w:rsid w:val="141E5640"/>
    <w:rsid w:val="14292D22"/>
    <w:rsid w:val="142C2815"/>
    <w:rsid w:val="14313AB6"/>
    <w:rsid w:val="143811B7"/>
    <w:rsid w:val="143A6CDD"/>
    <w:rsid w:val="143F0797"/>
    <w:rsid w:val="14435AF4"/>
    <w:rsid w:val="1444190A"/>
    <w:rsid w:val="14467430"/>
    <w:rsid w:val="1448764C"/>
    <w:rsid w:val="144933C4"/>
    <w:rsid w:val="144B0EEA"/>
    <w:rsid w:val="144D4C62"/>
    <w:rsid w:val="14515DD5"/>
    <w:rsid w:val="14535FF1"/>
    <w:rsid w:val="14537D9F"/>
    <w:rsid w:val="1457788F"/>
    <w:rsid w:val="14583686"/>
    <w:rsid w:val="145A112D"/>
    <w:rsid w:val="145C30F7"/>
    <w:rsid w:val="145F6743"/>
    <w:rsid w:val="1461070D"/>
    <w:rsid w:val="146143A3"/>
    <w:rsid w:val="1468384A"/>
    <w:rsid w:val="146855F8"/>
    <w:rsid w:val="146D2C0E"/>
    <w:rsid w:val="147350C9"/>
    <w:rsid w:val="147541B9"/>
    <w:rsid w:val="14861F22"/>
    <w:rsid w:val="148B12E6"/>
    <w:rsid w:val="148B578A"/>
    <w:rsid w:val="148B7538"/>
    <w:rsid w:val="149C7998"/>
    <w:rsid w:val="149E54BE"/>
    <w:rsid w:val="149F2FE4"/>
    <w:rsid w:val="14B545B5"/>
    <w:rsid w:val="14BC1DE8"/>
    <w:rsid w:val="14BF5434"/>
    <w:rsid w:val="14C173FE"/>
    <w:rsid w:val="14C2077F"/>
    <w:rsid w:val="14C64A14"/>
    <w:rsid w:val="14CA0061"/>
    <w:rsid w:val="14CB202B"/>
    <w:rsid w:val="14CB3DD9"/>
    <w:rsid w:val="14CB5B87"/>
    <w:rsid w:val="14CF5677"/>
    <w:rsid w:val="14D56A06"/>
    <w:rsid w:val="14D94748"/>
    <w:rsid w:val="14E2520A"/>
    <w:rsid w:val="14E629C1"/>
    <w:rsid w:val="14E755EF"/>
    <w:rsid w:val="14E804E7"/>
    <w:rsid w:val="14E86739"/>
    <w:rsid w:val="14ED3D4F"/>
    <w:rsid w:val="14F055ED"/>
    <w:rsid w:val="14F3618F"/>
    <w:rsid w:val="14F43330"/>
    <w:rsid w:val="14F670A8"/>
    <w:rsid w:val="15032E84"/>
    <w:rsid w:val="15051099"/>
    <w:rsid w:val="1505553D"/>
    <w:rsid w:val="150572EB"/>
    <w:rsid w:val="15082937"/>
    <w:rsid w:val="150B2427"/>
    <w:rsid w:val="150D619F"/>
    <w:rsid w:val="150F0169"/>
    <w:rsid w:val="150F3CC6"/>
    <w:rsid w:val="151124B6"/>
    <w:rsid w:val="1517701E"/>
    <w:rsid w:val="151B4D60"/>
    <w:rsid w:val="151E65FF"/>
    <w:rsid w:val="15204125"/>
    <w:rsid w:val="15205ED3"/>
    <w:rsid w:val="15273705"/>
    <w:rsid w:val="15284D87"/>
    <w:rsid w:val="152A6D51"/>
    <w:rsid w:val="152F6116"/>
    <w:rsid w:val="153569AD"/>
    <w:rsid w:val="1537141C"/>
    <w:rsid w:val="1537146E"/>
    <w:rsid w:val="154047C7"/>
    <w:rsid w:val="15406575"/>
    <w:rsid w:val="1542409B"/>
    <w:rsid w:val="15461A98"/>
    <w:rsid w:val="154D0C92"/>
    <w:rsid w:val="155C3CBE"/>
    <w:rsid w:val="155E2E9F"/>
    <w:rsid w:val="15671D54"/>
    <w:rsid w:val="156758B0"/>
    <w:rsid w:val="156A1844"/>
    <w:rsid w:val="156C2EC6"/>
    <w:rsid w:val="157224A6"/>
    <w:rsid w:val="15763D45"/>
    <w:rsid w:val="157A6D9B"/>
    <w:rsid w:val="157D1577"/>
    <w:rsid w:val="158F3058"/>
    <w:rsid w:val="159B19FD"/>
    <w:rsid w:val="159C13C3"/>
    <w:rsid w:val="15A22D8C"/>
    <w:rsid w:val="15A66514"/>
    <w:rsid w:val="15AE34DE"/>
    <w:rsid w:val="15AF54A9"/>
    <w:rsid w:val="15B036FB"/>
    <w:rsid w:val="15B41FA8"/>
    <w:rsid w:val="15B4486D"/>
    <w:rsid w:val="15BA6327"/>
    <w:rsid w:val="15BD23A9"/>
    <w:rsid w:val="15C2342E"/>
    <w:rsid w:val="15C251DC"/>
    <w:rsid w:val="15C34AB0"/>
    <w:rsid w:val="15C42D02"/>
    <w:rsid w:val="15C727F2"/>
    <w:rsid w:val="15C745A0"/>
    <w:rsid w:val="15CD5AA9"/>
    <w:rsid w:val="15CE1DD3"/>
    <w:rsid w:val="15D46CBD"/>
    <w:rsid w:val="15D53161"/>
    <w:rsid w:val="15DB44F0"/>
    <w:rsid w:val="15DE5A3D"/>
    <w:rsid w:val="15DF5D8E"/>
    <w:rsid w:val="15E05662"/>
    <w:rsid w:val="15E213DA"/>
    <w:rsid w:val="15E46F00"/>
    <w:rsid w:val="15E518D3"/>
    <w:rsid w:val="15E97757"/>
    <w:rsid w:val="15EF3AF7"/>
    <w:rsid w:val="15F5735F"/>
    <w:rsid w:val="15F80BFE"/>
    <w:rsid w:val="15FB06EE"/>
    <w:rsid w:val="15FD6214"/>
    <w:rsid w:val="15FD7FC2"/>
    <w:rsid w:val="15FF01DE"/>
    <w:rsid w:val="15FF1F8C"/>
    <w:rsid w:val="15FF3D3A"/>
    <w:rsid w:val="16005D04"/>
    <w:rsid w:val="16007AB2"/>
    <w:rsid w:val="160752E5"/>
    <w:rsid w:val="160B6B83"/>
    <w:rsid w:val="16111CBF"/>
    <w:rsid w:val="16225C7A"/>
    <w:rsid w:val="16257519"/>
    <w:rsid w:val="162B20DB"/>
    <w:rsid w:val="162D2CD7"/>
    <w:rsid w:val="162E461F"/>
    <w:rsid w:val="1631176A"/>
    <w:rsid w:val="16327793"/>
    <w:rsid w:val="163345C6"/>
    <w:rsid w:val="16361726"/>
    <w:rsid w:val="163634D4"/>
    <w:rsid w:val="1637067E"/>
    <w:rsid w:val="1638549E"/>
    <w:rsid w:val="1638724C"/>
    <w:rsid w:val="163B0AEA"/>
    <w:rsid w:val="163D0D06"/>
    <w:rsid w:val="16421E79"/>
    <w:rsid w:val="16443E43"/>
    <w:rsid w:val="16465E0D"/>
    <w:rsid w:val="16473933"/>
    <w:rsid w:val="16491459"/>
    <w:rsid w:val="164E6A70"/>
    <w:rsid w:val="165D0C46"/>
    <w:rsid w:val="165D2399"/>
    <w:rsid w:val="165F6ECF"/>
    <w:rsid w:val="16640041"/>
    <w:rsid w:val="166636FC"/>
    <w:rsid w:val="16797F90"/>
    <w:rsid w:val="167A5AB7"/>
    <w:rsid w:val="167C182F"/>
    <w:rsid w:val="167C538B"/>
    <w:rsid w:val="167F131F"/>
    <w:rsid w:val="167F42A3"/>
    <w:rsid w:val="1683496B"/>
    <w:rsid w:val="16842491"/>
    <w:rsid w:val="1686445B"/>
    <w:rsid w:val="169052DA"/>
    <w:rsid w:val="16921052"/>
    <w:rsid w:val="16946B78"/>
    <w:rsid w:val="169721C5"/>
    <w:rsid w:val="169923E1"/>
    <w:rsid w:val="169A1CB5"/>
    <w:rsid w:val="16A13043"/>
    <w:rsid w:val="16A161AD"/>
    <w:rsid w:val="16A42B33"/>
    <w:rsid w:val="16A668AC"/>
    <w:rsid w:val="16A82624"/>
    <w:rsid w:val="16A918E4"/>
    <w:rsid w:val="16AA5B1D"/>
    <w:rsid w:val="16AA639C"/>
    <w:rsid w:val="16AD3796"/>
    <w:rsid w:val="16AD7C3A"/>
    <w:rsid w:val="16B03286"/>
    <w:rsid w:val="16B40FC8"/>
    <w:rsid w:val="16B72867"/>
    <w:rsid w:val="16B74615"/>
    <w:rsid w:val="16BA0495"/>
    <w:rsid w:val="16BC60CF"/>
    <w:rsid w:val="16BE56D5"/>
    <w:rsid w:val="16BF1736"/>
    <w:rsid w:val="16C32C88"/>
    <w:rsid w:val="16C32FBA"/>
    <w:rsid w:val="16C83F29"/>
    <w:rsid w:val="16CD398B"/>
    <w:rsid w:val="16CE195E"/>
    <w:rsid w:val="16CF7BB0"/>
    <w:rsid w:val="16D36F75"/>
    <w:rsid w:val="16D57191"/>
    <w:rsid w:val="16DA6555"/>
    <w:rsid w:val="16DE1BA1"/>
    <w:rsid w:val="16DE6045"/>
    <w:rsid w:val="16DE7DF3"/>
    <w:rsid w:val="16DF3B6C"/>
    <w:rsid w:val="16E01DBD"/>
    <w:rsid w:val="16E55626"/>
    <w:rsid w:val="16EA49EA"/>
    <w:rsid w:val="16F413C5"/>
    <w:rsid w:val="16F47617"/>
    <w:rsid w:val="16F70EB5"/>
    <w:rsid w:val="16F94C2D"/>
    <w:rsid w:val="170610F8"/>
    <w:rsid w:val="17081314"/>
    <w:rsid w:val="17084E70"/>
    <w:rsid w:val="170F61FF"/>
    <w:rsid w:val="17125CEF"/>
    <w:rsid w:val="17127A9D"/>
    <w:rsid w:val="17173305"/>
    <w:rsid w:val="171B2DF6"/>
    <w:rsid w:val="171C091C"/>
    <w:rsid w:val="171E28E6"/>
    <w:rsid w:val="17253C74"/>
    <w:rsid w:val="17285513"/>
    <w:rsid w:val="172A0249"/>
    <w:rsid w:val="172D0D7B"/>
    <w:rsid w:val="172F4AF3"/>
    <w:rsid w:val="173914CE"/>
    <w:rsid w:val="174165D4"/>
    <w:rsid w:val="17457E73"/>
    <w:rsid w:val="174822FD"/>
    <w:rsid w:val="17487963"/>
    <w:rsid w:val="174D4F79"/>
    <w:rsid w:val="174D6D27"/>
    <w:rsid w:val="174F2A9F"/>
    <w:rsid w:val="175B40AA"/>
    <w:rsid w:val="175B58E8"/>
    <w:rsid w:val="175D340E"/>
    <w:rsid w:val="175D6154"/>
    <w:rsid w:val="17606A5A"/>
    <w:rsid w:val="1763479D"/>
    <w:rsid w:val="176522C3"/>
    <w:rsid w:val="1767428D"/>
    <w:rsid w:val="17751A87"/>
    <w:rsid w:val="177644D0"/>
    <w:rsid w:val="17771FF6"/>
    <w:rsid w:val="177C55A8"/>
    <w:rsid w:val="17885FB1"/>
    <w:rsid w:val="17887D5F"/>
    <w:rsid w:val="17895171"/>
    <w:rsid w:val="178A3AD7"/>
    <w:rsid w:val="178C5AA1"/>
    <w:rsid w:val="178C784F"/>
    <w:rsid w:val="17946704"/>
    <w:rsid w:val="17964035"/>
    <w:rsid w:val="179B3F36"/>
    <w:rsid w:val="17A0154D"/>
    <w:rsid w:val="17A032FB"/>
    <w:rsid w:val="17B31065"/>
    <w:rsid w:val="17B648CC"/>
    <w:rsid w:val="17B80644"/>
    <w:rsid w:val="17BA0860"/>
    <w:rsid w:val="17BD20FF"/>
    <w:rsid w:val="17BD5C5B"/>
    <w:rsid w:val="17C23271"/>
    <w:rsid w:val="17C52D61"/>
    <w:rsid w:val="17C90AA4"/>
    <w:rsid w:val="17CC0594"/>
    <w:rsid w:val="17CE52A5"/>
    <w:rsid w:val="17E458DD"/>
    <w:rsid w:val="17E7717C"/>
    <w:rsid w:val="17E94CA2"/>
    <w:rsid w:val="17EA27C8"/>
    <w:rsid w:val="17EE22B8"/>
    <w:rsid w:val="17F04282"/>
    <w:rsid w:val="17F453F5"/>
    <w:rsid w:val="17F90C5D"/>
    <w:rsid w:val="17F92A0B"/>
    <w:rsid w:val="17FF6273"/>
    <w:rsid w:val="18001FEB"/>
    <w:rsid w:val="18023FB5"/>
    <w:rsid w:val="18027B12"/>
    <w:rsid w:val="18062254"/>
    <w:rsid w:val="1807337A"/>
    <w:rsid w:val="18075128"/>
    <w:rsid w:val="180C0521"/>
    <w:rsid w:val="180F222F"/>
    <w:rsid w:val="18115FA7"/>
    <w:rsid w:val="18167A61"/>
    <w:rsid w:val="181A30AD"/>
    <w:rsid w:val="181B6E25"/>
    <w:rsid w:val="18245CDA"/>
    <w:rsid w:val="182B52BA"/>
    <w:rsid w:val="182C4B8E"/>
    <w:rsid w:val="18300B23"/>
    <w:rsid w:val="183121A5"/>
    <w:rsid w:val="183323C1"/>
    <w:rsid w:val="183357E7"/>
    <w:rsid w:val="183B1275"/>
    <w:rsid w:val="183F2B14"/>
    <w:rsid w:val="18441ED8"/>
    <w:rsid w:val="184C5231"/>
    <w:rsid w:val="184E2D57"/>
    <w:rsid w:val="18512847"/>
    <w:rsid w:val="1853036D"/>
    <w:rsid w:val="18534811"/>
    <w:rsid w:val="18585984"/>
    <w:rsid w:val="185C07CF"/>
    <w:rsid w:val="1864257A"/>
    <w:rsid w:val="1867206B"/>
    <w:rsid w:val="186E51A7"/>
    <w:rsid w:val="18707171"/>
    <w:rsid w:val="187327BD"/>
    <w:rsid w:val="18756535"/>
    <w:rsid w:val="18770500"/>
    <w:rsid w:val="18784278"/>
    <w:rsid w:val="187D363C"/>
    <w:rsid w:val="187D53EA"/>
    <w:rsid w:val="187F1162"/>
    <w:rsid w:val="18807BC9"/>
    <w:rsid w:val="1881312C"/>
    <w:rsid w:val="188E3A9B"/>
    <w:rsid w:val="188E6B63"/>
    <w:rsid w:val="18910E95"/>
    <w:rsid w:val="189270E7"/>
    <w:rsid w:val="18972950"/>
    <w:rsid w:val="18982224"/>
    <w:rsid w:val="189A41EE"/>
    <w:rsid w:val="18A62B93"/>
    <w:rsid w:val="18A706B9"/>
    <w:rsid w:val="18A92683"/>
    <w:rsid w:val="18AB01A9"/>
    <w:rsid w:val="18AB29C3"/>
    <w:rsid w:val="18AB3315"/>
    <w:rsid w:val="18AB63FB"/>
    <w:rsid w:val="18AE1A47"/>
    <w:rsid w:val="18BD1C8B"/>
    <w:rsid w:val="18C1177B"/>
    <w:rsid w:val="18C13529"/>
    <w:rsid w:val="18C272A1"/>
    <w:rsid w:val="18C33745"/>
    <w:rsid w:val="18C37B0E"/>
    <w:rsid w:val="18C748B7"/>
    <w:rsid w:val="18C837EE"/>
    <w:rsid w:val="18C96881"/>
    <w:rsid w:val="18CE20EA"/>
    <w:rsid w:val="18D55226"/>
    <w:rsid w:val="18D771F0"/>
    <w:rsid w:val="18DC4807"/>
    <w:rsid w:val="18ED2570"/>
    <w:rsid w:val="18ED6A14"/>
    <w:rsid w:val="18EF5A71"/>
    <w:rsid w:val="18F002B2"/>
    <w:rsid w:val="18F2402A"/>
    <w:rsid w:val="18F41B50"/>
    <w:rsid w:val="18F558C8"/>
    <w:rsid w:val="18F90F15"/>
    <w:rsid w:val="18FC27B3"/>
    <w:rsid w:val="18FE477D"/>
    <w:rsid w:val="1901426D"/>
    <w:rsid w:val="19033B41"/>
    <w:rsid w:val="190B50EC"/>
    <w:rsid w:val="191044B0"/>
    <w:rsid w:val="19153875"/>
    <w:rsid w:val="19162632"/>
    <w:rsid w:val="19185113"/>
    <w:rsid w:val="19193365"/>
    <w:rsid w:val="191A70DD"/>
    <w:rsid w:val="191C0587"/>
    <w:rsid w:val="191C2E55"/>
    <w:rsid w:val="191E4E1F"/>
    <w:rsid w:val="191F64A1"/>
    <w:rsid w:val="19267830"/>
    <w:rsid w:val="192F0DDA"/>
    <w:rsid w:val="1934019F"/>
    <w:rsid w:val="193C52A5"/>
    <w:rsid w:val="193C7053"/>
    <w:rsid w:val="19406B43"/>
    <w:rsid w:val="1945415A"/>
    <w:rsid w:val="194D300E"/>
    <w:rsid w:val="195844C8"/>
    <w:rsid w:val="1963014B"/>
    <w:rsid w:val="19630A84"/>
    <w:rsid w:val="19632832"/>
    <w:rsid w:val="19662322"/>
    <w:rsid w:val="196842EC"/>
    <w:rsid w:val="196A3BC0"/>
    <w:rsid w:val="196F7429"/>
    <w:rsid w:val="1971594F"/>
    <w:rsid w:val="197E58BE"/>
    <w:rsid w:val="19831126"/>
    <w:rsid w:val="19834C82"/>
    <w:rsid w:val="198509FA"/>
    <w:rsid w:val="198804EA"/>
    <w:rsid w:val="198A4263"/>
    <w:rsid w:val="198C2317"/>
    <w:rsid w:val="199055BC"/>
    <w:rsid w:val="199155F1"/>
    <w:rsid w:val="19960E59"/>
    <w:rsid w:val="199926F8"/>
    <w:rsid w:val="199B6470"/>
    <w:rsid w:val="199E386A"/>
    <w:rsid w:val="199E7D0E"/>
    <w:rsid w:val="19A52E4A"/>
    <w:rsid w:val="19A846E9"/>
    <w:rsid w:val="19B27315"/>
    <w:rsid w:val="19B4308D"/>
    <w:rsid w:val="19B74A0B"/>
    <w:rsid w:val="19B80DD0"/>
    <w:rsid w:val="19B94B48"/>
    <w:rsid w:val="19C01A32"/>
    <w:rsid w:val="19C37774"/>
    <w:rsid w:val="19C534ED"/>
    <w:rsid w:val="19C5529B"/>
    <w:rsid w:val="19CA28B1"/>
    <w:rsid w:val="19D21766"/>
    <w:rsid w:val="19D379B8"/>
    <w:rsid w:val="19D43730"/>
    <w:rsid w:val="19D454DE"/>
    <w:rsid w:val="19D76D7C"/>
    <w:rsid w:val="19D84FCE"/>
    <w:rsid w:val="19DB2D10"/>
    <w:rsid w:val="19DD0836"/>
    <w:rsid w:val="19E25E4D"/>
    <w:rsid w:val="19E33973"/>
    <w:rsid w:val="19E716B5"/>
    <w:rsid w:val="19E73463"/>
    <w:rsid w:val="19EB39A0"/>
    <w:rsid w:val="19EF2318"/>
    <w:rsid w:val="19F142E2"/>
    <w:rsid w:val="19F3005A"/>
    <w:rsid w:val="19F33BB6"/>
    <w:rsid w:val="19FC0562"/>
    <w:rsid w:val="19FE255B"/>
    <w:rsid w:val="19FE5475"/>
    <w:rsid w:val="19FF69FF"/>
    <w:rsid w:val="1A037B71"/>
    <w:rsid w:val="1A045DC3"/>
    <w:rsid w:val="1A0538E9"/>
    <w:rsid w:val="1A0C2EC9"/>
    <w:rsid w:val="1A0F4768"/>
    <w:rsid w:val="1A1025AF"/>
    <w:rsid w:val="1A11228E"/>
    <w:rsid w:val="1A1B4EBB"/>
    <w:rsid w:val="1A200723"/>
    <w:rsid w:val="1A22449B"/>
    <w:rsid w:val="1A226249"/>
    <w:rsid w:val="1A246465"/>
    <w:rsid w:val="1A2A15A2"/>
    <w:rsid w:val="1A2B7B25"/>
    <w:rsid w:val="1A2F0B6F"/>
    <w:rsid w:val="1A310B82"/>
    <w:rsid w:val="1A3441CE"/>
    <w:rsid w:val="1A381F10"/>
    <w:rsid w:val="1A3A7615"/>
    <w:rsid w:val="1A3D12D5"/>
    <w:rsid w:val="1A3D3083"/>
    <w:rsid w:val="1A3F6DFB"/>
    <w:rsid w:val="1A424B3D"/>
    <w:rsid w:val="1A4C59BC"/>
    <w:rsid w:val="1A525246"/>
    <w:rsid w:val="1A5959E3"/>
    <w:rsid w:val="1A613215"/>
    <w:rsid w:val="1A672B43"/>
    <w:rsid w:val="1A6B5E42"/>
    <w:rsid w:val="1A705206"/>
    <w:rsid w:val="1A725422"/>
    <w:rsid w:val="1A74631B"/>
    <w:rsid w:val="1A766595"/>
    <w:rsid w:val="1A7A42D7"/>
    <w:rsid w:val="1A7D3DC7"/>
    <w:rsid w:val="1A7D5B75"/>
    <w:rsid w:val="1A7F1CED"/>
    <w:rsid w:val="1A8213DE"/>
    <w:rsid w:val="1A862C7C"/>
    <w:rsid w:val="1A8962C8"/>
    <w:rsid w:val="1A8E38DF"/>
    <w:rsid w:val="1A903AFB"/>
    <w:rsid w:val="1A91517D"/>
    <w:rsid w:val="1A9609E5"/>
    <w:rsid w:val="1A98610F"/>
    <w:rsid w:val="1A9A04D5"/>
    <w:rsid w:val="1A9F789A"/>
    <w:rsid w:val="1AA255DC"/>
    <w:rsid w:val="1AA43102"/>
    <w:rsid w:val="1AA44EB0"/>
    <w:rsid w:val="1AA94BBC"/>
    <w:rsid w:val="1AAC0209"/>
    <w:rsid w:val="1AAE3F81"/>
    <w:rsid w:val="1AB07CF9"/>
    <w:rsid w:val="1AB33345"/>
    <w:rsid w:val="1ABD2416"/>
    <w:rsid w:val="1AC45552"/>
    <w:rsid w:val="1AC83294"/>
    <w:rsid w:val="1ACB68E1"/>
    <w:rsid w:val="1ACC4407"/>
    <w:rsid w:val="1AD8226F"/>
    <w:rsid w:val="1AE300CE"/>
    <w:rsid w:val="1AEB0D31"/>
    <w:rsid w:val="1AEC6857"/>
    <w:rsid w:val="1AF04599"/>
    <w:rsid w:val="1AF44089"/>
    <w:rsid w:val="1AFA0F74"/>
    <w:rsid w:val="1B010554"/>
    <w:rsid w:val="1B0342CC"/>
    <w:rsid w:val="1B046FF5"/>
    <w:rsid w:val="1B0E67CD"/>
    <w:rsid w:val="1B0F0EC3"/>
    <w:rsid w:val="1B122762"/>
    <w:rsid w:val="1B140288"/>
    <w:rsid w:val="1B1C3980"/>
    <w:rsid w:val="1B1E2EB4"/>
    <w:rsid w:val="1B210BF7"/>
    <w:rsid w:val="1B2129A5"/>
    <w:rsid w:val="1B21651D"/>
    <w:rsid w:val="1B270062"/>
    <w:rsid w:val="1B28788F"/>
    <w:rsid w:val="1B293607"/>
    <w:rsid w:val="1B2D30F7"/>
    <w:rsid w:val="1B2F5837"/>
    <w:rsid w:val="1B3721C8"/>
    <w:rsid w:val="1B3A75C2"/>
    <w:rsid w:val="1B43291B"/>
    <w:rsid w:val="1B46240B"/>
    <w:rsid w:val="1B4D19EC"/>
    <w:rsid w:val="1B4F12C0"/>
    <w:rsid w:val="1B516A8C"/>
    <w:rsid w:val="1B520DB0"/>
    <w:rsid w:val="1B530684"/>
    <w:rsid w:val="1B541017"/>
    <w:rsid w:val="1B577D2D"/>
    <w:rsid w:val="1B59213E"/>
    <w:rsid w:val="1B593EEC"/>
    <w:rsid w:val="1B5C1C2F"/>
    <w:rsid w:val="1B66485B"/>
    <w:rsid w:val="1B682381"/>
    <w:rsid w:val="1B6A434C"/>
    <w:rsid w:val="1B6C00C4"/>
    <w:rsid w:val="1B7A403F"/>
    <w:rsid w:val="1B7C7BDB"/>
    <w:rsid w:val="1B824429"/>
    <w:rsid w:val="1B8401D9"/>
    <w:rsid w:val="1B860A5A"/>
    <w:rsid w:val="1B866CAC"/>
    <w:rsid w:val="1B8A054A"/>
    <w:rsid w:val="1B8A404B"/>
    <w:rsid w:val="1B8D1DE8"/>
    <w:rsid w:val="1B8F790E"/>
    <w:rsid w:val="1B9238A2"/>
    <w:rsid w:val="1B970EB9"/>
    <w:rsid w:val="1BA01B1B"/>
    <w:rsid w:val="1BA57132"/>
    <w:rsid w:val="1BA64C58"/>
    <w:rsid w:val="1BA80D15"/>
    <w:rsid w:val="1BAD4238"/>
    <w:rsid w:val="1BB13D28"/>
    <w:rsid w:val="1BB27AA1"/>
    <w:rsid w:val="1BB76E65"/>
    <w:rsid w:val="1BB90E2F"/>
    <w:rsid w:val="1BC05D1A"/>
    <w:rsid w:val="1BC25F36"/>
    <w:rsid w:val="1BC577D4"/>
    <w:rsid w:val="1BCB46BE"/>
    <w:rsid w:val="1BCD0437"/>
    <w:rsid w:val="1BCD48DA"/>
    <w:rsid w:val="1BD610B9"/>
    <w:rsid w:val="1BDB02E5"/>
    <w:rsid w:val="1BE340FE"/>
    <w:rsid w:val="1BE55780"/>
    <w:rsid w:val="1BE614F8"/>
    <w:rsid w:val="1BE84436"/>
    <w:rsid w:val="1BEA723A"/>
    <w:rsid w:val="1BEC4D61"/>
    <w:rsid w:val="1BEF055C"/>
    <w:rsid w:val="1BEF34AA"/>
    <w:rsid w:val="1BEF4851"/>
    <w:rsid w:val="1BF34341"/>
    <w:rsid w:val="1BF65BDF"/>
    <w:rsid w:val="1BF73705"/>
    <w:rsid w:val="1BF81957"/>
    <w:rsid w:val="1BFB4FA4"/>
    <w:rsid w:val="1BFD51C0"/>
    <w:rsid w:val="1C00080C"/>
    <w:rsid w:val="1C0025BA"/>
    <w:rsid w:val="1C0320AA"/>
    <w:rsid w:val="1C077DEC"/>
    <w:rsid w:val="1C0C5403"/>
    <w:rsid w:val="1C0E117B"/>
    <w:rsid w:val="1C136791"/>
    <w:rsid w:val="1C19367C"/>
    <w:rsid w:val="1C2A5889"/>
    <w:rsid w:val="1C2C33AF"/>
    <w:rsid w:val="1C2F4C4D"/>
    <w:rsid w:val="1C3404B6"/>
    <w:rsid w:val="1C4032FE"/>
    <w:rsid w:val="1C427076"/>
    <w:rsid w:val="1C446B02"/>
    <w:rsid w:val="1C450915"/>
    <w:rsid w:val="1C485D0F"/>
    <w:rsid w:val="1C4921B3"/>
    <w:rsid w:val="1C4D5336"/>
    <w:rsid w:val="1C542906"/>
    <w:rsid w:val="1C556DAA"/>
    <w:rsid w:val="1C5823F6"/>
    <w:rsid w:val="1C5B5A42"/>
    <w:rsid w:val="1C5F3784"/>
    <w:rsid w:val="1C672639"/>
    <w:rsid w:val="1C691F5E"/>
    <w:rsid w:val="1C6C7C4F"/>
    <w:rsid w:val="1C84143D"/>
    <w:rsid w:val="1C872CDB"/>
    <w:rsid w:val="1C901B90"/>
    <w:rsid w:val="1C915908"/>
    <w:rsid w:val="1C9A47BD"/>
    <w:rsid w:val="1C9B0535"/>
    <w:rsid w:val="1C9D4B3C"/>
    <w:rsid w:val="1C9F376E"/>
    <w:rsid w:val="1C9F6277"/>
    <w:rsid w:val="1CA05B4B"/>
    <w:rsid w:val="1CA23671"/>
    <w:rsid w:val="1CA76EDA"/>
    <w:rsid w:val="1CAD0994"/>
    <w:rsid w:val="1CB5684F"/>
    <w:rsid w:val="1CBC0BD7"/>
    <w:rsid w:val="1CC21F65"/>
    <w:rsid w:val="1CC34A66"/>
    <w:rsid w:val="1CC730D8"/>
    <w:rsid w:val="1CCC06EE"/>
    <w:rsid w:val="1CD001DE"/>
    <w:rsid w:val="1CD00E5B"/>
    <w:rsid w:val="1CD53A47"/>
    <w:rsid w:val="1CDD6D9F"/>
    <w:rsid w:val="1CDF6673"/>
    <w:rsid w:val="1CE870E1"/>
    <w:rsid w:val="1CEB5018"/>
    <w:rsid w:val="1CEE68B6"/>
    <w:rsid w:val="1CF06AD2"/>
    <w:rsid w:val="1CF86BD6"/>
    <w:rsid w:val="1CF928A3"/>
    <w:rsid w:val="1CF97361"/>
    <w:rsid w:val="1D0205B4"/>
    <w:rsid w:val="1D022362"/>
    <w:rsid w:val="1D036806"/>
    <w:rsid w:val="1D083E1C"/>
    <w:rsid w:val="1D085BCA"/>
    <w:rsid w:val="1D0B56BA"/>
    <w:rsid w:val="1D1A3B4F"/>
    <w:rsid w:val="1D1D0F4A"/>
    <w:rsid w:val="1D1D719C"/>
    <w:rsid w:val="1D305121"/>
    <w:rsid w:val="1D306ECF"/>
    <w:rsid w:val="1D352737"/>
    <w:rsid w:val="1D3544E5"/>
    <w:rsid w:val="1D3764AF"/>
    <w:rsid w:val="1D383FD6"/>
    <w:rsid w:val="1D3C5874"/>
    <w:rsid w:val="1D3E15EC"/>
    <w:rsid w:val="1D41732E"/>
    <w:rsid w:val="1D434E54"/>
    <w:rsid w:val="1D4604A0"/>
    <w:rsid w:val="1D4961E3"/>
    <w:rsid w:val="1D4B3D09"/>
    <w:rsid w:val="1D4D4C12"/>
    <w:rsid w:val="1D4D5CD3"/>
    <w:rsid w:val="1D4E55A7"/>
    <w:rsid w:val="1D525097"/>
    <w:rsid w:val="1D532BBD"/>
    <w:rsid w:val="1D5726AE"/>
    <w:rsid w:val="1D57445C"/>
    <w:rsid w:val="1D61352C"/>
    <w:rsid w:val="1D6628F1"/>
    <w:rsid w:val="1D6F3E9B"/>
    <w:rsid w:val="1D743260"/>
    <w:rsid w:val="1D74500E"/>
    <w:rsid w:val="1D752B34"/>
    <w:rsid w:val="1D7C3EC2"/>
    <w:rsid w:val="1D7E5E8C"/>
    <w:rsid w:val="1D7F1C04"/>
    <w:rsid w:val="1D7F39B2"/>
    <w:rsid w:val="1D8334A3"/>
    <w:rsid w:val="1D8611E5"/>
    <w:rsid w:val="1D8617BC"/>
    <w:rsid w:val="1D882867"/>
    <w:rsid w:val="1D8F1E47"/>
    <w:rsid w:val="1D927B8A"/>
    <w:rsid w:val="1D9C6312"/>
    <w:rsid w:val="1D9E652E"/>
    <w:rsid w:val="1D9E7C25"/>
    <w:rsid w:val="1DA022A7"/>
    <w:rsid w:val="1DA376A1"/>
    <w:rsid w:val="1DA653E3"/>
    <w:rsid w:val="1DAA2EFB"/>
    <w:rsid w:val="1DAB29F9"/>
    <w:rsid w:val="1DAD0520"/>
    <w:rsid w:val="1DAF1020"/>
    <w:rsid w:val="1DB01DBE"/>
    <w:rsid w:val="1DB55626"/>
    <w:rsid w:val="1DB95116"/>
    <w:rsid w:val="1DBC69B5"/>
    <w:rsid w:val="1DBF1060"/>
    <w:rsid w:val="1DC1221D"/>
    <w:rsid w:val="1DC31AF1"/>
    <w:rsid w:val="1DC738B3"/>
    <w:rsid w:val="1DC85359"/>
    <w:rsid w:val="1DCC309C"/>
    <w:rsid w:val="1DCD0BC2"/>
    <w:rsid w:val="1DCD642E"/>
    <w:rsid w:val="1DCF66E8"/>
    <w:rsid w:val="1DD43CFE"/>
    <w:rsid w:val="1DD957B9"/>
    <w:rsid w:val="1DDC2BB3"/>
    <w:rsid w:val="1DDC7057"/>
    <w:rsid w:val="1DE008F5"/>
    <w:rsid w:val="1DE57CB9"/>
    <w:rsid w:val="1DE63A32"/>
    <w:rsid w:val="1DE657E0"/>
    <w:rsid w:val="1DEA52D0"/>
    <w:rsid w:val="1DEF28E6"/>
    <w:rsid w:val="1DF31440"/>
    <w:rsid w:val="1DF60118"/>
    <w:rsid w:val="1DF919B7"/>
    <w:rsid w:val="1DF95513"/>
    <w:rsid w:val="1E002D45"/>
    <w:rsid w:val="1E05035C"/>
    <w:rsid w:val="1E087E4C"/>
    <w:rsid w:val="1E096290"/>
    <w:rsid w:val="1E0D5462"/>
    <w:rsid w:val="1E18008F"/>
    <w:rsid w:val="1E1862E1"/>
    <w:rsid w:val="1E197963"/>
    <w:rsid w:val="1E1D38F7"/>
    <w:rsid w:val="1E200CF1"/>
    <w:rsid w:val="1E28404A"/>
    <w:rsid w:val="1E2F362A"/>
    <w:rsid w:val="1E3173A3"/>
    <w:rsid w:val="1E320A25"/>
    <w:rsid w:val="1E340C41"/>
    <w:rsid w:val="1E34479D"/>
    <w:rsid w:val="1E3B3D7D"/>
    <w:rsid w:val="1E3E73CA"/>
    <w:rsid w:val="1E3F784A"/>
    <w:rsid w:val="1E401394"/>
    <w:rsid w:val="1E432C32"/>
    <w:rsid w:val="1E4744D0"/>
    <w:rsid w:val="1E480248"/>
    <w:rsid w:val="1E4F15D7"/>
    <w:rsid w:val="1E4F5B04"/>
    <w:rsid w:val="1E566E09"/>
    <w:rsid w:val="1E5A78AE"/>
    <w:rsid w:val="1E5D3CF4"/>
    <w:rsid w:val="1E5F445F"/>
    <w:rsid w:val="1E601A36"/>
    <w:rsid w:val="1E6058EF"/>
    <w:rsid w:val="1E635082"/>
    <w:rsid w:val="1E682698"/>
    <w:rsid w:val="1E6F3A27"/>
    <w:rsid w:val="1E70316B"/>
    <w:rsid w:val="1E7948A6"/>
    <w:rsid w:val="1E7D7EF2"/>
    <w:rsid w:val="1E85324A"/>
    <w:rsid w:val="1E870D71"/>
    <w:rsid w:val="1E875215"/>
    <w:rsid w:val="1E935967"/>
    <w:rsid w:val="1E94348E"/>
    <w:rsid w:val="1E9B481C"/>
    <w:rsid w:val="1E9D4401"/>
    <w:rsid w:val="1EA01E32"/>
    <w:rsid w:val="1EA2204E"/>
    <w:rsid w:val="1EA71413"/>
    <w:rsid w:val="1EAC07D7"/>
    <w:rsid w:val="1EAE09F3"/>
    <w:rsid w:val="1EAE454F"/>
    <w:rsid w:val="1EB1403F"/>
    <w:rsid w:val="1EB15DEE"/>
    <w:rsid w:val="1EB4768C"/>
    <w:rsid w:val="1EB53B30"/>
    <w:rsid w:val="1EB678A8"/>
    <w:rsid w:val="1EB92499"/>
    <w:rsid w:val="1EBA1146"/>
    <w:rsid w:val="1EBC3110"/>
    <w:rsid w:val="1EBD4792"/>
    <w:rsid w:val="1EBF3B9B"/>
    <w:rsid w:val="1EC21DA9"/>
    <w:rsid w:val="1EC27FFB"/>
    <w:rsid w:val="1EC41FC5"/>
    <w:rsid w:val="1EC701A5"/>
    <w:rsid w:val="1ECE2E43"/>
    <w:rsid w:val="1ED16490"/>
    <w:rsid w:val="1ED33FB6"/>
    <w:rsid w:val="1ED85A70"/>
    <w:rsid w:val="1EDA3596"/>
    <w:rsid w:val="1EDF0BAD"/>
    <w:rsid w:val="1EDF295B"/>
    <w:rsid w:val="1EE2069D"/>
    <w:rsid w:val="1EEE7042"/>
    <w:rsid w:val="1EF26B32"/>
    <w:rsid w:val="1EF36406"/>
    <w:rsid w:val="1EFA3C38"/>
    <w:rsid w:val="1EFA7794"/>
    <w:rsid w:val="1EFC175F"/>
    <w:rsid w:val="1F000011"/>
    <w:rsid w:val="1F0445E1"/>
    <w:rsid w:val="1F066139"/>
    <w:rsid w:val="1F0B7BF4"/>
    <w:rsid w:val="1F0C1276"/>
    <w:rsid w:val="1F0C74C8"/>
    <w:rsid w:val="1F0D396C"/>
    <w:rsid w:val="1F0E4FEE"/>
    <w:rsid w:val="1F185E6D"/>
    <w:rsid w:val="1F25008A"/>
    <w:rsid w:val="1F26058A"/>
    <w:rsid w:val="1F282554"/>
    <w:rsid w:val="1F314482"/>
    <w:rsid w:val="1F316F2E"/>
    <w:rsid w:val="1F382D20"/>
    <w:rsid w:val="1F3F33F9"/>
    <w:rsid w:val="1F417171"/>
    <w:rsid w:val="1F43738D"/>
    <w:rsid w:val="1F446C62"/>
    <w:rsid w:val="1F4B71D4"/>
    <w:rsid w:val="1F4C5B16"/>
    <w:rsid w:val="1F4F6990"/>
    <w:rsid w:val="1F5071EE"/>
    <w:rsid w:val="1F552C1D"/>
    <w:rsid w:val="1F5642FC"/>
    <w:rsid w:val="1F572E39"/>
    <w:rsid w:val="1F574BE7"/>
    <w:rsid w:val="1F5D7D23"/>
    <w:rsid w:val="1F5F584A"/>
    <w:rsid w:val="1F666BD8"/>
    <w:rsid w:val="1F6C10DE"/>
    <w:rsid w:val="1F6E1F30"/>
    <w:rsid w:val="1F7E03C6"/>
    <w:rsid w:val="1F7F5EEC"/>
    <w:rsid w:val="1F817EB6"/>
    <w:rsid w:val="1F83778A"/>
    <w:rsid w:val="1F843502"/>
    <w:rsid w:val="1F871E12"/>
    <w:rsid w:val="1F884DA0"/>
    <w:rsid w:val="1F8A4FBC"/>
    <w:rsid w:val="1F8B663F"/>
    <w:rsid w:val="1F903C55"/>
    <w:rsid w:val="1F947BE9"/>
    <w:rsid w:val="1F9A2D26"/>
    <w:rsid w:val="1F9D22B5"/>
    <w:rsid w:val="1FAA740D"/>
    <w:rsid w:val="1FAD4807"/>
    <w:rsid w:val="1FB2006F"/>
    <w:rsid w:val="1FB223E3"/>
    <w:rsid w:val="1FB57B5F"/>
    <w:rsid w:val="1FB81613"/>
    <w:rsid w:val="1FB913FE"/>
    <w:rsid w:val="1FBA6F24"/>
    <w:rsid w:val="1FBC0EEE"/>
    <w:rsid w:val="1FBC4A4A"/>
    <w:rsid w:val="1FC16504"/>
    <w:rsid w:val="1FC73083"/>
    <w:rsid w:val="1FC85AE5"/>
    <w:rsid w:val="1FCA53B9"/>
    <w:rsid w:val="1FCB7383"/>
    <w:rsid w:val="1FCF29CF"/>
    <w:rsid w:val="1FCF4ADF"/>
    <w:rsid w:val="1FCF6E73"/>
    <w:rsid w:val="1FD47FE6"/>
    <w:rsid w:val="1FDD7221"/>
    <w:rsid w:val="1FDE0E64"/>
    <w:rsid w:val="1FE81CE3"/>
    <w:rsid w:val="1FE8583F"/>
    <w:rsid w:val="1FE87F35"/>
    <w:rsid w:val="1FF57F5C"/>
    <w:rsid w:val="1FF71F26"/>
    <w:rsid w:val="1FFB1A16"/>
    <w:rsid w:val="1FFC753C"/>
    <w:rsid w:val="1FFE1506"/>
    <w:rsid w:val="2000527E"/>
    <w:rsid w:val="20012DA5"/>
    <w:rsid w:val="20020FF7"/>
    <w:rsid w:val="20052895"/>
    <w:rsid w:val="200F54C2"/>
    <w:rsid w:val="201E74B3"/>
    <w:rsid w:val="20256A93"/>
    <w:rsid w:val="20280331"/>
    <w:rsid w:val="202F346E"/>
    <w:rsid w:val="20322F5E"/>
    <w:rsid w:val="20344F28"/>
    <w:rsid w:val="203B62B7"/>
    <w:rsid w:val="203C3DDD"/>
    <w:rsid w:val="203E1903"/>
    <w:rsid w:val="20436F19"/>
    <w:rsid w:val="20482782"/>
    <w:rsid w:val="20484530"/>
    <w:rsid w:val="20491AFF"/>
    <w:rsid w:val="204A02A8"/>
    <w:rsid w:val="204A64FA"/>
    <w:rsid w:val="20506E01"/>
    <w:rsid w:val="20547378"/>
    <w:rsid w:val="20566C4C"/>
    <w:rsid w:val="205729C5"/>
    <w:rsid w:val="205D447F"/>
    <w:rsid w:val="205E1FA5"/>
    <w:rsid w:val="206C3758"/>
    <w:rsid w:val="207D68CF"/>
    <w:rsid w:val="207D700B"/>
    <w:rsid w:val="2080016D"/>
    <w:rsid w:val="20801F1B"/>
    <w:rsid w:val="20821C90"/>
    <w:rsid w:val="20823EE5"/>
    <w:rsid w:val="208337BA"/>
    <w:rsid w:val="208539D6"/>
    <w:rsid w:val="208C6B12"/>
    <w:rsid w:val="20955535"/>
    <w:rsid w:val="20967991"/>
    <w:rsid w:val="20987265"/>
    <w:rsid w:val="209B6D55"/>
    <w:rsid w:val="209E23A2"/>
    <w:rsid w:val="20A200E4"/>
    <w:rsid w:val="20A630D0"/>
    <w:rsid w:val="20A756FA"/>
    <w:rsid w:val="20A91472"/>
    <w:rsid w:val="20AE4CDA"/>
    <w:rsid w:val="20AE6A88"/>
    <w:rsid w:val="20B120D5"/>
    <w:rsid w:val="20B9542D"/>
    <w:rsid w:val="20BD4F1E"/>
    <w:rsid w:val="20BE2A44"/>
    <w:rsid w:val="20C242E2"/>
    <w:rsid w:val="20C444FE"/>
    <w:rsid w:val="20C52024"/>
    <w:rsid w:val="20CA3197"/>
    <w:rsid w:val="20CA763A"/>
    <w:rsid w:val="20D300A8"/>
    <w:rsid w:val="20D52267"/>
    <w:rsid w:val="20D65FDF"/>
    <w:rsid w:val="20D90C8E"/>
    <w:rsid w:val="20D9162C"/>
    <w:rsid w:val="20DB35F6"/>
    <w:rsid w:val="20DB50F9"/>
    <w:rsid w:val="20E64474"/>
    <w:rsid w:val="20F35F51"/>
    <w:rsid w:val="21052421"/>
    <w:rsid w:val="21076199"/>
    <w:rsid w:val="210963B5"/>
    <w:rsid w:val="21110DC5"/>
    <w:rsid w:val="211612EB"/>
    <w:rsid w:val="2118067F"/>
    <w:rsid w:val="211C7E96"/>
    <w:rsid w:val="21222FD3"/>
    <w:rsid w:val="21294361"/>
    <w:rsid w:val="212C3E51"/>
    <w:rsid w:val="212E7BC9"/>
    <w:rsid w:val="21313216"/>
    <w:rsid w:val="213276BA"/>
    <w:rsid w:val="21366A7E"/>
    <w:rsid w:val="213D2CB5"/>
    <w:rsid w:val="213F5933"/>
    <w:rsid w:val="214116AB"/>
    <w:rsid w:val="21425423"/>
    <w:rsid w:val="21442F49"/>
    <w:rsid w:val="21463165"/>
    <w:rsid w:val="21472A39"/>
    <w:rsid w:val="214E5B76"/>
    <w:rsid w:val="21562C7C"/>
    <w:rsid w:val="21582E98"/>
    <w:rsid w:val="215869F4"/>
    <w:rsid w:val="215A276C"/>
    <w:rsid w:val="215C64E4"/>
    <w:rsid w:val="216D06F2"/>
    <w:rsid w:val="21723F5A"/>
    <w:rsid w:val="21725ECC"/>
    <w:rsid w:val="217355DC"/>
    <w:rsid w:val="21747CD2"/>
    <w:rsid w:val="21774C7C"/>
    <w:rsid w:val="217750CC"/>
    <w:rsid w:val="21786F46"/>
    <w:rsid w:val="21787096"/>
    <w:rsid w:val="21815F4B"/>
    <w:rsid w:val="21867A05"/>
    <w:rsid w:val="21867BCC"/>
    <w:rsid w:val="218912A4"/>
    <w:rsid w:val="21894E00"/>
    <w:rsid w:val="21920158"/>
    <w:rsid w:val="21933ED0"/>
    <w:rsid w:val="21937A2C"/>
    <w:rsid w:val="21944E85"/>
    <w:rsid w:val="219537A4"/>
    <w:rsid w:val="219A700D"/>
    <w:rsid w:val="219B3270"/>
    <w:rsid w:val="219C3981"/>
    <w:rsid w:val="21A47E8B"/>
    <w:rsid w:val="21A63C04"/>
    <w:rsid w:val="21A734D8"/>
    <w:rsid w:val="21AB2FC8"/>
    <w:rsid w:val="21AB746C"/>
    <w:rsid w:val="21AD0AEE"/>
    <w:rsid w:val="21B26104"/>
    <w:rsid w:val="21B87493"/>
    <w:rsid w:val="21BA320B"/>
    <w:rsid w:val="21BB3337"/>
    <w:rsid w:val="21BC3427"/>
    <w:rsid w:val="21BC592B"/>
    <w:rsid w:val="21BC6F83"/>
    <w:rsid w:val="21C127EB"/>
    <w:rsid w:val="21C57800"/>
    <w:rsid w:val="21C66054"/>
    <w:rsid w:val="21CB18BC"/>
    <w:rsid w:val="21D00C81"/>
    <w:rsid w:val="21D20555"/>
    <w:rsid w:val="21DE15EF"/>
    <w:rsid w:val="21DE514B"/>
    <w:rsid w:val="21DF0EC4"/>
    <w:rsid w:val="21E07116"/>
    <w:rsid w:val="21E32762"/>
    <w:rsid w:val="21E5472C"/>
    <w:rsid w:val="21E604A4"/>
    <w:rsid w:val="21E8421C"/>
    <w:rsid w:val="21EA1D42"/>
    <w:rsid w:val="21EA7F94"/>
    <w:rsid w:val="21F11323"/>
    <w:rsid w:val="21F26E49"/>
    <w:rsid w:val="21FA5CFD"/>
    <w:rsid w:val="21FC1A76"/>
    <w:rsid w:val="21FE57EE"/>
    <w:rsid w:val="220529E0"/>
    <w:rsid w:val="220628F4"/>
    <w:rsid w:val="220821C8"/>
    <w:rsid w:val="220E51D3"/>
    <w:rsid w:val="22121299"/>
    <w:rsid w:val="22124DF5"/>
    <w:rsid w:val="221779C6"/>
    <w:rsid w:val="22196184"/>
    <w:rsid w:val="222039B6"/>
    <w:rsid w:val="22235254"/>
    <w:rsid w:val="22250FCC"/>
    <w:rsid w:val="2228286B"/>
    <w:rsid w:val="222B5EB7"/>
    <w:rsid w:val="222F1E4B"/>
    <w:rsid w:val="22325497"/>
    <w:rsid w:val="22394A78"/>
    <w:rsid w:val="223C00C4"/>
    <w:rsid w:val="22421B7E"/>
    <w:rsid w:val="224551CB"/>
    <w:rsid w:val="22456F79"/>
    <w:rsid w:val="22471CDD"/>
    <w:rsid w:val="22475AC6"/>
    <w:rsid w:val="22486A69"/>
    <w:rsid w:val="22511DC1"/>
    <w:rsid w:val="22521696"/>
    <w:rsid w:val="22561186"/>
    <w:rsid w:val="22573150"/>
    <w:rsid w:val="22574EFE"/>
    <w:rsid w:val="22592A24"/>
    <w:rsid w:val="225C2514"/>
    <w:rsid w:val="22623FCE"/>
    <w:rsid w:val="2264488C"/>
    <w:rsid w:val="2268710B"/>
    <w:rsid w:val="226A69DF"/>
    <w:rsid w:val="226D4721"/>
    <w:rsid w:val="22721D38"/>
    <w:rsid w:val="22732EF1"/>
    <w:rsid w:val="22737F8A"/>
    <w:rsid w:val="227C6712"/>
    <w:rsid w:val="228710B6"/>
    <w:rsid w:val="22877591"/>
    <w:rsid w:val="228F28EA"/>
    <w:rsid w:val="229323DA"/>
    <w:rsid w:val="229677D4"/>
    <w:rsid w:val="22A243CB"/>
    <w:rsid w:val="22A87507"/>
    <w:rsid w:val="22AA7723"/>
    <w:rsid w:val="22AF0896"/>
    <w:rsid w:val="22B83BEE"/>
    <w:rsid w:val="22C32593"/>
    <w:rsid w:val="22C5630B"/>
    <w:rsid w:val="22C81119"/>
    <w:rsid w:val="22D24584"/>
    <w:rsid w:val="22D447A0"/>
    <w:rsid w:val="22D8603F"/>
    <w:rsid w:val="22DA352E"/>
    <w:rsid w:val="22DB5B2F"/>
    <w:rsid w:val="22DE117B"/>
    <w:rsid w:val="22E42C35"/>
    <w:rsid w:val="22EE5862"/>
    <w:rsid w:val="22F4274D"/>
    <w:rsid w:val="22F45565"/>
    <w:rsid w:val="22F8223D"/>
    <w:rsid w:val="22F83FEB"/>
    <w:rsid w:val="22FB3ADB"/>
    <w:rsid w:val="22FF7A6F"/>
    <w:rsid w:val="23007343"/>
    <w:rsid w:val="230C282D"/>
    <w:rsid w:val="23111551"/>
    <w:rsid w:val="231132FF"/>
    <w:rsid w:val="23144B4F"/>
    <w:rsid w:val="23144B9D"/>
    <w:rsid w:val="23151418"/>
    <w:rsid w:val="231F5A1C"/>
    <w:rsid w:val="232272BA"/>
    <w:rsid w:val="23241284"/>
    <w:rsid w:val="23294AEC"/>
    <w:rsid w:val="232958E5"/>
    <w:rsid w:val="2329689A"/>
    <w:rsid w:val="23333275"/>
    <w:rsid w:val="23377209"/>
    <w:rsid w:val="233B037C"/>
    <w:rsid w:val="233D2346"/>
    <w:rsid w:val="233E667B"/>
    <w:rsid w:val="233F1C1A"/>
    <w:rsid w:val="233F4233"/>
    <w:rsid w:val="233F60BE"/>
    <w:rsid w:val="234372D9"/>
    <w:rsid w:val="23492A98"/>
    <w:rsid w:val="234C2589"/>
    <w:rsid w:val="234D6080"/>
    <w:rsid w:val="234F5BD5"/>
    <w:rsid w:val="2358717F"/>
    <w:rsid w:val="235B7D44"/>
    <w:rsid w:val="235D4796"/>
    <w:rsid w:val="23614286"/>
    <w:rsid w:val="23675615"/>
    <w:rsid w:val="2369138D"/>
    <w:rsid w:val="23694EE9"/>
    <w:rsid w:val="236C49D9"/>
    <w:rsid w:val="236C6787"/>
    <w:rsid w:val="237044C9"/>
    <w:rsid w:val="23711FEF"/>
    <w:rsid w:val="237A0EA4"/>
    <w:rsid w:val="237C10C0"/>
    <w:rsid w:val="238735C1"/>
    <w:rsid w:val="239006C7"/>
    <w:rsid w:val="23963804"/>
    <w:rsid w:val="23977CA8"/>
    <w:rsid w:val="239C5C07"/>
    <w:rsid w:val="239F090A"/>
    <w:rsid w:val="23A44173"/>
    <w:rsid w:val="23A5755D"/>
    <w:rsid w:val="23A6613D"/>
    <w:rsid w:val="23B00850"/>
    <w:rsid w:val="23B02B18"/>
    <w:rsid w:val="23BC14BC"/>
    <w:rsid w:val="23BF2D5B"/>
    <w:rsid w:val="23C6058D"/>
    <w:rsid w:val="23CC1035"/>
    <w:rsid w:val="23CD191B"/>
    <w:rsid w:val="23D06D16"/>
    <w:rsid w:val="23D26F32"/>
    <w:rsid w:val="23D34A58"/>
    <w:rsid w:val="23DA1943"/>
    <w:rsid w:val="23DA7B95"/>
    <w:rsid w:val="23E02EAB"/>
    <w:rsid w:val="23E32EED"/>
    <w:rsid w:val="23E80503"/>
    <w:rsid w:val="23EB3B50"/>
    <w:rsid w:val="23ED1676"/>
    <w:rsid w:val="23ED5B1A"/>
    <w:rsid w:val="23F31321"/>
    <w:rsid w:val="23F32A04"/>
    <w:rsid w:val="23FA0237"/>
    <w:rsid w:val="240A49D7"/>
    <w:rsid w:val="240D3AC6"/>
    <w:rsid w:val="240D4A99"/>
    <w:rsid w:val="241237D2"/>
    <w:rsid w:val="24125580"/>
    <w:rsid w:val="24155071"/>
    <w:rsid w:val="24156E1F"/>
    <w:rsid w:val="24172B97"/>
    <w:rsid w:val="24174945"/>
    <w:rsid w:val="2418246B"/>
    <w:rsid w:val="241A2687"/>
    <w:rsid w:val="241C1F5B"/>
    <w:rsid w:val="24213A15"/>
    <w:rsid w:val="24286B52"/>
    <w:rsid w:val="242B4894"/>
    <w:rsid w:val="242D4168"/>
    <w:rsid w:val="24323971"/>
    <w:rsid w:val="24343749"/>
    <w:rsid w:val="2435126F"/>
    <w:rsid w:val="24390D5F"/>
    <w:rsid w:val="243948BB"/>
    <w:rsid w:val="243B4AD7"/>
    <w:rsid w:val="243C25FD"/>
    <w:rsid w:val="244871F4"/>
    <w:rsid w:val="244D0366"/>
    <w:rsid w:val="24535D9D"/>
    <w:rsid w:val="24547947"/>
    <w:rsid w:val="2455546D"/>
    <w:rsid w:val="245711E5"/>
    <w:rsid w:val="245C2C9F"/>
    <w:rsid w:val="245F12E5"/>
    <w:rsid w:val="246062EC"/>
    <w:rsid w:val="246456B0"/>
    <w:rsid w:val="246833F2"/>
    <w:rsid w:val="246B4C91"/>
    <w:rsid w:val="24704055"/>
    <w:rsid w:val="247C6E9E"/>
    <w:rsid w:val="248024EA"/>
    <w:rsid w:val="2483022C"/>
    <w:rsid w:val="24831FDA"/>
    <w:rsid w:val="24864E85"/>
    <w:rsid w:val="249146F7"/>
    <w:rsid w:val="24945F95"/>
    <w:rsid w:val="2496085A"/>
    <w:rsid w:val="24967F5F"/>
    <w:rsid w:val="2499498C"/>
    <w:rsid w:val="24997A50"/>
    <w:rsid w:val="249B7324"/>
    <w:rsid w:val="249D12EE"/>
    <w:rsid w:val="249D7540"/>
    <w:rsid w:val="249E0BC2"/>
    <w:rsid w:val="249E6E14"/>
    <w:rsid w:val="24A361D8"/>
    <w:rsid w:val="24A501A2"/>
    <w:rsid w:val="24A92885"/>
    <w:rsid w:val="24AA3A0B"/>
    <w:rsid w:val="24AD52A9"/>
    <w:rsid w:val="24AE34FB"/>
    <w:rsid w:val="24B14D99"/>
    <w:rsid w:val="24B2466D"/>
    <w:rsid w:val="24B47998"/>
    <w:rsid w:val="24B77ED6"/>
    <w:rsid w:val="24B86128"/>
    <w:rsid w:val="24BE3012"/>
    <w:rsid w:val="24BE74B6"/>
    <w:rsid w:val="24C148B0"/>
    <w:rsid w:val="24C543A1"/>
    <w:rsid w:val="24CA5E5B"/>
    <w:rsid w:val="24CC1BD3"/>
    <w:rsid w:val="24CF3471"/>
    <w:rsid w:val="24D26ABE"/>
    <w:rsid w:val="24D34D10"/>
    <w:rsid w:val="24D97E4C"/>
    <w:rsid w:val="24DB1E16"/>
    <w:rsid w:val="24DD1775"/>
    <w:rsid w:val="24E011DB"/>
    <w:rsid w:val="24E0567E"/>
    <w:rsid w:val="24E16D01"/>
    <w:rsid w:val="24E567F1"/>
    <w:rsid w:val="24E8008F"/>
    <w:rsid w:val="24ED56A6"/>
    <w:rsid w:val="24F737AC"/>
    <w:rsid w:val="25007ACF"/>
    <w:rsid w:val="250255F5"/>
    <w:rsid w:val="2504136D"/>
    <w:rsid w:val="250550E5"/>
    <w:rsid w:val="25090731"/>
    <w:rsid w:val="250F7D12"/>
    <w:rsid w:val="25186BC6"/>
    <w:rsid w:val="251946ED"/>
    <w:rsid w:val="251F7F55"/>
    <w:rsid w:val="25227A45"/>
    <w:rsid w:val="25276E09"/>
    <w:rsid w:val="252C2672"/>
    <w:rsid w:val="252C71BA"/>
    <w:rsid w:val="252F3F10"/>
    <w:rsid w:val="253071BF"/>
    <w:rsid w:val="25341526"/>
    <w:rsid w:val="25382DC5"/>
    <w:rsid w:val="253912B6"/>
    <w:rsid w:val="253B28B5"/>
    <w:rsid w:val="253D662D"/>
    <w:rsid w:val="253F23A5"/>
    <w:rsid w:val="2540611D"/>
    <w:rsid w:val="25457290"/>
    <w:rsid w:val="254C6870"/>
    <w:rsid w:val="25550068"/>
    <w:rsid w:val="25553977"/>
    <w:rsid w:val="255816B9"/>
    <w:rsid w:val="255A0F8D"/>
    <w:rsid w:val="255E4015"/>
    <w:rsid w:val="25617F13"/>
    <w:rsid w:val="256516E0"/>
    <w:rsid w:val="25675458"/>
    <w:rsid w:val="256B13EC"/>
    <w:rsid w:val="257162D7"/>
    <w:rsid w:val="25724E31"/>
    <w:rsid w:val="25725789"/>
    <w:rsid w:val="25754019"/>
    <w:rsid w:val="257638ED"/>
    <w:rsid w:val="257D111F"/>
    <w:rsid w:val="258424AE"/>
    <w:rsid w:val="25873D4C"/>
    <w:rsid w:val="25891872"/>
    <w:rsid w:val="258E6E89"/>
    <w:rsid w:val="25951FC5"/>
    <w:rsid w:val="2597434C"/>
    <w:rsid w:val="259C77F7"/>
    <w:rsid w:val="25A95A70"/>
    <w:rsid w:val="25AC3ECC"/>
    <w:rsid w:val="25B368EF"/>
    <w:rsid w:val="25B508B9"/>
    <w:rsid w:val="25B83F05"/>
    <w:rsid w:val="25BD32CA"/>
    <w:rsid w:val="25C1725E"/>
    <w:rsid w:val="25C26B32"/>
    <w:rsid w:val="25C44658"/>
    <w:rsid w:val="25D23219"/>
    <w:rsid w:val="25D30D3F"/>
    <w:rsid w:val="25D32AED"/>
    <w:rsid w:val="25DC4098"/>
    <w:rsid w:val="25DF76E4"/>
    <w:rsid w:val="25E13C00"/>
    <w:rsid w:val="25E1520A"/>
    <w:rsid w:val="25E26491"/>
    <w:rsid w:val="25E42F4C"/>
    <w:rsid w:val="25E66CC5"/>
    <w:rsid w:val="25E8185F"/>
    <w:rsid w:val="25ED1E01"/>
    <w:rsid w:val="25F5515A"/>
    <w:rsid w:val="25FA62CC"/>
    <w:rsid w:val="25FC2044"/>
    <w:rsid w:val="25FE400E"/>
    <w:rsid w:val="25FF38E2"/>
    <w:rsid w:val="2605574F"/>
    <w:rsid w:val="260809E9"/>
    <w:rsid w:val="260929B3"/>
    <w:rsid w:val="260E3B25"/>
    <w:rsid w:val="260E7FC9"/>
    <w:rsid w:val="260F40AD"/>
    <w:rsid w:val="260F621B"/>
    <w:rsid w:val="26123616"/>
    <w:rsid w:val="261301D0"/>
    <w:rsid w:val="261633B2"/>
    <w:rsid w:val="26171983"/>
    <w:rsid w:val="26192BF6"/>
    <w:rsid w:val="261A071C"/>
    <w:rsid w:val="261F21D6"/>
    <w:rsid w:val="26211AAB"/>
    <w:rsid w:val="262670C1"/>
    <w:rsid w:val="26282E39"/>
    <w:rsid w:val="262E6B7A"/>
    <w:rsid w:val="263537A8"/>
    <w:rsid w:val="26377520"/>
    <w:rsid w:val="263C0693"/>
    <w:rsid w:val="263E08AF"/>
    <w:rsid w:val="263E440B"/>
    <w:rsid w:val="263F63D5"/>
    <w:rsid w:val="26435EC5"/>
    <w:rsid w:val="264A7253"/>
    <w:rsid w:val="264B4D7A"/>
    <w:rsid w:val="264D464E"/>
    <w:rsid w:val="264F6F26"/>
    <w:rsid w:val="26591245"/>
    <w:rsid w:val="26597496"/>
    <w:rsid w:val="265F25D3"/>
    <w:rsid w:val="2661634B"/>
    <w:rsid w:val="26697889"/>
    <w:rsid w:val="266F6CBA"/>
    <w:rsid w:val="26720558"/>
    <w:rsid w:val="26722306"/>
    <w:rsid w:val="26753BA5"/>
    <w:rsid w:val="2677791D"/>
    <w:rsid w:val="267B565F"/>
    <w:rsid w:val="26802C75"/>
    <w:rsid w:val="26832765"/>
    <w:rsid w:val="268A0EDE"/>
    <w:rsid w:val="268A3AF4"/>
    <w:rsid w:val="268A58A2"/>
    <w:rsid w:val="26904F49"/>
    <w:rsid w:val="26914E82"/>
    <w:rsid w:val="2694227D"/>
    <w:rsid w:val="26942845"/>
    <w:rsid w:val="26946721"/>
    <w:rsid w:val="26976211"/>
    <w:rsid w:val="269A4809"/>
    <w:rsid w:val="269E7C09"/>
    <w:rsid w:val="269F005D"/>
    <w:rsid w:val="26A12BEB"/>
    <w:rsid w:val="26A76454"/>
    <w:rsid w:val="26AC3A6A"/>
    <w:rsid w:val="26B40B71"/>
    <w:rsid w:val="26BE379D"/>
    <w:rsid w:val="26C03072"/>
    <w:rsid w:val="26C16DEA"/>
    <w:rsid w:val="26C30DB4"/>
    <w:rsid w:val="26C568DA"/>
    <w:rsid w:val="26C62652"/>
    <w:rsid w:val="26C64400"/>
    <w:rsid w:val="26CA3EF0"/>
    <w:rsid w:val="26CF3E66"/>
    <w:rsid w:val="26D0702D"/>
    <w:rsid w:val="26D22DA5"/>
    <w:rsid w:val="26D62895"/>
    <w:rsid w:val="26D703BB"/>
    <w:rsid w:val="26D7660D"/>
    <w:rsid w:val="26DE799C"/>
    <w:rsid w:val="26DF6706"/>
    <w:rsid w:val="26E02C80"/>
    <w:rsid w:val="26E2748C"/>
    <w:rsid w:val="26E56F7C"/>
    <w:rsid w:val="26E8081A"/>
    <w:rsid w:val="26EA00EF"/>
    <w:rsid w:val="26EE19AF"/>
    <w:rsid w:val="26F61189"/>
    <w:rsid w:val="26F70A5D"/>
    <w:rsid w:val="26FC7E22"/>
    <w:rsid w:val="26FE3B9A"/>
    <w:rsid w:val="27005B64"/>
    <w:rsid w:val="270218DC"/>
    <w:rsid w:val="27070CA1"/>
    <w:rsid w:val="271C2272"/>
    <w:rsid w:val="271D6716"/>
    <w:rsid w:val="271E248E"/>
    <w:rsid w:val="271E5FEA"/>
    <w:rsid w:val="271F0DEE"/>
    <w:rsid w:val="27221F7E"/>
    <w:rsid w:val="27252DB6"/>
    <w:rsid w:val="27271343"/>
    <w:rsid w:val="272A498F"/>
    <w:rsid w:val="272F01F7"/>
    <w:rsid w:val="27315D1D"/>
    <w:rsid w:val="27344754"/>
    <w:rsid w:val="27361586"/>
    <w:rsid w:val="27383550"/>
    <w:rsid w:val="273870AC"/>
    <w:rsid w:val="27391565"/>
    <w:rsid w:val="273B3040"/>
    <w:rsid w:val="273D2914"/>
    <w:rsid w:val="273D3759"/>
    <w:rsid w:val="273F48DE"/>
    <w:rsid w:val="27473793"/>
    <w:rsid w:val="27483067"/>
    <w:rsid w:val="27484CC0"/>
    <w:rsid w:val="274C0DA9"/>
    <w:rsid w:val="274E4B21"/>
    <w:rsid w:val="274F43F6"/>
    <w:rsid w:val="27533EE6"/>
    <w:rsid w:val="2758774E"/>
    <w:rsid w:val="275A2CCA"/>
    <w:rsid w:val="275E216C"/>
    <w:rsid w:val="27621707"/>
    <w:rsid w:val="27624129"/>
    <w:rsid w:val="276E0D20"/>
    <w:rsid w:val="276F0EA7"/>
    <w:rsid w:val="27716A62"/>
    <w:rsid w:val="277327DA"/>
    <w:rsid w:val="2778201C"/>
    <w:rsid w:val="27787DF0"/>
    <w:rsid w:val="277A5916"/>
    <w:rsid w:val="277B168E"/>
    <w:rsid w:val="277B51EB"/>
    <w:rsid w:val="277D0F63"/>
    <w:rsid w:val="277F117F"/>
    <w:rsid w:val="27800A53"/>
    <w:rsid w:val="27802801"/>
    <w:rsid w:val="2786250D"/>
    <w:rsid w:val="278B7B24"/>
    <w:rsid w:val="278E3170"/>
    <w:rsid w:val="27933A2F"/>
    <w:rsid w:val="279908E2"/>
    <w:rsid w:val="279938C3"/>
    <w:rsid w:val="279A1B15"/>
    <w:rsid w:val="279E0B42"/>
    <w:rsid w:val="27A04C51"/>
    <w:rsid w:val="27A75FE0"/>
    <w:rsid w:val="27AE1D78"/>
    <w:rsid w:val="27B01338"/>
    <w:rsid w:val="27B150B0"/>
    <w:rsid w:val="27B34984"/>
    <w:rsid w:val="27B5694E"/>
    <w:rsid w:val="27B77AFF"/>
    <w:rsid w:val="27B801ED"/>
    <w:rsid w:val="27BB7B28"/>
    <w:rsid w:val="27BD1CA7"/>
    <w:rsid w:val="27BF77CD"/>
    <w:rsid w:val="27C6290A"/>
    <w:rsid w:val="27D019DA"/>
    <w:rsid w:val="27D03788"/>
    <w:rsid w:val="27D33279"/>
    <w:rsid w:val="27D35027"/>
    <w:rsid w:val="27D50D9F"/>
    <w:rsid w:val="27DC212D"/>
    <w:rsid w:val="27E2526A"/>
    <w:rsid w:val="27E60822"/>
    <w:rsid w:val="27E9484A"/>
    <w:rsid w:val="27EB6814"/>
    <w:rsid w:val="27EE1E60"/>
    <w:rsid w:val="27FA0805"/>
    <w:rsid w:val="27FF5E1C"/>
    <w:rsid w:val="28041684"/>
    <w:rsid w:val="280528C1"/>
    <w:rsid w:val="280B2A12"/>
    <w:rsid w:val="280B6733"/>
    <w:rsid w:val="281573ED"/>
    <w:rsid w:val="28173165"/>
    <w:rsid w:val="281E2746"/>
    <w:rsid w:val="28237D5C"/>
    <w:rsid w:val="282B4E63"/>
    <w:rsid w:val="282D0BDB"/>
    <w:rsid w:val="282E04AF"/>
    <w:rsid w:val="28335AC5"/>
    <w:rsid w:val="2838132E"/>
    <w:rsid w:val="283830DC"/>
    <w:rsid w:val="283A6E54"/>
    <w:rsid w:val="283C0E1E"/>
    <w:rsid w:val="284321AC"/>
    <w:rsid w:val="28433F5A"/>
    <w:rsid w:val="284877C3"/>
    <w:rsid w:val="284952E9"/>
    <w:rsid w:val="284E28FF"/>
    <w:rsid w:val="28550131"/>
    <w:rsid w:val="285940BD"/>
    <w:rsid w:val="285C501C"/>
    <w:rsid w:val="28612632"/>
    <w:rsid w:val="28650375"/>
    <w:rsid w:val="286F2FA1"/>
    <w:rsid w:val="287265EE"/>
    <w:rsid w:val="28732366"/>
    <w:rsid w:val="287560DE"/>
    <w:rsid w:val="28771E56"/>
    <w:rsid w:val="287B7B98"/>
    <w:rsid w:val="287C08B4"/>
    <w:rsid w:val="287C121A"/>
    <w:rsid w:val="287E08AB"/>
    <w:rsid w:val="288A0548"/>
    <w:rsid w:val="288E0F4E"/>
    <w:rsid w:val="288F53F1"/>
    <w:rsid w:val="28920A3E"/>
    <w:rsid w:val="289447B6"/>
    <w:rsid w:val="28A013AD"/>
    <w:rsid w:val="28A11E3E"/>
    <w:rsid w:val="28A16ED3"/>
    <w:rsid w:val="28A644E9"/>
    <w:rsid w:val="28AD1D1C"/>
    <w:rsid w:val="28AE1163"/>
    <w:rsid w:val="28B10040"/>
    <w:rsid w:val="28B430AA"/>
    <w:rsid w:val="28B60BD0"/>
    <w:rsid w:val="28B9246E"/>
    <w:rsid w:val="28BA7F95"/>
    <w:rsid w:val="28CC03F4"/>
    <w:rsid w:val="28CD0E0B"/>
    <w:rsid w:val="28CD5F1A"/>
    <w:rsid w:val="28D23530"/>
    <w:rsid w:val="28D41056"/>
    <w:rsid w:val="28D9041B"/>
    <w:rsid w:val="28DA4193"/>
    <w:rsid w:val="28E63B9E"/>
    <w:rsid w:val="28EB4394"/>
    <w:rsid w:val="28EC45F2"/>
    <w:rsid w:val="28EC4ED6"/>
    <w:rsid w:val="28F90ABD"/>
    <w:rsid w:val="28F96D0F"/>
    <w:rsid w:val="28FB4835"/>
    <w:rsid w:val="28FD67FF"/>
    <w:rsid w:val="28FE2577"/>
    <w:rsid w:val="29001E4B"/>
    <w:rsid w:val="2907142C"/>
    <w:rsid w:val="29080D00"/>
    <w:rsid w:val="29086F52"/>
    <w:rsid w:val="29127DD1"/>
    <w:rsid w:val="29143B49"/>
    <w:rsid w:val="2916341D"/>
    <w:rsid w:val="291B08DA"/>
    <w:rsid w:val="291B6C85"/>
    <w:rsid w:val="291C47AB"/>
    <w:rsid w:val="2920429C"/>
    <w:rsid w:val="29257B04"/>
    <w:rsid w:val="29283150"/>
    <w:rsid w:val="292C0E92"/>
    <w:rsid w:val="292C2C40"/>
    <w:rsid w:val="292F44DF"/>
    <w:rsid w:val="29312005"/>
    <w:rsid w:val="29325D7D"/>
    <w:rsid w:val="29332221"/>
    <w:rsid w:val="29341AF5"/>
    <w:rsid w:val="293E0BC6"/>
    <w:rsid w:val="2940049A"/>
    <w:rsid w:val="294066EC"/>
    <w:rsid w:val="29471828"/>
    <w:rsid w:val="29475CCC"/>
    <w:rsid w:val="29480D4F"/>
    <w:rsid w:val="294855A0"/>
    <w:rsid w:val="294A1318"/>
    <w:rsid w:val="294D2BB7"/>
    <w:rsid w:val="294F4B81"/>
    <w:rsid w:val="29543F45"/>
    <w:rsid w:val="295757E3"/>
    <w:rsid w:val="29591431"/>
    <w:rsid w:val="295977AD"/>
    <w:rsid w:val="295A5D35"/>
    <w:rsid w:val="2964062C"/>
    <w:rsid w:val="296A6E28"/>
    <w:rsid w:val="296C74E1"/>
    <w:rsid w:val="29714AF7"/>
    <w:rsid w:val="29746395"/>
    <w:rsid w:val="29787C34"/>
    <w:rsid w:val="297A7E50"/>
    <w:rsid w:val="2984158E"/>
    <w:rsid w:val="2987256D"/>
    <w:rsid w:val="29882EFA"/>
    <w:rsid w:val="29891E41"/>
    <w:rsid w:val="298962E5"/>
    <w:rsid w:val="298A3E0B"/>
    <w:rsid w:val="298A7967"/>
    <w:rsid w:val="29910CF5"/>
    <w:rsid w:val="29932CBF"/>
    <w:rsid w:val="299802D6"/>
    <w:rsid w:val="299B1B74"/>
    <w:rsid w:val="299B7DC6"/>
    <w:rsid w:val="299D6F78"/>
    <w:rsid w:val="29A21154"/>
    <w:rsid w:val="29A50C45"/>
    <w:rsid w:val="29A94291"/>
    <w:rsid w:val="29AB625B"/>
    <w:rsid w:val="29AC3D81"/>
    <w:rsid w:val="29AE5D4B"/>
    <w:rsid w:val="29B570DA"/>
    <w:rsid w:val="29B669AE"/>
    <w:rsid w:val="29BA46F0"/>
    <w:rsid w:val="29BB2216"/>
    <w:rsid w:val="29BE79F2"/>
    <w:rsid w:val="29C0782D"/>
    <w:rsid w:val="29C25353"/>
    <w:rsid w:val="29C721E5"/>
    <w:rsid w:val="29CC6106"/>
    <w:rsid w:val="29CE5AA6"/>
    <w:rsid w:val="29D67050"/>
    <w:rsid w:val="29DB01C2"/>
    <w:rsid w:val="29DE206E"/>
    <w:rsid w:val="29E001BB"/>
    <w:rsid w:val="29E67293"/>
    <w:rsid w:val="29E96D83"/>
    <w:rsid w:val="29EC23D0"/>
    <w:rsid w:val="29EC6874"/>
    <w:rsid w:val="29EE439A"/>
    <w:rsid w:val="29EF3C6E"/>
    <w:rsid w:val="29F179E6"/>
    <w:rsid w:val="29F319B0"/>
    <w:rsid w:val="29F3375E"/>
    <w:rsid w:val="29F51284"/>
    <w:rsid w:val="29FA689B"/>
    <w:rsid w:val="2A021BF3"/>
    <w:rsid w:val="2A0B0AA8"/>
    <w:rsid w:val="2A1060BE"/>
    <w:rsid w:val="2A111E36"/>
    <w:rsid w:val="2A157B78"/>
    <w:rsid w:val="2A1A6F3D"/>
    <w:rsid w:val="2A1B4A63"/>
    <w:rsid w:val="2A1C040D"/>
    <w:rsid w:val="2A1D4C7F"/>
    <w:rsid w:val="2A1D6A2D"/>
    <w:rsid w:val="2A1E2D2D"/>
    <w:rsid w:val="2A1F27A5"/>
    <w:rsid w:val="2A241B69"/>
    <w:rsid w:val="2A264090"/>
    <w:rsid w:val="2A27165A"/>
    <w:rsid w:val="2A273408"/>
    <w:rsid w:val="2A32072A"/>
    <w:rsid w:val="2A3A75DF"/>
    <w:rsid w:val="2A3A7F62"/>
    <w:rsid w:val="2A3C3357"/>
    <w:rsid w:val="2A44045E"/>
    <w:rsid w:val="2A4B17EC"/>
    <w:rsid w:val="2A4C36E3"/>
    <w:rsid w:val="2A4D466A"/>
    <w:rsid w:val="2A554419"/>
    <w:rsid w:val="2A5A37DD"/>
    <w:rsid w:val="2A5A558B"/>
    <w:rsid w:val="2A5E32CD"/>
    <w:rsid w:val="2A602D02"/>
    <w:rsid w:val="2A6308E4"/>
    <w:rsid w:val="2A693A20"/>
    <w:rsid w:val="2A6B7798"/>
    <w:rsid w:val="2A6F54DA"/>
    <w:rsid w:val="2A701750"/>
    <w:rsid w:val="2A73489F"/>
    <w:rsid w:val="2A750617"/>
    <w:rsid w:val="2A781EB5"/>
    <w:rsid w:val="2A795BE3"/>
    <w:rsid w:val="2A8E16D9"/>
    <w:rsid w:val="2A915D79"/>
    <w:rsid w:val="2A9248F6"/>
    <w:rsid w:val="2A924D25"/>
    <w:rsid w:val="2A9A1E2C"/>
    <w:rsid w:val="2A9D36CA"/>
    <w:rsid w:val="2AA1140C"/>
    <w:rsid w:val="2AA36F32"/>
    <w:rsid w:val="2AA44A58"/>
    <w:rsid w:val="2AAB228B"/>
    <w:rsid w:val="2AAB4039"/>
    <w:rsid w:val="2AAD6003"/>
    <w:rsid w:val="2AB0164F"/>
    <w:rsid w:val="2AB078A1"/>
    <w:rsid w:val="2AB96756"/>
    <w:rsid w:val="2ABE1FBE"/>
    <w:rsid w:val="2ABF1892"/>
    <w:rsid w:val="2AC11AAE"/>
    <w:rsid w:val="2AC1385C"/>
    <w:rsid w:val="2AC62C21"/>
    <w:rsid w:val="2ACA2711"/>
    <w:rsid w:val="2ACF41CB"/>
    <w:rsid w:val="2AD57308"/>
    <w:rsid w:val="2ADC2444"/>
    <w:rsid w:val="2ADE440E"/>
    <w:rsid w:val="2ADF3F76"/>
    <w:rsid w:val="2AE632C3"/>
    <w:rsid w:val="2AE92C2D"/>
    <w:rsid w:val="2AEF2177"/>
    <w:rsid w:val="2AEF3F25"/>
    <w:rsid w:val="2AF3387C"/>
    <w:rsid w:val="2AF459E0"/>
    <w:rsid w:val="2AF92FF6"/>
    <w:rsid w:val="2AFC606F"/>
    <w:rsid w:val="2AFE685E"/>
    <w:rsid w:val="2B013C59"/>
    <w:rsid w:val="2B0A0D5F"/>
    <w:rsid w:val="2B0B4AD7"/>
    <w:rsid w:val="2B0F281A"/>
    <w:rsid w:val="2B1020EE"/>
    <w:rsid w:val="2B157704"/>
    <w:rsid w:val="2B1C6CE5"/>
    <w:rsid w:val="2B1E054F"/>
    <w:rsid w:val="2B2067D5"/>
    <w:rsid w:val="2B230073"/>
    <w:rsid w:val="2B2A285C"/>
    <w:rsid w:val="2B2C33CC"/>
    <w:rsid w:val="2B30238E"/>
    <w:rsid w:val="2B312790"/>
    <w:rsid w:val="2B3202B6"/>
    <w:rsid w:val="2B3758CC"/>
    <w:rsid w:val="2B3C1135"/>
    <w:rsid w:val="2B3E4EAD"/>
    <w:rsid w:val="2B401E83"/>
    <w:rsid w:val="2B441C94"/>
    <w:rsid w:val="2B4A5600"/>
    <w:rsid w:val="2B4C1378"/>
    <w:rsid w:val="2B4C75CA"/>
    <w:rsid w:val="2B5116C7"/>
    <w:rsid w:val="2B5446D0"/>
    <w:rsid w:val="2B577D1D"/>
    <w:rsid w:val="2B591CE7"/>
    <w:rsid w:val="2B593A95"/>
    <w:rsid w:val="2B595843"/>
    <w:rsid w:val="2B5D17D7"/>
    <w:rsid w:val="2B603075"/>
    <w:rsid w:val="2B604E23"/>
    <w:rsid w:val="2B69017C"/>
    <w:rsid w:val="2B6D12EE"/>
    <w:rsid w:val="2B6E5792"/>
    <w:rsid w:val="2B726905"/>
    <w:rsid w:val="2B747632"/>
    <w:rsid w:val="2B762899"/>
    <w:rsid w:val="2B7663F5"/>
    <w:rsid w:val="2B77216D"/>
    <w:rsid w:val="2B774ADB"/>
    <w:rsid w:val="2B7E34FB"/>
    <w:rsid w:val="2B7F799F"/>
    <w:rsid w:val="2B836D64"/>
    <w:rsid w:val="2B876854"/>
    <w:rsid w:val="2B8D373E"/>
    <w:rsid w:val="2B8F5708"/>
    <w:rsid w:val="2B911481"/>
    <w:rsid w:val="2B9351F9"/>
    <w:rsid w:val="2B940F71"/>
    <w:rsid w:val="2B944ACD"/>
    <w:rsid w:val="2B966A97"/>
    <w:rsid w:val="2B98280F"/>
    <w:rsid w:val="2B9B22FF"/>
    <w:rsid w:val="2B9B3F1D"/>
    <w:rsid w:val="2B9E594C"/>
    <w:rsid w:val="2BA03472"/>
    <w:rsid w:val="2BA271EA"/>
    <w:rsid w:val="2BA50A88"/>
    <w:rsid w:val="2BAA0794"/>
    <w:rsid w:val="2BAC1E16"/>
    <w:rsid w:val="2BAC62BA"/>
    <w:rsid w:val="2BB1567F"/>
    <w:rsid w:val="2BB67139"/>
    <w:rsid w:val="2BBD2276"/>
    <w:rsid w:val="2BBE1B4A"/>
    <w:rsid w:val="2BCF1FA9"/>
    <w:rsid w:val="2BD15D21"/>
    <w:rsid w:val="2BD33847"/>
    <w:rsid w:val="2BD4136D"/>
    <w:rsid w:val="2BD575BF"/>
    <w:rsid w:val="2BDB094E"/>
    <w:rsid w:val="2BDF043E"/>
    <w:rsid w:val="2BE07D12"/>
    <w:rsid w:val="2BE45A54"/>
    <w:rsid w:val="2BE5357A"/>
    <w:rsid w:val="2BEF4305"/>
    <w:rsid w:val="2BF35C97"/>
    <w:rsid w:val="2BF44DCD"/>
    <w:rsid w:val="2BF612E4"/>
    <w:rsid w:val="2BFA5278"/>
    <w:rsid w:val="2C002162"/>
    <w:rsid w:val="2C02412C"/>
    <w:rsid w:val="2C043A01"/>
    <w:rsid w:val="2C057779"/>
    <w:rsid w:val="2C063C1D"/>
    <w:rsid w:val="2C0C0B07"/>
    <w:rsid w:val="2C112481"/>
    <w:rsid w:val="2C1C51EE"/>
    <w:rsid w:val="2C1D0F66"/>
    <w:rsid w:val="2C1D2D14"/>
    <w:rsid w:val="2C1D56A8"/>
    <w:rsid w:val="2C210A56"/>
    <w:rsid w:val="2C273B93"/>
    <w:rsid w:val="2C2B5431"/>
    <w:rsid w:val="2C2C73FB"/>
    <w:rsid w:val="2C31056E"/>
    <w:rsid w:val="2C3167C0"/>
    <w:rsid w:val="2C3A38C6"/>
    <w:rsid w:val="2C3D5164"/>
    <w:rsid w:val="2C444745"/>
    <w:rsid w:val="2C464019"/>
    <w:rsid w:val="2C4B162F"/>
    <w:rsid w:val="2C4B5AD3"/>
    <w:rsid w:val="2C4E7372"/>
    <w:rsid w:val="2C536736"/>
    <w:rsid w:val="2C55425C"/>
    <w:rsid w:val="2C574478"/>
    <w:rsid w:val="2C583D4C"/>
    <w:rsid w:val="2C5D75B5"/>
    <w:rsid w:val="2C5F157F"/>
    <w:rsid w:val="2C5F50DB"/>
    <w:rsid w:val="2C72738C"/>
    <w:rsid w:val="2C730B86"/>
    <w:rsid w:val="2C732934"/>
    <w:rsid w:val="2C770676"/>
    <w:rsid w:val="2C7F39CF"/>
    <w:rsid w:val="2C8132A3"/>
    <w:rsid w:val="2C842D93"/>
    <w:rsid w:val="2C914BE3"/>
    <w:rsid w:val="2C92725E"/>
    <w:rsid w:val="2C931228"/>
    <w:rsid w:val="2C970D19"/>
    <w:rsid w:val="2C9B7A28"/>
    <w:rsid w:val="2C9F7BCD"/>
    <w:rsid w:val="2CA24D2A"/>
    <w:rsid w:val="2CB05936"/>
    <w:rsid w:val="2CB25B52"/>
    <w:rsid w:val="2CB76CC5"/>
    <w:rsid w:val="2CBF5993"/>
    <w:rsid w:val="2CC118F2"/>
    <w:rsid w:val="2CC31B0E"/>
    <w:rsid w:val="2CC66F08"/>
    <w:rsid w:val="2CCF04B2"/>
    <w:rsid w:val="2CD05FD9"/>
    <w:rsid w:val="2CD16667"/>
    <w:rsid w:val="2CD21D51"/>
    <w:rsid w:val="2CD47877"/>
    <w:rsid w:val="2CD5539D"/>
    <w:rsid w:val="2CDC672B"/>
    <w:rsid w:val="2CE37ABA"/>
    <w:rsid w:val="2CED2D01"/>
    <w:rsid w:val="2CF27CFD"/>
    <w:rsid w:val="2CF47F19"/>
    <w:rsid w:val="2CF75313"/>
    <w:rsid w:val="2CF77A09"/>
    <w:rsid w:val="2CFB12A7"/>
    <w:rsid w:val="2CFC5020"/>
    <w:rsid w:val="2CFE66A2"/>
    <w:rsid w:val="2D0363AE"/>
    <w:rsid w:val="2D0839C4"/>
    <w:rsid w:val="2D0D4B37"/>
    <w:rsid w:val="2D1265F1"/>
    <w:rsid w:val="2D19172E"/>
    <w:rsid w:val="2D197CD0"/>
    <w:rsid w:val="2D1A7254"/>
    <w:rsid w:val="2D263E4A"/>
    <w:rsid w:val="2D2F0F51"/>
    <w:rsid w:val="2D35408E"/>
    <w:rsid w:val="2D391DD0"/>
    <w:rsid w:val="2D39592C"/>
    <w:rsid w:val="2D404F0C"/>
    <w:rsid w:val="2D434610"/>
    <w:rsid w:val="2D482013"/>
    <w:rsid w:val="2D4A5D8B"/>
    <w:rsid w:val="2D4B38B1"/>
    <w:rsid w:val="2D4B565F"/>
    <w:rsid w:val="2D4D7629"/>
    <w:rsid w:val="2D5704A8"/>
    <w:rsid w:val="2D597D7C"/>
    <w:rsid w:val="2D60110A"/>
    <w:rsid w:val="2D6230D5"/>
    <w:rsid w:val="2D630BFB"/>
    <w:rsid w:val="2D675FF9"/>
    <w:rsid w:val="2D687FBF"/>
    <w:rsid w:val="2D6F35DC"/>
    <w:rsid w:val="2D79041E"/>
    <w:rsid w:val="2D7B5F44"/>
    <w:rsid w:val="2D7D7F0E"/>
    <w:rsid w:val="2D853CD4"/>
    <w:rsid w:val="2D880661"/>
    <w:rsid w:val="2D8868B3"/>
    <w:rsid w:val="2D8A262B"/>
    <w:rsid w:val="2D91641F"/>
    <w:rsid w:val="2D940DB4"/>
    <w:rsid w:val="2D9D410D"/>
    <w:rsid w:val="2DA82AB1"/>
    <w:rsid w:val="2DAA682A"/>
    <w:rsid w:val="2DAF5BEE"/>
    <w:rsid w:val="2DB317B9"/>
    <w:rsid w:val="2DB63420"/>
    <w:rsid w:val="2DB66F7C"/>
    <w:rsid w:val="2DB72CF5"/>
    <w:rsid w:val="2DB94CBF"/>
    <w:rsid w:val="2DBB7F4B"/>
    <w:rsid w:val="2DBE4083"/>
    <w:rsid w:val="2DC01BA9"/>
    <w:rsid w:val="2DC07DFB"/>
    <w:rsid w:val="2DCD2DDF"/>
    <w:rsid w:val="2DCE2518"/>
    <w:rsid w:val="2DCF003E"/>
    <w:rsid w:val="2DD13DB6"/>
    <w:rsid w:val="2DD5176F"/>
    <w:rsid w:val="2DDC2106"/>
    <w:rsid w:val="2DE41D3C"/>
    <w:rsid w:val="2DE81100"/>
    <w:rsid w:val="2DEC299E"/>
    <w:rsid w:val="2DEE2BBA"/>
    <w:rsid w:val="2DEE5279"/>
    <w:rsid w:val="2DF06932"/>
    <w:rsid w:val="2DF40A11"/>
    <w:rsid w:val="2DF83A39"/>
    <w:rsid w:val="2DFF6B75"/>
    <w:rsid w:val="2E00469C"/>
    <w:rsid w:val="2E057F04"/>
    <w:rsid w:val="2E065165"/>
    <w:rsid w:val="2E0917A2"/>
    <w:rsid w:val="2E0A72C8"/>
    <w:rsid w:val="2E0C1292"/>
    <w:rsid w:val="2E0E0B66"/>
    <w:rsid w:val="2E0F49FC"/>
    <w:rsid w:val="2E110657"/>
    <w:rsid w:val="2E13617D"/>
    <w:rsid w:val="2E141EF5"/>
    <w:rsid w:val="2E162111"/>
    <w:rsid w:val="2E1F0FC6"/>
    <w:rsid w:val="2E1F2D74"/>
    <w:rsid w:val="2E206AEC"/>
    <w:rsid w:val="2E2073AA"/>
    <w:rsid w:val="2E255EB0"/>
    <w:rsid w:val="2E2A34C6"/>
    <w:rsid w:val="2E2B796A"/>
    <w:rsid w:val="2E2F6D2F"/>
    <w:rsid w:val="2E3305CD"/>
    <w:rsid w:val="2E3F51C4"/>
    <w:rsid w:val="2E4E5407"/>
    <w:rsid w:val="2E505623"/>
    <w:rsid w:val="2E514EF7"/>
    <w:rsid w:val="2E5549E7"/>
    <w:rsid w:val="2E5642BC"/>
    <w:rsid w:val="2E5D564A"/>
    <w:rsid w:val="2E6115DE"/>
    <w:rsid w:val="2E666BF4"/>
    <w:rsid w:val="2E6A7D67"/>
    <w:rsid w:val="2E6E5AA9"/>
    <w:rsid w:val="2E70537D"/>
    <w:rsid w:val="2E731311"/>
    <w:rsid w:val="2E734E6D"/>
    <w:rsid w:val="2E750BE6"/>
    <w:rsid w:val="2E861045"/>
    <w:rsid w:val="2E8A1592"/>
    <w:rsid w:val="2E8A43DA"/>
    <w:rsid w:val="2E8B665B"/>
    <w:rsid w:val="2E905A1F"/>
    <w:rsid w:val="2E9279E9"/>
    <w:rsid w:val="2E960B5C"/>
    <w:rsid w:val="2E975000"/>
    <w:rsid w:val="2E9D1EEA"/>
    <w:rsid w:val="2EA66FF1"/>
    <w:rsid w:val="2EA72D69"/>
    <w:rsid w:val="2EA9088F"/>
    <w:rsid w:val="2EAE5EA6"/>
    <w:rsid w:val="2EB15996"/>
    <w:rsid w:val="2EB72FAC"/>
    <w:rsid w:val="2EB931C8"/>
    <w:rsid w:val="2EBA0CEE"/>
    <w:rsid w:val="2EBF00B3"/>
    <w:rsid w:val="2EBF4557"/>
    <w:rsid w:val="2EC102CF"/>
    <w:rsid w:val="2ECB4CA9"/>
    <w:rsid w:val="2ECE479A"/>
    <w:rsid w:val="2ECF1047"/>
    <w:rsid w:val="2ED26038"/>
    <w:rsid w:val="2ED718A0"/>
    <w:rsid w:val="2ED973C6"/>
    <w:rsid w:val="2EE10029"/>
    <w:rsid w:val="2EE144CD"/>
    <w:rsid w:val="2EE20341"/>
    <w:rsid w:val="2EE45D6B"/>
    <w:rsid w:val="2EE63891"/>
    <w:rsid w:val="2EE67D35"/>
    <w:rsid w:val="2EE8585B"/>
    <w:rsid w:val="2EE87609"/>
    <w:rsid w:val="2EE93382"/>
    <w:rsid w:val="2EED4C20"/>
    <w:rsid w:val="2EEF6BEA"/>
    <w:rsid w:val="2EF73CF0"/>
    <w:rsid w:val="2EF75A9F"/>
    <w:rsid w:val="2EF91817"/>
    <w:rsid w:val="2EFA733D"/>
    <w:rsid w:val="2EFE0BDB"/>
    <w:rsid w:val="2EFE6E2D"/>
    <w:rsid w:val="2F000DF7"/>
    <w:rsid w:val="2F034443"/>
    <w:rsid w:val="2F063F34"/>
    <w:rsid w:val="2F065CE2"/>
    <w:rsid w:val="2F1228D8"/>
    <w:rsid w:val="2F146650"/>
    <w:rsid w:val="2F151A6E"/>
    <w:rsid w:val="2F191EB9"/>
    <w:rsid w:val="2F1A353B"/>
    <w:rsid w:val="2F1F0B51"/>
    <w:rsid w:val="2F210D6D"/>
    <w:rsid w:val="2F236894"/>
    <w:rsid w:val="2F25085E"/>
    <w:rsid w:val="2F25260C"/>
    <w:rsid w:val="2F266384"/>
    <w:rsid w:val="2F2972DE"/>
    <w:rsid w:val="2F2D14C0"/>
    <w:rsid w:val="2F2D326E"/>
    <w:rsid w:val="2F320885"/>
    <w:rsid w:val="2F3462A3"/>
    <w:rsid w:val="2F464330"/>
    <w:rsid w:val="2F4E4AA2"/>
    <w:rsid w:val="2F5729E1"/>
    <w:rsid w:val="2F5A3BBB"/>
    <w:rsid w:val="2F68699C"/>
    <w:rsid w:val="2F6C023B"/>
    <w:rsid w:val="2F7013AD"/>
    <w:rsid w:val="2F715851"/>
    <w:rsid w:val="2F740E9D"/>
    <w:rsid w:val="2F75165D"/>
    <w:rsid w:val="2F7610B9"/>
    <w:rsid w:val="2F776BDF"/>
    <w:rsid w:val="2F7865CE"/>
    <w:rsid w:val="2F7E3ACA"/>
    <w:rsid w:val="2F7E7F6E"/>
    <w:rsid w:val="2F820122"/>
    <w:rsid w:val="2F875074"/>
    <w:rsid w:val="2F880DEC"/>
    <w:rsid w:val="2F8A06C1"/>
    <w:rsid w:val="2F8A6913"/>
    <w:rsid w:val="2F8E07F4"/>
    <w:rsid w:val="2F8F5CD7"/>
    <w:rsid w:val="2F911A4F"/>
    <w:rsid w:val="2F9432ED"/>
    <w:rsid w:val="2FA15A0A"/>
    <w:rsid w:val="2FA25896"/>
    <w:rsid w:val="2FA53C7A"/>
    <w:rsid w:val="2FA84FEB"/>
    <w:rsid w:val="2FAD0853"/>
    <w:rsid w:val="2FAD43AF"/>
    <w:rsid w:val="2FB3107F"/>
    <w:rsid w:val="2FB43990"/>
    <w:rsid w:val="2FB475A5"/>
    <w:rsid w:val="2FB94916"/>
    <w:rsid w:val="2FBE036A"/>
    <w:rsid w:val="2FBE65BC"/>
    <w:rsid w:val="2FBF14C9"/>
    <w:rsid w:val="2FC17E5A"/>
    <w:rsid w:val="2FC31E25"/>
    <w:rsid w:val="2FC71915"/>
    <w:rsid w:val="2FC751AB"/>
    <w:rsid w:val="2FCD1E4C"/>
    <w:rsid w:val="2FCF4325"/>
    <w:rsid w:val="2FD1009E"/>
    <w:rsid w:val="2FD14541"/>
    <w:rsid w:val="2FD47B8E"/>
    <w:rsid w:val="2FD63906"/>
    <w:rsid w:val="2FD951A4"/>
    <w:rsid w:val="2FDB0F1C"/>
    <w:rsid w:val="2FDB2CCA"/>
    <w:rsid w:val="2FDD4C94"/>
    <w:rsid w:val="2FE04785"/>
    <w:rsid w:val="2FE06533"/>
    <w:rsid w:val="2FE2558D"/>
    <w:rsid w:val="2FEC4ED7"/>
    <w:rsid w:val="2FF40230"/>
    <w:rsid w:val="2FFB336C"/>
    <w:rsid w:val="30000983"/>
    <w:rsid w:val="3005243D"/>
    <w:rsid w:val="300E30A0"/>
    <w:rsid w:val="300F0BC6"/>
    <w:rsid w:val="300F506A"/>
    <w:rsid w:val="3014442E"/>
    <w:rsid w:val="301D4299"/>
    <w:rsid w:val="30217113"/>
    <w:rsid w:val="302467A6"/>
    <w:rsid w:val="302567CF"/>
    <w:rsid w:val="30274161"/>
    <w:rsid w:val="303074BA"/>
    <w:rsid w:val="30313232"/>
    <w:rsid w:val="30360848"/>
    <w:rsid w:val="303643A5"/>
    <w:rsid w:val="30395C43"/>
    <w:rsid w:val="30397816"/>
    <w:rsid w:val="303D1BD7"/>
    <w:rsid w:val="303F594F"/>
    <w:rsid w:val="30442F65"/>
    <w:rsid w:val="304545E8"/>
    <w:rsid w:val="30466CDD"/>
    <w:rsid w:val="304C5976"/>
    <w:rsid w:val="304E5B92"/>
    <w:rsid w:val="30506E41"/>
    <w:rsid w:val="30562C99"/>
    <w:rsid w:val="305F7D9F"/>
    <w:rsid w:val="30647164"/>
    <w:rsid w:val="30656A38"/>
    <w:rsid w:val="30676C54"/>
    <w:rsid w:val="306A22A0"/>
    <w:rsid w:val="306B04F2"/>
    <w:rsid w:val="306E3B3E"/>
    <w:rsid w:val="306F78B6"/>
    <w:rsid w:val="30731155"/>
    <w:rsid w:val="3078676B"/>
    <w:rsid w:val="307D0225"/>
    <w:rsid w:val="307F0B1B"/>
    <w:rsid w:val="307F3F9D"/>
    <w:rsid w:val="3082583C"/>
    <w:rsid w:val="30843362"/>
    <w:rsid w:val="308C66BA"/>
    <w:rsid w:val="30901D07"/>
    <w:rsid w:val="309335A5"/>
    <w:rsid w:val="309537C1"/>
    <w:rsid w:val="309612E7"/>
    <w:rsid w:val="309D08C8"/>
    <w:rsid w:val="309F1F4A"/>
    <w:rsid w:val="30A92DC8"/>
    <w:rsid w:val="30A9726C"/>
    <w:rsid w:val="30B05F05"/>
    <w:rsid w:val="30B22269"/>
    <w:rsid w:val="30B22B6B"/>
    <w:rsid w:val="30B359F5"/>
    <w:rsid w:val="30B579BF"/>
    <w:rsid w:val="30B637BB"/>
    <w:rsid w:val="30B80CAC"/>
    <w:rsid w:val="30BF75CF"/>
    <w:rsid w:val="30C714A1"/>
    <w:rsid w:val="30C85944"/>
    <w:rsid w:val="30C9346B"/>
    <w:rsid w:val="30C96FC7"/>
    <w:rsid w:val="30D2231F"/>
    <w:rsid w:val="30D8545C"/>
    <w:rsid w:val="30DA11D4"/>
    <w:rsid w:val="30DF2C8E"/>
    <w:rsid w:val="30E402A4"/>
    <w:rsid w:val="30E46F60"/>
    <w:rsid w:val="30E65DCB"/>
    <w:rsid w:val="30E738F1"/>
    <w:rsid w:val="30E91417"/>
    <w:rsid w:val="30EE4C7F"/>
    <w:rsid w:val="30F1651D"/>
    <w:rsid w:val="30F524B2"/>
    <w:rsid w:val="30F54260"/>
    <w:rsid w:val="30F6750D"/>
    <w:rsid w:val="310821E5"/>
    <w:rsid w:val="310D15A9"/>
    <w:rsid w:val="310E5321"/>
    <w:rsid w:val="31132938"/>
    <w:rsid w:val="311C2969"/>
    <w:rsid w:val="31210BB1"/>
    <w:rsid w:val="31216E03"/>
    <w:rsid w:val="312406A1"/>
    <w:rsid w:val="312D57A8"/>
    <w:rsid w:val="31365DB7"/>
    <w:rsid w:val="313703D4"/>
    <w:rsid w:val="31380A01"/>
    <w:rsid w:val="313905F0"/>
    <w:rsid w:val="313A1C72"/>
    <w:rsid w:val="313C59EB"/>
    <w:rsid w:val="3140197F"/>
    <w:rsid w:val="3143321D"/>
    <w:rsid w:val="31456F95"/>
    <w:rsid w:val="314825E1"/>
    <w:rsid w:val="31496359"/>
    <w:rsid w:val="3150593A"/>
    <w:rsid w:val="31505C80"/>
    <w:rsid w:val="31523460"/>
    <w:rsid w:val="31556AAC"/>
    <w:rsid w:val="31572824"/>
    <w:rsid w:val="315947EF"/>
    <w:rsid w:val="3159659D"/>
    <w:rsid w:val="31682C84"/>
    <w:rsid w:val="31697021"/>
    <w:rsid w:val="316D3DF6"/>
    <w:rsid w:val="31701B38"/>
    <w:rsid w:val="3172765E"/>
    <w:rsid w:val="31750EFD"/>
    <w:rsid w:val="31771119"/>
    <w:rsid w:val="3183637C"/>
    <w:rsid w:val="31837ABD"/>
    <w:rsid w:val="318850D4"/>
    <w:rsid w:val="318D26EA"/>
    <w:rsid w:val="318D6246"/>
    <w:rsid w:val="318F0210"/>
    <w:rsid w:val="31944828"/>
    <w:rsid w:val="31945827"/>
    <w:rsid w:val="319C292D"/>
    <w:rsid w:val="31A35A6A"/>
    <w:rsid w:val="31A537A3"/>
    <w:rsid w:val="31B22151"/>
    <w:rsid w:val="31B47F6E"/>
    <w:rsid w:val="31B66C1B"/>
    <w:rsid w:val="31B77767"/>
    <w:rsid w:val="31BB7257"/>
    <w:rsid w:val="31BE28A4"/>
    <w:rsid w:val="31C00377"/>
    <w:rsid w:val="31C12394"/>
    <w:rsid w:val="31C51E84"/>
    <w:rsid w:val="31CA1248"/>
    <w:rsid w:val="31CC3212"/>
    <w:rsid w:val="31D65E3F"/>
    <w:rsid w:val="31D73965"/>
    <w:rsid w:val="31DB16A7"/>
    <w:rsid w:val="31DB5204"/>
    <w:rsid w:val="31E340B8"/>
    <w:rsid w:val="31ED3189"/>
    <w:rsid w:val="31ED4F37"/>
    <w:rsid w:val="31EF0CAF"/>
    <w:rsid w:val="31F42769"/>
    <w:rsid w:val="31F44517"/>
    <w:rsid w:val="31F63E25"/>
    <w:rsid w:val="31F84007"/>
    <w:rsid w:val="31FC33CC"/>
    <w:rsid w:val="31FE5396"/>
    <w:rsid w:val="31FF6116"/>
    <w:rsid w:val="320266E5"/>
    <w:rsid w:val="32026C34"/>
    <w:rsid w:val="3203475A"/>
    <w:rsid w:val="32081D71"/>
    <w:rsid w:val="320C7AB3"/>
    <w:rsid w:val="320E382B"/>
    <w:rsid w:val="320F4EAD"/>
    <w:rsid w:val="320F4F19"/>
    <w:rsid w:val="32140715"/>
    <w:rsid w:val="321626E0"/>
    <w:rsid w:val="321A7798"/>
    <w:rsid w:val="321E3342"/>
    <w:rsid w:val="3220355E"/>
    <w:rsid w:val="32222E32"/>
    <w:rsid w:val="322F37A1"/>
    <w:rsid w:val="32315D79"/>
    <w:rsid w:val="32342B66"/>
    <w:rsid w:val="3240775C"/>
    <w:rsid w:val="324C4353"/>
    <w:rsid w:val="324E00CB"/>
    <w:rsid w:val="324F174E"/>
    <w:rsid w:val="324F5BF1"/>
    <w:rsid w:val="325112E4"/>
    <w:rsid w:val="3251196A"/>
    <w:rsid w:val="3255145A"/>
    <w:rsid w:val="32557489"/>
    <w:rsid w:val="32582CF8"/>
    <w:rsid w:val="32586854"/>
    <w:rsid w:val="325B00F2"/>
    <w:rsid w:val="325D20BC"/>
    <w:rsid w:val="326162E8"/>
    <w:rsid w:val="32676A97"/>
    <w:rsid w:val="32700042"/>
    <w:rsid w:val="3273368E"/>
    <w:rsid w:val="32755658"/>
    <w:rsid w:val="32786EF6"/>
    <w:rsid w:val="327D275F"/>
    <w:rsid w:val="32803FFD"/>
    <w:rsid w:val="3281224F"/>
    <w:rsid w:val="328F5FEE"/>
    <w:rsid w:val="32902492"/>
    <w:rsid w:val="32911D66"/>
    <w:rsid w:val="3293788C"/>
    <w:rsid w:val="32981347"/>
    <w:rsid w:val="329863B7"/>
    <w:rsid w:val="329A6E6D"/>
    <w:rsid w:val="32A001FB"/>
    <w:rsid w:val="32A73338"/>
    <w:rsid w:val="32A95302"/>
    <w:rsid w:val="32AA339D"/>
    <w:rsid w:val="32AB107A"/>
    <w:rsid w:val="32AC094E"/>
    <w:rsid w:val="32B048E2"/>
    <w:rsid w:val="32B06690"/>
    <w:rsid w:val="32B51EF8"/>
    <w:rsid w:val="32B53CA7"/>
    <w:rsid w:val="32B55A55"/>
    <w:rsid w:val="32BD0DAD"/>
    <w:rsid w:val="32C0264B"/>
    <w:rsid w:val="32C1089D"/>
    <w:rsid w:val="32C24615"/>
    <w:rsid w:val="32C739DA"/>
    <w:rsid w:val="32C97752"/>
    <w:rsid w:val="32D3412D"/>
    <w:rsid w:val="32D422BA"/>
    <w:rsid w:val="32D57EA5"/>
    <w:rsid w:val="32D81743"/>
    <w:rsid w:val="32D83E39"/>
    <w:rsid w:val="32DC13D3"/>
    <w:rsid w:val="32DF6F75"/>
    <w:rsid w:val="32E225C2"/>
    <w:rsid w:val="32E71EAF"/>
    <w:rsid w:val="32FA790B"/>
    <w:rsid w:val="3301513E"/>
    <w:rsid w:val="33026AB6"/>
    <w:rsid w:val="33042538"/>
    <w:rsid w:val="330C763F"/>
    <w:rsid w:val="330E785B"/>
    <w:rsid w:val="331035D3"/>
    <w:rsid w:val="331F55C4"/>
    <w:rsid w:val="332108B6"/>
    <w:rsid w:val="33226D5E"/>
    <w:rsid w:val="33274478"/>
    <w:rsid w:val="3328091C"/>
    <w:rsid w:val="33291F9F"/>
    <w:rsid w:val="33296443"/>
    <w:rsid w:val="33332E1D"/>
    <w:rsid w:val="33356B95"/>
    <w:rsid w:val="333A41AC"/>
    <w:rsid w:val="333C7F24"/>
    <w:rsid w:val="33466FF4"/>
    <w:rsid w:val="33484B1B"/>
    <w:rsid w:val="33490893"/>
    <w:rsid w:val="334E5EA9"/>
    <w:rsid w:val="33501C21"/>
    <w:rsid w:val="3350577D"/>
    <w:rsid w:val="33527747"/>
    <w:rsid w:val="33552D94"/>
    <w:rsid w:val="33596D28"/>
    <w:rsid w:val="335A65FC"/>
    <w:rsid w:val="335C4122"/>
    <w:rsid w:val="336F654B"/>
    <w:rsid w:val="33705E1F"/>
    <w:rsid w:val="337551E4"/>
    <w:rsid w:val="33792F26"/>
    <w:rsid w:val="338027AA"/>
    <w:rsid w:val="33865643"/>
    <w:rsid w:val="338B0EAB"/>
    <w:rsid w:val="338B4A07"/>
    <w:rsid w:val="339715FE"/>
    <w:rsid w:val="339925AD"/>
    <w:rsid w:val="339A4C4A"/>
    <w:rsid w:val="33A361F5"/>
    <w:rsid w:val="33A67A93"/>
    <w:rsid w:val="33AB32FB"/>
    <w:rsid w:val="33AD497E"/>
    <w:rsid w:val="33BC1065"/>
    <w:rsid w:val="33C00B55"/>
    <w:rsid w:val="33C148CD"/>
    <w:rsid w:val="33C57F19"/>
    <w:rsid w:val="33CA19D4"/>
    <w:rsid w:val="33CB12A8"/>
    <w:rsid w:val="33CF0D98"/>
    <w:rsid w:val="33D463AE"/>
    <w:rsid w:val="33D571B6"/>
    <w:rsid w:val="33D91C17"/>
    <w:rsid w:val="33DC1B91"/>
    <w:rsid w:val="33DE77D3"/>
    <w:rsid w:val="33E22AAC"/>
    <w:rsid w:val="33EF4F96"/>
    <w:rsid w:val="33F46A50"/>
    <w:rsid w:val="33F95E15"/>
    <w:rsid w:val="33F97BC3"/>
    <w:rsid w:val="33FD3B57"/>
    <w:rsid w:val="33FF76FA"/>
    <w:rsid w:val="34036C94"/>
    <w:rsid w:val="34050C5E"/>
    <w:rsid w:val="340622E0"/>
    <w:rsid w:val="340B4DB4"/>
    <w:rsid w:val="340D366E"/>
    <w:rsid w:val="340F5638"/>
    <w:rsid w:val="34120C85"/>
    <w:rsid w:val="34140EA1"/>
    <w:rsid w:val="341449FD"/>
    <w:rsid w:val="341C5D39"/>
    <w:rsid w:val="341E587B"/>
    <w:rsid w:val="342015F4"/>
    <w:rsid w:val="342323F8"/>
    <w:rsid w:val="34264730"/>
    <w:rsid w:val="342C7F98"/>
    <w:rsid w:val="342F1837"/>
    <w:rsid w:val="34321327"/>
    <w:rsid w:val="343706EB"/>
    <w:rsid w:val="34371239"/>
    <w:rsid w:val="34384B8F"/>
    <w:rsid w:val="3439114E"/>
    <w:rsid w:val="343F6D1F"/>
    <w:rsid w:val="344828F8"/>
    <w:rsid w:val="3449641B"/>
    <w:rsid w:val="345319C9"/>
    <w:rsid w:val="34533777"/>
    <w:rsid w:val="34572B3B"/>
    <w:rsid w:val="345B262C"/>
    <w:rsid w:val="345D63A4"/>
    <w:rsid w:val="346A286F"/>
    <w:rsid w:val="346C4839"/>
    <w:rsid w:val="346D235F"/>
    <w:rsid w:val="346F4329"/>
    <w:rsid w:val="34711E4F"/>
    <w:rsid w:val="347831DE"/>
    <w:rsid w:val="347B0F20"/>
    <w:rsid w:val="348222AE"/>
    <w:rsid w:val="348576A9"/>
    <w:rsid w:val="34897199"/>
    <w:rsid w:val="348E0C53"/>
    <w:rsid w:val="348F6779"/>
    <w:rsid w:val="3491097A"/>
    <w:rsid w:val="34931DC5"/>
    <w:rsid w:val="349618B6"/>
    <w:rsid w:val="349B45FD"/>
    <w:rsid w:val="34A02734"/>
    <w:rsid w:val="34A246FE"/>
    <w:rsid w:val="34A55F9D"/>
    <w:rsid w:val="34A57D4B"/>
    <w:rsid w:val="34AB35B3"/>
    <w:rsid w:val="34AC732B"/>
    <w:rsid w:val="34AF2977"/>
    <w:rsid w:val="34B14942"/>
    <w:rsid w:val="34B47F8E"/>
    <w:rsid w:val="34B63D06"/>
    <w:rsid w:val="34B65AB4"/>
    <w:rsid w:val="34BA37F6"/>
    <w:rsid w:val="34BC594F"/>
    <w:rsid w:val="34C226AB"/>
    <w:rsid w:val="34C46423"/>
    <w:rsid w:val="34D66156"/>
    <w:rsid w:val="34D81ECE"/>
    <w:rsid w:val="34DC2F20"/>
    <w:rsid w:val="34DD43B0"/>
    <w:rsid w:val="34E1540B"/>
    <w:rsid w:val="34E40873"/>
    <w:rsid w:val="34E46AC5"/>
    <w:rsid w:val="34E95E89"/>
    <w:rsid w:val="34EC597A"/>
    <w:rsid w:val="34EE524E"/>
    <w:rsid w:val="34F30AB6"/>
    <w:rsid w:val="34F5482E"/>
    <w:rsid w:val="34F824DE"/>
    <w:rsid w:val="34FA1E45"/>
    <w:rsid w:val="34FB5BBD"/>
    <w:rsid w:val="350031D3"/>
    <w:rsid w:val="35011425"/>
    <w:rsid w:val="3509652C"/>
    <w:rsid w:val="350F3CAC"/>
    <w:rsid w:val="3518051D"/>
    <w:rsid w:val="351F5D4F"/>
    <w:rsid w:val="35213875"/>
    <w:rsid w:val="35245113"/>
    <w:rsid w:val="35260E8C"/>
    <w:rsid w:val="35262C3A"/>
    <w:rsid w:val="3529272A"/>
    <w:rsid w:val="352B46F4"/>
    <w:rsid w:val="352C5D76"/>
    <w:rsid w:val="352D221A"/>
    <w:rsid w:val="352E5F92"/>
    <w:rsid w:val="353225D9"/>
    <w:rsid w:val="35335357"/>
    <w:rsid w:val="35374E47"/>
    <w:rsid w:val="353C06AF"/>
    <w:rsid w:val="353D7F83"/>
    <w:rsid w:val="35417A73"/>
    <w:rsid w:val="35470E02"/>
    <w:rsid w:val="35472BB0"/>
    <w:rsid w:val="354B444E"/>
    <w:rsid w:val="355157DD"/>
    <w:rsid w:val="35531555"/>
    <w:rsid w:val="355377A7"/>
    <w:rsid w:val="3555351F"/>
    <w:rsid w:val="355E6877"/>
    <w:rsid w:val="3566572C"/>
    <w:rsid w:val="356814A4"/>
    <w:rsid w:val="35690D78"/>
    <w:rsid w:val="35727C2D"/>
    <w:rsid w:val="357339A5"/>
    <w:rsid w:val="3575771D"/>
    <w:rsid w:val="35775243"/>
    <w:rsid w:val="35777939"/>
    <w:rsid w:val="3579545F"/>
    <w:rsid w:val="357A4D33"/>
    <w:rsid w:val="357C283F"/>
    <w:rsid w:val="357E0CC8"/>
    <w:rsid w:val="358838F4"/>
    <w:rsid w:val="358E07DF"/>
    <w:rsid w:val="35942299"/>
    <w:rsid w:val="35A10512"/>
    <w:rsid w:val="35A16764"/>
    <w:rsid w:val="35AB1391"/>
    <w:rsid w:val="35B244CD"/>
    <w:rsid w:val="35B77D36"/>
    <w:rsid w:val="35B91D00"/>
    <w:rsid w:val="35C21ABF"/>
    <w:rsid w:val="35C366DA"/>
    <w:rsid w:val="35C81F43"/>
    <w:rsid w:val="35CD1307"/>
    <w:rsid w:val="35CF1523"/>
    <w:rsid w:val="35CF32D1"/>
    <w:rsid w:val="35D07049"/>
    <w:rsid w:val="35D07F22"/>
    <w:rsid w:val="35DE52C2"/>
    <w:rsid w:val="35E36D7D"/>
    <w:rsid w:val="35E93C67"/>
    <w:rsid w:val="35ED19A9"/>
    <w:rsid w:val="35EF74CF"/>
    <w:rsid w:val="35FA5E74"/>
    <w:rsid w:val="35FB2318"/>
    <w:rsid w:val="35FC7E3E"/>
    <w:rsid w:val="3600792F"/>
    <w:rsid w:val="36017203"/>
    <w:rsid w:val="360311CD"/>
    <w:rsid w:val="36050807"/>
    <w:rsid w:val="36065737"/>
    <w:rsid w:val="360A0F8C"/>
    <w:rsid w:val="360A255B"/>
    <w:rsid w:val="360B1E2F"/>
    <w:rsid w:val="36116DAA"/>
    <w:rsid w:val="36127662"/>
    <w:rsid w:val="36176A26"/>
    <w:rsid w:val="36221470"/>
    <w:rsid w:val="36266C69"/>
    <w:rsid w:val="362A0508"/>
    <w:rsid w:val="362A675A"/>
    <w:rsid w:val="362C0724"/>
    <w:rsid w:val="362C24D2"/>
    <w:rsid w:val="362D2681"/>
    <w:rsid w:val="3632560E"/>
    <w:rsid w:val="36356EAC"/>
    <w:rsid w:val="363D46DF"/>
    <w:rsid w:val="363E2205"/>
    <w:rsid w:val="364A2958"/>
    <w:rsid w:val="364D41F6"/>
    <w:rsid w:val="364F7F6E"/>
    <w:rsid w:val="3652180C"/>
    <w:rsid w:val="36527A5E"/>
    <w:rsid w:val="365657A0"/>
    <w:rsid w:val="365C6E6F"/>
    <w:rsid w:val="365E6403"/>
    <w:rsid w:val="36631C6B"/>
    <w:rsid w:val="36637EBD"/>
    <w:rsid w:val="366652B8"/>
    <w:rsid w:val="36681030"/>
    <w:rsid w:val="366D4898"/>
    <w:rsid w:val="366F0F07"/>
    <w:rsid w:val="3676374D"/>
    <w:rsid w:val="367E2601"/>
    <w:rsid w:val="367F4CF7"/>
    <w:rsid w:val="36882D07"/>
    <w:rsid w:val="368C4D1E"/>
    <w:rsid w:val="368D0A96"/>
    <w:rsid w:val="368F0CB2"/>
    <w:rsid w:val="36914A2B"/>
    <w:rsid w:val="36965B9D"/>
    <w:rsid w:val="369D6F2B"/>
    <w:rsid w:val="36A24542"/>
    <w:rsid w:val="36A4475E"/>
    <w:rsid w:val="36A55DE0"/>
    <w:rsid w:val="36AA33F6"/>
    <w:rsid w:val="36AB3FD2"/>
    <w:rsid w:val="36AB4E48"/>
    <w:rsid w:val="36AC716F"/>
    <w:rsid w:val="36AE0BF8"/>
    <w:rsid w:val="36AE1139"/>
    <w:rsid w:val="36B204FD"/>
    <w:rsid w:val="36B3674F"/>
    <w:rsid w:val="36B67FED"/>
    <w:rsid w:val="36BD5820"/>
    <w:rsid w:val="36BE48C9"/>
    <w:rsid w:val="36C070BE"/>
    <w:rsid w:val="36C3270A"/>
    <w:rsid w:val="36C41867"/>
    <w:rsid w:val="36C546D4"/>
    <w:rsid w:val="36C7044C"/>
    <w:rsid w:val="36D14E27"/>
    <w:rsid w:val="36D16BD5"/>
    <w:rsid w:val="36D3294D"/>
    <w:rsid w:val="36D44917"/>
    <w:rsid w:val="36D466C5"/>
    <w:rsid w:val="36DD1A1E"/>
    <w:rsid w:val="36E42DAC"/>
    <w:rsid w:val="36E52680"/>
    <w:rsid w:val="36E62EDF"/>
    <w:rsid w:val="36E65E63"/>
    <w:rsid w:val="36F34D9D"/>
    <w:rsid w:val="36F62AE0"/>
    <w:rsid w:val="36FF7BE6"/>
    <w:rsid w:val="3701395E"/>
    <w:rsid w:val="370276D6"/>
    <w:rsid w:val="37054AD1"/>
    <w:rsid w:val="37076A9B"/>
    <w:rsid w:val="3709636F"/>
    <w:rsid w:val="370C40B1"/>
    <w:rsid w:val="370E1BD7"/>
    <w:rsid w:val="37113475"/>
    <w:rsid w:val="37160A8C"/>
    <w:rsid w:val="37164F30"/>
    <w:rsid w:val="37227431"/>
    <w:rsid w:val="37272C99"/>
    <w:rsid w:val="372907BF"/>
    <w:rsid w:val="37296A11"/>
    <w:rsid w:val="37307DA0"/>
    <w:rsid w:val="37353608"/>
    <w:rsid w:val="37386C54"/>
    <w:rsid w:val="373A29CC"/>
    <w:rsid w:val="373B4692"/>
    <w:rsid w:val="373D426B"/>
    <w:rsid w:val="373F4487"/>
    <w:rsid w:val="37405B09"/>
    <w:rsid w:val="37421881"/>
    <w:rsid w:val="375241BA"/>
    <w:rsid w:val="3757357E"/>
    <w:rsid w:val="375A306E"/>
    <w:rsid w:val="375A6BCB"/>
    <w:rsid w:val="376932B2"/>
    <w:rsid w:val="37695060"/>
    <w:rsid w:val="376B527C"/>
    <w:rsid w:val="376C34BF"/>
    <w:rsid w:val="377A54BF"/>
    <w:rsid w:val="37800C76"/>
    <w:rsid w:val="378123A9"/>
    <w:rsid w:val="37865C12"/>
    <w:rsid w:val="37893954"/>
    <w:rsid w:val="378B1619"/>
    <w:rsid w:val="379540A7"/>
    <w:rsid w:val="37955E55"/>
    <w:rsid w:val="37971BCD"/>
    <w:rsid w:val="379A790F"/>
    <w:rsid w:val="379C5435"/>
    <w:rsid w:val="37A16410"/>
    <w:rsid w:val="37A61E10"/>
    <w:rsid w:val="37A91900"/>
    <w:rsid w:val="37A95DA4"/>
    <w:rsid w:val="37A97B52"/>
    <w:rsid w:val="37AB1B1C"/>
    <w:rsid w:val="37AD13F0"/>
    <w:rsid w:val="37AE470A"/>
    <w:rsid w:val="37AE6F16"/>
    <w:rsid w:val="37B207B5"/>
    <w:rsid w:val="37B3277F"/>
    <w:rsid w:val="37B564F7"/>
    <w:rsid w:val="37BA1D5F"/>
    <w:rsid w:val="37BC1633"/>
    <w:rsid w:val="37BC5AD7"/>
    <w:rsid w:val="37BD53AB"/>
    <w:rsid w:val="37BF1123"/>
    <w:rsid w:val="37C867A4"/>
    <w:rsid w:val="37D3566F"/>
    <w:rsid w:val="37D3697D"/>
    <w:rsid w:val="37DB6422"/>
    <w:rsid w:val="37DC775C"/>
    <w:rsid w:val="37E1109A"/>
    <w:rsid w:val="37E74553"/>
    <w:rsid w:val="37E868CC"/>
    <w:rsid w:val="37ED5C91"/>
    <w:rsid w:val="37F05781"/>
    <w:rsid w:val="37F17FF2"/>
    <w:rsid w:val="37F52D97"/>
    <w:rsid w:val="37FA215C"/>
    <w:rsid w:val="37FC4126"/>
    <w:rsid w:val="38080D1C"/>
    <w:rsid w:val="3808637E"/>
    <w:rsid w:val="3814146F"/>
    <w:rsid w:val="3814321D"/>
    <w:rsid w:val="381C6576"/>
    <w:rsid w:val="381E5E4A"/>
    <w:rsid w:val="38207E14"/>
    <w:rsid w:val="382A2A41"/>
    <w:rsid w:val="382B67B9"/>
    <w:rsid w:val="382F62A9"/>
    <w:rsid w:val="383C4522"/>
    <w:rsid w:val="384653A1"/>
    <w:rsid w:val="38471845"/>
    <w:rsid w:val="384A6C3F"/>
    <w:rsid w:val="384C2862"/>
    <w:rsid w:val="384D2BD3"/>
    <w:rsid w:val="384D672F"/>
    <w:rsid w:val="384E7D53"/>
    <w:rsid w:val="38500B74"/>
    <w:rsid w:val="3851621F"/>
    <w:rsid w:val="38523D46"/>
    <w:rsid w:val="385C4BC4"/>
    <w:rsid w:val="385C6972"/>
    <w:rsid w:val="38653A79"/>
    <w:rsid w:val="38697929"/>
    <w:rsid w:val="3872263A"/>
    <w:rsid w:val="387939C8"/>
    <w:rsid w:val="387B329C"/>
    <w:rsid w:val="387D5266"/>
    <w:rsid w:val="387F3FB0"/>
    <w:rsid w:val="388163D9"/>
    <w:rsid w:val="38871C41"/>
    <w:rsid w:val="389425B0"/>
    <w:rsid w:val="38975BFC"/>
    <w:rsid w:val="38997BC6"/>
    <w:rsid w:val="389E6F8B"/>
    <w:rsid w:val="38A04AB1"/>
    <w:rsid w:val="38A26A7B"/>
    <w:rsid w:val="38A37331"/>
    <w:rsid w:val="38B2267C"/>
    <w:rsid w:val="38B44A00"/>
    <w:rsid w:val="38B51168"/>
    <w:rsid w:val="38B7004D"/>
    <w:rsid w:val="38B86D12"/>
    <w:rsid w:val="38B97EC5"/>
    <w:rsid w:val="38BD38B5"/>
    <w:rsid w:val="38BE13DB"/>
    <w:rsid w:val="38C06F01"/>
    <w:rsid w:val="38C22C79"/>
    <w:rsid w:val="38C2711D"/>
    <w:rsid w:val="38C42E95"/>
    <w:rsid w:val="38C4326F"/>
    <w:rsid w:val="38C8225A"/>
    <w:rsid w:val="38CC1D4A"/>
    <w:rsid w:val="38D330D8"/>
    <w:rsid w:val="38D34E86"/>
    <w:rsid w:val="38D806EF"/>
    <w:rsid w:val="38D8249D"/>
    <w:rsid w:val="38D8372A"/>
    <w:rsid w:val="38D841A6"/>
    <w:rsid w:val="38DD3F57"/>
    <w:rsid w:val="38E057F5"/>
    <w:rsid w:val="38E2156D"/>
    <w:rsid w:val="38E52E0C"/>
    <w:rsid w:val="38E946AA"/>
    <w:rsid w:val="38ED3A6E"/>
    <w:rsid w:val="38F01FC4"/>
    <w:rsid w:val="38F117B0"/>
    <w:rsid w:val="38F44DFD"/>
    <w:rsid w:val="38F82B3F"/>
    <w:rsid w:val="38F8669B"/>
    <w:rsid w:val="38F92413"/>
    <w:rsid w:val="38FA68B7"/>
    <w:rsid w:val="38FB262F"/>
    <w:rsid w:val="38FB608F"/>
    <w:rsid w:val="38FB618B"/>
    <w:rsid w:val="390019F4"/>
    <w:rsid w:val="3902751A"/>
    <w:rsid w:val="390B0AC4"/>
    <w:rsid w:val="390E5EBF"/>
    <w:rsid w:val="390F49E4"/>
    <w:rsid w:val="39111E53"/>
    <w:rsid w:val="391907BB"/>
    <w:rsid w:val="39225E0E"/>
    <w:rsid w:val="39227BBC"/>
    <w:rsid w:val="39241B86"/>
    <w:rsid w:val="392456E2"/>
    <w:rsid w:val="3925145A"/>
    <w:rsid w:val="39273424"/>
    <w:rsid w:val="39275AE1"/>
    <w:rsid w:val="392A5BA3"/>
    <w:rsid w:val="392D1953"/>
    <w:rsid w:val="3930052B"/>
    <w:rsid w:val="39396CB4"/>
    <w:rsid w:val="393B2A2C"/>
    <w:rsid w:val="393F076E"/>
    <w:rsid w:val="393F42CA"/>
    <w:rsid w:val="39400042"/>
    <w:rsid w:val="39477622"/>
    <w:rsid w:val="394A0EC1"/>
    <w:rsid w:val="394A2C6F"/>
    <w:rsid w:val="3950297B"/>
    <w:rsid w:val="39504729"/>
    <w:rsid w:val="39534219"/>
    <w:rsid w:val="39561614"/>
    <w:rsid w:val="39565AB7"/>
    <w:rsid w:val="395835DE"/>
    <w:rsid w:val="395A1104"/>
    <w:rsid w:val="395A55A8"/>
    <w:rsid w:val="395A7356"/>
    <w:rsid w:val="395B30CE"/>
    <w:rsid w:val="395B4E7C"/>
    <w:rsid w:val="395D29A2"/>
    <w:rsid w:val="395F3352"/>
    <w:rsid w:val="3962620A"/>
    <w:rsid w:val="39655A83"/>
    <w:rsid w:val="396627FA"/>
    <w:rsid w:val="3969383E"/>
    <w:rsid w:val="396C0E37"/>
    <w:rsid w:val="39730417"/>
    <w:rsid w:val="39755F3E"/>
    <w:rsid w:val="397A3554"/>
    <w:rsid w:val="397D4DF2"/>
    <w:rsid w:val="398268AC"/>
    <w:rsid w:val="398C14D9"/>
    <w:rsid w:val="39904B26"/>
    <w:rsid w:val="39965EB4"/>
    <w:rsid w:val="399C796E"/>
    <w:rsid w:val="39A22AAB"/>
    <w:rsid w:val="39A46823"/>
    <w:rsid w:val="39A6259B"/>
    <w:rsid w:val="39A93E39"/>
    <w:rsid w:val="39A95BE7"/>
    <w:rsid w:val="39AC0218"/>
    <w:rsid w:val="39AE76A2"/>
    <w:rsid w:val="39B2551A"/>
    <w:rsid w:val="39B51230"/>
    <w:rsid w:val="39B5458C"/>
    <w:rsid w:val="39BC591B"/>
    <w:rsid w:val="39BF540B"/>
    <w:rsid w:val="39C90037"/>
    <w:rsid w:val="39C944DB"/>
    <w:rsid w:val="39CB2002"/>
    <w:rsid w:val="39CE1AF2"/>
    <w:rsid w:val="39CE38A0"/>
    <w:rsid w:val="39D569DC"/>
    <w:rsid w:val="39D87235"/>
    <w:rsid w:val="39E41315"/>
    <w:rsid w:val="39E82BB3"/>
    <w:rsid w:val="39E9692C"/>
    <w:rsid w:val="39ED1F78"/>
    <w:rsid w:val="39F06BFD"/>
    <w:rsid w:val="39F229AD"/>
    <w:rsid w:val="39F2758E"/>
    <w:rsid w:val="39F552D0"/>
    <w:rsid w:val="39F72DF7"/>
    <w:rsid w:val="39F74BA5"/>
    <w:rsid w:val="39F96B6F"/>
    <w:rsid w:val="39FF1FC1"/>
    <w:rsid w:val="39FF7EFD"/>
    <w:rsid w:val="3A0177D1"/>
    <w:rsid w:val="3A0472C2"/>
    <w:rsid w:val="3A057993"/>
    <w:rsid w:val="3A06128C"/>
    <w:rsid w:val="3A0948D8"/>
    <w:rsid w:val="3A0A0D7C"/>
    <w:rsid w:val="3A0D261A"/>
    <w:rsid w:val="3A10210A"/>
    <w:rsid w:val="3A103EB8"/>
    <w:rsid w:val="3A1219DE"/>
    <w:rsid w:val="3A12378C"/>
    <w:rsid w:val="3A15327D"/>
    <w:rsid w:val="3A175247"/>
    <w:rsid w:val="3A1F5EA9"/>
    <w:rsid w:val="3A211C22"/>
    <w:rsid w:val="3A231E3E"/>
    <w:rsid w:val="3A2B484E"/>
    <w:rsid w:val="3A2B6F44"/>
    <w:rsid w:val="3A2C2EC2"/>
    <w:rsid w:val="3A371445"/>
    <w:rsid w:val="3A3A2CE3"/>
    <w:rsid w:val="3A3E0A25"/>
    <w:rsid w:val="3A3E4582"/>
    <w:rsid w:val="3A43428E"/>
    <w:rsid w:val="3A4678DA"/>
    <w:rsid w:val="3A4A5A36"/>
    <w:rsid w:val="3A4F7367"/>
    <w:rsid w:val="3A500759"/>
    <w:rsid w:val="3A543DA5"/>
    <w:rsid w:val="3A5A0A10"/>
    <w:rsid w:val="3A614714"/>
    <w:rsid w:val="3A655FB2"/>
    <w:rsid w:val="3A661D2A"/>
    <w:rsid w:val="3A6B7341"/>
    <w:rsid w:val="3A6F6E31"/>
    <w:rsid w:val="3A704957"/>
    <w:rsid w:val="3A736762"/>
    <w:rsid w:val="3A742699"/>
    <w:rsid w:val="3A751F6D"/>
    <w:rsid w:val="3A797CAF"/>
    <w:rsid w:val="3A7D77A0"/>
    <w:rsid w:val="3A7E7074"/>
    <w:rsid w:val="3A816B64"/>
    <w:rsid w:val="3A830B2E"/>
    <w:rsid w:val="3A83468A"/>
    <w:rsid w:val="3A856654"/>
    <w:rsid w:val="3A86417A"/>
    <w:rsid w:val="3A872B9C"/>
    <w:rsid w:val="3A8C79E3"/>
    <w:rsid w:val="3A940645"/>
    <w:rsid w:val="3A9647EE"/>
    <w:rsid w:val="3A9814D2"/>
    <w:rsid w:val="3A992100"/>
    <w:rsid w:val="3A995C5C"/>
    <w:rsid w:val="3A9C399E"/>
    <w:rsid w:val="3A9C574C"/>
    <w:rsid w:val="3A9E14C4"/>
    <w:rsid w:val="3AA12D62"/>
    <w:rsid w:val="3AA20FB4"/>
    <w:rsid w:val="3AA36ADA"/>
    <w:rsid w:val="3AA60379"/>
    <w:rsid w:val="3AAF547F"/>
    <w:rsid w:val="3AB24F6F"/>
    <w:rsid w:val="3AB605BC"/>
    <w:rsid w:val="3AB60AA8"/>
    <w:rsid w:val="3AB95FDB"/>
    <w:rsid w:val="3AC23405"/>
    <w:rsid w:val="3AC70A1B"/>
    <w:rsid w:val="3AC75562"/>
    <w:rsid w:val="3AC76C6D"/>
    <w:rsid w:val="3AC802EF"/>
    <w:rsid w:val="3AC84793"/>
    <w:rsid w:val="3ACA050B"/>
    <w:rsid w:val="3ACA4067"/>
    <w:rsid w:val="3ACE7FFB"/>
    <w:rsid w:val="3AD44EE6"/>
    <w:rsid w:val="3AD9108C"/>
    <w:rsid w:val="3AD924FC"/>
    <w:rsid w:val="3ADD1FEC"/>
    <w:rsid w:val="3ADE7B13"/>
    <w:rsid w:val="3AE0388B"/>
    <w:rsid w:val="3AE27603"/>
    <w:rsid w:val="3AE3337B"/>
    <w:rsid w:val="3AE50EA1"/>
    <w:rsid w:val="3AE570F3"/>
    <w:rsid w:val="3AE72E6B"/>
    <w:rsid w:val="3AEC66D3"/>
    <w:rsid w:val="3AED7D56"/>
    <w:rsid w:val="3AF15A98"/>
    <w:rsid w:val="3AF410E4"/>
    <w:rsid w:val="3AF70BD4"/>
    <w:rsid w:val="3AFD443D"/>
    <w:rsid w:val="3AFE01B5"/>
    <w:rsid w:val="3B070E17"/>
    <w:rsid w:val="3B0C5BB1"/>
    <w:rsid w:val="3B0E4884"/>
    <w:rsid w:val="3B133C60"/>
    <w:rsid w:val="3B1479D8"/>
    <w:rsid w:val="3B181276"/>
    <w:rsid w:val="3B1A3241"/>
    <w:rsid w:val="3B1E2BB4"/>
    <w:rsid w:val="3B2714BA"/>
    <w:rsid w:val="3B281408"/>
    <w:rsid w:val="3B286FE0"/>
    <w:rsid w:val="3B2A65B2"/>
    <w:rsid w:val="3B312338"/>
    <w:rsid w:val="3B343BD6"/>
    <w:rsid w:val="3B345984"/>
    <w:rsid w:val="3B3B6D13"/>
    <w:rsid w:val="3B3D0CDD"/>
    <w:rsid w:val="3B3F4A55"/>
    <w:rsid w:val="3B4007CD"/>
    <w:rsid w:val="3B4770E1"/>
    <w:rsid w:val="3B4958D4"/>
    <w:rsid w:val="3B4E6A46"/>
    <w:rsid w:val="3B4F27BE"/>
    <w:rsid w:val="3B506C62"/>
    <w:rsid w:val="3B514788"/>
    <w:rsid w:val="3B547DD5"/>
    <w:rsid w:val="3B583D69"/>
    <w:rsid w:val="3B5A188F"/>
    <w:rsid w:val="3B5A363D"/>
    <w:rsid w:val="3B5E2A01"/>
    <w:rsid w:val="3B5F50F7"/>
    <w:rsid w:val="3B60677A"/>
    <w:rsid w:val="3B64626A"/>
    <w:rsid w:val="3B673FAC"/>
    <w:rsid w:val="3B6B3A9C"/>
    <w:rsid w:val="3B6B584A"/>
    <w:rsid w:val="3B705171"/>
    <w:rsid w:val="3B732951"/>
    <w:rsid w:val="3B742225"/>
    <w:rsid w:val="3B7641EF"/>
    <w:rsid w:val="3B783AC3"/>
    <w:rsid w:val="3B7D732B"/>
    <w:rsid w:val="3B820DE6"/>
    <w:rsid w:val="3B824942"/>
    <w:rsid w:val="3B842468"/>
    <w:rsid w:val="3B8E32E7"/>
    <w:rsid w:val="3B934DA1"/>
    <w:rsid w:val="3B954675"/>
    <w:rsid w:val="3B971D33"/>
    <w:rsid w:val="3B9823B7"/>
    <w:rsid w:val="3B9B5A04"/>
    <w:rsid w:val="3B9D5C20"/>
    <w:rsid w:val="3B9F3746"/>
    <w:rsid w:val="3BA47D82"/>
    <w:rsid w:val="3BA743A8"/>
    <w:rsid w:val="3BA945C4"/>
    <w:rsid w:val="3BAB7ADE"/>
    <w:rsid w:val="3BAC19BF"/>
    <w:rsid w:val="3BAE3989"/>
    <w:rsid w:val="3BB227C9"/>
    <w:rsid w:val="3BB56AC5"/>
    <w:rsid w:val="3BB70A8F"/>
    <w:rsid w:val="3BBA40DC"/>
    <w:rsid w:val="3BC25DE6"/>
    <w:rsid w:val="3BC35686"/>
    <w:rsid w:val="3BC44DE6"/>
    <w:rsid w:val="3BC46D08"/>
    <w:rsid w:val="3BC60CD2"/>
    <w:rsid w:val="3BC66F24"/>
    <w:rsid w:val="3BD01B51"/>
    <w:rsid w:val="3BD11425"/>
    <w:rsid w:val="3BD17677"/>
    <w:rsid w:val="3BD3519D"/>
    <w:rsid w:val="3BD66A3C"/>
    <w:rsid w:val="3BD76E6C"/>
    <w:rsid w:val="3BD86C58"/>
    <w:rsid w:val="3BDC22A4"/>
    <w:rsid w:val="3BDD426E"/>
    <w:rsid w:val="3BDF7FE6"/>
    <w:rsid w:val="3BE13D5E"/>
    <w:rsid w:val="3BE63123"/>
    <w:rsid w:val="3BE70700"/>
    <w:rsid w:val="3BE70C49"/>
    <w:rsid w:val="3BE86E9B"/>
    <w:rsid w:val="3BE949C1"/>
    <w:rsid w:val="3BF03FA1"/>
    <w:rsid w:val="3BF05D4F"/>
    <w:rsid w:val="3BFA6BCE"/>
    <w:rsid w:val="3BFD046C"/>
    <w:rsid w:val="3BFE41AD"/>
    <w:rsid w:val="3BFF41E4"/>
    <w:rsid w:val="3C011D0B"/>
    <w:rsid w:val="3C0417FB"/>
    <w:rsid w:val="3C0637C5"/>
    <w:rsid w:val="3C095063"/>
    <w:rsid w:val="3C096E11"/>
    <w:rsid w:val="3C0D06AF"/>
    <w:rsid w:val="3C127E7E"/>
    <w:rsid w:val="3C1934F8"/>
    <w:rsid w:val="3C1C6B44"/>
    <w:rsid w:val="3C1E28BD"/>
    <w:rsid w:val="3C21415B"/>
    <w:rsid w:val="3C2679C3"/>
    <w:rsid w:val="3C2854E9"/>
    <w:rsid w:val="3C30439E"/>
    <w:rsid w:val="3C326368"/>
    <w:rsid w:val="3C4340D1"/>
    <w:rsid w:val="3C441B1A"/>
    <w:rsid w:val="3C5253E6"/>
    <w:rsid w:val="3C53008C"/>
    <w:rsid w:val="3C597D99"/>
    <w:rsid w:val="3C5B6911"/>
    <w:rsid w:val="3C601127"/>
    <w:rsid w:val="3C624897"/>
    <w:rsid w:val="3C687FDC"/>
    <w:rsid w:val="3C6B187A"/>
    <w:rsid w:val="3C6B3628"/>
    <w:rsid w:val="3C7872C9"/>
    <w:rsid w:val="3C7F0E81"/>
    <w:rsid w:val="3C830972"/>
    <w:rsid w:val="3C8445F3"/>
    <w:rsid w:val="3C8618CD"/>
    <w:rsid w:val="3C862210"/>
    <w:rsid w:val="3C88242C"/>
    <w:rsid w:val="3C8841DA"/>
    <w:rsid w:val="3C885F88"/>
    <w:rsid w:val="3C8B7826"/>
    <w:rsid w:val="3C926E07"/>
    <w:rsid w:val="3C9C5571"/>
    <w:rsid w:val="3CA134EE"/>
    <w:rsid w:val="3CAA4150"/>
    <w:rsid w:val="3CAD3C40"/>
    <w:rsid w:val="3CAF783E"/>
    <w:rsid w:val="3CAF79B9"/>
    <w:rsid w:val="3CB46D7D"/>
    <w:rsid w:val="3CC316B6"/>
    <w:rsid w:val="3CC64D02"/>
    <w:rsid w:val="3CCA47F2"/>
    <w:rsid w:val="3CCE56E1"/>
    <w:rsid w:val="3CD613E9"/>
    <w:rsid w:val="3CD8583C"/>
    <w:rsid w:val="3CDC4526"/>
    <w:rsid w:val="3CDE3DFA"/>
    <w:rsid w:val="3CDF1048"/>
    <w:rsid w:val="3CE5162C"/>
    <w:rsid w:val="3CE67CF2"/>
    <w:rsid w:val="3CED04E1"/>
    <w:rsid w:val="3CF1345D"/>
    <w:rsid w:val="3CF17FD1"/>
    <w:rsid w:val="3CF33CFA"/>
    <w:rsid w:val="3CF47AC1"/>
    <w:rsid w:val="3CF705BE"/>
    <w:rsid w:val="3CF7310E"/>
    <w:rsid w:val="3CF950D8"/>
    <w:rsid w:val="3CFB0E50"/>
    <w:rsid w:val="3CFB49AC"/>
    <w:rsid w:val="3CFE26EE"/>
    <w:rsid w:val="3CFE624A"/>
    <w:rsid w:val="3D006466"/>
    <w:rsid w:val="3D0221DE"/>
    <w:rsid w:val="3D05331A"/>
    <w:rsid w:val="3D066DC4"/>
    <w:rsid w:val="3D073351"/>
    <w:rsid w:val="3D0870C9"/>
    <w:rsid w:val="3D0E0B83"/>
    <w:rsid w:val="3D136199"/>
    <w:rsid w:val="3D145A6E"/>
    <w:rsid w:val="3D1B6DFC"/>
    <w:rsid w:val="3D204412"/>
    <w:rsid w:val="3D232155"/>
    <w:rsid w:val="3D235CB1"/>
    <w:rsid w:val="3D257C7B"/>
    <w:rsid w:val="3D2D6B2F"/>
    <w:rsid w:val="3D314871"/>
    <w:rsid w:val="3D347EBE"/>
    <w:rsid w:val="3D3A24DE"/>
    <w:rsid w:val="3D3B124C"/>
    <w:rsid w:val="3D3B56F0"/>
    <w:rsid w:val="3D474095"/>
    <w:rsid w:val="3D485717"/>
    <w:rsid w:val="3D491BBB"/>
    <w:rsid w:val="3D4F4CF8"/>
    <w:rsid w:val="3D5B18EE"/>
    <w:rsid w:val="3D5B544A"/>
    <w:rsid w:val="3D5E4F3B"/>
    <w:rsid w:val="3D600CB3"/>
    <w:rsid w:val="3D605157"/>
    <w:rsid w:val="3D69400B"/>
    <w:rsid w:val="3D6A7D83"/>
    <w:rsid w:val="3D6C58AA"/>
    <w:rsid w:val="3D6E5CC0"/>
    <w:rsid w:val="3D714C6E"/>
    <w:rsid w:val="3D7D1865"/>
    <w:rsid w:val="3D7F55DD"/>
    <w:rsid w:val="3D803103"/>
    <w:rsid w:val="3D840E45"/>
    <w:rsid w:val="3D891FB8"/>
    <w:rsid w:val="3D8C7CFA"/>
    <w:rsid w:val="3D8D2FC5"/>
    <w:rsid w:val="3D915310"/>
    <w:rsid w:val="3D931088"/>
    <w:rsid w:val="3D9646D4"/>
    <w:rsid w:val="3D98044D"/>
    <w:rsid w:val="3D9A2417"/>
    <w:rsid w:val="3D9A6E6F"/>
    <w:rsid w:val="3D9F17DB"/>
    <w:rsid w:val="3D9F50BB"/>
    <w:rsid w:val="3DA05C59"/>
    <w:rsid w:val="3DA74B34"/>
    <w:rsid w:val="3DA94408"/>
    <w:rsid w:val="3DAA0180"/>
    <w:rsid w:val="3DAC214A"/>
    <w:rsid w:val="3DB66B25"/>
    <w:rsid w:val="3DB72FC9"/>
    <w:rsid w:val="3DBA6615"/>
    <w:rsid w:val="3DBD6105"/>
    <w:rsid w:val="3DBE5819"/>
    <w:rsid w:val="3DC2196D"/>
    <w:rsid w:val="3DC76F84"/>
    <w:rsid w:val="3DC868CB"/>
    <w:rsid w:val="3DCB0822"/>
    <w:rsid w:val="3DCB524C"/>
    <w:rsid w:val="3DCC00F6"/>
    <w:rsid w:val="3DCC459A"/>
    <w:rsid w:val="3DCE3E6E"/>
    <w:rsid w:val="3DD27E02"/>
    <w:rsid w:val="3DD74F30"/>
    <w:rsid w:val="3DDB38E6"/>
    <w:rsid w:val="3DE43692"/>
    <w:rsid w:val="3DEC0798"/>
    <w:rsid w:val="3DEC2546"/>
    <w:rsid w:val="3DF05AD7"/>
    <w:rsid w:val="3DF338D5"/>
    <w:rsid w:val="3DF52AB7"/>
    <w:rsid w:val="3DF60325"/>
    <w:rsid w:val="3DF77869"/>
    <w:rsid w:val="3DFA2EB5"/>
    <w:rsid w:val="3DFE2CAC"/>
    <w:rsid w:val="3E021D6A"/>
    <w:rsid w:val="3E027FBC"/>
    <w:rsid w:val="3E045AE2"/>
    <w:rsid w:val="3E083824"/>
    <w:rsid w:val="3E0E4BB3"/>
    <w:rsid w:val="3E173A67"/>
    <w:rsid w:val="3E175815"/>
    <w:rsid w:val="3E18158D"/>
    <w:rsid w:val="3E1D4DF6"/>
    <w:rsid w:val="3E210442"/>
    <w:rsid w:val="3E246184"/>
    <w:rsid w:val="3E2B306F"/>
    <w:rsid w:val="3E2B6A45"/>
    <w:rsid w:val="3E2E7003"/>
    <w:rsid w:val="3E300685"/>
    <w:rsid w:val="3E38578C"/>
    <w:rsid w:val="3E3C34CE"/>
    <w:rsid w:val="3E3E7246"/>
    <w:rsid w:val="3E426AC0"/>
    <w:rsid w:val="3E46434D"/>
    <w:rsid w:val="3E495BEB"/>
    <w:rsid w:val="3E497999"/>
    <w:rsid w:val="3E4B1963"/>
    <w:rsid w:val="3E4F1453"/>
    <w:rsid w:val="3E522CF1"/>
    <w:rsid w:val="3E587BDC"/>
    <w:rsid w:val="3E5915D6"/>
    <w:rsid w:val="3E5E1696"/>
    <w:rsid w:val="3E5F540E"/>
    <w:rsid w:val="3E612F34"/>
    <w:rsid w:val="3E614CE2"/>
    <w:rsid w:val="3E636CAD"/>
    <w:rsid w:val="3E637BA2"/>
    <w:rsid w:val="3E6842C3"/>
    <w:rsid w:val="3E691DE9"/>
    <w:rsid w:val="3E6A003B"/>
    <w:rsid w:val="3E6B790F"/>
    <w:rsid w:val="3E7013C9"/>
    <w:rsid w:val="3E734A16"/>
    <w:rsid w:val="3E7964D0"/>
    <w:rsid w:val="3E7E7642"/>
    <w:rsid w:val="3E80785E"/>
    <w:rsid w:val="3E8135D7"/>
    <w:rsid w:val="3E817133"/>
    <w:rsid w:val="3E8310FD"/>
    <w:rsid w:val="3E894239"/>
    <w:rsid w:val="3E8F7A53"/>
    <w:rsid w:val="3E92505C"/>
    <w:rsid w:val="3E970704"/>
    <w:rsid w:val="3E974BA8"/>
    <w:rsid w:val="3E99447C"/>
    <w:rsid w:val="3E9E487F"/>
    <w:rsid w:val="3EA90437"/>
    <w:rsid w:val="3EAD7F28"/>
    <w:rsid w:val="3EB63280"/>
    <w:rsid w:val="3EB92D70"/>
    <w:rsid w:val="3EBB259E"/>
    <w:rsid w:val="3EBC016B"/>
    <w:rsid w:val="3EC62D97"/>
    <w:rsid w:val="3EC86B10"/>
    <w:rsid w:val="3ECD4126"/>
    <w:rsid w:val="3ED71449"/>
    <w:rsid w:val="3ED74FA5"/>
    <w:rsid w:val="3ED92ACB"/>
    <w:rsid w:val="3ED96F6F"/>
    <w:rsid w:val="3EDA60FC"/>
    <w:rsid w:val="3EDC080D"/>
    <w:rsid w:val="3EE15DFE"/>
    <w:rsid w:val="3EE41BAE"/>
    <w:rsid w:val="3EE93D37"/>
    <w:rsid w:val="3EEB27FE"/>
    <w:rsid w:val="3EF1250A"/>
    <w:rsid w:val="3EF26282"/>
    <w:rsid w:val="3EF67B21"/>
    <w:rsid w:val="3EF9316D"/>
    <w:rsid w:val="3EF94F1B"/>
    <w:rsid w:val="3EFC4A0B"/>
    <w:rsid w:val="3EFD266B"/>
    <w:rsid w:val="3EFE4C27"/>
    <w:rsid w:val="3F0062A9"/>
    <w:rsid w:val="3F033FEC"/>
    <w:rsid w:val="3F035D9A"/>
    <w:rsid w:val="3F067638"/>
    <w:rsid w:val="3F0F2990"/>
    <w:rsid w:val="3F141D55"/>
    <w:rsid w:val="3F165ACD"/>
    <w:rsid w:val="3F1B322A"/>
    <w:rsid w:val="3F1D32FF"/>
    <w:rsid w:val="3F214472"/>
    <w:rsid w:val="3F277CDA"/>
    <w:rsid w:val="3F2C3542"/>
    <w:rsid w:val="3F2C52F0"/>
    <w:rsid w:val="3F2D6C63"/>
    <w:rsid w:val="3F2F6B8F"/>
    <w:rsid w:val="3F373C95"/>
    <w:rsid w:val="3F3B19D7"/>
    <w:rsid w:val="3F3C52C8"/>
    <w:rsid w:val="3F402B4A"/>
    <w:rsid w:val="3F422D66"/>
    <w:rsid w:val="3F450160"/>
    <w:rsid w:val="3F542A99"/>
    <w:rsid w:val="3F584337"/>
    <w:rsid w:val="3F5B5BD6"/>
    <w:rsid w:val="3F620D12"/>
    <w:rsid w:val="3F6B149A"/>
    <w:rsid w:val="3F6F78D3"/>
    <w:rsid w:val="3F732F1F"/>
    <w:rsid w:val="3F760C61"/>
    <w:rsid w:val="3F786788"/>
    <w:rsid w:val="3F7B6278"/>
    <w:rsid w:val="3F823162"/>
    <w:rsid w:val="3F852C53"/>
    <w:rsid w:val="3F854A01"/>
    <w:rsid w:val="3F8F3AD1"/>
    <w:rsid w:val="3F917849"/>
    <w:rsid w:val="3F942E96"/>
    <w:rsid w:val="3F9609BC"/>
    <w:rsid w:val="3F977722"/>
    <w:rsid w:val="3F984734"/>
    <w:rsid w:val="3F9904AC"/>
    <w:rsid w:val="3F9966FE"/>
    <w:rsid w:val="3FA05CDE"/>
    <w:rsid w:val="3FA23805"/>
    <w:rsid w:val="3FA330D9"/>
    <w:rsid w:val="3FA532F5"/>
    <w:rsid w:val="3FA550A3"/>
    <w:rsid w:val="3FAC01DF"/>
    <w:rsid w:val="3FAC4683"/>
    <w:rsid w:val="3FAF1A7E"/>
    <w:rsid w:val="3FB11C9A"/>
    <w:rsid w:val="3FB452E6"/>
    <w:rsid w:val="3FB53538"/>
    <w:rsid w:val="3FB62E0C"/>
    <w:rsid w:val="3FB86B84"/>
    <w:rsid w:val="3FBB0422"/>
    <w:rsid w:val="3FBD250E"/>
    <w:rsid w:val="3FBF43B6"/>
    <w:rsid w:val="3FCA4B09"/>
    <w:rsid w:val="3FCC6AD3"/>
    <w:rsid w:val="3FCD653E"/>
    <w:rsid w:val="3FCE63A8"/>
    <w:rsid w:val="3FCF6064"/>
    <w:rsid w:val="3FD074F4"/>
    <w:rsid w:val="3FD17C46"/>
    <w:rsid w:val="3FD61700"/>
    <w:rsid w:val="3FD9797E"/>
    <w:rsid w:val="3FDD483D"/>
    <w:rsid w:val="3FDF4E54"/>
    <w:rsid w:val="3FE0432D"/>
    <w:rsid w:val="3FE47979"/>
    <w:rsid w:val="3FE536F1"/>
    <w:rsid w:val="3FE71217"/>
    <w:rsid w:val="3FE742EB"/>
    <w:rsid w:val="3FE756BB"/>
    <w:rsid w:val="3FEE25A6"/>
    <w:rsid w:val="3FF04570"/>
    <w:rsid w:val="3FF12096"/>
    <w:rsid w:val="3FF57DD8"/>
    <w:rsid w:val="3FFA0F4B"/>
    <w:rsid w:val="3FFB43AD"/>
    <w:rsid w:val="3FFD0A3B"/>
    <w:rsid w:val="40026051"/>
    <w:rsid w:val="4004001B"/>
    <w:rsid w:val="400B13AA"/>
    <w:rsid w:val="400E49F6"/>
    <w:rsid w:val="40183AC7"/>
    <w:rsid w:val="40210BCD"/>
    <w:rsid w:val="40267F92"/>
    <w:rsid w:val="40270EDD"/>
    <w:rsid w:val="402C1320"/>
    <w:rsid w:val="40324B88"/>
    <w:rsid w:val="40353AD0"/>
    <w:rsid w:val="40387CC5"/>
    <w:rsid w:val="403A1C8F"/>
    <w:rsid w:val="403A57EB"/>
    <w:rsid w:val="403F72A5"/>
    <w:rsid w:val="404623E2"/>
    <w:rsid w:val="40490124"/>
    <w:rsid w:val="404B3E9C"/>
    <w:rsid w:val="40520D87"/>
    <w:rsid w:val="40556AC9"/>
    <w:rsid w:val="4057639D"/>
    <w:rsid w:val="40596C33"/>
    <w:rsid w:val="406867FC"/>
    <w:rsid w:val="406B1E48"/>
    <w:rsid w:val="406D5519"/>
    <w:rsid w:val="406E36E7"/>
    <w:rsid w:val="40714F85"/>
    <w:rsid w:val="407707ED"/>
    <w:rsid w:val="40786313"/>
    <w:rsid w:val="407A208B"/>
    <w:rsid w:val="407E7DCE"/>
    <w:rsid w:val="4082128C"/>
    <w:rsid w:val="40844CB8"/>
    <w:rsid w:val="40896772"/>
    <w:rsid w:val="408A49C4"/>
    <w:rsid w:val="40925627"/>
    <w:rsid w:val="40A13328"/>
    <w:rsid w:val="40A35A86"/>
    <w:rsid w:val="40A4535A"/>
    <w:rsid w:val="40A8309D"/>
    <w:rsid w:val="40A84E4B"/>
    <w:rsid w:val="40A9471F"/>
    <w:rsid w:val="40B21825"/>
    <w:rsid w:val="40B67886"/>
    <w:rsid w:val="40B7508E"/>
    <w:rsid w:val="40C854ED"/>
    <w:rsid w:val="40C94DC1"/>
    <w:rsid w:val="40CF23D7"/>
    <w:rsid w:val="40D043A1"/>
    <w:rsid w:val="40D7128C"/>
    <w:rsid w:val="40D75730"/>
    <w:rsid w:val="40D93256"/>
    <w:rsid w:val="40DA6FCE"/>
    <w:rsid w:val="40DC4AF4"/>
    <w:rsid w:val="40DD0533"/>
    <w:rsid w:val="40DF6392"/>
    <w:rsid w:val="40E021B1"/>
    <w:rsid w:val="40E13EB9"/>
    <w:rsid w:val="40E35E83"/>
    <w:rsid w:val="40E439A9"/>
    <w:rsid w:val="40E63BC5"/>
    <w:rsid w:val="40E818CB"/>
    <w:rsid w:val="40EF4827"/>
    <w:rsid w:val="40F260C6"/>
    <w:rsid w:val="40F55BB6"/>
    <w:rsid w:val="40F63E08"/>
    <w:rsid w:val="40FB7670"/>
    <w:rsid w:val="41004C87"/>
    <w:rsid w:val="410858E9"/>
    <w:rsid w:val="410F150F"/>
    <w:rsid w:val="411424E0"/>
    <w:rsid w:val="4114428E"/>
    <w:rsid w:val="411542E5"/>
    <w:rsid w:val="41175B2C"/>
    <w:rsid w:val="41200E85"/>
    <w:rsid w:val="412070D7"/>
    <w:rsid w:val="41275288"/>
    <w:rsid w:val="412A075C"/>
    <w:rsid w:val="412D70FE"/>
    <w:rsid w:val="412F10C8"/>
    <w:rsid w:val="41366161"/>
    <w:rsid w:val="413E57AF"/>
    <w:rsid w:val="413E755D"/>
    <w:rsid w:val="41432DC5"/>
    <w:rsid w:val="41434B73"/>
    <w:rsid w:val="41452699"/>
    <w:rsid w:val="414601C0"/>
    <w:rsid w:val="414F18C3"/>
    <w:rsid w:val="414F3518"/>
    <w:rsid w:val="4153125A"/>
    <w:rsid w:val="41594397"/>
    <w:rsid w:val="41596145"/>
    <w:rsid w:val="415B3C6B"/>
    <w:rsid w:val="415D3E87"/>
    <w:rsid w:val="415E375B"/>
    <w:rsid w:val="415E7F28"/>
    <w:rsid w:val="41601281"/>
    <w:rsid w:val="4162149D"/>
    <w:rsid w:val="41636FC4"/>
    <w:rsid w:val="41650F8E"/>
    <w:rsid w:val="416B7CF1"/>
    <w:rsid w:val="41727207"/>
    <w:rsid w:val="417967E7"/>
    <w:rsid w:val="417D0085"/>
    <w:rsid w:val="417E3DFD"/>
    <w:rsid w:val="417E7959"/>
    <w:rsid w:val="41856F3A"/>
    <w:rsid w:val="41874A60"/>
    <w:rsid w:val="418807D8"/>
    <w:rsid w:val="418C651A"/>
    <w:rsid w:val="418D4040"/>
    <w:rsid w:val="418E2292"/>
    <w:rsid w:val="41970A1B"/>
    <w:rsid w:val="41984EBF"/>
    <w:rsid w:val="41990C37"/>
    <w:rsid w:val="41A35612"/>
    <w:rsid w:val="41A82C28"/>
    <w:rsid w:val="41A90E7A"/>
    <w:rsid w:val="41AC44C7"/>
    <w:rsid w:val="41AF045B"/>
    <w:rsid w:val="41B15F81"/>
    <w:rsid w:val="41BE41FA"/>
    <w:rsid w:val="41BF5E34"/>
    <w:rsid w:val="41C31810"/>
    <w:rsid w:val="41C37A62"/>
    <w:rsid w:val="41C55588"/>
    <w:rsid w:val="41CE268F"/>
    <w:rsid w:val="41D34149"/>
    <w:rsid w:val="41D41C6F"/>
    <w:rsid w:val="41D57EC1"/>
    <w:rsid w:val="41D659E7"/>
    <w:rsid w:val="41E225DE"/>
    <w:rsid w:val="41E97960"/>
    <w:rsid w:val="41EA1493"/>
    <w:rsid w:val="41EF0857"/>
    <w:rsid w:val="41F145CF"/>
    <w:rsid w:val="41F1637D"/>
    <w:rsid w:val="41F335E3"/>
    <w:rsid w:val="42044303"/>
    <w:rsid w:val="42073DF3"/>
    <w:rsid w:val="420A5691"/>
    <w:rsid w:val="420E5181"/>
    <w:rsid w:val="42100EF9"/>
    <w:rsid w:val="42185BBC"/>
    <w:rsid w:val="421952FE"/>
    <w:rsid w:val="421F738E"/>
    <w:rsid w:val="42213106"/>
    <w:rsid w:val="422A188F"/>
    <w:rsid w:val="422B5D33"/>
    <w:rsid w:val="422B7AE1"/>
    <w:rsid w:val="422E312E"/>
    <w:rsid w:val="422E75D1"/>
    <w:rsid w:val="42350960"/>
    <w:rsid w:val="4235270E"/>
    <w:rsid w:val="423A7D24"/>
    <w:rsid w:val="42470693"/>
    <w:rsid w:val="424B3CDF"/>
    <w:rsid w:val="425132C0"/>
    <w:rsid w:val="4251506E"/>
    <w:rsid w:val="42521512"/>
    <w:rsid w:val="42554B5E"/>
    <w:rsid w:val="4258464E"/>
    <w:rsid w:val="425863FC"/>
    <w:rsid w:val="425D3A13"/>
    <w:rsid w:val="42644DA1"/>
    <w:rsid w:val="42664FBD"/>
    <w:rsid w:val="426923B8"/>
    <w:rsid w:val="426E5C20"/>
    <w:rsid w:val="42772D26"/>
    <w:rsid w:val="427871AA"/>
    <w:rsid w:val="427F7E2D"/>
    <w:rsid w:val="42813BA5"/>
    <w:rsid w:val="4283791D"/>
    <w:rsid w:val="42876CE2"/>
    <w:rsid w:val="42890CAC"/>
    <w:rsid w:val="428E2B11"/>
    <w:rsid w:val="42905B96"/>
    <w:rsid w:val="42945E67"/>
    <w:rsid w:val="42957651"/>
    <w:rsid w:val="429A6A15"/>
    <w:rsid w:val="42A57908"/>
    <w:rsid w:val="42A67168"/>
    <w:rsid w:val="42A87384"/>
    <w:rsid w:val="42A94EAA"/>
    <w:rsid w:val="42AD499A"/>
    <w:rsid w:val="42AE24C0"/>
    <w:rsid w:val="42B23D5F"/>
    <w:rsid w:val="42B4482C"/>
    <w:rsid w:val="42B623CE"/>
    <w:rsid w:val="42B775C7"/>
    <w:rsid w:val="42BC2E2F"/>
    <w:rsid w:val="42C57F36"/>
    <w:rsid w:val="42C615B8"/>
    <w:rsid w:val="42C65A5C"/>
    <w:rsid w:val="42CB3072"/>
    <w:rsid w:val="42CB4E20"/>
    <w:rsid w:val="42D261AF"/>
    <w:rsid w:val="42D27F5D"/>
    <w:rsid w:val="42D426D5"/>
    <w:rsid w:val="42DC0DDB"/>
    <w:rsid w:val="42DE18F7"/>
    <w:rsid w:val="42DF6B1E"/>
    <w:rsid w:val="42E45EE2"/>
    <w:rsid w:val="42E47C90"/>
    <w:rsid w:val="42E5365A"/>
    <w:rsid w:val="42EA799C"/>
    <w:rsid w:val="42F425C9"/>
    <w:rsid w:val="42F779C3"/>
    <w:rsid w:val="42FC147E"/>
    <w:rsid w:val="42FD155E"/>
    <w:rsid w:val="43010842"/>
    <w:rsid w:val="43030A5E"/>
    <w:rsid w:val="430345BA"/>
    <w:rsid w:val="430B346F"/>
    <w:rsid w:val="4315253F"/>
    <w:rsid w:val="431542ED"/>
    <w:rsid w:val="43170066"/>
    <w:rsid w:val="43193DDE"/>
    <w:rsid w:val="431C38CE"/>
    <w:rsid w:val="431C7A3B"/>
    <w:rsid w:val="432033BE"/>
    <w:rsid w:val="4320516C"/>
    <w:rsid w:val="43212C92"/>
    <w:rsid w:val="43252782"/>
    <w:rsid w:val="432E715D"/>
    <w:rsid w:val="432F1853"/>
    <w:rsid w:val="432F53AF"/>
    <w:rsid w:val="43317379"/>
    <w:rsid w:val="43340C18"/>
    <w:rsid w:val="4335673E"/>
    <w:rsid w:val="43397FDC"/>
    <w:rsid w:val="433C41A2"/>
    <w:rsid w:val="43452E25"/>
    <w:rsid w:val="43454BD3"/>
    <w:rsid w:val="43486471"/>
    <w:rsid w:val="434D1CD9"/>
    <w:rsid w:val="435B61A4"/>
    <w:rsid w:val="43601A0D"/>
    <w:rsid w:val="43650DD1"/>
    <w:rsid w:val="43664B49"/>
    <w:rsid w:val="43672D9B"/>
    <w:rsid w:val="436808C1"/>
    <w:rsid w:val="436D237B"/>
    <w:rsid w:val="4374370A"/>
    <w:rsid w:val="43784FA8"/>
    <w:rsid w:val="43792ACE"/>
    <w:rsid w:val="437B23A2"/>
    <w:rsid w:val="437E6337"/>
    <w:rsid w:val="438374A9"/>
    <w:rsid w:val="43851473"/>
    <w:rsid w:val="43853221"/>
    <w:rsid w:val="438576C5"/>
    <w:rsid w:val="43860D47"/>
    <w:rsid w:val="43866F99"/>
    <w:rsid w:val="4387343D"/>
    <w:rsid w:val="43877E89"/>
    <w:rsid w:val="438A0837"/>
    <w:rsid w:val="438B197B"/>
    <w:rsid w:val="438F22F2"/>
    <w:rsid w:val="438F5E4E"/>
    <w:rsid w:val="439416B6"/>
    <w:rsid w:val="43963680"/>
    <w:rsid w:val="43972F54"/>
    <w:rsid w:val="43994F1E"/>
    <w:rsid w:val="43A15B81"/>
    <w:rsid w:val="43A23DD3"/>
    <w:rsid w:val="43A35D9D"/>
    <w:rsid w:val="43AE3034"/>
    <w:rsid w:val="43AF4742"/>
    <w:rsid w:val="43B03E7E"/>
    <w:rsid w:val="43B34232"/>
    <w:rsid w:val="43C006FD"/>
    <w:rsid w:val="43C33D49"/>
    <w:rsid w:val="43C401ED"/>
    <w:rsid w:val="43C55D14"/>
    <w:rsid w:val="43CC2BFE"/>
    <w:rsid w:val="43CE2E1A"/>
    <w:rsid w:val="43CF0940"/>
    <w:rsid w:val="43CF6B92"/>
    <w:rsid w:val="43D30430"/>
    <w:rsid w:val="43D441A9"/>
    <w:rsid w:val="43D67F21"/>
    <w:rsid w:val="43D855F5"/>
    <w:rsid w:val="43D877F5"/>
    <w:rsid w:val="43D9531B"/>
    <w:rsid w:val="43DB1093"/>
    <w:rsid w:val="43DB39F9"/>
    <w:rsid w:val="43DD4E0B"/>
    <w:rsid w:val="43E02B4D"/>
    <w:rsid w:val="43EA221D"/>
    <w:rsid w:val="43EE7018"/>
    <w:rsid w:val="43F403A7"/>
    <w:rsid w:val="43F6411F"/>
    <w:rsid w:val="43F839F3"/>
    <w:rsid w:val="43FB7987"/>
    <w:rsid w:val="43FC2ACB"/>
    <w:rsid w:val="43FF1225"/>
    <w:rsid w:val="44020D16"/>
    <w:rsid w:val="44071E88"/>
    <w:rsid w:val="440E76BA"/>
    <w:rsid w:val="44103433"/>
    <w:rsid w:val="441B5933"/>
    <w:rsid w:val="441D5B50"/>
    <w:rsid w:val="441D78FE"/>
    <w:rsid w:val="441F3676"/>
    <w:rsid w:val="442D7710"/>
    <w:rsid w:val="443133A9"/>
    <w:rsid w:val="44337121"/>
    <w:rsid w:val="443410EC"/>
    <w:rsid w:val="443469F5"/>
    <w:rsid w:val="44352E99"/>
    <w:rsid w:val="443941AE"/>
    <w:rsid w:val="443B5FD6"/>
    <w:rsid w:val="443E3252"/>
    <w:rsid w:val="4441183E"/>
    <w:rsid w:val="444255B6"/>
    <w:rsid w:val="44446C38"/>
    <w:rsid w:val="4445308E"/>
    <w:rsid w:val="44476729"/>
    <w:rsid w:val="444924A1"/>
    <w:rsid w:val="444B446B"/>
    <w:rsid w:val="444C01E3"/>
    <w:rsid w:val="445B4977"/>
    <w:rsid w:val="44635CDA"/>
    <w:rsid w:val="44641089"/>
    <w:rsid w:val="4464552C"/>
    <w:rsid w:val="44663053"/>
    <w:rsid w:val="446C2633"/>
    <w:rsid w:val="446E63AB"/>
    <w:rsid w:val="44783E9F"/>
    <w:rsid w:val="44784B34"/>
    <w:rsid w:val="447C2876"/>
    <w:rsid w:val="447F5EC2"/>
    <w:rsid w:val="448160DE"/>
    <w:rsid w:val="44823C05"/>
    <w:rsid w:val="4488746D"/>
    <w:rsid w:val="44894F93"/>
    <w:rsid w:val="448B0D0B"/>
    <w:rsid w:val="448C6831"/>
    <w:rsid w:val="4494116A"/>
    <w:rsid w:val="449D459A"/>
    <w:rsid w:val="449F6565"/>
    <w:rsid w:val="44A6065D"/>
    <w:rsid w:val="44A818BD"/>
    <w:rsid w:val="44A973E3"/>
    <w:rsid w:val="44B02520"/>
    <w:rsid w:val="44B26C00"/>
    <w:rsid w:val="44B738AE"/>
    <w:rsid w:val="44BA15F0"/>
    <w:rsid w:val="44BC2C73"/>
    <w:rsid w:val="44BD51A3"/>
    <w:rsid w:val="44BD69EB"/>
    <w:rsid w:val="44BE2106"/>
    <w:rsid w:val="44C304A5"/>
    <w:rsid w:val="44C4421D"/>
    <w:rsid w:val="44CB55AC"/>
    <w:rsid w:val="44CE29A6"/>
    <w:rsid w:val="44D02BC2"/>
    <w:rsid w:val="44D13619"/>
    <w:rsid w:val="44DC1567"/>
    <w:rsid w:val="44E421C9"/>
    <w:rsid w:val="44E64193"/>
    <w:rsid w:val="44E81CBA"/>
    <w:rsid w:val="44E93C84"/>
    <w:rsid w:val="44E95A32"/>
    <w:rsid w:val="44EB79FC"/>
    <w:rsid w:val="44F3240C"/>
    <w:rsid w:val="44F85C75"/>
    <w:rsid w:val="4502359D"/>
    <w:rsid w:val="4504286C"/>
    <w:rsid w:val="45050ABD"/>
    <w:rsid w:val="45126D36"/>
    <w:rsid w:val="4513059E"/>
    <w:rsid w:val="45216F7A"/>
    <w:rsid w:val="452847AC"/>
    <w:rsid w:val="4528655A"/>
    <w:rsid w:val="452B429C"/>
    <w:rsid w:val="452B604A"/>
    <w:rsid w:val="452B7DF8"/>
    <w:rsid w:val="452D1DC2"/>
    <w:rsid w:val="45343151"/>
    <w:rsid w:val="45352A25"/>
    <w:rsid w:val="453942C3"/>
    <w:rsid w:val="453B44DF"/>
    <w:rsid w:val="453C0257"/>
    <w:rsid w:val="453C3DB3"/>
    <w:rsid w:val="4545710C"/>
    <w:rsid w:val="45462E84"/>
    <w:rsid w:val="454B3FF6"/>
    <w:rsid w:val="454F7F8B"/>
    <w:rsid w:val="4554734F"/>
    <w:rsid w:val="4557299B"/>
    <w:rsid w:val="45592BB7"/>
    <w:rsid w:val="45637592"/>
    <w:rsid w:val="45660E30"/>
    <w:rsid w:val="45684BA8"/>
    <w:rsid w:val="45686297"/>
    <w:rsid w:val="456F5F37"/>
    <w:rsid w:val="45701CAF"/>
    <w:rsid w:val="457277D5"/>
    <w:rsid w:val="4577128F"/>
    <w:rsid w:val="457C2402"/>
    <w:rsid w:val="457E261E"/>
    <w:rsid w:val="45806396"/>
    <w:rsid w:val="4582210E"/>
    <w:rsid w:val="458A2D71"/>
    <w:rsid w:val="458A54DC"/>
    <w:rsid w:val="4594599D"/>
    <w:rsid w:val="459736E0"/>
    <w:rsid w:val="459C04E5"/>
    <w:rsid w:val="459C0CF6"/>
    <w:rsid w:val="459C1ED4"/>
    <w:rsid w:val="45A656D1"/>
    <w:rsid w:val="45AC718B"/>
    <w:rsid w:val="45AC7FDA"/>
    <w:rsid w:val="45B20519"/>
    <w:rsid w:val="45B5108C"/>
    <w:rsid w:val="45B7168C"/>
    <w:rsid w:val="45B750ED"/>
    <w:rsid w:val="45B93656"/>
    <w:rsid w:val="45BC1432"/>
    <w:rsid w:val="45C02C36"/>
    <w:rsid w:val="45C049E4"/>
    <w:rsid w:val="45C67564"/>
    <w:rsid w:val="45C67B21"/>
    <w:rsid w:val="45CA5863"/>
    <w:rsid w:val="45CA7611"/>
    <w:rsid w:val="45CD0EAF"/>
    <w:rsid w:val="45CF69D6"/>
    <w:rsid w:val="45D87F80"/>
    <w:rsid w:val="45DE4E6B"/>
    <w:rsid w:val="45E618D3"/>
    <w:rsid w:val="45E76415"/>
    <w:rsid w:val="45EF63C6"/>
    <w:rsid w:val="45F11042"/>
    <w:rsid w:val="45F20916"/>
    <w:rsid w:val="45F36B68"/>
    <w:rsid w:val="45F97EF6"/>
    <w:rsid w:val="45FB77CB"/>
    <w:rsid w:val="46004DE1"/>
    <w:rsid w:val="46110CFF"/>
    <w:rsid w:val="46115240"/>
    <w:rsid w:val="4613720A"/>
    <w:rsid w:val="4618037D"/>
    <w:rsid w:val="461865CE"/>
    <w:rsid w:val="461D7ECF"/>
    <w:rsid w:val="46205483"/>
    <w:rsid w:val="4629258A"/>
    <w:rsid w:val="462A00B0"/>
    <w:rsid w:val="462A4554"/>
    <w:rsid w:val="462C207A"/>
    <w:rsid w:val="462C3E28"/>
    <w:rsid w:val="462F1B6A"/>
    <w:rsid w:val="462F3918"/>
    <w:rsid w:val="46340F2E"/>
    <w:rsid w:val="46362EF9"/>
    <w:rsid w:val="463762D1"/>
    <w:rsid w:val="463A6393"/>
    <w:rsid w:val="463B15AE"/>
    <w:rsid w:val="463B1C84"/>
    <w:rsid w:val="46401681"/>
    <w:rsid w:val="46405B25"/>
    <w:rsid w:val="4642189D"/>
    <w:rsid w:val="46431172"/>
    <w:rsid w:val="46456C98"/>
    <w:rsid w:val="46476EB4"/>
    <w:rsid w:val="46492C2C"/>
    <w:rsid w:val="46496788"/>
    <w:rsid w:val="464C0026"/>
    <w:rsid w:val="464C6278"/>
    <w:rsid w:val="4654512D"/>
    <w:rsid w:val="46560EA5"/>
    <w:rsid w:val="465810C1"/>
    <w:rsid w:val="465F41FD"/>
    <w:rsid w:val="465F5FAB"/>
    <w:rsid w:val="46601D24"/>
    <w:rsid w:val="466435C2"/>
    <w:rsid w:val="46647A66"/>
    <w:rsid w:val="466510E8"/>
    <w:rsid w:val="46671304"/>
    <w:rsid w:val="466A28A1"/>
    <w:rsid w:val="466F1F67"/>
    <w:rsid w:val="46712183"/>
    <w:rsid w:val="467B090B"/>
    <w:rsid w:val="46805F22"/>
    <w:rsid w:val="468679DC"/>
    <w:rsid w:val="468B4FF2"/>
    <w:rsid w:val="468F19EB"/>
    <w:rsid w:val="46971BE9"/>
    <w:rsid w:val="46976762"/>
    <w:rsid w:val="4698665E"/>
    <w:rsid w:val="469A5235"/>
    <w:rsid w:val="469B2D5C"/>
    <w:rsid w:val="469D6AD4"/>
    <w:rsid w:val="469E66E7"/>
    <w:rsid w:val="469F284C"/>
    <w:rsid w:val="46A47E62"/>
    <w:rsid w:val="46A55988"/>
    <w:rsid w:val="46A936CA"/>
    <w:rsid w:val="46AC3AE4"/>
    <w:rsid w:val="46B81B60"/>
    <w:rsid w:val="46CE4EDF"/>
    <w:rsid w:val="46D5738A"/>
    <w:rsid w:val="46D63D94"/>
    <w:rsid w:val="46D85D5E"/>
    <w:rsid w:val="46DA3F91"/>
    <w:rsid w:val="46DC75FC"/>
    <w:rsid w:val="46DD15C6"/>
    <w:rsid w:val="46DD5122"/>
    <w:rsid w:val="46E22739"/>
    <w:rsid w:val="46E26BDC"/>
    <w:rsid w:val="46E47C14"/>
    <w:rsid w:val="46E6047B"/>
    <w:rsid w:val="46E62229"/>
    <w:rsid w:val="46E666CD"/>
    <w:rsid w:val="46E75FA1"/>
    <w:rsid w:val="46ED7A5B"/>
    <w:rsid w:val="46FF481C"/>
    <w:rsid w:val="47040901"/>
    <w:rsid w:val="47084895"/>
    <w:rsid w:val="47094169"/>
    <w:rsid w:val="470B6133"/>
    <w:rsid w:val="470D1EAB"/>
    <w:rsid w:val="471274C2"/>
    <w:rsid w:val="47170634"/>
    <w:rsid w:val="471A1ED2"/>
    <w:rsid w:val="471A6376"/>
    <w:rsid w:val="471C20EE"/>
    <w:rsid w:val="472061CA"/>
    <w:rsid w:val="4723347D"/>
    <w:rsid w:val="4723522B"/>
    <w:rsid w:val="47240FA3"/>
    <w:rsid w:val="47262F6D"/>
    <w:rsid w:val="47290367"/>
    <w:rsid w:val="472D7E58"/>
    <w:rsid w:val="4734568A"/>
    <w:rsid w:val="47354F5E"/>
    <w:rsid w:val="473D08D3"/>
    <w:rsid w:val="4740402F"/>
    <w:rsid w:val="47411B55"/>
    <w:rsid w:val="474433F3"/>
    <w:rsid w:val="474653BD"/>
    <w:rsid w:val="474F36CF"/>
    <w:rsid w:val="47507FEA"/>
    <w:rsid w:val="47571378"/>
    <w:rsid w:val="47574ED5"/>
    <w:rsid w:val="47596E9F"/>
    <w:rsid w:val="475E0161"/>
    <w:rsid w:val="475F022D"/>
    <w:rsid w:val="47602729"/>
    <w:rsid w:val="47627C63"/>
    <w:rsid w:val="476A10AC"/>
    <w:rsid w:val="476B0F7D"/>
    <w:rsid w:val="47700ADD"/>
    <w:rsid w:val="4772770F"/>
    <w:rsid w:val="477912EF"/>
    <w:rsid w:val="4779309D"/>
    <w:rsid w:val="477C493B"/>
    <w:rsid w:val="477E06B3"/>
    <w:rsid w:val="477E4B57"/>
    <w:rsid w:val="477F442B"/>
    <w:rsid w:val="478252E7"/>
    <w:rsid w:val="47855EE6"/>
    <w:rsid w:val="47863A0C"/>
    <w:rsid w:val="478832E0"/>
    <w:rsid w:val="47906638"/>
    <w:rsid w:val="47986858"/>
    <w:rsid w:val="479954ED"/>
    <w:rsid w:val="479A54F2"/>
    <w:rsid w:val="479B74B7"/>
    <w:rsid w:val="479C322F"/>
    <w:rsid w:val="479C6238"/>
    <w:rsid w:val="479E6FA7"/>
    <w:rsid w:val="47A10846"/>
    <w:rsid w:val="47AC3472"/>
    <w:rsid w:val="47AF2F63"/>
    <w:rsid w:val="47AF4D11"/>
    <w:rsid w:val="47B10A89"/>
    <w:rsid w:val="47B2035D"/>
    <w:rsid w:val="47B42327"/>
    <w:rsid w:val="47B71E17"/>
    <w:rsid w:val="47B75973"/>
    <w:rsid w:val="47C3256A"/>
    <w:rsid w:val="47C36A0E"/>
    <w:rsid w:val="47C87B80"/>
    <w:rsid w:val="47CA1B4A"/>
    <w:rsid w:val="47CA56A6"/>
    <w:rsid w:val="47CB7671"/>
    <w:rsid w:val="47DB3D58"/>
    <w:rsid w:val="47E0136E"/>
    <w:rsid w:val="47E405E1"/>
    <w:rsid w:val="47E86474"/>
    <w:rsid w:val="47EC4D32"/>
    <w:rsid w:val="47F46BC7"/>
    <w:rsid w:val="47F646ED"/>
    <w:rsid w:val="47F72214"/>
    <w:rsid w:val="47F92430"/>
    <w:rsid w:val="47FC782A"/>
    <w:rsid w:val="47FE17F4"/>
    <w:rsid w:val="480037BE"/>
    <w:rsid w:val="48027536"/>
    <w:rsid w:val="4803505C"/>
    <w:rsid w:val="48052B82"/>
    <w:rsid w:val="480F3A01"/>
    <w:rsid w:val="48142DC6"/>
    <w:rsid w:val="48164D90"/>
    <w:rsid w:val="48270D4B"/>
    <w:rsid w:val="482C010F"/>
    <w:rsid w:val="48384D06"/>
    <w:rsid w:val="48427933"/>
    <w:rsid w:val="48455675"/>
    <w:rsid w:val="48496F13"/>
    <w:rsid w:val="484D0086"/>
    <w:rsid w:val="484D62D8"/>
    <w:rsid w:val="48531B40"/>
    <w:rsid w:val="48532D5B"/>
    <w:rsid w:val="48587156"/>
    <w:rsid w:val="485A1120"/>
    <w:rsid w:val="485D651B"/>
    <w:rsid w:val="485E2293"/>
    <w:rsid w:val="48605FFC"/>
    <w:rsid w:val="48623B31"/>
    <w:rsid w:val="486C0E54"/>
    <w:rsid w:val="486F44A0"/>
    <w:rsid w:val="487877F8"/>
    <w:rsid w:val="487A531F"/>
    <w:rsid w:val="487B1097"/>
    <w:rsid w:val="487D4E0F"/>
    <w:rsid w:val="487F438D"/>
    <w:rsid w:val="487F5F2B"/>
    <w:rsid w:val="4880045B"/>
    <w:rsid w:val="4882778C"/>
    <w:rsid w:val="48853CC3"/>
    <w:rsid w:val="488717E9"/>
    <w:rsid w:val="488937B4"/>
    <w:rsid w:val="488E369C"/>
    <w:rsid w:val="489108BA"/>
    <w:rsid w:val="489176EE"/>
    <w:rsid w:val="489A151D"/>
    <w:rsid w:val="489F6B33"/>
    <w:rsid w:val="48A16BAF"/>
    <w:rsid w:val="48A26623"/>
    <w:rsid w:val="48A709C8"/>
    <w:rsid w:val="48A95C04"/>
    <w:rsid w:val="48AB2900"/>
    <w:rsid w:val="48AB570C"/>
    <w:rsid w:val="48AD309B"/>
    <w:rsid w:val="48AE321A"/>
    <w:rsid w:val="48AE4FC8"/>
    <w:rsid w:val="48B16866"/>
    <w:rsid w:val="48B636DB"/>
    <w:rsid w:val="48B9571B"/>
    <w:rsid w:val="48BC5937"/>
    <w:rsid w:val="48BD520B"/>
    <w:rsid w:val="48BF0F83"/>
    <w:rsid w:val="48C22822"/>
    <w:rsid w:val="48C447EC"/>
    <w:rsid w:val="48C91E02"/>
    <w:rsid w:val="48CC1253"/>
    <w:rsid w:val="48D1071F"/>
    <w:rsid w:val="48D12A65"/>
    <w:rsid w:val="48D52555"/>
    <w:rsid w:val="48D6451F"/>
    <w:rsid w:val="48DD58AD"/>
    <w:rsid w:val="48E72288"/>
    <w:rsid w:val="48EF04F5"/>
    <w:rsid w:val="48FF5824"/>
    <w:rsid w:val="4900334A"/>
    <w:rsid w:val="490177EE"/>
    <w:rsid w:val="49060960"/>
    <w:rsid w:val="4907292A"/>
    <w:rsid w:val="490966A2"/>
    <w:rsid w:val="490C7F41"/>
    <w:rsid w:val="490D7B75"/>
    <w:rsid w:val="490E5A67"/>
    <w:rsid w:val="49105066"/>
    <w:rsid w:val="491312CF"/>
    <w:rsid w:val="49172B6D"/>
    <w:rsid w:val="49180694"/>
    <w:rsid w:val="491C0184"/>
    <w:rsid w:val="491E2DBF"/>
    <w:rsid w:val="491F5EC6"/>
    <w:rsid w:val="491F7C74"/>
    <w:rsid w:val="4921579A"/>
    <w:rsid w:val="49215FEB"/>
    <w:rsid w:val="493504C2"/>
    <w:rsid w:val="493C6A78"/>
    <w:rsid w:val="493E459E"/>
    <w:rsid w:val="493F3E72"/>
    <w:rsid w:val="4944592C"/>
    <w:rsid w:val="49523BA5"/>
    <w:rsid w:val="49555444"/>
    <w:rsid w:val="49575660"/>
    <w:rsid w:val="49584F34"/>
    <w:rsid w:val="495B7301"/>
    <w:rsid w:val="495D254A"/>
    <w:rsid w:val="495F62C2"/>
    <w:rsid w:val="4961203A"/>
    <w:rsid w:val="4962490E"/>
    <w:rsid w:val="49627B61"/>
    <w:rsid w:val="4965328F"/>
    <w:rsid w:val="496658A3"/>
    <w:rsid w:val="496E4757"/>
    <w:rsid w:val="496E6505"/>
    <w:rsid w:val="4972249A"/>
    <w:rsid w:val="49787384"/>
    <w:rsid w:val="497E0C78"/>
    <w:rsid w:val="4981448B"/>
    <w:rsid w:val="498875C7"/>
    <w:rsid w:val="49891591"/>
    <w:rsid w:val="498D1081"/>
    <w:rsid w:val="498D2E30"/>
    <w:rsid w:val="498F4DFA"/>
    <w:rsid w:val="49920446"/>
    <w:rsid w:val="49997A26"/>
    <w:rsid w:val="499C7517"/>
    <w:rsid w:val="49A10689"/>
    <w:rsid w:val="49A40179"/>
    <w:rsid w:val="49A62143"/>
    <w:rsid w:val="49A91C74"/>
    <w:rsid w:val="49A95790"/>
    <w:rsid w:val="49AB59AC"/>
    <w:rsid w:val="49AF724A"/>
    <w:rsid w:val="49B06B1E"/>
    <w:rsid w:val="49B33B03"/>
    <w:rsid w:val="49B44860"/>
    <w:rsid w:val="49B54134"/>
    <w:rsid w:val="49B91E77"/>
    <w:rsid w:val="49BC3715"/>
    <w:rsid w:val="49BE56DF"/>
    <w:rsid w:val="49BE748D"/>
    <w:rsid w:val="49BE7E39"/>
    <w:rsid w:val="49C2281B"/>
    <w:rsid w:val="49C36851"/>
    <w:rsid w:val="49CA5E32"/>
    <w:rsid w:val="49CE52E1"/>
    <w:rsid w:val="49D21B62"/>
    <w:rsid w:val="49D56585"/>
    <w:rsid w:val="49D722FD"/>
    <w:rsid w:val="49E14F29"/>
    <w:rsid w:val="49EC224C"/>
    <w:rsid w:val="49F41101"/>
    <w:rsid w:val="49F42EAF"/>
    <w:rsid w:val="49F509D5"/>
    <w:rsid w:val="49F904C5"/>
    <w:rsid w:val="49FC7FB5"/>
    <w:rsid w:val="49FD6207"/>
    <w:rsid w:val="49FE3D2D"/>
    <w:rsid w:val="4A031344"/>
    <w:rsid w:val="4A037596"/>
    <w:rsid w:val="4A0550BC"/>
    <w:rsid w:val="4A057A92"/>
    <w:rsid w:val="4A0B3FF7"/>
    <w:rsid w:val="4A113A61"/>
    <w:rsid w:val="4A123335"/>
    <w:rsid w:val="4A190B67"/>
    <w:rsid w:val="4A192915"/>
    <w:rsid w:val="4A231DA2"/>
    <w:rsid w:val="4A233794"/>
    <w:rsid w:val="4A253068"/>
    <w:rsid w:val="4A280DAA"/>
    <w:rsid w:val="4A2D7AA7"/>
    <w:rsid w:val="4A3069B1"/>
    <w:rsid w:val="4A3634C7"/>
    <w:rsid w:val="4A372D9B"/>
    <w:rsid w:val="4A392FB7"/>
    <w:rsid w:val="4A3C6604"/>
    <w:rsid w:val="4A4060F4"/>
    <w:rsid w:val="4A421E6C"/>
    <w:rsid w:val="4A443E36"/>
    <w:rsid w:val="4A45195C"/>
    <w:rsid w:val="4A4B6878"/>
    <w:rsid w:val="4A4C6847"/>
    <w:rsid w:val="4A4D0811"/>
    <w:rsid w:val="4A4D0DC4"/>
    <w:rsid w:val="4A4F27DB"/>
    <w:rsid w:val="4A54394D"/>
    <w:rsid w:val="4A590F64"/>
    <w:rsid w:val="4A5971B6"/>
    <w:rsid w:val="4A5A2857"/>
    <w:rsid w:val="4A5D1D49"/>
    <w:rsid w:val="4A5D4EF8"/>
    <w:rsid w:val="4A5D6CA6"/>
    <w:rsid w:val="4A5E47CC"/>
    <w:rsid w:val="4A606796"/>
    <w:rsid w:val="4A62606A"/>
    <w:rsid w:val="4A632FEA"/>
    <w:rsid w:val="4A6A4F1F"/>
    <w:rsid w:val="4A6E0EB3"/>
    <w:rsid w:val="4A6F69D9"/>
    <w:rsid w:val="4A7162AD"/>
    <w:rsid w:val="4A743FEF"/>
    <w:rsid w:val="4A767D68"/>
    <w:rsid w:val="4A783AE0"/>
    <w:rsid w:val="4A7B712C"/>
    <w:rsid w:val="4A7D2EA4"/>
    <w:rsid w:val="4A804742"/>
    <w:rsid w:val="4A873D23"/>
    <w:rsid w:val="4A897A9B"/>
    <w:rsid w:val="4A8C102A"/>
    <w:rsid w:val="4A914BA1"/>
    <w:rsid w:val="4A934476"/>
    <w:rsid w:val="4A9D70A2"/>
    <w:rsid w:val="4A9D71DB"/>
    <w:rsid w:val="4A9E181B"/>
    <w:rsid w:val="4AA93C99"/>
    <w:rsid w:val="4AAE7501"/>
    <w:rsid w:val="4AAF5028"/>
    <w:rsid w:val="4AB64608"/>
    <w:rsid w:val="4ABB5786"/>
    <w:rsid w:val="4ABD5996"/>
    <w:rsid w:val="4ABF170F"/>
    <w:rsid w:val="4AC05487"/>
    <w:rsid w:val="4AC565F9"/>
    <w:rsid w:val="4AD056CA"/>
    <w:rsid w:val="4AD11442"/>
    <w:rsid w:val="4AD30D16"/>
    <w:rsid w:val="4AD36F68"/>
    <w:rsid w:val="4AD8457E"/>
    <w:rsid w:val="4ADA6548"/>
    <w:rsid w:val="4ADF3B5F"/>
    <w:rsid w:val="4ADF76BB"/>
    <w:rsid w:val="4AE01685"/>
    <w:rsid w:val="4AE42F23"/>
    <w:rsid w:val="4AE64EED"/>
    <w:rsid w:val="4AE72A13"/>
    <w:rsid w:val="4AE747C1"/>
    <w:rsid w:val="4AE9678B"/>
    <w:rsid w:val="4AEC002A"/>
    <w:rsid w:val="4AEE78FE"/>
    <w:rsid w:val="4AF05CD1"/>
    <w:rsid w:val="4AF60EA8"/>
    <w:rsid w:val="4AF8077D"/>
    <w:rsid w:val="4AF84C20"/>
    <w:rsid w:val="4AFD23BB"/>
    <w:rsid w:val="4B047121"/>
    <w:rsid w:val="4B0921FB"/>
    <w:rsid w:val="4B0C4228"/>
    <w:rsid w:val="4B0E1D4E"/>
    <w:rsid w:val="4B187071"/>
    <w:rsid w:val="4B1A05AF"/>
    <w:rsid w:val="4B1A6945"/>
    <w:rsid w:val="4B1B26BD"/>
    <w:rsid w:val="4B1F03FF"/>
    <w:rsid w:val="4B1F3F5B"/>
    <w:rsid w:val="4B201A81"/>
    <w:rsid w:val="4B216D41"/>
    <w:rsid w:val="4B217CD3"/>
    <w:rsid w:val="4B223A4B"/>
    <w:rsid w:val="4B2F3F16"/>
    <w:rsid w:val="4B3F45FD"/>
    <w:rsid w:val="4B49722A"/>
    <w:rsid w:val="4B4A0B1E"/>
    <w:rsid w:val="4B4B6AFE"/>
    <w:rsid w:val="4B4C4BB5"/>
    <w:rsid w:val="4B553E21"/>
    <w:rsid w:val="4B566DBB"/>
    <w:rsid w:val="4B587758"/>
    <w:rsid w:val="4B5C0362"/>
    <w:rsid w:val="4B5C0D0B"/>
    <w:rsid w:val="4B5D2CD5"/>
    <w:rsid w:val="4B69044E"/>
    <w:rsid w:val="4B700C5B"/>
    <w:rsid w:val="4B7122DD"/>
    <w:rsid w:val="4B7324F9"/>
    <w:rsid w:val="4B756271"/>
    <w:rsid w:val="4B760F3B"/>
    <w:rsid w:val="4B773D97"/>
    <w:rsid w:val="4B775B45"/>
    <w:rsid w:val="4B7C7600"/>
    <w:rsid w:val="4B7D0C82"/>
    <w:rsid w:val="4B7F0E9E"/>
    <w:rsid w:val="4B842010"/>
    <w:rsid w:val="4B904E59"/>
    <w:rsid w:val="4B906C07"/>
    <w:rsid w:val="4B9304A5"/>
    <w:rsid w:val="4B977F95"/>
    <w:rsid w:val="4B991F60"/>
    <w:rsid w:val="4B9F58B7"/>
    <w:rsid w:val="4BA3693A"/>
    <w:rsid w:val="4BA509D2"/>
    <w:rsid w:val="4BA6467C"/>
    <w:rsid w:val="4BA83F51"/>
    <w:rsid w:val="4BA97CC9"/>
    <w:rsid w:val="4BAB57EF"/>
    <w:rsid w:val="4BB02E05"/>
    <w:rsid w:val="4BB723E6"/>
    <w:rsid w:val="4BBC79FC"/>
    <w:rsid w:val="4BBE19C6"/>
    <w:rsid w:val="4BBF74EC"/>
    <w:rsid w:val="4BC028A6"/>
    <w:rsid w:val="4BC15012"/>
    <w:rsid w:val="4BC4019E"/>
    <w:rsid w:val="4BC468B1"/>
    <w:rsid w:val="4BC62629"/>
    <w:rsid w:val="4BD44D46"/>
    <w:rsid w:val="4BDA60D4"/>
    <w:rsid w:val="4BDE7972"/>
    <w:rsid w:val="4BE13907"/>
    <w:rsid w:val="4BE62CCB"/>
    <w:rsid w:val="4BE64A79"/>
    <w:rsid w:val="4BEA14D5"/>
    <w:rsid w:val="4BED22AB"/>
    <w:rsid w:val="4BF058F8"/>
    <w:rsid w:val="4BF21670"/>
    <w:rsid w:val="4BF453E8"/>
    <w:rsid w:val="4BF70A34"/>
    <w:rsid w:val="4BFB49C8"/>
    <w:rsid w:val="4BFC429C"/>
    <w:rsid w:val="4C003D8D"/>
    <w:rsid w:val="4C043151"/>
    <w:rsid w:val="4C0520F9"/>
    <w:rsid w:val="4C0575F5"/>
    <w:rsid w:val="4C077BD7"/>
    <w:rsid w:val="4C0A4C0B"/>
    <w:rsid w:val="4C0C0983"/>
    <w:rsid w:val="4C115F9A"/>
    <w:rsid w:val="4C147838"/>
    <w:rsid w:val="4C1A464A"/>
    <w:rsid w:val="4C1E4213"/>
    <w:rsid w:val="4C231829"/>
    <w:rsid w:val="4C261319"/>
    <w:rsid w:val="4C2C4B82"/>
    <w:rsid w:val="4C2D26A8"/>
    <w:rsid w:val="4C312198"/>
    <w:rsid w:val="4C324162"/>
    <w:rsid w:val="4C35155C"/>
    <w:rsid w:val="4C3677AE"/>
    <w:rsid w:val="4C39104D"/>
    <w:rsid w:val="4C39729F"/>
    <w:rsid w:val="4C397C9D"/>
    <w:rsid w:val="4C3C0B3D"/>
    <w:rsid w:val="4C3E6663"/>
    <w:rsid w:val="4C453E95"/>
    <w:rsid w:val="4C481290"/>
    <w:rsid w:val="4C516396"/>
    <w:rsid w:val="4C5639AD"/>
    <w:rsid w:val="4C5900BC"/>
    <w:rsid w:val="4C5E0AB3"/>
    <w:rsid w:val="4C6065D9"/>
    <w:rsid w:val="4C6360CA"/>
    <w:rsid w:val="4C675BBA"/>
    <w:rsid w:val="4C6D68CD"/>
    <w:rsid w:val="4C6F0F12"/>
    <w:rsid w:val="4C6F2CC0"/>
    <w:rsid w:val="4C6F4A6E"/>
    <w:rsid w:val="4C742085"/>
    <w:rsid w:val="4C7E4CB1"/>
    <w:rsid w:val="4C806C7C"/>
    <w:rsid w:val="4C856040"/>
    <w:rsid w:val="4C87000A"/>
    <w:rsid w:val="4C8A7AFA"/>
    <w:rsid w:val="4C8C5620"/>
    <w:rsid w:val="4C96024D"/>
    <w:rsid w:val="4C982217"/>
    <w:rsid w:val="4C9B3AB5"/>
    <w:rsid w:val="4C9D15DC"/>
    <w:rsid w:val="4CA46E0E"/>
    <w:rsid w:val="4CA63DE7"/>
    <w:rsid w:val="4CAA5AA7"/>
    <w:rsid w:val="4CAE1A3B"/>
    <w:rsid w:val="4CB44B77"/>
    <w:rsid w:val="4CBB5F06"/>
    <w:rsid w:val="4CBD57DA"/>
    <w:rsid w:val="4CBD7ED0"/>
    <w:rsid w:val="4CBE77A4"/>
    <w:rsid w:val="4CC0176E"/>
    <w:rsid w:val="4CC27294"/>
    <w:rsid w:val="4CC6456C"/>
    <w:rsid w:val="4CC81BDD"/>
    <w:rsid w:val="4CC90623"/>
    <w:rsid w:val="4CCA6149"/>
    <w:rsid w:val="4CCC7858"/>
    <w:rsid w:val="4CCE3E8B"/>
    <w:rsid w:val="4CD34FFD"/>
    <w:rsid w:val="4CD46FC7"/>
    <w:rsid w:val="4CD64AED"/>
    <w:rsid w:val="4CD82614"/>
    <w:rsid w:val="4CDE39A2"/>
    <w:rsid w:val="4CE0596C"/>
    <w:rsid w:val="4CE23D45"/>
    <w:rsid w:val="4CE27936"/>
    <w:rsid w:val="4CE36665"/>
    <w:rsid w:val="4CEA0599"/>
    <w:rsid w:val="4CEC4311"/>
    <w:rsid w:val="4CEC60BF"/>
    <w:rsid w:val="4CF0209D"/>
    <w:rsid w:val="4CF431C6"/>
    <w:rsid w:val="4CFD094D"/>
    <w:rsid w:val="4CFF4044"/>
    <w:rsid w:val="4D007DBC"/>
    <w:rsid w:val="4D01600E"/>
    <w:rsid w:val="4D023B34"/>
    <w:rsid w:val="4D04165B"/>
    <w:rsid w:val="4D090A1F"/>
    <w:rsid w:val="4D0A29E9"/>
    <w:rsid w:val="4D0C050F"/>
    <w:rsid w:val="4D0F187C"/>
    <w:rsid w:val="4D0F7FFF"/>
    <w:rsid w:val="4D155616"/>
    <w:rsid w:val="4D1A0E7E"/>
    <w:rsid w:val="4D1D096E"/>
    <w:rsid w:val="4D1F46E6"/>
    <w:rsid w:val="4D204251"/>
    <w:rsid w:val="4D2B3BC0"/>
    <w:rsid w:val="4D2E2B7B"/>
    <w:rsid w:val="4D2F41FE"/>
    <w:rsid w:val="4D3161C8"/>
    <w:rsid w:val="4D322D6F"/>
    <w:rsid w:val="4D330192"/>
    <w:rsid w:val="4D40640B"/>
    <w:rsid w:val="4D4203D5"/>
    <w:rsid w:val="4D423F31"/>
    <w:rsid w:val="4D461C73"/>
    <w:rsid w:val="4D467EC5"/>
    <w:rsid w:val="4D4B7289"/>
    <w:rsid w:val="4D502AF2"/>
    <w:rsid w:val="4D5325E2"/>
    <w:rsid w:val="4D5A571F"/>
    <w:rsid w:val="4D5F117A"/>
    <w:rsid w:val="4D602609"/>
    <w:rsid w:val="4D6420F9"/>
    <w:rsid w:val="4D663161"/>
    <w:rsid w:val="4D677E3B"/>
    <w:rsid w:val="4D6B16DA"/>
    <w:rsid w:val="4D6E11CA"/>
    <w:rsid w:val="4D720CBA"/>
    <w:rsid w:val="4D7560B4"/>
    <w:rsid w:val="4D761E2D"/>
    <w:rsid w:val="4D77007F"/>
    <w:rsid w:val="4D7A191D"/>
    <w:rsid w:val="4D7C13D6"/>
    <w:rsid w:val="4D7D140D"/>
    <w:rsid w:val="4D7E765F"/>
    <w:rsid w:val="4D84279B"/>
    <w:rsid w:val="4D844549"/>
    <w:rsid w:val="4D8E361A"/>
    <w:rsid w:val="4D901140"/>
    <w:rsid w:val="4D907392"/>
    <w:rsid w:val="4D930C30"/>
    <w:rsid w:val="4D950505"/>
    <w:rsid w:val="4D956757"/>
    <w:rsid w:val="4D97427D"/>
    <w:rsid w:val="4D994499"/>
    <w:rsid w:val="4D9C1893"/>
    <w:rsid w:val="4D9C7AE5"/>
    <w:rsid w:val="4DA2003D"/>
    <w:rsid w:val="4DA30E74"/>
    <w:rsid w:val="4DA370C6"/>
    <w:rsid w:val="4DA644C0"/>
    <w:rsid w:val="4DA70238"/>
    <w:rsid w:val="4DAE5A6A"/>
    <w:rsid w:val="4DB36BDD"/>
    <w:rsid w:val="4DB72B71"/>
    <w:rsid w:val="4DBC3CE3"/>
    <w:rsid w:val="4DC1579E"/>
    <w:rsid w:val="4DCE3A17"/>
    <w:rsid w:val="4DD3102D"/>
    <w:rsid w:val="4DD54DA5"/>
    <w:rsid w:val="4DDA7116"/>
    <w:rsid w:val="4DDC6134"/>
    <w:rsid w:val="4DDF79D2"/>
    <w:rsid w:val="4DE1374A"/>
    <w:rsid w:val="4DE33966"/>
    <w:rsid w:val="4DE4323A"/>
    <w:rsid w:val="4DE67456"/>
    <w:rsid w:val="4DEB281B"/>
    <w:rsid w:val="4DED4962"/>
    <w:rsid w:val="4DF23BA9"/>
    <w:rsid w:val="4DF416CF"/>
    <w:rsid w:val="4DFA0CB0"/>
    <w:rsid w:val="4DFA480C"/>
    <w:rsid w:val="4DFC0584"/>
    <w:rsid w:val="4DFE42FC"/>
    <w:rsid w:val="4DFE60AA"/>
    <w:rsid w:val="4E047438"/>
    <w:rsid w:val="4E0557BA"/>
    <w:rsid w:val="4E08517B"/>
    <w:rsid w:val="4E09201C"/>
    <w:rsid w:val="4E0F475B"/>
    <w:rsid w:val="4E127DA7"/>
    <w:rsid w:val="4E1E674C"/>
    <w:rsid w:val="4E21448E"/>
    <w:rsid w:val="4E2B0E69"/>
    <w:rsid w:val="4E2F0959"/>
    <w:rsid w:val="4E30647F"/>
    <w:rsid w:val="4E320449"/>
    <w:rsid w:val="4E345F70"/>
    <w:rsid w:val="4E355844"/>
    <w:rsid w:val="4E4011FA"/>
    <w:rsid w:val="4E41243B"/>
    <w:rsid w:val="4E4168DE"/>
    <w:rsid w:val="4E437F61"/>
    <w:rsid w:val="4E465CA3"/>
    <w:rsid w:val="4E4A12EF"/>
    <w:rsid w:val="4E4C680E"/>
    <w:rsid w:val="4E5008D0"/>
    <w:rsid w:val="4E53474E"/>
    <w:rsid w:val="4E577EB0"/>
    <w:rsid w:val="4E5959D6"/>
    <w:rsid w:val="4E5B22A2"/>
    <w:rsid w:val="4E5B79A0"/>
    <w:rsid w:val="4E5E123E"/>
    <w:rsid w:val="4E61488B"/>
    <w:rsid w:val="4E630603"/>
    <w:rsid w:val="4E661EA1"/>
    <w:rsid w:val="4E6A7BE3"/>
    <w:rsid w:val="4E6D1482"/>
    <w:rsid w:val="4E6D3230"/>
    <w:rsid w:val="4E765E25"/>
    <w:rsid w:val="4E765F5B"/>
    <w:rsid w:val="4E791BD4"/>
    <w:rsid w:val="4E7D7917"/>
    <w:rsid w:val="4E7E543D"/>
    <w:rsid w:val="4E8A2033"/>
    <w:rsid w:val="4E8A5B90"/>
    <w:rsid w:val="4E8B1908"/>
    <w:rsid w:val="4E920EE8"/>
    <w:rsid w:val="4E962786"/>
    <w:rsid w:val="4E9904C8"/>
    <w:rsid w:val="4E9B1B4B"/>
    <w:rsid w:val="4E9E788D"/>
    <w:rsid w:val="4EA2737D"/>
    <w:rsid w:val="4EA36C51"/>
    <w:rsid w:val="4EAC328B"/>
    <w:rsid w:val="4EAD5D22"/>
    <w:rsid w:val="4EAF1A9A"/>
    <w:rsid w:val="4EB33338"/>
    <w:rsid w:val="4EB40E5E"/>
    <w:rsid w:val="4EB64BD7"/>
    <w:rsid w:val="4EB726FD"/>
    <w:rsid w:val="4EBB6D1F"/>
    <w:rsid w:val="4EBD5F65"/>
    <w:rsid w:val="4EC56BC8"/>
    <w:rsid w:val="4EC866B8"/>
    <w:rsid w:val="4ECF6625"/>
    <w:rsid w:val="4ED60DD5"/>
    <w:rsid w:val="4ED67027"/>
    <w:rsid w:val="4EDE412D"/>
    <w:rsid w:val="4EE03A01"/>
    <w:rsid w:val="4EE5726A"/>
    <w:rsid w:val="4EE72FE2"/>
    <w:rsid w:val="4EE94FAC"/>
    <w:rsid w:val="4EED611E"/>
    <w:rsid w:val="4EF120B3"/>
    <w:rsid w:val="4EF23735"/>
    <w:rsid w:val="4EF37BD9"/>
    <w:rsid w:val="4EF851EF"/>
    <w:rsid w:val="4EFD2805"/>
    <w:rsid w:val="4EFD3BA5"/>
    <w:rsid w:val="4F035942"/>
    <w:rsid w:val="4F075432"/>
    <w:rsid w:val="4F095FEC"/>
    <w:rsid w:val="4F0B013B"/>
    <w:rsid w:val="4F0C47F7"/>
    <w:rsid w:val="4F0E4A13"/>
    <w:rsid w:val="4F165675"/>
    <w:rsid w:val="4F1B2C8C"/>
    <w:rsid w:val="4F2935FA"/>
    <w:rsid w:val="4F2C30EB"/>
    <w:rsid w:val="4F2C7344"/>
    <w:rsid w:val="4F2F1960"/>
    <w:rsid w:val="4F310701"/>
    <w:rsid w:val="4F367AC5"/>
    <w:rsid w:val="4F372CC3"/>
    <w:rsid w:val="4F38383D"/>
    <w:rsid w:val="4F391364"/>
    <w:rsid w:val="4F3A6A73"/>
    <w:rsid w:val="4F3A75B6"/>
    <w:rsid w:val="4F455F5A"/>
    <w:rsid w:val="4F4727B8"/>
    <w:rsid w:val="4F4915A7"/>
    <w:rsid w:val="4F5166AD"/>
    <w:rsid w:val="4F5543EF"/>
    <w:rsid w:val="4F587A3C"/>
    <w:rsid w:val="4F5A1A06"/>
    <w:rsid w:val="4F5B577E"/>
    <w:rsid w:val="4F5F701C"/>
    <w:rsid w:val="4F6058AE"/>
    <w:rsid w:val="4F6463E1"/>
    <w:rsid w:val="4F674123"/>
    <w:rsid w:val="4F6B3C13"/>
    <w:rsid w:val="4F6C798B"/>
    <w:rsid w:val="4F6F4D85"/>
    <w:rsid w:val="4F7B197C"/>
    <w:rsid w:val="4F7C7BCE"/>
    <w:rsid w:val="4F876573"/>
    <w:rsid w:val="4F8B1BBF"/>
    <w:rsid w:val="4F8D1DDB"/>
    <w:rsid w:val="4F9842DC"/>
    <w:rsid w:val="4F985FFF"/>
    <w:rsid w:val="4F9A62A6"/>
    <w:rsid w:val="4F9F47E6"/>
    <w:rsid w:val="4FA64C4B"/>
    <w:rsid w:val="4FA709C3"/>
    <w:rsid w:val="4FA90297"/>
    <w:rsid w:val="4FA964E9"/>
    <w:rsid w:val="4FAD5FDA"/>
    <w:rsid w:val="4FB355BA"/>
    <w:rsid w:val="4FB54E8E"/>
    <w:rsid w:val="4FBC0F82"/>
    <w:rsid w:val="4FBC621D"/>
    <w:rsid w:val="4FC357FD"/>
    <w:rsid w:val="4FC74BC1"/>
    <w:rsid w:val="4FC9093A"/>
    <w:rsid w:val="4FCB6460"/>
    <w:rsid w:val="4FD16190"/>
    <w:rsid w:val="4FD25A40"/>
    <w:rsid w:val="4FD7012C"/>
    <w:rsid w:val="4FDD6193"/>
    <w:rsid w:val="4FDE2637"/>
    <w:rsid w:val="4FE37C4D"/>
    <w:rsid w:val="4FE82F87"/>
    <w:rsid w:val="4FF359B6"/>
    <w:rsid w:val="4FFF25AD"/>
    <w:rsid w:val="4FFF435B"/>
    <w:rsid w:val="500100D3"/>
    <w:rsid w:val="500656EA"/>
    <w:rsid w:val="501415E9"/>
    <w:rsid w:val="501716A5"/>
    <w:rsid w:val="501A2422"/>
    <w:rsid w:val="501F709D"/>
    <w:rsid w:val="5023004A"/>
    <w:rsid w:val="50242014"/>
    <w:rsid w:val="50281B04"/>
    <w:rsid w:val="502838B2"/>
    <w:rsid w:val="502B6EFE"/>
    <w:rsid w:val="502D679D"/>
    <w:rsid w:val="502D68CD"/>
    <w:rsid w:val="502F4C40"/>
    <w:rsid w:val="503009B9"/>
    <w:rsid w:val="50302767"/>
    <w:rsid w:val="50393E63"/>
    <w:rsid w:val="503A35E5"/>
    <w:rsid w:val="503B1837"/>
    <w:rsid w:val="503C735D"/>
    <w:rsid w:val="503F0BFC"/>
    <w:rsid w:val="50447FC0"/>
    <w:rsid w:val="504601DC"/>
    <w:rsid w:val="504B134F"/>
    <w:rsid w:val="504B2B91"/>
    <w:rsid w:val="50526B81"/>
    <w:rsid w:val="50566671"/>
    <w:rsid w:val="50574197"/>
    <w:rsid w:val="505A77E4"/>
    <w:rsid w:val="505C2FF8"/>
    <w:rsid w:val="505E1082"/>
    <w:rsid w:val="505F4549"/>
    <w:rsid w:val="50642410"/>
    <w:rsid w:val="50650662"/>
    <w:rsid w:val="506568B4"/>
    <w:rsid w:val="5066262C"/>
    <w:rsid w:val="50680152"/>
    <w:rsid w:val="50681F00"/>
    <w:rsid w:val="506B165C"/>
    <w:rsid w:val="506D7517"/>
    <w:rsid w:val="50722D7F"/>
    <w:rsid w:val="50724B2D"/>
    <w:rsid w:val="507765E7"/>
    <w:rsid w:val="507A6580"/>
    <w:rsid w:val="507C59AC"/>
    <w:rsid w:val="507E1724"/>
    <w:rsid w:val="50831EDE"/>
    <w:rsid w:val="50850D04"/>
    <w:rsid w:val="508605D9"/>
    <w:rsid w:val="508D7BB9"/>
    <w:rsid w:val="509251CF"/>
    <w:rsid w:val="50964CC0"/>
    <w:rsid w:val="50970A38"/>
    <w:rsid w:val="50A05B3E"/>
    <w:rsid w:val="50A15412"/>
    <w:rsid w:val="50A56CB1"/>
    <w:rsid w:val="50A62A29"/>
    <w:rsid w:val="50A82C45"/>
    <w:rsid w:val="50AA42C7"/>
    <w:rsid w:val="50AB003F"/>
    <w:rsid w:val="50B27620"/>
    <w:rsid w:val="50BB2978"/>
    <w:rsid w:val="50BB64D4"/>
    <w:rsid w:val="50C17863"/>
    <w:rsid w:val="50C25AB5"/>
    <w:rsid w:val="50C555A5"/>
    <w:rsid w:val="50C86E43"/>
    <w:rsid w:val="50D17AA6"/>
    <w:rsid w:val="50D37CC2"/>
    <w:rsid w:val="50D43A3A"/>
    <w:rsid w:val="50D47596"/>
    <w:rsid w:val="50D94BAC"/>
    <w:rsid w:val="50E579F5"/>
    <w:rsid w:val="50E83041"/>
    <w:rsid w:val="50EA500B"/>
    <w:rsid w:val="50EC2B32"/>
    <w:rsid w:val="50EC68A2"/>
    <w:rsid w:val="50ED14DC"/>
    <w:rsid w:val="50EE68AA"/>
    <w:rsid w:val="50EF617E"/>
    <w:rsid w:val="50F11EF6"/>
    <w:rsid w:val="50FB4B23"/>
    <w:rsid w:val="50FD4D3F"/>
    <w:rsid w:val="50FE2865"/>
    <w:rsid w:val="51024103"/>
    <w:rsid w:val="51031C29"/>
    <w:rsid w:val="51134562"/>
    <w:rsid w:val="511A5325"/>
    <w:rsid w:val="511D2CEB"/>
    <w:rsid w:val="512247A5"/>
    <w:rsid w:val="512C2F2E"/>
    <w:rsid w:val="5134057D"/>
    <w:rsid w:val="51361FFF"/>
    <w:rsid w:val="513F7105"/>
    <w:rsid w:val="51404C2B"/>
    <w:rsid w:val="51452242"/>
    <w:rsid w:val="51491D32"/>
    <w:rsid w:val="51493AE0"/>
    <w:rsid w:val="514A7858"/>
    <w:rsid w:val="514E559A"/>
    <w:rsid w:val="515406D7"/>
    <w:rsid w:val="51556929"/>
    <w:rsid w:val="515B3813"/>
    <w:rsid w:val="515B7CB7"/>
    <w:rsid w:val="515D758B"/>
    <w:rsid w:val="516052CE"/>
    <w:rsid w:val="51695F30"/>
    <w:rsid w:val="516B614C"/>
    <w:rsid w:val="517174DB"/>
    <w:rsid w:val="51736DAF"/>
    <w:rsid w:val="517843C5"/>
    <w:rsid w:val="51826FF2"/>
    <w:rsid w:val="51852020"/>
    <w:rsid w:val="51864D34"/>
    <w:rsid w:val="51870AAC"/>
    <w:rsid w:val="51874608"/>
    <w:rsid w:val="518F170F"/>
    <w:rsid w:val="5196484B"/>
    <w:rsid w:val="51976F41"/>
    <w:rsid w:val="519A433C"/>
    <w:rsid w:val="51A258E6"/>
    <w:rsid w:val="51A46F68"/>
    <w:rsid w:val="51AA02F7"/>
    <w:rsid w:val="51AB6549"/>
    <w:rsid w:val="51AF240B"/>
    <w:rsid w:val="51AF590D"/>
    <w:rsid w:val="51B03B5F"/>
    <w:rsid w:val="51B55619"/>
    <w:rsid w:val="51B5641E"/>
    <w:rsid w:val="51B7313F"/>
    <w:rsid w:val="51B966E4"/>
    <w:rsid w:val="51BA2C30"/>
    <w:rsid w:val="51BF1FF4"/>
    <w:rsid w:val="51BF3DA2"/>
    <w:rsid w:val="51C13FBE"/>
    <w:rsid w:val="51C41D11"/>
    <w:rsid w:val="51C4760A"/>
    <w:rsid w:val="51C55131"/>
    <w:rsid w:val="51C8534D"/>
    <w:rsid w:val="51C969CF"/>
    <w:rsid w:val="51CB2747"/>
    <w:rsid w:val="51CC4711"/>
    <w:rsid w:val="51D04201"/>
    <w:rsid w:val="51D3784E"/>
    <w:rsid w:val="51D81308"/>
    <w:rsid w:val="51DA5080"/>
    <w:rsid w:val="51DF2696"/>
    <w:rsid w:val="51E27A91"/>
    <w:rsid w:val="51E53130"/>
    <w:rsid w:val="51EE0B2B"/>
    <w:rsid w:val="51F021AD"/>
    <w:rsid w:val="51F223CA"/>
    <w:rsid w:val="51F55A16"/>
    <w:rsid w:val="51F872B4"/>
    <w:rsid w:val="51FC6DA4"/>
    <w:rsid w:val="51FE0D6E"/>
    <w:rsid w:val="51FF0643"/>
    <w:rsid w:val="520306F1"/>
    <w:rsid w:val="520D4567"/>
    <w:rsid w:val="520E4D2A"/>
    <w:rsid w:val="520E6AD8"/>
    <w:rsid w:val="52100FB5"/>
    <w:rsid w:val="521045FE"/>
    <w:rsid w:val="52120376"/>
    <w:rsid w:val="52121BB5"/>
    <w:rsid w:val="52181704"/>
    <w:rsid w:val="521D4F6D"/>
    <w:rsid w:val="521D6D1B"/>
    <w:rsid w:val="521E291B"/>
    <w:rsid w:val="52262073"/>
    <w:rsid w:val="52271947"/>
    <w:rsid w:val="523227C6"/>
    <w:rsid w:val="52326C6A"/>
    <w:rsid w:val="5233653E"/>
    <w:rsid w:val="52377DDC"/>
    <w:rsid w:val="523C1897"/>
    <w:rsid w:val="52416EAD"/>
    <w:rsid w:val="5248054A"/>
    <w:rsid w:val="52481FEA"/>
    <w:rsid w:val="52483D98"/>
    <w:rsid w:val="524B1ADA"/>
    <w:rsid w:val="52546BE0"/>
    <w:rsid w:val="525E7A5F"/>
    <w:rsid w:val="525F10E1"/>
    <w:rsid w:val="52632BDB"/>
    <w:rsid w:val="526606C2"/>
    <w:rsid w:val="52691F60"/>
    <w:rsid w:val="526B217C"/>
    <w:rsid w:val="52741030"/>
    <w:rsid w:val="527A416D"/>
    <w:rsid w:val="527E1EAF"/>
    <w:rsid w:val="528154FB"/>
    <w:rsid w:val="528B637A"/>
    <w:rsid w:val="528D5C4E"/>
    <w:rsid w:val="5290573F"/>
    <w:rsid w:val="529214B7"/>
    <w:rsid w:val="529544C5"/>
    <w:rsid w:val="52976ACD"/>
    <w:rsid w:val="5298570C"/>
    <w:rsid w:val="529C0587"/>
    <w:rsid w:val="529F5982"/>
    <w:rsid w:val="52A01E26"/>
    <w:rsid w:val="52A116FA"/>
    <w:rsid w:val="52A66D10"/>
    <w:rsid w:val="52AB2484"/>
    <w:rsid w:val="52AB4326"/>
    <w:rsid w:val="52AD009F"/>
    <w:rsid w:val="52B0193D"/>
    <w:rsid w:val="52B8531C"/>
    <w:rsid w:val="52B94C95"/>
    <w:rsid w:val="52C11D9C"/>
    <w:rsid w:val="52C33D66"/>
    <w:rsid w:val="52C75604"/>
    <w:rsid w:val="52C84ED8"/>
    <w:rsid w:val="52CF406F"/>
    <w:rsid w:val="52D7511B"/>
    <w:rsid w:val="52D90E94"/>
    <w:rsid w:val="52DB2E5E"/>
    <w:rsid w:val="52DC0984"/>
    <w:rsid w:val="52E00474"/>
    <w:rsid w:val="52E53CDC"/>
    <w:rsid w:val="52E57838"/>
    <w:rsid w:val="52E837CD"/>
    <w:rsid w:val="52F1442F"/>
    <w:rsid w:val="52F201A7"/>
    <w:rsid w:val="52FC2DD4"/>
    <w:rsid w:val="52FC4B82"/>
    <w:rsid w:val="52FE6B4C"/>
    <w:rsid w:val="530028C4"/>
    <w:rsid w:val="53051C89"/>
    <w:rsid w:val="53073C53"/>
    <w:rsid w:val="5314011E"/>
    <w:rsid w:val="531445C2"/>
    <w:rsid w:val="53163E96"/>
    <w:rsid w:val="531B5950"/>
    <w:rsid w:val="531E2D4A"/>
    <w:rsid w:val="532E5F1B"/>
    <w:rsid w:val="53334A48"/>
    <w:rsid w:val="53373E0C"/>
    <w:rsid w:val="533802B0"/>
    <w:rsid w:val="533A5BFF"/>
    <w:rsid w:val="533C1422"/>
    <w:rsid w:val="53400F13"/>
    <w:rsid w:val="53424C8B"/>
    <w:rsid w:val="53456529"/>
    <w:rsid w:val="534C3D5B"/>
    <w:rsid w:val="534F1156"/>
    <w:rsid w:val="53511372"/>
    <w:rsid w:val="53512314"/>
    <w:rsid w:val="53605111"/>
    <w:rsid w:val="53607807"/>
    <w:rsid w:val="53624607"/>
    <w:rsid w:val="5362532D"/>
    <w:rsid w:val="53634C01"/>
    <w:rsid w:val="53672943"/>
    <w:rsid w:val="536A41E2"/>
    <w:rsid w:val="536C1D08"/>
    <w:rsid w:val="536C7C6B"/>
    <w:rsid w:val="536D782E"/>
    <w:rsid w:val="536E33AD"/>
    <w:rsid w:val="5374721F"/>
    <w:rsid w:val="53755060"/>
    <w:rsid w:val="537E1A3B"/>
    <w:rsid w:val="538057B3"/>
    <w:rsid w:val="538434F5"/>
    <w:rsid w:val="538452A3"/>
    <w:rsid w:val="538C05FC"/>
    <w:rsid w:val="538F3C48"/>
    <w:rsid w:val="53901E9A"/>
    <w:rsid w:val="53966D85"/>
    <w:rsid w:val="53990623"/>
    <w:rsid w:val="539B3EAD"/>
    <w:rsid w:val="539F032F"/>
    <w:rsid w:val="53A05E55"/>
    <w:rsid w:val="53A45945"/>
    <w:rsid w:val="53A5521A"/>
    <w:rsid w:val="53AE0572"/>
    <w:rsid w:val="53AE40CE"/>
    <w:rsid w:val="53B13BBE"/>
    <w:rsid w:val="53B4545D"/>
    <w:rsid w:val="53B67427"/>
    <w:rsid w:val="53B8319F"/>
    <w:rsid w:val="53B966AB"/>
    <w:rsid w:val="53BA6F17"/>
    <w:rsid w:val="53BF62DB"/>
    <w:rsid w:val="53C02053"/>
    <w:rsid w:val="53C75190"/>
    <w:rsid w:val="53CE4770"/>
    <w:rsid w:val="53D17DBD"/>
    <w:rsid w:val="53D80EDC"/>
    <w:rsid w:val="53E06252"/>
    <w:rsid w:val="53E421E6"/>
    <w:rsid w:val="53E67D0C"/>
    <w:rsid w:val="53EB5322"/>
    <w:rsid w:val="53F21C60"/>
    <w:rsid w:val="53FF492A"/>
    <w:rsid w:val="54063F0A"/>
    <w:rsid w:val="54085ED4"/>
    <w:rsid w:val="54091C4C"/>
    <w:rsid w:val="540939FA"/>
    <w:rsid w:val="540957A8"/>
    <w:rsid w:val="540D34EB"/>
    <w:rsid w:val="540E1011"/>
    <w:rsid w:val="54134879"/>
    <w:rsid w:val="5415239F"/>
    <w:rsid w:val="54176117"/>
    <w:rsid w:val="5418636F"/>
    <w:rsid w:val="541C1980"/>
    <w:rsid w:val="541F6D7A"/>
    <w:rsid w:val="54232D0E"/>
    <w:rsid w:val="54280325"/>
    <w:rsid w:val="542D593B"/>
    <w:rsid w:val="54305A86"/>
    <w:rsid w:val="54330A77"/>
    <w:rsid w:val="54352A41"/>
    <w:rsid w:val="543C792C"/>
    <w:rsid w:val="544762D1"/>
    <w:rsid w:val="54492049"/>
    <w:rsid w:val="545509EE"/>
    <w:rsid w:val="545C3B2A"/>
    <w:rsid w:val="545C7FCE"/>
    <w:rsid w:val="5463310B"/>
    <w:rsid w:val="54660E4D"/>
    <w:rsid w:val="546D3F89"/>
    <w:rsid w:val="54813591"/>
    <w:rsid w:val="548E3F00"/>
    <w:rsid w:val="548E5CAE"/>
    <w:rsid w:val="54972DB4"/>
    <w:rsid w:val="54977258"/>
    <w:rsid w:val="54996B2C"/>
    <w:rsid w:val="549A28A4"/>
    <w:rsid w:val="549E2395"/>
    <w:rsid w:val="54A0435F"/>
    <w:rsid w:val="54A379AB"/>
    <w:rsid w:val="54A454D1"/>
    <w:rsid w:val="54A976BC"/>
    <w:rsid w:val="54B27BEE"/>
    <w:rsid w:val="54B94928"/>
    <w:rsid w:val="54BE47E5"/>
    <w:rsid w:val="54C11331"/>
    <w:rsid w:val="54C55B73"/>
    <w:rsid w:val="54C6369A"/>
    <w:rsid w:val="54C94F38"/>
    <w:rsid w:val="54DE6C35"/>
    <w:rsid w:val="54E51D72"/>
    <w:rsid w:val="54E67898"/>
    <w:rsid w:val="54ED50CA"/>
    <w:rsid w:val="54ED6E78"/>
    <w:rsid w:val="54EF0E42"/>
    <w:rsid w:val="54F14BBA"/>
    <w:rsid w:val="54F2448F"/>
    <w:rsid w:val="54F975CB"/>
    <w:rsid w:val="54FE1085"/>
    <w:rsid w:val="54FE2E33"/>
    <w:rsid w:val="550146D2"/>
    <w:rsid w:val="55061CE8"/>
    <w:rsid w:val="55094F55"/>
    <w:rsid w:val="550B72FE"/>
    <w:rsid w:val="550C37A2"/>
    <w:rsid w:val="55102B67"/>
    <w:rsid w:val="55191A1B"/>
    <w:rsid w:val="551B5793"/>
    <w:rsid w:val="55254864"/>
    <w:rsid w:val="5529453F"/>
    <w:rsid w:val="552F7491"/>
    <w:rsid w:val="55322ADD"/>
    <w:rsid w:val="55366A71"/>
    <w:rsid w:val="55376345"/>
    <w:rsid w:val="553E76D4"/>
    <w:rsid w:val="55434CEA"/>
    <w:rsid w:val="554747DA"/>
    <w:rsid w:val="554967A4"/>
    <w:rsid w:val="554A6079"/>
    <w:rsid w:val="554C1DF1"/>
    <w:rsid w:val="554D7917"/>
    <w:rsid w:val="555B0286"/>
    <w:rsid w:val="555B64D8"/>
    <w:rsid w:val="5560589C"/>
    <w:rsid w:val="55651104"/>
    <w:rsid w:val="55676C2B"/>
    <w:rsid w:val="556829A3"/>
    <w:rsid w:val="556C4241"/>
    <w:rsid w:val="55741347"/>
    <w:rsid w:val="55747599"/>
    <w:rsid w:val="557974AE"/>
    <w:rsid w:val="557E5D22"/>
    <w:rsid w:val="55807CEC"/>
    <w:rsid w:val="55851320"/>
    <w:rsid w:val="55872E29"/>
    <w:rsid w:val="558772CD"/>
    <w:rsid w:val="558839DC"/>
    <w:rsid w:val="558A0B6B"/>
    <w:rsid w:val="558A46C7"/>
    <w:rsid w:val="558C043F"/>
    <w:rsid w:val="55911EF9"/>
    <w:rsid w:val="5596306C"/>
    <w:rsid w:val="559A7000"/>
    <w:rsid w:val="559B4B26"/>
    <w:rsid w:val="559B68D4"/>
    <w:rsid w:val="559D43FA"/>
    <w:rsid w:val="55A21A11"/>
    <w:rsid w:val="55A75279"/>
    <w:rsid w:val="55AE6607"/>
    <w:rsid w:val="55B160F8"/>
    <w:rsid w:val="55B66898"/>
    <w:rsid w:val="55BB0D24"/>
    <w:rsid w:val="55BF6A67"/>
    <w:rsid w:val="55C23E61"/>
    <w:rsid w:val="55C67DF5"/>
    <w:rsid w:val="55C73B6D"/>
    <w:rsid w:val="55CC4CE0"/>
    <w:rsid w:val="55CE2806"/>
    <w:rsid w:val="55D311C1"/>
    <w:rsid w:val="55DA73FC"/>
    <w:rsid w:val="55DB13C7"/>
    <w:rsid w:val="55E53FF3"/>
    <w:rsid w:val="55E738C7"/>
    <w:rsid w:val="55EC35D4"/>
    <w:rsid w:val="55EC5382"/>
    <w:rsid w:val="55EE2EA8"/>
    <w:rsid w:val="55EF09CE"/>
    <w:rsid w:val="55F01F40"/>
    <w:rsid w:val="55F04E72"/>
    <w:rsid w:val="55F30252"/>
    <w:rsid w:val="55F3226C"/>
    <w:rsid w:val="55F67FAE"/>
    <w:rsid w:val="55F935FB"/>
    <w:rsid w:val="55FA7A9F"/>
    <w:rsid w:val="56007E96"/>
    <w:rsid w:val="560426CB"/>
    <w:rsid w:val="56091A90"/>
    <w:rsid w:val="56095F34"/>
    <w:rsid w:val="560A5808"/>
    <w:rsid w:val="560B1CAC"/>
    <w:rsid w:val="560C332E"/>
    <w:rsid w:val="560E52F8"/>
    <w:rsid w:val="561072C2"/>
    <w:rsid w:val="56114DE8"/>
    <w:rsid w:val="5613290E"/>
    <w:rsid w:val="561623FF"/>
    <w:rsid w:val="56187F25"/>
    <w:rsid w:val="561A1EEF"/>
    <w:rsid w:val="561D378D"/>
    <w:rsid w:val="561F3061"/>
    <w:rsid w:val="56222B52"/>
    <w:rsid w:val="56290384"/>
    <w:rsid w:val="562C39D0"/>
    <w:rsid w:val="562E70CC"/>
    <w:rsid w:val="5638384C"/>
    <w:rsid w:val="563A60ED"/>
    <w:rsid w:val="56424FA2"/>
    <w:rsid w:val="564E3947"/>
    <w:rsid w:val="56535401"/>
    <w:rsid w:val="56544746"/>
    <w:rsid w:val="56552F27"/>
    <w:rsid w:val="56554CD5"/>
    <w:rsid w:val="56582A17"/>
    <w:rsid w:val="565A22EB"/>
    <w:rsid w:val="565C6063"/>
    <w:rsid w:val="565D1DDC"/>
    <w:rsid w:val="565E627F"/>
    <w:rsid w:val="565F1859"/>
    <w:rsid w:val="56617B1E"/>
    <w:rsid w:val="56625644"/>
    <w:rsid w:val="566342D9"/>
    <w:rsid w:val="566413BC"/>
    <w:rsid w:val="566B274A"/>
    <w:rsid w:val="566B62A7"/>
    <w:rsid w:val="566D6B57"/>
    <w:rsid w:val="566E223B"/>
    <w:rsid w:val="56707D61"/>
    <w:rsid w:val="56783B41"/>
    <w:rsid w:val="567A298E"/>
    <w:rsid w:val="567D422C"/>
    <w:rsid w:val="567F0E43"/>
    <w:rsid w:val="568455BA"/>
    <w:rsid w:val="5687684D"/>
    <w:rsid w:val="56876E58"/>
    <w:rsid w:val="56893E7C"/>
    <w:rsid w:val="568B6949"/>
    <w:rsid w:val="568D26C1"/>
    <w:rsid w:val="568D446F"/>
    <w:rsid w:val="568D4E50"/>
    <w:rsid w:val="568E01E7"/>
    <w:rsid w:val="56921A85"/>
    <w:rsid w:val="56955A19"/>
    <w:rsid w:val="56982E14"/>
    <w:rsid w:val="569D5483"/>
    <w:rsid w:val="569F0646"/>
    <w:rsid w:val="569F41A2"/>
    <w:rsid w:val="56A01094"/>
    <w:rsid w:val="56A1160C"/>
    <w:rsid w:val="56A63783"/>
    <w:rsid w:val="56AB2B47"/>
    <w:rsid w:val="56B23ED5"/>
    <w:rsid w:val="56B539C6"/>
    <w:rsid w:val="56B55774"/>
    <w:rsid w:val="56BF65F2"/>
    <w:rsid w:val="56C1236A"/>
    <w:rsid w:val="56C24012"/>
    <w:rsid w:val="56C500AD"/>
    <w:rsid w:val="56C63E25"/>
    <w:rsid w:val="56CF0F2B"/>
    <w:rsid w:val="56CF2CD9"/>
    <w:rsid w:val="56D26326"/>
    <w:rsid w:val="56D3300B"/>
    <w:rsid w:val="56D976B4"/>
    <w:rsid w:val="56DC0F52"/>
    <w:rsid w:val="56DC71A4"/>
    <w:rsid w:val="56E21670"/>
    <w:rsid w:val="56EB388B"/>
    <w:rsid w:val="56F3629C"/>
    <w:rsid w:val="56F40992"/>
    <w:rsid w:val="56F444EE"/>
    <w:rsid w:val="56F97D56"/>
    <w:rsid w:val="56FB3ACE"/>
    <w:rsid w:val="56FF2E93"/>
    <w:rsid w:val="56FF759B"/>
    <w:rsid w:val="570109B9"/>
    <w:rsid w:val="57014E5D"/>
    <w:rsid w:val="5705494D"/>
    <w:rsid w:val="570A5ABF"/>
    <w:rsid w:val="57115B7E"/>
    <w:rsid w:val="5714693E"/>
    <w:rsid w:val="571526B6"/>
    <w:rsid w:val="57154464"/>
    <w:rsid w:val="57160908"/>
    <w:rsid w:val="57174680"/>
    <w:rsid w:val="57266671"/>
    <w:rsid w:val="572728F4"/>
    <w:rsid w:val="5728063B"/>
    <w:rsid w:val="57315742"/>
    <w:rsid w:val="573174F0"/>
    <w:rsid w:val="57377899"/>
    <w:rsid w:val="573E1C0D"/>
    <w:rsid w:val="57435475"/>
    <w:rsid w:val="57437223"/>
    <w:rsid w:val="574B60D8"/>
    <w:rsid w:val="57511940"/>
    <w:rsid w:val="575136EE"/>
    <w:rsid w:val="575256B8"/>
    <w:rsid w:val="575651A9"/>
    <w:rsid w:val="57566F57"/>
    <w:rsid w:val="575C320C"/>
    <w:rsid w:val="57633422"/>
    <w:rsid w:val="57664CC0"/>
    <w:rsid w:val="57680A38"/>
    <w:rsid w:val="57803FD4"/>
    <w:rsid w:val="57805D82"/>
    <w:rsid w:val="578137B9"/>
    <w:rsid w:val="57835872"/>
    <w:rsid w:val="578A6C00"/>
    <w:rsid w:val="579161E1"/>
    <w:rsid w:val="57925AB5"/>
    <w:rsid w:val="57931F59"/>
    <w:rsid w:val="57947A7F"/>
    <w:rsid w:val="579D4B86"/>
    <w:rsid w:val="57A001D2"/>
    <w:rsid w:val="57A2219C"/>
    <w:rsid w:val="57A31A70"/>
    <w:rsid w:val="57A75A04"/>
    <w:rsid w:val="57AA1051"/>
    <w:rsid w:val="57AC7B41"/>
    <w:rsid w:val="57AE51D7"/>
    <w:rsid w:val="57B123DF"/>
    <w:rsid w:val="57B33C46"/>
    <w:rsid w:val="57B41ECF"/>
    <w:rsid w:val="57B95737"/>
    <w:rsid w:val="57BB14B0"/>
    <w:rsid w:val="57BE4AFC"/>
    <w:rsid w:val="57C06AC6"/>
    <w:rsid w:val="57C245EC"/>
    <w:rsid w:val="57C33EC0"/>
    <w:rsid w:val="57C57C38"/>
    <w:rsid w:val="57C71C02"/>
    <w:rsid w:val="57C739B1"/>
    <w:rsid w:val="57C77E54"/>
    <w:rsid w:val="57C9767E"/>
    <w:rsid w:val="57CA34A1"/>
    <w:rsid w:val="57D32355"/>
    <w:rsid w:val="57D4431F"/>
    <w:rsid w:val="57D77C44"/>
    <w:rsid w:val="57DB3900"/>
    <w:rsid w:val="57DB56AE"/>
    <w:rsid w:val="57DE0CFA"/>
    <w:rsid w:val="57DF5A67"/>
    <w:rsid w:val="57E04A72"/>
    <w:rsid w:val="57E207EA"/>
    <w:rsid w:val="57E60D46"/>
    <w:rsid w:val="57EC78BB"/>
    <w:rsid w:val="57F16C7F"/>
    <w:rsid w:val="57FA1FD8"/>
    <w:rsid w:val="57FB5D50"/>
    <w:rsid w:val="58006EC2"/>
    <w:rsid w:val="580469B3"/>
    <w:rsid w:val="58070251"/>
    <w:rsid w:val="58093FC9"/>
    <w:rsid w:val="580F5357"/>
    <w:rsid w:val="58150155"/>
    <w:rsid w:val="5818420C"/>
    <w:rsid w:val="581D1822"/>
    <w:rsid w:val="58201313"/>
    <w:rsid w:val="58226A99"/>
    <w:rsid w:val="58242BB1"/>
    <w:rsid w:val="58244F2D"/>
    <w:rsid w:val="5827444F"/>
    <w:rsid w:val="5829466B"/>
    <w:rsid w:val="582A3F3F"/>
    <w:rsid w:val="582B03E3"/>
    <w:rsid w:val="582D4D00"/>
    <w:rsid w:val="58354DBE"/>
    <w:rsid w:val="583B614D"/>
    <w:rsid w:val="5842572D"/>
    <w:rsid w:val="58472D43"/>
    <w:rsid w:val="58490869"/>
    <w:rsid w:val="58492617"/>
    <w:rsid w:val="584B2834"/>
    <w:rsid w:val="584C2108"/>
    <w:rsid w:val="58515970"/>
    <w:rsid w:val="58554DFA"/>
    <w:rsid w:val="58555460"/>
    <w:rsid w:val="5855720E"/>
    <w:rsid w:val="585A2A77"/>
    <w:rsid w:val="58615BB3"/>
    <w:rsid w:val="5866766D"/>
    <w:rsid w:val="586A6232"/>
    <w:rsid w:val="586B4C84"/>
    <w:rsid w:val="58726012"/>
    <w:rsid w:val="58733B38"/>
    <w:rsid w:val="587570FD"/>
    <w:rsid w:val="587D1DB6"/>
    <w:rsid w:val="587D49B7"/>
    <w:rsid w:val="588673C8"/>
    <w:rsid w:val="58871392"/>
    <w:rsid w:val="588875E4"/>
    <w:rsid w:val="58892C4B"/>
    <w:rsid w:val="58900246"/>
    <w:rsid w:val="58941F6F"/>
    <w:rsid w:val="5895585D"/>
    <w:rsid w:val="589870FB"/>
    <w:rsid w:val="589D2963"/>
    <w:rsid w:val="589F492D"/>
    <w:rsid w:val="58A41F44"/>
    <w:rsid w:val="58A837E2"/>
    <w:rsid w:val="58A91308"/>
    <w:rsid w:val="58A9755A"/>
    <w:rsid w:val="58AE4B70"/>
    <w:rsid w:val="58BD7536"/>
    <w:rsid w:val="58BF0B2C"/>
    <w:rsid w:val="58C3686E"/>
    <w:rsid w:val="58C919AA"/>
    <w:rsid w:val="58CB5722"/>
    <w:rsid w:val="58CE0D6F"/>
    <w:rsid w:val="58D2085F"/>
    <w:rsid w:val="58D565A1"/>
    <w:rsid w:val="58DA3BB7"/>
    <w:rsid w:val="58DF2F7C"/>
    <w:rsid w:val="58E10AA2"/>
    <w:rsid w:val="58E33CEB"/>
    <w:rsid w:val="58E6255C"/>
    <w:rsid w:val="58ED38EB"/>
    <w:rsid w:val="58ED5699"/>
    <w:rsid w:val="58EF1411"/>
    <w:rsid w:val="58F033DB"/>
    <w:rsid w:val="58F72073"/>
    <w:rsid w:val="58FA1B64"/>
    <w:rsid w:val="59030A18"/>
    <w:rsid w:val="590649AC"/>
    <w:rsid w:val="59080725"/>
    <w:rsid w:val="591470C9"/>
    <w:rsid w:val="591744C4"/>
    <w:rsid w:val="591A2206"/>
    <w:rsid w:val="591B0458"/>
    <w:rsid w:val="591C7D2C"/>
    <w:rsid w:val="591E1CF6"/>
    <w:rsid w:val="591E3AA4"/>
    <w:rsid w:val="591F15CA"/>
    <w:rsid w:val="59205A6E"/>
    <w:rsid w:val="59254E33"/>
    <w:rsid w:val="592941F7"/>
    <w:rsid w:val="592B7F6F"/>
    <w:rsid w:val="592D018B"/>
    <w:rsid w:val="592E180D"/>
    <w:rsid w:val="5930071B"/>
    <w:rsid w:val="59345076"/>
    <w:rsid w:val="593626CC"/>
    <w:rsid w:val="59367D12"/>
    <w:rsid w:val="5943175D"/>
    <w:rsid w:val="5943350B"/>
    <w:rsid w:val="594A2AEB"/>
    <w:rsid w:val="594D4389"/>
    <w:rsid w:val="594F3C5E"/>
    <w:rsid w:val="595079D6"/>
    <w:rsid w:val="59545718"/>
    <w:rsid w:val="5955323E"/>
    <w:rsid w:val="59554FEC"/>
    <w:rsid w:val="59575208"/>
    <w:rsid w:val="59576FB6"/>
    <w:rsid w:val="595E6596"/>
    <w:rsid w:val="59605937"/>
    <w:rsid w:val="5965138D"/>
    <w:rsid w:val="596671F9"/>
    <w:rsid w:val="5967369D"/>
    <w:rsid w:val="596A6CE9"/>
    <w:rsid w:val="596D67DA"/>
    <w:rsid w:val="5977138A"/>
    <w:rsid w:val="59771406"/>
    <w:rsid w:val="59796F2C"/>
    <w:rsid w:val="597A4A53"/>
    <w:rsid w:val="597E3CAB"/>
    <w:rsid w:val="598002BB"/>
    <w:rsid w:val="5980650D"/>
    <w:rsid w:val="59814033"/>
    <w:rsid w:val="59831B59"/>
    <w:rsid w:val="59853B23"/>
    <w:rsid w:val="598853C1"/>
    <w:rsid w:val="598A113A"/>
    <w:rsid w:val="598F6750"/>
    <w:rsid w:val="59922A10"/>
    <w:rsid w:val="5996188C"/>
    <w:rsid w:val="599A624A"/>
    <w:rsid w:val="59A0354C"/>
    <w:rsid w:val="59A05A3D"/>
    <w:rsid w:val="59A26483"/>
    <w:rsid w:val="59AA17DC"/>
    <w:rsid w:val="59AA5338"/>
    <w:rsid w:val="59AF294E"/>
    <w:rsid w:val="59B12B6A"/>
    <w:rsid w:val="59B14918"/>
    <w:rsid w:val="59B2243E"/>
    <w:rsid w:val="59B241EC"/>
    <w:rsid w:val="59B368E2"/>
    <w:rsid w:val="59B71A84"/>
    <w:rsid w:val="59B91A1F"/>
    <w:rsid w:val="59B925A9"/>
    <w:rsid w:val="59BC506B"/>
    <w:rsid w:val="59BD150F"/>
    <w:rsid w:val="59BE0DE3"/>
    <w:rsid w:val="59BE5287"/>
    <w:rsid w:val="59C208D3"/>
    <w:rsid w:val="59C7413C"/>
    <w:rsid w:val="59C75EEA"/>
    <w:rsid w:val="59CA3C2C"/>
    <w:rsid w:val="59CD1026"/>
    <w:rsid w:val="59CF1242"/>
    <w:rsid w:val="59D10B16"/>
    <w:rsid w:val="59D2488F"/>
    <w:rsid w:val="59DB7BE7"/>
    <w:rsid w:val="59DD395F"/>
    <w:rsid w:val="59E52814"/>
    <w:rsid w:val="59E70E56"/>
    <w:rsid w:val="59F36CDF"/>
    <w:rsid w:val="59F40CA9"/>
    <w:rsid w:val="59F82547"/>
    <w:rsid w:val="59F82965"/>
    <w:rsid w:val="59F91E1B"/>
    <w:rsid w:val="59FA62BF"/>
    <w:rsid w:val="59FD190B"/>
    <w:rsid w:val="59FE7432"/>
    <w:rsid w:val="5A0031AA"/>
    <w:rsid w:val="5A010FCF"/>
    <w:rsid w:val="5A04713E"/>
    <w:rsid w:val="5A054C64"/>
    <w:rsid w:val="5A056A12"/>
    <w:rsid w:val="5A063515"/>
    <w:rsid w:val="5A0A04CC"/>
    <w:rsid w:val="5A0A5DD6"/>
    <w:rsid w:val="5A0E58C7"/>
    <w:rsid w:val="5A105AE3"/>
    <w:rsid w:val="5A135F93"/>
    <w:rsid w:val="5A186250"/>
    <w:rsid w:val="5A1B4488"/>
    <w:rsid w:val="5A1D1FAE"/>
    <w:rsid w:val="5A1F5D26"/>
    <w:rsid w:val="5A20384C"/>
    <w:rsid w:val="5A2055FA"/>
    <w:rsid w:val="5A236E98"/>
    <w:rsid w:val="5A274BDA"/>
    <w:rsid w:val="5A2C3F9F"/>
    <w:rsid w:val="5A2E5F69"/>
    <w:rsid w:val="5A2F3A8F"/>
    <w:rsid w:val="5A315A59"/>
    <w:rsid w:val="5A366BCB"/>
    <w:rsid w:val="5A3C1E2C"/>
    <w:rsid w:val="5A4237C2"/>
    <w:rsid w:val="5A427C66"/>
    <w:rsid w:val="5A4968FF"/>
    <w:rsid w:val="5A4A08C9"/>
    <w:rsid w:val="5A4E03B9"/>
    <w:rsid w:val="5A4F7C8D"/>
    <w:rsid w:val="5A5555C8"/>
    <w:rsid w:val="5A5837A1"/>
    <w:rsid w:val="5A5A0B0C"/>
    <w:rsid w:val="5A5C0D28"/>
    <w:rsid w:val="5A63462A"/>
    <w:rsid w:val="5A663955"/>
    <w:rsid w:val="5A67147B"/>
    <w:rsid w:val="5A690D4F"/>
    <w:rsid w:val="5A6A4AC7"/>
    <w:rsid w:val="5A6E054A"/>
    <w:rsid w:val="5A7616BE"/>
    <w:rsid w:val="5A7F0572"/>
    <w:rsid w:val="5A8042EB"/>
    <w:rsid w:val="5A852700"/>
    <w:rsid w:val="5A8646B8"/>
    <w:rsid w:val="5A865DA5"/>
    <w:rsid w:val="5A866761"/>
    <w:rsid w:val="5A867B53"/>
    <w:rsid w:val="5A897643"/>
    <w:rsid w:val="5A8B5169"/>
    <w:rsid w:val="5A9102A6"/>
    <w:rsid w:val="5AA12BDF"/>
    <w:rsid w:val="5AA4622B"/>
    <w:rsid w:val="5AA601F5"/>
    <w:rsid w:val="5AA71877"/>
    <w:rsid w:val="5AA91AFA"/>
    <w:rsid w:val="5AAB1367"/>
    <w:rsid w:val="5AAB75B9"/>
    <w:rsid w:val="5AAC677F"/>
    <w:rsid w:val="5AAD1584"/>
    <w:rsid w:val="5AAE2C06"/>
    <w:rsid w:val="5AB02E22"/>
    <w:rsid w:val="5AB0511D"/>
    <w:rsid w:val="5AB20948"/>
    <w:rsid w:val="5AB521E6"/>
    <w:rsid w:val="5AB53F94"/>
    <w:rsid w:val="5ABA3CA0"/>
    <w:rsid w:val="5ABA3F0F"/>
    <w:rsid w:val="5AC051B0"/>
    <w:rsid w:val="5AC46702"/>
    <w:rsid w:val="5AC643F3"/>
    <w:rsid w:val="5ACE5056"/>
    <w:rsid w:val="5AD36B10"/>
    <w:rsid w:val="5AD52888"/>
    <w:rsid w:val="5ADA39FB"/>
    <w:rsid w:val="5ADF1BC9"/>
    <w:rsid w:val="5AE34FA5"/>
    <w:rsid w:val="5AE825BC"/>
    <w:rsid w:val="5AEA041D"/>
    <w:rsid w:val="5AEB3E5A"/>
    <w:rsid w:val="5AEE56F8"/>
    <w:rsid w:val="5AF745AD"/>
    <w:rsid w:val="5AF820D3"/>
    <w:rsid w:val="5AFA22EF"/>
    <w:rsid w:val="5AFC1BC3"/>
    <w:rsid w:val="5B0311A3"/>
    <w:rsid w:val="5B0373F5"/>
    <w:rsid w:val="5B04316E"/>
    <w:rsid w:val="5B0647F0"/>
    <w:rsid w:val="5B0D3DD0"/>
    <w:rsid w:val="5B123195"/>
    <w:rsid w:val="5B127639"/>
    <w:rsid w:val="5B157129"/>
    <w:rsid w:val="5B1769FD"/>
    <w:rsid w:val="5B184523"/>
    <w:rsid w:val="5B1909C7"/>
    <w:rsid w:val="5B1A473F"/>
    <w:rsid w:val="5B1C2265"/>
    <w:rsid w:val="5B1E422F"/>
    <w:rsid w:val="5B265E74"/>
    <w:rsid w:val="5B2B24A8"/>
    <w:rsid w:val="5B2D1660"/>
    <w:rsid w:val="5B2E52BA"/>
    <w:rsid w:val="5B303F63"/>
    <w:rsid w:val="5B31425D"/>
    <w:rsid w:val="5B370E4D"/>
    <w:rsid w:val="5B380797"/>
    <w:rsid w:val="5B3A093D"/>
    <w:rsid w:val="5B3B6725"/>
    <w:rsid w:val="5B3C6463"/>
    <w:rsid w:val="5B3E042E"/>
    <w:rsid w:val="5B417F1E"/>
    <w:rsid w:val="5B433C96"/>
    <w:rsid w:val="5B4517BC"/>
    <w:rsid w:val="5B490B80"/>
    <w:rsid w:val="5B51362C"/>
    <w:rsid w:val="5B5163B3"/>
    <w:rsid w:val="5B547C51"/>
    <w:rsid w:val="5B577D73"/>
    <w:rsid w:val="5B595267"/>
    <w:rsid w:val="5B5A2D8E"/>
    <w:rsid w:val="5B635E4B"/>
    <w:rsid w:val="5B6B4F9B"/>
    <w:rsid w:val="5B6D2AC1"/>
    <w:rsid w:val="5B6F4A8B"/>
    <w:rsid w:val="5B7025B1"/>
    <w:rsid w:val="5B765E19"/>
    <w:rsid w:val="5B7756EE"/>
    <w:rsid w:val="5B780D3A"/>
    <w:rsid w:val="5B791466"/>
    <w:rsid w:val="5B793214"/>
    <w:rsid w:val="5B7A10F7"/>
    <w:rsid w:val="5B7C0F56"/>
    <w:rsid w:val="5B7C4516"/>
    <w:rsid w:val="5B7F3F76"/>
    <w:rsid w:val="5B830D19"/>
    <w:rsid w:val="5B834092"/>
    <w:rsid w:val="5B841BB9"/>
    <w:rsid w:val="5B85605C"/>
    <w:rsid w:val="5B863B83"/>
    <w:rsid w:val="5B8878FB"/>
    <w:rsid w:val="5B8A3673"/>
    <w:rsid w:val="5B9462A0"/>
    <w:rsid w:val="5B991B08"/>
    <w:rsid w:val="5B9B13DC"/>
    <w:rsid w:val="5B9B5880"/>
    <w:rsid w:val="5B9C6F02"/>
    <w:rsid w:val="5B9E711E"/>
    <w:rsid w:val="5BA30291"/>
    <w:rsid w:val="5BA5225B"/>
    <w:rsid w:val="5BA83AF9"/>
    <w:rsid w:val="5BA936E3"/>
    <w:rsid w:val="5BB46942"/>
    <w:rsid w:val="5BB611CE"/>
    <w:rsid w:val="5BBC1352"/>
    <w:rsid w:val="5BBE331C"/>
    <w:rsid w:val="5BC36B85"/>
    <w:rsid w:val="5BC621D1"/>
    <w:rsid w:val="5BC934AE"/>
    <w:rsid w:val="5BCE2C90"/>
    <w:rsid w:val="5BD3501A"/>
    <w:rsid w:val="5BD60666"/>
    <w:rsid w:val="5BD7618C"/>
    <w:rsid w:val="5BDE751B"/>
    <w:rsid w:val="5BE03293"/>
    <w:rsid w:val="5BEA4111"/>
    <w:rsid w:val="5BF1724E"/>
    <w:rsid w:val="5BF31218"/>
    <w:rsid w:val="5BF705DC"/>
    <w:rsid w:val="5C001B87"/>
    <w:rsid w:val="5C007491"/>
    <w:rsid w:val="5C0276AD"/>
    <w:rsid w:val="5C050F4B"/>
    <w:rsid w:val="5C0827EA"/>
    <w:rsid w:val="5C0B3049"/>
    <w:rsid w:val="5C0D1BAE"/>
    <w:rsid w:val="5C0E34F4"/>
    <w:rsid w:val="5C0F5926"/>
    <w:rsid w:val="5C1967A5"/>
    <w:rsid w:val="5C1B251D"/>
    <w:rsid w:val="5C1D0043"/>
    <w:rsid w:val="5C221AFD"/>
    <w:rsid w:val="5C2238AB"/>
    <w:rsid w:val="5C2A09B2"/>
    <w:rsid w:val="5C315195"/>
    <w:rsid w:val="5C321615"/>
    <w:rsid w:val="5C361105"/>
    <w:rsid w:val="5C367357"/>
    <w:rsid w:val="5C3B2BBF"/>
    <w:rsid w:val="5C401F83"/>
    <w:rsid w:val="5C403D31"/>
    <w:rsid w:val="5C423F4D"/>
    <w:rsid w:val="5C4708E2"/>
    <w:rsid w:val="5C480E38"/>
    <w:rsid w:val="5C4C0928"/>
    <w:rsid w:val="5C4F1C45"/>
    <w:rsid w:val="5C531CB7"/>
    <w:rsid w:val="5C537F09"/>
    <w:rsid w:val="5C594DF3"/>
    <w:rsid w:val="5C6043D4"/>
    <w:rsid w:val="5C621EFA"/>
    <w:rsid w:val="5C677510"/>
    <w:rsid w:val="5C6914DA"/>
    <w:rsid w:val="5C6A66F3"/>
    <w:rsid w:val="5C6C0FCA"/>
    <w:rsid w:val="5C6C6ABA"/>
    <w:rsid w:val="5C702869"/>
    <w:rsid w:val="5C71213D"/>
    <w:rsid w:val="5C735EB5"/>
    <w:rsid w:val="5C7A5495"/>
    <w:rsid w:val="5C7D31D8"/>
    <w:rsid w:val="5C7E485A"/>
    <w:rsid w:val="5C7F0CFE"/>
    <w:rsid w:val="5C8400C2"/>
    <w:rsid w:val="5C89392A"/>
    <w:rsid w:val="5C8B76A2"/>
    <w:rsid w:val="5C904CB9"/>
    <w:rsid w:val="5C910060"/>
    <w:rsid w:val="5C9127DF"/>
    <w:rsid w:val="5C936557"/>
    <w:rsid w:val="5C966047"/>
    <w:rsid w:val="5C974299"/>
    <w:rsid w:val="5C9B540C"/>
    <w:rsid w:val="5C9D4C23"/>
    <w:rsid w:val="5C9F314E"/>
    <w:rsid w:val="5CA249EC"/>
    <w:rsid w:val="5CA40764"/>
    <w:rsid w:val="5CA6628A"/>
    <w:rsid w:val="5CA73DB1"/>
    <w:rsid w:val="5CB32755"/>
    <w:rsid w:val="5CB70498"/>
    <w:rsid w:val="5CC606DB"/>
    <w:rsid w:val="5CC76201"/>
    <w:rsid w:val="5CC901CB"/>
    <w:rsid w:val="5CC93D27"/>
    <w:rsid w:val="5CCA5F3D"/>
    <w:rsid w:val="5CCC1228"/>
    <w:rsid w:val="5CCC3817"/>
    <w:rsid w:val="5CCE57E1"/>
    <w:rsid w:val="5CD1707F"/>
    <w:rsid w:val="5CD54DC2"/>
    <w:rsid w:val="5CD8040E"/>
    <w:rsid w:val="5CD821BC"/>
    <w:rsid w:val="5CDA23D8"/>
    <w:rsid w:val="5CDA4186"/>
    <w:rsid w:val="5CDF179C"/>
    <w:rsid w:val="5CE15514"/>
    <w:rsid w:val="5CE47462"/>
    <w:rsid w:val="5CE768A3"/>
    <w:rsid w:val="5CE84AF5"/>
    <w:rsid w:val="5CEB0141"/>
    <w:rsid w:val="5CEB6393"/>
    <w:rsid w:val="5CF07506"/>
    <w:rsid w:val="5CF36FF6"/>
    <w:rsid w:val="5CF50FC0"/>
    <w:rsid w:val="5CF76AE6"/>
    <w:rsid w:val="5D0134C1"/>
    <w:rsid w:val="5D02548B"/>
    <w:rsid w:val="5D055D7B"/>
    <w:rsid w:val="5D094A6B"/>
    <w:rsid w:val="5D0B433F"/>
    <w:rsid w:val="5D0D6309"/>
    <w:rsid w:val="5D194A0A"/>
    <w:rsid w:val="5D1E6C42"/>
    <w:rsid w:val="5D213B63"/>
    <w:rsid w:val="5D243653"/>
    <w:rsid w:val="5D245401"/>
    <w:rsid w:val="5D276C9F"/>
    <w:rsid w:val="5D2B49E2"/>
    <w:rsid w:val="5D30024A"/>
    <w:rsid w:val="5D30782F"/>
    <w:rsid w:val="5D3513BC"/>
    <w:rsid w:val="5D3715D8"/>
    <w:rsid w:val="5D3970FE"/>
    <w:rsid w:val="5D3C099D"/>
    <w:rsid w:val="5D3F4885"/>
    <w:rsid w:val="5D415FB3"/>
    <w:rsid w:val="5D417D61"/>
    <w:rsid w:val="5D423AD9"/>
    <w:rsid w:val="5D437F7D"/>
    <w:rsid w:val="5D4930BA"/>
    <w:rsid w:val="5D557CB0"/>
    <w:rsid w:val="5D577585"/>
    <w:rsid w:val="5D5A2B14"/>
    <w:rsid w:val="5D5A52C7"/>
    <w:rsid w:val="5D5E6B65"/>
    <w:rsid w:val="5D6121B1"/>
    <w:rsid w:val="5D635F29"/>
    <w:rsid w:val="5D641CA2"/>
    <w:rsid w:val="5D657C27"/>
    <w:rsid w:val="5D6879E4"/>
    <w:rsid w:val="5D6D0B56"/>
    <w:rsid w:val="5D6D4FFA"/>
    <w:rsid w:val="5D6F0D72"/>
    <w:rsid w:val="5D72616D"/>
    <w:rsid w:val="5D752101"/>
    <w:rsid w:val="5D755C5D"/>
    <w:rsid w:val="5D79574D"/>
    <w:rsid w:val="5D7A3273"/>
    <w:rsid w:val="5D7E0FB5"/>
    <w:rsid w:val="5D850596"/>
    <w:rsid w:val="5D870E20"/>
    <w:rsid w:val="5D902BE3"/>
    <w:rsid w:val="5D972077"/>
    <w:rsid w:val="5D9A3915"/>
    <w:rsid w:val="5DA0717E"/>
    <w:rsid w:val="5DA30A1C"/>
    <w:rsid w:val="5DA36C6E"/>
    <w:rsid w:val="5DA402F0"/>
    <w:rsid w:val="5DA70E69"/>
    <w:rsid w:val="5DAD34DD"/>
    <w:rsid w:val="5DAD3649"/>
    <w:rsid w:val="5DB22A0D"/>
    <w:rsid w:val="5DBC388C"/>
    <w:rsid w:val="5DC10165"/>
    <w:rsid w:val="5DC56BE4"/>
    <w:rsid w:val="5DC818E3"/>
    <w:rsid w:val="5DD230AF"/>
    <w:rsid w:val="5DD72473"/>
    <w:rsid w:val="5DDB01B6"/>
    <w:rsid w:val="5DDC7A8A"/>
    <w:rsid w:val="5DDE3802"/>
    <w:rsid w:val="5DE03A1E"/>
    <w:rsid w:val="5DE352BC"/>
    <w:rsid w:val="5DE80ECD"/>
    <w:rsid w:val="5DE828D3"/>
    <w:rsid w:val="5DEA21A7"/>
    <w:rsid w:val="5DED7EE9"/>
    <w:rsid w:val="5DEF5A0F"/>
    <w:rsid w:val="5DF41277"/>
    <w:rsid w:val="5DF748C4"/>
    <w:rsid w:val="5DF94AE0"/>
    <w:rsid w:val="5DFB4772"/>
    <w:rsid w:val="5E0019CA"/>
    <w:rsid w:val="5E033269"/>
    <w:rsid w:val="5E045D4D"/>
    <w:rsid w:val="5E062D59"/>
    <w:rsid w:val="5E0A2849"/>
    <w:rsid w:val="5E0B450A"/>
    <w:rsid w:val="5E0C14B0"/>
    <w:rsid w:val="5E127950"/>
    <w:rsid w:val="5E1A28CC"/>
    <w:rsid w:val="5E225DE5"/>
    <w:rsid w:val="5E2A6A47"/>
    <w:rsid w:val="5E2E29DB"/>
    <w:rsid w:val="5E395BA4"/>
    <w:rsid w:val="5E3B6EA6"/>
    <w:rsid w:val="5E3D49CC"/>
    <w:rsid w:val="5E3E6996"/>
    <w:rsid w:val="5E413D91"/>
    <w:rsid w:val="5E420235"/>
    <w:rsid w:val="5E437B09"/>
    <w:rsid w:val="5E4A0E97"/>
    <w:rsid w:val="5E512226"/>
    <w:rsid w:val="5E531852"/>
    <w:rsid w:val="5E565A8E"/>
    <w:rsid w:val="5E587A58"/>
    <w:rsid w:val="5E6071EA"/>
    <w:rsid w:val="5E6C7060"/>
    <w:rsid w:val="5E701F85"/>
    <w:rsid w:val="5E7151D4"/>
    <w:rsid w:val="5E744166"/>
    <w:rsid w:val="5E745F14"/>
    <w:rsid w:val="5E7A79CF"/>
    <w:rsid w:val="5E7D126D"/>
    <w:rsid w:val="5E802B0B"/>
    <w:rsid w:val="5E836CBA"/>
    <w:rsid w:val="5E873E9A"/>
    <w:rsid w:val="5E8D14AD"/>
    <w:rsid w:val="5E8E6FD6"/>
    <w:rsid w:val="5E954808"/>
    <w:rsid w:val="5E963D05"/>
    <w:rsid w:val="5E9A1E1F"/>
    <w:rsid w:val="5E9B16F3"/>
    <w:rsid w:val="5EA26F25"/>
    <w:rsid w:val="5EA52572"/>
    <w:rsid w:val="5EAA35A6"/>
    <w:rsid w:val="5EAC56AE"/>
    <w:rsid w:val="5EB36A3D"/>
    <w:rsid w:val="5EBD1A1C"/>
    <w:rsid w:val="5EBD3D5F"/>
    <w:rsid w:val="5EBD78BB"/>
    <w:rsid w:val="5EC944B2"/>
    <w:rsid w:val="5ECB647C"/>
    <w:rsid w:val="5ECE7D1A"/>
    <w:rsid w:val="5ED03A93"/>
    <w:rsid w:val="5ED30E8D"/>
    <w:rsid w:val="5ED35331"/>
    <w:rsid w:val="5ED864A3"/>
    <w:rsid w:val="5EDD7F5D"/>
    <w:rsid w:val="5EDF3CD6"/>
    <w:rsid w:val="5EDF7832"/>
    <w:rsid w:val="5EE4309A"/>
    <w:rsid w:val="5EE96902"/>
    <w:rsid w:val="5EEC1F4F"/>
    <w:rsid w:val="5EF64B7B"/>
    <w:rsid w:val="5EF84D97"/>
    <w:rsid w:val="5EFB03E4"/>
    <w:rsid w:val="5EFD23AE"/>
    <w:rsid w:val="5F0454EA"/>
    <w:rsid w:val="5F0E6369"/>
    <w:rsid w:val="5F1020E1"/>
    <w:rsid w:val="5F125E59"/>
    <w:rsid w:val="5F16521D"/>
    <w:rsid w:val="5F1C2834"/>
    <w:rsid w:val="5F1C6CD8"/>
    <w:rsid w:val="5F1D38C7"/>
    <w:rsid w:val="5F1D47FE"/>
    <w:rsid w:val="5F1F2324"/>
    <w:rsid w:val="5F1F40D2"/>
    <w:rsid w:val="5F2A478A"/>
    <w:rsid w:val="5F2D2C93"/>
    <w:rsid w:val="5F337B7D"/>
    <w:rsid w:val="5F3A0F0C"/>
    <w:rsid w:val="5F3B6A32"/>
    <w:rsid w:val="5F3D6646"/>
    <w:rsid w:val="5F463D55"/>
    <w:rsid w:val="5F4841D2"/>
    <w:rsid w:val="5F4B3119"/>
    <w:rsid w:val="5F4D50E3"/>
    <w:rsid w:val="5F4D6E91"/>
    <w:rsid w:val="5F506981"/>
    <w:rsid w:val="5F5226F9"/>
    <w:rsid w:val="5F5521EA"/>
    <w:rsid w:val="5F571ABE"/>
    <w:rsid w:val="5F5C5326"/>
    <w:rsid w:val="5F6D7533"/>
    <w:rsid w:val="5F6F4E95"/>
    <w:rsid w:val="5F7408C2"/>
    <w:rsid w:val="5F775CBC"/>
    <w:rsid w:val="5F7E34EF"/>
    <w:rsid w:val="5F7E529D"/>
    <w:rsid w:val="5F8108E9"/>
    <w:rsid w:val="5F814D8D"/>
    <w:rsid w:val="5F8328B3"/>
    <w:rsid w:val="5F8D1984"/>
    <w:rsid w:val="5F93686E"/>
    <w:rsid w:val="5F944AC0"/>
    <w:rsid w:val="5F97010C"/>
    <w:rsid w:val="5FA55E0F"/>
    <w:rsid w:val="5FA647F3"/>
    <w:rsid w:val="5FAD7930"/>
    <w:rsid w:val="5FB05672"/>
    <w:rsid w:val="5FB54A36"/>
    <w:rsid w:val="5FB92779"/>
    <w:rsid w:val="5FBC5DC5"/>
    <w:rsid w:val="5FBC7B73"/>
    <w:rsid w:val="5FC175D7"/>
    <w:rsid w:val="5FC8476A"/>
    <w:rsid w:val="5FC86518"/>
    <w:rsid w:val="5FCA6734"/>
    <w:rsid w:val="5FCC24AC"/>
    <w:rsid w:val="5FCE6D51"/>
    <w:rsid w:val="5FD2383A"/>
    <w:rsid w:val="5FD41360"/>
    <w:rsid w:val="5FD4774C"/>
    <w:rsid w:val="5FD72BFF"/>
    <w:rsid w:val="5FD90725"/>
    <w:rsid w:val="5FDA624B"/>
    <w:rsid w:val="5FE175D9"/>
    <w:rsid w:val="5FE62E42"/>
    <w:rsid w:val="5FE80968"/>
    <w:rsid w:val="5FE83F85"/>
    <w:rsid w:val="5FFE1F39"/>
    <w:rsid w:val="5FFE462F"/>
    <w:rsid w:val="60003F04"/>
    <w:rsid w:val="60017C7C"/>
    <w:rsid w:val="600A4D82"/>
    <w:rsid w:val="600D03CE"/>
    <w:rsid w:val="6017124D"/>
    <w:rsid w:val="601856F1"/>
    <w:rsid w:val="60196D73"/>
    <w:rsid w:val="601E082E"/>
    <w:rsid w:val="602045A6"/>
    <w:rsid w:val="60221DB4"/>
    <w:rsid w:val="60237BF2"/>
    <w:rsid w:val="60275934"/>
    <w:rsid w:val="602B6AA7"/>
    <w:rsid w:val="602C4CF9"/>
    <w:rsid w:val="602D281F"/>
    <w:rsid w:val="603718EF"/>
    <w:rsid w:val="60397415"/>
    <w:rsid w:val="603E4A2C"/>
    <w:rsid w:val="6042276E"/>
    <w:rsid w:val="604A2A0B"/>
    <w:rsid w:val="604F6C39"/>
    <w:rsid w:val="60567FC7"/>
    <w:rsid w:val="60583D40"/>
    <w:rsid w:val="605B738C"/>
    <w:rsid w:val="605E50CE"/>
    <w:rsid w:val="60612F01"/>
    <w:rsid w:val="6062696C"/>
    <w:rsid w:val="60634492"/>
    <w:rsid w:val="606704E8"/>
    <w:rsid w:val="6071095D"/>
    <w:rsid w:val="60714E01"/>
    <w:rsid w:val="60716BAF"/>
    <w:rsid w:val="607448F1"/>
    <w:rsid w:val="60762418"/>
    <w:rsid w:val="607641C6"/>
    <w:rsid w:val="60803296"/>
    <w:rsid w:val="6082700E"/>
    <w:rsid w:val="6085265B"/>
    <w:rsid w:val="60870181"/>
    <w:rsid w:val="608A7C71"/>
    <w:rsid w:val="60934D78"/>
    <w:rsid w:val="609B00D0"/>
    <w:rsid w:val="609B1E7E"/>
    <w:rsid w:val="60A05AA7"/>
    <w:rsid w:val="60A24FBB"/>
    <w:rsid w:val="60A76A75"/>
    <w:rsid w:val="60A9029A"/>
    <w:rsid w:val="60AC408B"/>
    <w:rsid w:val="60B116A2"/>
    <w:rsid w:val="60B151FE"/>
    <w:rsid w:val="60B42F40"/>
    <w:rsid w:val="60B44CEE"/>
    <w:rsid w:val="60B62814"/>
    <w:rsid w:val="60BA0556"/>
    <w:rsid w:val="60BB7E2A"/>
    <w:rsid w:val="60BD4E6A"/>
    <w:rsid w:val="60C03693"/>
    <w:rsid w:val="60C84CB3"/>
    <w:rsid w:val="60C90799"/>
    <w:rsid w:val="60CD7D73"/>
    <w:rsid w:val="60CE4002"/>
    <w:rsid w:val="60CE5DB0"/>
    <w:rsid w:val="60D55390"/>
    <w:rsid w:val="60D809DC"/>
    <w:rsid w:val="60DB04CD"/>
    <w:rsid w:val="60DF7FBD"/>
    <w:rsid w:val="60E05AE3"/>
    <w:rsid w:val="60E5134B"/>
    <w:rsid w:val="60E95B4F"/>
    <w:rsid w:val="60EA0710"/>
    <w:rsid w:val="60EC4488"/>
    <w:rsid w:val="60F65306"/>
    <w:rsid w:val="60F83D92"/>
    <w:rsid w:val="60FB0B6F"/>
    <w:rsid w:val="61025A59"/>
    <w:rsid w:val="610935D6"/>
    <w:rsid w:val="61096DE8"/>
    <w:rsid w:val="610C68D8"/>
    <w:rsid w:val="610D4B28"/>
    <w:rsid w:val="610E08A2"/>
    <w:rsid w:val="61137C66"/>
    <w:rsid w:val="61161505"/>
    <w:rsid w:val="61181721"/>
    <w:rsid w:val="6118527D"/>
    <w:rsid w:val="61202383"/>
    <w:rsid w:val="61273712"/>
    <w:rsid w:val="612754C0"/>
    <w:rsid w:val="612C3F1D"/>
    <w:rsid w:val="613025C6"/>
    <w:rsid w:val="613100ED"/>
    <w:rsid w:val="61373621"/>
    <w:rsid w:val="613F280A"/>
    <w:rsid w:val="614147D4"/>
    <w:rsid w:val="61471FEF"/>
    <w:rsid w:val="61493688"/>
    <w:rsid w:val="614E6EF1"/>
    <w:rsid w:val="615362B5"/>
    <w:rsid w:val="61572249"/>
    <w:rsid w:val="615A312F"/>
    <w:rsid w:val="615D0EE2"/>
    <w:rsid w:val="615E35D8"/>
    <w:rsid w:val="61695AD8"/>
    <w:rsid w:val="616E7593"/>
    <w:rsid w:val="61720E31"/>
    <w:rsid w:val="617213B6"/>
    <w:rsid w:val="61722BDF"/>
    <w:rsid w:val="617866B8"/>
    <w:rsid w:val="617A7CE6"/>
    <w:rsid w:val="617D1584"/>
    <w:rsid w:val="61844C5B"/>
    <w:rsid w:val="618C17C7"/>
    <w:rsid w:val="6192725F"/>
    <w:rsid w:val="61952D71"/>
    <w:rsid w:val="619A05C2"/>
    <w:rsid w:val="619A2136"/>
    <w:rsid w:val="61A30FEA"/>
    <w:rsid w:val="61A44245"/>
    <w:rsid w:val="61A92379"/>
    <w:rsid w:val="61AF3E33"/>
    <w:rsid w:val="61B256D1"/>
    <w:rsid w:val="61B551C2"/>
    <w:rsid w:val="61BA6334"/>
    <w:rsid w:val="61BF394A"/>
    <w:rsid w:val="61C55405"/>
    <w:rsid w:val="61C947C9"/>
    <w:rsid w:val="61CA2A1B"/>
    <w:rsid w:val="61CB6793"/>
    <w:rsid w:val="61D2367E"/>
    <w:rsid w:val="61D54F1C"/>
    <w:rsid w:val="61DA0784"/>
    <w:rsid w:val="61DA5A55"/>
    <w:rsid w:val="61E0223F"/>
    <w:rsid w:val="61E6537B"/>
    <w:rsid w:val="61E67129"/>
    <w:rsid w:val="61EB288B"/>
    <w:rsid w:val="61EB2991"/>
    <w:rsid w:val="61F41846"/>
    <w:rsid w:val="61F45CEA"/>
    <w:rsid w:val="61F465FC"/>
    <w:rsid w:val="61FA2BD4"/>
    <w:rsid w:val="61FE0917"/>
    <w:rsid w:val="62013F63"/>
    <w:rsid w:val="62045413"/>
    <w:rsid w:val="62051CA5"/>
    <w:rsid w:val="6208709F"/>
    <w:rsid w:val="620F48D2"/>
    <w:rsid w:val="6213234A"/>
    <w:rsid w:val="62143C96"/>
    <w:rsid w:val="62145A44"/>
    <w:rsid w:val="62175534"/>
    <w:rsid w:val="62195750"/>
    <w:rsid w:val="621A0316"/>
    <w:rsid w:val="621C2B4B"/>
    <w:rsid w:val="621E68C3"/>
    <w:rsid w:val="6220088D"/>
    <w:rsid w:val="622163B3"/>
    <w:rsid w:val="6223037D"/>
    <w:rsid w:val="622639C9"/>
    <w:rsid w:val="622814F0"/>
    <w:rsid w:val="622C5484"/>
    <w:rsid w:val="622D2FAA"/>
    <w:rsid w:val="622F287E"/>
    <w:rsid w:val="62314848"/>
    <w:rsid w:val="62326812"/>
    <w:rsid w:val="62344338"/>
    <w:rsid w:val="62361E5F"/>
    <w:rsid w:val="62393632"/>
    <w:rsid w:val="623F0400"/>
    <w:rsid w:val="62410803"/>
    <w:rsid w:val="624502F4"/>
    <w:rsid w:val="62456545"/>
    <w:rsid w:val="62465E1A"/>
    <w:rsid w:val="62481B92"/>
    <w:rsid w:val="624D0F56"/>
    <w:rsid w:val="624D53FA"/>
    <w:rsid w:val="624D71A8"/>
    <w:rsid w:val="62514EEA"/>
    <w:rsid w:val="625C73EB"/>
    <w:rsid w:val="625D29E9"/>
    <w:rsid w:val="625D4BD7"/>
    <w:rsid w:val="62652744"/>
    <w:rsid w:val="626544F2"/>
    <w:rsid w:val="626562A0"/>
    <w:rsid w:val="6267026A"/>
    <w:rsid w:val="626764BC"/>
    <w:rsid w:val="626A7D5A"/>
    <w:rsid w:val="626B7DF5"/>
    <w:rsid w:val="626E396E"/>
    <w:rsid w:val="626F35C2"/>
    <w:rsid w:val="626F711E"/>
    <w:rsid w:val="627209BD"/>
    <w:rsid w:val="62724E61"/>
    <w:rsid w:val="62736350"/>
    <w:rsid w:val="62744735"/>
    <w:rsid w:val="627B1F67"/>
    <w:rsid w:val="627D5CDF"/>
    <w:rsid w:val="627E7362"/>
    <w:rsid w:val="62816E52"/>
    <w:rsid w:val="628A377B"/>
    <w:rsid w:val="628F5A13"/>
    <w:rsid w:val="62943029"/>
    <w:rsid w:val="62960B4F"/>
    <w:rsid w:val="629D3C8C"/>
    <w:rsid w:val="62A0377C"/>
    <w:rsid w:val="62A50D92"/>
    <w:rsid w:val="62A96AD4"/>
    <w:rsid w:val="62AA45FB"/>
    <w:rsid w:val="62AD7C47"/>
    <w:rsid w:val="62AE5E99"/>
    <w:rsid w:val="62AF39BF"/>
    <w:rsid w:val="62B334AF"/>
    <w:rsid w:val="62B611F1"/>
    <w:rsid w:val="62B72874"/>
    <w:rsid w:val="62B92A90"/>
    <w:rsid w:val="62C21944"/>
    <w:rsid w:val="62C3746A"/>
    <w:rsid w:val="62C51434"/>
    <w:rsid w:val="62C90F25"/>
    <w:rsid w:val="62C95A86"/>
    <w:rsid w:val="62CE653B"/>
    <w:rsid w:val="62CF5E0F"/>
    <w:rsid w:val="62D502BE"/>
    <w:rsid w:val="62D81168"/>
    <w:rsid w:val="62DC3E7F"/>
    <w:rsid w:val="62DE42A4"/>
    <w:rsid w:val="62E01DCA"/>
    <w:rsid w:val="62EE44E7"/>
    <w:rsid w:val="62F31AFE"/>
    <w:rsid w:val="62F53AC8"/>
    <w:rsid w:val="630006BE"/>
    <w:rsid w:val="63043D0B"/>
    <w:rsid w:val="63064139"/>
    <w:rsid w:val="63065CD5"/>
    <w:rsid w:val="63071A4D"/>
    <w:rsid w:val="630B56ED"/>
    <w:rsid w:val="630C0E11"/>
    <w:rsid w:val="630E06E5"/>
    <w:rsid w:val="630F445E"/>
    <w:rsid w:val="631B2E02"/>
    <w:rsid w:val="631E6DA3"/>
    <w:rsid w:val="63220635"/>
    <w:rsid w:val="63253C81"/>
    <w:rsid w:val="632A1297"/>
    <w:rsid w:val="632E0D88"/>
    <w:rsid w:val="632F68AE"/>
    <w:rsid w:val="63332842"/>
    <w:rsid w:val="63387E58"/>
    <w:rsid w:val="6339083A"/>
    <w:rsid w:val="633A597E"/>
    <w:rsid w:val="633A772C"/>
    <w:rsid w:val="633B34A5"/>
    <w:rsid w:val="633D546F"/>
    <w:rsid w:val="63402869"/>
    <w:rsid w:val="63414F5F"/>
    <w:rsid w:val="634560D1"/>
    <w:rsid w:val="634B7B8C"/>
    <w:rsid w:val="634C7460"/>
    <w:rsid w:val="63556314"/>
    <w:rsid w:val="6356208C"/>
    <w:rsid w:val="635A7DCF"/>
    <w:rsid w:val="635C3B47"/>
    <w:rsid w:val="635D341B"/>
    <w:rsid w:val="635F53E5"/>
    <w:rsid w:val="63620A31"/>
    <w:rsid w:val="63626C83"/>
    <w:rsid w:val="636429FB"/>
    <w:rsid w:val="63666773"/>
    <w:rsid w:val="636E5628"/>
    <w:rsid w:val="636F22EA"/>
    <w:rsid w:val="637160AB"/>
    <w:rsid w:val="637644DD"/>
    <w:rsid w:val="63770981"/>
    <w:rsid w:val="637A3FCD"/>
    <w:rsid w:val="637F1C08"/>
    <w:rsid w:val="63822E81"/>
    <w:rsid w:val="63901A42"/>
    <w:rsid w:val="63911317"/>
    <w:rsid w:val="639A466F"/>
    <w:rsid w:val="63A177AC"/>
    <w:rsid w:val="63A4729C"/>
    <w:rsid w:val="63AB23D8"/>
    <w:rsid w:val="63B36E9D"/>
    <w:rsid w:val="63B374DF"/>
    <w:rsid w:val="63BA086D"/>
    <w:rsid w:val="63BC2837"/>
    <w:rsid w:val="63C65464"/>
    <w:rsid w:val="63CB65D6"/>
    <w:rsid w:val="63CC234F"/>
    <w:rsid w:val="63CF6AC6"/>
    <w:rsid w:val="63D00091"/>
    <w:rsid w:val="63D336DD"/>
    <w:rsid w:val="63D351D4"/>
    <w:rsid w:val="63D47B81"/>
    <w:rsid w:val="63D80CF3"/>
    <w:rsid w:val="63DF02D4"/>
    <w:rsid w:val="63E31B72"/>
    <w:rsid w:val="63E43B3C"/>
    <w:rsid w:val="63E853DA"/>
    <w:rsid w:val="63E92F01"/>
    <w:rsid w:val="63F0603D"/>
    <w:rsid w:val="63F25A88"/>
    <w:rsid w:val="63FA510E"/>
    <w:rsid w:val="63FA6EBC"/>
    <w:rsid w:val="63FD075A"/>
    <w:rsid w:val="63FF2724"/>
    <w:rsid w:val="64032214"/>
    <w:rsid w:val="64072BF6"/>
    <w:rsid w:val="640B2E77"/>
    <w:rsid w:val="640B731B"/>
    <w:rsid w:val="640D6BEF"/>
    <w:rsid w:val="64122457"/>
    <w:rsid w:val="64195594"/>
    <w:rsid w:val="641C32D6"/>
    <w:rsid w:val="641E0DFC"/>
    <w:rsid w:val="641E704E"/>
    <w:rsid w:val="641F4B74"/>
    <w:rsid w:val="6424218B"/>
    <w:rsid w:val="642B3519"/>
    <w:rsid w:val="64346872"/>
    <w:rsid w:val="64370110"/>
    <w:rsid w:val="64371EBE"/>
    <w:rsid w:val="643C20B5"/>
    <w:rsid w:val="643E324C"/>
    <w:rsid w:val="64430863"/>
    <w:rsid w:val="6445282D"/>
    <w:rsid w:val="64485E79"/>
    <w:rsid w:val="644A6A0A"/>
    <w:rsid w:val="644B15DB"/>
    <w:rsid w:val="644B7717"/>
    <w:rsid w:val="64513D0C"/>
    <w:rsid w:val="64540CC2"/>
    <w:rsid w:val="6454481E"/>
    <w:rsid w:val="645E38EF"/>
    <w:rsid w:val="646A5DEF"/>
    <w:rsid w:val="646D1DA4"/>
    <w:rsid w:val="646D3B32"/>
    <w:rsid w:val="646D58E0"/>
    <w:rsid w:val="647749B0"/>
    <w:rsid w:val="647A43A8"/>
    <w:rsid w:val="647E189B"/>
    <w:rsid w:val="648336D6"/>
    <w:rsid w:val="648570CD"/>
    <w:rsid w:val="64876062"/>
    <w:rsid w:val="6488096B"/>
    <w:rsid w:val="64882719"/>
    <w:rsid w:val="648A6492"/>
    <w:rsid w:val="648B3FB8"/>
    <w:rsid w:val="648F1CFA"/>
    <w:rsid w:val="6490513E"/>
    <w:rsid w:val="64921BDB"/>
    <w:rsid w:val="64925346"/>
    <w:rsid w:val="64947B20"/>
    <w:rsid w:val="6497295D"/>
    <w:rsid w:val="64986E00"/>
    <w:rsid w:val="649966D5"/>
    <w:rsid w:val="649B41FB"/>
    <w:rsid w:val="649D4417"/>
    <w:rsid w:val="649E018F"/>
    <w:rsid w:val="64A54380"/>
    <w:rsid w:val="64AA08B6"/>
    <w:rsid w:val="64AA2690"/>
    <w:rsid w:val="64AF5EF8"/>
    <w:rsid w:val="64B11C70"/>
    <w:rsid w:val="64B21544"/>
    <w:rsid w:val="64B96D77"/>
    <w:rsid w:val="64BE438D"/>
    <w:rsid w:val="64C71494"/>
    <w:rsid w:val="64C80D68"/>
    <w:rsid w:val="64D37E39"/>
    <w:rsid w:val="64D616D7"/>
    <w:rsid w:val="64D836A1"/>
    <w:rsid w:val="64DD4813"/>
    <w:rsid w:val="64DE2339"/>
    <w:rsid w:val="64E55F38"/>
    <w:rsid w:val="64EA6C44"/>
    <w:rsid w:val="64EC2CA8"/>
    <w:rsid w:val="64ED07CF"/>
    <w:rsid w:val="64EF2799"/>
    <w:rsid w:val="64F102BF"/>
    <w:rsid w:val="64F658D5"/>
    <w:rsid w:val="64FA7712"/>
    <w:rsid w:val="64FB738F"/>
    <w:rsid w:val="64FE478A"/>
    <w:rsid w:val="65091AAC"/>
    <w:rsid w:val="650A1380"/>
    <w:rsid w:val="650C334B"/>
    <w:rsid w:val="650C50F9"/>
    <w:rsid w:val="65147874"/>
    <w:rsid w:val="65165F77"/>
    <w:rsid w:val="65167D25"/>
    <w:rsid w:val="65242442"/>
    <w:rsid w:val="65293EFC"/>
    <w:rsid w:val="65297A59"/>
    <w:rsid w:val="652B723C"/>
    <w:rsid w:val="652E506F"/>
    <w:rsid w:val="652F2B95"/>
    <w:rsid w:val="65411462"/>
    <w:rsid w:val="6545060B"/>
    <w:rsid w:val="654725D5"/>
    <w:rsid w:val="654E5711"/>
    <w:rsid w:val="65516FAF"/>
    <w:rsid w:val="65546DF3"/>
    <w:rsid w:val="65586590"/>
    <w:rsid w:val="655976E9"/>
    <w:rsid w:val="655A40B6"/>
    <w:rsid w:val="655C1270"/>
    <w:rsid w:val="655F347A"/>
    <w:rsid w:val="65626E56"/>
    <w:rsid w:val="65674A25"/>
    <w:rsid w:val="656B62C3"/>
    <w:rsid w:val="656C203B"/>
    <w:rsid w:val="657607C4"/>
    <w:rsid w:val="657A4758"/>
    <w:rsid w:val="657B402C"/>
    <w:rsid w:val="657B5DDA"/>
    <w:rsid w:val="657C227E"/>
    <w:rsid w:val="65801643"/>
    <w:rsid w:val="658C20D1"/>
    <w:rsid w:val="65907AD8"/>
    <w:rsid w:val="659375C8"/>
    <w:rsid w:val="659A0956"/>
    <w:rsid w:val="659A6BA8"/>
    <w:rsid w:val="65A01E7E"/>
    <w:rsid w:val="65A11CE5"/>
    <w:rsid w:val="65A13A93"/>
    <w:rsid w:val="65A17F37"/>
    <w:rsid w:val="65A2780B"/>
    <w:rsid w:val="65A74CE3"/>
    <w:rsid w:val="65A96DEB"/>
    <w:rsid w:val="65AE7F5E"/>
    <w:rsid w:val="65B12E03"/>
    <w:rsid w:val="65B17A4E"/>
    <w:rsid w:val="65B65064"/>
    <w:rsid w:val="65B8702E"/>
    <w:rsid w:val="65C07C91"/>
    <w:rsid w:val="65C43C25"/>
    <w:rsid w:val="65C47781"/>
    <w:rsid w:val="65CD2ADA"/>
    <w:rsid w:val="65D04378"/>
    <w:rsid w:val="65D57BE0"/>
    <w:rsid w:val="65DF45BB"/>
    <w:rsid w:val="65E16585"/>
    <w:rsid w:val="65E9543A"/>
    <w:rsid w:val="65E971E8"/>
    <w:rsid w:val="65F20792"/>
    <w:rsid w:val="65F53DDF"/>
    <w:rsid w:val="65F75DA9"/>
    <w:rsid w:val="65FA31A3"/>
    <w:rsid w:val="65FB7383"/>
    <w:rsid w:val="65FC6F1B"/>
    <w:rsid w:val="65FD2C93"/>
    <w:rsid w:val="65FF3D2A"/>
    <w:rsid w:val="660A3F5C"/>
    <w:rsid w:val="66106E6A"/>
    <w:rsid w:val="66124991"/>
    <w:rsid w:val="661324B7"/>
    <w:rsid w:val="6618187B"/>
    <w:rsid w:val="66187ACD"/>
    <w:rsid w:val="661A3845"/>
    <w:rsid w:val="661B0E4D"/>
    <w:rsid w:val="66293A88"/>
    <w:rsid w:val="66295856"/>
    <w:rsid w:val="662D3578"/>
    <w:rsid w:val="662F5543"/>
    <w:rsid w:val="6632293D"/>
    <w:rsid w:val="66346D11"/>
    <w:rsid w:val="663A7A43"/>
    <w:rsid w:val="663F14FE"/>
    <w:rsid w:val="66430FEE"/>
    <w:rsid w:val="664408C2"/>
    <w:rsid w:val="66482160"/>
    <w:rsid w:val="66507267"/>
    <w:rsid w:val="66521231"/>
    <w:rsid w:val="66540EF8"/>
    <w:rsid w:val="6659611C"/>
    <w:rsid w:val="665A1E94"/>
    <w:rsid w:val="665C5C0C"/>
    <w:rsid w:val="665F74AA"/>
    <w:rsid w:val="6663343E"/>
    <w:rsid w:val="66650F64"/>
    <w:rsid w:val="666557B4"/>
    <w:rsid w:val="66681859"/>
    <w:rsid w:val="666920D7"/>
    <w:rsid w:val="666B40A1"/>
    <w:rsid w:val="666D1BC7"/>
    <w:rsid w:val="666D606B"/>
    <w:rsid w:val="666F1DE3"/>
    <w:rsid w:val="667747F4"/>
    <w:rsid w:val="66794A10"/>
    <w:rsid w:val="667B0788"/>
    <w:rsid w:val="667E2026"/>
    <w:rsid w:val="66811B16"/>
    <w:rsid w:val="668B029F"/>
    <w:rsid w:val="668B64F1"/>
    <w:rsid w:val="668F5FE1"/>
    <w:rsid w:val="669109C0"/>
    <w:rsid w:val="66911D59"/>
    <w:rsid w:val="6694184A"/>
    <w:rsid w:val="669A5AED"/>
    <w:rsid w:val="669B4986"/>
    <w:rsid w:val="66A3383B"/>
    <w:rsid w:val="66A46EDA"/>
    <w:rsid w:val="66A575B3"/>
    <w:rsid w:val="66A743CB"/>
    <w:rsid w:val="66A82BFF"/>
    <w:rsid w:val="66AD46B9"/>
    <w:rsid w:val="66B141AA"/>
    <w:rsid w:val="66B15F58"/>
    <w:rsid w:val="66B21CD0"/>
    <w:rsid w:val="66B5531C"/>
    <w:rsid w:val="66BA2932"/>
    <w:rsid w:val="66BB0B84"/>
    <w:rsid w:val="66BB5028"/>
    <w:rsid w:val="66C8504F"/>
    <w:rsid w:val="66CA0DC7"/>
    <w:rsid w:val="66CC1ACE"/>
    <w:rsid w:val="66D147B6"/>
    <w:rsid w:val="66D25ECE"/>
    <w:rsid w:val="66D32372"/>
    <w:rsid w:val="66D734E4"/>
    <w:rsid w:val="66D87988"/>
    <w:rsid w:val="66DC6D4D"/>
    <w:rsid w:val="66E8749F"/>
    <w:rsid w:val="66EF082E"/>
    <w:rsid w:val="66F127F8"/>
    <w:rsid w:val="66F145A6"/>
    <w:rsid w:val="66F67E0E"/>
    <w:rsid w:val="66FD3A84"/>
    <w:rsid w:val="67020A40"/>
    <w:rsid w:val="670507B6"/>
    <w:rsid w:val="670544F5"/>
    <w:rsid w:val="670A1B0C"/>
    <w:rsid w:val="670C09A8"/>
    <w:rsid w:val="670F0ED0"/>
    <w:rsid w:val="67112E9A"/>
    <w:rsid w:val="67185FD7"/>
    <w:rsid w:val="671A5B7D"/>
    <w:rsid w:val="671D183F"/>
    <w:rsid w:val="672030DD"/>
    <w:rsid w:val="67220C03"/>
    <w:rsid w:val="67226E55"/>
    <w:rsid w:val="67236729"/>
    <w:rsid w:val="6727446C"/>
    <w:rsid w:val="672C3830"/>
    <w:rsid w:val="672C55DE"/>
    <w:rsid w:val="67362901"/>
    <w:rsid w:val="673646AF"/>
    <w:rsid w:val="67397CFB"/>
    <w:rsid w:val="673B3A73"/>
    <w:rsid w:val="673D77EB"/>
    <w:rsid w:val="673E3563"/>
    <w:rsid w:val="674768BC"/>
    <w:rsid w:val="674C5C80"/>
    <w:rsid w:val="67523AC3"/>
    <w:rsid w:val="67544B35"/>
    <w:rsid w:val="675759C7"/>
    <w:rsid w:val="67584625"/>
    <w:rsid w:val="67605741"/>
    <w:rsid w:val="6760797E"/>
    <w:rsid w:val="67627252"/>
    <w:rsid w:val="67644A0A"/>
    <w:rsid w:val="67672A43"/>
    <w:rsid w:val="676905E0"/>
    <w:rsid w:val="67717495"/>
    <w:rsid w:val="67753429"/>
    <w:rsid w:val="67770DF7"/>
    <w:rsid w:val="67797830"/>
    <w:rsid w:val="677A0EB9"/>
    <w:rsid w:val="677B47B7"/>
    <w:rsid w:val="677D22DE"/>
    <w:rsid w:val="6784541A"/>
    <w:rsid w:val="67851192"/>
    <w:rsid w:val="6787315C"/>
    <w:rsid w:val="678E0047"/>
    <w:rsid w:val="678E6299"/>
    <w:rsid w:val="6793565D"/>
    <w:rsid w:val="67957627"/>
    <w:rsid w:val="6796514D"/>
    <w:rsid w:val="67987117"/>
    <w:rsid w:val="679B2764"/>
    <w:rsid w:val="67AF7FBD"/>
    <w:rsid w:val="67BD26DA"/>
    <w:rsid w:val="67C223E6"/>
    <w:rsid w:val="67C95523"/>
    <w:rsid w:val="67CE48E7"/>
    <w:rsid w:val="67D22629"/>
    <w:rsid w:val="67D31EFE"/>
    <w:rsid w:val="67D57A24"/>
    <w:rsid w:val="67D77C40"/>
    <w:rsid w:val="67DA7730"/>
    <w:rsid w:val="67E45EB9"/>
    <w:rsid w:val="67E5767E"/>
    <w:rsid w:val="67E67E83"/>
    <w:rsid w:val="67E97973"/>
    <w:rsid w:val="67EB7247"/>
    <w:rsid w:val="67EE31DB"/>
    <w:rsid w:val="67F26828"/>
    <w:rsid w:val="67FB41E6"/>
    <w:rsid w:val="67FC1454"/>
    <w:rsid w:val="67FC76A6"/>
    <w:rsid w:val="67FF22F0"/>
    <w:rsid w:val="680E1188"/>
    <w:rsid w:val="680E2F36"/>
    <w:rsid w:val="68103152"/>
    <w:rsid w:val="68120C78"/>
    <w:rsid w:val="6813679E"/>
    <w:rsid w:val="68152516"/>
    <w:rsid w:val="68171BE1"/>
    <w:rsid w:val="68190258"/>
    <w:rsid w:val="681C38A5"/>
    <w:rsid w:val="681E3766"/>
    <w:rsid w:val="681F3395"/>
    <w:rsid w:val="68232E85"/>
    <w:rsid w:val="68242759"/>
    <w:rsid w:val="68273FF7"/>
    <w:rsid w:val="68297D70"/>
    <w:rsid w:val="682B3AE8"/>
    <w:rsid w:val="682D3D04"/>
    <w:rsid w:val="682F2DF8"/>
    <w:rsid w:val="683010FE"/>
    <w:rsid w:val="683A1F7D"/>
    <w:rsid w:val="683A3D2B"/>
    <w:rsid w:val="683C5CF5"/>
    <w:rsid w:val="683E7CBF"/>
    <w:rsid w:val="68420E31"/>
    <w:rsid w:val="684352D5"/>
    <w:rsid w:val="68437083"/>
    <w:rsid w:val="6844104D"/>
    <w:rsid w:val="684828EC"/>
    <w:rsid w:val="68490412"/>
    <w:rsid w:val="684921C0"/>
    <w:rsid w:val="684B418A"/>
    <w:rsid w:val="684D1CB0"/>
    <w:rsid w:val="6852376A"/>
    <w:rsid w:val="68530388"/>
    <w:rsid w:val="68534DEC"/>
    <w:rsid w:val="685968A7"/>
    <w:rsid w:val="685A43CD"/>
    <w:rsid w:val="685C0145"/>
    <w:rsid w:val="685E5C6B"/>
    <w:rsid w:val="685F3791"/>
    <w:rsid w:val="685F7C35"/>
    <w:rsid w:val="686112C2"/>
    <w:rsid w:val="68633281"/>
    <w:rsid w:val="68637725"/>
    <w:rsid w:val="68646FFA"/>
    <w:rsid w:val="686E1C26"/>
    <w:rsid w:val="686F7E78"/>
    <w:rsid w:val="68752646"/>
    <w:rsid w:val="68786042"/>
    <w:rsid w:val="687C07E7"/>
    <w:rsid w:val="687E630D"/>
    <w:rsid w:val="6881195A"/>
    <w:rsid w:val="68815DFE"/>
    <w:rsid w:val="688558EE"/>
    <w:rsid w:val="6888718C"/>
    <w:rsid w:val="68896A60"/>
    <w:rsid w:val="688D6550"/>
    <w:rsid w:val="688E4077"/>
    <w:rsid w:val="68975621"/>
    <w:rsid w:val="689773CF"/>
    <w:rsid w:val="689B153F"/>
    <w:rsid w:val="689E42BA"/>
    <w:rsid w:val="689F6284"/>
    <w:rsid w:val="68A8338A"/>
    <w:rsid w:val="68AB69D7"/>
    <w:rsid w:val="68AD09A1"/>
    <w:rsid w:val="68B0223F"/>
    <w:rsid w:val="68B25FB7"/>
    <w:rsid w:val="68B7181F"/>
    <w:rsid w:val="68B95597"/>
    <w:rsid w:val="68C31F72"/>
    <w:rsid w:val="68C96775"/>
    <w:rsid w:val="68D221B5"/>
    <w:rsid w:val="68D777CC"/>
    <w:rsid w:val="68DB72BC"/>
    <w:rsid w:val="68DC3034"/>
    <w:rsid w:val="68E00D76"/>
    <w:rsid w:val="68E32614"/>
    <w:rsid w:val="68E85E7D"/>
    <w:rsid w:val="68EA74FF"/>
    <w:rsid w:val="68EB78A5"/>
    <w:rsid w:val="68F0088D"/>
    <w:rsid w:val="68F465CF"/>
    <w:rsid w:val="68F760C0"/>
    <w:rsid w:val="68F949C9"/>
    <w:rsid w:val="68FB170C"/>
    <w:rsid w:val="690305C1"/>
    <w:rsid w:val="69034A64"/>
    <w:rsid w:val="690A420D"/>
    <w:rsid w:val="690B147A"/>
    <w:rsid w:val="69151320"/>
    <w:rsid w:val="691B0000"/>
    <w:rsid w:val="691E53FA"/>
    <w:rsid w:val="691F5CB0"/>
    <w:rsid w:val="692073C4"/>
    <w:rsid w:val="69216C99"/>
    <w:rsid w:val="69256789"/>
    <w:rsid w:val="69270753"/>
    <w:rsid w:val="69280027"/>
    <w:rsid w:val="692D388F"/>
    <w:rsid w:val="692F13B6"/>
    <w:rsid w:val="69342E70"/>
    <w:rsid w:val="69362744"/>
    <w:rsid w:val="69366BE8"/>
    <w:rsid w:val="6938470E"/>
    <w:rsid w:val="693D7F76"/>
    <w:rsid w:val="694035C3"/>
    <w:rsid w:val="6942558D"/>
    <w:rsid w:val="6945507D"/>
    <w:rsid w:val="694A2693"/>
    <w:rsid w:val="694C1F68"/>
    <w:rsid w:val="69502941"/>
    <w:rsid w:val="695452C0"/>
    <w:rsid w:val="6954706E"/>
    <w:rsid w:val="695F7C61"/>
    <w:rsid w:val="696077C1"/>
    <w:rsid w:val="696372B1"/>
    <w:rsid w:val="69670B4F"/>
    <w:rsid w:val="696A4AE4"/>
    <w:rsid w:val="696C260A"/>
    <w:rsid w:val="697119CE"/>
    <w:rsid w:val="69715F8B"/>
    <w:rsid w:val="69717C20"/>
    <w:rsid w:val="697414BE"/>
    <w:rsid w:val="6974326C"/>
    <w:rsid w:val="69763488"/>
    <w:rsid w:val="69766FE4"/>
    <w:rsid w:val="69790883"/>
    <w:rsid w:val="69825989"/>
    <w:rsid w:val="698536CB"/>
    <w:rsid w:val="698A6F34"/>
    <w:rsid w:val="698C2CAC"/>
    <w:rsid w:val="698C4A5A"/>
    <w:rsid w:val="698C6808"/>
    <w:rsid w:val="698E2580"/>
    <w:rsid w:val="698E432E"/>
    <w:rsid w:val="69937B96"/>
    <w:rsid w:val="699456BD"/>
    <w:rsid w:val="69951B60"/>
    <w:rsid w:val="69992CD3"/>
    <w:rsid w:val="699B4C9D"/>
    <w:rsid w:val="699E4FA8"/>
    <w:rsid w:val="69A267ED"/>
    <w:rsid w:val="69A36249"/>
    <w:rsid w:val="69A41DA4"/>
    <w:rsid w:val="69A578CA"/>
    <w:rsid w:val="69A71894"/>
    <w:rsid w:val="69A84119"/>
    <w:rsid w:val="69A973BA"/>
    <w:rsid w:val="69AC2A06"/>
    <w:rsid w:val="69C2222A"/>
    <w:rsid w:val="69C515DF"/>
    <w:rsid w:val="69CF3426"/>
    <w:rsid w:val="69CF4947"/>
    <w:rsid w:val="69D1246D"/>
    <w:rsid w:val="69D501AF"/>
    <w:rsid w:val="69D63F27"/>
    <w:rsid w:val="69E06B54"/>
    <w:rsid w:val="69E91EAC"/>
    <w:rsid w:val="69F04FE9"/>
    <w:rsid w:val="69F543AD"/>
    <w:rsid w:val="69F9496F"/>
    <w:rsid w:val="69FC1A10"/>
    <w:rsid w:val="6A015036"/>
    <w:rsid w:val="6A040A94"/>
    <w:rsid w:val="6A0A597F"/>
    <w:rsid w:val="6A0C16F7"/>
    <w:rsid w:val="6A136F29"/>
    <w:rsid w:val="6A152BF7"/>
    <w:rsid w:val="6A152CA1"/>
    <w:rsid w:val="6A1A2066"/>
    <w:rsid w:val="6A242EE4"/>
    <w:rsid w:val="6A2627B9"/>
    <w:rsid w:val="6A274783"/>
    <w:rsid w:val="6A2904FB"/>
    <w:rsid w:val="6A2B6021"/>
    <w:rsid w:val="6A2E5B11"/>
    <w:rsid w:val="6A3273AF"/>
    <w:rsid w:val="6A366774"/>
    <w:rsid w:val="6A3A6264"/>
    <w:rsid w:val="6A3C1FDC"/>
    <w:rsid w:val="6A4470E3"/>
    <w:rsid w:val="6A484E25"/>
    <w:rsid w:val="6A493FCB"/>
    <w:rsid w:val="6A4964A7"/>
    <w:rsid w:val="6A4A545B"/>
    <w:rsid w:val="6A4E61B3"/>
    <w:rsid w:val="6A535578"/>
    <w:rsid w:val="6A5D2190"/>
    <w:rsid w:val="6A611A43"/>
    <w:rsid w:val="6A6432E1"/>
    <w:rsid w:val="6A647785"/>
    <w:rsid w:val="6A655226"/>
    <w:rsid w:val="6A6B0B13"/>
    <w:rsid w:val="6A6D0181"/>
    <w:rsid w:val="6A6D488B"/>
    <w:rsid w:val="6A6E5F0E"/>
    <w:rsid w:val="6A721EA2"/>
    <w:rsid w:val="6A731776"/>
    <w:rsid w:val="6A745C1A"/>
    <w:rsid w:val="6A75729C"/>
    <w:rsid w:val="6A795B01"/>
    <w:rsid w:val="6A7C062B"/>
    <w:rsid w:val="6A7D43A3"/>
    <w:rsid w:val="6A7E0847"/>
    <w:rsid w:val="6A8120E5"/>
    <w:rsid w:val="6A815C41"/>
    <w:rsid w:val="6A837C0B"/>
    <w:rsid w:val="6A8921F2"/>
    <w:rsid w:val="6A8B6AC0"/>
    <w:rsid w:val="6A8D6CDC"/>
    <w:rsid w:val="6A927E4E"/>
    <w:rsid w:val="6A9516EC"/>
    <w:rsid w:val="6A9A3873"/>
    <w:rsid w:val="6A9C2A7B"/>
    <w:rsid w:val="6A9C6F1F"/>
    <w:rsid w:val="6AA302AD"/>
    <w:rsid w:val="6AA3205B"/>
    <w:rsid w:val="6AA33E09"/>
    <w:rsid w:val="6AA55DB5"/>
    <w:rsid w:val="6AB029CA"/>
    <w:rsid w:val="6AB53B3C"/>
    <w:rsid w:val="6AB73D58"/>
    <w:rsid w:val="6ABF49BB"/>
    <w:rsid w:val="6AC00E5F"/>
    <w:rsid w:val="6AC344AB"/>
    <w:rsid w:val="6AC63F9C"/>
    <w:rsid w:val="6AC87D14"/>
    <w:rsid w:val="6AC975E8"/>
    <w:rsid w:val="6ACD70D8"/>
    <w:rsid w:val="6ACE7F7F"/>
    <w:rsid w:val="6AD06BC8"/>
    <w:rsid w:val="6AD14E1A"/>
    <w:rsid w:val="6AD42215"/>
    <w:rsid w:val="6AD62431"/>
    <w:rsid w:val="6AE368FC"/>
    <w:rsid w:val="6AE508C6"/>
    <w:rsid w:val="6AE65E85"/>
    <w:rsid w:val="6AEA5EDC"/>
    <w:rsid w:val="6AEB3A02"/>
    <w:rsid w:val="6AF723A7"/>
    <w:rsid w:val="6AFC176B"/>
    <w:rsid w:val="6AFC5C0F"/>
    <w:rsid w:val="6B014FD4"/>
    <w:rsid w:val="6B0845B4"/>
    <w:rsid w:val="6B0A032C"/>
    <w:rsid w:val="6B0B19AE"/>
    <w:rsid w:val="6B0F5943"/>
    <w:rsid w:val="6B120F8F"/>
    <w:rsid w:val="6B144D07"/>
    <w:rsid w:val="6B15282D"/>
    <w:rsid w:val="6B166CD1"/>
    <w:rsid w:val="6B1765A5"/>
    <w:rsid w:val="6B191A82"/>
    <w:rsid w:val="6B1B42E7"/>
    <w:rsid w:val="6B1E7934"/>
    <w:rsid w:val="6B20545A"/>
    <w:rsid w:val="6B3057ED"/>
    <w:rsid w:val="6B340F05"/>
    <w:rsid w:val="6B3727A3"/>
    <w:rsid w:val="6B3929BF"/>
    <w:rsid w:val="6B39651C"/>
    <w:rsid w:val="6B3C600C"/>
    <w:rsid w:val="6B4007C8"/>
    <w:rsid w:val="6B457CC4"/>
    <w:rsid w:val="6B463142"/>
    <w:rsid w:val="6B480E55"/>
    <w:rsid w:val="6B4A0729"/>
    <w:rsid w:val="6B4A697B"/>
    <w:rsid w:val="6B4B624F"/>
    <w:rsid w:val="6B4E646B"/>
    <w:rsid w:val="6B4F21E3"/>
    <w:rsid w:val="6B4F3F91"/>
    <w:rsid w:val="6B533A81"/>
    <w:rsid w:val="6B59096C"/>
    <w:rsid w:val="6B594E10"/>
    <w:rsid w:val="6B596BBE"/>
    <w:rsid w:val="6B5A319C"/>
    <w:rsid w:val="6B5D66AE"/>
    <w:rsid w:val="6B5E41D4"/>
    <w:rsid w:val="6B5F343C"/>
    <w:rsid w:val="6B60318B"/>
    <w:rsid w:val="6B663E10"/>
    <w:rsid w:val="6B686E01"/>
    <w:rsid w:val="6B6932A5"/>
    <w:rsid w:val="6B6A4927"/>
    <w:rsid w:val="6B6D4417"/>
    <w:rsid w:val="6B715CB5"/>
    <w:rsid w:val="6B737C7F"/>
    <w:rsid w:val="6B76151E"/>
    <w:rsid w:val="6B792DBC"/>
    <w:rsid w:val="6B7D0AFE"/>
    <w:rsid w:val="6B7E2947"/>
    <w:rsid w:val="6B7E4876"/>
    <w:rsid w:val="6B80239C"/>
    <w:rsid w:val="6B824366"/>
    <w:rsid w:val="6B826114"/>
    <w:rsid w:val="6B833C3B"/>
    <w:rsid w:val="6B855C05"/>
    <w:rsid w:val="6B8E2D0B"/>
    <w:rsid w:val="6B8E4AB9"/>
    <w:rsid w:val="6B8F438D"/>
    <w:rsid w:val="6B930BEB"/>
    <w:rsid w:val="6B975E2B"/>
    <w:rsid w:val="6BA0659B"/>
    <w:rsid w:val="6BA3608B"/>
    <w:rsid w:val="6BA50055"/>
    <w:rsid w:val="6BA51E03"/>
    <w:rsid w:val="6BA73DCD"/>
    <w:rsid w:val="6BA75B7B"/>
    <w:rsid w:val="6BA936A1"/>
    <w:rsid w:val="6BAA7419"/>
    <w:rsid w:val="6BB34520"/>
    <w:rsid w:val="6BB42046"/>
    <w:rsid w:val="6BB9765C"/>
    <w:rsid w:val="6BBB1626"/>
    <w:rsid w:val="6BBB5183"/>
    <w:rsid w:val="6BC06C3D"/>
    <w:rsid w:val="6BC24763"/>
    <w:rsid w:val="6BC32289"/>
    <w:rsid w:val="6BC404DB"/>
    <w:rsid w:val="6BCC25C4"/>
    <w:rsid w:val="6BD10E4A"/>
    <w:rsid w:val="6BD2397F"/>
    <w:rsid w:val="6BD85D34"/>
    <w:rsid w:val="6BE329AD"/>
    <w:rsid w:val="6BE446D9"/>
    <w:rsid w:val="6BE648F5"/>
    <w:rsid w:val="6BEC17E0"/>
    <w:rsid w:val="6BEF6DBF"/>
    <w:rsid w:val="6BF30DC0"/>
    <w:rsid w:val="6BF32B6E"/>
    <w:rsid w:val="6BF76FC7"/>
    <w:rsid w:val="6BF97D99"/>
    <w:rsid w:val="6BFB1A23"/>
    <w:rsid w:val="6C005149"/>
    <w:rsid w:val="6C007039"/>
    <w:rsid w:val="6C022DB1"/>
    <w:rsid w:val="6C0528A2"/>
    <w:rsid w:val="6C0B20F3"/>
    <w:rsid w:val="6C0B435C"/>
    <w:rsid w:val="6C0C5A73"/>
    <w:rsid w:val="6C0E5BFA"/>
    <w:rsid w:val="6C101972"/>
    <w:rsid w:val="6C130940"/>
    <w:rsid w:val="6C134FBF"/>
    <w:rsid w:val="6C1825D5"/>
    <w:rsid w:val="6C186A79"/>
    <w:rsid w:val="6C256AA0"/>
    <w:rsid w:val="6C296590"/>
    <w:rsid w:val="6C2B055A"/>
    <w:rsid w:val="6C2B67AC"/>
    <w:rsid w:val="6C315445"/>
    <w:rsid w:val="6C3513D9"/>
    <w:rsid w:val="6C353187"/>
    <w:rsid w:val="6C3A079D"/>
    <w:rsid w:val="6C3F7B62"/>
    <w:rsid w:val="6C517895"/>
    <w:rsid w:val="6C553829"/>
    <w:rsid w:val="6C596EED"/>
    <w:rsid w:val="6C5A0E3F"/>
    <w:rsid w:val="6C5A2BED"/>
    <w:rsid w:val="6C5D448C"/>
    <w:rsid w:val="6C5D623A"/>
    <w:rsid w:val="6C5F6456"/>
    <w:rsid w:val="6C611DA4"/>
    <w:rsid w:val="6C6770B8"/>
    <w:rsid w:val="6C6B0957"/>
    <w:rsid w:val="6C6B6BA9"/>
    <w:rsid w:val="6C6E0447"/>
    <w:rsid w:val="6C731F01"/>
    <w:rsid w:val="6C757A27"/>
    <w:rsid w:val="6C7A503E"/>
    <w:rsid w:val="6C7F4402"/>
    <w:rsid w:val="6C81017A"/>
    <w:rsid w:val="6C823EF2"/>
    <w:rsid w:val="6C8D2FC3"/>
    <w:rsid w:val="6C933265"/>
    <w:rsid w:val="6C953C26"/>
    <w:rsid w:val="6C975BF0"/>
    <w:rsid w:val="6C9A123C"/>
    <w:rsid w:val="6CA1081C"/>
    <w:rsid w:val="6CA16A6E"/>
    <w:rsid w:val="6CA200F0"/>
    <w:rsid w:val="6CA4030D"/>
    <w:rsid w:val="6CA83959"/>
    <w:rsid w:val="6CB322FE"/>
    <w:rsid w:val="6CBC11B2"/>
    <w:rsid w:val="6CC02282"/>
    <w:rsid w:val="6CC369E5"/>
    <w:rsid w:val="6CC83FFB"/>
    <w:rsid w:val="6CCA7D73"/>
    <w:rsid w:val="6CCD33BF"/>
    <w:rsid w:val="6CCF6157"/>
    <w:rsid w:val="6CD26C28"/>
    <w:rsid w:val="6CD75FEC"/>
    <w:rsid w:val="6CD96208"/>
    <w:rsid w:val="6CDE381E"/>
    <w:rsid w:val="6CDE3938"/>
    <w:rsid w:val="6CDF2E4F"/>
    <w:rsid w:val="6CE30E35"/>
    <w:rsid w:val="6CE32BE3"/>
    <w:rsid w:val="6CE626D3"/>
    <w:rsid w:val="6CE64481"/>
    <w:rsid w:val="6CEA21C3"/>
    <w:rsid w:val="6CEF77DA"/>
    <w:rsid w:val="6CF22E26"/>
    <w:rsid w:val="6CFE5C6F"/>
    <w:rsid w:val="6D062D75"/>
    <w:rsid w:val="6D064B23"/>
    <w:rsid w:val="6D0B213A"/>
    <w:rsid w:val="6D0B3EE8"/>
    <w:rsid w:val="6D0D4104"/>
    <w:rsid w:val="6D1C04A5"/>
    <w:rsid w:val="6D1C60F5"/>
    <w:rsid w:val="6D203E37"/>
    <w:rsid w:val="6D21195D"/>
    <w:rsid w:val="6D231231"/>
    <w:rsid w:val="6D2453CF"/>
    <w:rsid w:val="6D264001"/>
    <w:rsid w:val="6D284A9A"/>
    <w:rsid w:val="6D2F407A"/>
    <w:rsid w:val="6D301BA0"/>
    <w:rsid w:val="6D317DF2"/>
    <w:rsid w:val="6D3F3B91"/>
    <w:rsid w:val="6D417909"/>
    <w:rsid w:val="6D4D62AE"/>
    <w:rsid w:val="6D505D9E"/>
    <w:rsid w:val="6D5835D1"/>
    <w:rsid w:val="6D5C4743"/>
    <w:rsid w:val="6D602485"/>
    <w:rsid w:val="6D7101EF"/>
    <w:rsid w:val="6D7322C5"/>
    <w:rsid w:val="6D7777CF"/>
    <w:rsid w:val="6D785A21"/>
    <w:rsid w:val="6D7B72BF"/>
    <w:rsid w:val="6D8819DC"/>
    <w:rsid w:val="6D8A7502"/>
    <w:rsid w:val="6D8C327A"/>
    <w:rsid w:val="6D9B170F"/>
    <w:rsid w:val="6D9D5488"/>
    <w:rsid w:val="6D9E6B0A"/>
    <w:rsid w:val="6DA560EA"/>
    <w:rsid w:val="6DA700B4"/>
    <w:rsid w:val="6DA73C10"/>
    <w:rsid w:val="6DA86676"/>
    <w:rsid w:val="6DAB2C31"/>
    <w:rsid w:val="6DAC7479"/>
    <w:rsid w:val="6DAE3978"/>
    <w:rsid w:val="6DB63E53"/>
    <w:rsid w:val="6DB77BCC"/>
    <w:rsid w:val="6DB97DE8"/>
    <w:rsid w:val="6DBB76BC"/>
    <w:rsid w:val="6DC26C9C"/>
    <w:rsid w:val="6DC36570"/>
    <w:rsid w:val="6DC76061"/>
    <w:rsid w:val="6DC81DD9"/>
    <w:rsid w:val="6DCA3DA3"/>
    <w:rsid w:val="6DCA78FF"/>
    <w:rsid w:val="6DCF760B"/>
    <w:rsid w:val="6DD06FC2"/>
    <w:rsid w:val="6DD10C8D"/>
    <w:rsid w:val="6DD24A05"/>
    <w:rsid w:val="6DD30EA9"/>
    <w:rsid w:val="6DD54C21"/>
    <w:rsid w:val="6DDB5FB0"/>
    <w:rsid w:val="6DDD7632"/>
    <w:rsid w:val="6DE07122"/>
    <w:rsid w:val="6DE24C48"/>
    <w:rsid w:val="6DE76703"/>
    <w:rsid w:val="6DED7F0C"/>
    <w:rsid w:val="6DEF21E8"/>
    <w:rsid w:val="6DF350A8"/>
    <w:rsid w:val="6DFD2582"/>
    <w:rsid w:val="6DFE57FA"/>
    <w:rsid w:val="6E0252EB"/>
    <w:rsid w:val="6E0472B5"/>
    <w:rsid w:val="6E096679"/>
    <w:rsid w:val="6E0A58FC"/>
    <w:rsid w:val="6E0C7F17"/>
    <w:rsid w:val="6E0E0133"/>
    <w:rsid w:val="6E112B79"/>
    <w:rsid w:val="6E13574A"/>
    <w:rsid w:val="6E192634"/>
    <w:rsid w:val="6E2214E9"/>
    <w:rsid w:val="6E274D51"/>
    <w:rsid w:val="6E29242B"/>
    <w:rsid w:val="6E337B9A"/>
    <w:rsid w:val="6E3631E6"/>
    <w:rsid w:val="6E366386"/>
    <w:rsid w:val="6E386F5E"/>
    <w:rsid w:val="6E3C23F0"/>
    <w:rsid w:val="6E3F653F"/>
    <w:rsid w:val="6E4E22DE"/>
    <w:rsid w:val="6E4E6782"/>
    <w:rsid w:val="6E5B2C4D"/>
    <w:rsid w:val="6E5D0773"/>
    <w:rsid w:val="6E5D69C5"/>
    <w:rsid w:val="6E625D89"/>
    <w:rsid w:val="6E66618C"/>
    <w:rsid w:val="6E672A38"/>
    <w:rsid w:val="6E6B2E90"/>
    <w:rsid w:val="6E6C6C08"/>
    <w:rsid w:val="6E6D6BF9"/>
    <w:rsid w:val="6E70494A"/>
    <w:rsid w:val="6E71421E"/>
    <w:rsid w:val="6E755ABD"/>
    <w:rsid w:val="6E761EC2"/>
    <w:rsid w:val="6E764989"/>
    <w:rsid w:val="6E775CD9"/>
    <w:rsid w:val="6E783B43"/>
    <w:rsid w:val="6E7F06E9"/>
    <w:rsid w:val="6E8201DA"/>
    <w:rsid w:val="6E867CCA"/>
    <w:rsid w:val="6E8C1058"/>
    <w:rsid w:val="6E8D72AA"/>
    <w:rsid w:val="6E934195"/>
    <w:rsid w:val="6E957F0D"/>
    <w:rsid w:val="6E9A5523"/>
    <w:rsid w:val="6E9F6FDD"/>
    <w:rsid w:val="6EA2087C"/>
    <w:rsid w:val="6EA445F4"/>
    <w:rsid w:val="6EA6036C"/>
    <w:rsid w:val="6EAE5472"/>
    <w:rsid w:val="6EB06071"/>
    <w:rsid w:val="6EB26D11"/>
    <w:rsid w:val="6EB505AF"/>
    <w:rsid w:val="6EB5235D"/>
    <w:rsid w:val="6EB56801"/>
    <w:rsid w:val="6EBD0F25"/>
    <w:rsid w:val="6EBD15FB"/>
    <w:rsid w:val="6EBE06B8"/>
    <w:rsid w:val="6EBF142E"/>
    <w:rsid w:val="6EC46A44"/>
    <w:rsid w:val="6EC86534"/>
    <w:rsid w:val="6EC9405A"/>
    <w:rsid w:val="6EC95E08"/>
    <w:rsid w:val="6ECB1B80"/>
    <w:rsid w:val="6ECB7DD2"/>
    <w:rsid w:val="6ECC76A7"/>
    <w:rsid w:val="6ECF78C3"/>
    <w:rsid w:val="6ED21161"/>
    <w:rsid w:val="6ED22F0F"/>
    <w:rsid w:val="6ED529FF"/>
    <w:rsid w:val="6ED749C9"/>
    <w:rsid w:val="6ED8604B"/>
    <w:rsid w:val="6EDC5B3C"/>
    <w:rsid w:val="6EDD18B4"/>
    <w:rsid w:val="6EDF562C"/>
    <w:rsid w:val="6EDF73DA"/>
    <w:rsid w:val="6EE60768"/>
    <w:rsid w:val="6EE844E0"/>
    <w:rsid w:val="6EE92007"/>
    <w:rsid w:val="6EF03395"/>
    <w:rsid w:val="6EF2710D"/>
    <w:rsid w:val="6EF32E85"/>
    <w:rsid w:val="6EF53358"/>
    <w:rsid w:val="6EF54E4F"/>
    <w:rsid w:val="6F033FA1"/>
    <w:rsid w:val="6F0A08FB"/>
    <w:rsid w:val="6F0B6421"/>
    <w:rsid w:val="6F0F4163"/>
    <w:rsid w:val="6F1201CC"/>
    <w:rsid w:val="6F125A01"/>
    <w:rsid w:val="6F174DC6"/>
    <w:rsid w:val="6F176B74"/>
    <w:rsid w:val="6F20011E"/>
    <w:rsid w:val="6F235519"/>
    <w:rsid w:val="6F26325B"/>
    <w:rsid w:val="6F265009"/>
    <w:rsid w:val="6F2A4AF9"/>
    <w:rsid w:val="6F2B0871"/>
    <w:rsid w:val="6F2B29DB"/>
    <w:rsid w:val="6F34735B"/>
    <w:rsid w:val="6F347726"/>
    <w:rsid w:val="6F3A0AB4"/>
    <w:rsid w:val="6F3B1A8C"/>
    <w:rsid w:val="6F3B4F58"/>
    <w:rsid w:val="6F3B6D06"/>
    <w:rsid w:val="6F3D238D"/>
    <w:rsid w:val="6F3E2352"/>
    <w:rsid w:val="6F3F60CB"/>
    <w:rsid w:val="6F413BF1"/>
    <w:rsid w:val="6F432DEE"/>
    <w:rsid w:val="6F457B85"/>
    <w:rsid w:val="6F4D6A71"/>
    <w:rsid w:val="6F4F27B2"/>
    <w:rsid w:val="6F5222A2"/>
    <w:rsid w:val="6F5E29F5"/>
    <w:rsid w:val="6F6124E5"/>
    <w:rsid w:val="6F644604"/>
    <w:rsid w:val="6F6535B7"/>
    <w:rsid w:val="6F685621"/>
    <w:rsid w:val="6F694B09"/>
    <w:rsid w:val="6F6B5112"/>
    <w:rsid w:val="6F6B6EC0"/>
    <w:rsid w:val="6F6D70DC"/>
    <w:rsid w:val="6F7044D6"/>
    <w:rsid w:val="6F7246F2"/>
    <w:rsid w:val="6F7C10CD"/>
    <w:rsid w:val="6F7F4719"/>
    <w:rsid w:val="6F8166E3"/>
    <w:rsid w:val="6F863CF9"/>
    <w:rsid w:val="6F887A72"/>
    <w:rsid w:val="6F8C7562"/>
    <w:rsid w:val="6F8D32DA"/>
    <w:rsid w:val="6F8D6E36"/>
    <w:rsid w:val="6F950771"/>
    <w:rsid w:val="6F984159"/>
    <w:rsid w:val="6F9C351D"/>
    <w:rsid w:val="6FA523D2"/>
    <w:rsid w:val="6FA56875"/>
    <w:rsid w:val="6FB2689C"/>
    <w:rsid w:val="6FB62831"/>
    <w:rsid w:val="6FBB43B1"/>
    <w:rsid w:val="6FBD3BBF"/>
    <w:rsid w:val="6FC14D32"/>
    <w:rsid w:val="6FC54822"/>
    <w:rsid w:val="6FC565D0"/>
    <w:rsid w:val="6FC62348"/>
    <w:rsid w:val="6FCA12D5"/>
    <w:rsid w:val="6FCD36D6"/>
    <w:rsid w:val="6FCF38F2"/>
    <w:rsid w:val="6FD11419"/>
    <w:rsid w:val="6FD131C7"/>
    <w:rsid w:val="6FD20CED"/>
    <w:rsid w:val="6FDB5DF3"/>
    <w:rsid w:val="6FDC1B6B"/>
    <w:rsid w:val="6FE078AE"/>
    <w:rsid w:val="6FE44A4D"/>
    <w:rsid w:val="6FE56C72"/>
    <w:rsid w:val="6FEE1FCA"/>
    <w:rsid w:val="6FEF5D43"/>
    <w:rsid w:val="6FF15617"/>
    <w:rsid w:val="6FF944CB"/>
    <w:rsid w:val="70003AAC"/>
    <w:rsid w:val="7000585A"/>
    <w:rsid w:val="70027824"/>
    <w:rsid w:val="700510C2"/>
    <w:rsid w:val="70074E3A"/>
    <w:rsid w:val="700A0487"/>
    <w:rsid w:val="700D7F77"/>
    <w:rsid w:val="700F3CEF"/>
    <w:rsid w:val="70111815"/>
    <w:rsid w:val="7012558D"/>
    <w:rsid w:val="70161521"/>
    <w:rsid w:val="701632CF"/>
    <w:rsid w:val="70182BA3"/>
    <w:rsid w:val="70187047"/>
    <w:rsid w:val="701D640C"/>
    <w:rsid w:val="701E3F32"/>
    <w:rsid w:val="70221C74"/>
    <w:rsid w:val="70231548"/>
    <w:rsid w:val="702459EC"/>
    <w:rsid w:val="702A6D7B"/>
    <w:rsid w:val="702E0619"/>
    <w:rsid w:val="702E505A"/>
    <w:rsid w:val="70313C65"/>
    <w:rsid w:val="703674CE"/>
    <w:rsid w:val="703B2D36"/>
    <w:rsid w:val="703F5A59"/>
    <w:rsid w:val="704020FA"/>
    <w:rsid w:val="70450833"/>
    <w:rsid w:val="70457711"/>
    <w:rsid w:val="704E4817"/>
    <w:rsid w:val="70574D6F"/>
    <w:rsid w:val="705C33D8"/>
    <w:rsid w:val="705D2071"/>
    <w:rsid w:val="70645DE9"/>
    <w:rsid w:val="70657DB3"/>
    <w:rsid w:val="70666005"/>
    <w:rsid w:val="706E310B"/>
    <w:rsid w:val="707324D0"/>
    <w:rsid w:val="70756248"/>
    <w:rsid w:val="70761FC0"/>
    <w:rsid w:val="70765B1C"/>
    <w:rsid w:val="707B416A"/>
    <w:rsid w:val="70810D07"/>
    <w:rsid w:val="70827D2B"/>
    <w:rsid w:val="70891CF3"/>
    <w:rsid w:val="708B5A6B"/>
    <w:rsid w:val="70967F6C"/>
    <w:rsid w:val="709C1A26"/>
    <w:rsid w:val="70A00DEB"/>
    <w:rsid w:val="70A1703D"/>
    <w:rsid w:val="70A24B63"/>
    <w:rsid w:val="70A42689"/>
    <w:rsid w:val="70A46B2D"/>
    <w:rsid w:val="70A72179"/>
    <w:rsid w:val="70AC59E2"/>
    <w:rsid w:val="70AD3C34"/>
    <w:rsid w:val="70AE175A"/>
    <w:rsid w:val="70B34FC2"/>
    <w:rsid w:val="70BD199D"/>
    <w:rsid w:val="70C04FE9"/>
    <w:rsid w:val="70C13D2D"/>
    <w:rsid w:val="70C40F7D"/>
    <w:rsid w:val="70C42D2B"/>
    <w:rsid w:val="70C44AD9"/>
    <w:rsid w:val="70C525FF"/>
    <w:rsid w:val="70C8281B"/>
    <w:rsid w:val="70D70CB1"/>
    <w:rsid w:val="70D94A29"/>
    <w:rsid w:val="70DD3DED"/>
    <w:rsid w:val="70E138DD"/>
    <w:rsid w:val="70E433CD"/>
    <w:rsid w:val="70EA3102"/>
    <w:rsid w:val="70F116CB"/>
    <w:rsid w:val="70FE623D"/>
    <w:rsid w:val="7104137A"/>
    <w:rsid w:val="71066EA0"/>
    <w:rsid w:val="71105F71"/>
    <w:rsid w:val="71123A97"/>
    <w:rsid w:val="711517D9"/>
    <w:rsid w:val="711A294B"/>
    <w:rsid w:val="711D0B55"/>
    <w:rsid w:val="711F61B4"/>
    <w:rsid w:val="71241A1C"/>
    <w:rsid w:val="71257C6E"/>
    <w:rsid w:val="712D267F"/>
    <w:rsid w:val="712D6B22"/>
    <w:rsid w:val="712F289B"/>
    <w:rsid w:val="71327C95"/>
    <w:rsid w:val="71347EB1"/>
    <w:rsid w:val="7136363E"/>
    <w:rsid w:val="7137174F"/>
    <w:rsid w:val="713A2FED"/>
    <w:rsid w:val="713A4D9B"/>
    <w:rsid w:val="71461992"/>
    <w:rsid w:val="714874B8"/>
    <w:rsid w:val="714A76D4"/>
    <w:rsid w:val="714B0D57"/>
    <w:rsid w:val="714D4ACF"/>
    <w:rsid w:val="7150636D"/>
    <w:rsid w:val="71526589"/>
    <w:rsid w:val="7157594D"/>
    <w:rsid w:val="715C11B6"/>
    <w:rsid w:val="715C2F64"/>
    <w:rsid w:val="715C7408"/>
    <w:rsid w:val="716167CC"/>
    <w:rsid w:val="71632544"/>
    <w:rsid w:val="7164006A"/>
    <w:rsid w:val="71662034"/>
    <w:rsid w:val="71665B90"/>
    <w:rsid w:val="7169742F"/>
    <w:rsid w:val="71704C61"/>
    <w:rsid w:val="71755DD4"/>
    <w:rsid w:val="71780344"/>
    <w:rsid w:val="71793B16"/>
    <w:rsid w:val="717958C4"/>
    <w:rsid w:val="717E2EDA"/>
    <w:rsid w:val="71804EA4"/>
    <w:rsid w:val="71864485"/>
    <w:rsid w:val="718A7AD1"/>
    <w:rsid w:val="718D75C1"/>
    <w:rsid w:val="719170B1"/>
    <w:rsid w:val="71956476"/>
    <w:rsid w:val="719941B8"/>
    <w:rsid w:val="719C5A56"/>
    <w:rsid w:val="719E532A"/>
    <w:rsid w:val="71A14E1B"/>
    <w:rsid w:val="71A2507A"/>
    <w:rsid w:val="71AC3EEB"/>
    <w:rsid w:val="71AF7537"/>
    <w:rsid w:val="71B356D4"/>
    <w:rsid w:val="71B42DA0"/>
    <w:rsid w:val="71B44B4E"/>
    <w:rsid w:val="71B608C6"/>
    <w:rsid w:val="71BB5EDC"/>
    <w:rsid w:val="71BE3C1E"/>
    <w:rsid w:val="71C01745"/>
    <w:rsid w:val="71C034F3"/>
    <w:rsid w:val="71CA611F"/>
    <w:rsid w:val="71CF6311"/>
    <w:rsid w:val="71D26849"/>
    <w:rsid w:val="71D7083C"/>
    <w:rsid w:val="71D945B4"/>
    <w:rsid w:val="71DB657E"/>
    <w:rsid w:val="71DC5E53"/>
    <w:rsid w:val="71E01DE7"/>
    <w:rsid w:val="71E116BB"/>
    <w:rsid w:val="71E73175"/>
    <w:rsid w:val="71E76CD1"/>
    <w:rsid w:val="71E77C3B"/>
    <w:rsid w:val="71EA0570"/>
    <w:rsid w:val="71EA4A14"/>
    <w:rsid w:val="71EA7B61"/>
    <w:rsid w:val="71F25676"/>
    <w:rsid w:val="71F66F14"/>
    <w:rsid w:val="71F87130"/>
    <w:rsid w:val="71FD64F5"/>
    <w:rsid w:val="72054D8D"/>
    <w:rsid w:val="720553A9"/>
    <w:rsid w:val="720A29C0"/>
    <w:rsid w:val="7218332F"/>
    <w:rsid w:val="72211391"/>
    <w:rsid w:val="72230316"/>
    <w:rsid w:val="72231CD3"/>
    <w:rsid w:val="72253C9E"/>
    <w:rsid w:val="722E4900"/>
    <w:rsid w:val="72330169"/>
    <w:rsid w:val="72331F17"/>
    <w:rsid w:val="7238577F"/>
    <w:rsid w:val="723932A5"/>
    <w:rsid w:val="723F4D5F"/>
    <w:rsid w:val="724265FE"/>
    <w:rsid w:val="72451C4A"/>
    <w:rsid w:val="72473C14"/>
    <w:rsid w:val="724A54B2"/>
    <w:rsid w:val="724E4FA2"/>
    <w:rsid w:val="724F4877"/>
    <w:rsid w:val="725325B9"/>
    <w:rsid w:val="72536115"/>
    <w:rsid w:val="72556331"/>
    <w:rsid w:val="725E2D0C"/>
    <w:rsid w:val="726357A8"/>
    <w:rsid w:val="72671BC0"/>
    <w:rsid w:val="72676064"/>
    <w:rsid w:val="72710C91"/>
    <w:rsid w:val="72760055"/>
    <w:rsid w:val="72777BB0"/>
    <w:rsid w:val="727B38BE"/>
    <w:rsid w:val="727B566C"/>
    <w:rsid w:val="727E6F0A"/>
    <w:rsid w:val="728704B4"/>
    <w:rsid w:val="72895FDA"/>
    <w:rsid w:val="728E1843"/>
    <w:rsid w:val="72914E8F"/>
    <w:rsid w:val="7295497F"/>
    <w:rsid w:val="72966949"/>
    <w:rsid w:val="729F135A"/>
    <w:rsid w:val="72A03324"/>
    <w:rsid w:val="72A42E14"/>
    <w:rsid w:val="72AB41A3"/>
    <w:rsid w:val="72AB79C6"/>
    <w:rsid w:val="72AC1CC9"/>
    <w:rsid w:val="72AC7F1B"/>
    <w:rsid w:val="72AE77EF"/>
    <w:rsid w:val="72B56DCF"/>
    <w:rsid w:val="72B72541"/>
    <w:rsid w:val="72B93A79"/>
    <w:rsid w:val="72BB1F0C"/>
    <w:rsid w:val="72BD3ED6"/>
    <w:rsid w:val="72BF37AA"/>
    <w:rsid w:val="72BF7C4E"/>
    <w:rsid w:val="72C40DC1"/>
    <w:rsid w:val="72C54B39"/>
    <w:rsid w:val="72C708B1"/>
    <w:rsid w:val="72D1172F"/>
    <w:rsid w:val="72D52FCE"/>
    <w:rsid w:val="72D57472"/>
    <w:rsid w:val="72DC25AE"/>
    <w:rsid w:val="72DD00D4"/>
    <w:rsid w:val="72DD1E82"/>
    <w:rsid w:val="72DF209E"/>
    <w:rsid w:val="72E01973"/>
    <w:rsid w:val="72E256EB"/>
    <w:rsid w:val="72E31CDD"/>
    <w:rsid w:val="72E5286F"/>
    <w:rsid w:val="72E72D01"/>
    <w:rsid w:val="72EE408F"/>
    <w:rsid w:val="72F07E08"/>
    <w:rsid w:val="72F13B80"/>
    <w:rsid w:val="72F21DD2"/>
    <w:rsid w:val="72F571CC"/>
    <w:rsid w:val="72FD42D3"/>
    <w:rsid w:val="73025D8D"/>
    <w:rsid w:val="730613D9"/>
    <w:rsid w:val="7306762B"/>
    <w:rsid w:val="73090EC9"/>
    <w:rsid w:val="730B2E93"/>
    <w:rsid w:val="730C5B99"/>
    <w:rsid w:val="730E64E0"/>
    <w:rsid w:val="73165394"/>
    <w:rsid w:val="73171838"/>
    <w:rsid w:val="7318110C"/>
    <w:rsid w:val="7318735E"/>
    <w:rsid w:val="731D4975"/>
    <w:rsid w:val="731F693F"/>
    <w:rsid w:val="73214465"/>
    <w:rsid w:val="73257E81"/>
    <w:rsid w:val="732A6465"/>
    <w:rsid w:val="732B7092"/>
    <w:rsid w:val="732D105C"/>
    <w:rsid w:val="732D2E0A"/>
    <w:rsid w:val="733221CE"/>
    <w:rsid w:val="733250B5"/>
    <w:rsid w:val="733A72D5"/>
    <w:rsid w:val="733E5017"/>
    <w:rsid w:val="733F6699"/>
    <w:rsid w:val="73440153"/>
    <w:rsid w:val="735C549D"/>
    <w:rsid w:val="735E7467"/>
    <w:rsid w:val="73634581"/>
    <w:rsid w:val="736B1B84"/>
    <w:rsid w:val="736F3422"/>
    <w:rsid w:val="73702CF6"/>
    <w:rsid w:val="7372081D"/>
    <w:rsid w:val="737A3B75"/>
    <w:rsid w:val="737A5923"/>
    <w:rsid w:val="737C78ED"/>
    <w:rsid w:val="737E18B7"/>
    <w:rsid w:val="73852C46"/>
    <w:rsid w:val="73880040"/>
    <w:rsid w:val="73886292"/>
    <w:rsid w:val="73905147"/>
    <w:rsid w:val="73927111"/>
    <w:rsid w:val="73927EC3"/>
    <w:rsid w:val="73972979"/>
    <w:rsid w:val="739F538A"/>
    <w:rsid w:val="73A17354"/>
    <w:rsid w:val="73A330CC"/>
    <w:rsid w:val="73A429A0"/>
    <w:rsid w:val="73A56E44"/>
    <w:rsid w:val="73A6496A"/>
    <w:rsid w:val="73A82490"/>
    <w:rsid w:val="73AA445A"/>
    <w:rsid w:val="73AD3F4B"/>
    <w:rsid w:val="73AE23C8"/>
    <w:rsid w:val="73B01345"/>
    <w:rsid w:val="73B54BAD"/>
    <w:rsid w:val="73B928EF"/>
    <w:rsid w:val="73BB6668"/>
    <w:rsid w:val="73BD5E16"/>
    <w:rsid w:val="73C179F6"/>
    <w:rsid w:val="73C32986"/>
    <w:rsid w:val="73C82B32"/>
    <w:rsid w:val="73C979D4"/>
    <w:rsid w:val="73D239B1"/>
    <w:rsid w:val="73D634A1"/>
    <w:rsid w:val="73DA4614"/>
    <w:rsid w:val="73E060CE"/>
    <w:rsid w:val="73E21E46"/>
    <w:rsid w:val="73E334C8"/>
    <w:rsid w:val="73E43920"/>
    <w:rsid w:val="73E6120B"/>
    <w:rsid w:val="73EA0CFB"/>
    <w:rsid w:val="73EA4857"/>
    <w:rsid w:val="73EF1E6D"/>
    <w:rsid w:val="73F41B79"/>
    <w:rsid w:val="73F6144E"/>
    <w:rsid w:val="73FB0645"/>
    <w:rsid w:val="73FC458A"/>
    <w:rsid w:val="73FE47A6"/>
    <w:rsid w:val="740747F2"/>
    <w:rsid w:val="74085625"/>
    <w:rsid w:val="740873D3"/>
    <w:rsid w:val="740A6CA7"/>
    <w:rsid w:val="740C41EF"/>
    <w:rsid w:val="740C6EC3"/>
    <w:rsid w:val="74116287"/>
    <w:rsid w:val="74147B26"/>
    <w:rsid w:val="74161AF0"/>
    <w:rsid w:val="74163E96"/>
    <w:rsid w:val="7416564C"/>
    <w:rsid w:val="741D2E7E"/>
    <w:rsid w:val="7420296E"/>
    <w:rsid w:val="7423420D"/>
    <w:rsid w:val="74273CFD"/>
    <w:rsid w:val="742A10F7"/>
    <w:rsid w:val="742C4E6F"/>
    <w:rsid w:val="7434641A"/>
    <w:rsid w:val="74393A30"/>
    <w:rsid w:val="7440091B"/>
    <w:rsid w:val="7443665D"/>
    <w:rsid w:val="744643E5"/>
    <w:rsid w:val="744B4216"/>
    <w:rsid w:val="744D4DE6"/>
    <w:rsid w:val="74512B28"/>
    <w:rsid w:val="74567990"/>
    <w:rsid w:val="74582108"/>
    <w:rsid w:val="74597C2E"/>
    <w:rsid w:val="745E5245"/>
    <w:rsid w:val="746565D3"/>
    <w:rsid w:val="746A1E3C"/>
    <w:rsid w:val="74746816"/>
    <w:rsid w:val="747D70A5"/>
    <w:rsid w:val="74856C75"/>
    <w:rsid w:val="74884070"/>
    <w:rsid w:val="748924D8"/>
    <w:rsid w:val="748C3B60"/>
    <w:rsid w:val="748D1686"/>
    <w:rsid w:val="748E416A"/>
    <w:rsid w:val="748E78D8"/>
    <w:rsid w:val="74911176"/>
    <w:rsid w:val="74933140"/>
    <w:rsid w:val="74934EEE"/>
    <w:rsid w:val="74936C9D"/>
    <w:rsid w:val="749B1FF5"/>
    <w:rsid w:val="74A013B9"/>
    <w:rsid w:val="74A0760B"/>
    <w:rsid w:val="74A54C22"/>
    <w:rsid w:val="74A569D0"/>
    <w:rsid w:val="74A7099A"/>
    <w:rsid w:val="74AA048A"/>
    <w:rsid w:val="74B3733F"/>
    <w:rsid w:val="74B80DF9"/>
    <w:rsid w:val="74BF6E58"/>
    <w:rsid w:val="74C27582"/>
    <w:rsid w:val="74C4154C"/>
    <w:rsid w:val="74C432FA"/>
    <w:rsid w:val="74C7103C"/>
    <w:rsid w:val="74D53759"/>
    <w:rsid w:val="74DD260E"/>
    <w:rsid w:val="74DD616A"/>
    <w:rsid w:val="74E05C5A"/>
    <w:rsid w:val="74E078D2"/>
    <w:rsid w:val="74E120FE"/>
    <w:rsid w:val="74E27C24"/>
    <w:rsid w:val="74E667A5"/>
    <w:rsid w:val="74E76FE8"/>
    <w:rsid w:val="74EC0A46"/>
    <w:rsid w:val="74EE0377"/>
    <w:rsid w:val="74F02341"/>
    <w:rsid w:val="74F31E31"/>
    <w:rsid w:val="74F3598D"/>
    <w:rsid w:val="74FC0CE6"/>
    <w:rsid w:val="74FD4A5E"/>
    <w:rsid w:val="7507768A"/>
    <w:rsid w:val="750D2EF3"/>
    <w:rsid w:val="751002ED"/>
    <w:rsid w:val="751A116C"/>
    <w:rsid w:val="751A54BB"/>
    <w:rsid w:val="751D6EAE"/>
    <w:rsid w:val="752244C4"/>
    <w:rsid w:val="7524023C"/>
    <w:rsid w:val="75273889"/>
    <w:rsid w:val="75297601"/>
    <w:rsid w:val="752B15CB"/>
    <w:rsid w:val="752C0E9F"/>
    <w:rsid w:val="752D5AEB"/>
    <w:rsid w:val="752E10BB"/>
    <w:rsid w:val="75355FA6"/>
    <w:rsid w:val="753A7A60"/>
    <w:rsid w:val="753C2DFC"/>
    <w:rsid w:val="754C32EF"/>
    <w:rsid w:val="754D1541"/>
    <w:rsid w:val="754E0E15"/>
    <w:rsid w:val="754E350B"/>
    <w:rsid w:val="75524DAA"/>
    <w:rsid w:val="755328D0"/>
    <w:rsid w:val="7557416E"/>
    <w:rsid w:val="755A1EB0"/>
    <w:rsid w:val="755F3023"/>
    <w:rsid w:val="75654BD9"/>
    <w:rsid w:val="75695C4F"/>
    <w:rsid w:val="75774810"/>
    <w:rsid w:val="757840E4"/>
    <w:rsid w:val="757C5983"/>
    <w:rsid w:val="758750E7"/>
    <w:rsid w:val="758807CB"/>
    <w:rsid w:val="758A3D23"/>
    <w:rsid w:val="758B206A"/>
    <w:rsid w:val="75911025"/>
    <w:rsid w:val="75930F1E"/>
    <w:rsid w:val="75947170"/>
    <w:rsid w:val="759A04FF"/>
    <w:rsid w:val="759C7DD3"/>
    <w:rsid w:val="759F5B15"/>
    <w:rsid w:val="75A44ED9"/>
    <w:rsid w:val="75A60C51"/>
    <w:rsid w:val="75A924F0"/>
    <w:rsid w:val="75B0387E"/>
    <w:rsid w:val="75B25848"/>
    <w:rsid w:val="75B3511C"/>
    <w:rsid w:val="75B46F90"/>
    <w:rsid w:val="75BA46FD"/>
    <w:rsid w:val="75BD6BB2"/>
    <w:rsid w:val="75BE41ED"/>
    <w:rsid w:val="75C0373B"/>
    <w:rsid w:val="75C15A8B"/>
    <w:rsid w:val="75C335B1"/>
    <w:rsid w:val="75C537CD"/>
    <w:rsid w:val="75C612F4"/>
    <w:rsid w:val="75CB06B8"/>
    <w:rsid w:val="75CD61DE"/>
    <w:rsid w:val="75D73501"/>
    <w:rsid w:val="75DA08FB"/>
    <w:rsid w:val="75DE03EB"/>
    <w:rsid w:val="75DE0ABC"/>
    <w:rsid w:val="75E023B5"/>
    <w:rsid w:val="75E83018"/>
    <w:rsid w:val="75EA4FE2"/>
    <w:rsid w:val="75EF25F8"/>
    <w:rsid w:val="75F32F93"/>
    <w:rsid w:val="75F41852"/>
    <w:rsid w:val="75FC6AC3"/>
    <w:rsid w:val="76004806"/>
    <w:rsid w:val="760360A4"/>
    <w:rsid w:val="760616F0"/>
    <w:rsid w:val="7608190C"/>
    <w:rsid w:val="760F67F7"/>
    <w:rsid w:val="76116A13"/>
    <w:rsid w:val="761402B1"/>
    <w:rsid w:val="761B33ED"/>
    <w:rsid w:val="761E4ABF"/>
    <w:rsid w:val="761E4C8C"/>
    <w:rsid w:val="76235D60"/>
    <w:rsid w:val="762878B8"/>
    <w:rsid w:val="762A3631"/>
    <w:rsid w:val="762D4ECF"/>
    <w:rsid w:val="763149BF"/>
    <w:rsid w:val="76342701"/>
    <w:rsid w:val="76404C02"/>
    <w:rsid w:val="764346F2"/>
    <w:rsid w:val="764A782F"/>
    <w:rsid w:val="764D5571"/>
    <w:rsid w:val="7650794E"/>
    <w:rsid w:val="76530DD9"/>
    <w:rsid w:val="76571F4C"/>
    <w:rsid w:val="76592141"/>
    <w:rsid w:val="765C7562"/>
    <w:rsid w:val="766052A4"/>
    <w:rsid w:val="76654669"/>
    <w:rsid w:val="766F54E7"/>
    <w:rsid w:val="7671300D"/>
    <w:rsid w:val="76733229"/>
    <w:rsid w:val="76742AFE"/>
    <w:rsid w:val="76794E52"/>
    <w:rsid w:val="768014A2"/>
    <w:rsid w:val="768371E5"/>
    <w:rsid w:val="768947FB"/>
    <w:rsid w:val="768C6099"/>
    <w:rsid w:val="768D3BBF"/>
    <w:rsid w:val="7693567A"/>
    <w:rsid w:val="76937428"/>
    <w:rsid w:val="76962A74"/>
    <w:rsid w:val="76984A3E"/>
    <w:rsid w:val="76A01B45"/>
    <w:rsid w:val="76A454A0"/>
    <w:rsid w:val="76AD7DBE"/>
    <w:rsid w:val="76AF7877"/>
    <w:rsid w:val="76B86E8E"/>
    <w:rsid w:val="76BB697E"/>
    <w:rsid w:val="76BD6253"/>
    <w:rsid w:val="76C77A80"/>
    <w:rsid w:val="76C92E49"/>
    <w:rsid w:val="76CA302B"/>
    <w:rsid w:val="76CB7891"/>
    <w:rsid w:val="76CC46E8"/>
    <w:rsid w:val="76CE66B2"/>
    <w:rsid w:val="76D37824"/>
    <w:rsid w:val="76D65566"/>
    <w:rsid w:val="76E00193"/>
    <w:rsid w:val="76E11AB7"/>
    <w:rsid w:val="76E2215D"/>
    <w:rsid w:val="76E23F0B"/>
    <w:rsid w:val="76E25CB9"/>
    <w:rsid w:val="76E97048"/>
    <w:rsid w:val="76EC6B38"/>
    <w:rsid w:val="76EE0B02"/>
    <w:rsid w:val="76F37EC6"/>
    <w:rsid w:val="76F51E90"/>
    <w:rsid w:val="76F81981"/>
    <w:rsid w:val="76FD7B4F"/>
    <w:rsid w:val="76FF6781"/>
    <w:rsid w:val="770245AD"/>
    <w:rsid w:val="7702635B"/>
    <w:rsid w:val="77040325"/>
    <w:rsid w:val="77057BFA"/>
    <w:rsid w:val="77065E4C"/>
    <w:rsid w:val="770A5210"/>
    <w:rsid w:val="770F2826"/>
    <w:rsid w:val="770F36A5"/>
    <w:rsid w:val="7711659E"/>
    <w:rsid w:val="77147E3D"/>
    <w:rsid w:val="771A07B8"/>
    <w:rsid w:val="771A5453"/>
    <w:rsid w:val="771C566F"/>
    <w:rsid w:val="77212C85"/>
    <w:rsid w:val="77253DF8"/>
    <w:rsid w:val="772C33D8"/>
    <w:rsid w:val="7730111A"/>
    <w:rsid w:val="773109EF"/>
    <w:rsid w:val="7733135F"/>
    <w:rsid w:val="77334F9C"/>
    <w:rsid w:val="77456248"/>
    <w:rsid w:val="774C7E4E"/>
    <w:rsid w:val="774E334F"/>
    <w:rsid w:val="77562203"/>
    <w:rsid w:val="775748F9"/>
    <w:rsid w:val="7762504C"/>
    <w:rsid w:val="7763043E"/>
    <w:rsid w:val="77640DC4"/>
    <w:rsid w:val="77674410"/>
    <w:rsid w:val="776C7C79"/>
    <w:rsid w:val="776D5ECB"/>
    <w:rsid w:val="776E579F"/>
    <w:rsid w:val="77701517"/>
    <w:rsid w:val="777032C5"/>
    <w:rsid w:val="7771703D"/>
    <w:rsid w:val="77756B2D"/>
    <w:rsid w:val="777C610E"/>
    <w:rsid w:val="77844FC2"/>
    <w:rsid w:val="77860D3A"/>
    <w:rsid w:val="77872205"/>
    <w:rsid w:val="778B160C"/>
    <w:rsid w:val="778C41B1"/>
    <w:rsid w:val="778E7BEF"/>
    <w:rsid w:val="77901BB9"/>
    <w:rsid w:val="779E726F"/>
    <w:rsid w:val="77A2369A"/>
    <w:rsid w:val="77A80CB1"/>
    <w:rsid w:val="77A95EF0"/>
    <w:rsid w:val="77B533CE"/>
    <w:rsid w:val="77B92EBE"/>
    <w:rsid w:val="77BA09E4"/>
    <w:rsid w:val="77BF424C"/>
    <w:rsid w:val="77C16217"/>
    <w:rsid w:val="77C46274"/>
    <w:rsid w:val="77C5609A"/>
    <w:rsid w:val="77C60C75"/>
    <w:rsid w:val="77C74EAF"/>
    <w:rsid w:val="77CC6333"/>
    <w:rsid w:val="77CE4490"/>
    <w:rsid w:val="77CF26E1"/>
    <w:rsid w:val="77D575CC"/>
    <w:rsid w:val="77DC095A"/>
    <w:rsid w:val="77DC4DFE"/>
    <w:rsid w:val="77DF669D"/>
    <w:rsid w:val="77E22461"/>
    <w:rsid w:val="77FA34D6"/>
    <w:rsid w:val="77FE4D75"/>
    <w:rsid w:val="780103C1"/>
    <w:rsid w:val="780162ED"/>
    <w:rsid w:val="78034139"/>
    <w:rsid w:val="78047EB1"/>
    <w:rsid w:val="78056103"/>
    <w:rsid w:val="780600CD"/>
    <w:rsid w:val="780659D7"/>
    <w:rsid w:val="780879A1"/>
    <w:rsid w:val="780908F9"/>
    <w:rsid w:val="780B1240"/>
    <w:rsid w:val="780F6F82"/>
    <w:rsid w:val="781C169F"/>
    <w:rsid w:val="781E5417"/>
    <w:rsid w:val="78232A2D"/>
    <w:rsid w:val="782347DB"/>
    <w:rsid w:val="78280044"/>
    <w:rsid w:val="782A7918"/>
    <w:rsid w:val="78346286"/>
    <w:rsid w:val="78372035"/>
    <w:rsid w:val="783764D9"/>
    <w:rsid w:val="783C589D"/>
    <w:rsid w:val="783C764B"/>
    <w:rsid w:val="783E1615"/>
    <w:rsid w:val="7840538D"/>
    <w:rsid w:val="78414C61"/>
    <w:rsid w:val="784529A4"/>
    <w:rsid w:val="78482494"/>
    <w:rsid w:val="78485EB0"/>
    <w:rsid w:val="784F55D0"/>
    <w:rsid w:val="78511348"/>
    <w:rsid w:val="78542BB6"/>
    <w:rsid w:val="785726D7"/>
    <w:rsid w:val="7863107C"/>
    <w:rsid w:val="78656BA2"/>
    <w:rsid w:val="786C7F30"/>
    <w:rsid w:val="786D3CA8"/>
    <w:rsid w:val="786D5A56"/>
    <w:rsid w:val="786F17CF"/>
    <w:rsid w:val="78725000"/>
    <w:rsid w:val="78762B5D"/>
    <w:rsid w:val="78774B27"/>
    <w:rsid w:val="787C4DA0"/>
    <w:rsid w:val="78852DA0"/>
    <w:rsid w:val="78866B18"/>
    <w:rsid w:val="78880AE2"/>
    <w:rsid w:val="788A40D3"/>
    <w:rsid w:val="788A485A"/>
    <w:rsid w:val="788C05D2"/>
    <w:rsid w:val="788C2381"/>
    <w:rsid w:val="789631FF"/>
    <w:rsid w:val="789816F7"/>
    <w:rsid w:val="789D40D9"/>
    <w:rsid w:val="78A771BA"/>
    <w:rsid w:val="78A82F32"/>
    <w:rsid w:val="78A84CE1"/>
    <w:rsid w:val="78AA6CAB"/>
    <w:rsid w:val="78AF2513"/>
    <w:rsid w:val="78B10039"/>
    <w:rsid w:val="78B35B5F"/>
    <w:rsid w:val="78B418D7"/>
    <w:rsid w:val="78B47B29"/>
    <w:rsid w:val="78BE2756"/>
    <w:rsid w:val="78C22246"/>
    <w:rsid w:val="78C338C8"/>
    <w:rsid w:val="78C733B9"/>
    <w:rsid w:val="78C86D74"/>
    <w:rsid w:val="78CA2EA9"/>
    <w:rsid w:val="78CF6711"/>
    <w:rsid w:val="78D003F8"/>
    <w:rsid w:val="78D21D5D"/>
    <w:rsid w:val="78D36201"/>
    <w:rsid w:val="78D67AA0"/>
    <w:rsid w:val="78D855C6"/>
    <w:rsid w:val="78DB6E64"/>
    <w:rsid w:val="78DF4BA6"/>
    <w:rsid w:val="78E201F2"/>
    <w:rsid w:val="78E55F35"/>
    <w:rsid w:val="78E81581"/>
    <w:rsid w:val="78EE4DE9"/>
    <w:rsid w:val="78EE6B97"/>
    <w:rsid w:val="78F46178"/>
    <w:rsid w:val="78F61EF0"/>
    <w:rsid w:val="78F67AD9"/>
    <w:rsid w:val="78F817C4"/>
    <w:rsid w:val="78FB12B4"/>
    <w:rsid w:val="78FB3062"/>
    <w:rsid w:val="790A14F7"/>
    <w:rsid w:val="790A599B"/>
    <w:rsid w:val="790A7749"/>
    <w:rsid w:val="79116D2A"/>
    <w:rsid w:val="79144124"/>
    <w:rsid w:val="79167E9C"/>
    <w:rsid w:val="791B54B2"/>
    <w:rsid w:val="792C5912"/>
    <w:rsid w:val="793547C6"/>
    <w:rsid w:val="79366790"/>
    <w:rsid w:val="793675A6"/>
    <w:rsid w:val="793842B6"/>
    <w:rsid w:val="79393B8B"/>
    <w:rsid w:val="793D18CD"/>
    <w:rsid w:val="793D7B1F"/>
    <w:rsid w:val="793F3897"/>
    <w:rsid w:val="794338D4"/>
    <w:rsid w:val="79440EAD"/>
    <w:rsid w:val="794830FC"/>
    <w:rsid w:val="79492020"/>
    <w:rsid w:val="794C7378"/>
    <w:rsid w:val="794E3ADA"/>
    <w:rsid w:val="794E5888"/>
    <w:rsid w:val="794F33AE"/>
    <w:rsid w:val="79517126"/>
    <w:rsid w:val="79537342"/>
    <w:rsid w:val="795F1843"/>
    <w:rsid w:val="796055BB"/>
    <w:rsid w:val="79652BD2"/>
    <w:rsid w:val="79674B9C"/>
    <w:rsid w:val="796A38C5"/>
    <w:rsid w:val="796B4D55"/>
    <w:rsid w:val="796E1A86"/>
    <w:rsid w:val="79773031"/>
    <w:rsid w:val="797A667D"/>
    <w:rsid w:val="797C23F5"/>
    <w:rsid w:val="797F1EE5"/>
    <w:rsid w:val="797F3C93"/>
    <w:rsid w:val="79825532"/>
    <w:rsid w:val="798474FC"/>
    <w:rsid w:val="79856DD0"/>
    <w:rsid w:val="79872B48"/>
    <w:rsid w:val="798B6ADC"/>
    <w:rsid w:val="799040F2"/>
    <w:rsid w:val="799A6D1F"/>
    <w:rsid w:val="79A13C0A"/>
    <w:rsid w:val="79A436FA"/>
    <w:rsid w:val="79A809F5"/>
    <w:rsid w:val="79A8143C"/>
    <w:rsid w:val="79B17BC5"/>
    <w:rsid w:val="79B674B2"/>
    <w:rsid w:val="79B80F53"/>
    <w:rsid w:val="79BA4CCB"/>
    <w:rsid w:val="79BD2A0E"/>
    <w:rsid w:val="79C124FE"/>
    <w:rsid w:val="79C21DD2"/>
    <w:rsid w:val="79C23A46"/>
    <w:rsid w:val="79C478F8"/>
    <w:rsid w:val="79C8388C"/>
    <w:rsid w:val="79CB512B"/>
    <w:rsid w:val="79CD4E76"/>
    <w:rsid w:val="79CE0777"/>
    <w:rsid w:val="79D35D8D"/>
    <w:rsid w:val="79D815F5"/>
    <w:rsid w:val="79DE4E5E"/>
    <w:rsid w:val="79E263D5"/>
    <w:rsid w:val="79E32474"/>
    <w:rsid w:val="79E41D48"/>
    <w:rsid w:val="79E9735F"/>
    <w:rsid w:val="79EB1329"/>
    <w:rsid w:val="79EB757B"/>
    <w:rsid w:val="79ED32F3"/>
    <w:rsid w:val="79ED6E4F"/>
    <w:rsid w:val="79F006ED"/>
    <w:rsid w:val="79F00B9B"/>
    <w:rsid w:val="79F503F9"/>
    <w:rsid w:val="79F71A7C"/>
    <w:rsid w:val="79F93A46"/>
    <w:rsid w:val="79FA156C"/>
    <w:rsid w:val="79FC3536"/>
    <w:rsid w:val="79FC7092"/>
    <w:rsid w:val="79FE72AE"/>
    <w:rsid w:val="7A010B4C"/>
    <w:rsid w:val="7A036D91"/>
    <w:rsid w:val="7A04063C"/>
    <w:rsid w:val="7A0423EA"/>
    <w:rsid w:val="7A0D129F"/>
    <w:rsid w:val="7A0D74F1"/>
    <w:rsid w:val="7A0E55E5"/>
    <w:rsid w:val="7A13262E"/>
    <w:rsid w:val="7A232871"/>
    <w:rsid w:val="7A266805"/>
    <w:rsid w:val="7A274CFC"/>
    <w:rsid w:val="7A28432B"/>
    <w:rsid w:val="7A2B7977"/>
    <w:rsid w:val="7A2F56B9"/>
    <w:rsid w:val="7A3031E0"/>
    <w:rsid w:val="7A344A7E"/>
    <w:rsid w:val="7A3E58FC"/>
    <w:rsid w:val="7A3F3423"/>
    <w:rsid w:val="7A410474"/>
    <w:rsid w:val="7A41363F"/>
    <w:rsid w:val="7A41719B"/>
    <w:rsid w:val="7A49604F"/>
    <w:rsid w:val="7A5275FA"/>
    <w:rsid w:val="7A5C5D83"/>
    <w:rsid w:val="7A5E1AFB"/>
    <w:rsid w:val="7A613399"/>
    <w:rsid w:val="7A635363"/>
    <w:rsid w:val="7A653A4E"/>
    <w:rsid w:val="7A65732D"/>
    <w:rsid w:val="7A6A04A0"/>
    <w:rsid w:val="7A6E0921"/>
    <w:rsid w:val="7A6F3D08"/>
    <w:rsid w:val="7A7237F8"/>
    <w:rsid w:val="7A7255A6"/>
    <w:rsid w:val="7A756E44"/>
    <w:rsid w:val="7A794B87"/>
    <w:rsid w:val="7A7B26AD"/>
    <w:rsid w:val="7A7C4677"/>
    <w:rsid w:val="7A7F1A71"/>
    <w:rsid w:val="7A831561"/>
    <w:rsid w:val="7A884DCA"/>
    <w:rsid w:val="7A895529"/>
    <w:rsid w:val="7A8A3819"/>
    <w:rsid w:val="7A8D418E"/>
    <w:rsid w:val="7A8F43AA"/>
    <w:rsid w:val="7A8F7F06"/>
    <w:rsid w:val="7A911ED0"/>
    <w:rsid w:val="7A951295"/>
    <w:rsid w:val="7A992B33"/>
    <w:rsid w:val="7A993CB5"/>
    <w:rsid w:val="7A9B4AFD"/>
    <w:rsid w:val="7A9B68AB"/>
    <w:rsid w:val="7AA240DD"/>
    <w:rsid w:val="7AA339B1"/>
    <w:rsid w:val="7AA8546C"/>
    <w:rsid w:val="7AA8721A"/>
    <w:rsid w:val="7AAF05A8"/>
    <w:rsid w:val="7AB37271"/>
    <w:rsid w:val="7AB510DD"/>
    <w:rsid w:val="7ABD0F17"/>
    <w:rsid w:val="7ABD4419"/>
    <w:rsid w:val="7AC758F2"/>
    <w:rsid w:val="7AC878BC"/>
    <w:rsid w:val="7ACC2F08"/>
    <w:rsid w:val="7ACD0A2E"/>
    <w:rsid w:val="7ACD6C80"/>
    <w:rsid w:val="7AD16771"/>
    <w:rsid w:val="7AD61FD9"/>
    <w:rsid w:val="7AD85D51"/>
    <w:rsid w:val="7AD87AFF"/>
    <w:rsid w:val="7ADD5115"/>
    <w:rsid w:val="7ADE0E8D"/>
    <w:rsid w:val="7AE244DA"/>
    <w:rsid w:val="7AE45F13"/>
    <w:rsid w:val="7AE53FCA"/>
    <w:rsid w:val="7AEC5358"/>
    <w:rsid w:val="7AEF309B"/>
    <w:rsid w:val="7AF60B64"/>
    <w:rsid w:val="7AF81F4F"/>
    <w:rsid w:val="7B02692A"/>
    <w:rsid w:val="7B034450"/>
    <w:rsid w:val="7B0408F4"/>
    <w:rsid w:val="7B0A1C83"/>
    <w:rsid w:val="7B0D52CF"/>
    <w:rsid w:val="7B0F1047"/>
    <w:rsid w:val="7B0F7299"/>
    <w:rsid w:val="7B122641"/>
    <w:rsid w:val="7B1623D5"/>
    <w:rsid w:val="7B1A0118"/>
    <w:rsid w:val="7B2014A6"/>
    <w:rsid w:val="7B25086A"/>
    <w:rsid w:val="7B272834"/>
    <w:rsid w:val="7B2A5CF7"/>
    <w:rsid w:val="7B2A5E81"/>
    <w:rsid w:val="7B315461"/>
    <w:rsid w:val="7B3A48B6"/>
    <w:rsid w:val="7B402AEE"/>
    <w:rsid w:val="7B410696"/>
    <w:rsid w:val="7B450F0D"/>
    <w:rsid w:val="7B4A02D1"/>
    <w:rsid w:val="7B4A238D"/>
    <w:rsid w:val="7B4B6523"/>
    <w:rsid w:val="7B4D2521"/>
    <w:rsid w:val="7B51340D"/>
    <w:rsid w:val="7B5573A2"/>
    <w:rsid w:val="7B5F5B2A"/>
    <w:rsid w:val="7B62561B"/>
    <w:rsid w:val="7B6E5D6D"/>
    <w:rsid w:val="7B705F89"/>
    <w:rsid w:val="7B7315D6"/>
    <w:rsid w:val="7B737828"/>
    <w:rsid w:val="7B7517F2"/>
    <w:rsid w:val="7B786BEC"/>
    <w:rsid w:val="7B7914C4"/>
    <w:rsid w:val="7B7A6E08"/>
    <w:rsid w:val="7B7B048A"/>
    <w:rsid w:val="7B7F7F7B"/>
    <w:rsid w:val="7B800036"/>
    <w:rsid w:val="7B8437E3"/>
    <w:rsid w:val="7B871525"/>
    <w:rsid w:val="7B8C08E9"/>
    <w:rsid w:val="7B8C6B3B"/>
    <w:rsid w:val="7B8E6410"/>
    <w:rsid w:val="7B8F3F36"/>
    <w:rsid w:val="7B902188"/>
    <w:rsid w:val="7B915345"/>
    <w:rsid w:val="7B917CAE"/>
    <w:rsid w:val="7B973637"/>
    <w:rsid w:val="7B98103C"/>
    <w:rsid w:val="7B9F23CB"/>
    <w:rsid w:val="7BA2010D"/>
    <w:rsid w:val="7BA45C33"/>
    <w:rsid w:val="7BA479E1"/>
    <w:rsid w:val="7BB35E76"/>
    <w:rsid w:val="7BB816DF"/>
    <w:rsid w:val="7BB95541"/>
    <w:rsid w:val="7BBC11CF"/>
    <w:rsid w:val="7BBD4F47"/>
    <w:rsid w:val="7BC10593"/>
    <w:rsid w:val="7BC167E5"/>
    <w:rsid w:val="7BC219BC"/>
    <w:rsid w:val="7BC462D5"/>
    <w:rsid w:val="7BC57958"/>
    <w:rsid w:val="7BC71922"/>
    <w:rsid w:val="7BC938EC"/>
    <w:rsid w:val="7BCC0CE6"/>
    <w:rsid w:val="7BD1454E"/>
    <w:rsid w:val="7BD36518"/>
    <w:rsid w:val="7BD76009"/>
    <w:rsid w:val="7BDC361F"/>
    <w:rsid w:val="7BDD1145"/>
    <w:rsid w:val="7BDF310F"/>
    <w:rsid w:val="7BE129E3"/>
    <w:rsid w:val="7BE44282"/>
    <w:rsid w:val="7BE81FC4"/>
    <w:rsid w:val="7BE97AEA"/>
    <w:rsid w:val="7BEB5610"/>
    <w:rsid w:val="7BF72207"/>
    <w:rsid w:val="7BF85F7F"/>
    <w:rsid w:val="7BF87D2D"/>
    <w:rsid w:val="7BFA5853"/>
    <w:rsid w:val="7BFB59C6"/>
    <w:rsid w:val="7BFD5343"/>
    <w:rsid w:val="7BFF6BFE"/>
    <w:rsid w:val="7C06069C"/>
    <w:rsid w:val="7C0641F8"/>
    <w:rsid w:val="7C077F70"/>
    <w:rsid w:val="7C091F3A"/>
    <w:rsid w:val="7C093CE8"/>
    <w:rsid w:val="7C0A3959"/>
    <w:rsid w:val="7C0B5CB2"/>
    <w:rsid w:val="7C0D1A2A"/>
    <w:rsid w:val="7C0D37D8"/>
    <w:rsid w:val="7C0E7550"/>
    <w:rsid w:val="7C176405"/>
    <w:rsid w:val="7C1E59E5"/>
    <w:rsid w:val="7C1F350C"/>
    <w:rsid w:val="7C244DCF"/>
    <w:rsid w:val="7C262AEC"/>
    <w:rsid w:val="7C2B0102"/>
    <w:rsid w:val="7C2F624D"/>
    <w:rsid w:val="7C2F7BF3"/>
    <w:rsid w:val="7C305719"/>
    <w:rsid w:val="7C3C40BE"/>
    <w:rsid w:val="7C413482"/>
    <w:rsid w:val="7C417926"/>
    <w:rsid w:val="7C43544C"/>
    <w:rsid w:val="7C4371FA"/>
    <w:rsid w:val="7C4B7EF1"/>
    <w:rsid w:val="7C4F37CE"/>
    <w:rsid w:val="7C5036C5"/>
    <w:rsid w:val="7C5A2796"/>
    <w:rsid w:val="7C5B642A"/>
    <w:rsid w:val="7C5C650E"/>
    <w:rsid w:val="7C605FFE"/>
    <w:rsid w:val="7C613B24"/>
    <w:rsid w:val="7C6333F8"/>
    <w:rsid w:val="7C63789C"/>
    <w:rsid w:val="7C6D24C9"/>
    <w:rsid w:val="7C6F4493"/>
    <w:rsid w:val="7C6F7FEF"/>
    <w:rsid w:val="7C715C38"/>
    <w:rsid w:val="7C725D31"/>
    <w:rsid w:val="7C743857"/>
    <w:rsid w:val="7C765821"/>
    <w:rsid w:val="7C7750F6"/>
    <w:rsid w:val="7C790E6E"/>
    <w:rsid w:val="7C792C1C"/>
    <w:rsid w:val="7C7E659B"/>
    <w:rsid w:val="7C855A65"/>
    <w:rsid w:val="7C8D2B6B"/>
    <w:rsid w:val="7C8E41ED"/>
    <w:rsid w:val="7C945CA8"/>
    <w:rsid w:val="7C9537CE"/>
    <w:rsid w:val="7C965F62"/>
    <w:rsid w:val="7C9932BE"/>
    <w:rsid w:val="7C9B7036"/>
    <w:rsid w:val="7C9E08D4"/>
    <w:rsid w:val="7CA51C63"/>
    <w:rsid w:val="7CA73C2D"/>
    <w:rsid w:val="7CA83501"/>
    <w:rsid w:val="7CAA1027"/>
    <w:rsid w:val="7CAB2FF1"/>
    <w:rsid w:val="7CB13FFA"/>
    <w:rsid w:val="7CB93960"/>
    <w:rsid w:val="7CC0084B"/>
    <w:rsid w:val="7CC3658D"/>
    <w:rsid w:val="7CC84DBF"/>
    <w:rsid w:val="7CCA791B"/>
    <w:rsid w:val="7CCD2F68"/>
    <w:rsid w:val="7CD22AC8"/>
    <w:rsid w:val="7CD56CD9"/>
    <w:rsid w:val="7CD75B94"/>
    <w:rsid w:val="7CD9190C"/>
    <w:rsid w:val="7CD97B5E"/>
    <w:rsid w:val="7CDC31AB"/>
    <w:rsid w:val="7CDD764F"/>
    <w:rsid w:val="7CE00EED"/>
    <w:rsid w:val="7CEC7892"/>
    <w:rsid w:val="7CED53B8"/>
    <w:rsid w:val="7CF404F4"/>
    <w:rsid w:val="7CF6426C"/>
    <w:rsid w:val="7CF95B0B"/>
    <w:rsid w:val="7CFC55FB"/>
    <w:rsid w:val="7CFE0EC0"/>
    <w:rsid w:val="7D017E95"/>
    <w:rsid w:val="7D034BDB"/>
    <w:rsid w:val="7D0C34C4"/>
    <w:rsid w:val="7D1132C9"/>
    <w:rsid w:val="7D124E1E"/>
    <w:rsid w:val="7D140B97"/>
    <w:rsid w:val="7D142945"/>
    <w:rsid w:val="7D1B0177"/>
    <w:rsid w:val="7D1E1A15"/>
    <w:rsid w:val="7D23702C"/>
    <w:rsid w:val="7D252DA4"/>
    <w:rsid w:val="7D254B52"/>
    <w:rsid w:val="7D2A660C"/>
    <w:rsid w:val="7D311748"/>
    <w:rsid w:val="7D3354C1"/>
    <w:rsid w:val="7D33726F"/>
    <w:rsid w:val="7D342FE7"/>
    <w:rsid w:val="7D384885"/>
    <w:rsid w:val="7D3B6123"/>
    <w:rsid w:val="7D3C4514"/>
    <w:rsid w:val="7D407BDD"/>
    <w:rsid w:val="7D410A1F"/>
    <w:rsid w:val="7D456FA2"/>
    <w:rsid w:val="7D472D1A"/>
    <w:rsid w:val="7D480840"/>
    <w:rsid w:val="7D4F1BCF"/>
    <w:rsid w:val="7D537911"/>
    <w:rsid w:val="7D5A0C9F"/>
    <w:rsid w:val="7D5E1E12"/>
    <w:rsid w:val="7D5F62B6"/>
    <w:rsid w:val="7D641B1E"/>
    <w:rsid w:val="7D6531A0"/>
    <w:rsid w:val="7D6A07B6"/>
    <w:rsid w:val="7D715FE9"/>
    <w:rsid w:val="7D731D61"/>
    <w:rsid w:val="7D755AD9"/>
    <w:rsid w:val="7D782ED3"/>
    <w:rsid w:val="7D7D673C"/>
    <w:rsid w:val="7D821FA4"/>
    <w:rsid w:val="7D825F75"/>
    <w:rsid w:val="7D841037"/>
    <w:rsid w:val="7D845D1C"/>
    <w:rsid w:val="7D851A94"/>
    <w:rsid w:val="7D8E26F7"/>
    <w:rsid w:val="7D8E6B9B"/>
    <w:rsid w:val="7D9121E7"/>
    <w:rsid w:val="7D951CD7"/>
    <w:rsid w:val="7D957F29"/>
    <w:rsid w:val="7D9817C8"/>
    <w:rsid w:val="7D9B4E14"/>
    <w:rsid w:val="7DA57A41"/>
    <w:rsid w:val="7DAC0DCF"/>
    <w:rsid w:val="7DAE2D99"/>
    <w:rsid w:val="7DB06B11"/>
    <w:rsid w:val="7DB12889"/>
    <w:rsid w:val="7DB3215D"/>
    <w:rsid w:val="7DB859C6"/>
    <w:rsid w:val="7DBB54B6"/>
    <w:rsid w:val="7DBB7264"/>
    <w:rsid w:val="7DC223A1"/>
    <w:rsid w:val="7DC3365B"/>
    <w:rsid w:val="7DC720AD"/>
    <w:rsid w:val="7DC91981"/>
    <w:rsid w:val="7DD345AE"/>
    <w:rsid w:val="7DD70390"/>
    <w:rsid w:val="7DDB16B4"/>
    <w:rsid w:val="7DE44A0D"/>
    <w:rsid w:val="7DE60785"/>
    <w:rsid w:val="7DE62533"/>
    <w:rsid w:val="7DEB18F7"/>
    <w:rsid w:val="7DEC2867"/>
    <w:rsid w:val="7DEE13E8"/>
    <w:rsid w:val="7DEF2C7F"/>
    <w:rsid w:val="7DF509C8"/>
    <w:rsid w:val="7DF52776"/>
    <w:rsid w:val="7DFD5765"/>
    <w:rsid w:val="7DFD787D"/>
    <w:rsid w:val="7E01111B"/>
    <w:rsid w:val="7E0806FB"/>
    <w:rsid w:val="7E085643"/>
    <w:rsid w:val="7E0D5D12"/>
    <w:rsid w:val="7E0E3838"/>
    <w:rsid w:val="7E10135E"/>
    <w:rsid w:val="7E156974"/>
    <w:rsid w:val="7E1626EC"/>
    <w:rsid w:val="7E1A3F8B"/>
    <w:rsid w:val="7E1C5F55"/>
    <w:rsid w:val="7E1F77F3"/>
    <w:rsid w:val="7E201FAD"/>
    <w:rsid w:val="7E2117BD"/>
    <w:rsid w:val="7E287D37"/>
    <w:rsid w:val="7E292420"/>
    <w:rsid w:val="7E292808"/>
    <w:rsid w:val="7E2B6198"/>
    <w:rsid w:val="7E33329E"/>
    <w:rsid w:val="7E3A287F"/>
    <w:rsid w:val="7E3A378D"/>
    <w:rsid w:val="7E3C65F7"/>
    <w:rsid w:val="7E3E09CD"/>
    <w:rsid w:val="7E431733"/>
    <w:rsid w:val="7E4436FD"/>
    <w:rsid w:val="7E470AF8"/>
    <w:rsid w:val="7E4B05E8"/>
    <w:rsid w:val="7E4B4712"/>
    <w:rsid w:val="7E502C4A"/>
    <w:rsid w:val="7E525E1A"/>
    <w:rsid w:val="7E551467"/>
    <w:rsid w:val="7E584145"/>
    <w:rsid w:val="7E590F57"/>
    <w:rsid w:val="7E5E656D"/>
    <w:rsid w:val="7E6416AA"/>
    <w:rsid w:val="7E655B4E"/>
    <w:rsid w:val="7E696CC0"/>
    <w:rsid w:val="7E6B0C8A"/>
    <w:rsid w:val="7E6B2A38"/>
    <w:rsid w:val="7E745D91"/>
    <w:rsid w:val="7E77762F"/>
    <w:rsid w:val="7E7933A7"/>
    <w:rsid w:val="7E7E6C0F"/>
    <w:rsid w:val="7E88183C"/>
    <w:rsid w:val="7E8C3035"/>
    <w:rsid w:val="7E8D29AE"/>
    <w:rsid w:val="7E902E46"/>
    <w:rsid w:val="7E957AB5"/>
    <w:rsid w:val="7E97382D"/>
    <w:rsid w:val="7E9A50CB"/>
    <w:rsid w:val="7EA36676"/>
    <w:rsid w:val="7EA45F4A"/>
    <w:rsid w:val="7EA85A3A"/>
    <w:rsid w:val="7EAA3560"/>
    <w:rsid w:val="7EAD5C12"/>
    <w:rsid w:val="7EB02B41"/>
    <w:rsid w:val="7EB361E0"/>
    <w:rsid w:val="7EB45B92"/>
    <w:rsid w:val="7EB75C7D"/>
    <w:rsid w:val="7EB937A4"/>
    <w:rsid w:val="7EC5613F"/>
    <w:rsid w:val="7EC565EC"/>
    <w:rsid w:val="7EC81C39"/>
    <w:rsid w:val="7EC87E8B"/>
    <w:rsid w:val="7ECF2FC7"/>
    <w:rsid w:val="7ED06D3F"/>
    <w:rsid w:val="7ED76320"/>
    <w:rsid w:val="7ED95BF4"/>
    <w:rsid w:val="7EDC3936"/>
    <w:rsid w:val="7EDE320A"/>
    <w:rsid w:val="7EDF3D6D"/>
    <w:rsid w:val="7EDF693E"/>
    <w:rsid w:val="7EE23C0A"/>
    <w:rsid w:val="7EE34CC4"/>
    <w:rsid w:val="7EE84089"/>
    <w:rsid w:val="7EEA1BAF"/>
    <w:rsid w:val="7EEA7E01"/>
    <w:rsid w:val="7EEC1DCB"/>
    <w:rsid w:val="7EED5B43"/>
    <w:rsid w:val="7EF26CB5"/>
    <w:rsid w:val="7EF55F93"/>
    <w:rsid w:val="7EF649F8"/>
    <w:rsid w:val="7EF70770"/>
    <w:rsid w:val="7EF974E5"/>
    <w:rsid w:val="7EFA2F42"/>
    <w:rsid w:val="7F032C71"/>
    <w:rsid w:val="7F055432"/>
    <w:rsid w:val="7F0709B3"/>
    <w:rsid w:val="7F08297D"/>
    <w:rsid w:val="7F1430D0"/>
    <w:rsid w:val="7F17671C"/>
    <w:rsid w:val="7F1B26B0"/>
    <w:rsid w:val="7F1E7AAB"/>
    <w:rsid w:val="7F2257ED"/>
    <w:rsid w:val="7F233313"/>
    <w:rsid w:val="7F272E03"/>
    <w:rsid w:val="7F2A24A2"/>
    <w:rsid w:val="7F2A644F"/>
    <w:rsid w:val="7F2E23E3"/>
    <w:rsid w:val="7F3161E6"/>
    <w:rsid w:val="7F3217A8"/>
    <w:rsid w:val="7F3379FA"/>
    <w:rsid w:val="7F343772"/>
    <w:rsid w:val="7F392B36"/>
    <w:rsid w:val="7F3948E4"/>
    <w:rsid w:val="7F4339B5"/>
    <w:rsid w:val="7F47583B"/>
    <w:rsid w:val="7F477001"/>
    <w:rsid w:val="7F4C0ABC"/>
    <w:rsid w:val="7F4E65E2"/>
    <w:rsid w:val="7F5160D2"/>
    <w:rsid w:val="7F5259A6"/>
    <w:rsid w:val="7F5D2632"/>
    <w:rsid w:val="7F5D6825"/>
    <w:rsid w:val="7F5F07EF"/>
    <w:rsid w:val="7F601E71"/>
    <w:rsid w:val="7F604567"/>
    <w:rsid w:val="7F6556D9"/>
    <w:rsid w:val="7F6E0A32"/>
    <w:rsid w:val="7F6F47AA"/>
    <w:rsid w:val="7F71407E"/>
    <w:rsid w:val="7F7238C6"/>
    <w:rsid w:val="7F736048"/>
    <w:rsid w:val="7F761695"/>
    <w:rsid w:val="7F7B4EFD"/>
    <w:rsid w:val="7F7D2A23"/>
    <w:rsid w:val="7F820039"/>
    <w:rsid w:val="7F875650"/>
    <w:rsid w:val="7F89586C"/>
    <w:rsid w:val="7F963AE5"/>
    <w:rsid w:val="7F983D01"/>
    <w:rsid w:val="7F9D4E73"/>
    <w:rsid w:val="7FA56256"/>
    <w:rsid w:val="7FA91A6A"/>
    <w:rsid w:val="7FB16B71"/>
    <w:rsid w:val="7FB421BD"/>
    <w:rsid w:val="7FB56661"/>
    <w:rsid w:val="7FB671DB"/>
    <w:rsid w:val="7FBE4DEA"/>
    <w:rsid w:val="7FCA077A"/>
    <w:rsid w:val="7FCD0635"/>
    <w:rsid w:val="7FD0349B"/>
    <w:rsid w:val="7FDA7E75"/>
    <w:rsid w:val="7FDB599C"/>
    <w:rsid w:val="7FDD1714"/>
    <w:rsid w:val="7FDF548C"/>
    <w:rsid w:val="7FE405C7"/>
    <w:rsid w:val="7FE505C8"/>
    <w:rsid w:val="7FE5681A"/>
    <w:rsid w:val="7FEB2083"/>
    <w:rsid w:val="7FEC35BC"/>
    <w:rsid w:val="7FED74AC"/>
    <w:rsid w:val="7FEE3921"/>
    <w:rsid w:val="7FEE56CF"/>
    <w:rsid w:val="7FF01447"/>
    <w:rsid w:val="7FF16F6D"/>
    <w:rsid w:val="7FF37189"/>
    <w:rsid w:val="7FF41D4E"/>
    <w:rsid w:val="7FF56A5D"/>
    <w:rsid w:val="7FF60A27"/>
    <w:rsid w:val="7FF761CD"/>
    <w:rsid w:val="7FF8479F"/>
    <w:rsid w:val="7FF8654D"/>
    <w:rsid w:val="AFFF9500"/>
    <w:rsid w:val="F7FE3CBE"/>
    <w:rsid w:val="FF79275D"/>
    <w:rsid w:val="FFFC4FB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keepNext/>
      <w:spacing w:line="288" w:lineRule="auto"/>
      <w:jc w:val="center"/>
      <w:outlineLvl w:val="0"/>
    </w:pPr>
    <w:rPr>
      <w:rFonts w:ascii="仿宋_GB2312" w:eastAsia="仿宋_GB2312"/>
      <w:b/>
      <w:bCs/>
      <w:color w:val="000000"/>
      <w:sz w:val="36"/>
      <w:szCs w:val="36"/>
    </w:rPr>
  </w:style>
  <w:style w:type="paragraph" w:styleId="2">
    <w:name w:val="heading 2"/>
    <w:basedOn w:val="1"/>
    <w:next w:val="1"/>
    <w:qFormat/>
    <w:uiPriority w:val="0"/>
    <w:pPr>
      <w:keepNext/>
      <w:keepLines/>
      <w:spacing w:line="413" w:lineRule="auto"/>
      <w:outlineLvl w:val="1"/>
    </w:pPr>
    <w:rPr>
      <w:rFonts w:ascii="Arial" w:hAnsi="Arial" w:eastAsia="黑体"/>
      <w:b/>
      <w:bCs/>
      <w:sz w:val="32"/>
      <w:szCs w:val="32"/>
    </w:rPr>
  </w:style>
  <w:style w:type="paragraph" w:styleId="4">
    <w:name w:val="heading 4"/>
    <w:basedOn w:val="1"/>
    <w:next w:val="1"/>
    <w:qFormat/>
    <w:uiPriority w:val="0"/>
    <w:pPr>
      <w:keepNext/>
      <w:keepLines/>
      <w:spacing w:line="376" w:lineRule="auto"/>
      <w:outlineLvl w:val="3"/>
    </w:pPr>
    <w:rPr>
      <w:rFonts w:ascii="Arial" w:hAnsi="Arial" w:eastAsia="黑体"/>
      <w:b/>
      <w:bCs/>
      <w:sz w:val="28"/>
      <w:szCs w:val="28"/>
    </w:rPr>
  </w:style>
  <w:style w:type="paragraph" w:styleId="5">
    <w:name w:val="heading 6"/>
    <w:basedOn w:val="1"/>
    <w:next w:val="1"/>
    <w:qFormat/>
    <w:uiPriority w:val="0"/>
    <w:pPr>
      <w:keepNext/>
      <w:keepLines/>
      <w:spacing w:line="320" w:lineRule="auto"/>
      <w:outlineLvl w:val="5"/>
    </w:pPr>
    <w:rPr>
      <w:rFonts w:ascii="Arial" w:hAnsi="Arial" w:eastAsia="黑体"/>
      <w:b/>
      <w:bCs/>
      <w:sz w:val="24"/>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6">
    <w:name w:val="Normal Indent"/>
    <w:basedOn w:val="1"/>
    <w:next w:val="1"/>
    <w:qFormat/>
    <w:uiPriority w:val="0"/>
    <w:pPr>
      <w:ind w:firstLine="420"/>
    </w:pPr>
    <w:rPr>
      <w:szCs w:val="20"/>
    </w:rPr>
  </w:style>
  <w:style w:type="paragraph" w:styleId="7">
    <w:name w:val="annotation text"/>
    <w:basedOn w:val="1"/>
    <w:qFormat/>
    <w:uiPriority w:val="0"/>
    <w:pPr>
      <w:jc w:val="left"/>
    </w:pPr>
  </w:style>
  <w:style w:type="paragraph" w:styleId="8">
    <w:name w:val="Body Text 3"/>
    <w:basedOn w:val="1"/>
    <w:qFormat/>
    <w:uiPriority w:val="99"/>
    <w:pPr>
      <w:jc w:val="center"/>
    </w:pPr>
    <w:rPr>
      <w:rFonts w:ascii="宋体" w:hAnsi="宋体"/>
      <w:szCs w:val="20"/>
    </w:rPr>
  </w:style>
  <w:style w:type="paragraph" w:styleId="9">
    <w:name w:val="Body Text"/>
    <w:basedOn w:val="1"/>
    <w:next w:val="1"/>
    <w:qFormat/>
    <w:uiPriority w:val="0"/>
  </w:style>
  <w:style w:type="paragraph" w:styleId="10">
    <w:name w:val="Body Text Indent"/>
    <w:basedOn w:val="1"/>
    <w:next w:val="1"/>
    <w:qFormat/>
    <w:uiPriority w:val="0"/>
    <w:pPr>
      <w:ind w:left="420" w:leftChars="200"/>
    </w:pPr>
  </w:style>
  <w:style w:type="paragraph" w:styleId="11">
    <w:name w:val="toc 3"/>
    <w:basedOn w:val="1"/>
    <w:next w:val="1"/>
    <w:qFormat/>
    <w:uiPriority w:val="39"/>
    <w:pPr>
      <w:keepNext w:val="0"/>
      <w:keepLines w:val="0"/>
      <w:widowControl w:val="0"/>
      <w:suppressLineNumbers w:val="0"/>
      <w:ind w:left="840" w:leftChars="400"/>
      <w:jc w:val="both"/>
    </w:pPr>
    <w:rPr>
      <w:rFonts w:hint="default" w:ascii="Times New Roman" w:hAnsi="Times New Roman" w:cs="Times New Roman"/>
      <w:kern w:val="2"/>
      <w:sz w:val="21"/>
      <w:szCs w:val="21"/>
      <w:lang w:val="en-US" w:eastAsia="zh-CN" w:bidi="ar"/>
    </w:rPr>
  </w:style>
  <w:style w:type="paragraph" w:styleId="12">
    <w:name w:val="Plain Text"/>
    <w:basedOn w:val="1"/>
    <w:next w:val="1"/>
    <w:qFormat/>
    <w:uiPriority w:val="0"/>
    <w:rPr>
      <w:rFonts w:ascii="宋体" w:hAnsi="Courier New"/>
      <w:szCs w:val="20"/>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style>
  <w:style w:type="paragraph" w:styleId="16">
    <w:name w:val="toc 6"/>
    <w:basedOn w:val="1"/>
    <w:next w:val="1"/>
    <w:qFormat/>
    <w:uiPriority w:val="39"/>
    <w:pPr>
      <w:ind w:left="2100" w:leftChars="1000"/>
    </w:pPr>
  </w:style>
  <w:style w:type="paragraph" w:styleId="17">
    <w:name w:val="toc 2"/>
    <w:basedOn w:val="1"/>
    <w:next w:val="1"/>
    <w:qFormat/>
    <w:uiPriority w:val="39"/>
    <w:pPr>
      <w:ind w:left="420" w:leftChars="200"/>
    </w:pPr>
  </w:style>
  <w:style w:type="paragraph" w:styleId="18">
    <w:name w:val="Normal (Web)"/>
    <w:basedOn w:val="1"/>
    <w:qFormat/>
    <w:uiPriority w:val="99"/>
    <w:pPr>
      <w:widowControl/>
      <w:shd w:val="clear" w:color="auto" w:fill="FFFFFF"/>
      <w:spacing w:beforeAutospacing="1" w:afterAutospacing="1"/>
      <w:jc w:val="left"/>
    </w:pPr>
    <w:rPr>
      <w:rFonts w:ascii="_x000B__x000C_" w:hAnsi="_x000B__x000C_"/>
      <w:kern w:val="0"/>
      <w:sz w:val="18"/>
      <w:szCs w:val="18"/>
    </w:rPr>
  </w:style>
  <w:style w:type="paragraph" w:styleId="19">
    <w:name w:val="Title"/>
    <w:basedOn w:val="1"/>
    <w:next w:val="1"/>
    <w:qFormat/>
    <w:uiPriority w:val="99"/>
    <w:pPr>
      <w:spacing w:before="240" w:after="60"/>
      <w:jc w:val="center"/>
      <w:outlineLvl w:val="0"/>
    </w:pPr>
    <w:rPr>
      <w:rFonts w:ascii="Cambria" w:hAnsi="Cambria"/>
      <w:b/>
      <w:bCs/>
      <w:kern w:val="28"/>
      <w:sz w:val="32"/>
      <w:szCs w:val="32"/>
      <w:lang w:bidi="ar-SA"/>
    </w:rPr>
  </w:style>
  <w:style w:type="paragraph" w:styleId="20">
    <w:name w:val="Body Text First Indent"/>
    <w:basedOn w:val="9"/>
    <w:next w:val="16"/>
    <w:qFormat/>
    <w:uiPriority w:val="0"/>
    <w:pPr>
      <w:spacing w:line="360" w:lineRule="auto"/>
      <w:ind w:firstLine="200" w:firstLineChars="200"/>
    </w:pPr>
    <w:rPr>
      <w:rFonts w:ascii="仿宋_GB2312" w:eastAsia="仿宋_GB2312"/>
      <w:bCs/>
      <w:sz w:val="30"/>
    </w:rPr>
  </w:style>
  <w:style w:type="paragraph" w:styleId="21">
    <w:name w:val="Body Text First Indent 2"/>
    <w:basedOn w:val="10"/>
    <w:next w:val="20"/>
    <w:qFormat/>
    <w:uiPriority w:val="0"/>
    <w:pPr>
      <w:keepNext w:val="0"/>
      <w:keepLines w:val="0"/>
      <w:widowControl w:val="0"/>
      <w:suppressLineNumbers w:val="0"/>
      <w:spacing w:after="120" w:afterAutospacing="0"/>
      <w:ind w:left="420" w:leftChars="200" w:firstLine="420" w:firstLineChars="200"/>
      <w:jc w:val="both"/>
    </w:pPr>
    <w:rPr>
      <w:rFonts w:hint="default" w:ascii="Times New Roman" w:hAnsi="Times New Roman" w:eastAsia="宋体" w:cs="Times New Roman"/>
      <w:kern w:val="2"/>
      <w:sz w:val="21"/>
      <w:szCs w:val="21"/>
      <w:lang w:val="en-US" w:eastAsia="zh-CN" w:bidi="ar"/>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Hyperlink"/>
    <w:basedOn w:val="24"/>
    <w:qFormat/>
    <w:uiPriority w:val="99"/>
    <w:rPr>
      <w:color w:val="00007F"/>
      <w:u w:val="single"/>
    </w:rPr>
  </w:style>
  <w:style w:type="paragraph" w:customStyle="1" w:styleId="26">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27">
    <w:name w:val="正文文字"/>
    <w:basedOn w:val="1"/>
    <w:qFormat/>
    <w:uiPriority w:val="0"/>
    <w:pPr>
      <w:spacing w:line="351" w:lineRule="atLeast"/>
      <w:ind w:firstLine="419"/>
    </w:pPr>
  </w:style>
  <w:style w:type="character" w:customStyle="1" w:styleId="28">
    <w:name w:val="font11"/>
    <w:basedOn w:val="24"/>
    <w:qFormat/>
    <w:uiPriority w:val="0"/>
    <w:rPr>
      <w:rFonts w:hint="eastAsia" w:ascii="宋体" w:hAnsi="宋体" w:eastAsia="宋体"/>
      <w:color w:val="000000"/>
      <w:sz w:val="24"/>
      <w:szCs w:val="24"/>
      <w:u w:val="none"/>
    </w:rPr>
  </w:style>
  <w:style w:type="character" w:customStyle="1" w:styleId="29">
    <w:name w:val="font21"/>
    <w:basedOn w:val="24"/>
    <w:qFormat/>
    <w:uiPriority w:val="0"/>
    <w:rPr>
      <w:rFonts w:hint="eastAsia" w:ascii="宋体" w:hAnsi="宋体" w:eastAsia="宋体"/>
      <w:color w:val="000000"/>
      <w:sz w:val="21"/>
      <w:szCs w:val="21"/>
      <w:u w:val="none"/>
    </w:rPr>
  </w:style>
  <w:style w:type="paragraph" w:styleId="30">
    <w:name w:val="List Paragraph"/>
    <w:basedOn w:val="1"/>
    <w:qFormat/>
    <w:uiPriority w:val="99"/>
    <w:pPr>
      <w:widowControl/>
      <w:ind w:firstLine="420" w:firstLineChars="200"/>
      <w:jc w:val="left"/>
    </w:pPr>
    <w:rPr>
      <w:rFonts w:ascii="宋体" w:hAnsi="宋体" w:cs="宋体"/>
      <w:kern w:val="0"/>
      <w:sz w:val="24"/>
    </w:rPr>
  </w:style>
  <w:style w:type="character" w:customStyle="1" w:styleId="31">
    <w:name w:val="font81"/>
    <w:basedOn w:val="24"/>
    <w:qFormat/>
    <w:uiPriority w:val="99"/>
    <w:rPr>
      <w:rFonts w:hint="eastAsia" w:ascii="宋体" w:hAnsi="宋体" w:eastAsia="宋体"/>
      <w:color w:val="000000"/>
      <w:sz w:val="21"/>
      <w:szCs w:val="21"/>
      <w:u w:val="none"/>
    </w:rPr>
  </w:style>
  <w:style w:type="character" w:customStyle="1" w:styleId="32">
    <w:name w:val="large1"/>
    <w:qFormat/>
    <w:uiPriority w:val="0"/>
    <w:rPr>
      <w:rFonts w:hint="eastAsia" w:ascii="宋体" w:hAnsi="宋体" w:eastAsia="宋体"/>
      <w:sz w:val="21"/>
      <w:szCs w:val="21"/>
    </w:rPr>
  </w:style>
  <w:style w:type="paragraph" w:customStyle="1" w:styleId="33">
    <w:name w:val="p18"/>
    <w:basedOn w:val="1"/>
    <w:qFormat/>
    <w:uiPriority w:val="99"/>
    <w:pPr>
      <w:widowControl/>
      <w:spacing w:line="748" w:lineRule="atLeast"/>
      <w:ind w:left="-527" w:firstLine="527"/>
    </w:pPr>
    <w:rPr>
      <w:rFonts w:ascii="宋体" w:hAnsi="宋体" w:cs="宋体"/>
      <w:kern w:val="0"/>
      <w:sz w:val="24"/>
    </w:rPr>
  </w:style>
  <w:style w:type="paragraph" w:customStyle="1" w:styleId="34">
    <w:name w:val="表格文字"/>
    <w:basedOn w:val="12"/>
    <w:next w:val="9"/>
    <w:qFormat/>
    <w:uiPriority w:val="0"/>
    <w:pPr>
      <w:adjustRightInd w:val="0"/>
      <w:spacing w:line="420" w:lineRule="atLeast"/>
      <w:jc w:val="left"/>
      <w:textAlignment w:val="baseline"/>
    </w:pPr>
    <w:rPr>
      <w:kern w:val="0"/>
      <w:szCs w:val="20"/>
    </w:rPr>
  </w:style>
  <w:style w:type="paragraph" w:customStyle="1" w:styleId="35">
    <w:name w:val="TOC 标题1"/>
    <w:basedOn w:val="3"/>
    <w:next w:val="1"/>
    <w:qFormat/>
    <w:uiPriority w:val="39"/>
    <w:pPr>
      <w:tabs>
        <w:tab w:val="left" w:pos="1800"/>
      </w:tabs>
      <w:spacing w:before="480" w:line="276" w:lineRule="auto"/>
      <w:outlineLvl w:val="9"/>
    </w:pPr>
    <w:rPr>
      <w:rFonts w:ascii="仿宋" w:hAnsi="仿宋" w:eastAsia="仿宋"/>
      <w:color w:val="000000"/>
      <w:kern w:val="0"/>
      <w:sz w:val="32"/>
      <w:szCs w:val="32"/>
    </w:rPr>
  </w:style>
  <w:style w:type="paragraph" w:customStyle="1" w:styleId="36">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p17"/>
    <w:basedOn w:val="1"/>
    <w:qFormat/>
    <w:uiPriority w:val="0"/>
    <w:pPr>
      <w:widowControl/>
    </w:pPr>
    <w:rPr>
      <w:rFonts w:ascii="宋体" w:hAnsi="宋体" w:cs="宋体"/>
      <w:kern w:val="0"/>
      <w:szCs w:val="21"/>
    </w:rPr>
  </w:style>
  <w:style w:type="paragraph" w:customStyle="1" w:styleId="38">
    <w:name w:val="_Style 3"/>
    <w:qFormat/>
    <w:uiPriority w:val="0"/>
    <w:rPr>
      <w:rFonts w:ascii="Calibri" w:hAnsi="Calibri" w:eastAsia="宋体" w:cs="Times New Roman"/>
      <w:sz w:val="22"/>
      <w:szCs w:val="22"/>
      <w:lang w:val="en-US" w:eastAsia="zh-CN" w:bidi="ar-SA"/>
    </w:rPr>
  </w:style>
  <w:style w:type="paragraph" w:customStyle="1" w:styleId="39">
    <w:name w:val="Plain Text"/>
    <w:basedOn w:val="40"/>
    <w:qFormat/>
    <w:uiPriority w:val="0"/>
    <w:pPr>
      <w:widowControl/>
      <w:jc w:val="left"/>
    </w:pPr>
    <w:rPr>
      <w:rFonts w:ascii="宋体" w:hAnsi="Courier New"/>
    </w:rPr>
  </w:style>
  <w:style w:type="paragraph" w:customStyle="1" w:styleId="40">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1">
    <w:name w:val="179"/>
    <w:basedOn w:val="1"/>
    <w:qFormat/>
    <w:uiPriority w:val="0"/>
    <w:pPr>
      <w:ind w:firstLine="420" w:firstLineChars="200"/>
    </w:pPr>
    <w:rPr>
      <w:rFonts w:ascii="Calibri" w:hAnsi="Calibri" w:eastAsia="仿宋_GB2312"/>
      <w:sz w:val="28"/>
      <w:szCs w:val="22"/>
    </w:rPr>
  </w:style>
  <w:style w:type="paragraph" w:customStyle="1" w:styleId="42">
    <w:name w:val="正文文本首行缩进1"/>
    <w:basedOn w:val="9"/>
    <w:next w:val="1"/>
    <w:qFormat/>
    <w:uiPriority w:val="0"/>
    <w:pPr>
      <w:ind w:firstLine="420"/>
    </w:pPr>
    <w:rPr>
      <w:rFonts w:ascii="宋体"/>
      <w:kern w:val="2"/>
      <w:sz w:val="24"/>
      <w:lang w:val="zh-CN"/>
    </w:rPr>
  </w:style>
  <w:style w:type="paragraph" w:customStyle="1" w:styleId="43">
    <w:name w:val="Table Text"/>
    <w:basedOn w:val="1"/>
    <w:semiHidden/>
    <w:qFormat/>
    <w:uiPriority w:val="0"/>
    <w:rPr>
      <w:rFonts w:ascii="宋体" w:hAnsi="宋体" w:eastAsia="宋体" w:cs="宋体"/>
      <w:sz w:val="24"/>
      <w:szCs w:val="24"/>
    </w:rPr>
  </w:style>
  <w:style w:type="character" w:customStyle="1" w:styleId="44">
    <w:name w:val="font41"/>
    <w:qFormat/>
    <w:uiPriority w:val="0"/>
    <w:rPr>
      <w:rFonts w:hint="eastAsia" w:ascii="宋体" w:hAnsi="宋体" w:eastAsia="宋体"/>
      <w:color w:val="FF0000"/>
      <w:sz w:val="24"/>
      <w:szCs w:val="24"/>
      <w:u w:val="none"/>
    </w:rPr>
  </w:style>
  <w:style w:type="character" w:customStyle="1" w:styleId="45">
    <w:name w:val="NormalCharacter"/>
    <w:semiHidden/>
    <w:qFormat/>
    <w:uiPriority w:val="0"/>
    <w:rPr>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CEEACA"/>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74</Pages>
  <Words>17099</Words>
  <Characters>18671</Characters>
  <Lines>0</Lines>
  <Paragraphs>0</Paragraphs>
  <TotalTime>3176</TotalTime>
  <ScaleCrop>false</ScaleCrop>
  <LinksUpToDate>false</LinksUpToDate>
  <CharactersWithSpaces>18901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2024-12-11T11:07:00Z</dcterms:created>
  <dc:creator>hilaryoow</dc:creator>
  <cp:lastModifiedBy>大槑子</cp:lastModifiedBy>
  <cp:lastPrinted>2025-06-30T02:49:14Z</cp:lastPrinted>
  <dcterms:modified xsi:type="dcterms:W3CDTF">2025-06-30T03:43:06Z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9D5BF1D025874736AEB854B4378E1050_13</vt:lpwstr>
  </property>
  <property fmtid="{D5CDD505-2E9C-101B-9397-08002B2CF9AE}" pid="4" name="KSOTemplateDocerSaveRecord">
    <vt:lpwstr>eyJoZGlkIjoiOTlkMTg2YzZiNzE0YzY0YjIyMTQ3Y2I0NDZlYWNlMDMiLCJ1c2VySWQiOiIyNjMyMjg1NjIifQ==</vt:lpwstr>
  </property>
</Properties>
</file>