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360" w:lineRule="auto"/>
        <w:jc w:val="center"/>
        <w:rPr>
          <w:rFonts w:ascii="仿宋" w:hAnsi="仿宋" w:eastAsia="仿宋" w:cs="宋体"/>
          <w:b/>
          <w:sz w:val="44"/>
          <w:szCs w:val="44"/>
        </w:rPr>
      </w:pPr>
    </w:p>
    <w:p>
      <w:pPr>
        <w:adjustRightInd/>
        <w:spacing w:line="360" w:lineRule="auto"/>
        <w:jc w:val="center"/>
        <w:rPr>
          <w:rFonts w:ascii="仿宋" w:hAnsi="仿宋" w:eastAsia="仿宋" w:cs="宋体"/>
          <w:sz w:val="48"/>
          <w:szCs w:val="48"/>
        </w:rPr>
      </w:pPr>
      <w:r>
        <w:rPr>
          <w:rFonts w:hint="eastAsia" w:ascii="仿宋" w:hAnsi="仿宋" w:eastAsia="仿宋" w:cs="宋体"/>
          <w:sz w:val="48"/>
          <w:szCs w:val="48"/>
        </w:rPr>
        <w:t>2023-2024年滨江区市政道路管理养护监理项目</w:t>
      </w:r>
    </w:p>
    <w:p>
      <w:pPr>
        <w:adjustRightInd/>
        <w:spacing w:line="360" w:lineRule="auto"/>
        <w:jc w:val="center"/>
        <w:rPr>
          <w:rFonts w:ascii="仿宋" w:hAnsi="仿宋" w:eastAsia="仿宋" w:cs="宋体"/>
          <w:sz w:val="48"/>
          <w:szCs w:val="48"/>
        </w:rPr>
      </w:pPr>
      <w:r>
        <w:rPr>
          <w:rFonts w:hint="eastAsia" w:ascii="仿宋" w:hAnsi="仿宋" w:eastAsia="仿宋" w:cs="宋体"/>
          <w:sz w:val="48"/>
          <w:szCs w:val="48"/>
        </w:rPr>
        <w:t>招标文件</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宋体"/>
          <w:sz w:val="30"/>
          <w:szCs w:val="30"/>
        </w:rPr>
      </w:pPr>
      <w:r>
        <w:rPr>
          <w:rFonts w:hint="eastAsia" w:ascii="仿宋" w:hAnsi="仿宋" w:eastAsia="仿宋" w:cs="宋体"/>
          <w:sz w:val="30"/>
          <w:szCs w:val="30"/>
        </w:rPr>
        <w:t>编号:</w:t>
      </w:r>
      <w:r>
        <w:rPr>
          <w:rFonts w:ascii="仿宋" w:hAnsi="仿宋" w:eastAsia="仿宋" w:cs="宋体"/>
          <w:sz w:val="30"/>
          <w:szCs w:val="30"/>
        </w:rPr>
        <w:t xml:space="preserve"> ZJKJ-ZFJ2023-01</w:t>
      </w:r>
    </w:p>
    <w:p>
      <w:pPr>
        <w:adjustRightInd/>
        <w:spacing w:line="360" w:lineRule="auto"/>
        <w:jc w:val="center"/>
        <w:rPr>
          <w:rFonts w:ascii="仿宋" w:hAnsi="仿宋" w:eastAsia="仿宋" w:cs="宋体"/>
          <w:b/>
          <w:sz w:val="44"/>
          <w:szCs w:val="44"/>
        </w:rPr>
      </w:pPr>
    </w:p>
    <w:p>
      <w:pPr>
        <w:adjustRightInd/>
        <w:spacing w:line="360" w:lineRule="auto"/>
        <w:jc w:val="center"/>
        <w:rPr>
          <w:rFonts w:ascii="仿宋" w:hAnsi="仿宋" w:eastAsia="仿宋" w:cs="宋体"/>
          <w:b/>
          <w:sz w:val="44"/>
          <w:szCs w:val="44"/>
        </w:rPr>
      </w:pPr>
    </w:p>
    <w:p>
      <w:pPr>
        <w:adjustRightInd/>
        <w:spacing w:line="360" w:lineRule="auto"/>
        <w:jc w:val="center"/>
        <w:rPr>
          <w:rFonts w:ascii="仿宋" w:hAnsi="仿宋" w:eastAsia="仿宋" w:cs="宋体"/>
          <w:b/>
          <w:sz w:val="44"/>
          <w:szCs w:val="44"/>
        </w:rPr>
      </w:pPr>
    </w:p>
    <w:p>
      <w:pPr>
        <w:adjustRightInd/>
        <w:spacing w:line="360" w:lineRule="auto"/>
        <w:jc w:val="center"/>
        <w:rPr>
          <w:rFonts w:ascii="仿宋" w:hAnsi="仿宋" w:eastAsia="仿宋" w:cs="宋体"/>
          <w:b/>
          <w:sz w:val="44"/>
          <w:szCs w:val="44"/>
        </w:rPr>
      </w:pPr>
    </w:p>
    <w:p>
      <w:pPr>
        <w:snapToGrid w:val="0"/>
        <w:spacing w:line="360" w:lineRule="auto"/>
        <w:jc w:val="center"/>
        <w:rPr>
          <w:rFonts w:ascii="仿宋" w:hAnsi="仿宋" w:eastAsia="仿宋" w:cs="宋体"/>
          <w:sz w:val="32"/>
          <w:szCs w:val="32"/>
        </w:rPr>
      </w:pPr>
      <w:r>
        <w:rPr>
          <w:rFonts w:hint="eastAsia" w:ascii="仿宋" w:hAnsi="仿宋" w:eastAsia="仿宋" w:cs="宋体"/>
          <w:sz w:val="32"/>
          <w:szCs w:val="32"/>
        </w:rPr>
        <w:t>采购人：杭州市滨江区综合行政执法局</w:t>
      </w:r>
    </w:p>
    <w:p>
      <w:pPr>
        <w:spacing w:line="360" w:lineRule="auto"/>
        <w:jc w:val="center"/>
        <w:rPr>
          <w:rFonts w:ascii="仿宋" w:hAnsi="仿宋" w:eastAsia="仿宋" w:cs="宋体"/>
          <w:bCs/>
          <w:sz w:val="32"/>
          <w:szCs w:val="32"/>
        </w:rPr>
      </w:pPr>
      <w:r>
        <w:rPr>
          <w:rFonts w:hint="eastAsia" w:ascii="仿宋" w:hAnsi="仿宋" w:eastAsia="仿宋" w:cs="宋体"/>
          <w:bCs/>
          <w:sz w:val="32"/>
          <w:szCs w:val="32"/>
        </w:rPr>
        <w:t>采购代理机构：浙江科佳工程咨询有限公司</w:t>
      </w:r>
    </w:p>
    <w:p>
      <w:pPr>
        <w:snapToGrid w:val="0"/>
        <w:spacing w:line="360" w:lineRule="auto"/>
        <w:jc w:val="center"/>
        <w:rPr>
          <w:rFonts w:ascii="仿宋" w:hAnsi="仿宋" w:eastAsia="仿宋" w:cs="宋体"/>
          <w:bCs/>
          <w:sz w:val="32"/>
          <w:szCs w:val="32"/>
          <w:highlight w:val="none"/>
        </w:rPr>
      </w:pPr>
      <w:r>
        <w:rPr>
          <w:rFonts w:hint="eastAsia" w:ascii="仿宋" w:hAnsi="仿宋" w:eastAsia="仿宋" w:cs="宋体"/>
          <w:bCs/>
          <w:sz w:val="32"/>
          <w:szCs w:val="32"/>
          <w:highlight w:val="none"/>
        </w:rPr>
        <w:t>二〇二三年四月</w:t>
      </w:r>
      <w:r>
        <w:rPr>
          <w:rFonts w:hint="eastAsia" w:ascii="仿宋" w:hAnsi="仿宋" w:eastAsia="仿宋" w:cs="宋体"/>
          <w:bCs/>
          <w:sz w:val="32"/>
          <w:szCs w:val="32"/>
          <w:highlight w:val="none"/>
          <w:lang w:val="en-US" w:eastAsia="zh-CN"/>
        </w:rPr>
        <w:t>二十八</w:t>
      </w:r>
      <w:r>
        <w:rPr>
          <w:rFonts w:hint="eastAsia" w:ascii="仿宋" w:hAnsi="仿宋" w:eastAsia="仿宋" w:cs="宋体"/>
          <w:bCs/>
          <w:sz w:val="32"/>
          <w:szCs w:val="32"/>
          <w:highlight w:val="none"/>
        </w:rPr>
        <w:t>日</w:t>
      </w:r>
      <w:bookmarkStart w:id="0" w:name="_Hlt67893495"/>
      <w:bookmarkEnd w:id="0"/>
    </w:p>
    <w:p>
      <w:pPr>
        <w:spacing w:line="360" w:lineRule="auto"/>
        <w:jc w:val="center"/>
        <w:rPr>
          <w:rFonts w:ascii="仿宋" w:hAnsi="仿宋" w:eastAsia="仿宋" w:cs="宋体"/>
          <w:b/>
          <w:sz w:val="48"/>
          <w:szCs w:val="48"/>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adjustRightInd/>
        <w:spacing w:line="360" w:lineRule="auto"/>
        <w:rPr>
          <w:rFonts w:ascii="仿宋" w:hAnsi="仿宋" w:eastAsia="仿宋" w:cs="宋体"/>
          <w:b/>
          <w:sz w:val="44"/>
          <w:szCs w:val="44"/>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adjustRightInd/>
        <w:spacing w:line="440" w:lineRule="exact"/>
        <w:jc w:val="center"/>
        <w:outlineLvl w:val="0"/>
        <w:rPr>
          <w:rFonts w:ascii="仿宋" w:hAnsi="仿宋" w:eastAsia="仿宋" w:cs="宋体"/>
          <w:b/>
          <w:sz w:val="36"/>
          <w:szCs w:val="20"/>
        </w:rPr>
      </w:pPr>
      <w:bookmarkStart w:id="1" w:name="_Toc91899869"/>
      <w:r>
        <w:rPr>
          <w:rFonts w:hint="eastAsia" w:ascii="仿宋" w:hAnsi="仿宋" w:eastAsia="仿宋" w:cs="宋体"/>
          <w:b/>
          <w:sz w:val="36"/>
          <w:szCs w:val="36"/>
        </w:rPr>
        <w:br w:type="page"/>
      </w:r>
      <w:bookmarkEnd w:id="1"/>
      <w:bookmarkStart w:id="2" w:name="_Hlt74729822"/>
      <w:bookmarkEnd w:id="2"/>
      <w:bookmarkStart w:id="3" w:name="_Hlt74707423"/>
      <w:bookmarkEnd w:id="3"/>
      <w:bookmarkStart w:id="4" w:name="_Hlt74728647"/>
      <w:bookmarkEnd w:id="4"/>
      <w:bookmarkStart w:id="5" w:name="_Hlt74649545"/>
      <w:bookmarkEnd w:id="5"/>
      <w:bookmarkStart w:id="6" w:name="_Toc91899870"/>
      <w:bookmarkStart w:id="7"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 w:hAnsi="仿宋" w:eastAsia="仿宋" w:cs="宋体"/>
          <w:sz w:val="24"/>
          <w:u w:val="single"/>
        </w:rPr>
      </w:pPr>
      <w:r>
        <w:rPr>
          <w:rFonts w:hint="eastAsia" w:ascii="仿宋" w:hAnsi="仿宋" w:eastAsia="仿宋" w:cs="宋体"/>
          <w:sz w:val="24"/>
          <w:u w:val="single"/>
        </w:rPr>
        <w:t>2023-2024年滨江区市政道路管理养护监理项目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"https://www.zcygov.cn/）获取（下载）招标文件，并于2023年04月%20%20日%20%20点30分00秒" </w:instrText>
      </w:r>
      <w:r>
        <w:fldChar w:fldCharType="separate"/>
      </w:r>
      <w:r>
        <w:rPr>
          <w:rStyle w:val="77"/>
          <w:rFonts w:hint="eastAsia" w:ascii="仿宋" w:hAnsi="仿宋" w:eastAsia="仿宋" w:cs="宋体"/>
          <w:sz w:val="24"/>
        </w:rPr>
        <w:t>https://www.zcygov.cn/）获取（下载）招标文件，并于2023年0</w:t>
      </w:r>
      <w:r>
        <w:rPr>
          <w:rStyle w:val="77"/>
          <w:rFonts w:hint="eastAsia" w:ascii="仿宋" w:hAnsi="仿宋" w:eastAsia="仿宋" w:cs="宋体"/>
          <w:sz w:val="24"/>
          <w:lang w:val="en-US" w:eastAsia="zh-CN"/>
        </w:rPr>
        <w:t>5</w:t>
      </w:r>
      <w:r>
        <w:rPr>
          <w:rStyle w:val="77"/>
          <w:rFonts w:hint="eastAsia" w:ascii="仿宋" w:hAnsi="仿宋" w:eastAsia="仿宋" w:cs="宋体"/>
          <w:sz w:val="24"/>
        </w:rPr>
        <w:t>月</w:t>
      </w:r>
      <w:r>
        <w:rPr>
          <w:rStyle w:val="77"/>
          <w:rFonts w:hint="eastAsia" w:ascii="仿宋" w:hAnsi="仿宋" w:eastAsia="仿宋" w:cs="宋体"/>
          <w:sz w:val="24"/>
          <w:lang w:val="en-US" w:eastAsia="zh-CN"/>
        </w:rPr>
        <w:t>19</w:t>
      </w:r>
      <w:bookmarkStart w:id="405" w:name="_GoBack"/>
      <w:bookmarkEnd w:id="405"/>
      <w:r>
        <w:rPr>
          <w:rStyle w:val="77"/>
          <w:rFonts w:hint="eastAsia" w:ascii="仿宋" w:hAnsi="仿宋" w:eastAsia="仿宋" w:cs="宋体"/>
          <w:sz w:val="24"/>
        </w:rPr>
        <w:t>日</w:t>
      </w:r>
      <w:r>
        <w:rPr>
          <w:rStyle w:val="77"/>
          <w:rFonts w:hint="eastAsia" w:ascii="仿宋" w:hAnsi="仿宋" w:eastAsia="仿宋" w:cs="宋体"/>
          <w:sz w:val="24"/>
          <w:lang w:val="en-US" w:eastAsia="zh-CN"/>
        </w:rPr>
        <w:t>09</w:t>
      </w:r>
      <w:r>
        <w:rPr>
          <w:rStyle w:val="77"/>
          <w:rFonts w:hint="eastAsia" w:ascii="仿宋" w:hAnsi="仿宋" w:eastAsia="仿宋" w:cs="宋体"/>
          <w:sz w:val="24"/>
        </w:rPr>
        <w:t>点</w:t>
      </w:r>
      <w:r>
        <w:rPr>
          <w:rStyle w:val="77"/>
          <w:rFonts w:hint="eastAsia" w:ascii="仿宋" w:hAnsi="仿宋" w:eastAsia="仿宋" w:cs="宋体"/>
          <w:sz w:val="24"/>
          <w:lang w:val="en-US" w:eastAsia="zh-CN"/>
        </w:rPr>
        <w:t>0</w:t>
      </w:r>
      <w:r>
        <w:rPr>
          <w:rStyle w:val="77"/>
          <w:rFonts w:hint="eastAsia" w:ascii="仿宋" w:hAnsi="仿宋" w:eastAsia="仿宋" w:cs="宋体"/>
          <w:sz w:val="24"/>
        </w:rPr>
        <w:t>0分</w:t>
      </w:r>
      <w:r>
        <w:rPr>
          <w:rStyle w:val="77"/>
          <w:rFonts w:hint="eastAsia" w:ascii="仿宋" w:hAnsi="仿宋" w:eastAsia="仿宋" w:cs="宋体"/>
          <w:bCs/>
          <w:sz w:val="24"/>
        </w:rPr>
        <w:t>00秒</w:t>
      </w:r>
      <w:r>
        <w:rPr>
          <w:rStyle w:val="77"/>
          <w:rFonts w:hint="eastAsia" w:ascii="仿宋" w:hAnsi="仿宋" w:eastAsia="仿宋" w:cs="宋体"/>
          <w:bCs/>
          <w:sz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440" w:lineRule="exact"/>
        <w:rPr>
          <w:rFonts w:ascii="仿宋" w:hAnsi="仿宋" w:eastAsia="仿宋" w:cs="宋体"/>
          <w:b/>
          <w:sz w:val="24"/>
        </w:rPr>
      </w:pPr>
      <w:r>
        <w:rPr>
          <w:rFonts w:hint="eastAsia" w:ascii="仿宋" w:hAnsi="仿宋" w:eastAsia="仿宋" w:cs="宋体"/>
          <w:b/>
          <w:sz w:val="24"/>
        </w:rPr>
        <w:t>一、项目基本情况</w:t>
      </w:r>
    </w:p>
    <w:p>
      <w:pPr>
        <w:widowControl/>
        <w:snapToGrid w:val="0"/>
        <w:spacing w:line="440" w:lineRule="exact"/>
        <w:ind w:firstLine="480" w:firstLineChars="200"/>
        <w:jc w:val="left"/>
        <w:rPr>
          <w:rFonts w:hint="eastAsia" w:ascii="宋体" w:hAnsi="宋体" w:cs="宋体"/>
          <w:bCs/>
          <w:kern w:val="0"/>
          <w:sz w:val="24"/>
        </w:rPr>
      </w:pPr>
      <w:r>
        <w:rPr>
          <w:rFonts w:hint="eastAsia" w:ascii="宋体" w:hAnsi="宋体" w:cs="宋体"/>
          <w:bCs/>
          <w:kern w:val="0"/>
          <w:sz w:val="24"/>
        </w:rPr>
        <w:t>项目编号：ZJKJ-ZFJ2023-01</w:t>
      </w:r>
    </w:p>
    <w:p>
      <w:pPr>
        <w:widowControl/>
        <w:snapToGrid w:val="0"/>
        <w:spacing w:line="440" w:lineRule="exact"/>
        <w:ind w:firstLine="480" w:firstLineChars="200"/>
        <w:jc w:val="left"/>
        <w:rPr>
          <w:rFonts w:hint="eastAsia" w:ascii="宋体" w:hAnsi="宋体" w:cs="宋体"/>
          <w:bCs/>
          <w:kern w:val="0"/>
          <w:sz w:val="24"/>
        </w:rPr>
      </w:pPr>
      <w:r>
        <w:rPr>
          <w:rFonts w:hint="eastAsia" w:ascii="宋体" w:hAnsi="宋体" w:cs="宋体"/>
          <w:bCs/>
          <w:kern w:val="0"/>
          <w:sz w:val="24"/>
        </w:rPr>
        <w:t xml:space="preserve">项目名称：2023-2024年滨江区市政道路管理养护监理项目 </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标项一：</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标项名称：2023-2024年滨江区市政道路管理养护监理项目(标项一)</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预算金额（元）：99971</w:t>
      </w:r>
      <w:r>
        <w:rPr>
          <w:rFonts w:ascii="宋体" w:hAnsi="宋体" w:cs="宋体"/>
          <w:bCs/>
          <w:kern w:val="0"/>
          <w:sz w:val="24"/>
        </w:rPr>
        <w:t>5</w:t>
      </w:r>
      <w:r>
        <w:rPr>
          <w:rFonts w:hint="eastAsia" w:ascii="宋体" w:hAnsi="宋体" w:cs="宋体"/>
          <w:bCs/>
          <w:kern w:val="0"/>
          <w:sz w:val="24"/>
        </w:rPr>
        <w:t xml:space="preserve">.00 </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最高限价（元）：99971</w:t>
      </w:r>
      <w:r>
        <w:rPr>
          <w:rFonts w:ascii="宋体" w:hAnsi="宋体" w:cs="宋体"/>
          <w:bCs/>
          <w:kern w:val="0"/>
          <w:sz w:val="24"/>
        </w:rPr>
        <w:t>5</w:t>
      </w:r>
      <w:r>
        <w:rPr>
          <w:rFonts w:hint="eastAsia" w:ascii="宋体" w:hAnsi="宋体" w:cs="宋体"/>
          <w:bCs/>
          <w:kern w:val="0"/>
          <w:sz w:val="24"/>
        </w:rPr>
        <w:t xml:space="preserve">.00 </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标项二：</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标项名称：2023-2024年滨江区市政道路管理养护监理项目(标项二)</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预算金额（元）：16169</w:t>
      </w:r>
      <w:r>
        <w:rPr>
          <w:rFonts w:ascii="宋体" w:hAnsi="宋体" w:cs="宋体"/>
          <w:bCs/>
          <w:kern w:val="0"/>
          <w:sz w:val="24"/>
        </w:rPr>
        <w:t>96</w:t>
      </w:r>
      <w:r>
        <w:rPr>
          <w:rFonts w:hint="eastAsia" w:ascii="宋体" w:hAnsi="宋体" w:cs="宋体"/>
          <w:bCs/>
          <w:kern w:val="0"/>
          <w:sz w:val="24"/>
        </w:rPr>
        <w:t>.00</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最高限价（元）：16169</w:t>
      </w:r>
      <w:r>
        <w:rPr>
          <w:rFonts w:ascii="宋体" w:hAnsi="宋体" w:cs="宋体"/>
          <w:bCs/>
          <w:kern w:val="0"/>
          <w:sz w:val="24"/>
        </w:rPr>
        <w:t>96</w:t>
      </w:r>
      <w:r>
        <w:rPr>
          <w:rFonts w:hint="eastAsia" w:ascii="宋体" w:hAnsi="宋体" w:cs="宋体"/>
          <w:bCs/>
          <w:kern w:val="0"/>
          <w:sz w:val="24"/>
        </w:rPr>
        <w:t>.00</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标项三：</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标项名称：2023-2024年滨江区市政道路管理养护监理项目(标项三)</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预算金额（元）：148884</w:t>
      </w:r>
      <w:r>
        <w:rPr>
          <w:rFonts w:ascii="宋体" w:hAnsi="宋体" w:cs="宋体"/>
          <w:bCs/>
          <w:kern w:val="0"/>
          <w:sz w:val="24"/>
        </w:rPr>
        <w:t>8</w:t>
      </w:r>
      <w:r>
        <w:rPr>
          <w:rFonts w:hint="eastAsia" w:ascii="宋体" w:hAnsi="宋体" w:cs="宋体"/>
          <w:bCs/>
          <w:kern w:val="0"/>
          <w:sz w:val="24"/>
        </w:rPr>
        <w:t xml:space="preserve">.00 </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最高限价（元）：148884</w:t>
      </w:r>
      <w:r>
        <w:rPr>
          <w:rFonts w:ascii="宋体" w:hAnsi="宋体" w:cs="宋体"/>
          <w:bCs/>
          <w:kern w:val="0"/>
          <w:sz w:val="24"/>
        </w:rPr>
        <w:t>8</w:t>
      </w:r>
      <w:r>
        <w:rPr>
          <w:rFonts w:hint="eastAsia" w:ascii="宋体" w:hAnsi="宋体" w:cs="宋体"/>
          <w:bCs/>
          <w:kern w:val="0"/>
          <w:sz w:val="24"/>
        </w:rPr>
        <w:t xml:space="preserve">.00 </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标项四：</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标项名称：2023-2024年滨江区市政道路管理养护监理项目(标项四)</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数量：1</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预算金额（元）：10644</w:t>
      </w:r>
      <w:r>
        <w:rPr>
          <w:rFonts w:ascii="宋体" w:hAnsi="宋体" w:cs="宋体"/>
          <w:bCs/>
          <w:kern w:val="0"/>
          <w:sz w:val="24"/>
        </w:rPr>
        <w:t>41</w:t>
      </w:r>
      <w:r>
        <w:rPr>
          <w:rFonts w:hint="eastAsia" w:ascii="宋体" w:hAnsi="宋体" w:cs="宋体"/>
          <w:bCs/>
          <w:kern w:val="0"/>
          <w:sz w:val="24"/>
        </w:rPr>
        <w:t xml:space="preserve">.00 </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最高限价（元）：10644</w:t>
      </w:r>
      <w:r>
        <w:rPr>
          <w:rFonts w:ascii="宋体" w:hAnsi="宋体" w:cs="宋体"/>
          <w:bCs/>
          <w:kern w:val="0"/>
          <w:sz w:val="24"/>
        </w:rPr>
        <w:t>41</w:t>
      </w:r>
      <w:r>
        <w:rPr>
          <w:rFonts w:hint="eastAsia" w:ascii="宋体" w:hAnsi="宋体" w:cs="宋体"/>
          <w:bCs/>
          <w:kern w:val="0"/>
          <w:sz w:val="24"/>
        </w:rPr>
        <w:t xml:space="preserve">.00 </w:t>
      </w:r>
    </w:p>
    <w:p>
      <w:pPr>
        <w:spacing w:line="440" w:lineRule="exact"/>
        <w:ind w:firstLine="482" w:firstLineChars="200"/>
        <w:rPr>
          <w:rFonts w:ascii="仿宋" w:hAnsi="仿宋" w:eastAsia="仿宋"/>
          <w:sz w:val="24"/>
        </w:rPr>
      </w:pPr>
      <w:r>
        <w:rPr>
          <w:rFonts w:hint="eastAsia" w:ascii="仿宋" w:hAnsi="仿宋" w:eastAsia="仿宋" w:cs="宋体"/>
          <w:b/>
          <w:sz w:val="24"/>
        </w:rPr>
        <w:t>采购需求：</w:t>
      </w:r>
      <w:r>
        <w:rPr>
          <w:rFonts w:hint="eastAsia" w:ascii="仿宋" w:hAnsi="仿宋" w:eastAsia="仿宋" w:cs="宋体"/>
          <w:bCs/>
          <w:sz w:val="24"/>
        </w:rPr>
        <w:t>2023-2024年滨江区市政道路管理养护监理项目 主要内容：</w:t>
      </w:r>
      <w:r>
        <w:rPr>
          <w:rFonts w:hint="eastAsia" w:ascii="仿宋" w:hAnsi="仿宋" w:eastAsia="仿宋"/>
          <w:sz w:val="24"/>
        </w:rPr>
        <w:t>详见招标文件第三部分采购需求。</w:t>
      </w:r>
    </w:p>
    <w:p>
      <w:pPr>
        <w:pStyle w:val="159"/>
        <w:spacing w:line="440" w:lineRule="exact"/>
        <w:ind w:firstLine="482"/>
        <w:outlineLvl w:val="2"/>
        <w:rPr>
          <w:rFonts w:ascii="仿宋" w:hAnsi="仿宋" w:eastAsia="仿宋" w:cs="宋体"/>
        </w:rPr>
      </w:pPr>
      <w:r>
        <w:rPr>
          <w:rFonts w:hint="eastAsia" w:ascii="仿宋" w:hAnsi="仿宋" w:eastAsia="仿宋" w:cs="宋体"/>
          <w:b/>
        </w:rPr>
        <w:t>合同履约期限：本项目服务期限为202</w:t>
      </w:r>
      <w:r>
        <w:rPr>
          <w:rFonts w:ascii="仿宋" w:hAnsi="仿宋" w:eastAsia="仿宋" w:cs="宋体"/>
          <w:b/>
        </w:rPr>
        <w:t>3</w:t>
      </w:r>
      <w:r>
        <w:rPr>
          <w:rFonts w:hint="eastAsia" w:ascii="仿宋" w:hAnsi="仿宋" w:eastAsia="仿宋" w:cs="宋体"/>
          <w:b/>
        </w:rPr>
        <w:t>年</w:t>
      </w:r>
      <w:r>
        <w:rPr>
          <w:rFonts w:ascii="仿宋" w:hAnsi="仿宋" w:eastAsia="仿宋" w:cs="宋体"/>
          <w:b/>
        </w:rPr>
        <w:t>6</w:t>
      </w:r>
      <w:r>
        <w:rPr>
          <w:rFonts w:hint="eastAsia" w:ascii="仿宋" w:hAnsi="仿宋" w:eastAsia="仿宋" w:cs="宋体"/>
          <w:b/>
        </w:rPr>
        <w:t>月</w:t>
      </w:r>
      <w:r>
        <w:rPr>
          <w:rFonts w:ascii="仿宋" w:hAnsi="仿宋" w:eastAsia="仿宋" w:cs="宋体"/>
          <w:b/>
        </w:rPr>
        <w:t>1</w:t>
      </w:r>
      <w:r>
        <w:rPr>
          <w:rFonts w:hint="eastAsia" w:ascii="仿宋" w:hAnsi="仿宋" w:eastAsia="仿宋" w:cs="宋体"/>
          <w:b/>
        </w:rPr>
        <w:t>日起至202</w:t>
      </w:r>
      <w:r>
        <w:rPr>
          <w:rFonts w:ascii="仿宋" w:hAnsi="仿宋" w:eastAsia="仿宋" w:cs="宋体"/>
          <w:b/>
        </w:rPr>
        <w:t>4</w:t>
      </w:r>
      <w:r>
        <w:rPr>
          <w:rFonts w:hint="eastAsia" w:ascii="仿宋" w:hAnsi="仿宋" w:eastAsia="仿宋" w:cs="宋体"/>
          <w:b/>
        </w:rPr>
        <w:t>年12月31日。具体详见采购需求。</w:t>
      </w:r>
    </w:p>
    <w:p>
      <w:pPr>
        <w:pStyle w:val="8"/>
        <w:spacing w:line="440" w:lineRule="exact"/>
        <w:ind w:firstLine="480"/>
        <w:rPr>
          <w:rFonts w:ascii="仿宋" w:hAnsi="仿宋" w:eastAsia="仿宋" w:cs="宋体"/>
          <w:b/>
          <w:color w:val="auto"/>
        </w:rPr>
      </w:pPr>
      <w:r>
        <w:rPr>
          <w:rFonts w:hint="eastAsia" w:ascii="仿宋" w:hAnsi="仿宋" w:eastAsia="仿宋" w:cs="宋体"/>
          <w:b/>
          <w:color w:val="auto"/>
          <w:sz w:val="24"/>
        </w:rPr>
        <w:t>本项目接受联合体投标：</w:t>
      </w:r>
      <w:sdt>
        <w:sdtPr>
          <w:rPr>
            <w:rFonts w:ascii="仿宋" w:hAnsi="仿宋" w:eastAsia="仿宋" w:cs="宋体"/>
            <w:color w:val="auto"/>
            <w:kern w:val="0"/>
            <w:sz w:val="24"/>
          </w:rPr>
          <w:id w:val="-441836950"/>
          <w14:checkbox>
            <w14:checked w14:val="1"/>
            <w14:checkedState w14:val="00FE" w14:font="Wingdings"/>
            <w14:uncheckedState w14:val="2610" w14:font="MS Gothic"/>
          </w14:checkbox>
        </w:sdtPr>
        <w:sdtEndPr>
          <w:rPr>
            <w:rFonts w:ascii="仿宋" w:hAnsi="仿宋" w:eastAsia="仿宋" w:cs="宋体"/>
            <w:color w:val="auto"/>
            <w:kern w:val="0"/>
            <w:sz w:val="24"/>
          </w:rPr>
        </w:sdtEndPr>
        <w:sdtContent>
          <w:r>
            <w:rPr>
              <w:rFonts w:ascii="仿宋" w:hAnsi="仿宋" w:eastAsia="仿宋" w:cs="宋体"/>
              <w:color w:val="auto"/>
              <w:kern w:val="0"/>
              <w:sz w:val="24"/>
            </w:rPr>
            <w:sym w:font="Wingdings" w:char="F0FE"/>
          </w:r>
        </w:sdtContent>
      </w:sdt>
      <w:r>
        <w:rPr>
          <w:rFonts w:hint="eastAsia" w:ascii="仿宋" w:hAnsi="仿宋" w:eastAsia="仿宋" w:cs="宋体"/>
          <w:b/>
          <w:color w:val="auto"/>
          <w:sz w:val="24"/>
        </w:rPr>
        <w:t>是；</w:t>
      </w:r>
      <w:sdt>
        <w:sdtPr>
          <w:rPr>
            <w:rFonts w:ascii="仿宋" w:hAnsi="仿宋" w:eastAsia="仿宋" w:cs="宋体"/>
            <w:color w:val="auto"/>
            <w:kern w:val="0"/>
            <w:sz w:val="24"/>
          </w:rPr>
          <w:id w:val="-1591624199"/>
          <w14:checkbox>
            <w14:checked w14:val="0"/>
            <w14:checkedState w14:val="00FE" w14:font="Wingdings"/>
            <w14:uncheckedState w14:val="2610" w14:font="MS Gothic"/>
          </w14:checkbox>
        </w:sdtPr>
        <w:sdtEndPr>
          <w:rPr>
            <w:rFonts w:ascii="仿宋" w:hAnsi="仿宋" w:eastAsia="仿宋" w:cs="宋体"/>
            <w:color w:val="auto"/>
            <w:kern w:val="0"/>
            <w:sz w:val="24"/>
          </w:rPr>
        </w:sdtEndPr>
        <w:sdtContent>
          <w:r>
            <w:rPr>
              <w:rFonts w:hint="eastAsia" w:ascii="MS Gothic" w:hAnsi="MS Gothic" w:eastAsia="MS Gothic" w:cs="宋体"/>
              <w:color w:val="auto"/>
              <w:kern w:val="0"/>
              <w:sz w:val="24"/>
            </w:rPr>
            <w:t>☐</w:t>
          </w:r>
        </w:sdtContent>
      </w:sdt>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440" w:lineRule="exact"/>
        <w:rPr>
          <w:rFonts w:ascii="仿宋" w:hAnsi="仿宋" w:eastAsia="仿宋" w:cs="宋体"/>
          <w:b/>
          <w:sz w:val="24"/>
        </w:rPr>
      </w:pPr>
      <w:r>
        <w:rPr>
          <w:rFonts w:hint="eastAsia" w:ascii="仿宋" w:hAnsi="仿宋" w:eastAsia="仿宋" w:cs="宋体"/>
          <w:b/>
          <w:sz w:val="24"/>
        </w:rPr>
        <w:t>二、申请人的资格要求：</w:t>
      </w:r>
    </w:p>
    <w:p>
      <w:pPr>
        <w:spacing w:line="440" w:lineRule="exact"/>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rPr>
          <w:rFonts w:ascii="仿宋" w:hAnsi="仿宋" w:eastAsia="仿宋" w:cs="宋体"/>
          <w:snapToGrid w:val="0"/>
          <w:kern w:val="28"/>
          <w:sz w:val="24"/>
          <w:szCs w:val="20"/>
        </w:rPr>
      </w:pPr>
      <w:r>
        <w:rPr>
          <w:rFonts w:hint="eastAsia" w:ascii="仿宋" w:hAnsi="仿宋" w:eastAsia="仿宋" w:cs="宋体"/>
          <w:snapToGrid w:val="0"/>
          <w:kern w:val="28"/>
          <w:sz w:val="24"/>
          <w:szCs w:val="20"/>
        </w:rPr>
        <w:t xml:space="preserve">    </w:t>
      </w: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440" w:lineRule="exact"/>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440" w:lineRule="exact"/>
        <w:ind w:firstLine="480" w:firstLineChars="200"/>
        <w:rPr>
          <w:rFonts w:ascii="仿宋" w:hAnsi="仿宋" w:eastAsia="仿宋" w:cs="宋体"/>
          <w:sz w:val="24"/>
        </w:rPr>
      </w:pPr>
      <w:sdt>
        <w:sdtPr>
          <w:rPr>
            <w:rFonts w:hint="eastAsia" w:ascii="仿宋" w:hAnsi="仿宋" w:eastAsia="仿宋" w:cs="宋体"/>
            <w:kern w:val="0"/>
            <w:sz w:val="24"/>
          </w:rPr>
          <w:id w:val="1928616923"/>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MS Gothic" w:hAnsi="MS Gothic" w:eastAsia="MS Gothic" w:cs="宋体"/>
              <w:kern w:val="0"/>
              <w:sz w:val="24"/>
            </w:rPr>
            <w:t>☐</w:t>
          </w:r>
        </w:sdtContent>
      </w:sdt>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440" w:lineRule="exact"/>
        <w:ind w:firstLine="480" w:firstLineChars="200"/>
        <w:rPr>
          <w:rFonts w:ascii="仿宋" w:hAnsi="仿宋" w:eastAsia="仿宋" w:cs="宋体"/>
          <w:sz w:val="24"/>
        </w:rPr>
      </w:pPr>
      <w:sdt>
        <w:sdtPr>
          <w:rPr>
            <w:rFonts w:hint="eastAsia" w:ascii="仿宋" w:hAnsi="仿宋" w:eastAsia="仿宋" w:cs="宋体"/>
            <w:kern w:val="0"/>
            <w:sz w:val="24"/>
          </w:rPr>
          <w:id w:val="-1024704304"/>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专</w:t>
      </w:r>
      <w:r>
        <w:rPr>
          <w:rFonts w:hint="eastAsia" w:ascii="仿宋" w:hAnsi="仿宋" w:eastAsia="仿宋" w:cs="宋体"/>
          <w:sz w:val="24"/>
        </w:rPr>
        <w:t>门面向中小企业</w:t>
      </w:r>
    </w:p>
    <w:p>
      <w:pPr>
        <w:spacing w:line="440" w:lineRule="exact"/>
        <w:ind w:firstLine="897" w:firstLineChars="374"/>
        <w:rPr>
          <w:rFonts w:ascii="仿宋" w:hAnsi="仿宋" w:eastAsia="仿宋" w:cs="宋体"/>
          <w:sz w:val="24"/>
        </w:rPr>
      </w:pPr>
      <w:sdt>
        <w:sdtPr>
          <w:rPr>
            <w:rFonts w:hint="eastAsia" w:ascii="仿宋" w:hAnsi="仿宋" w:eastAsia="仿宋" w:cs="宋体"/>
            <w:kern w:val="0"/>
            <w:sz w:val="24"/>
          </w:rPr>
          <w:id w:val="-333685401"/>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服务全部由符合政策要求的中小企业承接，提供中小企业声明函；</w:t>
      </w:r>
    </w:p>
    <w:p>
      <w:pPr>
        <w:spacing w:line="440" w:lineRule="exact"/>
        <w:ind w:firstLine="897" w:firstLineChars="374"/>
        <w:rPr>
          <w:rFonts w:ascii="仿宋" w:hAnsi="仿宋" w:eastAsia="仿宋" w:cs="宋体"/>
          <w:sz w:val="24"/>
        </w:rPr>
      </w:pPr>
      <w:sdt>
        <w:sdtPr>
          <w:rPr>
            <w:rFonts w:hint="eastAsia" w:ascii="仿宋" w:hAnsi="仿宋" w:eastAsia="仿宋" w:cs="宋体"/>
            <w:kern w:val="0"/>
            <w:sz w:val="24"/>
          </w:rPr>
          <w:id w:val="-2141025358"/>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服务全部由符合政策要求的小微企业承接，提供中小企业声明函；</w:t>
      </w:r>
    </w:p>
    <w:p>
      <w:pPr>
        <w:spacing w:line="440" w:lineRule="exact"/>
        <w:ind w:firstLine="480" w:firstLineChars="200"/>
        <w:rPr>
          <w:rFonts w:ascii="仿宋" w:hAnsi="仿宋" w:eastAsia="仿宋" w:cs="宋体"/>
          <w:sz w:val="24"/>
        </w:rPr>
      </w:pPr>
      <w:sdt>
        <w:sdtPr>
          <w:rPr>
            <w:rFonts w:hint="eastAsia" w:ascii="仿宋" w:hAnsi="仿宋" w:eastAsia="仿宋" w:cs="宋体"/>
            <w:kern w:val="0"/>
            <w:sz w:val="24"/>
          </w:rPr>
          <w:id w:val="-198560779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要求以联合体形式参加，提供联合协议和中小企业声明函，联合协议中中小企业合同金额应当达到</w:t>
      </w:r>
      <w:r>
        <w:rPr>
          <w:rFonts w:hint="eastAsia" w:ascii="仿宋" w:hAnsi="仿宋" w:eastAsia="仿宋" w:cs="宋体"/>
          <w:sz w:val="24"/>
          <w:u w:val="single"/>
        </w:rPr>
        <w:t xml:space="preserve">  </w:t>
      </w:r>
      <w:r>
        <w:rPr>
          <w:rFonts w:hint="eastAsia" w:ascii="仿宋" w:hAnsi="仿宋" w:eastAsia="仿宋" w:cs="宋体"/>
          <w:sz w:val="24"/>
        </w:rPr>
        <w:t>%，小微企业合同金额应当达到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pPr>
        <w:spacing w:line="440" w:lineRule="exact"/>
        <w:ind w:firstLine="480" w:firstLineChars="200"/>
        <w:rPr>
          <w:rFonts w:ascii="仿宋" w:hAnsi="仿宋" w:eastAsia="仿宋" w:cs="宋体"/>
          <w:sz w:val="24"/>
        </w:rPr>
      </w:pPr>
      <w:sdt>
        <w:sdtPr>
          <w:rPr>
            <w:rFonts w:hint="eastAsia" w:ascii="仿宋" w:hAnsi="仿宋" w:eastAsia="仿宋" w:cs="宋体"/>
            <w:kern w:val="0"/>
            <w:sz w:val="24"/>
          </w:rPr>
          <w:id w:val="3463064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w:t>
      </w:r>
      <w:r>
        <w:rPr>
          <w:rFonts w:hint="eastAsia" w:ascii="仿宋" w:hAnsi="仿宋" w:eastAsia="仿宋" w:cs="宋体"/>
          <w:sz w:val="24"/>
          <w:u w:val="single"/>
        </w:rPr>
        <w:t xml:space="preserve">  </w:t>
      </w:r>
      <w:r>
        <w:rPr>
          <w:rFonts w:hint="eastAsia" w:ascii="仿宋" w:hAnsi="仿宋" w:eastAsia="仿宋" w:cs="宋体"/>
          <w:sz w:val="24"/>
        </w:rPr>
        <w:t>% ，小微企业合同金额应当达到</w:t>
      </w:r>
      <w:r>
        <w:rPr>
          <w:rFonts w:hint="eastAsia" w:ascii="仿宋" w:hAnsi="仿宋" w:eastAsia="仿宋" w:cs="宋体"/>
          <w:sz w:val="24"/>
          <w:u w:val="single"/>
        </w:rPr>
        <w:t xml:space="preserve"> </w:t>
      </w:r>
      <w:r>
        <w:rPr>
          <w:rFonts w:hint="eastAsia" w:ascii="仿宋" w:hAnsi="仿宋" w:eastAsia="仿宋" w:cs="宋体"/>
          <w:sz w:val="24"/>
        </w:rPr>
        <w:t>%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widowControl/>
        <w:jc w:val="left"/>
        <w:rPr>
          <w:rFonts w:ascii="仿宋" w:hAnsi="仿宋" w:eastAsia="仿宋" w:cs="宋体"/>
          <w:sz w:val="24"/>
        </w:rPr>
      </w:pPr>
      <w:r>
        <w:rPr>
          <w:rFonts w:hint="eastAsia" w:ascii="仿宋" w:hAnsi="仿宋" w:eastAsia="仿宋" w:cs="宋体"/>
          <w:sz w:val="24"/>
        </w:rPr>
        <w:t xml:space="preserve">    </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b/>
          <w:sz w:val="24"/>
        </w:rPr>
        <w:t>具备市政公用工程监理乙级以上资质或监理综合资质，浙江省外企业须提供省外企业进浙承接业务备案证明。拟派总监理工程师具有国家注册监理工程师注册执业资格。</w:t>
      </w:r>
    </w:p>
    <w:p>
      <w:pPr>
        <w:snapToGrid w:val="0"/>
        <w:spacing w:line="440" w:lineRule="exact"/>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ascii="仿宋" w:hAnsi="仿宋" w:eastAsia="仿宋" w:cs="宋体"/>
          <w:b/>
          <w:sz w:val="24"/>
        </w:rPr>
      </w:pPr>
      <w:r>
        <w:rPr>
          <w:rFonts w:hint="eastAsia" w:ascii="仿宋" w:hAnsi="仿宋" w:eastAsia="仿宋" w:cs="宋体"/>
          <w:b/>
          <w:sz w:val="24"/>
        </w:rPr>
        <w:t xml:space="preserve">三、获取招标文件 </w:t>
      </w:r>
    </w:p>
    <w:p>
      <w:pPr>
        <w:spacing w:line="440" w:lineRule="exact"/>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w:t>
      </w:r>
      <w:r>
        <w:rPr>
          <w:rFonts w:ascii="仿宋" w:hAnsi="仿宋" w:eastAsia="仿宋" w:cs="宋体"/>
          <w:sz w:val="24"/>
          <w:u w:val="single"/>
        </w:rPr>
        <w:t>3</w:t>
      </w:r>
      <w:r>
        <w:rPr>
          <w:rFonts w:hint="eastAsia" w:ascii="仿宋" w:hAnsi="仿宋" w:eastAsia="仿宋" w:cs="宋体"/>
          <w:sz w:val="24"/>
          <w:u w:val="single"/>
        </w:rPr>
        <w:t>年</w:t>
      </w:r>
      <w:r>
        <w:rPr>
          <w:rFonts w:hint="eastAsia" w:ascii="仿宋" w:hAnsi="仿宋" w:eastAsia="仿宋" w:cs="宋体"/>
          <w:sz w:val="24"/>
          <w:u w:val="single"/>
          <w:lang w:val="en-US" w:eastAsia="zh-CN"/>
        </w:rPr>
        <w:t>5</w:t>
      </w:r>
      <w:r>
        <w:rPr>
          <w:rFonts w:hint="eastAsia" w:ascii="仿宋" w:hAnsi="仿宋" w:eastAsia="仿宋" w:cs="宋体"/>
          <w:sz w:val="24"/>
          <w:u w:val="single"/>
        </w:rPr>
        <w:t>月</w:t>
      </w:r>
      <w:r>
        <w:rPr>
          <w:rFonts w:hint="eastAsia" w:ascii="仿宋" w:hAnsi="仿宋" w:eastAsia="仿宋" w:cs="宋体"/>
          <w:sz w:val="24"/>
          <w:u w:val="single"/>
          <w:lang w:val="en-US" w:eastAsia="zh-CN"/>
        </w:rPr>
        <w:t>19</w:t>
      </w:r>
      <w:r>
        <w:rPr>
          <w:rFonts w:hint="eastAsia" w:ascii="仿宋" w:hAnsi="仿宋" w:eastAsia="仿宋" w:cs="宋体"/>
          <w:sz w:val="24"/>
          <w:u w:val="single"/>
        </w:rPr>
        <w:t>日</w:t>
      </w:r>
      <w:r>
        <w:rPr>
          <w:rFonts w:hint="eastAsia" w:ascii="仿宋" w:hAnsi="仿宋" w:eastAsia="仿宋" w:cs="宋体"/>
          <w:sz w:val="24"/>
        </w:rPr>
        <w:t>，每天上午00:00至12:00，下午12:00至23:59（北京时间，线上获取法定节假日均可，线下获取文件法定节假日除外）</w:t>
      </w:r>
    </w:p>
    <w:p>
      <w:pPr>
        <w:spacing w:line="440" w:lineRule="exact"/>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政采云平台（https://www.zcygov.cn/）</w:t>
      </w:r>
    </w:p>
    <w:p>
      <w:pPr>
        <w:spacing w:line="440" w:lineRule="exact"/>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供应商登录政采云平台https://www.zcygov.cn/在线申请获取采购文件（进入“项目采购”应用，在获取采购文件菜单中选择项目，申请获取采购文件）。</w:t>
      </w:r>
    </w:p>
    <w:p>
      <w:pPr>
        <w:spacing w:line="440" w:lineRule="exact"/>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p>
    <w:p>
      <w:pPr>
        <w:spacing w:line="440" w:lineRule="exact"/>
        <w:rPr>
          <w:rFonts w:ascii="仿宋" w:hAnsi="仿宋" w:eastAsia="仿宋" w:cs="宋体"/>
          <w:b/>
          <w:sz w:val="24"/>
        </w:rPr>
      </w:pPr>
      <w:r>
        <w:rPr>
          <w:rFonts w:hint="eastAsia" w:ascii="仿宋" w:hAnsi="仿宋" w:eastAsia="仿宋" w:cs="宋体"/>
          <w:b/>
          <w:sz w:val="24"/>
        </w:rPr>
        <w:t>四、提交投标文件截止时间、开标时间和地点</w:t>
      </w:r>
    </w:p>
    <w:p>
      <w:pPr>
        <w:spacing w:line="440" w:lineRule="exact"/>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202</w:t>
      </w:r>
      <w:r>
        <w:rPr>
          <w:rFonts w:ascii="仿宋" w:hAnsi="仿宋" w:eastAsia="仿宋" w:cs="宋体"/>
          <w:sz w:val="24"/>
          <w:u w:val="single"/>
        </w:rPr>
        <w:t>3</w:t>
      </w:r>
      <w:r>
        <w:rPr>
          <w:rFonts w:hint="eastAsia" w:ascii="仿宋" w:hAnsi="仿宋" w:eastAsia="仿宋" w:cs="宋体"/>
          <w:sz w:val="24"/>
          <w:u w:val="single"/>
        </w:rPr>
        <w:t>年</w:t>
      </w:r>
      <w:r>
        <w:rPr>
          <w:rFonts w:hint="eastAsia" w:ascii="仿宋" w:hAnsi="仿宋" w:eastAsia="仿宋" w:cs="宋体"/>
          <w:sz w:val="24"/>
          <w:u w:val="single"/>
          <w:lang w:val="en-US" w:eastAsia="zh-CN"/>
        </w:rPr>
        <w:t>5</w:t>
      </w:r>
      <w:r>
        <w:rPr>
          <w:rFonts w:hint="eastAsia" w:ascii="仿宋" w:hAnsi="仿宋" w:eastAsia="仿宋" w:cs="宋体"/>
          <w:sz w:val="24"/>
          <w:u w:val="single"/>
        </w:rPr>
        <w:t>月</w:t>
      </w:r>
      <w:r>
        <w:rPr>
          <w:rFonts w:hint="eastAsia" w:ascii="仿宋" w:hAnsi="仿宋" w:eastAsia="仿宋" w:cs="宋体"/>
          <w:sz w:val="24"/>
          <w:u w:val="single"/>
          <w:lang w:val="en-US" w:eastAsia="zh-CN"/>
        </w:rPr>
        <w:t>19</w:t>
      </w:r>
      <w:r>
        <w:rPr>
          <w:rFonts w:hint="eastAsia" w:ascii="仿宋" w:hAnsi="仿宋" w:eastAsia="仿宋" w:cs="宋体"/>
          <w:sz w:val="24"/>
          <w:u w:val="single"/>
        </w:rPr>
        <w:t>日</w:t>
      </w:r>
      <w:r>
        <w:rPr>
          <w:rFonts w:hint="eastAsia" w:ascii="仿宋" w:hAnsi="仿宋" w:eastAsia="仿宋" w:cs="宋体"/>
          <w:sz w:val="24"/>
          <w:u w:val="single"/>
          <w:lang w:val="en-US" w:eastAsia="zh-CN"/>
        </w:rPr>
        <w:t>09</w:t>
      </w:r>
      <w:r>
        <w:rPr>
          <w:rFonts w:hint="eastAsia" w:ascii="仿宋" w:hAnsi="仿宋" w:eastAsia="仿宋" w:cs="宋体"/>
          <w:sz w:val="24"/>
          <w:u w:val="single"/>
        </w:rPr>
        <w:t>点</w:t>
      </w:r>
      <w:r>
        <w:rPr>
          <w:rFonts w:hint="eastAsia" w:ascii="仿宋" w:hAnsi="仿宋" w:eastAsia="仿宋" w:cs="宋体"/>
          <w:sz w:val="24"/>
          <w:u w:val="single"/>
          <w:lang w:val="en-US" w:eastAsia="zh-CN"/>
        </w:rPr>
        <w:t>0</w:t>
      </w:r>
      <w:r>
        <w:rPr>
          <w:rFonts w:hint="eastAsia" w:ascii="仿宋" w:hAnsi="仿宋" w:eastAsia="仿宋" w:cs="宋体"/>
          <w:sz w:val="24"/>
          <w:u w:val="single"/>
        </w:rPr>
        <w:t>0分00秒</w:t>
      </w:r>
      <w:r>
        <w:rPr>
          <w:rFonts w:hint="eastAsia" w:ascii="仿宋" w:hAnsi="仿宋" w:eastAsia="仿宋" w:cs="宋体"/>
          <w:bCs/>
          <w:sz w:val="24"/>
          <w:u w:val="single"/>
        </w:rPr>
        <w:t xml:space="preserve"> </w:t>
      </w:r>
      <w:r>
        <w:rPr>
          <w:rFonts w:hint="eastAsia" w:ascii="仿宋" w:hAnsi="仿宋" w:eastAsia="仿宋" w:cs="宋体"/>
          <w:sz w:val="24"/>
        </w:rPr>
        <w:t>（北京时间）</w:t>
      </w:r>
    </w:p>
    <w:p>
      <w:pPr>
        <w:spacing w:line="440" w:lineRule="exact"/>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政采云平台（https://www.zcygov.cn/）</w:t>
      </w:r>
    </w:p>
    <w:p>
      <w:pPr>
        <w:spacing w:line="440" w:lineRule="exact"/>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w:t>
      </w:r>
      <w:r>
        <w:rPr>
          <w:rFonts w:ascii="仿宋" w:hAnsi="仿宋" w:eastAsia="仿宋" w:cs="宋体"/>
          <w:sz w:val="24"/>
          <w:u w:val="single"/>
        </w:rPr>
        <w:t>3</w:t>
      </w:r>
      <w:r>
        <w:rPr>
          <w:rFonts w:hint="eastAsia" w:ascii="仿宋" w:hAnsi="仿宋" w:eastAsia="仿宋" w:cs="宋体"/>
          <w:sz w:val="24"/>
          <w:u w:val="single"/>
        </w:rPr>
        <w:t>年</w:t>
      </w:r>
      <w:r>
        <w:rPr>
          <w:rFonts w:hint="eastAsia" w:ascii="仿宋" w:hAnsi="仿宋" w:eastAsia="仿宋" w:cs="宋体"/>
          <w:sz w:val="24"/>
          <w:u w:val="single"/>
          <w:lang w:val="en-US" w:eastAsia="zh-CN"/>
        </w:rPr>
        <w:t>5</w:t>
      </w:r>
      <w:r>
        <w:rPr>
          <w:rFonts w:hint="eastAsia" w:ascii="仿宋" w:hAnsi="仿宋" w:eastAsia="仿宋" w:cs="宋体"/>
          <w:sz w:val="24"/>
          <w:u w:val="single"/>
        </w:rPr>
        <w:t>月</w:t>
      </w:r>
      <w:r>
        <w:rPr>
          <w:rFonts w:hint="eastAsia" w:ascii="仿宋" w:hAnsi="仿宋" w:eastAsia="仿宋" w:cs="宋体"/>
          <w:sz w:val="24"/>
          <w:u w:val="single"/>
          <w:lang w:val="en-US" w:eastAsia="zh-CN"/>
        </w:rPr>
        <w:t>19</w:t>
      </w:r>
      <w:r>
        <w:rPr>
          <w:rFonts w:hint="eastAsia" w:ascii="仿宋" w:hAnsi="仿宋" w:eastAsia="仿宋" w:cs="宋体"/>
          <w:sz w:val="24"/>
          <w:u w:val="single"/>
        </w:rPr>
        <w:t>日</w:t>
      </w:r>
      <w:r>
        <w:rPr>
          <w:rFonts w:hint="eastAsia" w:ascii="仿宋" w:hAnsi="仿宋" w:eastAsia="仿宋" w:cs="宋体"/>
          <w:sz w:val="24"/>
          <w:u w:val="single"/>
          <w:lang w:val="en-US" w:eastAsia="zh-CN"/>
        </w:rPr>
        <w:t>09</w:t>
      </w:r>
      <w:r>
        <w:rPr>
          <w:rFonts w:hint="eastAsia" w:ascii="仿宋" w:hAnsi="仿宋" w:eastAsia="仿宋" w:cs="宋体"/>
          <w:sz w:val="24"/>
          <w:u w:val="single"/>
        </w:rPr>
        <w:t>点</w:t>
      </w:r>
      <w:r>
        <w:rPr>
          <w:rFonts w:hint="eastAsia" w:ascii="仿宋" w:hAnsi="仿宋" w:eastAsia="仿宋" w:cs="宋体"/>
          <w:sz w:val="24"/>
          <w:u w:val="single"/>
          <w:lang w:val="en-US" w:eastAsia="zh-CN"/>
        </w:rPr>
        <w:t>0</w:t>
      </w:r>
      <w:r>
        <w:rPr>
          <w:rFonts w:hint="eastAsia" w:ascii="仿宋" w:hAnsi="仿宋" w:eastAsia="仿宋" w:cs="宋体"/>
          <w:sz w:val="24"/>
          <w:u w:val="single"/>
        </w:rPr>
        <w:t>0分00秒</w:t>
      </w:r>
      <w:r>
        <w:rPr>
          <w:rFonts w:hint="eastAsia" w:ascii="仿宋" w:hAnsi="仿宋" w:eastAsia="仿宋" w:cs="宋体"/>
          <w:bCs/>
          <w:sz w:val="24"/>
          <w:u w:val="single"/>
        </w:rPr>
        <w:t xml:space="preserve"> </w:t>
      </w:r>
    </w:p>
    <w:p>
      <w:pPr>
        <w:spacing w:line="440" w:lineRule="exact"/>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w:t>
      </w:r>
      <w:r>
        <w:rPr>
          <w:rFonts w:hint="eastAsia" w:ascii="宋体" w:hAnsi="宋体" w:cs="宋体"/>
          <w:bCs/>
          <w:kern w:val="0"/>
          <w:sz w:val="24"/>
        </w:rPr>
        <w:t>（http://zfcg.czt.zj.gov.cn）</w:t>
      </w:r>
      <w:r>
        <w:rPr>
          <w:rFonts w:hint="eastAsia" w:ascii="仿宋" w:hAnsi="仿宋" w:eastAsia="仿宋" w:cs="宋体"/>
          <w:sz w:val="24"/>
        </w:rPr>
        <w:t>。</w:t>
      </w:r>
    </w:p>
    <w:p>
      <w:pPr>
        <w:spacing w:line="440" w:lineRule="exact"/>
        <w:rPr>
          <w:rFonts w:ascii="仿宋" w:hAnsi="仿宋" w:eastAsia="仿宋" w:cs="宋体"/>
          <w:b/>
          <w:sz w:val="24"/>
        </w:rPr>
      </w:pPr>
      <w:r>
        <w:rPr>
          <w:rFonts w:hint="eastAsia" w:ascii="仿宋" w:hAnsi="仿宋" w:eastAsia="仿宋" w:cs="宋体"/>
          <w:b/>
          <w:sz w:val="24"/>
        </w:rPr>
        <w:t>五、采购意向公开链接</w:t>
      </w:r>
    </w:p>
    <w:p>
      <w:pPr>
        <w:spacing w:line="440" w:lineRule="exact"/>
      </w:pPr>
      <w:r>
        <w:fldChar w:fldCharType="begin"/>
      </w:r>
      <w:r>
        <w:instrText xml:space="preserve"> HYPERLINK "https://zfcg.czt.zj.gov.cn/innerUsed_noticeDetails/index.html?noticeId=9296814&amp;utm=app-announcement-front.6417dae7.0.0.69624a20bee911eda4f179f980050213" </w:instrText>
      </w:r>
      <w:r>
        <w:fldChar w:fldCharType="separate"/>
      </w:r>
      <w:r>
        <w:rPr>
          <w:rStyle w:val="77"/>
          <w:rFonts w:ascii="Times New Roman" w:hAnsi="Times New Roman" w:eastAsia="宋体" w:cs="Times New Roman"/>
          <w:kern w:val="2"/>
          <w:sz w:val="21"/>
          <w:szCs w:val="24"/>
        </w:rPr>
        <w:t>https://zfcg.czt.zj.gov.cn/innerUsed_noticeDetails/index.html?noticeId=9296814&amp;utm=app-announcement-front.6417dae7.0.0.69624a20bee911eda4f179f980050213</w:t>
      </w:r>
      <w:r>
        <w:rPr>
          <w:rStyle w:val="77"/>
          <w:rFonts w:ascii="Times New Roman" w:hAnsi="Times New Roman" w:eastAsia="宋体" w:cs="Times New Roman"/>
          <w:kern w:val="2"/>
          <w:sz w:val="21"/>
          <w:szCs w:val="24"/>
        </w:rPr>
        <w:fldChar w:fldCharType="end"/>
      </w:r>
    </w:p>
    <w:p>
      <w:pPr>
        <w:spacing w:line="440" w:lineRule="exact"/>
        <w:rPr>
          <w:rFonts w:ascii="仿宋" w:hAnsi="仿宋" w:eastAsia="仿宋" w:cs="宋体"/>
          <w:b/>
          <w:sz w:val="24"/>
        </w:rPr>
      </w:pPr>
      <w:r>
        <w:rPr>
          <w:rFonts w:hint="eastAsia" w:ascii="仿宋" w:hAnsi="仿宋" w:eastAsia="仿宋" w:cs="宋体"/>
          <w:b/>
          <w:sz w:val="24"/>
        </w:rPr>
        <w:t xml:space="preserve">六、公告期限 </w:t>
      </w:r>
    </w:p>
    <w:p>
      <w:pPr>
        <w:spacing w:line="440" w:lineRule="exact"/>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440" w:lineRule="exact"/>
        <w:rPr>
          <w:rFonts w:ascii="仿宋" w:hAnsi="仿宋" w:eastAsia="仿宋" w:cs="宋体"/>
          <w:b/>
          <w:sz w:val="24"/>
        </w:rPr>
      </w:pPr>
      <w:r>
        <w:rPr>
          <w:rFonts w:hint="eastAsia" w:ascii="仿宋" w:hAnsi="仿宋" w:eastAsia="仿宋" w:cs="宋体"/>
          <w:b/>
          <w:sz w:val="24"/>
        </w:rPr>
        <w:t>七、其他补充事宜</w:t>
      </w:r>
    </w:p>
    <w:p>
      <w:pPr>
        <w:spacing w:line="440" w:lineRule="exact"/>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440" w:lineRule="exact"/>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440" w:lineRule="exact"/>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440" w:lineRule="exact"/>
        <w:rPr>
          <w:rFonts w:ascii="仿宋" w:hAnsi="仿宋" w:eastAsia="仿宋" w:cs="宋体"/>
          <w:sz w:val="24"/>
        </w:rPr>
      </w:pPr>
      <w:r>
        <w:rPr>
          <w:rFonts w:hint="eastAsia" w:ascii="仿宋" w:hAnsi="仿宋" w:eastAsia="仿宋" w:cs="宋体"/>
          <w:sz w:val="24"/>
        </w:rPr>
        <w:t xml:space="preserve">    1.采购人信息</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名  称：杭州市滨江区综合行政执法局</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地  址：</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传  真：/</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 xml:space="preserve">项目联系人（询问）：章磊   </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 xml:space="preserve">项目联系方式（询问）：0571-87153897 </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质疑联系人：虞筠霄</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质疑联系方式：0571-87153912</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2.采购代理机构信息</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名  称：浙江科佳工程咨询有限公司</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地  址：杭州市上城区凤起东路462号顺福商务中心3号楼10层</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传  真：0571-86820832</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项目联系人（询问）：赵翔</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项目联系方式（询问）：15857007318</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质疑联系人：孙工</w:t>
      </w:r>
      <w:r>
        <w:rPr>
          <w:rFonts w:hint="eastAsia" w:ascii="MS Mincho" w:hAnsi="MS Mincho" w:eastAsia="MS Mincho" w:cs="MS Mincho"/>
          <w:bCs/>
          <w:kern w:val="0"/>
          <w:sz w:val="24"/>
          <w:highlight w:val="none"/>
        </w:rPr>
        <w:t>​</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质疑联系方式：0571-86820832</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3.同级政府采购监督管理部门</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名  称：杭州市滨江区财政局政府采购监管科</w:t>
      </w:r>
    </w:p>
    <w:p>
      <w:pPr>
        <w:widowControl/>
        <w:snapToGrid w:val="0"/>
        <w:spacing w:line="44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地  址：杭州市江南大道328号701办公室</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传  真：/</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联系人：何先生</w:t>
      </w:r>
    </w:p>
    <w:p>
      <w:pPr>
        <w:widowControl/>
        <w:snapToGrid w:val="0"/>
        <w:spacing w:line="440" w:lineRule="exact"/>
        <w:ind w:firstLine="480" w:firstLineChars="200"/>
        <w:jc w:val="left"/>
        <w:rPr>
          <w:rFonts w:ascii="宋体" w:hAnsi="宋体" w:cs="宋体"/>
          <w:bCs/>
          <w:kern w:val="0"/>
          <w:sz w:val="24"/>
        </w:rPr>
      </w:pPr>
      <w:r>
        <w:rPr>
          <w:rFonts w:hint="eastAsia" w:ascii="宋体" w:hAnsi="宋体" w:cs="宋体"/>
          <w:bCs/>
          <w:kern w:val="0"/>
          <w:sz w:val="24"/>
        </w:rPr>
        <w:t>监督投诉电话：</w:t>
      </w:r>
      <w:r>
        <w:rPr>
          <w:rFonts w:hint="eastAsia" w:ascii="仿宋" w:hAnsi="仿宋" w:eastAsia="仿宋" w:cs="仿宋"/>
          <w:sz w:val="24"/>
        </w:rPr>
        <w:t>0571-89521210</w:t>
      </w:r>
    </w:p>
    <w:p>
      <w:pPr>
        <w:spacing w:line="440" w:lineRule="exact"/>
        <w:rPr>
          <w:rFonts w:ascii="仿宋" w:hAnsi="仿宋" w:eastAsia="仿宋" w:cs="宋体"/>
          <w:sz w:val="24"/>
        </w:rPr>
      </w:pPr>
      <w:r>
        <w:rPr>
          <w:rFonts w:hint="eastAsia" w:ascii="仿宋" w:hAnsi="仿宋" w:eastAsia="仿宋" w:cs="宋体"/>
          <w:sz w:val="24"/>
        </w:rPr>
        <w:t xml:space="preserve">   若对项目采购电子交易系统操作有疑问，可登录政采（https://www.zcygov.cn/），点击右侧咨询小采，获取采小蜜智能服务管家帮助，或拨打政采云服务热线400-881-7190获取热线服务帮助。</w:t>
      </w:r>
    </w:p>
    <w:p>
      <w:pPr>
        <w:spacing w:line="440" w:lineRule="exact"/>
        <w:ind w:firstLine="720" w:firstLineChars="300"/>
        <w:rPr>
          <w:rFonts w:ascii="仿宋" w:hAnsi="仿宋" w:eastAsia="仿宋" w:cs="宋体"/>
          <w:sz w:val="24"/>
        </w:rPr>
      </w:pPr>
      <w:r>
        <w:rPr>
          <w:rFonts w:hint="eastAsia" w:ascii="仿宋" w:hAnsi="仿宋" w:eastAsia="仿宋" w:cs="宋体"/>
          <w:sz w:val="24"/>
        </w:rPr>
        <w:t>CA问题联系电话（人工）：汇信CA 400-888-4636；天谷CA 400-087-8198。</w:t>
      </w:r>
    </w:p>
    <w:p>
      <w:pPr>
        <w:adjustRightInd/>
        <w:spacing w:line="360" w:lineRule="auto"/>
        <w:jc w:val="center"/>
        <w:outlineLvl w:val="0"/>
        <w:rPr>
          <w:rFonts w:ascii="仿宋" w:hAnsi="仿宋" w:eastAsia="仿宋" w:cs="宋体"/>
          <w:b/>
          <w:sz w:val="36"/>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 投标人须知</w:t>
      </w:r>
      <w:bookmarkEnd w:id="6"/>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bookmarkEnd w:id="7"/>
      <w:bookmarkStart w:id="8" w:name="_Toc164416483"/>
    </w:p>
    <w:tbl>
      <w:tblPr>
        <w:tblStyle w:val="6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5"/>
        <w:gridCol w:w="1740"/>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9" w:hRule="atLeast"/>
        </w:trPr>
        <w:tc>
          <w:tcPr>
            <w:tcW w:w="665"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序号</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事项</w:t>
            </w:r>
          </w:p>
        </w:tc>
        <w:tc>
          <w:tcPr>
            <w:tcW w:w="6655"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23"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1</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项目属性</w:t>
            </w:r>
          </w:p>
        </w:tc>
        <w:tc>
          <w:tcPr>
            <w:tcW w:w="6655" w:type="dxa"/>
            <w:vAlign w:val="center"/>
          </w:tcPr>
          <w:p>
            <w:pPr>
              <w:spacing w:line="400" w:lineRule="exact"/>
              <w:rPr>
                <w:rFonts w:ascii="仿宋" w:hAnsi="仿宋" w:eastAsia="仿宋" w:cs="宋体"/>
                <w:sz w:val="24"/>
              </w:rPr>
            </w:pPr>
            <w:r>
              <w:rPr>
                <w:rFonts w:hint="eastAsia" w:ascii="仿宋" w:hAnsi="仿宋" w:eastAsia="仿宋"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28"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2</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655" w:type="dxa"/>
            <w:vAlign w:val="center"/>
          </w:tcPr>
          <w:p>
            <w:pPr>
              <w:snapToGrid w:val="0"/>
              <w:spacing w:line="400" w:lineRule="exact"/>
              <w:rPr>
                <w:rFonts w:ascii="仿宋" w:hAnsi="仿宋" w:eastAsia="仿宋" w:cs="宋体"/>
                <w:kern w:val="0"/>
                <w:sz w:val="24"/>
              </w:rPr>
            </w:pPr>
            <w:r>
              <w:rPr>
                <w:rFonts w:hint="eastAsia" w:ascii="仿宋" w:hAnsi="仿宋" w:eastAsia="仿宋" w:cs="宋体"/>
                <w:kern w:val="0"/>
                <w:sz w:val="24"/>
              </w:rPr>
              <w:t>（1）本次采购标的为：</w:t>
            </w:r>
            <w:r>
              <w:rPr>
                <w:rFonts w:hint="eastAsia" w:ascii="仿宋" w:hAnsi="仿宋" w:eastAsia="仿宋" w:cs="宋体"/>
                <w:kern w:val="0"/>
                <w:sz w:val="24"/>
                <w:u w:val="single"/>
              </w:rPr>
              <w:t>2023-2024年滨江区市政道路管理养护监理项目</w:t>
            </w:r>
            <w:r>
              <w:rPr>
                <w:rFonts w:hint="eastAsia" w:ascii="仿宋" w:hAnsi="仿宋" w:eastAsia="仿宋" w:cs="宋体"/>
                <w:kern w:val="0"/>
                <w:sz w:val="24"/>
              </w:rPr>
              <w:t>，对应的中小企业划分标准所属行业是：</w:t>
            </w:r>
            <w:r>
              <w:rPr>
                <w:rFonts w:hint="eastAsia" w:ascii="仿宋" w:hAnsi="仿宋" w:eastAsia="仿宋" w:cs="宋体"/>
                <w:kern w:val="0"/>
                <w:sz w:val="24"/>
                <w:u w:val="single"/>
              </w:rPr>
              <w:t>其他未列明行业（包括科学研究和技术服务业，水利、环境和公共设施管理业，居民服务、修理和其他服务业，社会工作，文化、体育和娱乐业等）</w:t>
            </w:r>
            <w:r>
              <w:rPr>
                <w:rFonts w:hint="eastAsia" w:ascii="仿宋" w:hAnsi="仿宋" w:eastAsia="仿宋" w:cs="宋体"/>
                <w:kern w:val="0"/>
                <w:sz w:val="24"/>
              </w:rPr>
              <w:t>；</w:t>
            </w:r>
          </w:p>
          <w:p>
            <w:pPr>
              <w:snapToGrid w:val="0"/>
              <w:spacing w:line="400" w:lineRule="exact"/>
              <w:rPr>
                <w:rFonts w:ascii="仿宋" w:hAnsi="仿宋" w:eastAsia="仿宋" w:cs="宋体"/>
                <w:kern w:val="0"/>
                <w:sz w:val="24"/>
              </w:rPr>
            </w:pPr>
            <w:r>
              <w:rPr>
                <w:rFonts w:hint="eastAsia" w:ascii="仿宋" w:hAnsi="仿宋" w:eastAsia="仿宋" w:cs="宋体"/>
                <w:kern w:val="0"/>
                <w:sz w:val="24"/>
              </w:rPr>
              <w:t>（2）备注：对应的中小企业划分标准：</w:t>
            </w:r>
            <w:r>
              <w:rPr>
                <w:rFonts w:hint="eastAsia" w:ascii="仿宋" w:hAnsi="仿宋" w:eastAsia="仿宋" w:cs="宋体"/>
                <w:kern w:val="0"/>
                <w:sz w:val="24"/>
                <w:u w:val="singl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4"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3</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是否允许采购进口产品</w:t>
            </w:r>
          </w:p>
        </w:tc>
        <w:tc>
          <w:tcPr>
            <w:tcW w:w="6655" w:type="dxa"/>
            <w:vAlign w:val="center"/>
          </w:tcPr>
          <w:p>
            <w:pPr>
              <w:spacing w:line="400" w:lineRule="exact"/>
              <w:rPr>
                <w:rFonts w:ascii="仿宋" w:hAnsi="仿宋" w:eastAsia="仿宋" w:cs="宋体"/>
                <w:kern w:val="0"/>
                <w:sz w:val="24"/>
              </w:rPr>
            </w:pPr>
            <w:r>
              <w:rPr>
                <w:rFonts w:hint="eastAsia" w:ascii="仿宋" w:hAnsi="仿宋" w:eastAsia="仿宋" w:cs="宋体"/>
                <w:kern w:val="0"/>
                <w:sz w:val="24"/>
              </w:rPr>
              <w:sym w:font="Wingdings" w:char="F0FE"/>
            </w:r>
            <w:r>
              <w:rPr>
                <w:rFonts w:hint="eastAsia" w:ascii="仿宋" w:hAnsi="仿宋" w:eastAsia="仿宋" w:cs="宋体"/>
                <w:kern w:val="0"/>
                <w:sz w:val="24"/>
              </w:rPr>
              <w:t>本项目不允许采购进口产品。</w:t>
            </w:r>
          </w:p>
          <w:p>
            <w:pPr>
              <w:spacing w:line="400" w:lineRule="exact"/>
              <w:rPr>
                <w:rFonts w:ascii="仿宋" w:hAnsi="仿宋" w:eastAsia="仿宋" w:cs="宋体"/>
              </w:rPr>
            </w:pPr>
            <w:r>
              <w:rPr>
                <w:rFonts w:ascii="Segoe UI Symbol" w:hAnsi="Segoe UI Symbol" w:eastAsia="仿宋" w:cs="Segoe UI Symbol"/>
                <w:kern w:val="0"/>
                <w:sz w:val="24"/>
              </w:rPr>
              <w:t>☐</w:t>
            </w:r>
            <w:r>
              <w:rPr>
                <w:rFonts w:hint="eastAsia" w:ascii="仿宋" w:hAnsi="仿宋" w:eastAsia="仿宋" w:cs="宋体"/>
                <w:kern w:val="0"/>
                <w:sz w:val="24"/>
              </w:rPr>
              <w:t>可以就</w:t>
            </w:r>
            <w:r>
              <w:rPr>
                <w:rFonts w:hint="eastAsia" w:ascii="仿宋" w:hAnsi="仿宋" w:eastAsia="仿宋" w:cs="宋体"/>
                <w:sz w:val="24"/>
                <w:u w:val="single"/>
              </w:rPr>
              <w:t xml:space="preserve"> </w:t>
            </w:r>
            <w:r>
              <w:rPr>
                <w:rFonts w:ascii="仿宋" w:hAnsi="仿宋" w:eastAsia="仿宋" w:cs="宋体"/>
                <w:sz w:val="24"/>
                <w:u w:val="single"/>
              </w:rPr>
              <w:t>/</w:t>
            </w:r>
            <w:r>
              <w:rPr>
                <w:rFonts w:hint="eastAsia" w:ascii="仿宋" w:hAnsi="仿宋" w:eastAsia="仿宋" w:cs="宋体"/>
                <w:sz w:val="24"/>
                <w:u w:val="single"/>
              </w:rPr>
              <w:t xml:space="preserve">  </w:t>
            </w:r>
            <w:r>
              <w:rPr>
                <w:rFonts w:hint="eastAsia" w:ascii="仿宋" w:hAnsi="仿宋" w:eastAsia="仿宋"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78"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4</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分包</w:t>
            </w:r>
          </w:p>
        </w:tc>
        <w:tc>
          <w:tcPr>
            <w:tcW w:w="6655" w:type="dxa"/>
            <w:vAlign w:val="center"/>
          </w:tcPr>
          <w:p>
            <w:pPr>
              <w:spacing w:line="400" w:lineRule="exact"/>
              <w:rPr>
                <w:rFonts w:ascii="仿宋" w:hAnsi="仿宋" w:eastAsia="仿宋" w:cs="宋体"/>
                <w:sz w:val="24"/>
              </w:rPr>
            </w:pPr>
            <w:r>
              <w:rPr>
                <w:rFonts w:hint="eastAsia" w:ascii="仿宋" w:hAnsi="仿宋" w:eastAsia="仿宋" w:cs="宋体"/>
                <w:kern w:val="0"/>
                <w:sz w:val="24"/>
              </w:rPr>
              <w:sym w:font="Wingdings" w:char="00A8"/>
            </w:r>
            <w:r>
              <w:rPr>
                <w:rFonts w:hint="eastAsia" w:ascii="仿宋" w:hAnsi="仿宋" w:eastAsia="仿宋" w:cs="宋体"/>
                <w:kern w:val="0"/>
                <w:sz w:val="24"/>
              </w:rPr>
              <w:t xml:space="preserve"> A</w:t>
            </w:r>
            <w:r>
              <w:rPr>
                <w:rFonts w:hint="eastAsia" w:ascii="仿宋" w:hAnsi="仿宋" w:eastAsia="仿宋" w:cs="宋体"/>
                <w:sz w:val="24"/>
              </w:rPr>
              <w:t>同意将非主体、非关键性的工作分包。</w:t>
            </w:r>
          </w:p>
          <w:p>
            <w:pPr>
              <w:spacing w:line="400" w:lineRule="exact"/>
              <w:rPr>
                <w:rFonts w:ascii="仿宋" w:hAnsi="仿宋" w:eastAsia="仿宋" w:cs="宋体"/>
                <w:sz w:val="24"/>
              </w:rPr>
            </w:pPr>
            <w:r>
              <w:rPr>
                <w:rFonts w:hint="eastAsia" w:ascii="仿宋" w:hAnsi="仿宋" w:eastAsia="仿宋" w:cs="宋体"/>
                <w:kern w:val="0"/>
                <w:sz w:val="24"/>
              </w:rPr>
              <w:sym w:font="Wingdings" w:char="00FE"/>
            </w:r>
            <w:r>
              <w:rPr>
                <w:rFonts w:hint="eastAsia" w:ascii="仿宋" w:hAnsi="仿宋" w:eastAsia="仿宋" w:cs="宋体"/>
                <w:kern w:val="0"/>
                <w:sz w:val="24"/>
              </w:rPr>
              <w:t xml:space="preserve"> B</w:t>
            </w:r>
            <w:r>
              <w:rPr>
                <w:rFonts w:hint="eastAsia" w:ascii="仿宋" w:hAnsi="仿宋" w:eastAsia="仿宋" w:cs="宋体"/>
                <w:sz w:val="24"/>
              </w:rPr>
              <w:t>不同意分包。</w:t>
            </w:r>
          </w:p>
          <w:p>
            <w:pPr>
              <w:spacing w:line="400" w:lineRule="exact"/>
              <w:rPr>
                <w:rFonts w:ascii="仿宋" w:hAnsi="仿宋" w:eastAsia="仿宋" w:cs="宋体"/>
                <w:sz w:val="24"/>
              </w:rPr>
            </w:pPr>
            <w:r>
              <w:rPr>
                <w:rFonts w:hint="eastAsia" w:ascii="仿宋" w:hAnsi="仿宋" w:eastAsia="仿宋"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5</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开标前答疑会或现场考察</w:t>
            </w:r>
          </w:p>
        </w:tc>
        <w:tc>
          <w:tcPr>
            <w:tcW w:w="6655" w:type="dxa"/>
            <w:vAlign w:val="center"/>
          </w:tcPr>
          <w:p>
            <w:pPr>
              <w:spacing w:line="400" w:lineRule="exact"/>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p>
            <w:pPr>
              <w:spacing w:line="400" w:lineRule="exact"/>
              <w:rPr>
                <w:rFonts w:ascii="仿宋" w:hAnsi="仿宋" w:eastAsia="仿宋" w:cs="宋体"/>
                <w:sz w:val="24"/>
                <w:szCs w:val="20"/>
              </w:rPr>
            </w:pPr>
            <w:r>
              <w:rPr>
                <w:rFonts w:ascii="Segoe UI Symbol" w:hAnsi="Segoe UI Symbol" w:eastAsia="仿宋" w:cs="Segoe UI Symbol"/>
                <w:kern w:val="0"/>
                <w:sz w:val="24"/>
              </w:rPr>
              <w:t>☐</w:t>
            </w:r>
            <w:r>
              <w:rPr>
                <w:rFonts w:hint="eastAsia" w:ascii="仿宋" w:hAnsi="仿宋" w:eastAsia="仿宋" w:cs="宋体"/>
                <w:kern w:val="0"/>
                <w:sz w:val="24"/>
              </w:rPr>
              <w:t>B组织，</w:t>
            </w:r>
            <w:r>
              <w:rPr>
                <w:rFonts w:hint="eastAsia" w:ascii="仿宋" w:hAnsi="仿宋" w:eastAsia="仿宋" w:cs="宋体"/>
                <w:sz w:val="24"/>
              </w:rPr>
              <w:t>时间：</w:t>
            </w:r>
            <w:r>
              <w:rPr>
                <w:rFonts w:hint="eastAsia" w:ascii="仿宋" w:hAnsi="仿宋" w:eastAsia="仿宋" w:cs="宋体"/>
                <w:sz w:val="24"/>
                <w:u w:val="single"/>
              </w:rPr>
              <w:t>/</w:t>
            </w:r>
            <w:r>
              <w:rPr>
                <w:rFonts w:hint="eastAsia" w:ascii="仿宋" w:hAnsi="仿宋" w:eastAsia="仿宋" w:cs="宋体"/>
                <w:sz w:val="24"/>
              </w:rPr>
              <w:t>,地点：</w:t>
            </w:r>
            <w:r>
              <w:rPr>
                <w:rFonts w:hint="eastAsia" w:ascii="仿宋" w:hAnsi="仿宋" w:eastAsia="仿宋" w:cs="宋体"/>
                <w:sz w:val="24"/>
                <w:u w:val="single"/>
              </w:rPr>
              <w:t>/</w:t>
            </w:r>
            <w:r>
              <w:rPr>
                <w:rFonts w:hint="eastAsia" w:ascii="仿宋" w:hAnsi="仿宋" w:eastAsia="仿宋" w:cs="宋体"/>
                <w:sz w:val="24"/>
              </w:rPr>
              <w:t>，联系人：</w:t>
            </w:r>
            <w:r>
              <w:rPr>
                <w:rFonts w:hint="eastAsia" w:ascii="仿宋" w:hAnsi="仿宋" w:eastAsia="仿宋" w:cs="宋体"/>
                <w:sz w:val="24"/>
                <w:u w:val="single"/>
              </w:rPr>
              <w:t>/</w:t>
            </w:r>
            <w:r>
              <w:rPr>
                <w:rFonts w:hint="eastAsia" w:ascii="仿宋" w:hAnsi="仿宋" w:eastAsia="仿宋" w:cs="宋体"/>
                <w:sz w:val="24"/>
              </w:rPr>
              <w:t>，联系方式：</w:t>
            </w:r>
            <w:r>
              <w:rPr>
                <w:rFonts w:hint="eastAsia" w:ascii="仿宋" w:hAnsi="仿宋" w:eastAsia="仿宋" w:cs="宋体"/>
                <w:sz w:val="24"/>
                <w:u w:val="single"/>
              </w:rPr>
              <w:t>/</w:t>
            </w:r>
            <w:r>
              <w:rPr>
                <w:rFonts w:hint="eastAsia" w:ascii="仿宋" w:hAnsi="仿宋" w:eastAsia="仿宋"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05"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6</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样品提供</w:t>
            </w:r>
          </w:p>
        </w:tc>
        <w:tc>
          <w:tcPr>
            <w:tcW w:w="6655" w:type="dxa"/>
            <w:vAlign w:val="center"/>
          </w:tcPr>
          <w:p>
            <w:pPr>
              <w:spacing w:line="400" w:lineRule="exact"/>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不要求提供。</w:t>
            </w:r>
          </w:p>
          <w:p>
            <w:pPr>
              <w:spacing w:line="400" w:lineRule="exact"/>
              <w:rPr>
                <w:rFonts w:ascii="仿宋" w:hAnsi="仿宋" w:eastAsia="仿宋" w:cs="宋体"/>
                <w:kern w:val="0"/>
                <w:sz w:val="24"/>
              </w:rPr>
            </w:pPr>
            <w:r>
              <w:rPr>
                <w:rFonts w:ascii="Segoe UI Symbol" w:hAnsi="Segoe UI Symbol" w:eastAsia="仿宋" w:cs="Segoe UI Symbol"/>
                <w:kern w:val="0"/>
                <w:sz w:val="24"/>
              </w:rPr>
              <w:t>☐</w:t>
            </w:r>
            <w:r>
              <w:rPr>
                <w:rFonts w:hint="eastAsia" w:ascii="仿宋" w:hAnsi="仿宋" w:eastAsia="仿宋" w:cs="宋体"/>
                <w:kern w:val="0"/>
                <w:sz w:val="24"/>
              </w:rPr>
              <w:t>B要求提供，</w:t>
            </w:r>
          </w:p>
          <w:p>
            <w:pPr>
              <w:spacing w:line="400" w:lineRule="exact"/>
              <w:rPr>
                <w:rFonts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snapToGrid w:val="0"/>
                <w:kern w:val="28"/>
                <w:sz w:val="24"/>
              </w:rPr>
              <w:t>样品：</w:t>
            </w:r>
            <w:r>
              <w:rPr>
                <w:rFonts w:hint="eastAsia" w:ascii="仿宋" w:hAnsi="仿宋" w:eastAsia="仿宋" w:cs="宋体"/>
                <w:sz w:val="24"/>
                <w:u w:val="single"/>
              </w:rPr>
              <w:t xml:space="preserve">  /  </w:t>
            </w:r>
            <w:r>
              <w:rPr>
                <w:rFonts w:hint="eastAsia" w:ascii="仿宋" w:hAnsi="仿宋" w:eastAsia="仿宋" w:cs="宋体"/>
                <w:kern w:val="0"/>
                <w:sz w:val="24"/>
              </w:rPr>
              <w:t>；</w:t>
            </w:r>
          </w:p>
          <w:p>
            <w:pPr>
              <w:spacing w:line="400" w:lineRule="exact"/>
              <w:rPr>
                <w:rFonts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snapToGrid w:val="0"/>
                <w:kern w:val="28"/>
                <w:sz w:val="24"/>
              </w:rPr>
              <w:t>样品制作的标准和要求：</w:t>
            </w:r>
            <w:r>
              <w:rPr>
                <w:rFonts w:hint="eastAsia" w:ascii="仿宋" w:hAnsi="仿宋" w:eastAsia="仿宋" w:cs="宋体"/>
                <w:sz w:val="24"/>
                <w:u w:val="single"/>
              </w:rPr>
              <w:t xml:space="preserve">  /  </w:t>
            </w:r>
            <w:r>
              <w:rPr>
                <w:rFonts w:hint="eastAsia" w:ascii="仿宋" w:hAnsi="仿宋" w:eastAsia="仿宋" w:cs="宋体"/>
                <w:kern w:val="0"/>
                <w:sz w:val="24"/>
              </w:rPr>
              <w:t>；</w:t>
            </w:r>
          </w:p>
          <w:p>
            <w:pPr>
              <w:spacing w:line="400" w:lineRule="exact"/>
              <w:rPr>
                <w:rFonts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sz w:val="24"/>
                <w:u w:val="single"/>
              </w:rPr>
              <w:t>评标办法</w:t>
            </w:r>
            <w:r>
              <w:rPr>
                <w:rFonts w:hint="eastAsia" w:ascii="仿宋" w:hAnsi="仿宋" w:eastAsia="仿宋" w:cs="宋体"/>
                <w:kern w:val="0"/>
                <w:sz w:val="24"/>
              </w:rPr>
              <w:t>；</w:t>
            </w:r>
          </w:p>
          <w:p>
            <w:pPr>
              <w:spacing w:line="400" w:lineRule="exact"/>
              <w:rPr>
                <w:rFonts w:ascii="仿宋" w:hAnsi="仿宋" w:eastAsia="仿宋" w:cs="宋体"/>
                <w:kern w:val="0"/>
                <w:sz w:val="24"/>
              </w:rPr>
            </w:pPr>
            <w:r>
              <w:rPr>
                <w:rFonts w:hint="eastAsia" w:ascii="仿宋" w:hAnsi="仿宋" w:eastAsia="仿宋" w:cs="宋体"/>
                <w:kern w:val="0"/>
                <w:sz w:val="24"/>
              </w:rPr>
              <w:t>（4）是否需要随样品提交检测报告：</w:t>
            </w:r>
            <w:r>
              <w:rPr>
                <w:rFonts w:hint="eastAsia" w:ascii="仿宋" w:hAnsi="仿宋" w:eastAsia="仿宋" w:cs="宋体"/>
                <w:kern w:val="0"/>
                <w:sz w:val="24"/>
              </w:rPr>
              <w:sym w:font="Wingdings" w:char="F0FE"/>
            </w:r>
            <w:r>
              <w:rPr>
                <w:rFonts w:hint="eastAsia" w:ascii="仿宋" w:hAnsi="仿宋" w:eastAsia="仿宋" w:cs="宋体"/>
                <w:kern w:val="0"/>
                <w:sz w:val="24"/>
              </w:rPr>
              <w:t>否；</w:t>
            </w:r>
            <w:r>
              <w:rPr>
                <w:rFonts w:ascii="Segoe UI Symbol" w:hAnsi="Segoe UI Symbol" w:eastAsia="仿宋" w:cs="Segoe UI Symbol"/>
                <w:kern w:val="0"/>
                <w:sz w:val="24"/>
              </w:rPr>
              <w:t>☐</w:t>
            </w:r>
            <w:r>
              <w:rPr>
                <w:rFonts w:hint="eastAsia" w:ascii="仿宋" w:hAnsi="仿宋" w:eastAsia="仿宋" w:cs="宋体"/>
                <w:kern w:val="0"/>
                <w:sz w:val="24"/>
              </w:rPr>
              <w:t>是，检测机构的要求</w:t>
            </w:r>
            <w:r>
              <w:rPr>
                <w:rFonts w:hint="eastAsia" w:ascii="仿宋" w:hAnsi="仿宋" w:eastAsia="仿宋" w:cs="宋体"/>
                <w:sz w:val="24"/>
              </w:rPr>
              <w:t>：</w:t>
            </w:r>
            <w:r>
              <w:rPr>
                <w:rFonts w:hint="eastAsia" w:ascii="仿宋" w:hAnsi="仿宋" w:eastAsia="仿宋" w:cs="宋体"/>
                <w:sz w:val="24"/>
                <w:u w:val="single"/>
              </w:rPr>
              <w:t xml:space="preserve">  /  </w:t>
            </w:r>
            <w:r>
              <w:rPr>
                <w:rFonts w:hint="eastAsia" w:ascii="仿宋" w:hAnsi="仿宋" w:eastAsia="仿宋" w:cs="宋体"/>
                <w:kern w:val="0"/>
                <w:sz w:val="24"/>
              </w:rPr>
              <w:t>；检测内容</w:t>
            </w:r>
            <w:r>
              <w:rPr>
                <w:rFonts w:hint="eastAsia" w:ascii="仿宋" w:hAnsi="仿宋" w:eastAsia="仿宋" w:cs="宋体"/>
                <w:sz w:val="24"/>
              </w:rPr>
              <w:t>：</w:t>
            </w:r>
            <w:r>
              <w:rPr>
                <w:rFonts w:hint="eastAsia" w:ascii="仿宋" w:hAnsi="仿宋" w:eastAsia="仿宋" w:cs="宋体"/>
                <w:sz w:val="24"/>
                <w:u w:val="single"/>
              </w:rPr>
              <w:t xml:space="preserve">  /  </w:t>
            </w:r>
            <w:r>
              <w:rPr>
                <w:rFonts w:hint="eastAsia" w:ascii="仿宋" w:hAnsi="仿宋" w:eastAsia="仿宋" w:cs="宋体"/>
                <w:kern w:val="0"/>
                <w:sz w:val="24"/>
              </w:rPr>
              <w:t>。</w:t>
            </w:r>
          </w:p>
          <w:p>
            <w:pPr>
              <w:spacing w:line="400" w:lineRule="exact"/>
              <w:rPr>
                <w:rFonts w:ascii="仿宋" w:hAnsi="仿宋" w:eastAsia="仿宋" w:cs="宋体"/>
                <w:sz w:val="24"/>
              </w:rPr>
            </w:pPr>
            <w:r>
              <w:rPr>
                <w:rFonts w:hint="eastAsia" w:ascii="仿宋" w:hAnsi="仿宋" w:eastAsia="仿宋" w:cs="宋体"/>
                <w:sz w:val="24"/>
              </w:rPr>
              <w:t>（5）提供样品的时间：</w:t>
            </w:r>
            <w:r>
              <w:rPr>
                <w:rFonts w:hint="eastAsia" w:ascii="仿宋" w:hAnsi="仿宋" w:eastAsia="仿宋" w:cs="宋体"/>
                <w:sz w:val="24"/>
                <w:u w:val="single"/>
              </w:rPr>
              <w:t xml:space="preserve">  /  </w:t>
            </w:r>
            <w:r>
              <w:rPr>
                <w:rFonts w:hint="eastAsia" w:ascii="仿宋" w:hAnsi="仿宋" w:eastAsia="仿宋" w:cs="宋体"/>
                <w:kern w:val="0"/>
                <w:sz w:val="24"/>
              </w:rPr>
              <w:t>；地点：</w:t>
            </w:r>
            <w:r>
              <w:rPr>
                <w:rFonts w:hint="eastAsia" w:ascii="仿宋" w:hAnsi="仿宋" w:eastAsia="仿宋" w:cs="宋体"/>
                <w:sz w:val="24"/>
                <w:u w:val="single"/>
              </w:rPr>
              <w:t xml:space="preserve">  /  </w:t>
            </w:r>
            <w:r>
              <w:rPr>
                <w:rFonts w:hint="eastAsia" w:ascii="仿宋" w:hAnsi="仿宋" w:eastAsia="仿宋" w:cs="宋体"/>
                <w:kern w:val="0"/>
                <w:sz w:val="24"/>
              </w:rPr>
              <w:t>；联系人</w:t>
            </w:r>
            <w:r>
              <w:rPr>
                <w:rFonts w:hint="eastAsia" w:ascii="仿宋" w:hAnsi="仿宋" w:eastAsia="仿宋" w:cs="宋体"/>
                <w:sz w:val="24"/>
              </w:rPr>
              <w:t>：</w:t>
            </w:r>
            <w:r>
              <w:rPr>
                <w:rFonts w:hint="eastAsia" w:ascii="仿宋" w:hAnsi="仿宋" w:eastAsia="仿宋" w:cs="宋体"/>
                <w:sz w:val="24"/>
                <w:u w:val="single"/>
              </w:rPr>
              <w:t xml:space="preserve"> / </w:t>
            </w:r>
            <w:r>
              <w:rPr>
                <w:rFonts w:hint="eastAsia" w:ascii="仿宋" w:hAnsi="仿宋" w:eastAsia="仿宋" w:cs="宋体"/>
                <w:sz w:val="24"/>
              </w:rPr>
              <w:t>，</w:t>
            </w:r>
            <w:r>
              <w:rPr>
                <w:rFonts w:hint="eastAsia" w:ascii="仿宋" w:hAnsi="仿宋" w:eastAsia="仿宋" w:cs="宋体"/>
                <w:kern w:val="28"/>
                <w:sz w:val="24"/>
              </w:rPr>
              <w:t>联系电话：</w:t>
            </w:r>
            <w:r>
              <w:rPr>
                <w:rFonts w:hint="eastAsia" w:ascii="仿宋" w:hAnsi="仿宋" w:eastAsia="仿宋" w:cs="宋体"/>
                <w:sz w:val="24"/>
                <w:u w:val="single"/>
              </w:rPr>
              <w:t xml:space="preserve">  /  </w:t>
            </w:r>
            <w:r>
              <w:rPr>
                <w:rFonts w:hint="eastAsia" w:ascii="仿宋" w:hAnsi="仿宋" w:eastAsia="仿宋" w:cs="宋体"/>
                <w:sz w:val="24"/>
              </w:rPr>
              <w:t>。请投标人在上述时间内提供样品并按规定位置安装完毕。超过截止时间的，采购人或采购代理机构将不予接收，并将清场并封闭样品现场。</w:t>
            </w:r>
          </w:p>
          <w:p>
            <w:pPr>
              <w:spacing w:line="400" w:lineRule="exact"/>
              <w:rPr>
                <w:rFonts w:ascii="仿宋" w:hAnsi="仿宋" w:eastAsia="仿宋" w:cs="宋体"/>
                <w:sz w:val="24"/>
              </w:rPr>
            </w:pPr>
            <w:r>
              <w:rPr>
                <w:rFonts w:hint="eastAsia" w:ascii="仿宋" w:hAnsi="仿宋" w:eastAsia="仿宋"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400" w:lineRule="exact"/>
              <w:rPr>
                <w:rFonts w:ascii="仿宋" w:hAnsi="仿宋" w:eastAsia="仿宋" w:cs="宋体"/>
                <w:b/>
                <w:sz w:val="24"/>
              </w:rPr>
            </w:pPr>
            <w:r>
              <w:rPr>
                <w:rFonts w:hint="eastAsia" w:ascii="仿宋" w:hAnsi="仿宋" w:eastAsia="仿宋"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05"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7</w:t>
            </w:r>
          </w:p>
        </w:tc>
        <w:tc>
          <w:tcPr>
            <w:tcW w:w="1740" w:type="dxa"/>
            <w:vAlign w:val="center"/>
          </w:tcPr>
          <w:p>
            <w:pPr>
              <w:snapToGrid w:val="0"/>
              <w:spacing w:line="400" w:lineRule="exact"/>
              <w:jc w:val="center"/>
              <w:rPr>
                <w:rFonts w:ascii="仿宋" w:hAnsi="仿宋" w:eastAsia="仿宋" w:cs="宋体"/>
                <w:bCs/>
                <w:sz w:val="24"/>
              </w:rPr>
            </w:pPr>
            <w:r>
              <w:rPr>
                <w:rFonts w:hint="eastAsia" w:ascii="仿宋" w:hAnsi="仿宋" w:eastAsia="仿宋" w:cs="宋体"/>
                <w:b/>
                <w:sz w:val="24"/>
              </w:rPr>
              <w:t>方案讲解演示</w:t>
            </w:r>
          </w:p>
        </w:tc>
        <w:tc>
          <w:tcPr>
            <w:tcW w:w="6655" w:type="dxa"/>
            <w:vAlign w:val="center"/>
          </w:tcPr>
          <w:p>
            <w:pPr>
              <w:spacing w:line="400" w:lineRule="exact"/>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p>
            <w:pPr>
              <w:spacing w:line="400" w:lineRule="exact"/>
              <w:rPr>
                <w:rFonts w:ascii="仿宋" w:hAnsi="仿宋" w:eastAsia="仿宋" w:cs="宋体"/>
                <w:kern w:val="0"/>
                <w:sz w:val="24"/>
              </w:rPr>
            </w:pPr>
            <w:r>
              <w:rPr>
                <w:rFonts w:ascii="Segoe UI Symbol" w:hAnsi="Segoe UI Symbol" w:eastAsia="仿宋" w:cs="Segoe UI Symbol"/>
                <w:kern w:val="0"/>
                <w:sz w:val="24"/>
              </w:rPr>
              <w:t>☐</w:t>
            </w:r>
            <w:r>
              <w:rPr>
                <w:rFonts w:hint="eastAsia" w:ascii="仿宋" w:hAnsi="仿宋" w:eastAsia="仿宋" w:cs="宋体"/>
                <w:kern w:val="0"/>
                <w:sz w:val="24"/>
              </w:rPr>
              <w:t>B组织。</w:t>
            </w:r>
          </w:p>
          <w:p>
            <w:pPr>
              <w:snapToGrid w:val="0"/>
              <w:spacing w:line="400" w:lineRule="exact"/>
              <w:rPr>
                <w:rFonts w:ascii="仿宋" w:hAnsi="仿宋" w:eastAsia="仿宋" w:cs="宋体"/>
                <w:kern w:val="0"/>
                <w:sz w:val="24"/>
              </w:rPr>
            </w:pPr>
            <w:r>
              <w:rPr>
                <w:rFonts w:hint="eastAsia" w:ascii="仿宋" w:hAnsi="仿宋" w:eastAsia="仿宋"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400" w:lineRule="exact"/>
              <w:rPr>
                <w:rFonts w:ascii="仿宋" w:hAnsi="仿宋" w:eastAsia="仿宋" w:cs="宋体"/>
                <w:kern w:val="0"/>
                <w:sz w:val="24"/>
              </w:rPr>
            </w:pPr>
            <w:r>
              <w:rPr>
                <w:rFonts w:hint="eastAsia" w:ascii="仿宋" w:hAnsi="仿宋" w:eastAsia="仿宋" w:cs="宋体"/>
                <w:kern w:val="0"/>
                <w:sz w:val="24"/>
              </w:rPr>
              <w:t>（2）方案讲解演示可选择以下其中一种方式：</w:t>
            </w:r>
          </w:p>
          <w:p>
            <w:pPr>
              <w:snapToGrid w:val="0"/>
              <w:spacing w:line="400" w:lineRule="exact"/>
              <w:rPr>
                <w:rFonts w:ascii="仿宋" w:hAnsi="仿宋" w:eastAsia="仿宋" w:cs="宋体"/>
                <w:kern w:val="0"/>
                <w:sz w:val="24"/>
              </w:rPr>
            </w:pPr>
            <w:r>
              <w:rPr>
                <w:rFonts w:hint="eastAsia" w:ascii="仿宋" w:hAnsi="仿宋" w:eastAsia="仿宋" w:cs="宋体"/>
                <w:kern w:val="0"/>
                <w:sz w:val="24"/>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cs="宋体"/>
                <w:kern w:val="0"/>
                <w:sz w:val="24"/>
              </w:rPr>
            </w:pPr>
            <w:r>
              <w:rPr>
                <w:rFonts w:hint="eastAsia" w:ascii="仿宋" w:hAnsi="仿宋" w:eastAsia="仿宋" w:cs="宋体"/>
                <w:kern w:val="0"/>
                <w:sz w:val="24"/>
              </w:rPr>
              <w:t>方式二：交易中心现场讲解演示。现场讲解地点为</w:t>
            </w:r>
            <w:r>
              <w:rPr>
                <w:rFonts w:hint="eastAsia" w:ascii="仿宋" w:hAnsi="仿宋" w:eastAsia="仿宋" w:cs="宋体"/>
                <w:kern w:val="0"/>
                <w:sz w:val="24"/>
                <w:u w:val="single"/>
              </w:rPr>
              <w:t xml:space="preserve">  /  </w:t>
            </w:r>
            <w:r>
              <w:rPr>
                <w:rFonts w:hint="eastAsia" w:ascii="仿宋" w:hAnsi="仿宋" w:eastAsia="仿宋" w:cs="宋体"/>
                <w:kern w:val="0"/>
                <w:sz w:val="24"/>
              </w:rPr>
              <w:t>，讲解演示所用电脑等设备由投标人自备。现场讲解演示人员进场时提供讲解人员名单（加盖公章或授权代表签名）及身份证明，否则不得讲解演示。</w:t>
            </w:r>
          </w:p>
          <w:p>
            <w:pPr>
              <w:snapToGrid w:val="0"/>
              <w:spacing w:line="400" w:lineRule="exact"/>
              <w:rPr>
                <w:rFonts w:ascii="仿宋" w:hAnsi="仿宋" w:eastAsia="仿宋" w:cs="宋体"/>
                <w:b/>
                <w:kern w:val="0"/>
                <w:sz w:val="24"/>
                <w:lang w:val="zh-CN"/>
              </w:rPr>
            </w:pPr>
            <w:r>
              <w:rPr>
                <w:rFonts w:hint="eastAsia" w:ascii="仿宋" w:hAnsi="仿宋" w:eastAsia="仿宋"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1" w:hRule="atLeast"/>
          <w:tblHeader/>
        </w:trPr>
        <w:tc>
          <w:tcPr>
            <w:tcW w:w="665" w:type="dxa"/>
            <w:vMerge w:val="restart"/>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8</w:t>
            </w:r>
          </w:p>
        </w:tc>
        <w:tc>
          <w:tcPr>
            <w:tcW w:w="1740" w:type="dxa"/>
            <w:vMerge w:val="restart"/>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655" w:type="dxa"/>
            <w:vAlign w:val="center"/>
          </w:tcPr>
          <w:p>
            <w:pPr>
              <w:spacing w:line="400" w:lineRule="exact"/>
              <w:rPr>
                <w:rFonts w:ascii="仿宋" w:hAnsi="仿宋" w:eastAsia="仿宋" w:cs="宋体"/>
                <w:sz w:val="24"/>
              </w:rPr>
            </w:pPr>
            <w:r>
              <w:rPr>
                <w:rFonts w:hint="eastAsia" w:ascii="仿宋" w:hAnsi="仿宋" w:eastAsia="仿宋" w:cs="宋体"/>
                <w:sz w:val="24"/>
              </w:rPr>
              <w:t>（1）资格证明文件：见招标文件第二部分11.1。</w:t>
            </w:r>
          </w:p>
          <w:p>
            <w:pPr>
              <w:spacing w:line="400" w:lineRule="exact"/>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6" w:hRule="atLeast"/>
          <w:tblHeader/>
        </w:trPr>
        <w:tc>
          <w:tcPr>
            <w:tcW w:w="665" w:type="dxa"/>
            <w:vMerge w:val="continue"/>
            <w:vAlign w:val="center"/>
          </w:tcPr>
          <w:p>
            <w:pPr>
              <w:snapToGrid w:val="0"/>
              <w:spacing w:line="400" w:lineRule="exact"/>
              <w:jc w:val="center"/>
              <w:rPr>
                <w:rFonts w:ascii="仿宋" w:hAnsi="仿宋" w:eastAsia="仿宋" w:cs="宋体"/>
                <w:sz w:val="24"/>
              </w:rPr>
            </w:pPr>
          </w:p>
        </w:tc>
        <w:tc>
          <w:tcPr>
            <w:tcW w:w="1740" w:type="dxa"/>
            <w:vMerge w:val="continue"/>
            <w:vAlign w:val="center"/>
          </w:tcPr>
          <w:p>
            <w:pPr>
              <w:snapToGrid w:val="0"/>
              <w:spacing w:line="400" w:lineRule="exact"/>
              <w:jc w:val="center"/>
              <w:rPr>
                <w:rFonts w:ascii="仿宋" w:hAnsi="仿宋" w:eastAsia="仿宋" w:cs="宋体"/>
                <w:b/>
                <w:sz w:val="24"/>
              </w:rPr>
            </w:pPr>
          </w:p>
        </w:tc>
        <w:tc>
          <w:tcPr>
            <w:tcW w:w="6655" w:type="dxa"/>
            <w:vAlign w:val="center"/>
          </w:tcPr>
          <w:p>
            <w:pPr>
              <w:spacing w:line="400" w:lineRule="exact"/>
              <w:rPr>
                <w:rFonts w:ascii="仿宋" w:hAnsi="仿宋" w:eastAsia="仿宋" w:cs="宋体"/>
                <w:sz w:val="24"/>
              </w:rPr>
            </w:pPr>
            <w:r>
              <w:rPr>
                <w:rFonts w:hint="eastAsia" w:ascii="仿宋" w:hAnsi="仿宋" w:eastAsia="仿宋"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6"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9</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节能产品、环境标志产品</w:t>
            </w:r>
          </w:p>
        </w:tc>
        <w:tc>
          <w:tcPr>
            <w:tcW w:w="6655" w:type="dxa"/>
            <w:vAlign w:val="center"/>
          </w:tcPr>
          <w:p>
            <w:pPr>
              <w:snapToGrid w:val="0"/>
              <w:spacing w:line="400" w:lineRule="exact"/>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6"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10</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报价要求</w:t>
            </w:r>
          </w:p>
        </w:tc>
        <w:tc>
          <w:tcPr>
            <w:tcW w:w="6655" w:type="dxa"/>
            <w:vAlign w:val="center"/>
          </w:tcPr>
          <w:p>
            <w:pPr>
              <w:snapToGrid w:val="0"/>
              <w:spacing w:line="400" w:lineRule="exact"/>
              <w:jc w:val="left"/>
              <w:rPr>
                <w:rFonts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pPr>
              <w:snapToGrid w:val="0"/>
              <w:spacing w:line="400" w:lineRule="exact"/>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400" w:lineRule="exact"/>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400" w:lineRule="exact"/>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400" w:lineRule="exact"/>
              <w:ind w:firstLine="241" w:firstLineChars="100"/>
              <w:rPr>
                <w:rFonts w:ascii="仿宋" w:hAnsi="仿宋" w:eastAsia="仿宋" w:cs="宋体"/>
                <w:b/>
                <w:sz w:val="24"/>
                <w:highlight w:val="none"/>
              </w:rPr>
            </w:pPr>
            <w:r>
              <w:rPr>
                <w:rFonts w:hint="eastAsia" w:ascii="仿宋" w:hAnsi="仿宋" w:eastAsia="仿宋" w:cs="宋体"/>
                <w:b/>
                <w:kern w:val="0"/>
                <w:sz w:val="24"/>
              </w:rPr>
              <w:t>报价明显低于其他通过符合性审查投标人的报价，有可能影响产</w:t>
            </w:r>
            <w:r>
              <w:rPr>
                <w:rFonts w:hint="eastAsia" w:ascii="仿宋" w:hAnsi="仿宋" w:eastAsia="仿宋" w:cs="宋体"/>
                <w:b/>
                <w:kern w:val="0"/>
                <w:sz w:val="24"/>
                <w:highlight w:val="none"/>
              </w:rPr>
              <w:t>品质量或者不能诚信履约的，未能按要求提供书面说明或者提交相关证明材料证明其报价合理性的</w:t>
            </w:r>
            <w:r>
              <w:rPr>
                <w:rFonts w:hint="eastAsia" w:ascii="仿宋" w:hAnsi="仿宋" w:eastAsia="仿宋" w:cs="宋体"/>
                <w:b/>
                <w:sz w:val="24"/>
                <w:szCs w:val="21"/>
                <w:highlight w:val="none"/>
              </w:rPr>
              <w:t>;</w:t>
            </w:r>
          </w:p>
          <w:p>
            <w:pPr>
              <w:spacing w:line="400" w:lineRule="exact"/>
              <w:ind w:firstLine="241" w:firstLineChars="100"/>
              <w:rPr>
                <w:rFonts w:ascii="仿宋" w:hAnsi="仿宋" w:eastAsia="仿宋" w:cs="宋体"/>
                <w:b/>
                <w:sz w:val="24"/>
                <w:highlight w:val="none"/>
              </w:rPr>
            </w:pPr>
            <w:r>
              <w:rPr>
                <w:rFonts w:hint="eastAsia" w:ascii="仿宋" w:hAnsi="仿宋" w:eastAsia="仿宋" w:cs="宋体"/>
                <w:b/>
                <w:kern w:val="0"/>
                <w:sz w:val="24"/>
                <w:highlight w:val="none"/>
              </w:rPr>
              <w:t>投标人对根据修正原则修正后的报价不确认的</w:t>
            </w:r>
            <w:r>
              <w:rPr>
                <w:rFonts w:hint="eastAsia" w:ascii="仿宋" w:hAnsi="仿宋" w:eastAsia="仿宋" w:cs="宋体"/>
                <w:b/>
                <w:sz w:val="24"/>
                <w:highlight w:val="none"/>
              </w:rPr>
              <w:t>。</w:t>
            </w:r>
          </w:p>
          <w:p>
            <w:pPr>
              <w:spacing w:line="400" w:lineRule="exact"/>
              <w:ind w:firstLine="241" w:firstLineChars="100"/>
              <w:rPr>
                <w:rFonts w:ascii="仿宋" w:hAnsi="仿宋" w:eastAsia="仿宋" w:cs="宋体"/>
                <w:b/>
                <w:sz w:val="24"/>
              </w:rPr>
            </w:pPr>
            <w:r>
              <w:rPr>
                <w:rFonts w:hint="eastAsia" w:ascii="仿宋" w:hAnsi="仿宋" w:eastAsia="仿宋" w:cs="宋体"/>
                <w:b/>
                <w:sz w:val="24"/>
                <w:highlight w:val="none"/>
              </w:rPr>
              <w:t>本项目采用固定总价包干方式。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58"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11</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中小企业信用融资</w:t>
            </w:r>
          </w:p>
        </w:tc>
        <w:tc>
          <w:tcPr>
            <w:tcW w:w="6655" w:type="dxa"/>
            <w:vAlign w:val="center"/>
          </w:tcPr>
          <w:p>
            <w:pPr>
              <w:spacing w:line="400" w:lineRule="exact"/>
              <w:ind w:firstLine="480" w:firstLineChars="200"/>
              <w:rPr>
                <w:rFonts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77" w:hRule="atLeast"/>
          <w:tblHeader/>
        </w:trPr>
        <w:tc>
          <w:tcPr>
            <w:tcW w:w="665" w:type="dxa"/>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12</w:t>
            </w:r>
          </w:p>
        </w:tc>
        <w:tc>
          <w:tcPr>
            <w:tcW w:w="1740" w:type="dxa"/>
            <w:vAlign w:val="center"/>
          </w:tcPr>
          <w:p>
            <w:pPr>
              <w:snapToGrid w:val="0"/>
              <w:spacing w:line="400" w:lineRule="exact"/>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655" w:type="dxa"/>
            <w:vAlign w:val="center"/>
          </w:tcPr>
          <w:p>
            <w:pPr>
              <w:pStyle w:val="34"/>
              <w:spacing w:line="400" w:lineRule="exact"/>
              <w:rPr>
                <w:rFonts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宋体"/>
                <w:kern w:val="28"/>
                <w:sz w:val="24"/>
                <w:szCs w:val="24"/>
                <w:u w:val="single"/>
              </w:rPr>
              <w:t>杭州市上城区凤起东路462号顺福商务中心3号楼10层</w:t>
            </w:r>
            <w:r>
              <w:rPr>
                <w:rFonts w:hint="eastAsia" w:ascii="仿宋" w:hAnsi="仿宋" w:eastAsia="仿宋" w:cs="宋体"/>
                <w:kern w:val="28"/>
                <w:sz w:val="24"/>
                <w:szCs w:val="24"/>
              </w:rPr>
              <w:t>；备份投标文件签收人员联系电话：</w:t>
            </w:r>
            <w:r>
              <w:rPr>
                <w:rFonts w:hint="eastAsia" w:ascii="仿宋" w:hAnsi="仿宋" w:eastAsia="仿宋" w:cs="宋体"/>
                <w:sz w:val="24"/>
                <w:u w:val="single"/>
              </w:rPr>
              <w:t>赵工，</w:t>
            </w:r>
            <w:r>
              <w:rPr>
                <w:rFonts w:ascii="仿宋" w:hAnsi="仿宋" w:eastAsia="仿宋" w:cs="宋体"/>
                <w:sz w:val="24"/>
                <w:u w:val="single"/>
              </w:rPr>
              <w:t>15857007318</w:t>
            </w:r>
            <w:r>
              <w:rPr>
                <w:rFonts w:hint="eastAsia" w:ascii="仿宋" w:hAnsi="仿宋" w:eastAsia="仿宋" w:cs="宋体"/>
                <w:sz w:val="24"/>
                <w:szCs w:val="24"/>
              </w:rPr>
              <w:t>。</w:t>
            </w:r>
            <w:r>
              <w:rPr>
                <w:rFonts w:hint="eastAsia" w:ascii="仿宋" w:hAnsi="仿宋" w:eastAsia="仿宋"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tblHeader/>
        </w:trPr>
        <w:tc>
          <w:tcPr>
            <w:tcW w:w="665" w:type="dxa"/>
            <w:vMerge w:val="restart"/>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13</w:t>
            </w:r>
          </w:p>
          <w:p>
            <w:pPr>
              <w:snapToGrid w:val="0"/>
              <w:spacing w:line="400" w:lineRule="exact"/>
              <w:jc w:val="center"/>
              <w:rPr>
                <w:rFonts w:ascii="仿宋" w:hAnsi="仿宋" w:eastAsia="仿宋" w:cs="宋体"/>
                <w:sz w:val="24"/>
              </w:rPr>
            </w:pPr>
          </w:p>
        </w:tc>
        <w:tc>
          <w:tcPr>
            <w:tcW w:w="1740" w:type="dxa"/>
            <w:vMerge w:val="restart"/>
            <w:vAlign w:val="center"/>
          </w:tcPr>
          <w:p>
            <w:pPr>
              <w:snapToGrid w:val="0"/>
              <w:spacing w:line="400" w:lineRule="exact"/>
              <w:jc w:val="center"/>
              <w:rPr>
                <w:rFonts w:ascii="仿宋" w:hAnsi="仿宋" w:eastAsia="仿宋" w:cs="宋体"/>
                <w:b/>
                <w:sz w:val="24"/>
              </w:rPr>
            </w:pPr>
            <w:r>
              <w:rPr>
                <w:rFonts w:hint="eastAsia" w:ascii="仿宋" w:hAnsi="仿宋" w:eastAsia="仿宋" w:cs="仿宋_GB2312"/>
                <w:b/>
                <w:sz w:val="24"/>
              </w:rPr>
              <w:t>特别说明</w:t>
            </w:r>
          </w:p>
          <w:p>
            <w:pPr>
              <w:snapToGrid w:val="0"/>
              <w:spacing w:line="400" w:lineRule="exact"/>
              <w:jc w:val="center"/>
              <w:rPr>
                <w:rFonts w:ascii="仿宋" w:hAnsi="仿宋" w:eastAsia="仿宋" w:cs="宋体"/>
                <w:b/>
                <w:sz w:val="24"/>
              </w:rPr>
            </w:pPr>
          </w:p>
        </w:tc>
        <w:tc>
          <w:tcPr>
            <w:tcW w:w="6655" w:type="dxa"/>
            <w:vAlign w:val="center"/>
          </w:tcPr>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tblHeader/>
        </w:trPr>
        <w:tc>
          <w:tcPr>
            <w:tcW w:w="665" w:type="dxa"/>
            <w:vMerge w:val="continue"/>
            <w:vAlign w:val="center"/>
          </w:tcPr>
          <w:p>
            <w:pPr>
              <w:snapToGrid w:val="0"/>
              <w:spacing w:line="400" w:lineRule="exact"/>
              <w:jc w:val="center"/>
              <w:rPr>
                <w:rFonts w:ascii="仿宋" w:hAnsi="仿宋" w:eastAsia="仿宋" w:cs="宋体"/>
                <w:sz w:val="24"/>
              </w:rPr>
            </w:pPr>
          </w:p>
        </w:tc>
        <w:tc>
          <w:tcPr>
            <w:tcW w:w="1740" w:type="dxa"/>
            <w:vMerge w:val="continue"/>
            <w:vAlign w:val="center"/>
          </w:tcPr>
          <w:p>
            <w:pPr>
              <w:snapToGrid w:val="0"/>
              <w:spacing w:line="400" w:lineRule="exact"/>
              <w:jc w:val="center"/>
              <w:rPr>
                <w:rFonts w:ascii="仿宋" w:hAnsi="仿宋" w:eastAsia="仿宋" w:cs="仿宋_GB2312"/>
                <w:b/>
                <w:sz w:val="24"/>
              </w:rPr>
            </w:pPr>
          </w:p>
        </w:tc>
        <w:tc>
          <w:tcPr>
            <w:tcW w:w="6655" w:type="dxa"/>
            <w:vAlign w:val="center"/>
          </w:tcPr>
          <w:p>
            <w:pPr>
              <w:spacing w:line="400" w:lineRule="exact"/>
              <w:rPr>
                <w:rFonts w:ascii="仿宋" w:hAnsi="仿宋" w:eastAsia="仿宋" w:cs="宋体"/>
                <w:snapToGrid w:val="0"/>
                <w:kern w:val="28"/>
                <w:sz w:val="24"/>
              </w:rPr>
            </w:pPr>
            <w:sdt>
              <w:sdtPr>
                <w:rPr>
                  <w:rFonts w:hint="eastAsia" w:ascii="仿宋" w:hAnsi="仿宋" w:eastAsia="仿宋" w:cs="宋体"/>
                  <w:snapToGrid w:val="0"/>
                  <w:kern w:val="28"/>
                  <w:sz w:val="24"/>
                </w:rPr>
                <w:id w:val="-1816336663"/>
                <w14:checkbox>
                  <w14:checked w14:val="0"/>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MS Gothic" w:hAnsi="MS Gothic" w:eastAsia="MS Gothic" w:cs="宋体"/>
                    <w:snapToGrid w:val="0"/>
                    <w:kern w:val="28"/>
                    <w:sz w:val="24"/>
                  </w:rPr>
                  <w:t>☐</w:t>
                </w:r>
              </w:sdtContent>
            </w:sdt>
            <w:r>
              <w:rPr>
                <w:rFonts w:hint="eastAsia" w:ascii="仿宋" w:hAnsi="仿宋" w:eastAsia="仿宋" w:cs="宋体"/>
                <w:snapToGrid w:val="0"/>
                <w:kern w:val="28"/>
                <w:sz w:val="24"/>
              </w:rPr>
              <w:t>联合体投标的，联合体各方均需按招标文件第四部分评标标准要求提供资信证明文件，否则视为不符合相关要求。</w:t>
            </w:r>
          </w:p>
          <w:p>
            <w:pPr>
              <w:spacing w:line="400" w:lineRule="exact"/>
              <w:rPr>
                <w:rFonts w:ascii="仿宋" w:hAnsi="仿宋" w:eastAsia="仿宋" w:cs="宋体"/>
                <w:snapToGrid w:val="0"/>
                <w:kern w:val="28"/>
                <w:sz w:val="24"/>
              </w:rPr>
            </w:pPr>
            <w:sdt>
              <w:sdtPr>
                <w:rPr>
                  <w:rFonts w:hint="eastAsia" w:ascii="仿宋" w:hAnsi="仿宋" w:eastAsia="仿宋" w:cs="宋体"/>
                  <w:snapToGrid w:val="0"/>
                  <w:kern w:val="28"/>
                  <w:sz w:val="24"/>
                </w:rPr>
                <w:id w:val="-232311894"/>
                <w14:checkbox>
                  <w14:checked w14:val="1"/>
                  <w14:checkedState w14:val="00FE" w14:font="Wingdings"/>
                  <w14:uncheckedState w14:val="2610" w14:font="MS Gothic"/>
                </w14:checkbox>
              </w:sdtPr>
              <w:sdtEndPr>
                <w:rPr>
                  <w:rFonts w:hint="eastAsia" w:ascii="仿宋" w:hAnsi="仿宋" w:eastAsia="仿宋" w:cs="宋体"/>
                  <w:snapToGrid w:val="0"/>
                  <w:kern w:val="28"/>
                  <w:sz w:val="24"/>
                </w:rPr>
              </w:sdtEndPr>
              <w:sdtContent>
                <w:r>
                  <w:rPr>
                    <w:rFonts w:hint="eastAsia" w:ascii="仿宋" w:hAnsi="仿宋" w:eastAsia="仿宋" w:cs="宋体"/>
                    <w:snapToGrid w:val="0"/>
                    <w:kern w:val="28"/>
                    <w:sz w:val="24"/>
                  </w:rPr>
                  <w:sym w:font="Wingdings" w:char="F0FE"/>
                </w:r>
              </w:sdtContent>
            </w:sdt>
            <w:r>
              <w:rPr>
                <w:rFonts w:hint="eastAsia" w:ascii="仿宋" w:hAnsi="仿宋" w:eastAsia="仿宋"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tblHeader/>
        </w:trPr>
        <w:tc>
          <w:tcPr>
            <w:tcW w:w="665" w:type="dxa"/>
            <w:vMerge w:val="continue"/>
            <w:vAlign w:val="center"/>
          </w:tcPr>
          <w:p>
            <w:pPr>
              <w:snapToGrid w:val="0"/>
              <w:spacing w:line="400" w:lineRule="exact"/>
              <w:jc w:val="center"/>
              <w:rPr>
                <w:rFonts w:ascii="仿宋" w:hAnsi="仿宋" w:eastAsia="仿宋" w:cs="宋体"/>
                <w:sz w:val="24"/>
              </w:rPr>
            </w:pPr>
          </w:p>
        </w:tc>
        <w:tc>
          <w:tcPr>
            <w:tcW w:w="1740" w:type="dxa"/>
            <w:vMerge w:val="continue"/>
            <w:vAlign w:val="center"/>
          </w:tcPr>
          <w:p>
            <w:pPr>
              <w:snapToGrid w:val="0"/>
              <w:spacing w:line="400" w:lineRule="exact"/>
              <w:jc w:val="center"/>
              <w:rPr>
                <w:rFonts w:ascii="仿宋" w:hAnsi="仿宋" w:eastAsia="仿宋" w:cs="仿宋_GB2312"/>
                <w:b/>
                <w:sz w:val="24"/>
              </w:rPr>
            </w:pPr>
          </w:p>
        </w:tc>
        <w:tc>
          <w:tcPr>
            <w:tcW w:w="6655" w:type="dxa"/>
            <w:vAlign w:val="center"/>
          </w:tcPr>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（1）本项目代理服务费参照计价格【2002】1980号文8</w:t>
            </w:r>
            <w:r>
              <w:rPr>
                <w:rFonts w:ascii="仿宋" w:hAnsi="仿宋" w:eastAsia="仿宋" w:cs="宋体"/>
                <w:snapToGrid w:val="0"/>
                <w:kern w:val="28"/>
                <w:sz w:val="24"/>
              </w:rPr>
              <w:t>0%</w:t>
            </w:r>
            <w:r>
              <w:rPr>
                <w:rFonts w:hint="eastAsia" w:ascii="仿宋" w:hAnsi="仿宋" w:eastAsia="仿宋" w:cs="宋体"/>
                <w:snapToGrid w:val="0"/>
                <w:kern w:val="28"/>
                <w:sz w:val="24"/>
              </w:rPr>
              <w:t>计取的收费标准向成交供应商收取，计费基数按中标价计取。</w:t>
            </w:r>
          </w:p>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供应商应当自成交结果公告发布之日起5个工作日内一次性向采购代理机构支付代理服务费。</w:t>
            </w:r>
          </w:p>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（2）代理服务费支付：</w:t>
            </w:r>
          </w:p>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① 代理服务费缴纳形式：汇票/支票/电汇/现金</w:t>
            </w:r>
          </w:p>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② 代理服务费汇入以下账户 ：</w:t>
            </w:r>
          </w:p>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收款单位（户名）：浙江科佳工程咨询有限公司</w:t>
            </w:r>
          </w:p>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开户银行：中信银行杭州天水支行</w:t>
            </w:r>
            <w:r>
              <w:rPr>
                <w:rFonts w:hint="eastAsia" w:ascii="仿宋" w:hAnsi="仿宋" w:eastAsia="仿宋" w:cs="宋体"/>
                <w:snapToGrid w:val="0"/>
                <w:kern w:val="28"/>
                <w:sz w:val="24"/>
              </w:rPr>
              <w:cr/>
            </w:r>
            <w:r>
              <w:rPr>
                <w:rFonts w:hint="eastAsia" w:ascii="仿宋" w:hAnsi="仿宋" w:eastAsia="仿宋" w:cs="宋体"/>
                <w:snapToGrid w:val="0"/>
                <w:kern w:val="28"/>
                <w:sz w:val="24"/>
              </w:rPr>
              <w:t>银行账号：</w:t>
            </w:r>
            <w:r>
              <w:rPr>
                <w:rFonts w:ascii="仿宋" w:hAnsi="仿宋" w:eastAsia="仿宋" w:cs="宋体"/>
                <w:snapToGrid w:val="0"/>
                <w:kern w:val="28"/>
                <w:sz w:val="24"/>
              </w:rPr>
              <w:t>7331110182600053000</w:t>
            </w:r>
          </w:p>
          <w:p>
            <w:pPr>
              <w:spacing w:line="400" w:lineRule="exact"/>
              <w:rPr>
                <w:rFonts w:ascii="仿宋" w:hAnsi="仿宋" w:eastAsia="仿宋" w:cs="宋体"/>
                <w:snapToGrid w:val="0"/>
                <w:kern w:val="28"/>
                <w:sz w:val="24"/>
              </w:rPr>
            </w:pPr>
            <w:r>
              <w:rPr>
                <w:rFonts w:hint="eastAsia" w:ascii="仿宋" w:hAnsi="仿宋" w:eastAsia="仿宋" w:cs="宋体"/>
                <w:snapToGrid w:val="0"/>
                <w:kern w:val="28"/>
                <w:sz w:val="24"/>
              </w:rPr>
              <w:t>（</w:t>
            </w:r>
            <w:r>
              <w:rPr>
                <w:rFonts w:ascii="仿宋" w:hAnsi="仿宋" w:eastAsia="仿宋" w:cs="宋体"/>
                <w:snapToGrid w:val="0"/>
                <w:kern w:val="28"/>
                <w:sz w:val="24"/>
              </w:rPr>
              <w:t>3</w:t>
            </w:r>
            <w:r>
              <w:rPr>
                <w:rFonts w:hint="eastAsia" w:ascii="仿宋" w:hAnsi="仿宋" w:eastAsia="仿宋" w:cs="宋体"/>
                <w:snapToGrid w:val="0"/>
                <w:kern w:val="28"/>
                <w:sz w:val="24"/>
              </w:rPr>
              <w:t>）增值税发票开具资料：单位名称、税号（统一社会信用代码）、开户行名称、账号、地址及联系电话。</w:t>
            </w:r>
          </w:p>
          <w:p>
            <w:pPr>
              <w:spacing w:line="400" w:lineRule="exact"/>
              <w:rPr>
                <w:b/>
                <w:bCs/>
              </w:rPr>
            </w:pPr>
            <w:r>
              <w:rPr>
                <w:rFonts w:hint="eastAsia" w:ascii="仿宋" w:hAnsi="仿宋" w:eastAsia="仿宋" w:cs="宋体"/>
                <w:snapToGrid w:val="0"/>
                <w:kern w:val="28"/>
                <w:sz w:val="24"/>
              </w:rPr>
              <w:t>（</w:t>
            </w:r>
            <w:r>
              <w:rPr>
                <w:rFonts w:ascii="仿宋" w:hAnsi="仿宋" w:eastAsia="仿宋" w:cs="宋体"/>
                <w:snapToGrid w:val="0"/>
                <w:kern w:val="28"/>
                <w:sz w:val="24"/>
              </w:rPr>
              <w:t>4</w:t>
            </w:r>
            <w:r>
              <w:rPr>
                <w:rFonts w:hint="eastAsia" w:ascii="仿宋" w:hAnsi="仿宋" w:eastAsia="仿宋" w:cs="宋体"/>
                <w:snapToGrid w:val="0"/>
                <w:kern w:val="28"/>
                <w:sz w:val="24"/>
              </w:rPr>
              <w:t>）中标供应商须在中标结果公示后，向采购人（采购代理机构）提供与线上递交的“电子加密响应文件”一致的纸质响应文件并装订成册一正二副。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tblHeader/>
        </w:trPr>
        <w:tc>
          <w:tcPr>
            <w:tcW w:w="665" w:type="dxa"/>
            <w:vMerge w:val="continue"/>
            <w:vAlign w:val="center"/>
          </w:tcPr>
          <w:p>
            <w:pPr>
              <w:snapToGrid w:val="0"/>
              <w:spacing w:line="400" w:lineRule="exact"/>
              <w:jc w:val="center"/>
              <w:rPr>
                <w:rFonts w:ascii="仿宋" w:hAnsi="仿宋" w:eastAsia="仿宋" w:cs="宋体"/>
                <w:sz w:val="24"/>
              </w:rPr>
            </w:pPr>
          </w:p>
        </w:tc>
        <w:tc>
          <w:tcPr>
            <w:tcW w:w="1740" w:type="dxa"/>
            <w:vMerge w:val="continue"/>
            <w:vAlign w:val="center"/>
          </w:tcPr>
          <w:p>
            <w:pPr>
              <w:snapToGrid w:val="0"/>
              <w:spacing w:line="400" w:lineRule="exact"/>
              <w:jc w:val="center"/>
              <w:rPr>
                <w:rFonts w:ascii="仿宋" w:hAnsi="仿宋" w:eastAsia="仿宋" w:cs="宋体"/>
                <w:b/>
                <w:sz w:val="24"/>
              </w:rPr>
            </w:pPr>
          </w:p>
        </w:tc>
        <w:tc>
          <w:tcPr>
            <w:tcW w:w="6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 w:hAnsi="仿宋" w:eastAsia="仿宋" w:cs="宋体"/>
                <w:sz w:val="24"/>
              </w:rPr>
            </w:pPr>
            <w:r>
              <w:rPr>
                <w:rFonts w:hint="eastAsia" w:ascii="仿宋" w:hAnsi="仿宋" w:eastAsia="仿宋" w:cs="宋体"/>
                <w:sz w:val="24"/>
              </w:rPr>
              <w:t>如遇“政府采购云平台”电子化开标或评审程序调整的，按调整后程序执行。</w:t>
            </w:r>
          </w:p>
          <w:p>
            <w:pPr>
              <w:snapToGrid w:val="0"/>
              <w:spacing w:line="400" w:lineRule="exact"/>
              <w:jc w:val="left"/>
              <w:rPr>
                <w:rFonts w:ascii="仿宋" w:hAnsi="仿宋" w:eastAsia="仿宋" w:cs="宋体"/>
                <w:sz w:val="24"/>
              </w:rPr>
            </w:pPr>
            <w:r>
              <w:rPr>
                <w:rFonts w:hint="eastAsia" w:ascii="仿宋" w:hAnsi="仿宋" w:eastAsia="仿宋" w:cs="宋体"/>
                <w:sz w:val="24"/>
              </w:rPr>
              <w:t>通过“政府采购云平台”公布开标一览表有关内容后，供应商应通过“政府采购云平台”进行确认，在收到采购人或采购代理机构的通知后仍不予确认的应说明理由，否则视为无异议。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tblHeader/>
        </w:trPr>
        <w:tc>
          <w:tcPr>
            <w:tcW w:w="665" w:type="dxa"/>
            <w:vMerge w:val="continue"/>
            <w:vAlign w:val="center"/>
          </w:tcPr>
          <w:p>
            <w:pPr>
              <w:snapToGrid w:val="0"/>
              <w:spacing w:line="400" w:lineRule="exact"/>
              <w:jc w:val="center"/>
              <w:rPr>
                <w:rFonts w:hint="eastAsia" w:ascii="仿宋" w:hAnsi="仿宋" w:eastAsia="仿宋" w:cs="宋体"/>
                <w:sz w:val="24"/>
              </w:rPr>
            </w:pPr>
          </w:p>
        </w:tc>
        <w:tc>
          <w:tcPr>
            <w:tcW w:w="1740" w:type="dxa"/>
            <w:vMerge w:val="continue"/>
            <w:vAlign w:val="center"/>
          </w:tcPr>
          <w:p>
            <w:pPr>
              <w:snapToGrid w:val="0"/>
              <w:spacing w:line="400" w:lineRule="exact"/>
              <w:jc w:val="center"/>
              <w:rPr>
                <w:rFonts w:hint="eastAsia" w:ascii="仿宋" w:hAnsi="仿宋" w:eastAsia="仿宋" w:cs="仿宋_GB2312"/>
                <w:b/>
                <w:sz w:val="24"/>
              </w:rPr>
            </w:pPr>
          </w:p>
        </w:tc>
        <w:tc>
          <w:tcPr>
            <w:tcW w:w="6655"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rFonts w:ascii="仿宋" w:hAnsi="仿宋" w:eastAsia="仿宋" w:cs="宋体"/>
                <w:kern w:val="28"/>
                <w:sz w:val="24"/>
                <w:szCs w:val="24"/>
              </w:rPr>
            </w:pPr>
            <w:r>
              <w:rPr>
                <w:rFonts w:hint="eastAsia" w:ascii="仿宋" w:hAnsi="仿宋" w:eastAsia="仿宋" w:cs="宋体"/>
                <w:kern w:val="28"/>
                <w:sz w:val="24"/>
                <w:szCs w:val="24"/>
              </w:rPr>
              <w:t>本项目共分四个标项，若供应商同时参加多个标项投标的，各个标项的投标文件分别制作、上传。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tblHeader/>
        </w:trPr>
        <w:tc>
          <w:tcPr>
            <w:tcW w:w="665" w:type="dxa"/>
            <w:vMerge w:val="continue"/>
            <w:vAlign w:val="center"/>
          </w:tcPr>
          <w:p>
            <w:pPr>
              <w:snapToGrid w:val="0"/>
              <w:spacing w:line="400" w:lineRule="exact"/>
              <w:jc w:val="center"/>
              <w:rPr>
                <w:rFonts w:hint="eastAsia" w:ascii="仿宋" w:hAnsi="仿宋" w:eastAsia="仿宋" w:cs="宋体"/>
                <w:sz w:val="24"/>
              </w:rPr>
            </w:pPr>
          </w:p>
        </w:tc>
        <w:tc>
          <w:tcPr>
            <w:tcW w:w="1740" w:type="dxa"/>
            <w:vMerge w:val="continue"/>
            <w:vAlign w:val="center"/>
          </w:tcPr>
          <w:p>
            <w:pPr>
              <w:snapToGrid w:val="0"/>
              <w:spacing w:line="400" w:lineRule="exact"/>
              <w:jc w:val="center"/>
              <w:rPr>
                <w:rFonts w:hint="eastAsia" w:ascii="仿宋" w:hAnsi="仿宋" w:eastAsia="仿宋" w:cs="仿宋_GB2312"/>
                <w:b/>
                <w:sz w:val="24"/>
              </w:rPr>
            </w:pPr>
          </w:p>
        </w:tc>
        <w:tc>
          <w:tcPr>
            <w:tcW w:w="665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宋体"/>
                <w:snapToGrid w:val="0"/>
                <w:kern w:val="28"/>
                <w:sz w:val="24"/>
              </w:rPr>
            </w:pPr>
            <w:bookmarkStart w:id="9" w:name="_Hlk100332859"/>
            <w:r>
              <w:rPr>
                <w:rFonts w:hint="eastAsia" w:ascii="仿宋" w:hAnsi="仿宋" w:eastAsia="仿宋" w:cs="宋体"/>
                <w:snapToGrid w:val="0"/>
                <w:kern w:val="28"/>
                <w:sz w:val="24"/>
              </w:rPr>
              <w:t>本项目共分四个标项，评标委员会按标项一、二、三、四依次评审，每个标项推荐</w:t>
            </w:r>
            <w:r>
              <w:rPr>
                <w:rFonts w:ascii="仿宋" w:hAnsi="仿宋" w:eastAsia="仿宋" w:cs="宋体"/>
                <w:snapToGrid w:val="0"/>
                <w:kern w:val="28"/>
                <w:sz w:val="24"/>
              </w:rPr>
              <w:t>1</w:t>
            </w:r>
            <w:r>
              <w:rPr>
                <w:rFonts w:hint="eastAsia" w:ascii="仿宋" w:hAnsi="仿宋" w:eastAsia="仿宋" w:cs="宋体"/>
                <w:snapToGrid w:val="0"/>
                <w:kern w:val="28"/>
                <w:sz w:val="24"/>
              </w:rPr>
              <w:t>名中标候选人。若供应商意向多个标项同时中标的，则每个标项的项目组团队不得重复。如供应商在标项一中被推荐为第一中标候选人，其标项二综合得分第一，但项目组团队人员和标项一有重复的，则不再推荐为标项二第一中标候选人，依次类推。</w:t>
            </w:r>
            <w:bookmarkEnd w:id="9"/>
          </w:p>
        </w:tc>
      </w:tr>
    </w:tbl>
    <w:p>
      <w:pPr>
        <w:adjustRightInd/>
        <w:spacing w:line="360" w:lineRule="auto"/>
        <w:jc w:val="center"/>
        <w:outlineLvl w:val="0"/>
        <w:rPr>
          <w:rFonts w:ascii="仿宋" w:hAnsi="仿宋" w:eastAsia="仿宋" w:cs="宋体"/>
          <w:b/>
          <w:sz w:val="32"/>
          <w:szCs w:val="20"/>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“采购机构”系指招标公告中载明的本项目的采购机构。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sdt>
        <w:sdtPr>
          <w:rPr>
            <w:rFonts w:hint="eastAsia" w:ascii="仿宋" w:hAnsi="仿宋" w:eastAsia="仿宋" w:cs="宋体"/>
            <w:kern w:val="0"/>
            <w:sz w:val="24"/>
          </w:rPr>
          <w:id w:val="5129702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w:t>
      </w:r>
      <w:r>
        <w:rPr>
          <w:rFonts w:hint="eastAsia" w:ascii="仿宋" w:hAnsi="仿宋" w:eastAsia="仿宋" w:cs="宋体"/>
        </w:rPr>
        <w:t xml:space="preserve"> </w:t>
      </w:r>
      <w:r>
        <w:rPr>
          <w:rFonts w:hint="eastAsia" w:ascii="仿宋" w:hAnsi="仿宋" w:eastAsia="仿宋" w:cs="宋体"/>
          <w:b/>
          <w:sz w:val="24"/>
        </w:rPr>
        <w:t>采购项目需要落实的政府采购政策</w:t>
      </w:r>
    </w:p>
    <w:p>
      <w:pPr>
        <w:spacing w:line="360" w:lineRule="auto"/>
        <w:ind w:firstLine="240" w:firstLineChars="100"/>
        <w:rPr>
          <w:rFonts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w:t>
      </w:r>
      <w:r>
        <w:rPr>
          <w:rFonts w:hint="eastAsia" w:ascii="仿宋" w:hAnsi="仿宋" w:eastAsia="仿宋" w:cs="宋体"/>
          <w:b/>
          <w:bCs/>
          <w:sz w:val="24"/>
        </w:rPr>
        <w:t>声明内容不实的，属于提供虚假材料谋取中标、成交的，依法承担法律责任</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4"/>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4"/>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4.4.1质疑供应商对采购人、采购机构的答复不满意或者采购人、采购机构未在规定的时间内作出答复的，可以在答复期满后十五个工作日内向同级政府采购监督管理部门提出投诉。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spacing w:line="360" w:lineRule="auto"/>
        <w:rPr>
          <w:rFonts w:ascii="仿宋" w:hAnsi="仿宋" w:eastAsia="仿宋" w:cs="宋体"/>
          <w:sz w:val="32"/>
          <w:szCs w:val="32"/>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二、招标文件的构成、澄清、修改</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4"/>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159"/>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6.1已获取招标文件的潜在投标人，若有问题需要澄清，应于投标截止时间前，以书面形式向采购机构提出。</w:t>
      </w:r>
    </w:p>
    <w:p>
      <w:pPr>
        <w:pStyle w:val="159"/>
        <w:snapToGrid w:val="0"/>
        <w:spacing w:before="0"/>
        <w:ind w:firstLine="480"/>
        <w:rPr>
          <w:rFonts w:ascii="仿宋" w:hAnsi="仿宋" w:eastAsia="仿宋" w:cs="宋体"/>
        </w:rPr>
      </w:pPr>
      <w:r>
        <w:rPr>
          <w:rFonts w:hint="eastAsia" w:ascii="仿宋" w:hAnsi="仿宋" w:eastAsia="仿宋"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rPr>
          <w:rFonts w:ascii="仿宋" w:hAnsi="仿宋" w:eastAsia="仿宋" w:cs="宋体"/>
          <w:sz w:val="32"/>
          <w:szCs w:val="32"/>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8"/>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 专门面向中小企业采购的项目须提供《中小企业声明函》)</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r>
        <w:rPr>
          <w:rFonts w:hint="eastAsia" w:ascii="仿宋" w:hAnsi="仿宋" w:eastAsia="仿宋" w:cs="宋体"/>
          <w:sz w:val="24"/>
          <w:lang w:val="zh-CN"/>
        </w:rPr>
        <w:t xml:space="preserve"> </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r>
        <w:rPr>
          <w:rFonts w:hint="eastAsia" w:ascii="仿宋" w:hAnsi="仿宋" w:eastAsia="仿宋" w:cs="宋体"/>
          <w:sz w:val="24"/>
        </w:rPr>
        <w:t xml:space="preserve"> </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159"/>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159"/>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159"/>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159"/>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159"/>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仿宋" w:hAnsi="仿宋" w:eastAsia="仿宋" w:cs="宋体"/>
          <w:szCs w:val="24"/>
        </w:rPr>
      </w:pPr>
      <w:r>
        <w:rPr>
          <w:rFonts w:hint="eastAsia" w:ascii="仿宋" w:hAnsi="仿宋" w:eastAsia="仿宋"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4"/>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rPr>
        <w:t>但采购人、采购机构不强制或变相强制投标人提交备份投标文件。</w:t>
      </w:r>
    </w:p>
    <w:p>
      <w:pPr>
        <w:pStyle w:val="34"/>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w:t>
      </w:r>
      <w:r>
        <w:rPr>
          <w:rFonts w:hint="eastAsia" w:ascii="仿宋" w:hAnsi="仿宋" w:eastAsia="仿宋" w:cs="宋体"/>
          <w:sz w:val="24"/>
        </w:rPr>
        <w:t>DVD光盘</w:t>
      </w:r>
      <w:r>
        <w:rPr>
          <w:rFonts w:hint="eastAsia" w:ascii="仿宋" w:hAnsi="仿宋" w:eastAsia="仿宋"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159"/>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3"/>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159"/>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159"/>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159"/>
        <w:spacing w:before="0"/>
        <w:ind w:firstLine="480"/>
        <w:rPr>
          <w:rFonts w:ascii="仿宋" w:hAnsi="仿宋" w:eastAsia="仿宋" w:cs="宋体"/>
        </w:rPr>
      </w:pPr>
      <w:r>
        <w:rPr>
          <w:rFonts w:hint="eastAsia" w:ascii="仿宋" w:hAnsi="仿宋" w:eastAsia="仿宋"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59"/>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558"/>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r>
        <w:rPr>
          <w:rFonts w:hint="eastAsia" w:ascii="仿宋" w:hAnsi="仿宋" w:eastAsia="仿宋" w:cs="宋体"/>
          <w:sz w:val="24"/>
        </w:rPr>
        <w:t xml:space="preserve"> </w:t>
      </w:r>
    </w:p>
    <w:p>
      <w:pPr>
        <w:pStyle w:val="558"/>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18.3</w:t>
      </w:r>
      <w:r>
        <w:rPr>
          <w:rFonts w:hint="eastAsia" w:ascii="仿宋" w:hAnsi="仿宋" w:eastAsia="仿宋" w:cs="宋体"/>
          <w:b/>
          <w:sz w:val="24"/>
        </w:rPr>
        <w:t>投标文件未按时解密，投标人提供了备份投标文件的，以备份投标文件作为依据，否则视为投标文件撤回。投标文件已按时解密的，备份投标文件自动失效。</w:t>
      </w:r>
    </w:p>
    <w:p>
      <w:pPr>
        <w:pStyle w:val="558"/>
        <w:spacing w:line="360" w:lineRule="auto"/>
        <w:ind w:left="0" w:firstLine="480" w:firstLineChars="200"/>
        <w:contextualSpacing/>
        <w:rPr>
          <w:rFonts w:ascii="仿宋" w:hAnsi="仿宋" w:eastAsia="仿宋" w:cs="宋体"/>
          <w:sz w:val="24"/>
        </w:rPr>
      </w:pPr>
      <w:r>
        <w:rPr>
          <w:rFonts w:hint="eastAsia" w:ascii="仿宋" w:hAnsi="仿宋" w:eastAsia="仿宋" w:cs="宋体"/>
          <w:sz w:val="24"/>
        </w:rPr>
        <w:t>18.4结束解密后30分钟内，供应商应通过邮件形式将经授权代表签署的《政府采购活动现场确认声明书》（格式见采购文件最后一页内容）扫描件发至代理机构经办人邮箱（邮箱地址：521270250@qq.com，联系人：赵工，电话：15857007318），未发送视为对开标过程及结果无异议。</w:t>
      </w:r>
    </w:p>
    <w:p>
      <w:pPr>
        <w:pStyle w:val="558"/>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18.5采购机构点击【开启报价文件】，开启报价成功后进入报价评审流程。各供应商代表应当在接到系统通知后10分钟内自行完成在线签字确认，逾期未在线签字确认的视为对开标过程及结果无异议。</w:t>
      </w:r>
    </w:p>
    <w:p>
      <w:pPr>
        <w:pStyle w:val="159"/>
        <w:spacing w:before="0"/>
        <w:ind w:firstLine="0" w:firstLineChars="0"/>
        <w:rPr>
          <w:rFonts w:ascii="仿宋" w:hAnsi="仿宋" w:eastAsia="仿宋" w:cs="宋体"/>
          <w:b/>
          <w:szCs w:val="24"/>
        </w:rPr>
      </w:pPr>
      <w:r>
        <w:rPr>
          <w:rFonts w:hint="eastAsia" w:ascii="仿宋" w:hAnsi="仿宋" w:eastAsia="仿宋" w:cs="宋体"/>
          <w:b/>
          <w:szCs w:val="24"/>
        </w:rPr>
        <w:t>　19、资格审查</w:t>
      </w:r>
    </w:p>
    <w:p>
      <w:pPr>
        <w:pStyle w:val="159"/>
        <w:spacing w:before="0"/>
        <w:ind w:firstLine="480"/>
        <w:rPr>
          <w:rFonts w:ascii="仿宋" w:hAnsi="仿宋" w:eastAsia="仿宋" w:cs="宋体"/>
          <w:bCs/>
          <w:szCs w:val="24"/>
        </w:rPr>
      </w:pPr>
      <w:r>
        <w:rPr>
          <w:rFonts w:hint="eastAsia" w:ascii="仿宋" w:hAnsi="仿宋" w:eastAsia="仿宋" w:cs="宋体"/>
          <w:bCs/>
          <w:szCs w:val="24"/>
        </w:rPr>
        <w:t>19.1开标后，采购人或采购机构将依法对投标人的资格进行审查。</w:t>
      </w:r>
    </w:p>
    <w:p>
      <w:pPr>
        <w:pStyle w:val="159"/>
        <w:spacing w:before="0"/>
        <w:ind w:firstLine="480"/>
        <w:rPr>
          <w:rFonts w:ascii="仿宋" w:hAnsi="仿宋" w:eastAsia="仿宋" w:cs="宋体"/>
          <w:bCs/>
          <w:szCs w:val="24"/>
        </w:rPr>
      </w:pPr>
      <w:r>
        <w:rPr>
          <w:rFonts w:hint="eastAsia" w:ascii="仿宋" w:hAnsi="仿宋" w:eastAsia="仿宋" w:cs="宋体"/>
          <w:bCs/>
          <w:szCs w:val="24"/>
        </w:rPr>
        <w:t>19.2采购人或采购机构依据法律法规和招标文件的规定，对投标人的资格进行审查。</w:t>
      </w:r>
    </w:p>
    <w:p>
      <w:pPr>
        <w:pStyle w:val="159"/>
        <w:spacing w:before="0"/>
        <w:ind w:firstLine="480"/>
        <w:rPr>
          <w:rFonts w:ascii="仿宋" w:hAnsi="仿宋" w:eastAsia="仿宋" w:cs="宋体"/>
        </w:rPr>
      </w:pPr>
      <w:r>
        <w:rPr>
          <w:rFonts w:hint="eastAsia" w:ascii="仿宋" w:hAnsi="仿宋" w:eastAsia="仿宋" w:cs="宋体"/>
          <w:kern w:val="0"/>
          <w:szCs w:val="24"/>
        </w:rPr>
        <w:t>19.3投标人未按照招标文件要求提供与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159"/>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4对未通过资格审查的投标人，采购人或采购机构告知其未通过的原因。</w:t>
      </w:r>
    </w:p>
    <w:p>
      <w:pPr>
        <w:pStyle w:val="159"/>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5合格投标人不足3家的，不再评标。</w:t>
      </w:r>
    </w:p>
    <w:p>
      <w:pPr>
        <w:pStyle w:val="159"/>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159"/>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20.1信用信息查询渠道及截止时间：采购机构将在资格审查时通过“信用中国”网站(www.creditchina.gov.cn)、中国政府采购网(www.ccgp.gov.cn)渠道查询投标人接受资格时的信用记录。</w:t>
      </w:r>
    </w:p>
    <w:p>
      <w:pPr>
        <w:pStyle w:val="159"/>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159"/>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0" w:name="_Toc91899903"/>
      <w:r>
        <w:rPr>
          <w:rFonts w:hint="eastAsia" w:ascii="仿宋" w:hAnsi="仿宋" w:eastAsia="仿宋" w:cs="宋体"/>
          <w:b/>
          <w:sz w:val="24"/>
        </w:rPr>
        <w:t>21.</w:t>
      </w:r>
      <w:r>
        <w:rPr>
          <w:rFonts w:hint="eastAsia" w:ascii="仿宋" w:hAnsi="仿宋" w:eastAsia="仿宋" w:cs="宋体"/>
        </w:rPr>
        <w:t xml:space="preserve"> </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3"/>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159"/>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9"/>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宋体"/>
          <w:sz w:val="24"/>
        </w:rPr>
        <w:t>资格审查情况、评审专家抽取规则、符合性审查情况、</w:t>
      </w:r>
      <w:bookmarkEnd w:id="11"/>
      <w:r>
        <w:rPr>
          <w:rFonts w:hint="eastAsia" w:ascii="仿宋" w:hAnsi="仿宋" w:eastAsia="仿宋" w:cs="宋体"/>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widowControl/>
        <w:shd w:val="clear" w:color="auto" w:fill="FFFFFF"/>
        <w:spacing w:line="360" w:lineRule="auto"/>
        <w:jc w:val="center"/>
        <w:rPr>
          <w:rFonts w:ascii="仿宋" w:hAnsi="仿宋" w:eastAsia="仿宋" w:cs="宋体"/>
          <w:sz w:val="24"/>
        </w:rPr>
      </w:pPr>
      <w:r>
        <w:rPr>
          <w:rFonts w:hint="eastAsia" w:ascii="仿宋" w:hAnsi="仿宋" w:eastAsia="仿宋" w:cs="宋体"/>
          <w:b/>
          <w:sz w:val="32"/>
        </w:rPr>
        <w:t>七、合同授予</w:t>
      </w:r>
    </w:p>
    <w:p>
      <w:pPr>
        <w:pStyle w:val="3"/>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3"/>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9"/>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159"/>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159"/>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w:t>
      </w:r>
      <w:r>
        <w:rPr>
          <w:rFonts w:hint="eastAsia" w:ascii="仿宋" w:hAnsi="仿宋" w:eastAsia="仿宋" w:cs="宋体"/>
          <w:kern w:val="0"/>
          <w:sz w:val="24"/>
          <w:highlight w:val="none"/>
        </w:rPr>
        <w:t>金形式提交</w:t>
      </w:r>
      <w:r>
        <w:rPr>
          <w:rFonts w:hint="eastAsia" w:ascii="仿宋" w:hAnsi="仿宋" w:eastAsia="仿宋" w:cs="宋体"/>
          <w:sz w:val="24"/>
          <w:highlight w:val="none"/>
        </w:rPr>
        <w:t>。履约保证金的数额不得超过政府采购合同金额的</w:t>
      </w:r>
      <w:r>
        <w:rPr>
          <w:rFonts w:ascii="仿宋" w:hAnsi="仿宋" w:eastAsia="仿宋" w:cs="宋体"/>
          <w:sz w:val="24"/>
          <w:highlight w:val="none"/>
        </w:rPr>
        <w:t>1</w:t>
      </w:r>
      <w:r>
        <w:rPr>
          <w:rFonts w:hint="eastAsia" w:ascii="仿宋" w:hAnsi="仿宋" w:eastAsia="仿宋" w:cs="宋体"/>
          <w:sz w:val="24"/>
          <w:highlight w:val="none"/>
        </w:rPr>
        <w:t>%。鼓励和支持供应商以银行、保险公司出具的保函形式提供履约保证金。采购人不得拒收履约保函，项目验收结束后应及时退还，</w:t>
      </w:r>
      <w:r>
        <w:rPr>
          <w:rFonts w:ascii="仿宋" w:hAnsi="仿宋" w:eastAsia="仿宋" w:cs="宋体"/>
          <w:sz w:val="24"/>
          <w:highlight w:val="none"/>
        </w:rPr>
        <w:t>延</w:t>
      </w:r>
      <w:r>
        <w:rPr>
          <w:rFonts w:ascii="仿宋" w:hAnsi="仿宋" w:eastAsia="仿宋" w:cs="宋体"/>
          <w:sz w:val="24"/>
        </w:rPr>
        <w:t>迟退还的，应当按照合同约定和法律规定承担相应的赔偿责任</w:t>
      </w:r>
      <w:r>
        <w:rPr>
          <w:rFonts w:hint="eastAsia" w:ascii="仿宋" w:hAnsi="仿宋" w:eastAsia="仿宋" w:cs="宋体"/>
          <w:sz w:val="24"/>
        </w:rPr>
        <w:t>。</w:t>
      </w:r>
    </w:p>
    <w:p>
      <w:pPr>
        <w:pStyle w:val="6"/>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宋体"/>
          <w:b/>
          <w:sz w:val="24"/>
        </w:rPr>
      </w:pPr>
      <w:r>
        <w:rPr>
          <w:rFonts w:hint="eastAsia" w:ascii="仿宋" w:hAnsi="仿宋" w:eastAsia="仿宋" w:cs="宋体"/>
          <w:b/>
          <w:sz w:val="32"/>
        </w:rPr>
        <w:t>八、电子交易活动的中止</w:t>
      </w:r>
    </w:p>
    <w:p>
      <w:pPr>
        <w:pStyle w:val="159"/>
        <w:snapToGrid w:val="0"/>
        <w:spacing w:before="0"/>
        <w:ind w:firstLine="0" w:firstLineChars="0"/>
        <w:rPr>
          <w:rFonts w:ascii="仿宋" w:hAnsi="仿宋" w:eastAsia="仿宋" w:cs="宋体"/>
        </w:rPr>
      </w:pPr>
      <w:r>
        <w:rPr>
          <w:rFonts w:hint="eastAsia" w:ascii="仿宋" w:hAnsi="仿宋" w:eastAsia="仿宋" w:cs="宋体"/>
        </w:rPr>
        <w:t>2</w:t>
      </w:r>
      <w:r>
        <w:rPr>
          <w:rFonts w:hint="eastAsia" w:ascii="仿宋" w:hAnsi="仿宋" w:eastAsia="仿宋" w:cs="宋体"/>
          <w:b/>
          <w:szCs w:val="24"/>
        </w:rPr>
        <w:t>7. 电子交易活动的中止。</w:t>
      </w:r>
      <w:r>
        <w:rPr>
          <w:rFonts w:hint="eastAsia" w:ascii="仿宋" w:hAnsi="仿宋" w:eastAsia="仿宋" w:cs="宋体"/>
        </w:rPr>
        <w:t>采购过程中出现以下情形，导致电子交易平台无法正常运行，或者无法保证电子交易的公平、公正和安全时，采购机构可中止电子交易活动：</w:t>
      </w:r>
    </w:p>
    <w:p>
      <w:pPr>
        <w:pStyle w:val="159"/>
        <w:snapToGrid w:val="0"/>
        <w:spacing w:before="0"/>
        <w:ind w:firstLine="480"/>
        <w:rPr>
          <w:rFonts w:ascii="仿宋" w:hAnsi="仿宋" w:eastAsia="仿宋" w:cs="宋体"/>
        </w:rPr>
      </w:pPr>
      <w:r>
        <w:rPr>
          <w:rFonts w:hint="eastAsia" w:ascii="仿宋" w:hAnsi="仿宋" w:eastAsia="仿宋" w:cs="宋体"/>
        </w:rPr>
        <w:t xml:space="preserve">27.1电子交易平台发生故障而无法登录访问的； </w:t>
      </w:r>
    </w:p>
    <w:p>
      <w:pPr>
        <w:pStyle w:val="159"/>
        <w:snapToGrid w:val="0"/>
        <w:spacing w:before="0"/>
        <w:ind w:firstLine="480"/>
        <w:rPr>
          <w:rFonts w:ascii="仿宋" w:hAnsi="仿宋" w:eastAsia="仿宋" w:cs="宋体"/>
        </w:rPr>
      </w:pPr>
      <w:r>
        <w:rPr>
          <w:rFonts w:hint="eastAsia" w:ascii="仿宋" w:hAnsi="仿宋" w:eastAsia="仿宋" w:cs="宋体"/>
        </w:rPr>
        <w:t>27.2电子交易平台应用或数据库出现错误，不能进行正常操作的；</w:t>
      </w:r>
    </w:p>
    <w:p>
      <w:pPr>
        <w:pStyle w:val="159"/>
        <w:snapToGrid w:val="0"/>
        <w:spacing w:before="0"/>
        <w:ind w:firstLine="480"/>
        <w:rPr>
          <w:rFonts w:ascii="仿宋" w:hAnsi="仿宋" w:eastAsia="仿宋" w:cs="宋体"/>
        </w:rPr>
      </w:pPr>
      <w:r>
        <w:rPr>
          <w:rFonts w:hint="eastAsia" w:ascii="仿宋" w:hAnsi="仿宋" w:eastAsia="仿宋" w:cs="宋体"/>
        </w:rPr>
        <w:t>27.3电子交易平台发现严重安全漏洞，有潜在泄密危险的；</w:t>
      </w:r>
    </w:p>
    <w:p>
      <w:pPr>
        <w:pStyle w:val="159"/>
        <w:snapToGrid w:val="0"/>
        <w:spacing w:before="0"/>
        <w:ind w:firstLine="480"/>
        <w:rPr>
          <w:rFonts w:ascii="仿宋" w:hAnsi="仿宋" w:eastAsia="仿宋" w:cs="宋体"/>
        </w:rPr>
      </w:pPr>
      <w:r>
        <w:rPr>
          <w:rFonts w:hint="eastAsia" w:ascii="仿宋" w:hAnsi="仿宋" w:eastAsia="仿宋" w:cs="宋体"/>
        </w:rPr>
        <w:t xml:space="preserve">27.4病毒发作导致不能进行正常操作的； </w:t>
      </w:r>
    </w:p>
    <w:p>
      <w:pPr>
        <w:pStyle w:val="159"/>
        <w:snapToGrid w:val="0"/>
        <w:spacing w:before="0"/>
        <w:ind w:firstLine="480"/>
        <w:rPr>
          <w:rFonts w:ascii="仿宋" w:hAnsi="仿宋" w:eastAsia="仿宋" w:cs="宋体"/>
        </w:rPr>
      </w:pPr>
      <w:r>
        <w:rPr>
          <w:rFonts w:hint="eastAsia" w:ascii="仿宋" w:hAnsi="仿宋" w:eastAsia="仿宋" w:cs="宋体"/>
        </w:rPr>
        <w:t>27.5其他无法保证电子交易的公平、公正和安全的情况。</w:t>
      </w:r>
    </w:p>
    <w:p>
      <w:pPr>
        <w:pStyle w:val="159"/>
        <w:snapToGrid w:val="0"/>
        <w:spacing w:before="0"/>
        <w:ind w:firstLine="0" w:firstLineChars="0"/>
        <w:rPr>
          <w:rFonts w:ascii="仿宋" w:hAnsi="仿宋" w:eastAsia="仿宋" w:cs="宋体"/>
        </w:rPr>
      </w:pPr>
      <w:r>
        <w:rPr>
          <w:rFonts w:hint="eastAsia" w:ascii="仿宋" w:hAnsi="仿宋" w:eastAsia="仿宋"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仿宋" w:hAnsi="仿宋" w:eastAsia="仿宋" w:cs="宋体"/>
          <w:b/>
          <w:sz w:val="32"/>
        </w:rPr>
      </w:pPr>
      <w:r>
        <w:rPr>
          <w:rFonts w:hint="eastAsia" w:ascii="仿宋" w:hAnsi="仿宋" w:eastAsia="仿宋" w:cs="宋体"/>
          <w:b/>
          <w:sz w:val="32"/>
        </w:rPr>
        <w:t>九、验收</w:t>
      </w:r>
    </w:p>
    <w:p>
      <w:pPr>
        <w:pStyle w:val="3"/>
        <w:spacing w:line="360" w:lineRule="auto"/>
        <w:ind w:firstLine="0" w:firstLineChars="0"/>
        <w:rPr>
          <w:rFonts w:ascii="仿宋" w:hAnsi="仿宋" w:eastAsia="仿宋" w:cs="宋体"/>
          <w:b/>
        </w:rPr>
      </w:pPr>
      <w:r>
        <w:rPr>
          <w:rFonts w:hint="eastAsia" w:ascii="仿宋" w:hAnsi="仿宋" w:eastAsia="仿宋" w:cs="宋体"/>
          <w:b/>
        </w:rPr>
        <w:t>29.验收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pPr>
        <w:tabs>
          <w:tab w:val="left" w:pos="0"/>
        </w:tabs>
        <w:spacing w:line="360" w:lineRule="auto"/>
        <w:ind w:firstLine="480"/>
        <w:rPr>
          <w:rFonts w:ascii="仿宋" w:hAnsi="仿宋" w:eastAsia="仿宋" w:cs="宋体"/>
          <w:kern w:val="0"/>
          <w:sz w:val="24"/>
        </w:rPr>
        <w:sectPr>
          <w:pgSz w:w="11906" w:h="16838"/>
          <w:pgMar w:top="680" w:right="1418" w:bottom="468" w:left="1418" w:header="851" w:footer="992" w:gutter="0"/>
          <w:cols w:space="720" w:num="1"/>
          <w:titlePg/>
          <w:docGrid w:linePitch="312" w:charSpace="0"/>
        </w:sectPr>
      </w:pPr>
      <w:bookmarkStart w:id="12" w:name="_Hlt68057669"/>
      <w:bookmarkEnd w:id="12"/>
      <w:bookmarkStart w:id="13" w:name="_Hlt74707468"/>
      <w:bookmarkEnd w:id="13"/>
      <w:bookmarkStart w:id="14" w:name="_Hlt68072998"/>
      <w:bookmarkEnd w:id="14"/>
      <w:bookmarkStart w:id="15" w:name="_Hlt74730295"/>
      <w:bookmarkEnd w:id="15"/>
      <w:bookmarkStart w:id="16" w:name="_Hlt68403820"/>
      <w:bookmarkEnd w:id="16"/>
      <w:bookmarkStart w:id="17" w:name="_Hlt74729768"/>
      <w:bookmarkEnd w:id="17"/>
      <w:bookmarkStart w:id="18" w:name="_Hlt74714665"/>
      <w:bookmarkEnd w:id="18"/>
      <w:bookmarkStart w:id="19" w:name="_Hlt68073093"/>
      <w:bookmarkEnd w:id="19"/>
      <w:bookmarkStart w:id="20" w:name="_Hlt68072990"/>
      <w:bookmarkEnd w:id="20"/>
      <w:bookmarkStart w:id="21" w:name="_Hlt75236101"/>
      <w:bookmarkEnd w:id="21"/>
      <w:bookmarkStart w:id="22" w:name="_Hlt75236011"/>
      <w:bookmarkEnd w:id="22"/>
      <w:bookmarkStart w:id="23" w:name="_Hlt75236290"/>
      <w:bookmarkEnd w:id="23"/>
    </w:p>
    <w:bookmarkEnd w:id="8"/>
    <w:p>
      <w:pPr>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第三部分   采购需求</w:t>
      </w:r>
    </w:p>
    <w:p>
      <w:pPr>
        <w:spacing w:line="360" w:lineRule="auto"/>
        <w:jc w:val="both"/>
        <w:outlineLvl w:val="0"/>
        <w:rPr>
          <w:rFonts w:ascii="宋体" w:hAnsi="宋体"/>
          <w:szCs w:val="21"/>
        </w:rPr>
      </w:pPr>
      <w:r>
        <w:rPr>
          <w:rFonts w:hint="eastAsia" w:asciiTheme="minorEastAsia" w:hAnsiTheme="minorEastAsia" w:eastAsiaTheme="minorEastAsia" w:cstheme="minorEastAsia"/>
          <w:b/>
          <w:szCs w:val="21"/>
          <w:highlight w:val="none"/>
        </w:rPr>
        <w:t xml:space="preserve">一、招标一览表 </w:t>
      </w:r>
      <w:r>
        <w:rPr>
          <w:rFonts w:hint="eastAsia" w:asciiTheme="minorEastAsia" w:hAnsiTheme="minorEastAsia" w:eastAsiaTheme="minorEastAsia" w:cstheme="minorEastAsia"/>
          <w:b/>
          <w:szCs w:val="21"/>
          <w:highlight w:val="none"/>
          <w:lang w:eastAsia="zh-CN"/>
        </w:rPr>
        <w:t>：</w:t>
      </w:r>
      <w:r>
        <w:rPr>
          <w:rFonts w:hint="eastAsia" w:ascii="宋体" w:hAnsi="宋体"/>
          <w:szCs w:val="21"/>
        </w:rPr>
        <w:t xml:space="preserve">  </w:t>
      </w:r>
    </w:p>
    <w:tbl>
      <w:tblPr>
        <w:tblStyle w:val="63"/>
        <w:tblW w:w="8402" w:type="dxa"/>
        <w:jc w:val="center"/>
        <w:tblLayout w:type="fixed"/>
        <w:tblCellMar>
          <w:top w:w="0" w:type="dxa"/>
          <w:left w:w="0" w:type="dxa"/>
          <w:bottom w:w="0" w:type="dxa"/>
          <w:right w:w="0" w:type="dxa"/>
        </w:tblCellMar>
      </w:tblPr>
      <w:tblGrid>
        <w:gridCol w:w="680"/>
        <w:gridCol w:w="2340"/>
        <w:gridCol w:w="2160"/>
        <w:gridCol w:w="1080"/>
        <w:gridCol w:w="1080"/>
        <w:gridCol w:w="1062"/>
      </w:tblGrid>
      <w:tr>
        <w:tblPrEx>
          <w:tblCellMar>
            <w:top w:w="0" w:type="dxa"/>
            <w:left w:w="0" w:type="dxa"/>
            <w:bottom w:w="0" w:type="dxa"/>
            <w:right w:w="0" w:type="dxa"/>
          </w:tblCellMar>
        </w:tblPrEx>
        <w:trPr>
          <w:cantSplit/>
          <w:trHeight w:val="557" w:hRule="atLeast"/>
          <w:jc w:val="center"/>
        </w:trPr>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序号</w:t>
            </w:r>
          </w:p>
        </w:tc>
        <w:tc>
          <w:tcPr>
            <w:tcW w:w="23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名称</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规格型号与参数</w:t>
            </w: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单位</w:t>
            </w:r>
          </w:p>
        </w:tc>
        <w:tc>
          <w:tcPr>
            <w:tcW w:w="10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数量</w:t>
            </w:r>
          </w:p>
        </w:tc>
        <w:tc>
          <w:tcPr>
            <w:tcW w:w="10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position w:val="-6"/>
                <w:szCs w:val="21"/>
              </w:rPr>
            </w:pPr>
            <w:r>
              <w:rPr>
                <w:rFonts w:hint="eastAsia" w:ascii="宋体" w:hAnsi="宋体"/>
                <w:position w:val="-6"/>
                <w:szCs w:val="21"/>
              </w:rPr>
              <w:t>备注</w:t>
            </w:r>
          </w:p>
        </w:tc>
      </w:tr>
      <w:tr>
        <w:tblPrEx>
          <w:tblCellMar>
            <w:top w:w="0" w:type="dxa"/>
            <w:left w:w="0" w:type="dxa"/>
            <w:bottom w:w="0" w:type="dxa"/>
            <w:right w:w="0" w:type="dxa"/>
          </w:tblCellMar>
        </w:tblPrEx>
        <w:trPr>
          <w:cantSplit/>
          <w:trHeight w:val="548" w:hRule="atLeast"/>
          <w:jc w:val="center"/>
        </w:trPr>
        <w:tc>
          <w:tcPr>
            <w:tcW w:w="6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1</w:t>
            </w:r>
          </w:p>
        </w:tc>
        <w:tc>
          <w:tcPr>
            <w:tcW w:w="23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2023-2024年滨江区市政道路管理养护监理项目</w:t>
            </w:r>
          </w:p>
        </w:tc>
        <w:tc>
          <w:tcPr>
            <w:tcW w:w="21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position w:val="-6"/>
                <w:szCs w:val="21"/>
              </w:rPr>
            </w:pPr>
            <w:r>
              <w:rPr>
                <w:rFonts w:hint="eastAsia" w:ascii="宋体" w:hAnsi="宋体"/>
                <w:position w:val="-6"/>
                <w:szCs w:val="21"/>
              </w:rPr>
              <w:t>详见采购需求</w:t>
            </w:r>
          </w:p>
        </w:tc>
        <w:tc>
          <w:tcPr>
            <w:tcW w:w="10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项</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Cs w:val="21"/>
              </w:rPr>
            </w:pPr>
            <w:r>
              <w:rPr>
                <w:rFonts w:hint="eastAsia" w:ascii="宋体" w:hAnsi="宋体"/>
                <w:szCs w:val="21"/>
              </w:rPr>
              <w:t>1</w:t>
            </w:r>
          </w:p>
        </w:tc>
        <w:tc>
          <w:tcPr>
            <w:tcW w:w="1062" w:type="dxa"/>
            <w:tcBorders>
              <w:top w:val="nil"/>
              <w:left w:val="nil"/>
              <w:bottom w:val="single" w:color="auto" w:sz="4" w:space="0"/>
              <w:right w:val="single" w:color="auto" w:sz="4" w:space="0"/>
            </w:tcBorders>
            <w:vAlign w:val="center"/>
          </w:tcPr>
          <w:p>
            <w:pPr>
              <w:spacing w:line="360" w:lineRule="auto"/>
              <w:ind w:firstLine="420" w:firstLineChars="200"/>
              <w:jc w:val="center"/>
              <w:rPr>
                <w:rFonts w:ascii="宋体" w:hAnsi="宋体"/>
                <w:position w:val="-6"/>
                <w:szCs w:val="21"/>
              </w:rPr>
            </w:pPr>
          </w:p>
        </w:tc>
      </w:tr>
    </w:tbl>
    <w:p>
      <w:pPr>
        <w:spacing w:line="360" w:lineRule="auto"/>
        <w:rPr>
          <w:rFonts w:ascii="宋体" w:hAnsi="宋体"/>
          <w:b/>
          <w:szCs w:val="21"/>
        </w:rPr>
      </w:pPr>
    </w:p>
    <w:p>
      <w:pPr>
        <w:spacing w:line="360" w:lineRule="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二、招标范围：</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1、本项目为202</w:t>
      </w:r>
      <w:r>
        <w:rPr>
          <w:rFonts w:asciiTheme="minorEastAsia" w:hAnsiTheme="minorEastAsia" w:eastAsiaTheme="minorEastAsia" w:cstheme="minorEastAsia"/>
          <w:szCs w:val="21"/>
          <w:highlight w:val="none"/>
        </w:rPr>
        <w:t>3</w:t>
      </w:r>
      <w:r>
        <w:rPr>
          <w:rFonts w:hint="eastAsia" w:asciiTheme="minorEastAsia" w:hAnsiTheme="minorEastAsia" w:eastAsiaTheme="minorEastAsia" w:cstheme="minorEastAsia"/>
          <w:szCs w:val="21"/>
          <w:highlight w:val="none"/>
        </w:rPr>
        <w:t>年-202</w:t>
      </w:r>
      <w:r>
        <w:rPr>
          <w:rFonts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rPr>
        <w:t>年滨江区市政道路养护项目全过程监理（主要工作包括对负责监理的市政养护项目进行工程量核算、日常巡查、定期向业主提交监理报告等台账资料以及协助甲方做好市政养护项目管理的其他相关工作）。</w:t>
      </w:r>
    </w:p>
    <w:p>
      <w:pPr>
        <w:pStyle w:val="22"/>
        <w:spacing w:line="360" w:lineRule="auto"/>
        <w:ind w:firstLine="420"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highlight w:val="none"/>
        </w:rPr>
        <w:t>按照甲方要求可承担本标项区块内的其他市政工程监理工作，费用另计。</w:t>
      </w:r>
    </w:p>
    <w:p>
      <w:pPr>
        <w:spacing w:line="400" w:lineRule="exac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三、服务周期：</w:t>
      </w:r>
    </w:p>
    <w:p>
      <w:pPr>
        <w:widowControl/>
        <w:spacing w:line="400" w:lineRule="exact"/>
        <w:ind w:firstLine="420" w:firstLineChars="200"/>
        <w:rPr>
          <w:rFonts w:asciiTheme="minorEastAsia" w:hAnsiTheme="minorEastAsia" w:eastAsiaTheme="minorEastAsia" w:cstheme="minorEastAsia"/>
          <w:b/>
          <w:color w:val="000000"/>
          <w:kern w:val="0"/>
          <w:szCs w:val="21"/>
          <w:highlight w:val="none"/>
        </w:rPr>
      </w:pPr>
      <w:r>
        <w:rPr>
          <w:rFonts w:hint="eastAsia" w:asciiTheme="minorEastAsia" w:hAnsiTheme="minorEastAsia" w:eastAsiaTheme="minorEastAsia" w:cstheme="minorEastAsia"/>
          <w:szCs w:val="21"/>
          <w:highlight w:val="none"/>
        </w:rPr>
        <w:t>1、本项目服务期为2023年6月1日-2024年12月31日</w:t>
      </w:r>
      <w:r>
        <w:rPr>
          <w:rFonts w:hint="eastAsia" w:asciiTheme="minorEastAsia" w:hAnsiTheme="minorEastAsia" w:eastAsiaTheme="minorEastAsia" w:cstheme="minorEastAsia"/>
          <w:b/>
          <w:color w:val="000000"/>
          <w:kern w:val="0"/>
          <w:szCs w:val="21"/>
          <w:highlight w:val="none"/>
        </w:rPr>
        <w:t>。</w:t>
      </w:r>
    </w:p>
    <w:p>
      <w:pPr>
        <w:spacing w:line="400" w:lineRule="exac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四、项目清单</w:t>
      </w:r>
    </w:p>
    <w:p>
      <w:pPr>
        <w:spacing w:line="400" w:lineRule="exact"/>
        <w:ind w:firstLine="422" w:firstLineChars="200"/>
        <w:rPr>
          <w:highlight w:val="none"/>
        </w:rPr>
      </w:pPr>
      <w:r>
        <w:rPr>
          <w:rFonts w:hint="eastAsia" w:ascii="宋体" w:hAnsi="宋体" w:cs="宋体"/>
          <w:b/>
          <w:szCs w:val="21"/>
          <w:highlight w:val="none"/>
          <w:u w:val="single"/>
        </w:rPr>
        <w:t>本项目共分四个标段，按区块划分标段，区块内清单外需要巡查、监理的内容依附于就近主干道。根据管养需求，乙方须服从甲方在服务期限内，对标段内巡查、监理范围的调整。</w:t>
      </w: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标项一：浦沿街道区块道路养护监理</w:t>
      </w:r>
    </w:p>
    <w:tbl>
      <w:tblPr>
        <w:tblStyle w:val="63"/>
        <w:tblW w:w="8425" w:type="dxa"/>
        <w:tblInd w:w="0" w:type="dxa"/>
        <w:tblLayout w:type="fixed"/>
        <w:tblCellMar>
          <w:top w:w="0" w:type="dxa"/>
          <w:left w:w="0" w:type="dxa"/>
          <w:bottom w:w="0" w:type="dxa"/>
          <w:right w:w="0" w:type="dxa"/>
        </w:tblCellMar>
      </w:tblPr>
      <w:tblGrid>
        <w:gridCol w:w="909"/>
        <w:gridCol w:w="2220"/>
        <w:gridCol w:w="3520"/>
        <w:gridCol w:w="1776"/>
      </w:tblGrid>
      <w:tr>
        <w:tblPrEx>
          <w:tblCellMar>
            <w:top w:w="0" w:type="dxa"/>
            <w:left w:w="0" w:type="dxa"/>
            <w:bottom w:w="0" w:type="dxa"/>
            <w:right w:w="0" w:type="dxa"/>
          </w:tblCellMar>
        </w:tblPrEx>
        <w:trPr>
          <w:trHeight w:val="64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道路名称</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起始点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长度（米）</w:t>
            </w:r>
          </w:p>
        </w:tc>
      </w:tr>
      <w:tr>
        <w:tblPrEx>
          <w:tblCellMar>
            <w:top w:w="0" w:type="dxa"/>
            <w:left w:w="0" w:type="dxa"/>
            <w:bottom w:w="0" w:type="dxa"/>
            <w:right w:w="0" w:type="dxa"/>
          </w:tblCellMar>
        </w:tblPrEx>
        <w:trPr>
          <w:trHeight w:val="30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六和路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闻涛路-东信大道</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top w:w="8" w:type="dxa"/>
              <w:left w:w="8" w:type="dxa"/>
              <w:right w:w="8" w:type="dxa"/>
            </w:tcMar>
            <w:vAlign w:val="center"/>
          </w:tcPr>
          <w:p>
            <w:pPr>
              <w:jc w:val="center"/>
              <w:rPr>
                <w:sz w:val="22"/>
                <w:szCs w:val="22"/>
              </w:rPr>
            </w:pPr>
            <w:r>
              <w:rPr>
                <w:rFonts w:hint="eastAsia"/>
                <w:sz w:val="22"/>
                <w:szCs w:val="22"/>
              </w:rPr>
              <w:t>1256</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新和路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闻涛路-新浦河</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1426</w:t>
            </w:r>
          </w:p>
        </w:tc>
      </w:tr>
      <w:tr>
        <w:tblPrEx>
          <w:tblCellMar>
            <w:top w:w="0" w:type="dxa"/>
            <w:left w:w="0" w:type="dxa"/>
            <w:bottom w:w="0" w:type="dxa"/>
            <w:right w:w="0" w:type="dxa"/>
          </w:tblCellMar>
        </w:tblPrEx>
        <w:trPr>
          <w:trHeight w:val="385"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西浦路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新和路-滨文路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1289.56</w:t>
            </w:r>
          </w:p>
        </w:tc>
      </w:tr>
      <w:tr>
        <w:tblPrEx>
          <w:tblCellMar>
            <w:top w:w="0" w:type="dxa"/>
            <w:left w:w="0" w:type="dxa"/>
            <w:bottom w:w="0" w:type="dxa"/>
            <w:right w:w="0" w:type="dxa"/>
          </w:tblCellMar>
        </w:tblPrEx>
        <w:trPr>
          <w:trHeight w:val="64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滨文路-镇前路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1820</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明德路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艺洲街-滨文路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270.05</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艺洲街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明德路-勤学路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436.61</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勤学路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艺洲街-滨文路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272.46</w:t>
            </w:r>
          </w:p>
        </w:tc>
      </w:tr>
      <w:tr>
        <w:tblPrEx>
          <w:tblCellMar>
            <w:top w:w="0" w:type="dxa"/>
            <w:left w:w="0" w:type="dxa"/>
            <w:bottom w:w="0" w:type="dxa"/>
            <w:right w:w="0" w:type="dxa"/>
          </w:tblCellMar>
        </w:tblPrEx>
        <w:trPr>
          <w:trHeight w:val="9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临桥巷（亚克药业东侧规划支路）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闻涛路-江南大道</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242.54</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南环路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闻涛路-信诚路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1655.23</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滨盛路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南环路-信诚路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2208.01</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滨安路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振业路-信诚路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1121.59</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信志巷</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江南大道-惠商街</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215.93</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聚鸿巷</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惠商街-滨盛路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255.76</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惠商街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火炬大道-伟业路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681.27</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伟业路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1406</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振业路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滨安路-南环路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432</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1987</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诚业路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滨盛路-南环路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1455</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同庆弄</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诚业路-信诚路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322</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景明路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滨盛路以北</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134.7</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育华巷</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滨盛路-平乐街</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270.27</w:t>
            </w:r>
          </w:p>
        </w:tc>
      </w:tr>
      <w:tr>
        <w:tblPrEx>
          <w:tblCellMar>
            <w:top w:w="0" w:type="dxa"/>
            <w:left w:w="0" w:type="dxa"/>
            <w:bottom w:w="0" w:type="dxa"/>
            <w:right w:w="0" w:type="dxa"/>
          </w:tblCellMar>
        </w:tblPrEx>
        <w:trPr>
          <w:trHeight w:val="3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平乐街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育华巷-信诚路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192.34</w:t>
            </w:r>
          </w:p>
        </w:tc>
      </w:tr>
      <w:tr>
        <w:tblPrEx>
          <w:tblCellMar>
            <w:top w:w="0" w:type="dxa"/>
            <w:left w:w="0" w:type="dxa"/>
            <w:bottom w:w="0" w:type="dxa"/>
            <w:right w:w="0" w:type="dxa"/>
          </w:tblCellMar>
        </w:tblPrEx>
        <w:trPr>
          <w:trHeight w:val="59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杭州高新软件园二、三期一号路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伟业路-江南大道</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123.69</w:t>
            </w:r>
          </w:p>
        </w:tc>
      </w:tr>
      <w:tr>
        <w:tblPrEx>
          <w:tblCellMar>
            <w:top w:w="0" w:type="dxa"/>
            <w:left w:w="0" w:type="dxa"/>
            <w:bottom w:w="0" w:type="dxa"/>
            <w:right w:w="0" w:type="dxa"/>
          </w:tblCellMar>
        </w:tblPrEx>
        <w:trPr>
          <w:trHeight w:val="952"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杭州高新软件园二、三期二号路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杭州高新软件园二、三期一号路-杭州高新软件园二、三期四号路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128.81</w:t>
            </w:r>
          </w:p>
        </w:tc>
      </w:tr>
      <w:tr>
        <w:tblPrEx>
          <w:tblCellMar>
            <w:top w:w="0" w:type="dxa"/>
            <w:left w:w="0" w:type="dxa"/>
            <w:bottom w:w="0" w:type="dxa"/>
            <w:right w:w="0" w:type="dxa"/>
          </w:tblCellMar>
        </w:tblPrEx>
        <w:trPr>
          <w:trHeight w:val="72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杭州高新软件园二、三期三号路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杭州高新软件园二、三期一号路-信志路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258.84</w:t>
            </w:r>
          </w:p>
        </w:tc>
      </w:tr>
      <w:tr>
        <w:tblPrEx>
          <w:tblCellMar>
            <w:top w:w="0" w:type="dxa"/>
            <w:left w:w="0" w:type="dxa"/>
            <w:bottom w:w="0" w:type="dxa"/>
            <w:right w:w="0" w:type="dxa"/>
          </w:tblCellMar>
        </w:tblPrEx>
        <w:trPr>
          <w:trHeight w:val="59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杭州高新软件园二、三期四号路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惠商街-江南大道</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299.79</w:t>
            </w:r>
          </w:p>
        </w:tc>
      </w:tr>
      <w:tr>
        <w:tblPrEx>
          <w:tblCellMar>
            <w:top w:w="0" w:type="dxa"/>
            <w:left w:w="0" w:type="dxa"/>
            <w:bottom w:w="0" w:type="dxa"/>
            <w:right w:w="0" w:type="dxa"/>
          </w:tblCellMar>
        </w:tblPrEx>
        <w:trPr>
          <w:trHeight w:val="68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杭州高新软件园二、三期五号路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惠商街-杭州高新软件园二、三期三号路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112.29</w:t>
            </w:r>
          </w:p>
        </w:tc>
      </w:tr>
      <w:tr>
        <w:tblPrEx>
          <w:tblCellMar>
            <w:top w:w="0" w:type="dxa"/>
            <w:left w:w="0" w:type="dxa"/>
            <w:bottom w:w="0" w:type="dxa"/>
            <w:right w:w="0" w:type="dxa"/>
          </w:tblCellMar>
        </w:tblPrEx>
        <w:trPr>
          <w:trHeight w:val="57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彩宏大厦东侧支路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滨文路-联庄安置房</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229</w:t>
            </w:r>
          </w:p>
        </w:tc>
      </w:tr>
      <w:tr>
        <w:tblPrEx>
          <w:tblCellMar>
            <w:top w:w="0" w:type="dxa"/>
            <w:left w:w="0" w:type="dxa"/>
            <w:bottom w:w="0" w:type="dxa"/>
            <w:right w:w="0" w:type="dxa"/>
          </w:tblCellMar>
        </w:tblPrEx>
        <w:trPr>
          <w:trHeight w:val="61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连江街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西浦路-闻涛路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411</w:t>
            </w:r>
          </w:p>
        </w:tc>
      </w:tr>
      <w:tr>
        <w:tblPrEx>
          <w:tblCellMar>
            <w:top w:w="0" w:type="dxa"/>
            <w:left w:w="0" w:type="dxa"/>
            <w:bottom w:w="0" w:type="dxa"/>
            <w:right w:w="0" w:type="dxa"/>
          </w:tblCellMar>
        </w:tblPrEx>
        <w:trPr>
          <w:trHeight w:val="59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芳华弄</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闻涛路-西浦路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410</w:t>
            </w:r>
          </w:p>
        </w:tc>
      </w:tr>
      <w:tr>
        <w:tblPrEx>
          <w:tblCellMar>
            <w:top w:w="0" w:type="dxa"/>
            <w:left w:w="0" w:type="dxa"/>
            <w:bottom w:w="0" w:type="dxa"/>
            <w:right w:w="0" w:type="dxa"/>
          </w:tblCellMar>
        </w:tblPrEx>
        <w:trPr>
          <w:trHeight w:val="552"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30</w:t>
            </w:r>
          </w:p>
          <w:p>
            <w:pPr>
              <w:jc w:val="center"/>
              <w:rPr>
                <w:sz w:val="22"/>
                <w:szCs w:val="22"/>
              </w:rPr>
            </w:pPr>
            <w:r>
              <w:rPr>
                <w:rFonts w:hint="eastAsia"/>
                <w:sz w:val="22"/>
                <w:szCs w:val="22"/>
              </w:rPr>
              <w:t>31</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八甲街</w:t>
            </w:r>
          </w:p>
          <w:p>
            <w:pPr>
              <w:jc w:val="center"/>
              <w:rPr>
                <w:sz w:val="22"/>
                <w:szCs w:val="22"/>
              </w:rPr>
            </w:pPr>
            <w:r>
              <w:rPr>
                <w:rFonts w:hint="eastAsia"/>
                <w:sz w:val="22"/>
                <w:szCs w:val="22"/>
              </w:rPr>
              <w:t>滨浦路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闻涛路-西浦路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415</w:t>
            </w:r>
          </w:p>
        </w:tc>
      </w:tr>
      <w:tr>
        <w:tblPrEx>
          <w:tblCellMar>
            <w:top w:w="0" w:type="dxa"/>
            <w:left w:w="0" w:type="dxa"/>
            <w:bottom w:w="0" w:type="dxa"/>
            <w:right w:w="0" w:type="dxa"/>
          </w:tblCellMar>
        </w:tblPrEx>
        <w:trPr>
          <w:trHeight w:val="486"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滨文路-芳华弄</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154</w:t>
            </w:r>
          </w:p>
        </w:tc>
      </w:tr>
      <w:tr>
        <w:tblPrEx>
          <w:tblCellMar>
            <w:top w:w="0" w:type="dxa"/>
            <w:left w:w="0" w:type="dxa"/>
            <w:bottom w:w="0" w:type="dxa"/>
            <w:right w:w="0" w:type="dxa"/>
          </w:tblCellMar>
        </w:tblPrEx>
        <w:trPr>
          <w:trHeight w:val="62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承前巷</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芳华弄-连江街</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512</w:t>
            </w:r>
          </w:p>
        </w:tc>
      </w:tr>
      <w:tr>
        <w:tblPrEx>
          <w:tblCellMar>
            <w:top w:w="0" w:type="dxa"/>
            <w:left w:w="0" w:type="dxa"/>
            <w:bottom w:w="0" w:type="dxa"/>
            <w:right w:w="0" w:type="dxa"/>
          </w:tblCellMar>
        </w:tblPrEx>
        <w:trPr>
          <w:trHeight w:val="568"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西浦路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镇前路-龙山路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1499</w:t>
            </w:r>
          </w:p>
        </w:tc>
      </w:tr>
      <w:tr>
        <w:tblPrEx>
          <w:tblCellMar>
            <w:top w:w="0" w:type="dxa"/>
            <w:left w:w="0" w:type="dxa"/>
            <w:bottom w:w="0" w:type="dxa"/>
            <w:right w:w="0" w:type="dxa"/>
          </w:tblCellMar>
        </w:tblPrEx>
        <w:trPr>
          <w:trHeight w:val="558"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滨浦路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滨文路-浦矩街</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427.42</w:t>
            </w:r>
          </w:p>
        </w:tc>
      </w:tr>
      <w:tr>
        <w:tblPrEx>
          <w:tblCellMar>
            <w:top w:w="0" w:type="dxa"/>
            <w:left w:w="0" w:type="dxa"/>
            <w:bottom w:w="0" w:type="dxa"/>
            <w:right w:w="0" w:type="dxa"/>
          </w:tblCellMar>
        </w:tblPrEx>
        <w:trPr>
          <w:trHeight w:val="67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杨家墩街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浦沿路-明德路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663</w:t>
            </w:r>
          </w:p>
        </w:tc>
      </w:tr>
      <w:tr>
        <w:tblPrEx>
          <w:tblCellMar>
            <w:top w:w="0" w:type="dxa"/>
            <w:left w:w="0" w:type="dxa"/>
            <w:bottom w:w="0" w:type="dxa"/>
            <w:right w:w="0" w:type="dxa"/>
          </w:tblCellMar>
        </w:tblPrEx>
        <w:trPr>
          <w:trHeight w:val="618"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东冠路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信诚南路-浦沿路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2297</w:t>
            </w:r>
          </w:p>
        </w:tc>
      </w:tr>
      <w:tr>
        <w:tblPrEx>
          <w:tblCellMar>
            <w:top w:w="0" w:type="dxa"/>
            <w:left w:w="0" w:type="dxa"/>
            <w:bottom w:w="0" w:type="dxa"/>
            <w:right w:w="0" w:type="dxa"/>
          </w:tblCellMar>
        </w:tblPrEx>
        <w:trPr>
          <w:trHeight w:val="64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西浦路-闻涛路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597</w:t>
            </w:r>
          </w:p>
        </w:tc>
      </w:tr>
      <w:tr>
        <w:tblPrEx>
          <w:tblCellMar>
            <w:top w:w="0" w:type="dxa"/>
            <w:left w:w="0" w:type="dxa"/>
            <w:bottom w:w="0" w:type="dxa"/>
            <w:right w:w="0" w:type="dxa"/>
          </w:tblCellMar>
        </w:tblPrEx>
        <w:trPr>
          <w:trHeight w:val="63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浦炬街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闻涛路-火炬大道</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2919.11</w:t>
            </w:r>
          </w:p>
        </w:tc>
      </w:tr>
      <w:tr>
        <w:tblPrEx>
          <w:tblCellMar>
            <w:top w:w="0" w:type="dxa"/>
            <w:left w:w="0" w:type="dxa"/>
            <w:bottom w:w="0" w:type="dxa"/>
            <w:right w:w="0" w:type="dxa"/>
          </w:tblCellMar>
        </w:tblPrEx>
        <w:trPr>
          <w:trHeight w:val="612"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明德路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艺洲街-冠山路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2164.72</w:t>
            </w:r>
          </w:p>
        </w:tc>
      </w:tr>
      <w:tr>
        <w:tblPrEx>
          <w:tblCellMar>
            <w:top w:w="0" w:type="dxa"/>
            <w:left w:w="0" w:type="dxa"/>
            <w:bottom w:w="0" w:type="dxa"/>
            <w:right w:w="0" w:type="dxa"/>
          </w:tblCellMar>
        </w:tblPrEx>
        <w:trPr>
          <w:trHeight w:val="9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望水路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闻涛路-西浦路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466.86</w:t>
            </w:r>
          </w:p>
        </w:tc>
      </w:tr>
      <w:tr>
        <w:tblPrEx>
          <w:tblCellMar>
            <w:top w:w="0" w:type="dxa"/>
            <w:left w:w="0" w:type="dxa"/>
            <w:bottom w:w="0" w:type="dxa"/>
            <w:right w:w="0" w:type="dxa"/>
          </w:tblCellMar>
        </w:tblPrEx>
        <w:trPr>
          <w:trHeight w:val="67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鸡鸣山路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滨浦路-西浦路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175.95</w:t>
            </w:r>
          </w:p>
        </w:tc>
      </w:tr>
      <w:tr>
        <w:tblPrEx>
          <w:tblCellMar>
            <w:top w:w="0" w:type="dxa"/>
            <w:left w:w="0" w:type="dxa"/>
            <w:bottom w:w="0" w:type="dxa"/>
            <w:right w:w="0" w:type="dxa"/>
          </w:tblCellMar>
        </w:tblPrEx>
        <w:trPr>
          <w:trHeight w:val="551"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规划支路3号</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闻涛路-西浦路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431</w:t>
            </w:r>
          </w:p>
        </w:tc>
      </w:tr>
      <w:tr>
        <w:tblPrEx>
          <w:tblCellMar>
            <w:top w:w="0" w:type="dxa"/>
            <w:left w:w="0" w:type="dxa"/>
            <w:bottom w:w="0" w:type="dxa"/>
            <w:right w:w="0" w:type="dxa"/>
          </w:tblCellMar>
        </w:tblPrEx>
        <w:trPr>
          <w:trHeight w:val="61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浦联路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闻涛路-西浦路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276.11</w:t>
            </w:r>
          </w:p>
        </w:tc>
      </w:tr>
      <w:tr>
        <w:tblPrEx>
          <w:tblCellMar>
            <w:top w:w="0" w:type="dxa"/>
            <w:left w:w="0" w:type="dxa"/>
            <w:bottom w:w="0" w:type="dxa"/>
            <w:right w:w="0" w:type="dxa"/>
          </w:tblCellMar>
        </w:tblPrEx>
        <w:trPr>
          <w:trHeight w:val="638"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至仁街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明德路-许家河</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866.58</w:t>
            </w:r>
          </w:p>
        </w:tc>
      </w:tr>
      <w:tr>
        <w:tblPrEx>
          <w:tblCellMar>
            <w:top w:w="0" w:type="dxa"/>
            <w:left w:w="0" w:type="dxa"/>
            <w:bottom w:w="0" w:type="dxa"/>
            <w:right w:w="0" w:type="dxa"/>
          </w:tblCellMar>
        </w:tblPrEx>
        <w:trPr>
          <w:trHeight w:val="54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至善路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滨文路-明志路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398</w:t>
            </w:r>
          </w:p>
        </w:tc>
      </w:tr>
      <w:tr>
        <w:tblPrEx>
          <w:tblCellMar>
            <w:top w:w="0" w:type="dxa"/>
            <w:left w:w="0" w:type="dxa"/>
            <w:bottom w:w="0" w:type="dxa"/>
            <w:right w:w="0" w:type="dxa"/>
          </w:tblCellMar>
        </w:tblPrEx>
        <w:trPr>
          <w:trHeight w:val="56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明志路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至善路-勤业路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725.63</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勤业路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滨文路-明志路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89</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南川路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火炬大道-冠山路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920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紫云路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浦湖街-浦炬街</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194.92</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回龙庵路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紫红岭路-浦炬街</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336.68</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连江街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西浦路-闻涛路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411</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信诚南路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东冠路-浦沿界</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353.89</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浦沿中学西侧支路（介入管理）</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新杨路-东冠路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427.84</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诚业南路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东冠路-彩霞路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244</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创智街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汤吴家路-明德路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820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彩霞路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火炬大道-信诚路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445</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冠业巷</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东冠路-冠新路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325</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常学街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冠山路-南川路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550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博研弄</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南川路-诚业南路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380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59</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新浦路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浦炬街-龙山路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1200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潮涌路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生地街-东冠路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320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浦联路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西浦路-新浦路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560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芳沁街</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浦沿路-明德路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720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林家里路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闻涛路-西浦路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530</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坚塔路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西浦路-新浦路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485</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坚塔路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闻涛路-西浦路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533</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66</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联庄三号路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联庄二号路-联庄一号路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457</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信诚南路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火炬大道-东冠路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1115</w:t>
            </w:r>
          </w:p>
        </w:tc>
      </w:tr>
      <w:tr>
        <w:tblPrEx>
          <w:tblCellMar>
            <w:top w:w="0" w:type="dxa"/>
            <w:left w:w="0" w:type="dxa"/>
            <w:bottom w:w="0" w:type="dxa"/>
            <w:right w:w="0" w:type="dxa"/>
          </w:tblCellMar>
        </w:tblPrEx>
        <w:trPr>
          <w:trHeight w:val="63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68</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浦西路</w:t>
            </w:r>
          </w:p>
        </w:tc>
        <w:tc>
          <w:tcPr>
            <w:tcW w:w="35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镇前路-望水路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500</w:t>
            </w:r>
          </w:p>
        </w:tc>
      </w:tr>
      <w:tr>
        <w:tblPrEx>
          <w:tblCellMar>
            <w:top w:w="0" w:type="dxa"/>
            <w:left w:w="0" w:type="dxa"/>
            <w:bottom w:w="0" w:type="dxa"/>
            <w:right w:w="0" w:type="dxa"/>
          </w:tblCellMar>
        </w:tblPrEx>
        <w:trPr>
          <w:trHeight w:val="62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69</w:t>
            </w:r>
          </w:p>
        </w:tc>
        <w:tc>
          <w:tcPr>
            <w:tcW w:w="5740"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48229.5</w:t>
            </w:r>
          </w:p>
        </w:tc>
      </w:tr>
    </w:tbl>
    <w:p>
      <w:pPr>
        <w:widowControl/>
        <w:jc w:val="center"/>
        <w:textAlignment w:val="center"/>
        <w:rPr>
          <w:rFonts w:ascii="宋体" w:hAnsi="宋体" w:cs="宋体"/>
          <w:color w:val="000000"/>
          <w:kern w:val="0"/>
          <w:szCs w:val="21"/>
          <w:lang w:bidi="ar"/>
        </w:rPr>
      </w:pP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标项二：长河街道区块道路养护监理</w:t>
      </w:r>
    </w:p>
    <w:p>
      <w:pPr>
        <w:pStyle w:val="8"/>
      </w:pPr>
    </w:p>
    <w:tbl>
      <w:tblPr>
        <w:tblStyle w:val="63"/>
        <w:tblW w:w="8413" w:type="dxa"/>
        <w:tblInd w:w="0" w:type="dxa"/>
        <w:tblLayout w:type="fixed"/>
        <w:tblCellMar>
          <w:top w:w="0" w:type="dxa"/>
          <w:left w:w="0" w:type="dxa"/>
          <w:bottom w:w="0" w:type="dxa"/>
          <w:right w:w="0" w:type="dxa"/>
        </w:tblCellMar>
      </w:tblPr>
      <w:tblGrid>
        <w:gridCol w:w="1257"/>
        <w:gridCol w:w="1857"/>
        <w:gridCol w:w="3523"/>
        <w:gridCol w:w="1776"/>
      </w:tblGrid>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编号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道路名称</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起始点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长度（米）</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adjustRightInd/>
              <w:jc w:val="center"/>
              <w:rPr>
                <w:kern w:val="0"/>
                <w:sz w:val="22"/>
                <w:szCs w:val="22"/>
              </w:rPr>
            </w:pPr>
            <w:r>
              <w:rPr>
                <w:rFonts w:hint="eastAsia"/>
                <w:sz w:val="22"/>
                <w:szCs w:val="22"/>
              </w:rPr>
              <w:t>滨盛路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信诚路-长河路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2216.66</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滨安路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信诚路-长河路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2153.12</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滨兴路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南川路-长河路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1800</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怀德街</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信诚路-立业路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1024.34</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越达巷</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立业路-时代大道</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389.32</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滨和路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网商路-长河路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324.3</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同人街</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时代大道-长河路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702.69</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咏渡巷</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闻涛路-同人街</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352</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金河弄</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咏渡巷-长河路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348</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平乐街</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信诚路-建业路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964.58</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南环路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信诚路-长河路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2173.5</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儿康路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滨盛路-江南大道</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420</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建业路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3130</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南川路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江南大道-南环路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1365</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立业路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越达巷-南环路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1156.95</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网商路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时代大道-南环路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2627.52</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3330</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秋溢路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时代大道-长河路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688.58</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19</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江二路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长河路-网商路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290</w:t>
            </w:r>
          </w:p>
        </w:tc>
      </w:tr>
      <w:tr>
        <w:tblPrEx>
          <w:tblCellMar>
            <w:top w:w="0" w:type="dxa"/>
            <w:left w:w="0" w:type="dxa"/>
            <w:bottom w:w="0" w:type="dxa"/>
            <w:right w:w="0" w:type="dxa"/>
          </w:tblCellMar>
        </w:tblPrEx>
        <w:trPr>
          <w:trHeight w:val="835"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国慷路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建业路—诚品路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760</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滨盛路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时代大道—长河路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850</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同人街</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长河路-水印巷</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174.35</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水印巷</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闻涛路-滨盛路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440</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滨盛路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长河路-江晖路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1600</w:t>
            </w:r>
          </w:p>
        </w:tc>
      </w:tr>
      <w:tr>
        <w:tblPrEx>
          <w:tblCellMar>
            <w:top w:w="0" w:type="dxa"/>
            <w:left w:w="0" w:type="dxa"/>
            <w:bottom w:w="0" w:type="dxa"/>
            <w:right w:w="0" w:type="dxa"/>
          </w:tblCellMar>
        </w:tblPrEx>
        <w:trPr>
          <w:trHeight w:val="8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科技馆街</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萧山排灌站-江晖路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1200</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康顺路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科技馆街-浙二医院</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506.54</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红门巷</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康顺路-江虹路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184.77</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安业路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闻涛路-新月路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520</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29</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新月路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江虹路-江晖路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877</w:t>
            </w:r>
          </w:p>
        </w:tc>
      </w:tr>
      <w:tr>
        <w:tblPrEx>
          <w:tblCellMar>
            <w:top w:w="0" w:type="dxa"/>
            <w:left w:w="0" w:type="dxa"/>
            <w:bottom w:w="0" w:type="dxa"/>
            <w:right w:w="0" w:type="dxa"/>
          </w:tblCellMar>
        </w:tblPrEx>
        <w:trPr>
          <w:trHeight w:val="4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安德巷</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科技馆街-滨盛路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176.21</w:t>
            </w:r>
          </w:p>
        </w:tc>
      </w:tr>
      <w:tr>
        <w:tblPrEx>
          <w:tblCellMar>
            <w:top w:w="0" w:type="dxa"/>
            <w:left w:w="0" w:type="dxa"/>
            <w:bottom w:w="0" w:type="dxa"/>
            <w:right w:w="0" w:type="dxa"/>
          </w:tblCellMar>
        </w:tblPrEx>
        <w:trPr>
          <w:trHeight w:val="64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诚宜巷</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科技馆街-滨盛路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176.5</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江虹路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3700</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江汉路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闻涛路-春晓路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1917.56</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月明路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江汉路-春晓路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1183.9</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共鸣巷</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滨和路-滨兴路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341.66</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36</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齐飞路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滨和路-滨兴路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398.62</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37</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兴才街</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长河路-江虹路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700</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38</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秋溢路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长河路-江淑路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1066.47</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39</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春波路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江晖路-江陵路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692.24</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江淑路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滨兴路-滨康路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651.79</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聚才路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秋溢路-南环路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1310</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绿香街</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长河路-江虹路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575</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江二路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长河路-江虹路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600</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滨兴路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长河路-春晓路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3306.66</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滨安路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长河路-江晖路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2277.48</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46</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滨和路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长河路-春晓路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1554.63</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47</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东流路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江淑路-江晖路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350</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48</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星飞路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闻涛路-新月路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710</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49</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南环路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长河路-江虹路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565</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50</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长河街道六社区统筹开发项目南规划支路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长河路-聚才路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297</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长江路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滨文路-映翠路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3004</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南川路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时代大道-天马路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689</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湖西路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白马湖路-映翠路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1595</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映翠路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长江路-萧山界</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1777</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腾龙路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白马湖路-映翠路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1491</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56</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井山坞路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长江路-萧山界</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1206</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57</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汤堰路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映翠路-萧山界</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1214</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58</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湘滨路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湖西路-萧山界</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428</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59</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塘子堰路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长江路-天马路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655.19</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60</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漫湖路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长江路-映翠路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450</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映翠路以北规划支路（介入管理）</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天马路-映翠路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647</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彩霞路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百仁路—信诚路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360</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湘滨东路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湖西路—腾龙路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820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海福路西侧支路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腾龙路—海福路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湖西路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白马湖路—天马路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1620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6</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湖西路东侧支路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湖西路—刺棱路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780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7</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善言路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天马路—映翠路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720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8</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冠新路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信诚南路—向南路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660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9</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江虹路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滨文路-白马湖路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1100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0</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一号路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一号路（江虹南路-桥界）</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340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1</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延庆寺路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天马路-区界</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2</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向南路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彩霞路-滨文路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405</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3</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冠塘路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湖西路西侧支路-南川路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520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4</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白马湖中学规划道路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白马湖路-白马湖路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610</w:t>
            </w:r>
          </w:p>
        </w:tc>
      </w:tr>
      <w:tr>
        <w:tblPrEx>
          <w:tblCellMar>
            <w:top w:w="0" w:type="dxa"/>
            <w:left w:w="0" w:type="dxa"/>
            <w:bottom w:w="0" w:type="dxa"/>
            <w:right w:w="0" w:type="dxa"/>
          </w:tblCellMar>
        </w:tblPrEx>
        <w:trPr>
          <w:trHeight w:val="34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r>
              <w:rPr>
                <w:rFonts w:ascii="宋体" w:hAnsi="宋体" w:cs="宋体"/>
                <w:color w:val="000000"/>
                <w:kern w:val="0"/>
                <w:szCs w:val="21"/>
                <w:lang w:bidi="ar"/>
              </w:rPr>
              <w:t>5</w:t>
            </w:r>
          </w:p>
        </w:tc>
        <w:tc>
          <w:tcPr>
            <w:tcW w:w="18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美女山路</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沿山北路—越王路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1238</w:t>
            </w:r>
          </w:p>
        </w:tc>
      </w:tr>
      <w:tr>
        <w:tblPrEx>
          <w:tblCellMar>
            <w:top w:w="0" w:type="dxa"/>
            <w:left w:w="0" w:type="dxa"/>
            <w:bottom w:w="0" w:type="dxa"/>
            <w:right w:w="0" w:type="dxa"/>
          </w:tblCellMar>
        </w:tblPrEx>
        <w:trPr>
          <w:trHeight w:val="41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76</w:t>
            </w:r>
          </w:p>
        </w:tc>
        <w:tc>
          <w:tcPr>
            <w:tcW w:w="5380"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78009.13</w:t>
            </w:r>
          </w:p>
        </w:tc>
      </w:tr>
    </w:tbl>
    <w:p>
      <w:pPr>
        <w:pStyle w:val="8"/>
      </w:pP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标项三：西兴街道区块道路养护监理</w:t>
      </w:r>
    </w:p>
    <w:tbl>
      <w:tblPr>
        <w:tblStyle w:val="63"/>
        <w:tblW w:w="8397" w:type="dxa"/>
        <w:tblInd w:w="0" w:type="dxa"/>
        <w:tblLayout w:type="fixed"/>
        <w:tblCellMar>
          <w:top w:w="0" w:type="dxa"/>
          <w:left w:w="0" w:type="dxa"/>
          <w:bottom w:w="0" w:type="dxa"/>
          <w:right w:w="0" w:type="dxa"/>
        </w:tblCellMar>
      </w:tblPr>
      <w:tblGrid>
        <w:gridCol w:w="1222"/>
        <w:gridCol w:w="2540"/>
        <w:gridCol w:w="2854"/>
        <w:gridCol w:w="1781"/>
      </w:tblGrid>
      <w:tr>
        <w:tblPrEx>
          <w:tblCellMar>
            <w:top w:w="0" w:type="dxa"/>
            <w:left w:w="0" w:type="dxa"/>
            <w:bottom w:w="0" w:type="dxa"/>
            <w:right w:w="0" w:type="dxa"/>
          </w:tblCellMar>
        </w:tblPrEx>
        <w:trPr>
          <w:trHeight w:val="78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编号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道路名称</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起始点</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长度（米）</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adjustRightInd/>
              <w:jc w:val="center"/>
              <w:rPr>
                <w:kern w:val="0"/>
                <w:sz w:val="22"/>
                <w:szCs w:val="22"/>
              </w:rPr>
            </w:pPr>
            <w:r>
              <w:rPr>
                <w:rFonts w:hint="eastAsia"/>
                <w:sz w:val="22"/>
                <w:szCs w:val="22"/>
              </w:rPr>
              <w:t>科技馆街</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江陵路-西兴路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758</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科宇巷</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科技馆街-滨盛路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303</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星泽路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滨盛路-缤纷街</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582.88</w:t>
            </w:r>
          </w:p>
        </w:tc>
      </w:tr>
      <w:tr>
        <w:tblPrEx>
          <w:tblCellMar>
            <w:top w:w="0" w:type="dxa"/>
            <w:left w:w="0" w:type="dxa"/>
            <w:bottom w:w="0" w:type="dxa"/>
            <w:right w:w="0" w:type="dxa"/>
          </w:tblCellMar>
        </w:tblPrEx>
        <w:trPr>
          <w:trHeight w:val="54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共联路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物联网街-江汉东路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546</w:t>
            </w:r>
          </w:p>
        </w:tc>
      </w:tr>
      <w:tr>
        <w:tblPrEx>
          <w:tblCellMar>
            <w:top w:w="0" w:type="dxa"/>
            <w:left w:w="0" w:type="dxa"/>
            <w:bottom w:w="0" w:type="dxa"/>
            <w:right w:w="0" w:type="dxa"/>
          </w:tblCellMar>
        </w:tblPrEx>
        <w:trPr>
          <w:trHeight w:val="47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缤纷街</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江陵路-西兴路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780</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联慧街</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阡陌路-协同路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823</w:t>
            </w:r>
          </w:p>
        </w:tc>
      </w:tr>
      <w:tr>
        <w:tblPrEx>
          <w:tblCellMar>
            <w:top w:w="0" w:type="dxa"/>
            <w:left w:w="0" w:type="dxa"/>
            <w:bottom w:w="0" w:type="dxa"/>
            <w:right w:w="0" w:type="dxa"/>
          </w:tblCellMar>
        </w:tblPrEx>
        <w:trPr>
          <w:trHeight w:val="445" w:hRule="atLeast"/>
        </w:trPr>
        <w:tc>
          <w:tcPr>
            <w:tcW w:w="1222" w:type="dxa"/>
            <w:vMerge w:val="restart"/>
            <w:tcBorders>
              <w:top w:val="single" w:color="000000" w:sz="4" w:space="0"/>
              <w:left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2540" w:type="dxa"/>
            <w:vMerge w:val="restart"/>
            <w:tcBorders>
              <w:top w:val="single" w:color="000000" w:sz="4" w:space="0"/>
              <w:left w:val="single" w:color="000000" w:sz="4" w:space="0"/>
              <w:right w:val="single" w:color="000000" w:sz="4" w:space="0"/>
            </w:tcBorders>
            <w:shd w:val="clear" w:color="auto" w:fill="auto"/>
            <w:tcMar>
              <w:top w:w="8" w:type="dxa"/>
              <w:left w:w="8" w:type="dxa"/>
              <w:right w:w="8" w:type="dxa"/>
            </w:tcMar>
            <w:vAlign w:val="center"/>
          </w:tcPr>
          <w:p>
            <w:pPr>
              <w:widowControl/>
              <w:adjustRightInd/>
              <w:jc w:val="center"/>
              <w:rPr>
                <w:kern w:val="0"/>
                <w:sz w:val="22"/>
                <w:szCs w:val="22"/>
              </w:rPr>
            </w:pPr>
            <w:r>
              <w:rPr>
                <w:rFonts w:hint="eastAsia"/>
                <w:sz w:val="22"/>
                <w:szCs w:val="22"/>
              </w:rPr>
              <w:t>启智街</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春晓路-西兴路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1391</w:t>
            </w:r>
          </w:p>
        </w:tc>
      </w:tr>
      <w:tr>
        <w:tblPrEx>
          <w:tblCellMar>
            <w:top w:w="0" w:type="dxa"/>
            <w:left w:w="0" w:type="dxa"/>
            <w:bottom w:w="0" w:type="dxa"/>
            <w:right w:w="0" w:type="dxa"/>
          </w:tblCellMar>
        </w:tblPrEx>
        <w:trPr>
          <w:trHeight w:val="445" w:hRule="atLeast"/>
        </w:trPr>
        <w:tc>
          <w:tcPr>
            <w:tcW w:w="1222" w:type="dxa"/>
            <w:vMerge w:val="continue"/>
            <w:tcBorders>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p>
        </w:tc>
        <w:tc>
          <w:tcPr>
            <w:tcW w:w="2540" w:type="dxa"/>
            <w:vMerge w:val="continue"/>
            <w:tcBorders>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sz w:val="22"/>
                <w:szCs w:val="22"/>
              </w:rPr>
              <w:t>西兴路-协同路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sz w:val="22"/>
                <w:szCs w:val="22"/>
              </w:rPr>
              <w:t>237</w:t>
            </w:r>
          </w:p>
        </w:tc>
      </w:tr>
      <w:tr>
        <w:tblPrEx>
          <w:tblCellMar>
            <w:top w:w="0" w:type="dxa"/>
            <w:left w:w="0" w:type="dxa"/>
            <w:bottom w:w="0" w:type="dxa"/>
            <w:right w:w="0" w:type="dxa"/>
          </w:tblCellMar>
        </w:tblPrEx>
        <w:trPr>
          <w:trHeight w:val="411"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adjustRightInd/>
              <w:jc w:val="center"/>
              <w:rPr>
                <w:kern w:val="0"/>
                <w:sz w:val="22"/>
                <w:szCs w:val="22"/>
              </w:rPr>
            </w:pPr>
            <w:r>
              <w:rPr>
                <w:rFonts w:hint="eastAsia"/>
                <w:sz w:val="22"/>
                <w:szCs w:val="22"/>
              </w:rPr>
              <w:t>新联路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物联网街-江汉东路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1354</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春晓路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江南大道-江汉东路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1418.11</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物联网街</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江陵路-协同路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1524</w:t>
            </w:r>
          </w:p>
        </w:tc>
      </w:tr>
      <w:tr>
        <w:tblPrEx>
          <w:tblCellMar>
            <w:top w:w="0" w:type="dxa"/>
            <w:left w:w="0" w:type="dxa"/>
            <w:bottom w:w="0" w:type="dxa"/>
            <w:right w:w="0" w:type="dxa"/>
          </w:tblCellMar>
        </w:tblPrEx>
        <w:trPr>
          <w:trHeight w:val="391"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丹枫路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江陵路-西兴路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784</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阡陌路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闻涛路-江汉东路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2574.16</w:t>
            </w:r>
          </w:p>
        </w:tc>
      </w:tr>
      <w:tr>
        <w:tblPrEx>
          <w:tblCellMar>
            <w:top w:w="0" w:type="dxa"/>
            <w:left w:w="0" w:type="dxa"/>
            <w:bottom w:w="0" w:type="dxa"/>
            <w:right w:w="0" w:type="dxa"/>
          </w:tblCellMar>
        </w:tblPrEx>
        <w:trPr>
          <w:trHeight w:val="58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月明路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春晓路-风情大道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2022.24</w:t>
            </w:r>
          </w:p>
        </w:tc>
      </w:tr>
      <w:tr>
        <w:tblPrEx>
          <w:tblCellMar>
            <w:top w:w="0" w:type="dxa"/>
            <w:left w:w="0" w:type="dxa"/>
            <w:bottom w:w="0" w:type="dxa"/>
            <w:right w:w="0" w:type="dxa"/>
          </w:tblCellMar>
        </w:tblPrEx>
        <w:trPr>
          <w:trHeight w:val="58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滨盛路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江陵路-西兴路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810</w:t>
            </w:r>
          </w:p>
        </w:tc>
      </w:tr>
      <w:tr>
        <w:tblPrEx>
          <w:tblCellMar>
            <w:top w:w="0" w:type="dxa"/>
            <w:left w:w="0" w:type="dxa"/>
            <w:bottom w:w="0" w:type="dxa"/>
            <w:right w:w="0" w:type="dxa"/>
          </w:tblCellMar>
        </w:tblPrEx>
        <w:trPr>
          <w:trHeight w:val="458"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江陵路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闻涛路-江汉东路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2331</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滨和路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春晓路-风情大道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2306.54</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协同路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滨和路-物联网街</w:t>
            </w:r>
          </w:p>
        </w:tc>
        <w:tc>
          <w:tcPr>
            <w:tcW w:w="1781" w:type="dxa"/>
            <w:tcBorders>
              <w:top w:val="nil"/>
              <w:left w:val="nil"/>
              <w:bottom w:val="nil"/>
              <w:right w:val="nil"/>
            </w:tcBorders>
            <w:shd w:val="clear" w:color="auto" w:fill="auto"/>
            <w:tcMar>
              <w:top w:w="8" w:type="dxa"/>
              <w:left w:w="8" w:type="dxa"/>
              <w:right w:w="8" w:type="dxa"/>
            </w:tcMar>
            <w:vAlign w:val="center"/>
          </w:tcPr>
          <w:p>
            <w:pPr>
              <w:jc w:val="center"/>
              <w:rPr>
                <w:sz w:val="22"/>
                <w:szCs w:val="22"/>
              </w:rPr>
            </w:pPr>
            <w:r>
              <w:rPr>
                <w:rFonts w:hint="eastAsia"/>
                <w:sz w:val="22"/>
                <w:szCs w:val="22"/>
              </w:rPr>
              <w:t>1252</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物联网街</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协同路-风情大道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220</w:t>
            </w:r>
          </w:p>
        </w:tc>
      </w:tr>
      <w:tr>
        <w:tblPrEx>
          <w:tblCellMar>
            <w:top w:w="0" w:type="dxa"/>
            <w:left w:w="0" w:type="dxa"/>
            <w:bottom w:w="0" w:type="dxa"/>
            <w:right w:w="0" w:type="dxa"/>
          </w:tblCellMar>
        </w:tblPrEx>
        <w:trPr>
          <w:trHeight w:val="554"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解放桥路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江南大道-智联路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150</w:t>
            </w:r>
          </w:p>
        </w:tc>
      </w:tr>
      <w:tr>
        <w:tblPrEx>
          <w:tblCellMar>
            <w:top w:w="0" w:type="dxa"/>
            <w:left w:w="0" w:type="dxa"/>
            <w:bottom w:w="0" w:type="dxa"/>
            <w:right w:w="0" w:type="dxa"/>
          </w:tblCellMar>
        </w:tblPrEx>
        <w:trPr>
          <w:trHeight w:val="532"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协同路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物联网街-智联路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170</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江淑路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滨康路-南环路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1030</w:t>
            </w:r>
          </w:p>
        </w:tc>
      </w:tr>
      <w:tr>
        <w:tblPrEx>
          <w:tblCellMar>
            <w:top w:w="0" w:type="dxa"/>
            <w:left w:w="0" w:type="dxa"/>
            <w:bottom w:w="0" w:type="dxa"/>
            <w:right w:w="0" w:type="dxa"/>
          </w:tblCellMar>
        </w:tblPrEx>
        <w:trPr>
          <w:trHeight w:val="624"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东流路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江晖路-西陵路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1430</w:t>
            </w:r>
          </w:p>
        </w:tc>
      </w:tr>
      <w:tr>
        <w:tblPrEx>
          <w:tblCellMar>
            <w:top w:w="0" w:type="dxa"/>
            <w:left w:w="0" w:type="dxa"/>
            <w:bottom w:w="0" w:type="dxa"/>
            <w:right w:w="0" w:type="dxa"/>
          </w:tblCellMar>
        </w:tblPrEx>
        <w:trPr>
          <w:trHeight w:val="51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西陵路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东流路-南环路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891</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南环路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江虹路-西陵路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1791</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聚园路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江淑路-江陵路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1002.17</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聚工路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滨安路-南环路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946.39</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聚业路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滨安路-南环路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1068.66</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滨安路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江晖路-风情大道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1519.53</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楚天路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庙后王路-转盘</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561</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庙后王路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楚天路-越城巷</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1395</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江陵路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江汉东路-滨文路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2425.6</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越城巷</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庙后王路-规划支路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222.78</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江汉东路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春晓路-风情大道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1759</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滨兴路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春晓路-风情大道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1904</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阡陌路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江汉东路-北塘路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571.78</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春晓路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江汉东路-滨兴路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278</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r>
              <w:rPr>
                <w:rFonts w:ascii="宋体" w:hAnsi="宋体" w:cs="宋体"/>
                <w:color w:val="000000"/>
                <w:kern w:val="0"/>
                <w:szCs w:val="21"/>
                <w:lang w:bidi="ar"/>
              </w:rPr>
              <w:t>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一号路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桥界-江晖南路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10080</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临湖路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规划支路-江陵南路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8370</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规划支路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滨文路-临湖路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3496</w:t>
            </w:r>
          </w:p>
        </w:tc>
      </w:tr>
      <w:tr>
        <w:tblPrEx>
          <w:tblCellMar>
            <w:top w:w="0" w:type="dxa"/>
            <w:left w:w="0" w:type="dxa"/>
            <w:bottom w:w="0" w:type="dxa"/>
            <w:right w:w="0" w:type="dxa"/>
          </w:tblCellMar>
        </w:tblPrEx>
        <w:trPr>
          <w:trHeight w:val="42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江陵南路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滨文路-冠山路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8748</w:t>
            </w:r>
          </w:p>
        </w:tc>
      </w:tr>
      <w:tr>
        <w:tblPrEx>
          <w:tblCellMar>
            <w:top w:w="0" w:type="dxa"/>
            <w:left w:w="0" w:type="dxa"/>
            <w:bottom w:w="0" w:type="dxa"/>
            <w:right w:w="0" w:type="dxa"/>
          </w:tblCellMar>
        </w:tblPrEx>
        <w:trPr>
          <w:trHeight w:val="436"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r>
              <w:rPr>
                <w:rFonts w:ascii="宋体" w:hAnsi="宋体" w:cs="宋体"/>
                <w:color w:val="000000"/>
                <w:kern w:val="0"/>
                <w:szCs w:val="21"/>
                <w:lang w:bidi="ar"/>
              </w:rPr>
              <w:t>1</w:t>
            </w:r>
          </w:p>
        </w:tc>
        <w:tc>
          <w:tcPr>
            <w:tcW w:w="5394"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71826.84</w:t>
            </w:r>
          </w:p>
        </w:tc>
      </w:tr>
    </w:tbl>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p>
    <w:p>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标项四：杭州市滨江区综合行政执法局区块道路养护监理</w:t>
      </w:r>
    </w:p>
    <w:tbl>
      <w:tblPr>
        <w:tblStyle w:val="63"/>
        <w:tblW w:w="8397" w:type="dxa"/>
        <w:tblInd w:w="0" w:type="dxa"/>
        <w:tblLayout w:type="fixed"/>
        <w:tblCellMar>
          <w:top w:w="0" w:type="dxa"/>
          <w:left w:w="0" w:type="dxa"/>
          <w:bottom w:w="0" w:type="dxa"/>
          <w:right w:w="0" w:type="dxa"/>
        </w:tblCellMar>
      </w:tblPr>
      <w:tblGrid>
        <w:gridCol w:w="1222"/>
        <w:gridCol w:w="2540"/>
        <w:gridCol w:w="2854"/>
        <w:gridCol w:w="1781"/>
      </w:tblGrid>
      <w:tr>
        <w:tblPrEx>
          <w:tblCellMar>
            <w:top w:w="0" w:type="dxa"/>
            <w:left w:w="0" w:type="dxa"/>
            <w:bottom w:w="0" w:type="dxa"/>
            <w:right w:w="0" w:type="dxa"/>
          </w:tblCellMar>
        </w:tblPrEx>
        <w:trPr>
          <w:trHeight w:val="78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编号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道路名称</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起始点</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长度（米）</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adjustRightInd/>
              <w:jc w:val="center"/>
              <w:rPr>
                <w:kern w:val="0"/>
                <w:sz w:val="22"/>
                <w:szCs w:val="22"/>
              </w:rPr>
            </w:pPr>
            <w:r>
              <w:rPr>
                <w:rFonts w:hint="eastAsia"/>
                <w:sz w:val="22"/>
                <w:szCs w:val="22"/>
              </w:rPr>
              <w:t>滨文路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闻涛路-萧山界</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8367</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滨康路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伟业路-萧山界</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7162</w:t>
            </w:r>
          </w:p>
        </w:tc>
      </w:tr>
      <w:tr>
        <w:tblPrEx>
          <w:tblCellMar>
            <w:top w:w="0" w:type="dxa"/>
            <w:left w:w="0" w:type="dxa"/>
            <w:bottom w:w="0" w:type="dxa"/>
            <w:right w:w="0" w:type="dxa"/>
          </w:tblCellMar>
        </w:tblPrEx>
        <w:trPr>
          <w:trHeight w:val="445" w:hRule="atLeast"/>
        </w:trPr>
        <w:tc>
          <w:tcPr>
            <w:tcW w:w="1222" w:type="dxa"/>
            <w:vMerge w:val="restart"/>
            <w:tcBorders>
              <w:top w:val="single" w:color="000000" w:sz="4" w:space="0"/>
              <w:left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2540" w:type="dxa"/>
            <w:vMerge w:val="restart"/>
            <w:tcBorders>
              <w:top w:val="single" w:color="000000" w:sz="4" w:space="0"/>
              <w:left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冠山路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闻涛路-滨浦路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245.46</w:t>
            </w:r>
          </w:p>
        </w:tc>
      </w:tr>
      <w:tr>
        <w:tblPrEx>
          <w:tblCellMar>
            <w:top w:w="0" w:type="dxa"/>
            <w:left w:w="0" w:type="dxa"/>
            <w:bottom w:w="0" w:type="dxa"/>
            <w:right w:w="0" w:type="dxa"/>
          </w:tblCellMar>
        </w:tblPrEx>
        <w:trPr>
          <w:trHeight w:val="445" w:hRule="atLeast"/>
        </w:trPr>
        <w:tc>
          <w:tcPr>
            <w:tcW w:w="1222" w:type="dxa"/>
            <w:vMerge w:val="continue"/>
            <w:tcBorders>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p>
        </w:tc>
        <w:tc>
          <w:tcPr>
            <w:tcW w:w="2540" w:type="dxa"/>
            <w:vMerge w:val="continue"/>
            <w:tcBorders>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sz w:val="22"/>
                <w:szCs w:val="22"/>
              </w:rPr>
              <w:t>浦沿路-火炬大道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sz w:val="22"/>
                <w:szCs w:val="22"/>
              </w:rPr>
              <w:t>1606.41</w:t>
            </w:r>
          </w:p>
        </w:tc>
      </w:tr>
      <w:tr>
        <w:tblPrEx>
          <w:tblCellMar>
            <w:top w:w="0" w:type="dxa"/>
            <w:left w:w="0" w:type="dxa"/>
            <w:bottom w:w="0" w:type="dxa"/>
            <w:right w:w="0" w:type="dxa"/>
          </w:tblCellMar>
        </w:tblPrEx>
        <w:trPr>
          <w:trHeight w:val="411"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冠山路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color w:val="000000"/>
                <w:sz w:val="22"/>
                <w:szCs w:val="22"/>
              </w:rPr>
            </w:pPr>
            <w:r>
              <w:rPr>
                <w:rFonts w:hint="eastAsia"/>
                <w:color w:val="000000"/>
                <w:sz w:val="22"/>
                <w:szCs w:val="22"/>
              </w:rPr>
              <w:t>火炬大道-江陵路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4800</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东信大道</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闻涛路西-闻涛路北</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3280</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浦沿路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东信大道-萧山界</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3531</w:t>
            </w:r>
          </w:p>
        </w:tc>
      </w:tr>
      <w:tr>
        <w:tblPrEx>
          <w:tblCellMar>
            <w:top w:w="0" w:type="dxa"/>
            <w:left w:w="0" w:type="dxa"/>
            <w:bottom w:w="0" w:type="dxa"/>
            <w:right w:w="0" w:type="dxa"/>
          </w:tblCellMar>
        </w:tblPrEx>
        <w:trPr>
          <w:trHeight w:val="391"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火炬大道</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闻涛路-时代大道</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5915</w:t>
            </w:r>
          </w:p>
        </w:tc>
      </w:tr>
      <w:tr>
        <w:tblPrEx>
          <w:tblCellMar>
            <w:top w:w="0" w:type="dxa"/>
            <w:left w:w="0" w:type="dxa"/>
            <w:bottom w:w="0" w:type="dxa"/>
            <w:right w:w="0" w:type="dxa"/>
          </w:tblCellMar>
        </w:tblPrEx>
        <w:trPr>
          <w:trHeight w:val="41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时代大道</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闻涛路-萧山界</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3312</w:t>
            </w:r>
          </w:p>
        </w:tc>
      </w:tr>
      <w:tr>
        <w:tblPrEx>
          <w:tblCellMar>
            <w:top w:w="0" w:type="dxa"/>
            <w:left w:w="0" w:type="dxa"/>
            <w:bottom w:w="0" w:type="dxa"/>
            <w:right w:w="0" w:type="dxa"/>
          </w:tblCellMar>
        </w:tblPrEx>
        <w:trPr>
          <w:trHeight w:val="58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江晖路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闻涛路-白马湖路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4877.2</w:t>
            </w:r>
          </w:p>
        </w:tc>
      </w:tr>
      <w:tr>
        <w:tblPrEx>
          <w:tblCellMar>
            <w:top w:w="0" w:type="dxa"/>
            <w:left w:w="0" w:type="dxa"/>
            <w:bottom w:w="0" w:type="dxa"/>
            <w:right w:w="0" w:type="dxa"/>
          </w:tblCellMar>
        </w:tblPrEx>
        <w:trPr>
          <w:trHeight w:val="58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西兴路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闻涛路-萧山界</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4794</w:t>
            </w:r>
          </w:p>
        </w:tc>
      </w:tr>
      <w:tr>
        <w:tblPrEx>
          <w:tblCellMar>
            <w:top w:w="0" w:type="dxa"/>
            <w:left w:w="0" w:type="dxa"/>
            <w:bottom w:w="0" w:type="dxa"/>
            <w:right w:w="0" w:type="dxa"/>
          </w:tblCellMar>
        </w:tblPrEx>
        <w:trPr>
          <w:trHeight w:val="58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白马湖路</w:t>
            </w: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火炬大道-江晖路</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3461.98</w:t>
            </w:r>
          </w:p>
        </w:tc>
      </w:tr>
      <w:tr>
        <w:tblPrEx>
          <w:tblCellMar>
            <w:top w:w="0" w:type="dxa"/>
            <w:left w:w="0" w:type="dxa"/>
            <w:bottom w:w="0" w:type="dxa"/>
            <w:right w:w="0" w:type="dxa"/>
          </w:tblCellMar>
        </w:tblPrEx>
        <w:trPr>
          <w:trHeight w:val="587"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2</w:t>
            </w:r>
          </w:p>
        </w:tc>
        <w:tc>
          <w:tcPr>
            <w:tcW w:w="5394" w:type="dxa"/>
            <w:gridSpan w:val="2"/>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rFonts w:hint="eastAsia"/>
                <w:sz w:val="22"/>
                <w:szCs w:val="22"/>
              </w:rPr>
              <w:t>合计</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sz w:val="22"/>
                <w:szCs w:val="22"/>
              </w:rPr>
            </w:pPr>
            <w:r>
              <w:rPr>
                <w:sz w:val="22"/>
                <w:szCs w:val="22"/>
              </w:rPr>
              <w:t>51352.05</w:t>
            </w:r>
          </w:p>
        </w:tc>
      </w:tr>
    </w:tbl>
    <w:p>
      <w:pPr>
        <w:pStyle w:val="8"/>
      </w:pPr>
    </w:p>
    <w:p>
      <w:pPr>
        <w:numPr>
          <w:ilvl w:val="0"/>
          <w:numId w:val="1"/>
        </w:numPr>
        <w:adjustRightInd/>
        <w:spacing w:line="360" w:lineRule="auto"/>
        <w:rPr>
          <w:rFonts w:ascii="宋体" w:hAnsi="宋体" w:cs="宋体"/>
          <w:color w:val="000000"/>
          <w:kern w:val="0"/>
          <w:szCs w:val="21"/>
          <w:lang w:bidi="ar"/>
        </w:rPr>
      </w:pPr>
      <w:r>
        <w:rPr>
          <w:rFonts w:hint="eastAsia" w:asciiTheme="minorEastAsia" w:hAnsiTheme="minorEastAsia" w:eastAsiaTheme="minorEastAsia" w:cstheme="minorEastAsia"/>
          <w:b/>
          <w:szCs w:val="21"/>
        </w:rPr>
        <w:t>道路日常巡查内容及要求：</w:t>
      </w:r>
    </w:p>
    <w:p>
      <w:pPr>
        <w:numPr>
          <w:ilvl w:val="0"/>
          <w:numId w:val="2"/>
        </w:numPr>
        <w:adjustRightInd/>
        <w:spacing w:line="360" w:lineRule="auto"/>
        <w:ind w:firstLine="422"/>
        <w:rPr>
          <w:rFonts w:ascii="宋体" w:hAnsi="宋体" w:cs="宋体"/>
          <w:color w:val="000000"/>
          <w:kern w:val="0"/>
          <w:szCs w:val="21"/>
          <w:lang w:bidi="ar"/>
        </w:rPr>
      </w:pPr>
      <w:r>
        <w:rPr>
          <w:rFonts w:hint="eastAsia" w:ascii="宋体" w:hAnsi="宋体" w:cs="宋体"/>
          <w:color w:val="000000"/>
          <w:kern w:val="0"/>
          <w:szCs w:val="21"/>
          <w:lang w:bidi="ar"/>
        </w:rPr>
        <w:t>巡查内容：</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标段一：浦沿街道区块主干道、次干道道路养护情况，主要对路基路面及沿线设施养护等问题。</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标段二：西兴街道区块主干道、次干道道路养护情况，主要对路基路面及沿线设施养护等问题。</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标段三：长河街道区块主干道、次干道道路养护情况，主要对路基路面及沿线设施养护等问题。</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标段四：杭州市滨江区综合行政执法局区块主干道、次干道道路养护情况，主要对路基路面及沿线设施养护等问题。</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2、检查频率：</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shd w:val="clear"/>
        </w:rPr>
        <w:t>重点保障道路2次/1天，一般保障道路一次/1天。遇大、暴雨三十分钟后，巡查人员应根据甲方指定及时到养护路段巡查，并按规定报告巡查情况。夜间应安排人员值班巡查，紧急情况接到通知后30分钟内到场处理。要求有固定的值班场所和巡查车</w:t>
      </w:r>
      <w:r>
        <w:rPr>
          <w:rFonts w:hint="eastAsia" w:asciiTheme="minorEastAsia" w:hAnsiTheme="minorEastAsia" w:eastAsiaTheme="minorEastAsia" w:cstheme="minorEastAsia"/>
          <w:szCs w:val="21"/>
        </w:rPr>
        <w:t>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3、巡查内容：</w:t>
      </w:r>
    </w:p>
    <w:p>
      <w:pPr>
        <w:pStyle w:val="34"/>
        <w:snapToGrid w:val="0"/>
        <w:spacing w:line="360" w:lineRule="auto"/>
        <w:ind w:firstLine="480"/>
        <w:rPr>
          <w:rFonts w:hAnsi="宋体" w:cs="宋体"/>
        </w:rPr>
      </w:pPr>
      <w:r>
        <w:rPr>
          <w:rFonts w:hint="eastAsia" w:hAnsi="宋体" w:cs="宋体"/>
        </w:rPr>
        <w:t>主要巡查道路路面及其附属设施外观完好情况，路基沉陷、变形、裂缝、破损等病害和突发情况，重大活动及节假日服务保障情况，占用、挖掘城市道路及道路周边单位建设项目对道路破坏情况。</w:t>
      </w:r>
    </w:p>
    <w:p>
      <w:pPr>
        <w:pStyle w:val="34"/>
        <w:snapToGrid w:val="0"/>
        <w:spacing w:line="360" w:lineRule="auto"/>
        <w:ind w:left="420"/>
        <w:rPr>
          <w:rFonts w:hAnsi="宋体" w:cs="宋体"/>
        </w:rPr>
      </w:pPr>
      <w:r>
        <w:rPr>
          <w:rFonts w:hint="eastAsia" w:hAnsi="宋体" w:cs="宋体"/>
        </w:rPr>
        <w:t>4、巡查要求：</w:t>
      </w:r>
    </w:p>
    <w:p>
      <w:pPr>
        <w:pStyle w:val="34"/>
        <w:snapToGrid w:val="0"/>
        <w:spacing w:line="360" w:lineRule="auto"/>
        <w:ind w:firstLine="420" w:firstLineChars="200"/>
        <w:rPr>
          <w:rFonts w:hAnsi="宋体" w:cs="宋体"/>
          <w:color w:val="000000"/>
          <w:kern w:val="0"/>
          <w:lang w:bidi="ar"/>
        </w:rPr>
      </w:pPr>
      <w:r>
        <w:rPr>
          <w:rFonts w:hint="eastAsia" w:hAnsi="宋体" w:cs="宋体"/>
          <w:color w:val="000000"/>
          <w:kern w:val="0"/>
          <w:lang w:bidi="ar"/>
        </w:rPr>
        <w:t>（1）巡查人员应认真负责，及时掌握道路设施运行状况，并做好书面记录。发现设施病害问题和破坏设施行为应及时向管理单位报告；发现窨井盖缺失、道路塌陷等紧急情况应在报告的同时在现场做好警示或采取临时性措施，及时通知管线、设施产权单位，并留有通话记录，属于养护管理范围内的必须在2小时内处理完成；安全运行现场工作人员要加强自我保护、交通意识；按照规定填写养护日志。发现未经审批的违章占道挖掘事件应第一时间阻止并上报甲方。规范施工作业，确保养护范围内不发生违章占道挖掘事件。</w:t>
      </w:r>
    </w:p>
    <w:p>
      <w:pPr>
        <w:pStyle w:val="34"/>
        <w:snapToGrid w:val="0"/>
        <w:spacing w:line="360" w:lineRule="auto"/>
        <w:ind w:firstLine="420" w:firstLineChars="200"/>
        <w:rPr>
          <w:rFonts w:hAnsi="宋体" w:cs="宋体"/>
          <w:color w:val="000000"/>
          <w:kern w:val="0"/>
          <w:lang w:bidi="ar"/>
        </w:rPr>
      </w:pPr>
      <w:r>
        <w:rPr>
          <w:rFonts w:hint="eastAsia" w:hAnsi="宋体" w:cs="宋体"/>
          <w:color w:val="000000"/>
          <w:kern w:val="0"/>
          <w:lang w:bidi="ar"/>
        </w:rPr>
        <w:t>（2）接到承包地段投拆电话和新闻舆论批评，应在24小时内处理完毕和信息反馈。</w:t>
      </w:r>
    </w:p>
    <w:p>
      <w:pPr>
        <w:pStyle w:val="34"/>
        <w:snapToGrid w:val="0"/>
        <w:spacing w:line="360" w:lineRule="auto"/>
        <w:ind w:firstLine="420" w:firstLineChars="200"/>
        <w:rPr>
          <w:rFonts w:hAnsi="宋体" w:cs="宋体"/>
          <w:color w:val="000000"/>
          <w:kern w:val="0"/>
          <w:lang w:bidi="ar"/>
        </w:rPr>
      </w:pPr>
      <w:r>
        <w:rPr>
          <w:rFonts w:hint="eastAsia" w:hAnsi="宋体" w:cs="宋体"/>
          <w:color w:val="000000"/>
          <w:kern w:val="0"/>
          <w:lang w:bidi="ar"/>
        </w:rPr>
        <w:t>（3）规范管理，文明作业，自觉接受管理部门，各级领导的检查和社会舆论和监督。</w:t>
      </w:r>
    </w:p>
    <w:p>
      <w:pPr>
        <w:pStyle w:val="34"/>
        <w:snapToGrid w:val="0"/>
        <w:spacing w:line="360" w:lineRule="auto"/>
        <w:ind w:firstLine="420" w:firstLineChars="200"/>
        <w:rPr>
          <w:rFonts w:hAnsi="宋体" w:cs="宋体"/>
          <w:color w:val="000000"/>
          <w:kern w:val="0"/>
          <w:lang w:bidi="ar"/>
        </w:rPr>
      </w:pPr>
      <w:r>
        <w:rPr>
          <w:rFonts w:hint="eastAsia" w:hAnsi="宋体" w:cs="宋体"/>
          <w:color w:val="000000"/>
          <w:kern w:val="0"/>
          <w:lang w:bidi="ar"/>
        </w:rPr>
        <w:t>（4）确保在各类考核中不失责任分。</w:t>
      </w:r>
    </w:p>
    <w:p>
      <w:pPr>
        <w:pStyle w:val="34"/>
        <w:snapToGrid w:val="0"/>
        <w:spacing w:line="360" w:lineRule="auto"/>
        <w:ind w:firstLine="420" w:firstLineChars="200"/>
        <w:rPr>
          <w:rFonts w:hAnsi="宋体" w:cs="宋体"/>
          <w:color w:val="000000"/>
          <w:kern w:val="0"/>
          <w:highlight w:val="none"/>
          <w:lang w:bidi="ar"/>
        </w:rPr>
      </w:pPr>
      <w:r>
        <w:rPr>
          <w:rFonts w:hint="eastAsia" w:hAnsi="宋体" w:cs="宋体"/>
          <w:color w:val="000000"/>
          <w:kern w:val="0"/>
          <w:highlight w:val="none"/>
          <w:lang w:bidi="ar"/>
        </w:rPr>
        <w:t>5、巡查车辆配置：巡查设备投入最低要求1台普通小轿车或皮卡车，车辆要求为投标人自有设备或租赁</w:t>
      </w:r>
      <w:r>
        <w:rPr>
          <w:rFonts w:hint="eastAsia" w:hAnsi="宋体" w:cs="宋体"/>
          <w:highlight w:val="none"/>
        </w:rPr>
        <w:t xml:space="preserve">。（① </w:t>
      </w:r>
      <w:r>
        <w:rPr>
          <w:rFonts w:hint="eastAsia" w:hAnsi="宋体" w:cs="宋体"/>
          <w:color w:val="000000"/>
          <w:kern w:val="0"/>
          <w:highlight w:val="none"/>
          <w:lang w:bidi="ar"/>
        </w:rPr>
        <w:t>自有：提供设备的彩色照片，设备购置发票复印件；② 租赁：须提供租赁协议以及设备的彩色照片，设备购置发票复印件）。投标单位需按照采购人要求安装爆闪灯、防撞设施设备及GPS定位或其他定位设备等，相关费用由投标人自行考虑在投标报价内，今后不作调整。</w:t>
      </w:r>
    </w:p>
    <w:p>
      <w:pPr>
        <w:spacing w:line="360" w:lineRule="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六、投标监理机构人员配备：</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1、监理员必须经过监理业务培训，并取得监理员及以上岗位证书后方可上岗。</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2、项目监理机构的监理人员均应专业配套、数量满足工程项目监理工作的需要，能胜任相应的工作并常驻现场。</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3、监理人员配额：</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要求每个标段设</w:t>
      </w:r>
      <w:r>
        <w:rPr>
          <w:rFonts w:hint="eastAsia" w:asciiTheme="minorEastAsia" w:hAnsiTheme="minorEastAsia" w:eastAsiaTheme="minorEastAsia" w:cstheme="minorEastAsia"/>
          <w:b/>
          <w:bCs/>
          <w:szCs w:val="21"/>
          <w:highlight w:val="none"/>
          <w:u w:val="single"/>
        </w:rPr>
        <w:t>总监理工程师1名（市政专业），监理员不少于3名。</w:t>
      </w:r>
      <w:r>
        <w:rPr>
          <w:rFonts w:hint="eastAsia" w:asciiTheme="minorEastAsia" w:hAnsiTheme="minorEastAsia" w:eastAsiaTheme="minorEastAsia" w:cstheme="minorEastAsia"/>
          <w:szCs w:val="21"/>
          <w:highlight w:val="none"/>
        </w:rPr>
        <w:t>总监必须到位，不得设置总监代表；具体工程操作中，必须保证现场巡查监理人员不少于2人，采购人现场驻点监理人员1人（须自行配置电脑办公和巡查设备）。若上述人员配备无法满足实际情况的需要，中标单位应服从甲方安排，调配人员加强工程的监管。</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4、本工程主导监理员专业为</w:t>
      </w:r>
      <w:r>
        <w:rPr>
          <w:rFonts w:hint="eastAsia" w:asciiTheme="minorEastAsia" w:hAnsiTheme="minorEastAsia" w:eastAsiaTheme="minorEastAsia" w:cstheme="minorEastAsia"/>
          <w:szCs w:val="21"/>
          <w:highlight w:val="none"/>
          <w:u w:val="single"/>
        </w:rPr>
        <w:t>市政专业</w:t>
      </w:r>
      <w:r>
        <w:rPr>
          <w:rFonts w:hint="eastAsia" w:asciiTheme="minorEastAsia" w:hAnsiTheme="minorEastAsia" w:eastAsiaTheme="minorEastAsia" w:cstheme="minorEastAsia"/>
          <w:szCs w:val="21"/>
          <w:highlight w:val="none"/>
        </w:rPr>
        <w:t>。</w:t>
      </w:r>
    </w:p>
    <w:p>
      <w:pPr>
        <w:widowControl/>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七、投标监理机构和项目总监理工程师的要求</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1、监理人员的到位率：监理服务小组人员必须确保到场人数达2人以上。施工期间考虑到本项目的特殊性，依据各个委托项目的实际情况，由业主针对性设置人员安排。</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书中承诺的总监理工程师在工程监理合同期内不得以任何理由变更，如须变更必须把具有同等优秀业绩变更人员名单提前15天提交，经采购人批准后才能变更。对变更后的总监理工程师如达不到采购人要求，采购人有权提出重新更换。同时采购人保留采取一切非常措施权利。</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监理机构的人员构成框图（附个人照片）、总监职责、监理员职责、监理人员工作守则、监理工作程序框图、质量控制程序图、安全文明监理程序图、造价控制程序图、进度控制程序图等应在项目开始后10个工作日内报甲方审核。</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项目施工阶段，建设单位将建立监理机构人员到位率和履职情况检查记录制度，对监理企业监理人员不到位、到位率较低或履职情况较差的，建设单位有权向监理企业提出更换或增加监理人员要求，情节严重时将向工程所在建设行政主管部门或工程质量（安全）监督机构报告。</w:t>
      </w:r>
    </w:p>
    <w:p>
      <w:pPr>
        <w:widowControl/>
        <w:spacing w:line="360" w:lineRule="auto"/>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▲八、报价要求：</w:t>
      </w:r>
    </w:p>
    <w:p>
      <w:pPr>
        <w:snapToGrid w:val="0"/>
        <w:spacing w:line="360" w:lineRule="auto"/>
        <w:ind w:firstLine="420" w:firstLineChars="200"/>
        <w:rPr>
          <w:rFonts w:ascii="宋体" w:hAnsi="宋体" w:eastAsiaTheme="minorEastAsia"/>
          <w:b/>
          <w:bCs/>
          <w:sz w:val="24"/>
          <w:highlight w:val="none"/>
        </w:rPr>
      </w:pPr>
      <w:r>
        <w:rPr>
          <w:rFonts w:hint="eastAsia" w:asciiTheme="minorEastAsia" w:hAnsiTheme="minorEastAsia" w:eastAsiaTheme="minorEastAsia" w:cstheme="minorEastAsia"/>
          <w:szCs w:val="21"/>
          <w:highlight w:val="none"/>
        </w:rPr>
        <w:t>本项目为总价包干制，</w:t>
      </w:r>
      <w:bookmarkStart w:id="24" w:name="_Toc1553653547"/>
      <w:bookmarkStart w:id="25" w:name="_Toc18461"/>
      <w:bookmarkStart w:id="26" w:name="_Toc95312936"/>
      <w:bookmarkStart w:id="27" w:name="_Toc547338095"/>
      <w:bookmarkStart w:id="28" w:name="_Toc31188"/>
      <w:bookmarkStart w:id="29" w:name="_Toc31589"/>
      <w:bookmarkStart w:id="30" w:name="_Toc95736576"/>
      <w:r>
        <w:rPr>
          <w:rFonts w:hint="eastAsia" w:asciiTheme="minorEastAsia" w:hAnsiTheme="minorEastAsia" w:eastAsiaTheme="minorEastAsia" w:cstheme="minorEastAsia"/>
          <w:szCs w:val="21"/>
          <w:highlight w:val="none"/>
        </w:rPr>
        <w:t>报价须包含按采购文件要求完成本项目所需的所有费用(包括人工费、材料费、设备使用费、管理费、利润、规费、税金、风险费、采购需求中未提到但在实际采购过程中需要配置的各种设备、材料及其他费用等须由供应商支付的所有费用。如上述未包含，供应商需自行测算及预估，且费用均已包含在投标报价中)。</w:t>
      </w:r>
      <w:bookmarkEnd w:id="24"/>
      <w:bookmarkEnd w:id="25"/>
      <w:bookmarkEnd w:id="26"/>
      <w:bookmarkEnd w:id="27"/>
      <w:bookmarkEnd w:id="28"/>
      <w:bookmarkEnd w:id="29"/>
      <w:bookmarkEnd w:id="30"/>
      <w:r>
        <w:rPr>
          <w:rFonts w:hint="eastAsia" w:asciiTheme="minorEastAsia" w:hAnsiTheme="minorEastAsia" w:eastAsiaTheme="minorEastAsia" w:cstheme="minorEastAsia"/>
          <w:szCs w:val="21"/>
          <w:highlight w:val="none"/>
        </w:rPr>
        <w:t>注：</w:t>
      </w:r>
      <w:r>
        <w:rPr>
          <w:rFonts w:hint="eastAsia"/>
          <w:highlight w:val="none"/>
        </w:rPr>
        <w:t>按照甲方要求可承担本标项区块内的其他市政工程监理工作，费用另计。</w:t>
      </w:r>
    </w:p>
    <w:p>
      <w:pPr>
        <w:snapToGrid w:val="0"/>
        <w:spacing w:line="360" w:lineRule="auto"/>
        <w:jc w:val="left"/>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▲九、付</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款方式（</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按</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季度支付</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spacing w:line="360" w:lineRule="auto"/>
        <w:ind w:firstLine="48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rFonts w:hint="eastAsia" w:ascii="宋体" w:hAnsi="宋体" w:cs="宋体"/>
          <w:szCs w:val="21"/>
          <w:highlight w:val="none"/>
        </w:rPr>
        <w:t>合同签订后15个工作日内支付预算金额的40%作为预付款</w:t>
      </w:r>
      <w:r>
        <w:rPr>
          <w:rFonts w:hint="eastAsia" w:asciiTheme="minorEastAsia" w:hAnsiTheme="minorEastAsia" w:eastAsiaTheme="minorEastAsia" w:cstheme="minorEastAsia"/>
          <w:szCs w:val="21"/>
          <w:highlight w:val="none"/>
        </w:rPr>
        <w:t>，剩余合同金额根据月度考评结果按季度支付。乙方清楚本合同为政府项目，如因审批流程致使付款延迟的，不视为甲方违约。</w:t>
      </w:r>
    </w:p>
    <w:p>
      <w:pPr>
        <w:spacing w:line="360" w:lineRule="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b/>
          <w:szCs w:val="21"/>
          <w:highlight w:val="none"/>
        </w:rPr>
        <w:t>十、履约保证金：</w:t>
      </w:r>
    </w:p>
    <w:p>
      <w:pPr>
        <w:spacing w:line="360" w:lineRule="auto"/>
        <w:ind w:firstLine="42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中标人在</w:t>
      </w:r>
      <w:r>
        <w:rPr>
          <w:rFonts w:hint="eastAsia" w:asciiTheme="minorEastAsia" w:hAnsiTheme="minorEastAsia" w:eastAsiaTheme="minorEastAsia" w:cstheme="minorEastAsia"/>
          <w:szCs w:val="21"/>
          <w:highlight w:val="none"/>
        </w:rPr>
        <w:t>合同签订并生效后3个工作日内</w:t>
      </w:r>
      <w:r>
        <w:rPr>
          <w:rFonts w:hint="eastAsia" w:asciiTheme="minorEastAsia" w:hAnsiTheme="minorEastAsia" w:eastAsiaTheme="minorEastAsia" w:cstheme="minorEastAsia"/>
          <w:bCs/>
          <w:szCs w:val="21"/>
          <w:highlight w:val="none"/>
        </w:rPr>
        <w:t>向采购人交纳合同总金额的1%作为履约保证金，履约保证金至合同履行完毕后5个工作日内无息退还。</w:t>
      </w:r>
    </w:p>
    <w:p>
      <w:pPr>
        <w:spacing w:line="360" w:lineRule="auto"/>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十一、本工程采用的主要技术规范：</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1、《城镇道路养护技术规范》（CJJ36）</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2、《城市桥梁养护技术标准》（CJJ99）</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3、《城镇排水管道维护安全技术规程》（CJJ 6）</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4、《城镇排水管渠与泵站运行、维护及安全技术规程》（CJJ 68）</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5、《城镇道路工程施工与质量验收规范》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CJJ1</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6、《城市桥梁工程施工与质量验收规范》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CJJ2</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7、《沥青路面施工及验收规程规范》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GB50092</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8、《给水排水管道工程施工及验收规程规范》</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GB5026</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9、《地下防水工程施工质量验收标准规范》（GB50208）；</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本工程同时执行国家及本省、市现行施工及验收规范和质量评定标准，以及有关条例、实施办法等。</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当适用于本合同工程的几种标准与规范出现意义不明或不一致时，应由质量管理单位作出解释和校正，并就此向承包人发出指令。除非本规范另有规定，在发生分歧时，根据合同条款规定应按以下顺序优先考虑：</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（1）本工程建设标准。</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（2）中华人民共和国国家标准和规范。</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（3）中华人民共和国有关部委的标准和规范。</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（4）其他国家官方、团体或协会颁布的标准和规范。</w:t>
      </w:r>
    </w:p>
    <w:p>
      <w:pPr>
        <w:autoSpaceDE w:val="0"/>
        <w:autoSpaceDN w:val="0"/>
        <w:snapToGrid w:val="0"/>
        <w:spacing w:line="360" w:lineRule="auto"/>
        <w:ind w:firstLine="420" w:firstLineChars="200"/>
        <w:textAlignment w:val="bottom"/>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本招标文件中带“▲”的条款为主要条款，投标人必须在响应文件中全部作出响应，否则将作无效标处理。</w:t>
      </w: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31" w:name="_Toc184312107"/>
      <w:bookmarkEnd w:id="31"/>
      <w:bookmarkStart w:id="32" w:name="_Toc184314456"/>
      <w:bookmarkEnd w:id="32"/>
      <w:bookmarkStart w:id="33" w:name="_Toc184314452"/>
      <w:bookmarkEnd w:id="33"/>
      <w:bookmarkStart w:id="34" w:name="_Toc184308042"/>
      <w:bookmarkEnd w:id="34"/>
      <w:bookmarkStart w:id="35" w:name="_Toc184312125"/>
      <w:bookmarkEnd w:id="35"/>
      <w:bookmarkStart w:id="36" w:name="_Toc184313285"/>
      <w:bookmarkEnd w:id="36"/>
      <w:bookmarkStart w:id="37" w:name="_Toc184310332"/>
      <w:bookmarkEnd w:id="37"/>
      <w:bookmarkStart w:id="38" w:name="_Toc184310282"/>
      <w:bookmarkEnd w:id="38"/>
      <w:bookmarkStart w:id="39" w:name="_Toc184313280"/>
      <w:bookmarkEnd w:id="39"/>
      <w:bookmarkStart w:id="40" w:name="_Toc184313263"/>
      <w:bookmarkEnd w:id="40"/>
      <w:bookmarkStart w:id="41" w:name="_Toc184314436"/>
      <w:bookmarkEnd w:id="41"/>
      <w:bookmarkStart w:id="42" w:name="_Toc184308047"/>
      <w:bookmarkEnd w:id="42"/>
      <w:bookmarkStart w:id="43" w:name="_Toc184310338"/>
      <w:bookmarkEnd w:id="43"/>
      <w:bookmarkStart w:id="44" w:name="_Toc184310281"/>
      <w:bookmarkEnd w:id="44"/>
      <w:bookmarkStart w:id="45" w:name="_Toc184310288"/>
      <w:bookmarkEnd w:id="45"/>
      <w:bookmarkStart w:id="46" w:name="_Toc184312133"/>
      <w:bookmarkEnd w:id="46"/>
      <w:bookmarkStart w:id="47" w:name="_Toc184313253"/>
      <w:bookmarkEnd w:id="47"/>
      <w:bookmarkStart w:id="48" w:name="_Toc184310329"/>
      <w:bookmarkEnd w:id="48"/>
      <w:bookmarkStart w:id="49" w:name="_Toc184308098"/>
      <w:bookmarkEnd w:id="49"/>
      <w:bookmarkStart w:id="50" w:name="_Toc184314433"/>
      <w:bookmarkEnd w:id="50"/>
      <w:bookmarkStart w:id="51" w:name="_Toc184312122"/>
      <w:bookmarkEnd w:id="51"/>
      <w:bookmarkStart w:id="52" w:name="_Toc184312126"/>
      <w:bookmarkEnd w:id="52"/>
      <w:bookmarkStart w:id="53" w:name="_Toc184312103"/>
      <w:bookmarkEnd w:id="53"/>
      <w:bookmarkStart w:id="54" w:name="_Toc184312090"/>
      <w:bookmarkEnd w:id="54"/>
      <w:bookmarkStart w:id="55" w:name="_Toc184308072"/>
      <w:bookmarkEnd w:id="55"/>
      <w:bookmarkStart w:id="56" w:name="_Toc184308058"/>
      <w:bookmarkEnd w:id="56"/>
      <w:bookmarkStart w:id="57" w:name="_Toc184312069"/>
      <w:bookmarkEnd w:id="57"/>
      <w:bookmarkStart w:id="58" w:name="_Toc184308051"/>
      <w:bookmarkEnd w:id="58"/>
      <w:bookmarkStart w:id="59" w:name="_Toc184310292"/>
      <w:bookmarkEnd w:id="59"/>
      <w:bookmarkStart w:id="60" w:name="_Toc184310336"/>
      <w:bookmarkEnd w:id="60"/>
      <w:bookmarkStart w:id="61" w:name="_Toc184310307"/>
      <w:bookmarkEnd w:id="61"/>
      <w:bookmarkStart w:id="62" w:name="_Toc184313309"/>
      <w:bookmarkEnd w:id="62"/>
      <w:bookmarkStart w:id="63" w:name="_Toc184313251"/>
      <w:bookmarkEnd w:id="63"/>
      <w:bookmarkStart w:id="64" w:name="_Toc184308106"/>
      <w:bookmarkEnd w:id="64"/>
      <w:bookmarkStart w:id="65" w:name="_Toc184312128"/>
      <w:bookmarkEnd w:id="65"/>
      <w:bookmarkStart w:id="66" w:name="_Toc184314446"/>
      <w:bookmarkEnd w:id="66"/>
      <w:bookmarkStart w:id="67" w:name="_Toc184312098"/>
      <w:bookmarkEnd w:id="67"/>
      <w:bookmarkStart w:id="68" w:name="_Toc184308061"/>
      <w:bookmarkEnd w:id="68"/>
      <w:bookmarkStart w:id="69" w:name="_Toc184312077"/>
      <w:bookmarkEnd w:id="69"/>
      <w:bookmarkStart w:id="70" w:name="_Toc184308095"/>
      <w:bookmarkEnd w:id="70"/>
      <w:bookmarkStart w:id="71" w:name="_Toc184308075"/>
      <w:bookmarkEnd w:id="71"/>
      <w:bookmarkStart w:id="72" w:name="_Toc184308084"/>
      <w:bookmarkEnd w:id="72"/>
      <w:bookmarkStart w:id="73" w:name="_Toc184308063"/>
      <w:bookmarkEnd w:id="73"/>
      <w:bookmarkStart w:id="74" w:name="_Toc184313255"/>
      <w:bookmarkEnd w:id="74"/>
      <w:bookmarkStart w:id="75" w:name="_Toc184314474"/>
      <w:bookmarkEnd w:id="75"/>
      <w:bookmarkStart w:id="76" w:name="_Toc184308083"/>
      <w:bookmarkEnd w:id="76"/>
      <w:bookmarkStart w:id="77" w:name="_Toc184313290"/>
      <w:bookmarkEnd w:id="77"/>
      <w:bookmarkStart w:id="78" w:name="_Toc184314441"/>
      <w:bookmarkEnd w:id="78"/>
      <w:bookmarkStart w:id="79" w:name="_Toc184310335"/>
      <w:bookmarkEnd w:id="79"/>
      <w:bookmarkStart w:id="80" w:name="_Toc184313270"/>
      <w:bookmarkEnd w:id="80"/>
      <w:bookmarkStart w:id="81" w:name="_Toc184308089"/>
      <w:bookmarkEnd w:id="81"/>
      <w:bookmarkStart w:id="82" w:name="_Toc184314477"/>
      <w:bookmarkEnd w:id="82"/>
      <w:bookmarkStart w:id="83" w:name="_Toc184310322"/>
      <w:bookmarkEnd w:id="83"/>
      <w:bookmarkStart w:id="84" w:name="_Toc184313271"/>
      <w:bookmarkEnd w:id="84"/>
      <w:bookmarkStart w:id="85" w:name="_Toc184313284"/>
      <w:bookmarkEnd w:id="85"/>
      <w:bookmarkStart w:id="86" w:name="_Toc184312080"/>
      <w:bookmarkEnd w:id="86"/>
      <w:bookmarkStart w:id="87" w:name="_Toc184314453"/>
      <w:bookmarkEnd w:id="87"/>
      <w:bookmarkStart w:id="88" w:name="_Toc184313308"/>
      <w:bookmarkEnd w:id="88"/>
      <w:bookmarkStart w:id="89" w:name="_Toc184310340"/>
      <w:bookmarkEnd w:id="89"/>
      <w:bookmarkStart w:id="90" w:name="_Toc184312076"/>
      <w:bookmarkEnd w:id="90"/>
      <w:bookmarkStart w:id="91" w:name="_Toc184314430"/>
      <w:bookmarkEnd w:id="91"/>
      <w:bookmarkStart w:id="92" w:name="_Toc184308053"/>
      <w:bookmarkEnd w:id="92"/>
      <w:bookmarkStart w:id="93" w:name="_Toc184313239"/>
      <w:bookmarkEnd w:id="93"/>
      <w:bookmarkStart w:id="94" w:name="_Toc184314470"/>
      <w:bookmarkEnd w:id="94"/>
      <w:bookmarkStart w:id="95" w:name="_Toc184312123"/>
      <w:bookmarkEnd w:id="95"/>
      <w:bookmarkStart w:id="96" w:name="_Toc184314438"/>
      <w:bookmarkEnd w:id="96"/>
      <w:bookmarkStart w:id="97" w:name="_Toc184312082"/>
      <w:bookmarkEnd w:id="97"/>
      <w:bookmarkStart w:id="98" w:name="_Toc184314419"/>
      <w:bookmarkEnd w:id="98"/>
      <w:bookmarkStart w:id="99" w:name="_Toc184310273"/>
      <w:bookmarkEnd w:id="99"/>
      <w:bookmarkStart w:id="100" w:name="_Toc184310326"/>
      <w:bookmarkEnd w:id="100"/>
      <w:bookmarkStart w:id="101" w:name="_Toc184310274"/>
      <w:bookmarkEnd w:id="101"/>
      <w:bookmarkStart w:id="102" w:name="_Toc184314412"/>
      <w:bookmarkEnd w:id="102"/>
      <w:bookmarkStart w:id="103" w:name="_Toc184308065"/>
      <w:bookmarkEnd w:id="103"/>
      <w:bookmarkStart w:id="104" w:name="_Toc184308057"/>
      <w:bookmarkEnd w:id="104"/>
      <w:bookmarkStart w:id="105" w:name="_Toc184312112"/>
      <w:bookmarkEnd w:id="105"/>
      <w:bookmarkStart w:id="106" w:name="_Toc184308091"/>
      <w:bookmarkEnd w:id="106"/>
      <w:bookmarkStart w:id="107" w:name="_Toc184312120"/>
      <w:bookmarkEnd w:id="107"/>
      <w:bookmarkStart w:id="108" w:name="_Toc184308062"/>
      <w:bookmarkEnd w:id="108"/>
      <w:bookmarkStart w:id="109" w:name="_Toc184314416"/>
      <w:bookmarkEnd w:id="109"/>
      <w:bookmarkStart w:id="110" w:name="_Toc184312068"/>
      <w:bookmarkEnd w:id="110"/>
      <w:bookmarkStart w:id="111" w:name="_Toc184314417"/>
      <w:bookmarkEnd w:id="111"/>
      <w:bookmarkStart w:id="112" w:name="_Toc184314425"/>
      <w:bookmarkEnd w:id="112"/>
      <w:bookmarkStart w:id="113" w:name="_Toc184314480"/>
      <w:bookmarkEnd w:id="113"/>
      <w:bookmarkStart w:id="114" w:name="_Toc184310339"/>
      <w:bookmarkEnd w:id="114"/>
      <w:bookmarkStart w:id="115" w:name="_Toc184308085"/>
      <w:bookmarkEnd w:id="115"/>
      <w:bookmarkStart w:id="116" w:name="_Toc184312136"/>
      <w:bookmarkEnd w:id="116"/>
      <w:bookmarkStart w:id="117" w:name="_Toc184314463"/>
      <w:bookmarkEnd w:id="117"/>
      <w:bookmarkStart w:id="118" w:name="_Toc184308094"/>
      <w:bookmarkEnd w:id="118"/>
      <w:bookmarkStart w:id="119" w:name="_Toc184312105"/>
      <w:bookmarkEnd w:id="119"/>
      <w:bookmarkStart w:id="120" w:name="_Toc184313257"/>
      <w:bookmarkEnd w:id="120"/>
      <w:bookmarkStart w:id="121" w:name="_Toc184312084"/>
      <w:bookmarkEnd w:id="121"/>
      <w:bookmarkStart w:id="122" w:name="_Toc184310317"/>
      <w:bookmarkEnd w:id="122"/>
      <w:bookmarkStart w:id="123" w:name="_Toc184310301"/>
      <w:bookmarkEnd w:id="123"/>
      <w:bookmarkStart w:id="124" w:name="_Toc184310276"/>
      <w:bookmarkEnd w:id="124"/>
      <w:bookmarkStart w:id="125" w:name="_Toc184313267"/>
      <w:bookmarkEnd w:id="125"/>
      <w:bookmarkStart w:id="126" w:name="_Toc184308043"/>
      <w:bookmarkEnd w:id="126"/>
      <w:bookmarkStart w:id="127" w:name="_Toc184308086"/>
      <w:bookmarkEnd w:id="127"/>
      <w:bookmarkStart w:id="128" w:name="_Toc184314478"/>
      <w:bookmarkEnd w:id="128"/>
      <w:bookmarkStart w:id="129" w:name="_Toc184308044"/>
      <w:bookmarkEnd w:id="129"/>
      <w:bookmarkStart w:id="130" w:name="_Toc184310296"/>
      <w:bookmarkEnd w:id="130"/>
      <w:bookmarkStart w:id="131" w:name="_Toc184313306"/>
      <w:bookmarkEnd w:id="131"/>
      <w:bookmarkStart w:id="132" w:name="_Toc184314449"/>
      <w:bookmarkEnd w:id="132"/>
      <w:bookmarkStart w:id="133" w:name="_Toc184312075"/>
      <w:bookmarkEnd w:id="133"/>
      <w:bookmarkStart w:id="134" w:name="_Toc184312139"/>
      <w:bookmarkEnd w:id="134"/>
      <w:bookmarkStart w:id="135" w:name="_Toc184308100"/>
      <w:bookmarkEnd w:id="135"/>
      <w:bookmarkStart w:id="136" w:name="_Toc184314414"/>
      <w:bookmarkEnd w:id="136"/>
      <w:bookmarkStart w:id="137" w:name="_Toc184312067"/>
      <w:bookmarkEnd w:id="137"/>
      <w:bookmarkStart w:id="138" w:name="_Toc184314467"/>
      <w:bookmarkEnd w:id="138"/>
      <w:bookmarkStart w:id="139" w:name="_Toc184313274"/>
      <w:bookmarkEnd w:id="139"/>
      <w:bookmarkStart w:id="140" w:name="_Toc184310343"/>
      <w:bookmarkEnd w:id="140"/>
      <w:bookmarkStart w:id="141" w:name="_Toc184310341"/>
      <w:bookmarkEnd w:id="141"/>
      <w:bookmarkStart w:id="142" w:name="_Toc184310311"/>
      <w:bookmarkEnd w:id="142"/>
      <w:bookmarkStart w:id="143" w:name="_Toc184313262"/>
      <w:bookmarkEnd w:id="143"/>
      <w:bookmarkStart w:id="144" w:name="_Toc184310284"/>
      <w:bookmarkEnd w:id="144"/>
      <w:bookmarkStart w:id="145" w:name="_Toc184310283"/>
      <w:bookmarkEnd w:id="145"/>
      <w:bookmarkStart w:id="146" w:name="_Toc184313272"/>
      <w:bookmarkEnd w:id="146"/>
      <w:bookmarkStart w:id="147" w:name="_Toc184313260"/>
      <w:bookmarkEnd w:id="147"/>
      <w:bookmarkStart w:id="148" w:name="_Toc184313295"/>
      <w:bookmarkEnd w:id="148"/>
      <w:bookmarkStart w:id="149" w:name="_Toc184314432"/>
      <w:bookmarkEnd w:id="149"/>
      <w:bookmarkStart w:id="150" w:name="_Toc184310324"/>
      <w:bookmarkEnd w:id="150"/>
      <w:bookmarkStart w:id="151" w:name="_Toc184312078"/>
      <w:bookmarkEnd w:id="151"/>
      <w:bookmarkStart w:id="152" w:name="_Toc184313277"/>
      <w:bookmarkEnd w:id="152"/>
      <w:bookmarkStart w:id="153" w:name="_Toc184314431"/>
      <w:bookmarkEnd w:id="153"/>
      <w:bookmarkStart w:id="154" w:name="_Toc184310289"/>
      <w:bookmarkEnd w:id="154"/>
      <w:bookmarkStart w:id="155" w:name="_Toc184308052"/>
      <w:bookmarkEnd w:id="155"/>
      <w:bookmarkStart w:id="156" w:name="_Toc184312079"/>
      <w:bookmarkEnd w:id="156"/>
      <w:bookmarkStart w:id="157" w:name="_Toc184310272"/>
      <w:bookmarkEnd w:id="157"/>
      <w:bookmarkStart w:id="158" w:name="_Toc184314482"/>
      <w:bookmarkEnd w:id="158"/>
      <w:bookmarkStart w:id="159" w:name="_Toc184310312"/>
      <w:bookmarkEnd w:id="159"/>
      <w:bookmarkStart w:id="160" w:name="_Toc184312089"/>
      <w:bookmarkEnd w:id="160"/>
      <w:bookmarkStart w:id="161" w:name="_Toc184312093"/>
      <w:bookmarkEnd w:id="161"/>
      <w:bookmarkStart w:id="162" w:name="_Toc184308108"/>
      <w:bookmarkEnd w:id="162"/>
      <w:bookmarkStart w:id="163" w:name="_Toc184310342"/>
      <w:bookmarkEnd w:id="163"/>
      <w:bookmarkStart w:id="164" w:name="_Toc184308066"/>
      <w:bookmarkEnd w:id="164"/>
      <w:bookmarkStart w:id="165" w:name="_Toc184313246"/>
      <w:bookmarkEnd w:id="165"/>
      <w:bookmarkStart w:id="166" w:name="_Toc184308059"/>
      <w:bookmarkEnd w:id="166"/>
      <w:bookmarkStart w:id="167" w:name="_Toc184308079"/>
      <w:bookmarkEnd w:id="167"/>
      <w:bookmarkStart w:id="168" w:name="_Toc184314473"/>
      <w:bookmarkEnd w:id="168"/>
      <w:bookmarkStart w:id="169" w:name="_Toc184312073"/>
      <w:bookmarkEnd w:id="169"/>
      <w:bookmarkStart w:id="170" w:name="_Toc184310287"/>
      <w:bookmarkEnd w:id="170"/>
      <w:bookmarkStart w:id="171" w:name="_Toc184312100"/>
      <w:bookmarkEnd w:id="171"/>
      <w:bookmarkStart w:id="172" w:name="_Toc184310323"/>
      <w:bookmarkEnd w:id="172"/>
      <w:bookmarkStart w:id="173" w:name="_Toc184314444"/>
      <w:bookmarkEnd w:id="173"/>
      <w:bookmarkStart w:id="174" w:name="_Toc184313261"/>
      <w:bookmarkEnd w:id="174"/>
      <w:bookmarkStart w:id="175" w:name="_Toc184313264"/>
      <w:bookmarkEnd w:id="175"/>
      <w:bookmarkStart w:id="176" w:name="_Toc184312092"/>
      <w:bookmarkEnd w:id="176"/>
      <w:bookmarkStart w:id="177" w:name="_Toc184312127"/>
      <w:bookmarkEnd w:id="177"/>
      <w:bookmarkStart w:id="178" w:name="_Toc184310297"/>
      <w:bookmarkEnd w:id="178"/>
      <w:bookmarkStart w:id="179" w:name="_Toc184314418"/>
      <w:bookmarkEnd w:id="179"/>
      <w:bookmarkStart w:id="180" w:name="_Toc184310328"/>
      <w:bookmarkEnd w:id="180"/>
      <w:bookmarkStart w:id="181" w:name="_Toc184314462"/>
      <w:bookmarkEnd w:id="181"/>
      <w:bookmarkStart w:id="182" w:name="_Toc184312099"/>
      <w:bookmarkEnd w:id="182"/>
      <w:bookmarkStart w:id="183" w:name="_Toc184308096"/>
      <w:bookmarkEnd w:id="183"/>
      <w:bookmarkStart w:id="184" w:name="_Toc184313259"/>
      <w:bookmarkEnd w:id="184"/>
      <w:bookmarkStart w:id="185" w:name="_Toc184313282"/>
      <w:bookmarkEnd w:id="185"/>
      <w:bookmarkStart w:id="186" w:name="_Toc184308050"/>
      <w:bookmarkEnd w:id="186"/>
      <w:bookmarkStart w:id="187" w:name="_Toc184310280"/>
      <w:bookmarkEnd w:id="187"/>
      <w:bookmarkStart w:id="188" w:name="_Toc184312129"/>
      <w:bookmarkEnd w:id="188"/>
      <w:bookmarkStart w:id="189" w:name="_Toc184313243"/>
      <w:bookmarkEnd w:id="189"/>
      <w:bookmarkStart w:id="190" w:name="_Toc184312111"/>
      <w:bookmarkEnd w:id="190"/>
      <w:bookmarkStart w:id="191" w:name="_Toc184308054"/>
      <w:bookmarkEnd w:id="191"/>
      <w:bookmarkStart w:id="192" w:name="_Toc184310279"/>
      <w:bookmarkEnd w:id="192"/>
      <w:bookmarkStart w:id="193" w:name="_Toc184313254"/>
      <w:bookmarkEnd w:id="193"/>
      <w:bookmarkStart w:id="194" w:name="_Toc184313266"/>
      <w:bookmarkEnd w:id="194"/>
      <w:bookmarkStart w:id="195" w:name="_Toc184313245"/>
      <w:bookmarkEnd w:id="195"/>
      <w:bookmarkStart w:id="196" w:name="_Toc184313238"/>
      <w:bookmarkEnd w:id="196"/>
      <w:bookmarkStart w:id="197" w:name="_Toc184310277"/>
      <w:bookmarkEnd w:id="197"/>
      <w:bookmarkStart w:id="198" w:name="_Toc184308039"/>
      <w:bookmarkEnd w:id="198"/>
      <w:bookmarkStart w:id="199" w:name="_Toc184310318"/>
      <w:bookmarkEnd w:id="199"/>
      <w:bookmarkStart w:id="200" w:name="_Toc184312095"/>
      <w:bookmarkEnd w:id="200"/>
      <w:bookmarkStart w:id="201" w:name="_Toc184310315"/>
      <w:bookmarkEnd w:id="201"/>
      <w:bookmarkStart w:id="202" w:name="_Toc184314411"/>
      <w:bookmarkEnd w:id="202"/>
      <w:bookmarkStart w:id="203" w:name="_Toc184314472"/>
      <w:bookmarkEnd w:id="203"/>
      <w:bookmarkStart w:id="204" w:name="_Toc184314437"/>
      <w:bookmarkEnd w:id="204"/>
      <w:bookmarkStart w:id="205" w:name="_Toc184310321"/>
      <w:bookmarkEnd w:id="205"/>
      <w:bookmarkStart w:id="206" w:name="_Toc184314445"/>
      <w:bookmarkEnd w:id="206"/>
      <w:bookmarkStart w:id="207" w:name="_Toc184312071"/>
      <w:bookmarkEnd w:id="207"/>
      <w:bookmarkStart w:id="208" w:name="_Toc184308081"/>
      <w:bookmarkEnd w:id="208"/>
      <w:bookmarkStart w:id="209" w:name="_Toc184313268"/>
      <w:bookmarkEnd w:id="209"/>
      <w:bookmarkStart w:id="210" w:name="_Toc184308064"/>
      <w:bookmarkEnd w:id="210"/>
      <w:bookmarkStart w:id="211" w:name="_Toc184310278"/>
      <w:bookmarkEnd w:id="211"/>
      <w:bookmarkStart w:id="212" w:name="_Toc184310331"/>
      <w:bookmarkEnd w:id="212"/>
      <w:bookmarkStart w:id="213" w:name="_Toc184308087"/>
      <w:bookmarkEnd w:id="213"/>
      <w:bookmarkStart w:id="214" w:name="_Toc184314458"/>
      <w:bookmarkEnd w:id="214"/>
      <w:bookmarkStart w:id="215" w:name="_Toc184310285"/>
      <w:bookmarkEnd w:id="215"/>
      <w:bookmarkStart w:id="216" w:name="_Toc184312102"/>
      <w:bookmarkEnd w:id="216"/>
      <w:bookmarkStart w:id="217" w:name="_Toc184313269"/>
      <w:bookmarkEnd w:id="217"/>
      <w:bookmarkStart w:id="218" w:name="_Toc184308045"/>
      <w:bookmarkEnd w:id="218"/>
      <w:bookmarkStart w:id="219" w:name="_Toc184312081"/>
      <w:bookmarkEnd w:id="219"/>
      <w:bookmarkStart w:id="220" w:name="_Toc184314447"/>
      <w:bookmarkEnd w:id="220"/>
      <w:bookmarkStart w:id="221" w:name="_Toc184314434"/>
      <w:bookmarkEnd w:id="221"/>
      <w:bookmarkStart w:id="222" w:name="_Toc184313299"/>
      <w:bookmarkEnd w:id="222"/>
      <w:bookmarkStart w:id="223" w:name="_Toc184310344"/>
      <w:bookmarkEnd w:id="223"/>
      <w:bookmarkStart w:id="224" w:name="_Toc184314426"/>
      <w:bookmarkEnd w:id="224"/>
      <w:bookmarkStart w:id="225" w:name="_Toc184314461"/>
      <w:bookmarkEnd w:id="225"/>
      <w:bookmarkStart w:id="226" w:name="_Toc184313241"/>
      <w:bookmarkEnd w:id="226"/>
      <w:bookmarkStart w:id="227" w:name="_Toc184312115"/>
      <w:bookmarkEnd w:id="227"/>
      <w:bookmarkStart w:id="228" w:name="_Toc184312085"/>
      <w:bookmarkEnd w:id="228"/>
      <w:bookmarkStart w:id="229" w:name="_Toc184308038"/>
      <w:bookmarkEnd w:id="229"/>
      <w:bookmarkStart w:id="230" w:name="_Toc184312097"/>
      <w:bookmarkEnd w:id="230"/>
      <w:bookmarkStart w:id="231" w:name="_Toc184312114"/>
      <w:bookmarkEnd w:id="231"/>
      <w:bookmarkStart w:id="232" w:name="_Toc184313300"/>
      <w:bookmarkEnd w:id="232"/>
      <w:bookmarkStart w:id="233" w:name="_Toc184313275"/>
      <w:bookmarkEnd w:id="233"/>
      <w:bookmarkStart w:id="234" w:name="_Toc184310275"/>
      <w:bookmarkEnd w:id="234"/>
      <w:bookmarkStart w:id="235" w:name="_Toc184308090"/>
      <w:bookmarkEnd w:id="235"/>
      <w:bookmarkStart w:id="236" w:name="_Toc184310290"/>
      <w:bookmarkEnd w:id="236"/>
      <w:bookmarkStart w:id="237" w:name="_Toc184310337"/>
      <w:bookmarkEnd w:id="237"/>
      <w:bookmarkStart w:id="238" w:name="_Toc184314440"/>
      <w:bookmarkEnd w:id="238"/>
      <w:bookmarkStart w:id="239" w:name="_Toc184314443"/>
      <w:bookmarkEnd w:id="239"/>
      <w:bookmarkStart w:id="240" w:name="_Toc184310333"/>
      <w:bookmarkEnd w:id="240"/>
      <w:bookmarkStart w:id="241" w:name="_Toc184308037"/>
      <w:bookmarkEnd w:id="241"/>
      <w:bookmarkStart w:id="242" w:name="_Toc184310293"/>
      <w:bookmarkEnd w:id="242"/>
      <w:bookmarkStart w:id="243" w:name="_Toc184314428"/>
      <w:bookmarkEnd w:id="243"/>
      <w:bookmarkStart w:id="244" w:name="_Toc184312070"/>
      <w:bookmarkEnd w:id="244"/>
      <w:bookmarkStart w:id="245" w:name="_Toc184312121"/>
      <w:bookmarkEnd w:id="245"/>
      <w:bookmarkStart w:id="246" w:name="_Toc184314471"/>
      <w:bookmarkEnd w:id="246"/>
      <w:bookmarkStart w:id="247" w:name="_Toc184312086"/>
      <w:bookmarkEnd w:id="247"/>
      <w:bookmarkStart w:id="248" w:name="_Toc184313265"/>
      <w:bookmarkEnd w:id="248"/>
      <w:bookmarkStart w:id="249" w:name="_Toc184314421"/>
      <w:bookmarkEnd w:id="249"/>
      <w:bookmarkStart w:id="250" w:name="_Toc184310291"/>
      <w:bookmarkEnd w:id="250"/>
      <w:bookmarkStart w:id="251" w:name="_Toc184313256"/>
      <w:bookmarkEnd w:id="251"/>
      <w:bookmarkStart w:id="252" w:name="_Toc184314451"/>
      <w:bookmarkEnd w:id="252"/>
      <w:bookmarkStart w:id="253" w:name="_Toc184310314"/>
      <w:bookmarkEnd w:id="253"/>
      <w:bookmarkStart w:id="254" w:name="_Toc184314457"/>
      <w:bookmarkEnd w:id="254"/>
      <w:bookmarkStart w:id="255" w:name="_Toc184312109"/>
      <w:bookmarkEnd w:id="255"/>
      <w:bookmarkStart w:id="256" w:name="_Toc184312106"/>
      <w:bookmarkEnd w:id="256"/>
      <w:bookmarkStart w:id="257" w:name="_Toc184314442"/>
      <w:bookmarkEnd w:id="257"/>
      <w:bookmarkStart w:id="258" w:name="_Toc184313294"/>
      <w:bookmarkEnd w:id="258"/>
      <w:bookmarkStart w:id="259" w:name="_Toc184308046"/>
      <w:bookmarkEnd w:id="259"/>
      <w:bookmarkStart w:id="260" w:name="_Toc184314415"/>
      <w:bookmarkEnd w:id="260"/>
      <w:bookmarkStart w:id="261" w:name="_Toc184308105"/>
      <w:bookmarkEnd w:id="261"/>
      <w:bookmarkStart w:id="262" w:name="_Toc184312104"/>
      <w:bookmarkEnd w:id="262"/>
      <w:bookmarkStart w:id="263" w:name="_Toc184308049"/>
      <w:bookmarkEnd w:id="263"/>
      <w:bookmarkStart w:id="264" w:name="_Toc184312117"/>
      <w:bookmarkEnd w:id="264"/>
      <w:bookmarkStart w:id="265" w:name="_Toc184312074"/>
      <w:bookmarkEnd w:id="265"/>
      <w:bookmarkStart w:id="266" w:name="_Toc184314460"/>
      <w:bookmarkEnd w:id="266"/>
      <w:bookmarkStart w:id="267" w:name="_Toc184310320"/>
      <w:bookmarkEnd w:id="267"/>
      <w:bookmarkStart w:id="268" w:name="_Toc184308067"/>
      <w:bookmarkEnd w:id="268"/>
      <w:bookmarkStart w:id="269" w:name="_Toc184314476"/>
      <w:bookmarkEnd w:id="269"/>
      <w:bookmarkStart w:id="270" w:name="_Toc184310303"/>
      <w:bookmarkEnd w:id="270"/>
      <w:bookmarkStart w:id="271" w:name="_Toc184308071"/>
      <w:bookmarkEnd w:id="271"/>
      <w:bookmarkStart w:id="272" w:name="_Toc184312130"/>
      <w:bookmarkEnd w:id="272"/>
      <w:bookmarkStart w:id="273" w:name="_Toc184313288"/>
      <w:bookmarkEnd w:id="273"/>
      <w:bookmarkStart w:id="274" w:name="_Toc184312108"/>
      <w:bookmarkEnd w:id="274"/>
      <w:bookmarkStart w:id="275" w:name="_Toc184313287"/>
      <w:bookmarkEnd w:id="275"/>
      <w:bookmarkStart w:id="276" w:name="_Toc184308041"/>
      <w:bookmarkEnd w:id="276"/>
      <w:bookmarkStart w:id="277" w:name="_Toc184312134"/>
      <w:bookmarkEnd w:id="277"/>
      <w:bookmarkStart w:id="278" w:name="_Toc184312116"/>
      <w:bookmarkEnd w:id="278"/>
      <w:bookmarkStart w:id="279" w:name="_Toc184314439"/>
      <w:bookmarkEnd w:id="279"/>
      <w:bookmarkStart w:id="280" w:name="_Toc184312119"/>
      <w:bookmarkEnd w:id="280"/>
      <w:bookmarkStart w:id="281" w:name="_Toc184312138"/>
      <w:bookmarkEnd w:id="281"/>
      <w:bookmarkStart w:id="282" w:name="_Toc184314465"/>
      <w:bookmarkEnd w:id="282"/>
      <w:bookmarkStart w:id="283" w:name="_Toc184313303"/>
      <w:bookmarkEnd w:id="283"/>
      <w:bookmarkStart w:id="284" w:name="_Toc184313281"/>
      <w:bookmarkEnd w:id="284"/>
      <w:bookmarkStart w:id="285" w:name="_Toc184312083"/>
      <w:bookmarkEnd w:id="285"/>
      <w:bookmarkStart w:id="286" w:name="_Toc184310325"/>
      <w:bookmarkEnd w:id="286"/>
      <w:bookmarkStart w:id="287" w:name="_Toc184313252"/>
      <w:bookmarkEnd w:id="287"/>
      <w:bookmarkStart w:id="288" w:name="_Toc184314413"/>
      <w:bookmarkEnd w:id="288"/>
      <w:bookmarkStart w:id="289" w:name="_Toc184312094"/>
      <w:bookmarkEnd w:id="289"/>
      <w:bookmarkStart w:id="290" w:name="_Toc184314459"/>
      <w:bookmarkEnd w:id="290"/>
      <w:bookmarkStart w:id="291" w:name="_Toc184312132"/>
      <w:bookmarkEnd w:id="291"/>
      <w:bookmarkStart w:id="292" w:name="_Toc184310319"/>
      <w:bookmarkEnd w:id="292"/>
      <w:bookmarkStart w:id="293" w:name="_Toc184314468"/>
      <w:bookmarkEnd w:id="293"/>
      <w:bookmarkStart w:id="294" w:name="_Toc184313242"/>
      <w:bookmarkEnd w:id="294"/>
      <w:bookmarkStart w:id="295" w:name="_Toc184313291"/>
      <w:bookmarkEnd w:id="295"/>
      <w:bookmarkStart w:id="296" w:name="_Toc184310316"/>
      <w:bookmarkEnd w:id="296"/>
      <w:bookmarkStart w:id="297" w:name="_Toc184314420"/>
      <w:bookmarkEnd w:id="297"/>
      <w:bookmarkStart w:id="298" w:name="_Toc184310305"/>
      <w:bookmarkEnd w:id="298"/>
      <w:bookmarkStart w:id="299" w:name="_Toc184312101"/>
      <w:bookmarkEnd w:id="299"/>
      <w:bookmarkStart w:id="300" w:name="_Toc184312072"/>
      <w:bookmarkEnd w:id="300"/>
      <w:bookmarkStart w:id="301" w:name="_Toc184310299"/>
      <w:bookmarkEnd w:id="301"/>
      <w:bookmarkStart w:id="302" w:name="_Toc184312113"/>
      <w:bookmarkEnd w:id="302"/>
      <w:bookmarkStart w:id="303" w:name="_Toc184314450"/>
      <w:bookmarkEnd w:id="303"/>
      <w:bookmarkStart w:id="304" w:name="_Toc184308055"/>
      <w:bookmarkEnd w:id="304"/>
      <w:bookmarkStart w:id="305" w:name="_Toc184314469"/>
      <w:bookmarkEnd w:id="305"/>
      <w:bookmarkStart w:id="306" w:name="_Toc184314423"/>
      <w:bookmarkEnd w:id="306"/>
      <w:bookmarkStart w:id="307" w:name="_Toc184314435"/>
      <w:bookmarkEnd w:id="307"/>
      <w:bookmarkStart w:id="308" w:name="_Toc184314454"/>
      <w:bookmarkEnd w:id="308"/>
      <w:bookmarkStart w:id="309" w:name="_Toc184313302"/>
      <w:bookmarkEnd w:id="309"/>
      <w:bookmarkStart w:id="310" w:name="_Toc184308080"/>
      <w:bookmarkEnd w:id="310"/>
      <w:bookmarkStart w:id="311" w:name="_Toc184310313"/>
      <w:bookmarkEnd w:id="311"/>
      <w:bookmarkStart w:id="312" w:name="_Toc184313279"/>
      <w:bookmarkEnd w:id="312"/>
      <w:bookmarkStart w:id="313" w:name="_Toc184313310"/>
      <w:bookmarkEnd w:id="313"/>
      <w:bookmarkStart w:id="314" w:name="_Toc184312124"/>
      <w:bookmarkEnd w:id="314"/>
      <w:bookmarkStart w:id="315" w:name="_Toc184312091"/>
      <w:bookmarkEnd w:id="315"/>
      <w:bookmarkStart w:id="316" w:name="_Toc184308103"/>
      <w:bookmarkEnd w:id="316"/>
      <w:bookmarkStart w:id="317" w:name="_Toc184310327"/>
      <w:bookmarkEnd w:id="317"/>
      <w:bookmarkStart w:id="318" w:name="_Toc184308088"/>
      <w:bookmarkEnd w:id="318"/>
      <w:bookmarkStart w:id="319" w:name="_Toc184313298"/>
      <w:bookmarkEnd w:id="319"/>
      <w:bookmarkStart w:id="320" w:name="_Toc184310304"/>
      <w:bookmarkEnd w:id="320"/>
      <w:bookmarkStart w:id="321" w:name="_Toc184308068"/>
      <w:bookmarkEnd w:id="321"/>
      <w:bookmarkStart w:id="322" w:name="_Toc184308104"/>
      <w:bookmarkEnd w:id="322"/>
      <w:bookmarkStart w:id="323" w:name="_Toc184312088"/>
      <w:bookmarkEnd w:id="323"/>
      <w:bookmarkStart w:id="324" w:name="_Toc184314466"/>
      <w:bookmarkEnd w:id="324"/>
      <w:bookmarkStart w:id="325" w:name="_Toc184308101"/>
      <w:bookmarkEnd w:id="325"/>
      <w:bookmarkStart w:id="326" w:name="_Toc184308070"/>
      <w:bookmarkEnd w:id="326"/>
      <w:bookmarkStart w:id="327" w:name="_Toc184308040"/>
      <w:bookmarkEnd w:id="327"/>
      <w:bookmarkStart w:id="328" w:name="_Toc184310286"/>
      <w:bookmarkEnd w:id="328"/>
      <w:bookmarkStart w:id="329" w:name="_Toc184310302"/>
      <w:bookmarkEnd w:id="329"/>
      <w:bookmarkStart w:id="330" w:name="_Toc184312096"/>
      <w:bookmarkEnd w:id="330"/>
      <w:bookmarkStart w:id="331" w:name="_Toc184312137"/>
      <w:bookmarkEnd w:id="331"/>
      <w:bookmarkStart w:id="332" w:name="_Toc184308073"/>
      <w:bookmarkEnd w:id="332"/>
      <w:bookmarkStart w:id="333" w:name="_Toc184313273"/>
      <w:bookmarkEnd w:id="333"/>
      <w:bookmarkStart w:id="334" w:name="_Toc184308102"/>
      <w:bookmarkEnd w:id="334"/>
      <w:bookmarkStart w:id="335" w:name="_Toc184314475"/>
      <w:bookmarkEnd w:id="335"/>
      <w:bookmarkStart w:id="336" w:name="_Toc184308069"/>
      <w:bookmarkEnd w:id="336"/>
      <w:bookmarkStart w:id="337" w:name="_Toc184310330"/>
      <w:bookmarkEnd w:id="337"/>
      <w:bookmarkStart w:id="338" w:name="_Toc184308048"/>
      <w:bookmarkEnd w:id="338"/>
      <w:bookmarkStart w:id="339" w:name="_Toc184314448"/>
      <w:bookmarkEnd w:id="339"/>
      <w:bookmarkStart w:id="340" w:name="_Toc184313297"/>
      <w:bookmarkEnd w:id="340"/>
      <w:bookmarkStart w:id="341" w:name="_Toc184314427"/>
      <w:bookmarkEnd w:id="341"/>
      <w:bookmarkStart w:id="342" w:name="_Toc184314410"/>
      <w:bookmarkEnd w:id="342"/>
      <w:bookmarkStart w:id="343" w:name="_Toc184313296"/>
      <w:bookmarkEnd w:id="343"/>
      <w:bookmarkStart w:id="344" w:name="_Toc184308107"/>
      <w:bookmarkEnd w:id="344"/>
      <w:bookmarkStart w:id="345" w:name="_Toc184308036"/>
      <w:bookmarkEnd w:id="345"/>
      <w:bookmarkStart w:id="346" w:name="_Toc184313249"/>
      <w:bookmarkEnd w:id="346"/>
      <w:bookmarkStart w:id="347" w:name="_Toc184313292"/>
      <w:bookmarkEnd w:id="347"/>
      <w:bookmarkStart w:id="348" w:name="_Toc184313305"/>
      <w:bookmarkEnd w:id="348"/>
      <w:bookmarkStart w:id="349" w:name="_Toc184314424"/>
      <w:bookmarkEnd w:id="349"/>
      <w:bookmarkStart w:id="350" w:name="_Toc184313276"/>
      <w:bookmarkEnd w:id="350"/>
      <w:bookmarkStart w:id="351" w:name="_Toc184313248"/>
      <w:bookmarkEnd w:id="351"/>
      <w:bookmarkStart w:id="352" w:name="_Toc184312135"/>
      <w:bookmarkEnd w:id="352"/>
      <w:bookmarkStart w:id="353" w:name="_Toc184313289"/>
      <w:bookmarkEnd w:id="353"/>
      <w:bookmarkStart w:id="354" w:name="_Toc184308060"/>
      <w:bookmarkEnd w:id="354"/>
      <w:bookmarkStart w:id="355" w:name="_Toc184308074"/>
      <w:bookmarkEnd w:id="355"/>
      <w:bookmarkStart w:id="356" w:name="_Toc184310300"/>
      <w:bookmarkEnd w:id="356"/>
      <w:bookmarkStart w:id="357" w:name="_Toc184312087"/>
      <w:bookmarkEnd w:id="357"/>
      <w:bookmarkStart w:id="358" w:name="_Toc184312110"/>
      <w:bookmarkEnd w:id="358"/>
      <w:bookmarkStart w:id="359" w:name="_Toc184310308"/>
      <w:bookmarkEnd w:id="359"/>
      <w:bookmarkStart w:id="360" w:name="_Toc184308082"/>
      <w:bookmarkEnd w:id="360"/>
      <w:bookmarkStart w:id="361" w:name="_Toc184310295"/>
      <w:bookmarkEnd w:id="361"/>
      <w:bookmarkStart w:id="362" w:name="_Toc184313283"/>
      <w:bookmarkEnd w:id="362"/>
      <w:bookmarkStart w:id="363" w:name="_Toc184314481"/>
      <w:bookmarkEnd w:id="363"/>
      <w:bookmarkStart w:id="364" w:name="_Toc184310294"/>
      <w:bookmarkEnd w:id="364"/>
      <w:bookmarkStart w:id="365" w:name="_Toc184313304"/>
      <w:bookmarkEnd w:id="365"/>
      <w:bookmarkStart w:id="366" w:name="_Toc184314429"/>
      <w:bookmarkEnd w:id="366"/>
      <w:bookmarkStart w:id="367" w:name="_Toc184308097"/>
      <w:bookmarkEnd w:id="367"/>
      <w:bookmarkStart w:id="368" w:name="_Toc184313258"/>
      <w:bookmarkEnd w:id="368"/>
      <w:bookmarkStart w:id="369" w:name="_Toc184313301"/>
      <w:bookmarkEnd w:id="369"/>
      <w:bookmarkStart w:id="370" w:name="_Toc184308077"/>
      <w:bookmarkEnd w:id="370"/>
      <w:bookmarkStart w:id="371" w:name="_Toc184312118"/>
      <w:bookmarkEnd w:id="371"/>
      <w:bookmarkStart w:id="372" w:name="_Toc184308076"/>
      <w:bookmarkEnd w:id="372"/>
      <w:bookmarkStart w:id="373" w:name="_Toc184313286"/>
      <w:bookmarkEnd w:id="373"/>
      <w:bookmarkStart w:id="374" w:name="_Toc184308092"/>
      <w:bookmarkEnd w:id="374"/>
      <w:bookmarkStart w:id="375" w:name="_Toc184314455"/>
      <w:bookmarkEnd w:id="375"/>
      <w:bookmarkStart w:id="376" w:name="_Toc184313307"/>
      <w:bookmarkEnd w:id="376"/>
      <w:bookmarkStart w:id="377" w:name="_Toc184313240"/>
      <w:bookmarkEnd w:id="377"/>
      <w:bookmarkStart w:id="378" w:name="_Toc184314464"/>
      <w:bookmarkEnd w:id="378"/>
      <w:bookmarkStart w:id="379" w:name="_Toc184308093"/>
      <w:bookmarkEnd w:id="379"/>
      <w:bookmarkStart w:id="380" w:name="_Toc184310310"/>
      <w:bookmarkEnd w:id="380"/>
      <w:bookmarkStart w:id="381" w:name="_Toc184314422"/>
      <w:bookmarkEnd w:id="381"/>
      <w:bookmarkStart w:id="382" w:name="_Toc184313293"/>
      <w:bookmarkEnd w:id="382"/>
      <w:bookmarkStart w:id="383" w:name="_Toc184313247"/>
      <w:bookmarkEnd w:id="383"/>
      <w:bookmarkStart w:id="384" w:name="_Toc184310309"/>
      <w:bookmarkEnd w:id="384"/>
      <w:bookmarkStart w:id="385" w:name="_Toc184310298"/>
      <w:bookmarkEnd w:id="385"/>
      <w:bookmarkStart w:id="386" w:name="_Toc184308099"/>
      <w:bookmarkEnd w:id="386"/>
      <w:bookmarkStart w:id="387" w:name="_Toc184308078"/>
      <w:bookmarkEnd w:id="387"/>
      <w:bookmarkStart w:id="388" w:name="_Toc184313250"/>
      <w:bookmarkEnd w:id="388"/>
      <w:bookmarkStart w:id="389" w:name="_Toc184308056"/>
      <w:bookmarkEnd w:id="389"/>
      <w:bookmarkStart w:id="390" w:name="_Toc184312131"/>
      <w:bookmarkEnd w:id="390"/>
      <w:bookmarkStart w:id="391" w:name="_Toc184313244"/>
      <w:bookmarkEnd w:id="391"/>
      <w:bookmarkStart w:id="392" w:name="_Toc184314479"/>
      <w:bookmarkEnd w:id="392"/>
      <w:bookmarkStart w:id="393" w:name="_Toc184310306"/>
      <w:bookmarkEnd w:id="393"/>
      <w:bookmarkStart w:id="394" w:name="_Toc184313278"/>
      <w:bookmarkEnd w:id="394"/>
      <w:bookmarkStart w:id="395" w:name="_Toc184310334"/>
      <w:bookmarkEnd w:id="395"/>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p>
      <w:pPr>
        <w:autoSpaceDE w:val="0"/>
        <w:autoSpaceDN w:val="0"/>
        <w:spacing w:line="360" w:lineRule="auto"/>
        <w:ind w:firstLine="480"/>
        <w:rPr>
          <w:rFonts w:ascii="宋体" w:hAnsi="宋体" w:cs="宋体"/>
          <w:b/>
          <w:szCs w:val="21"/>
          <w:lang w:val="zh-CN"/>
        </w:rPr>
      </w:pPr>
      <w:r>
        <w:rPr>
          <w:rFonts w:hint="eastAsia" w:ascii="宋体" w:hAnsi="宋体" w:cs="宋体"/>
          <w:b/>
          <w:szCs w:val="21"/>
          <w:lang w:val="zh-CN"/>
        </w:rPr>
        <w:t>（一）</w:t>
      </w:r>
      <w:r>
        <w:rPr>
          <w:rFonts w:hint="eastAsia" w:ascii="宋体" w:hAnsi="宋体" w:cs="宋体"/>
          <w:b/>
          <w:szCs w:val="21"/>
        </w:rPr>
        <w:t>资信</w:t>
      </w:r>
      <w:r>
        <w:rPr>
          <w:rFonts w:hint="eastAsia" w:ascii="宋体" w:hAnsi="宋体" w:cs="宋体"/>
          <w:b/>
          <w:szCs w:val="21"/>
          <w:lang w:val="zh-CN"/>
        </w:rPr>
        <w:t>技术分（满分</w:t>
      </w:r>
      <w:r>
        <w:rPr>
          <w:rFonts w:ascii="宋体" w:hAnsi="宋体" w:cs="宋体"/>
          <w:b/>
          <w:szCs w:val="21"/>
          <w:u w:val="single"/>
        </w:rPr>
        <w:t>90</w:t>
      </w:r>
      <w:r>
        <w:rPr>
          <w:rFonts w:hint="eastAsia" w:ascii="宋体" w:hAnsi="宋体" w:cs="宋体"/>
          <w:b/>
          <w:szCs w:val="21"/>
          <w:lang w:val="zh-CN"/>
        </w:rPr>
        <w:t>分）</w:t>
      </w:r>
    </w:p>
    <w:p>
      <w:pPr>
        <w:autoSpaceDE w:val="0"/>
        <w:autoSpaceDN w:val="0"/>
        <w:spacing w:line="360" w:lineRule="auto"/>
        <w:ind w:firstLine="480"/>
        <w:rPr>
          <w:rFonts w:ascii="宋体" w:hAnsi="宋体" w:cs="宋体"/>
          <w:szCs w:val="21"/>
          <w:lang w:val="zh-CN"/>
        </w:rPr>
      </w:pPr>
      <w:r>
        <w:rPr>
          <w:rFonts w:hint="eastAsia" w:ascii="宋体" w:hAnsi="宋体" w:cs="宋体"/>
          <w:szCs w:val="21"/>
          <w:lang w:val="zh-CN"/>
        </w:rPr>
        <w:t>评标委员会对各投标人的</w:t>
      </w:r>
      <w:r>
        <w:rPr>
          <w:rFonts w:hint="eastAsia" w:ascii="宋体" w:hAnsi="宋体" w:cs="宋体"/>
          <w:szCs w:val="21"/>
        </w:rPr>
        <w:t>资信</w:t>
      </w:r>
      <w:r>
        <w:rPr>
          <w:rFonts w:hint="eastAsia" w:ascii="宋体" w:hAnsi="宋体" w:cs="宋体"/>
          <w:szCs w:val="21"/>
          <w:lang w:val="zh-CN"/>
        </w:rPr>
        <w:t>技术充分审核、讨论及评议后，每人一份评分表，进行独自打分并签名。在统计得分时，如发现某一单项评分超过评分细则规定的分值范围，则该张评分表无效。投标人技术部分的得分为评标委员会各成员的有效评分的算术平均值。</w:t>
      </w:r>
    </w:p>
    <w:tbl>
      <w:tblPr>
        <w:tblStyle w:val="6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5103"/>
        <w:gridCol w:w="851"/>
        <w:gridCol w:w="184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trPr>
        <w:tc>
          <w:tcPr>
            <w:tcW w:w="421" w:type="dxa"/>
            <w:vAlign w:val="center"/>
          </w:tcPr>
          <w:p>
            <w:pPr>
              <w:spacing w:line="360" w:lineRule="auto"/>
              <w:rPr>
                <w:rFonts w:ascii="宋体" w:hAnsi="宋体" w:cs="宋体"/>
                <w:color w:val="000000"/>
                <w:sz w:val="22"/>
                <w:szCs w:val="22"/>
              </w:rPr>
            </w:pPr>
            <w:r>
              <w:rPr>
                <w:rFonts w:hint="eastAsia" w:ascii="宋体" w:hAnsi="宋体" w:cs="宋体"/>
                <w:color w:val="000000"/>
                <w:sz w:val="22"/>
                <w:szCs w:val="22"/>
              </w:rPr>
              <w:t>序号</w:t>
            </w:r>
          </w:p>
        </w:tc>
        <w:tc>
          <w:tcPr>
            <w:tcW w:w="850" w:type="dxa"/>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内容</w:t>
            </w:r>
          </w:p>
        </w:tc>
        <w:tc>
          <w:tcPr>
            <w:tcW w:w="5103" w:type="dxa"/>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评分标准</w:t>
            </w:r>
          </w:p>
        </w:tc>
        <w:tc>
          <w:tcPr>
            <w:tcW w:w="851" w:type="dxa"/>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分值</w:t>
            </w:r>
          </w:p>
        </w:tc>
        <w:tc>
          <w:tcPr>
            <w:tcW w:w="1842" w:type="dxa"/>
          </w:tcPr>
          <w:p>
            <w:pPr>
              <w:spacing w:line="360" w:lineRule="auto"/>
              <w:jc w:val="center"/>
              <w:rPr>
                <w:rFonts w:ascii="宋体" w:hAnsi="宋体" w:cs="宋体"/>
                <w:color w:val="000000"/>
                <w:sz w:val="22"/>
                <w:szCs w:val="22"/>
              </w:rPr>
            </w:pPr>
            <w:r>
              <w:rPr>
                <w:rFonts w:hint="eastAsia" w:ascii="宋体" w:hAnsi="宋体" w:cs="宋体"/>
                <w:color w:val="000000"/>
                <w:sz w:val="22"/>
                <w:szCs w:val="22"/>
              </w:rPr>
              <w:t>投标文件中评标标准相应的商务技术资料目录</w:t>
            </w:r>
          </w:p>
        </w:tc>
        <w:tc>
          <w:tcPr>
            <w:tcW w:w="993" w:type="dxa"/>
          </w:tcPr>
          <w:p>
            <w:pPr>
              <w:spacing w:line="360" w:lineRule="auto"/>
              <w:rPr>
                <w:rFonts w:ascii="宋体" w:hAnsi="宋体" w:cs="宋体"/>
                <w:color w:val="000000"/>
                <w:sz w:val="22"/>
                <w:szCs w:val="22"/>
              </w:rPr>
            </w:pPr>
          </w:p>
          <w:p>
            <w:pPr>
              <w:spacing w:line="360" w:lineRule="auto"/>
              <w:jc w:val="center"/>
              <w:rPr>
                <w:rFonts w:hint="eastAsia" w:ascii="宋体" w:hAnsi="宋体" w:cs="宋体"/>
                <w:color w:val="000000"/>
                <w:sz w:val="22"/>
                <w:szCs w:val="22"/>
              </w:rPr>
            </w:pPr>
            <w:r>
              <w:rPr>
                <w:rFonts w:hint="eastAsia" w:ascii="宋体" w:hAnsi="宋体" w:cs="宋体"/>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投标人管理体系认证证书</w:t>
            </w:r>
          </w:p>
        </w:tc>
        <w:tc>
          <w:tcPr>
            <w:tcW w:w="5103" w:type="dxa"/>
            <w:vAlign w:val="center"/>
          </w:tcPr>
          <w:p>
            <w:pPr>
              <w:pStyle w:val="955"/>
              <w:spacing w:before="11" w:line="320" w:lineRule="exact"/>
              <w:ind w:left="28" w:right="-15"/>
              <w:rPr>
                <w:rFonts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投标人具备职业健康安全管理体系认证，质量管理体系认证，环境管理体系且在有效期内每提供一个得1分，最高得3分。</w:t>
            </w:r>
          </w:p>
          <w:p>
            <w:pPr>
              <w:pStyle w:val="955"/>
              <w:spacing w:before="2" w:line="320" w:lineRule="exact"/>
              <w:ind w:left="28" w:right="-15"/>
              <w:rPr>
                <w:rFonts w:ascii="宋体" w:hAnsi="宋体" w:cs="宋体"/>
                <w:b/>
                <w:bCs/>
                <w:color w:val="000000"/>
                <w:sz w:val="21"/>
                <w:szCs w:val="21"/>
                <w:highlight w:val="none"/>
                <w:lang w:eastAsia="zh-CN"/>
              </w:rPr>
            </w:pPr>
            <w:r>
              <w:rPr>
                <w:rFonts w:hint="eastAsia" w:ascii="宋体" w:hAnsi="宋体" w:cs="宋体"/>
                <w:color w:val="000000"/>
                <w:sz w:val="21"/>
                <w:szCs w:val="21"/>
                <w:highlight w:val="none"/>
                <w:lang w:eastAsia="zh-CN"/>
              </w:rPr>
              <w:t>（提供认证证书复印件及中国国家认证认可监督管理委员会网站认证信息查询页面的打印件加盖公章，否则不予得分）</w:t>
            </w:r>
          </w:p>
        </w:tc>
        <w:tc>
          <w:tcPr>
            <w:tcW w:w="851" w:type="dxa"/>
            <w:vAlign w:val="center"/>
          </w:tcPr>
          <w:p>
            <w:pPr>
              <w:jc w:val="center"/>
              <w:rPr>
                <w:rFonts w:ascii="宋体" w:hAnsi="宋体" w:cs="宋体"/>
                <w:b/>
                <w:bCs/>
                <w:color w:val="000000"/>
                <w:kern w:val="0"/>
                <w:szCs w:val="21"/>
                <w:highlight w:val="none"/>
              </w:rPr>
            </w:pPr>
            <w:r>
              <w:rPr>
                <w:rFonts w:hint="eastAsia" w:ascii="宋体" w:hAnsi="宋体" w:cs="宋体"/>
                <w:color w:val="000000"/>
                <w:kern w:val="0"/>
                <w:szCs w:val="21"/>
                <w:highlight w:val="none"/>
              </w:rPr>
              <w:t>0-3分</w:t>
            </w:r>
          </w:p>
        </w:tc>
        <w:tc>
          <w:tcPr>
            <w:tcW w:w="1842" w:type="dxa"/>
          </w:tcPr>
          <w:p>
            <w:pPr>
              <w:jc w:val="center"/>
              <w:rPr>
                <w:rFonts w:ascii="宋体" w:hAnsi="宋体" w:cs="宋体"/>
                <w:color w:val="000000"/>
                <w:kern w:val="0"/>
                <w:szCs w:val="21"/>
                <w:highlight w:val="none"/>
              </w:rPr>
            </w:pPr>
          </w:p>
        </w:tc>
        <w:tc>
          <w:tcPr>
            <w:tcW w:w="993" w:type="dxa"/>
          </w:tcPr>
          <w:p>
            <w:pPr>
              <w:spacing w:line="360" w:lineRule="auto"/>
              <w:jc w:val="center"/>
              <w:rPr>
                <w:rFonts w:ascii="宋体" w:hAnsi="宋体" w:cs="宋体"/>
                <w:color w:val="000000"/>
                <w:sz w:val="22"/>
                <w:szCs w:val="22"/>
                <w:highlight w:val="none"/>
              </w:rPr>
            </w:pPr>
          </w:p>
          <w:p>
            <w:pPr>
              <w:spacing w:line="360" w:lineRule="auto"/>
              <w:jc w:val="center"/>
              <w:rPr>
                <w:rFonts w:ascii="宋体" w:hAnsi="宋体" w:cs="宋体"/>
                <w:color w:val="000000"/>
                <w:sz w:val="22"/>
                <w:szCs w:val="22"/>
                <w:highlight w:val="none"/>
              </w:rPr>
            </w:pPr>
          </w:p>
          <w:p>
            <w:pPr>
              <w:spacing w:line="360" w:lineRule="auto"/>
              <w:jc w:val="center"/>
              <w:rPr>
                <w:rFonts w:ascii="宋体" w:hAnsi="宋体" w:cs="宋体"/>
                <w:color w:val="000000"/>
                <w:sz w:val="22"/>
                <w:szCs w:val="22"/>
                <w:highlight w:val="none"/>
              </w:rPr>
            </w:pPr>
            <w:r>
              <w:rPr>
                <w:rFonts w:hint="eastAsia" w:ascii="宋体" w:hAnsi="宋体" w:cs="宋体"/>
                <w:color w:val="000000"/>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企业业绩</w:t>
            </w:r>
          </w:p>
        </w:tc>
        <w:tc>
          <w:tcPr>
            <w:tcW w:w="5103" w:type="dxa"/>
            <w:vAlign w:val="center"/>
          </w:tcPr>
          <w:p>
            <w:pPr>
              <w:pStyle w:val="955"/>
              <w:spacing w:before="3" w:line="320" w:lineRule="exact"/>
              <w:ind w:left="28" w:right="-15"/>
              <w:rPr>
                <w:rFonts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201</w:t>
            </w:r>
            <w:r>
              <w:rPr>
                <w:rFonts w:ascii="宋体" w:hAnsi="宋体" w:cs="宋体"/>
                <w:color w:val="000000"/>
                <w:sz w:val="21"/>
                <w:szCs w:val="21"/>
                <w:highlight w:val="none"/>
                <w:lang w:eastAsia="zh-CN"/>
              </w:rPr>
              <w:t>9</w:t>
            </w:r>
            <w:r>
              <w:rPr>
                <w:rFonts w:hint="eastAsia" w:ascii="宋体" w:hAnsi="宋体" w:cs="宋体"/>
                <w:color w:val="000000"/>
                <w:sz w:val="21"/>
                <w:szCs w:val="21"/>
                <w:highlight w:val="none"/>
                <w:lang w:eastAsia="zh-CN"/>
              </w:rPr>
              <w:t xml:space="preserve"> 年以来（以合同签订日期为准），每提供一个</w:t>
            </w:r>
            <w:r>
              <w:rPr>
                <w:rFonts w:hint="eastAsia" w:ascii="宋体" w:hAnsi="宋体"/>
                <w:highlight w:val="none"/>
                <w:lang w:eastAsia="zh-CN"/>
              </w:rPr>
              <w:t>类似市政工程监理业绩</w:t>
            </w:r>
            <w:r>
              <w:rPr>
                <w:rFonts w:hint="eastAsia" w:ascii="宋体" w:hAnsi="宋体" w:cs="宋体"/>
                <w:color w:val="000000"/>
                <w:sz w:val="21"/>
                <w:szCs w:val="21"/>
                <w:highlight w:val="none"/>
                <w:lang w:eastAsia="zh-CN"/>
              </w:rPr>
              <w:t xml:space="preserve">得 </w:t>
            </w:r>
            <w:r>
              <w:rPr>
                <w:rFonts w:ascii="宋体" w:hAnsi="宋体" w:cs="宋体"/>
                <w:color w:val="000000"/>
                <w:sz w:val="21"/>
                <w:szCs w:val="21"/>
                <w:highlight w:val="none"/>
                <w:lang w:eastAsia="zh-CN"/>
              </w:rPr>
              <w:t>0.5</w:t>
            </w:r>
            <w:r>
              <w:rPr>
                <w:rFonts w:hint="eastAsia" w:ascii="宋体" w:hAnsi="宋体" w:cs="宋体"/>
                <w:color w:val="000000"/>
                <w:sz w:val="21"/>
                <w:szCs w:val="21"/>
                <w:highlight w:val="none"/>
                <w:lang w:eastAsia="zh-CN"/>
              </w:rPr>
              <w:t xml:space="preserve"> 分；最高得</w:t>
            </w:r>
            <w:r>
              <w:rPr>
                <w:rFonts w:ascii="宋体" w:hAnsi="宋体" w:cs="宋体"/>
                <w:color w:val="000000"/>
                <w:sz w:val="21"/>
                <w:szCs w:val="21"/>
                <w:highlight w:val="none"/>
                <w:lang w:eastAsia="zh-CN"/>
              </w:rPr>
              <w:t>1</w:t>
            </w:r>
            <w:r>
              <w:rPr>
                <w:rFonts w:hint="eastAsia" w:ascii="宋体" w:hAnsi="宋体" w:cs="宋体"/>
                <w:color w:val="000000"/>
                <w:sz w:val="21"/>
                <w:szCs w:val="21"/>
                <w:highlight w:val="none"/>
                <w:lang w:eastAsia="zh-CN"/>
              </w:rPr>
              <w:t>分（提供合同复印件加盖公章，未提供不得分）</w:t>
            </w:r>
          </w:p>
        </w:tc>
        <w:tc>
          <w:tcPr>
            <w:tcW w:w="851" w:type="dxa"/>
            <w:vAlign w:val="center"/>
          </w:tcPr>
          <w:p>
            <w:pPr>
              <w:jc w:val="center"/>
              <w:rPr>
                <w:rFonts w:ascii="宋体" w:hAnsi="宋体" w:cs="宋体"/>
                <w:color w:val="000000"/>
                <w:kern w:val="0"/>
                <w:szCs w:val="21"/>
                <w:highlight w:val="none"/>
              </w:rPr>
            </w:pPr>
            <w:r>
              <w:rPr>
                <w:rFonts w:hint="eastAsia" w:ascii="宋体" w:hAnsi="宋体" w:cs="宋体"/>
                <w:color w:val="000000"/>
                <w:kern w:val="0"/>
                <w:szCs w:val="21"/>
                <w:highlight w:val="none"/>
              </w:rPr>
              <w:t>0-</w:t>
            </w:r>
            <w:r>
              <w:rPr>
                <w:rFonts w:ascii="宋体" w:hAnsi="宋体" w:cs="宋体"/>
                <w:color w:val="000000"/>
                <w:kern w:val="0"/>
                <w:szCs w:val="21"/>
                <w:highlight w:val="none"/>
              </w:rPr>
              <w:t>1</w:t>
            </w:r>
            <w:r>
              <w:rPr>
                <w:rFonts w:hint="eastAsia" w:ascii="宋体" w:hAnsi="宋体" w:cs="宋体"/>
                <w:color w:val="000000"/>
                <w:kern w:val="0"/>
                <w:szCs w:val="21"/>
                <w:highlight w:val="none"/>
              </w:rPr>
              <w:t>分</w:t>
            </w:r>
          </w:p>
        </w:tc>
        <w:tc>
          <w:tcPr>
            <w:tcW w:w="1842" w:type="dxa"/>
          </w:tcPr>
          <w:p>
            <w:pPr>
              <w:jc w:val="center"/>
              <w:rPr>
                <w:rFonts w:ascii="宋体" w:hAnsi="宋体" w:cs="宋体"/>
                <w:color w:val="000000"/>
                <w:kern w:val="0"/>
                <w:szCs w:val="21"/>
                <w:highlight w:val="none"/>
              </w:rPr>
            </w:pPr>
          </w:p>
        </w:tc>
        <w:tc>
          <w:tcPr>
            <w:tcW w:w="993" w:type="dxa"/>
          </w:tcPr>
          <w:p>
            <w:pPr>
              <w:spacing w:line="360" w:lineRule="auto"/>
              <w:jc w:val="center"/>
              <w:rPr>
                <w:rFonts w:ascii="宋体" w:hAnsi="宋体" w:cs="宋体"/>
                <w:color w:val="000000"/>
                <w:sz w:val="22"/>
                <w:szCs w:val="22"/>
                <w:highlight w:val="none"/>
              </w:rPr>
            </w:pPr>
          </w:p>
          <w:p>
            <w:pPr>
              <w:spacing w:line="360" w:lineRule="auto"/>
              <w:jc w:val="center"/>
              <w:rPr>
                <w:rFonts w:ascii="宋体" w:hAnsi="宋体" w:cs="宋体"/>
                <w:color w:val="000000"/>
                <w:sz w:val="22"/>
                <w:szCs w:val="22"/>
                <w:highlight w:val="none"/>
              </w:rPr>
            </w:pPr>
            <w:r>
              <w:rPr>
                <w:rFonts w:hint="eastAsia" w:ascii="宋体" w:hAnsi="宋体" w:cs="宋体"/>
                <w:color w:val="000000"/>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21" w:type="dxa"/>
            <w:vMerge w:val="restart"/>
            <w:vAlign w:val="center"/>
          </w:tcPr>
          <w:p>
            <w:pPr>
              <w:pStyle w:val="955"/>
              <w:numPr>
                <w:ilvl w:val="0"/>
                <w:numId w:val="3"/>
              </w:numPr>
              <w:ind w:right="75"/>
              <w:jc w:val="both"/>
              <w:rPr>
                <w:rFonts w:ascii="宋体" w:hAnsi="宋体" w:cs="宋体"/>
                <w:color w:val="000000"/>
                <w:sz w:val="21"/>
                <w:szCs w:val="21"/>
                <w:highlight w:val="none"/>
              </w:rPr>
            </w:pPr>
          </w:p>
        </w:tc>
        <w:tc>
          <w:tcPr>
            <w:tcW w:w="850" w:type="dxa"/>
            <w:vMerge w:val="restart"/>
            <w:vAlign w:val="center"/>
          </w:tcPr>
          <w:p>
            <w:pPr>
              <w:jc w:val="center"/>
              <w:rPr>
                <w:rFonts w:ascii="宋体" w:hAnsi="宋体" w:cs="宋体"/>
                <w:color w:val="000000"/>
                <w:kern w:val="0"/>
                <w:szCs w:val="21"/>
                <w:highlight w:val="none"/>
              </w:rPr>
            </w:pPr>
            <w:r>
              <w:rPr>
                <w:rFonts w:hint="eastAsia" w:ascii="宋体" w:hAnsi="宋体" w:cs="宋体"/>
                <w:color w:val="000000"/>
                <w:szCs w:val="21"/>
                <w:highlight w:val="none"/>
              </w:rPr>
              <w:t>项目负责人</w:t>
            </w:r>
          </w:p>
        </w:tc>
        <w:tc>
          <w:tcPr>
            <w:tcW w:w="5103" w:type="dxa"/>
            <w:vAlign w:val="center"/>
          </w:tcPr>
          <w:p>
            <w:pPr>
              <w:pStyle w:val="955"/>
              <w:spacing w:before="3" w:line="320" w:lineRule="exact"/>
              <w:ind w:left="28" w:right="-15"/>
              <w:rPr>
                <w:rFonts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拟派总监理工程师具有高级职称加2分、中级加1分；（提供职称证书复印件及近三个月社保缴纳证明材料）</w:t>
            </w:r>
          </w:p>
        </w:tc>
        <w:tc>
          <w:tcPr>
            <w:tcW w:w="851" w:type="dxa"/>
            <w:vAlign w:val="center"/>
          </w:tcPr>
          <w:p>
            <w:pPr>
              <w:jc w:val="center"/>
              <w:rPr>
                <w:rFonts w:ascii="宋体" w:hAnsi="宋体" w:cs="宋体"/>
                <w:color w:val="000000"/>
                <w:kern w:val="0"/>
                <w:szCs w:val="21"/>
                <w:highlight w:val="none"/>
              </w:rPr>
            </w:pPr>
            <w:r>
              <w:rPr>
                <w:rFonts w:hint="eastAsia" w:ascii="宋体" w:hAnsi="宋体" w:cs="宋体"/>
                <w:color w:val="000000"/>
                <w:kern w:val="0"/>
                <w:szCs w:val="21"/>
                <w:highlight w:val="none"/>
              </w:rPr>
              <w:t>0-2分</w:t>
            </w:r>
          </w:p>
        </w:tc>
        <w:tc>
          <w:tcPr>
            <w:tcW w:w="1842" w:type="dxa"/>
          </w:tcPr>
          <w:p>
            <w:pPr>
              <w:jc w:val="center"/>
              <w:rPr>
                <w:rFonts w:ascii="宋体" w:hAnsi="宋体" w:cs="宋体"/>
                <w:color w:val="000000"/>
                <w:kern w:val="0"/>
                <w:szCs w:val="21"/>
                <w:highlight w:val="none"/>
              </w:rPr>
            </w:pPr>
          </w:p>
        </w:tc>
        <w:tc>
          <w:tcPr>
            <w:tcW w:w="993" w:type="dxa"/>
          </w:tcPr>
          <w:p>
            <w:pPr>
              <w:spacing w:line="360" w:lineRule="auto"/>
              <w:jc w:val="center"/>
              <w:rPr>
                <w:rFonts w:ascii="宋体" w:hAnsi="宋体" w:cs="宋体"/>
                <w:color w:val="000000"/>
                <w:sz w:val="22"/>
                <w:szCs w:val="22"/>
                <w:highlight w:val="none"/>
              </w:rPr>
            </w:pPr>
          </w:p>
          <w:p>
            <w:pPr>
              <w:spacing w:line="360" w:lineRule="auto"/>
              <w:jc w:val="center"/>
              <w:rPr>
                <w:rFonts w:ascii="宋体" w:hAnsi="宋体" w:cs="宋体"/>
                <w:color w:val="000000"/>
                <w:sz w:val="22"/>
                <w:szCs w:val="22"/>
                <w:highlight w:val="none"/>
              </w:rPr>
            </w:pPr>
            <w:r>
              <w:rPr>
                <w:rFonts w:hint="eastAsia" w:ascii="宋体" w:hAnsi="宋体" w:cs="宋体"/>
                <w:color w:val="000000"/>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21" w:type="dxa"/>
            <w:vMerge w:val="continue"/>
            <w:vAlign w:val="center"/>
          </w:tcPr>
          <w:p>
            <w:pPr>
              <w:pStyle w:val="955"/>
              <w:ind w:right="75"/>
              <w:rPr>
                <w:rFonts w:ascii="宋体" w:hAnsi="宋体" w:cs="宋体"/>
                <w:color w:val="000000"/>
                <w:sz w:val="21"/>
                <w:szCs w:val="21"/>
                <w:highlight w:val="none"/>
              </w:rPr>
            </w:pPr>
          </w:p>
        </w:tc>
        <w:tc>
          <w:tcPr>
            <w:tcW w:w="850" w:type="dxa"/>
            <w:vMerge w:val="continue"/>
            <w:vAlign w:val="center"/>
          </w:tcPr>
          <w:p>
            <w:pPr>
              <w:jc w:val="center"/>
              <w:rPr>
                <w:rFonts w:ascii="宋体" w:hAnsi="宋体" w:cs="宋体"/>
                <w:color w:val="000000"/>
                <w:szCs w:val="21"/>
                <w:highlight w:val="none"/>
              </w:rPr>
            </w:pPr>
          </w:p>
        </w:tc>
        <w:tc>
          <w:tcPr>
            <w:tcW w:w="5103" w:type="dxa"/>
            <w:vAlign w:val="center"/>
          </w:tcPr>
          <w:p>
            <w:pPr>
              <w:pStyle w:val="955"/>
              <w:spacing w:before="3" w:line="320" w:lineRule="exact"/>
              <w:ind w:left="28" w:right="-15"/>
              <w:rPr>
                <w:rFonts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拟派总监理工程师到位率承诺达到90%以上得2分；达到80%以上得1分；低于80%不得分。</w:t>
            </w:r>
          </w:p>
        </w:tc>
        <w:tc>
          <w:tcPr>
            <w:tcW w:w="851" w:type="dxa"/>
            <w:vAlign w:val="center"/>
          </w:tcPr>
          <w:p>
            <w:pPr>
              <w:jc w:val="center"/>
              <w:rPr>
                <w:rFonts w:ascii="宋体" w:hAnsi="宋体" w:cs="宋体"/>
                <w:color w:val="000000"/>
                <w:kern w:val="0"/>
                <w:szCs w:val="21"/>
                <w:highlight w:val="none"/>
              </w:rPr>
            </w:pPr>
            <w:r>
              <w:rPr>
                <w:rFonts w:hint="eastAsia" w:ascii="宋体" w:hAnsi="宋体" w:cs="宋体"/>
                <w:color w:val="000000"/>
                <w:kern w:val="0"/>
                <w:szCs w:val="21"/>
                <w:highlight w:val="none"/>
              </w:rPr>
              <w:t>0-2分</w:t>
            </w:r>
          </w:p>
        </w:tc>
        <w:tc>
          <w:tcPr>
            <w:tcW w:w="1842" w:type="dxa"/>
          </w:tcPr>
          <w:p>
            <w:pPr>
              <w:jc w:val="center"/>
              <w:rPr>
                <w:rFonts w:ascii="宋体" w:hAnsi="宋体" w:cs="宋体"/>
                <w:color w:val="000000"/>
                <w:kern w:val="0"/>
                <w:szCs w:val="21"/>
                <w:highlight w:val="none"/>
              </w:rPr>
            </w:pPr>
          </w:p>
        </w:tc>
        <w:tc>
          <w:tcPr>
            <w:tcW w:w="993" w:type="dxa"/>
          </w:tcPr>
          <w:p>
            <w:pPr>
              <w:spacing w:line="360" w:lineRule="auto"/>
              <w:jc w:val="center"/>
              <w:rPr>
                <w:rFonts w:ascii="宋体" w:hAnsi="宋体" w:cs="宋体"/>
                <w:color w:val="000000"/>
                <w:sz w:val="22"/>
                <w:szCs w:val="22"/>
                <w:highlight w:val="none"/>
              </w:rPr>
            </w:pPr>
          </w:p>
          <w:p>
            <w:pPr>
              <w:spacing w:line="360" w:lineRule="auto"/>
              <w:jc w:val="center"/>
              <w:rPr>
                <w:rFonts w:ascii="宋体" w:hAnsi="宋体" w:cs="宋体"/>
                <w:color w:val="000000"/>
                <w:sz w:val="22"/>
                <w:szCs w:val="22"/>
                <w:highlight w:val="none"/>
              </w:rPr>
            </w:pPr>
            <w:r>
              <w:rPr>
                <w:rFonts w:hint="eastAsia" w:ascii="宋体" w:hAnsi="宋体" w:cs="宋体"/>
                <w:color w:val="000000"/>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21" w:type="dxa"/>
            <w:vAlign w:val="center"/>
          </w:tcPr>
          <w:p>
            <w:pPr>
              <w:pStyle w:val="955"/>
              <w:numPr>
                <w:ilvl w:val="0"/>
                <w:numId w:val="3"/>
              </w:numPr>
              <w:spacing w:before="116"/>
              <w:ind w:right="75"/>
              <w:jc w:val="both"/>
              <w:rPr>
                <w:rFonts w:ascii="宋体" w:hAnsi="宋体" w:cs="宋体"/>
                <w:color w:val="000000"/>
                <w:sz w:val="21"/>
                <w:szCs w:val="21"/>
                <w:highlight w:val="none"/>
              </w:rPr>
            </w:pPr>
          </w:p>
        </w:tc>
        <w:tc>
          <w:tcPr>
            <w:tcW w:w="850" w:type="dxa"/>
            <w:vAlign w:val="center"/>
          </w:tcPr>
          <w:p>
            <w:pPr>
              <w:jc w:val="center"/>
              <w:rPr>
                <w:rFonts w:ascii="宋体" w:hAnsi="宋体" w:cs="宋体"/>
                <w:color w:val="000000"/>
                <w:kern w:val="0"/>
                <w:szCs w:val="21"/>
                <w:highlight w:val="none"/>
              </w:rPr>
            </w:pPr>
            <w:r>
              <w:rPr>
                <w:rFonts w:hint="eastAsia" w:ascii="宋体" w:hAnsi="宋体" w:cs="宋体"/>
                <w:color w:val="000000"/>
                <w:szCs w:val="21"/>
                <w:highlight w:val="none"/>
              </w:rPr>
              <w:t>拟投项目作业人员</w:t>
            </w:r>
          </w:p>
        </w:tc>
        <w:tc>
          <w:tcPr>
            <w:tcW w:w="5103" w:type="dxa"/>
            <w:vAlign w:val="center"/>
          </w:tcPr>
          <w:p>
            <w:pPr>
              <w:pStyle w:val="955"/>
              <w:spacing w:before="3" w:line="320" w:lineRule="exact"/>
              <w:ind w:left="28" w:right="-15"/>
              <w:rPr>
                <w:rFonts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主导专业监理员人数在最低配置的基础上额外增加1名得</w:t>
            </w:r>
            <w:r>
              <w:rPr>
                <w:rFonts w:ascii="宋体" w:hAnsi="宋体" w:cs="宋体"/>
                <w:color w:val="000000"/>
                <w:sz w:val="21"/>
                <w:szCs w:val="21"/>
                <w:highlight w:val="none"/>
                <w:lang w:eastAsia="zh-CN"/>
              </w:rPr>
              <w:t>2</w:t>
            </w:r>
            <w:r>
              <w:rPr>
                <w:rFonts w:hint="eastAsia" w:ascii="宋体" w:hAnsi="宋体" w:cs="宋体"/>
                <w:color w:val="000000"/>
                <w:sz w:val="21"/>
                <w:szCs w:val="21"/>
                <w:highlight w:val="none"/>
                <w:lang w:eastAsia="zh-CN"/>
              </w:rPr>
              <w:t>分，最多得</w:t>
            </w:r>
            <w:r>
              <w:rPr>
                <w:rFonts w:ascii="宋体" w:hAnsi="宋体" w:cs="宋体"/>
                <w:color w:val="000000"/>
                <w:sz w:val="21"/>
                <w:szCs w:val="21"/>
                <w:highlight w:val="none"/>
                <w:lang w:eastAsia="zh-CN"/>
              </w:rPr>
              <w:t>6</w:t>
            </w:r>
            <w:r>
              <w:rPr>
                <w:rFonts w:hint="eastAsia" w:ascii="宋体" w:hAnsi="宋体" w:cs="宋体"/>
                <w:color w:val="000000"/>
                <w:sz w:val="21"/>
                <w:szCs w:val="21"/>
                <w:highlight w:val="none"/>
                <w:lang w:eastAsia="zh-CN"/>
              </w:rPr>
              <w:t>分。但须承诺额外增加人员到位率达90%以上才得分，否则不得分。</w:t>
            </w:r>
          </w:p>
          <w:p>
            <w:pPr>
              <w:pStyle w:val="955"/>
              <w:spacing w:before="3" w:line="320" w:lineRule="exact"/>
              <w:ind w:left="28" w:right="-15"/>
              <w:rPr>
                <w:rFonts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监理人员需提供有效的相应证书复印件及近三个月社保缴纳证明材料。</w:t>
            </w:r>
          </w:p>
        </w:tc>
        <w:tc>
          <w:tcPr>
            <w:tcW w:w="851" w:type="dxa"/>
            <w:vAlign w:val="center"/>
          </w:tcPr>
          <w:p>
            <w:pPr>
              <w:jc w:val="center"/>
              <w:rPr>
                <w:rFonts w:ascii="宋体" w:hAnsi="宋体" w:cs="宋体"/>
                <w:color w:val="000000"/>
                <w:kern w:val="0"/>
                <w:szCs w:val="21"/>
                <w:highlight w:val="none"/>
              </w:rPr>
            </w:pPr>
            <w:r>
              <w:rPr>
                <w:rFonts w:hint="eastAsia" w:ascii="宋体" w:hAnsi="宋体" w:cs="宋体"/>
                <w:color w:val="000000"/>
                <w:kern w:val="0"/>
                <w:szCs w:val="21"/>
                <w:highlight w:val="none"/>
              </w:rPr>
              <w:t>0-</w:t>
            </w:r>
            <w:r>
              <w:rPr>
                <w:rFonts w:ascii="宋体" w:hAnsi="宋体" w:cs="宋体"/>
                <w:color w:val="000000"/>
                <w:kern w:val="0"/>
                <w:szCs w:val="21"/>
                <w:highlight w:val="none"/>
              </w:rPr>
              <w:t>6</w:t>
            </w:r>
            <w:r>
              <w:rPr>
                <w:rFonts w:hint="eastAsia" w:ascii="宋体" w:hAnsi="宋体" w:cs="宋体"/>
                <w:color w:val="000000"/>
                <w:kern w:val="0"/>
                <w:szCs w:val="21"/>
                <w:highlight w:val="none"/>
              </w:rPr>
              <w:t>分</w:t>
            </w:r>
          </w:p>
        </w:tc>
        <w:tc>
          <w:tcPr>
            <w:tcW w:w="1842" w:type="dxa"/>
          </w:tcPr>
          <w:p>
            <w:pPr>
              <w:jc w:val="center"/>
              <w:rPr>
                <w:rFonts w:ascii="宋体" w:hAnsi="宋体" w:cs="宋体"/>
                <w:color w:val="000000"/>
                <w:kern w:val="0"/>
                <w:szCs w:val="21"/>
                <w:highlight w:val="none"/>
              </w:rPr>
            </w:pPr>
          </w:p>
        </w:tc>
        <w:tc>
          <w:tcPr>
            <w:tcW w:w="993" w:type="dxa"/>
          </w:tcPr>
          <w:p>
            <w:pPr>
              <w:spacing w:line="360" w:lineRule="auto"/>
              <w:rPr>
                <w:rFonts w:ascii="宋体" w:hAnsi="宋体" w:cs="宋体"/>
                <w:color w:val="000000"/>
                <w:sz w:val="22"/>
                <w:szCs w:val="22"/>
                <w:highlight w:val="none"/>
              </w:rPr>
            </w:pPr>
          </w:p>
          <w:p>
            <w:pPr>
              <w:spacing w:line="360" w:lineRule="auto"/>
              <w:rPr>
                <w:rFonts w:ascii="宋体" w:hAnsi="宋体" w:cs="宋体"/>
                <w:color w:val="000000"/>
                <w:sz w:val="22"/>
                <w:szCs w:val="22"/>
                <w:highlight w:val="none"/>
              </w:rPr>
            </w:pPr>
          </w:p>
          <w:p>
            <w:pPr>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21" w:type="dxa"/>
            <w:vAlign w:val="center"/>
          </w:tcPr>
          <w:p>
            <w:pPr>
              <w:pStyle w:val="955"/>
              <w:numPr>
                <w:ilvl w:val="0"/>
                <w:numId w:val="3"/>
              </w:numPr>
              <w:spacing w:before="116"/>
              <w:ind w:right="75"/>
              <w:jc w:val="both"/>
              <w:rPr>
                <w:rFonts w:ascii="宋体" w:hAnsi="宋体" w:cs="宋体"/>
                <w:color w:val="000000"/>
                <w:sz w:val="21"/>
                <w:szCs w:val="21"/>
                <w:highlight w:val="none"/>
              </w:rPr>
            </w:pPr>
          </w:p>
        </w:tc>
        <w:tc>
          <w:tcPr>
            <w:tcW w:w="850"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拟投项目作业设备</w:t>
            </w:r>
          </w:p>
        </w:tc>
        <w:tc>
          <w:tcPr>
            <w:tcW w:w="5103" w:type="dxa"/>
            <w:vAlign w:val="center"/>
          </w:tcPr>
          <w:p>
            <w:pPr>
              <w:pStyle w:val="955"/>
              <w:spacing w:before="3" w:line="320" w:lineRule="exact"/>
              <w:ind w:left="28" w:right="-15"/>
              <w:rPr>
                <w:rFonts w:ascii="宋体" w:hAnsi="宋体" w:cs="宋体"/>
                <w:color w:val="000000"/>
                <w:sz w:val="21"/>
                <w:szCs w:val="21"/>
                <w:highlight w:val="none"/>
                <w:lang w:eastAsia="zh-CN"/>
              </w:rPr>
            </w:pPr>
            <w:r>
              <w:rPr>
                <w:rFonts w:hint="eastAsia" w:hAnsi="宋体" w:cs="宋体"/>
                <w:color w:val="000000"/>
                <w:highlight w:val="none"/>
                <w:lang w:eastAsia="zh-CN" w:bidi="ar"/>
              </w:rPr>
              <w:t>1、拟投入本项目的巡查车辆配置，在</w:t>
            </w:r>
            <w:r>
              <w:rPr>
                <w:rFonts w:hint="eastAsia" w:ascii="宋体" w:hAnsi="宋体" w:cs="宋体"/>
                <w:color w:val="000000"/>
                <w:sz w:val="21"/>
                <w:szCs w:val="21"/>
                <w:highlight w:val="none"/>
                <w:lang w:eastAsia="zh-CN"/>
              </w:rPr>
              <w:t>最低配置的基础上额外增加1辆得1分，最多得1分。</w:t>
            </w:r>
          </w:p>
          <w:p>
            <w:pPr>
              <w:pStyle w:val="955"/>
              <w:spacing w:before="3" w:line="320" w:lineRule="exact"/>
              <w:ind w:left="28" w:right="-15"/>
              <w:rPr>
                <w:rFonts w:ascii="宋体" w:hAnsi="宋体" w:cs="宋体"/>
                <w:color w:val="000000"/>
                <w:sz w:val="21"/>
                <w:szCs w:val="21"/>
                <w:highlight w:val="none"/>
                <w:lang w:eastAsia="zh-CN"/>
              </w:rPr>
            </w:pPr>
            <w:r>
              <w:rPr>
                <w:rFonts w:hint="eastAsia" w:hAnsi="宋体" w:cs="宋体"/>
                <w:color w:val="000000"/>
                <w:highlight w:val="none"/>
                <w:lang w:eastAsia="zh-CN" w:bidi="ar"/>
              </w:rPr>
              <w:t>注：车辆要求为投标人自有设备或租赁</w:t>
            </w:r>
            <w:r>
              <w:rPr>
                <w:rFonts w:hint="eastAsia" w:hAnsi="宋体" w:cs="宋体"/>
                <w:highlight w:val="none"/>
                <w:lang w:eastAsia="zh-CN"/>
              </w:rPr>
              <w:t xml:space="preserve">。（① </w:t>
            </w:r>
            <w:r>
              <w:rPr>
                <w:rFonts w:hint="eastAsia" w:hAnsi="宋体" w:cs="宋体"/>
                <w:color w:val="000000"/>
                <w:highlight w:val="none"/>
                <w:lang w:eastAsia="zh-CN" w:bidi="ar"/>
              </w:rPr>
              <w:t>自有：提供设备的彩色照片，设备购置发票复印件；② 租赁：须提供租赁协议以及设备的彩色照片，设备购置发票复印件）</w:t>
            </w:r>
          </w:p>
        </w:tc>
        <w:tc>
          <w:tcPr>
            <w:tcW w:w="851" w:type="dxa"/>
            <w:vAlign w:val="center"/>
          </w:tcPr>
          <w:p>
            <w:pPr>
              <w:jc w:val="center"/>
              <w:rPr>
                <w:rFonts w:ascii="宋体" w:hAnsi="宋体" w:cs="宋体"/>
                <w:color w:val="000000"/>
                <w:kern w:val="0"/>
                <w:szCs w:val="21"/>
                <w:highlight w:val="none"/>
              </w:rPr>
            </w:pPr>
            <w:r>
              <w:rPr>
                <w:rFonts w:hint="eastAsia" w:ascii="宋体" w:hAnsi="宋体" w:cs="宋体"/>
                <w:color w:val="000000"/>
                <w:kern w:val="0"/>
                <w:szCs w:val="21"/>
                <w:highlight w:val="none"/>
              </w:rPr>
              <w:t>0-1</w:t>
            </w:r>
          </w:p>
        </w:tc>
        <w:tc>
          <w:tcPr>
            <w:tcW w:w="1842" w:type="dxa"/>
          </w:tcPr>
          <w:p>
            <w:pPr>
              <w:jc w:val="center"/>
              <w:rPr>
                <w:rFonts w:ascii="宋体" w:hAnsi="宋体" w:cs="宋体"/>
                <w:color w:val="000000"/>
                <w:kern w:val="0"/>
                <w:szCs w:val="21"/>
                <w:highlight w:val="none"/>
              </w:rPr>
            </w:pPr>
          </w:p>
        </w:tc>
        <w:tc>
          <w:tcPr>
            <w:tcW w:w="993" w:type="dxa"/>
          </w:tcPr>
          <w:p>
            <w:pPr>
              <w:spacing w:line="360" w:lineRule="auto"/>
              <w:jc w:val="center"/>
              <w:rPr>
                <w:rFonts w:ascii="宋体" w:hAnsi="宋体" w:cs="宋体"/>
                <w:color w:val="000000"/>
                <w:sz w:val="22"/>
                <w:szCs w:val="22"/>
                <w:highlight w:val="none"/>
              </w:rPr>
            </w:pPr>
          </w:p>
          <w:p>
            <w:pPr>
              <w:spacing w:line="360" w:lineRule="auto"/>
              <w:jc w:val="center"/>
              <w:rPr>
                <w:rFonts w:ascii="宋体" w:hAnsi="宋体" w:cs="宋体"/>
                <w:color w:val="000000"/>
                <w:sz w:val="22"/>
                <w:szCs w:val="22"/>
                <w:highlight w:val="none"/>
              </w:rPr>
            </w:pPr>
          </w:p>
          <w:p>
            <w:pPr>
              <w:spacing w:line="360" w:lineRule="auto"/>
              <w:jc w:val="center"/>
              <w:rPr>
                <w:rFonts w:ascii="宋体" w:hAnsi="宋体" w:cs="宋体"/>
                <w:color w:val="000000"/>
                <w:sz w:val="22"/>
                <w:szCs w:val="22"/>
                <w:highlight w:val="none"/>
              </w:rPr>
            </w:pPr>
            <w:r>
              <w:rPr>
                <w:rFonts w:hint="eastAsia" w:ascii="宋体" w:hAnsi="宋体" w:cs="宋体"/>
                <w:color w:val="000000"/>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大纲总体评价</w:t>
            </w:r>
          </w:p>
        </w:tc>
        <w:tc>
          <w:tcPr>
            <w:tcW w:w="5103" w:type="dxa"/>
            <w:vAlign w:val="center"/>
          </w:tcPr>
          <w:p>
            <w:pPr>
              <w:spacing w:line="400" w:lineRule="exact"/>
              <w:rPr>
                <w:rFonts w:ascii="宋体" w:hAnsi="宋体" w:cs="宋体"/>
                <w:color w:val="000000"/>
                <w:szCs w:val="21"/>
                <w:highlight w:val="none"/>
              </w:rPr>
            </w:pPr>
            <w:r>
              <w:rPr>
                <w:rFonts w:hint="eastAsia" w:ascii="宋体" w:hAnsi="宋体" w:cs="宋体"/>
                <w:bCs/>
                <w:szCs w:val="21"/>
                <w:highlight w:val="none"/>
                <w:lang w:val="zh-CN"/>
              </w:rPr>
              <w:t>内容是否全面，是否符合工程和招标文件要求，项目目标、项目范围、任务和编制依据是否明确，每缺一项扣1-3分扣完为止。</w:t>
            </w:r>
          </w:p>
        </w:tc>
        <w:tc>
          <w:tcPr>
            <w:tcW w:w="851" w:type="dxa"/>
            <w:vAlign w:val="center"/>
          </w:tcPr>
          <w:p>
            <w:pPr>
              <w:spacing w:line="400" w:lineRule="exact"/>
              <w:jc w:val="center"/>
              <w:rPr>
                <w:rFonts w:ascii="宋体" w:hAnsi="宋体" w:cs="宋体"/>
                <w:color w:val="000000"/>
                <w:kern w:val="0"/>
                <w:szCs w:val="21"/>
                <w:highlight w:val="none"/>
              </w:rPr>
            </w:pPr>
            <w:r>
              <w:rPr>
                <w:rFonts w:hint="eastAsia" w:ascii="宋体" w:hAnsi="宋体" w:cs="宋体"/>
                <w:bCs/>
                <w:szCs w:val="21"/>
                <w:highlight w:val="none"/>
              </w:rPr>
              <w:t>0-10分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质量控制</w:t>
            </w:r>
          </w:p>
        </w:tc>
        <w:tc>
          <w:tcPr>
            <w:tcW w:w="5103" w:type="dxa"/>
            <w:vAlign w:val="center"/>
          </w:tcPr>
          <w:p>
            <w:pPr>
              <w:spacing w:line="400" w:lineRule="exact"/>
              <w:rPr>
                <w:rFonts w:ascii="宋体" w:hAnsi="宋体" w:cs="宋体"/>
                <w:color w:val="000000"/>
                <w:szCs w:val="21"/>
                <w:highlight w:val="none"/>
              </w:rPr>
            </w:pPr>
            <w:r>
              <w:rPr>
                <w:rFonts w:hint="eastAsia" w:ascii="宋体" w:hAnsi="宋体" w:cs="宋体"/>
                <w:bCs/>
                <w:szCs w:val="21"/>
                <w:highlight w:val="none"/>
                <w:lang w:val="zh-CN"/>
              </w:rPr>
              <w:t>质量目标分解、平行检验的合理性，质量控制措施可靠</w:t>
            </w:r>
            <w:r>
              <w:rPr>
                <w:rFonts w:hint="eastAsia" w:ascii="宋体" w:hAnsi="宋体" w:cs="宋体"/>
                <w:bCs/>
                <w:szCs w:val="21"/>
                <w:highlight w:val="none"/>
              </w:rPr>
              <w:t>优秀的得7-8分，良好的得4-7（不含）分，一般的得0-4（不含）分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color w:val="000000"/>
                <w:kern w:val="0"/>
                <w:szCs w:val="21"/>
                <w:highlight w:val="none"/>
              </w:rPr>
            </w:pPr>
            <w:r>
              <w:rPr>
                <w:rFonts w:hint="eastAsia" w:ascii="宋体" w:hAnsi="宋体" w:cs="宋体"/>
                <w:bCs/>
                <w:szCs w:val="21"/>
                <w:highlight w:val="none"/>
              </w:rPr>
              <w:t>0-</w:t>
            </w:r>
            <w:r>
              <w:rPr>
                <w:rFonts w:ascii="宋体" w:hAnsi="宋体" w:cs="宋体"/>
                <w:bCs/>
                <w:szCs w:val="21"/>
                <w:highlight w:val="none"/>
              </w:rPr>
              <w:t>8</w:t>
            </w:r>
            <w:r>
              <w:rPr>
                <w:rFonts w:hint="eastAsia" w:ascii="宋体" w:hAnsi="宋体" w:cs="宋体"/>
                <w:bCs/>
                <w:szCs w:val="21"/>
                <w:highlight w:val="none"/>
              </w:rPr>
              <w:t>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进度控制</w:t>
            </w:r>
          </w:p>
        </w:tc>
        <w:tc>
          <w:tcPr>
            <w:tcW w:w="5103" w:type="dxa"/>
            <w:vAlign w:val="center"/>
          </w:tcPr>
          <w:p>
            <w:pPr>
              <w:spacing w:line="400" w:lineRule="exact"/>
              <w:rPr>
                <w:rFonts w:ascii="宋体" w:hAnsi="宋体" w:cs="宋体"/>
                <w:color w:val="000000"/>
                <w:szCs w:val="21"/>
                <w:highlight w:val="none"/>
              </w:rPr>
            </w:pPr>
            <w:r>
              <w:rPr>
                <w:rFonts w:hint="eastAsia" w:ascii="宋体" w:hAnsi="宋体" w:cs="宋体"/>
                <w:bCs/>
                <w:szCs w:val="21"/>
                <w:highlight w:val="none"/>
                <w:lang w:val="zh-CN"/>
              </w:rPr>
              <w:t>进度计划科学、合理，工期控制点设置</w:t>
            </w:r>
            <w:r>
              <w:rPr>
                <w:rFonts w:hint="eastAsia" w:ascii="宋体" w:hAnsi="宋体" w:cs="宋体"/>
                <w:bCs/>
                <w:szCs w:val="21"/>
                <w:highlight w:val="none"/>
              </w:rPr>
              <w:t>完全</w:t>
            </w:r>
            <w:r>
              <w:rPr>
                <w:rFonts w:hint="eastAsia" w:ascii="宋体" w:hAnsi="宋体" w:cs="宋体"/>
                <w:bCs/>
                <w:szCs w:val="21"/>
                <w:highlight w:val="none"/>
                <w:lang w:val="zh-CN"/>
              </w:rPr>
              <w:t>合理</w:t>
            </w:r>
            <w:r>
              <w:rPr>
                <w:rFonts w:hint="eastAsia" w:ascii="宋体" w:hAnsi="宋体" w:cs="宋体"/>
                <w:bCs/>
                <w:szCs w:val="21"/>
                <w:highlight w:val="none"/>
              </w:rPr>
              <w:t>可行的得7-8分，良好的得4-7（不含）分，一般的得0-4（不含）分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color w:val="000000"/>
                <w:kern w:val="0"/>
                <w:szCs w:val="21"/>
                <w:highlight w:val="none"/>
              </w:rPr>
            </w:pPr>
            <w:r>
              <w:rPr>
                <w:rFonts w:hint="eastAsia" w:ascii="宋体" w:hAnsi="宋体" w:cs="宋体"/>
                <w:bCs/>
                <w:szCs w:val="21"/>
                <w:highlight w:val="none"/>
              </w:rPr>
              <w:t>0-</w:t>
            </w:r>
            <w:r>
              <w:rPr>
                <w:rFonts w:ascii="宋体" w:hAnsi="宋体" w:cs="宋体"/>
                <w:bCs/>
                <w:szCs w:val="21"/>
                <w:highlight w:val="none"/>
              </w:rPr>
              <w:t>8</w:t>
            </w:r>
            <w:r>
              <w:rPr>
                <w:rFonts w:hint="eastAsia" w:ascii="宋体" w:hAnsi="宋体" w:cs="宋体"/>
                <w:bCs/>
                <w:szCs w:val="21"/>
                <w:highlight w:val="none"/>
              </w:rPr>
              <w:t>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21" w:type="dxa"/>
            <w:vAlign w:val="center"/>
          </w:tcPr>
          <w:p>
            <w:pPr>
              <w:numPr>
                <w:ilvl w:val="0"/>
                <w:numId w:val="3"/>
              </w:numPr>
              <w:adjustRightInd/>
              <w:jc w:val="center"/>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投资控制</w:t>
            </w:r>
          </w:p>
        </w:tc>
        <w:tc>
          <w:tcPr>
            <w:tcW w:w="5103" w:type="dxa"/>
            <w:vAlign w:val="center"/>
          </w:tcPr>
          <w:p>
            <w:pPr>
              <w:spacing w:line="400" w:lineRule="exact"/>
              <w:rPr>
                <w:rFonts w:ascii="宋体" w:hAnsi="宋体" w:cs="宋体"/>
                <w:color w:val="000000"/>
                <w:szCs w:val="21"/>
                <w:highlight w:val="none"/>
              </w:rPr>
            </w:pPr>
            <w:r>
              <w:rPr>
                <w:rFonts w:hint="eastAsia" w:ascii="宋体" w:hAnsi="宋体" w:cs="宋体"/>
                <w:bCs/>
                <w:szCs w:val="21"/>
                <w:highlight w:val="none"/>
                <w:lang w:val="zh-CN"/>
              </w:rPr>
              <w:t>风险预测与防范对策有效可行，控制措施与手段</w:t>
            </w:r>
            <w:r>
              <w:rPr>
                <w:rFonts w:hint="eastAsia" w:ascii="宋体" w:hAnsi="宋体" w:cs="宋体"/>
                <w:bCs/>
                <w:szCs w:val="21"/>
                <w:highlight w:val="none"/>
              </w:rPr>
              <w:t>完全</w:t>
            </w:r>
            <w:r>
              <w:rPr>
                <w:rFonts w:hint="eastAsia" w:ascii="宋体" w:hAnsi="宋体" w:cs="宋体"/>
                <w:bCs/>
                <w:szCs w:val="21"/>
                <w:highlight w:val="none"/>
                <w:lang w:val="zh-CN"/>
              </w:rPr>
              <w:t>健全</w:t>
            </w:r>
            <w:r>
              <w:rPr>
                <w:rFonts w:hint="eastAsia" w:ascii="宋体" w:hAnsi="宋体" w:cs="宋体"/>
                <w:bCs/>
                <w:szCs w:val="21"/>
                <w:highlight w:val="none"/>
              </w:rPr>
              <w:t>有效优秀的得5-6分，良好的得3-5（不含）分，一般的得0-3（不含）分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color w:val="000000"/>
                <w:kern w:val="0"/>
                <w:szCs w:val="21"/>
                <w:highlight w:val="none"/>
              </w:rPr>
            </w:pPr>
            <w:r>
              <w:rPr>
                <w:rFonts w:hint="eastAsia" w:ascii="宋体" w:hAnsi="宋体" w:cs="宋体"/>
                <w:bCs/>
                <w:szCs w:val="21"/>
                <w:highlight w:val="none"/>
              </w:rPr>
              <w:t>0-6分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合同管理</w:t>
            </w:r>
          </w:p>
        </w:tc>
        <w:tc>
          <w:tcPr>
            <w:tcW w:w="5103" w:type="dxa"/>
            <w:vAlign w:val="center"/>
          </w:tcPr>
          <w:p>
            <w:pPr>
              <w:spacing w:line="400" w:lineRule="exact"/>
              <w:rPr>
                <w:rFonts w:ascii="宋体" w:hAnsi="宋体" w:cs="宋体"/>
                <w:color w:val="000000"/>
                <w:szCs w:val="21"/>
                <w:highlight w:val="none"/>
              </w:rPr>
            </w:pPr>
            <w:r>
              <w:rPr>
                <w:rFonts w:hint="eastAsia" w:ascii="宋体" w:hAnsi="宋体" w:cs="宋体"/>
                <w:bCs/>
                <w:szCs w:val="21"/>
                <w:highlight w:val="none"/>
                <w:lang w:val="zh-CN"/>
              </w:rPr>
              <w:t>合同管理、控制措施合理全面</w:t>
            </w:r>
            <w:r>
              <w:rPr>
                <w:rFonts w:hint="eastAsia" w:ascii="宋体" w:hAnsi="宋体" w:cs="宋体"/>
                <w:bCs/>
                <w:szCs w:val="21"/>
                <w:highlight w:val="none"/>
              </w:rPr>
              <w:t>优秀的得7-8分，良好的得4-7（不含）分，一般的得0-4（不含）分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color w:val="000000"/>
                <w:kern w:val="0"/>
                <w:szCs w:val="21"/>
                <w:highlight w:val="none"/>
              </w:rPr>
            </w:pPr>
            <w:r>
              <w:rPr>
                <w:rFonts w:hint="eastAsia" w:ascii="宋体" w:hAnsi="宋体" w:cs="宋体"/>
                <w:bCs/>
                <w:szCs w:val="21"/>
                <w:highlight w:val="none"/>
              </w:rPr>
              <w:t>0-8分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color w:val="000000"/>
                <w:szCs w:val="21"/>
                <w:highlight w:val="none"/>
                <w:lang w:val="zh-CN"/>
              </w:rPr>
            </w:pPr>
            <w:r>
              <w:rPr>
                <w:rFonts w:hint="eastAsia" w:ascii="宋体" w:hAnsi="宋体" w:cs="宋体"/>
                <w:bCs/>
                <w:szCs w:val="21"/>
                <w:highlight w:val="none"/>
                <w:lang w:val="zh-CN"/>
              </w:rPr>
              <w:t>安全措施</w:t>
            </w:r>
          </w:p>
        </w:tc>
        <w:tc>
          <w:tcPr>
            <w:tcW w:w="5103" w:type="dxa"/>
            <w:vAlign w:val="center"/>
          </w:tcPr>
          <w:p>
            <w:pPr>
              <w:spacing w:line="400" w:lineRule="exact"/>
              <w:rPr>
                <w:rFonts w:ascii="宋体" w:hAnsi="宋体" w:cs="宋体"/>
                <w:color w:val="000000"/>
                <w:szCs w:val="21"/>
                <w:highlight w:val="none"/>
              </w:rPr>
            </w:pPr>
            <w:r>
              <w:rPr>
                <w:rFonts w:hint="eastAsia" w:ascii="宋体" w:hAnsi="宋体" w:cs="宋体"/>
                <w:bCs/>
                <w:szCs w:val="21"/>
                <w:highlight w:val="none"/>
                <w:lang w:val="zh-CN"/>
              </w:rPr>
              <w:t>安全保证体系健全、可靠，安全事故控制措施得力</w:t>
            </w:r>
            <w:r>
              <w:rPr>
                <w:rFonts w:hint="eastAsia" w:ascii="宋体" w:hAnsi="宋体" w:cs="宋体"/>
                <w:bCs/>
                <w:szCs w:val="21"/>
                <w:highlight w:val="none"/>
              </w:rPr>
              <w:t>优秀的得5-6分，良好的得3-5（不含）分，一般的得0-3（不含）分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color w:val="000000"/>
                <w:kern w:val="0"/>
                <w:szCs w:val="21"/>
                <w:highlight w:val="none"/>
              </w:rPr>
            </w:pPr>
            <w:r>
              <w:rPr>
                <w:rFonts w:hint="eastAsia" w:ascii="宋体" w:hAnsi="宋体" w:cs="宋体"/>
                <w:bCs/>
                <w:szCs w:val="21"/>
                <w:highlight w:val="none"/>
              </w:rPr>
              <w:t>0-6分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组织协调</w:t>
            </w:r>
          </w:p>
        </w:tc>
        <w:tc>
          <w:tcPr>
            <w:tcW w:w="5103" w:type="dxa"/>
            <w:vAlign w:val="center"/>
          </w:tcPr>
          <w:p>
            <w:pPr>
              <w:spacing w:line="400" w:lineRule="exact"/>
              <w:rPr>
                <w:rFonts w:ascii="宋体" w:hAnsi="宋体" w:cs="宋体"/>
                <w:bCs/>
                <w:szCs w:val="21"/>
                <w:highlight w:val="none"/>
                <w:lang w:val="zh-CN"/>
              </w:rPr>
            </w:pPr>
            <w:r>
              <w:rPr>
                <w:rFonts w:hint="eastAsia" w:ascii="宋体" w:hAnsi="宋体" w:cs="宋体"/>
                <w:bCs/>
                <w:szCs w:val="21"/>
                <w:highlight w:val="none"/>
                <w:lang w:val="zh-CN"/>
              </w:rPr>
              <w:t>有关工程建设参与方之间组织协调内容具体、措施得力</w:t>
            </w:r>
            <w:r>
              <w:rPr>
                <w:rFonts w:hint="eastAsia" w:ascii="宋体" w:hAnsi="宋体" w:cs="宋体"/>
                <w:bCs/>
                <w:szCs w:val="21"/>
                <w:highlight w:val="none"/>
              </w:rPr>
              <w:t>优秀的得5-6分，良好的得3-5（不含）分，一般的得0-3（不含）分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color w:val="000000"/>
                <w:kern w:val="0"/>
                <w:szCs w:val="21"/>
                <w:highlight w:val="none"/>
              </w:rPr>
            </w:pPr>
            <w:r>
              <w:rPr>
                <w:rFonts w:hint="eastAsia" w:ascii="宋体" w:hAnsi="宋体" w:cs="宋体"/>
                <w:bCs/>
                <w:szCs w:val="21"/>
                <w:highlight w:val="none"/>
              </w:rPr>
              <w:t>0-6分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szCs w:val="21"/>
                <w:highlight w:val="none"/>
              </w:rPr>
            </w:pPr>
            <w:r>
              <w:rPr>
                <w:rFonts w:hint="eastAsia" w:ascii="宋体" w:hAnsi="宋体" w:cs="宋体"/>
                <w:bCs/>
                <w:szCs w:val="21"/>
                <w:highlight w:val="none"/>
                <w:lang w:val="zh-CN"/>
              </w:rPr>
              <w:t>监理要点</w:t>
            </w:r>
          </w:p>
        </w:tc>
        <w:tc>
          <w:tcPr>
            <w:tcW w:w="5103" w:type="dxa"/>
            <w:vAlign w:val="center"/>
          </w:tcPr>
          <w:p>
            <w:pPr>
              <w:spacing w:line="400" w:lineRule="exact"/>
              <w:rPr>
                <w:rFonts w:ascii="宋体" w:hAnsi="宋体" w:cs="宋体"/>
                <w:szCs w:val="21"/>
                <w:highlight w:val="none"/>
              </w:rPr>
            </w:pPr>
            <w:r>
              <w:rPr>
                <w:rFonts w:hint="eastAsia" w:ascii="宋体" w:hAnsi="宋体" w:cs="宋体"/>
                <w:bCs/>
                <w:szCs w:val="21"/>
                <w:highlight w:val="none"/>
                <w:lang w:val="zh-CN"/>
              </w:rPr>
              <w:t>针对本工程特点、技术难点及关键部位的分析及相应的监理控制措施</w:t>
            </w:r>
            <w:r>
              <w:rPr>
                <w:rFonts w:hint="eastAsia" w:ascii="宋体" w:hAnsi="宋体" w:cs="宋体"/>
                <w:bCs/>
                <w:szCs w:val="21"/>
                <w:highlight w:val="none"/>
              </w:rPr>
              <w:t>优秀的得5-6分，良好的得3-5（不含）分，一般的得0-3（不含）分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color w:val="000000"/>
                <w:kern w:val="0"/>
                <w:szCs w:val="21"/>
                <w:highlight w:val="none"/>
              </w:rPr>
            </w:pPr>
            <w:r>
              <w:rPr>
                <w:rFonts w:hint="eastAsia" w:ascii="宋体" w:hAnsi="宋体" w:cs="宋体"/>
                <w:bCs/>
                <w:szCs w:val="21"/>
                <w:highlight w:val="none"/>
              </w:rPr>
              <w:t>0-6分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工作制度</w:t>
            </w:r>
          </w:p>
        </w:tc>
        <w:tc>
          <w:tcPr>
            <w:tcW w:w="5103" w:type="dxa"/>
            <w:vAlign w:val="center"/>
          </w:tcPr>
          <w:p>
            <w:pPr>
              <w:spacing w:line="400" w:lineRule="exact"/>
              <w:rPr>
                <w:rFonts w:ascii="宋体" w:hAnsi="宋体" w:cs="宋体"/>
                <w:color w:val="000000"/>
                <w:szCs w:val="21"/>
                <w:highlight w:val="none"/>
              </w:rPr>
            </w:pPr>
            <w:r>
              <w:rPr>
                <w:rFonts w:hint="eastAsia" w:ascii="宋体" w:hAnsi="宋体" w:cs="宋体"/>
                <w:bCs/>
                <w:szCs w:val="21"/>
                <w:highlight w:val="none"/>
                <w:lang w:val="zh-CN"/>
              </w:rPr>
              <w:t>验收制度、签证制度、会议制度等各项制度</w:t>
            </w:r>
            <w:r>
              <w:rPr>
                <w:rFonts w:hint="eastAsia" w:ascii="宋体" w:hAnsi="宋体" w:cs="宋体"/>
                <w:bCs/>
                <w:szCs w:val="21"/>
                <w:highlight w:val="none"/>
              </w:rPr>
              <w:t>优秀的得5-6分，良好的得3-5（不含）分，一般的得0-3（不含）分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color w:val="000000"/>
                <w:szCs w:val="21"/>
                <w:highlight w:val="none"/>
              </w:rPr>
            </w:pPr>
            <w:r>
              <w:rPr>
                <w:rFonts w:hint="eastAsia" w:ascii="宋体" w:hAnsi="宋体" w:cs="宋体"/>
                <w:bCs/>
                <w:szCs w:val="21"/>
                <w:highlight w:val="none"/>
              </w:rPr>
              <w:t>0-6分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应急事件的处理预案</w:t>
            </w:r>
          </w:p>
        </w:tc>
        <w:tc>
          <w:tcPr>
            <w:tcW w:w="5103" w:type="dxa"/>
            <w:vAlign w:val="center"/>
          </w:tcPr>
          <w:p>
            <w:pPr>
              <w:spacing w:line="400" w:lineRule="exact"/>
              <w:rPr>
                <w:rFonts w:ascii="宋体" w:hAnsi="宋体" w:cs="宋体"/>
                <w:bCs/>
                <w:szCs w:val="21"/>
                <w:highlight w:val="none"/>
              </w:rPr>
            </w:pPr>
            <w:r>
              <w:rPr>
                <w:rFonts w:hint="eastAsia" w:ascii="宋体" w:hAnsi="宋体" w:cs="宋体"/>
                <w:bCs/>
                <w:szCs w:val="21"/>
                <w:highlight w:val="none"/>
                <w:lang w:val="zh-CN"/>
              </w:rPr>
              <w:t>应急事件的处理预案应以人为本、预防为主，统一领导、分级负责，快速反应、协同应对的原则进行编制，有详细的应急事件的处理预案可行且</w:t>
            </w:r>
            <w:r>
              <w:rPr>
                <w:rFonts w:hint="eastAsia" w:ascii="宋体" w:hAnsi="宋体" w:cs="宋体"/>
                <w:bCs/>
                <w:szCs w:val="21"/>
                <w:highlight w:val="none"/>
              </w:rPr>
              <w:t>优秀的得5-6分，良好的得3-5（不含）分，一般的得0-3（不含）分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bCs/>
                <w:szCs w:val="21"/>
                <w:highlight w:val="none"/>
              </w:rPr>
            </w:pPr>
            <w:r>
              <w:rPr>
                <w:rFonts w:hint="eastAsia" w:ascii="宋体" w:hAnsi="宋体" w:cs="宋体"/>
                <w:bCs/>
                <w:szCs w:val="21"/>
                <w:highlight w:val="none"/>
              </w:rPr>
              <w:t>0-6分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421" w:type="dxa"/>
            <w:vAlign w:val="center"/>
          </w:tcPr>
          <w:p>
            <w:pPr>
              <w:numPr>
                <w:ilvl w:val="0"/>
                <w:numId w:val="3"/>
              </w:numPr>
              <w:adjustRightInd/>
              <w:rPr>
                <w:rFonts w:ascii="宋体" w:hAnsi="宋体" w:cs="宋体"/>
                <w:color w:val="000000"/>
                <w:kern w:val="0"/>
                <w:szCs w:val="21"/>
                <w:highlight w:val="none"/>
              </w:rPr>
            </w:pPr>
          </w:p>
        </w:tc>
        <w:tc>
          <w:tcPr>
            <w:tcW w:w="850" w:type="dxa"/>
            <w:vAlign w:val="center"/>
          </w:tcPr>
          <w:p>
            <w:pPr>
              <w:spacing w:line="400" w:lineRule="exact"/>
              <w:jc w:val="center"/>
              <w:rPr>
                <w:rFonts w:ascii="宋体" w:hAnsi="宋体" w:cs="宋体"/>
                <w:bCs/>
                <w:szCs w:val="21"/>
                <w:highlight w:val="none"/>
                <w:lang w:val="zh-CN"/>
              </w:rPr>
            </w:pPr>
            <w:r>
              <w:rPr>
                <w:rFonts w:hint="eastAsia" w:ascii="宋体" w:hAnsi="宋体" w:cs="宋体"/>
                <w:bCs/>
                <w:szCs w:val="21"/>
                <w:highlight w:val="none"/>
                <w:lang w:val="zh-CN"/>
              </w:rPr>
              <w:t>仪器设备投入</w:t>
            </w:r>
          </w:p>
        </w:tc>
        <w:tc>
          <w:tcPr>
            <w:tcW w:w="5103" w:type="dxa"/>
            <w:vAlign w:val="center"/>
          </w:tcPr>
          <w:p>
            <w:pPr>
              <w:spacing w:line="400" w:lineRule="exact"/>
              <w:rPr>
                <w:rFonts w:ascii="宋体" w:hAnsi="宋体" w:cs="宋体"/>
                <w:bCs/>
                <w:szCs w:val="21"/>
                <w:highlight w:val="none"/>
                <w:lang w:val="zh-CN"/>
              </w:rPr>
            </w:pPr>
            <w:r>
              <w:rPr>
                <w:rFonts w:hint="eastAsia" w:ascii="宋体" w:hAnsi="宋体" w:cs="宋体"/>
                <w:bCs/>
                <w:szCs w:val="21"/>
                <w:highlight w:val="none"/>
              </w:rPr>
              <w:t>拟投入的巡查使用、施工质量检测、工程量测量等工作相关仪器设备完全满足本项目要求且优秀的得4-5分，良好的得2-4（不含）分，一般的得0-2（不含）分</w:t>
            </w:r>
            <w:r>
              <w:rPr>
                <w:rFonts w:hint="eastAsia" w:ascii="宋体" w:hAnsi="宋体" w:cs="宋体"/>
                <w:bCs/>
                <w:szCs w:val="21"/>
                <w:highlight w:val="none"/>
                <w:lang w:val="zh-CN"/>
              </w:rPr>
              <w:t>。</w:t>
            </w:r>
          </w:p>
        </w:tc>
        <w:tc>
          <w:tcPr>
            <w:tcW w:w="851" w:type="dxa"/>
            <w:vAlign w:val="center"/>
          </w:tcPr>
          <w:p>
            <w:pPr>
              <w:spacing w:line="400" w:lineRule="exact"/>
              <w:jc w:val="center"/>
              <w:rPr>
                <w:rFonts w:ascii="宋体" w:hAnsi="宋体" w:cs="宋体"/>
                <w:bCs/>
                <w:szCs w:val="21"/>
                <w:highlight w:val="none"/>
              </w:rPr>
            </w:pPr>
            <w:r>
              <w:rPr>
                <w:rFonts w:hint="eastAsia" w:ascii="宋体" w:hAnsi="宋体" w:cs="宋体"/>
                <w:bCs/>
                <w:szCs w:val="21"/>
                <w:highlight w:val="none"/>
              </w:rPr>
              <w:t>0-5分</w:t>
            </w:r>
          </w:p>
        </w:tc>
        <w:tc>
          <w:tcPr>
            <w:tcW w:w="1842" w:type="dxa"/>
          </w:tcPr>
          <w:p>
            <w:pPr>
              <w:spacing w:line="400" w:lineRule="exact"/>
              <w:jc w:val="center"/>
              <w:rPr>
                <w:rFonts w:ascii="宋体" w:hAnsi="宋体" w:cs="宋体"/>
                <w:bCs/>
                <w:szCs w:val="21"/>
                <w:highlight w:val="none"/>
              </w:rPr>
            </w:pPr>
          </w:p>
        </w:tc>
        <w:tc>
          <w:tcPr>
            <w:tcW w:w="993" w:type="dxa"/>
          </w:tcPr>
          <w:p>
            <w:pPr>
              <w:spacing w:line="400" w:lineRule="exact"/>
              <w:jc w:val="center"/>
              <w:rPr>
                <w:rFonts w:ascii="宋体" w:hAnsi="宋体" w:cs="宋体"/>
                <w:bCs/>
                <w:szCs w:val="21"/>
                <w:highlight w:val="none"/>
              </w:rPr>
            </w:pPr>
            <w:r>
              <w:rPr>
                <w:rFonts w:hint="eastAsia" w:ascii="宋体" w:hAnsi="宋体" w:cs="宋体"/>
                <w:bCs/>
                <w:szCs w:val="21"/>
                <w:highlight w:val="none"/>
              </w:rPr>
              <w:t>主观分</w:t>
            </w:r>
          </w:p>
        </w:tc>
      </w:tr>
    </w:tbl>
    <w:p>
      <w:pPr>
        <w:autoSpaceDE w:val="0"/>
        <w:autoSpaceDN w:val="0"/>
        <w:spacing w:line="360" w:lineRule="auto"/>
        <w:ind w:firstLine="480"/>
        <w:rPr>
          <w:rFonts w:ascii="宋体" w:hAnsi="宋体" w:cs="宋体"/>
          <w:b/>
          <w:szCs w:val="21"/>
          <w:highlight w:val="none"/>
          <w:lang w:val="zh-CN"/>
        </w:rPr>
      </w:pPr>
    </w:p>
    <w:p>
      <w:pPr>
        <w:autoSpaceDE w:val="0"/>
        <w:autoSpaceDN w:val="0"/>
        <w:spacing w:line="360" w:lineRule="auto"/>
        <w:ind w:firstLine="480"/>
        <w:rPr>
          <w:rFonts w:ascii="宋体" w:hAnsi="宋体" w:cs="宋体"/>
          <w:b/>
          <w:szCs w:val="21"/>
          <w:lang w:val="zh-CN"/>
        </w:rPr>
      </w:pPr>
      <w:r>
        <w:rPr>
          <w:rFonts w:hint="eastAsia" w:ascii="宋体" w:hAnsi="宋体" w:cs="宋体"/>
          <w:b/>
          <w:szCs w:val="21"/>
          <w:lang w:val="zh-CN"/>
        </w:rPr>
        <w:t>（二）商务报价（满分</w:t>
      </w:r>
      <w:r>
        <w:rPr>
          <w:rFonts w:hint="eastAsia" w:ascii="宋体" w:hAnsi="宋体" w:cs="宋体"/>
          <w:b/>
          <w:szCs w:val="21"/>
          <w:u w:val="single"/>
        </w:rPr>
        <w:t xml:space="preserve"> 1</w:t>
      </w:r>
      <w:r>
        <w:rPr>
          <w:rFonts w:ascii="宋体" w:hAnsi="宋体" w:cs="宋体"/>
          <w:b/>
          <w:szCs w:val="21"/>
          <w:u w:val="single"/>
        </w:rPr>
        <w:t>0</w:t>
      </w:r>
      <w:r>
        <w:rPr>
          <w:rFonts w:hint="eastAsia" w:ascii="宋体" w:hAnsi="宋体" w:cs="宋体"/>
          <w:b/>
          <w:szCs w:val="21"/>
          <w:lang w:val="zh-CN"/>
        </w:rPr>
        <w:t>分）</w:t>
      </w:r>
    </w:p>
    <w:p>
      <w:pPr>
        <w:snapToGrid w:val="0"/>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有效投标报价的最低价作为评标基准价，其最低报价为满分；按［投标报价得分=（评标基准价/投标报价）*</w:t>
      </w:r>
      <w:r>
        <w:rPr>
          <w:rFonts w:hint="eastAsia" w:ascii="仿宋" w:hAnsi="仿宋" w:eastAsia="仿宋" w:cs="宋体"/>
          <w:kern w:val="0"/>
          <w:sz w:val="24"/>
          <w:lang w:val="en-US" w:eastAsia="zh-CN"/>
        </w:rPr>
        <w:t>100</w:t>
      </w:r>
      <w:r>
        <w:rPr>
          <w:rFonts w:hint="eastAsia" w:ascii="仿宋" w:hAnsi="仿宋" w:eastAsia="仿宋" w:cs="宋体"/>
          <w:kern w:val="0"/>
          <w:sz w:val="24"/>
        </w:rPr>
        <w:t>］的计算公式计算。</w:t>
      </w:r>
    </w:p>
    <w:p>
      <w:pPr>
        <w:snapToGrid w:val="0"/>
        <w:spacing w:line="360" w:lineRule="auto"/>
        <w:ind w:firstLine="480" w:firstLineChars="200"/>
        <w:rPr>
          <w:rFonts w:hint="eastAsia" w:ascii="仿宋" w:hAnsi="仿宋" w:eastAsia="仿宋" w:cs="宋体"/>
          <w:kern w:val="0"/>
          <w:sz w:val="24"/>
          <w:lang w:val="en-US" w:eastAsia="zh-CN"/>
        </w:rPr>
      </w:pPr>
      <w:r>
        <w:rPr>
          <w:rFonts w:hint="eastAsia" w:ascii="仿宋" w:hAnsi="仿宋" w:eastAsia="仿宋" w:cs="宋体"/>
          <w:kern w:val="0"/>
          <w:sz w:val="24"/>
        </w:rPr>
        <w:t>评标过程中，不得去掉报价中的最高报价和最低报价。</w:t>
      </w:r>
    </w:p>
    <w:p>
      <w:pPr>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（三）其他</w:t>
      </w:r>
    </w:p>
    <w:p>
      <w:pPr>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评分时保留小数点后1位小数，计算评分值时保留小数点后2位小数，由评标委员会当场统一计算。</w:t>
      </w:r>
    </w:p>
    <w:p>
      <w:pPr>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投标人的最终总得分为资信技术及报价部分二部分得分的总和。</w:t>
      </w:r>
    </w:p>
    <w:p>
      <w:pPr>
        <w:snapToGrid w:val="0"/>
        <w:spacing w:line="360" w:lineRule="auto"/>
        <w:ind w:firstLine="422" w:firstLineChars="200"/>
        <w:jc w:val="left"/>
        <w:rPr>
          <w:rFonts w:ascii="宋体" w:hAnsi="宋体" w:cs="宋体"/>
          <w:szCs w:val="21"/>
        </w:rPr>
      </w:pPr>
      <w:r>
        <w:rPr>
          <w:rFonts w:hint="eastAsia" w:ascii="宋体" w:hAnsi="宋体" w:cs="宋体"/>
          <w:b/>
          <w:snapToGrid w:val="0"/>
          <w:kern w:val="0"/>
          <w:szCs w:val="21"/>
        </w:rPr>
        <w:t>报价是中标的一个重要因素，但最低报价不是中标的唯一依据。</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w:t>
      </w:r>
      <w:r>
        <w:rPr>
          <w:rFonts w:hint="eastAsia" w:ascii="仿宋" w:hAnsi="仿宋" w:eastAsia="仿宋" w:cs="宋体"/>
        </w:rPr>
        <w:t xml:space="preserve"> </w:t>
      </w:r>
      <w:r>
        <w:rPr>
          <w:rFonts w:hint="eastAsia" w:ascii="仿宋" w:hAnsi="仿宋" w:eastAsia="仿宋" w:cs="宋体"/>
          <w:b/>
          <w:sz w:val="24"/>
        </w:rPr>
        <w:t>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159"/>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159"/>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159"/>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159"/>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159"/>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159"/>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159"/>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9"/>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宋体"/>
          <w:b/>
          <w:sz w:val="32"/>
        </w:rPr>
      </w:pPr>
      <w:r>
        <w:rPr>
          <w:rFonts w:hint="eastAsia" w:ascii="仿宋" w:hAnsi="仿宋" w:eastAsia="仿宋" w:cs="宋体"/>
          <w:b/>
          <w:sz w:val="32"/>
        </w:rPr>
        <w:t>四、评标中的其他事项</w:t>
      </w:r>
    </w:p>
    <w:p>
      <w:pPr>
        <w:pStyle w:val="159"/>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6"/>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3"/>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3"/>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3"/>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3"/>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3"/>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3"/>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3"/>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3"/>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3"/>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widowControl/>
        <w:adjustRightInd/>
        <w:jc w:val="left"/>
        <w:rPr>
          <w:rFonts w:ascii="仿宋" w:hAnsi="仿宋" w:eastAsia="仿宋" w:cs="宋体"/>
          <w:b/>
          <w:sz w:val="36"/>
          <w:szCs w:val="36"/>
        </w:rPr>
      </w:pPr>
      <w:bookmarkStart w:id="396" w:name="_Toc86217003"/>
      <w:r>
        <w:rPr>
          <w:rFonts w:ascii="仿宋" w:hAnsi="仿宋" w:eastAsia="仿宋" w:cs="宋体"/>
          <w:b/>
          <w:sz w:val="36"/>
          <w:szCs w:val="36"/>
        </w:rPr>
        <w:br w:type="page"/>
      </w:r>
    </w:p>
    <w:p>
      <w:pPr>
        <w:spacing w:line="360" w:lineRule="auto"/>
        <w:ind w:left="720" w:leftChars="343" w:firstLine="1446" w:firstLineChars="4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jc w:val="center"/>
        <w:rPr>
          <w:rFonts w:ascii="宋体" w:hAnsi="宋体"/>
          <w:b/>
          <w:bCs/>
          <w:sz w:val="28"/>
          <w:szCs w:val="28"/>
        </w:rPr>
      </w:pPr>
      <w:r>
        <w:rPr>
          <w:rFonts w:hint="eastAsia" w:ascii="宋体" w:hAnsi="宋体"/>
          <w:b/>
          <w:bCs/>
          <w:sz w:val="28"/>
          <w:szCs w:val="28"/>
        </w:rPr>
        <w:t>（服务类样本）</w:t>
      </w:r>
    </w:p>
    <w:p>
      <w:pPr>
        <w:tabs>
          <w:tab w:val="left" w:pos="600"/>
        </w:tabs>
        <w:adjustRightInd/>
        <w:spacing w:line="400" w:lineRule="exact"/>
        <w:ind w:firstLine="420" w:firstLineChars="200"/>
        <w:rPr>
          <w:rFonts w:asciiTheme="minorEastAsia" w:hAnsiTheme="minorEastAsia" w:eastAsiaTheme="minorEastAsia" w:cstheme="minorEastAsia"/>
          <w:spacing w:val="15"/>
          <w:szCs w:val="21"/>
        </w:rPr>
      </w:pPr>
      <w:r>
        <w:rPr>
          <w:rFonts w:hint="eastAsia" w:asciiTheme="minorEastAsia" w:hAnsiTheme="minorEastAsia" w:eastAsiaTheme="minorEastAsia" w:cstheme="minorEastAsia"/>
          <w:szCs w:val="21"/>
        </w:rPr>
        <w:t>委托人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pacing w:val="15"/>
          <w:szCs w:val="21"/>
        </w:rPr>
        <w:t>与监理人</w:t>
      </w:r>
      <w:r>
        <w:rPr>
          <w:rFonts w:hint="eastAsia" w:asciiTheme="minorEastAsia" w:hAnsiTheme="minorEastAsia" w:eastAsiaTheme="minorEastAsia" w:cstheme="minorEastAsia"/>
          <w:spacing w:val="15"/>
          <w:szCs w:val="21"/>
          <w:u w:val="single"/>
        </w:rPr>
        <w:t xml:space="preserve">             </w:t>
      </w:r>
      <w:r>
        <w:rPr>
          <w:rFonts w:hint="eastAsia" w:asciiTheme="minorEastAsia" w:hAnsiTheme="minorEastAsia" w:eastAsiaTheme="minorEastAsia" w:cstheme="minorEastAsia"/>
          <w:szCs w:val="21"/>
        </w:rPr>
        <w:t>经双方协商一致，签订本合同</w:t>
      </w:r>
      <w:r>
        <w:rPr>
          <w:rFonts w:hint="eastAsia" w:asciiTheme="minorEastAsia" w:hAnsiTheme="minorEastAsia" w:eastAsiaTheme="minorEastAsia" w:cstheme="minorEastAsia"/>
          <w:spacing w:val="15"/>
          <w:szCs w:val="21"/>
        </w:rPr>
        <w:t>。</w:t>
      </w:r>
    </w:p>
    <w:p>
      <w:pPr>
        <w:adjustRightInd/>
        <w:spacing w:line="400" w:lineRule="exact"/>
        <w:ind w:firstLine="480" w:firstLineChars="200"/>
        <w:rPr>
          <w:rFonts w:asciiTheme="minorEastAsia" w:hAnsiTheme="minorEastAsia" w:eastAsiaTheme="minorEastAsia" w:cstheme="minorEastAsia"/>
          <w:spacing w:val="15"/>
          <w:szCs w:val="21"/>
        </w:rPr>
      </w:pPr>
      <w:r>
        <w:rPr>
          <w:rFonts w:hint="eastAsia" w:asciiTheme="minorEastAsia" w:hAnsiTheme="minorEastAsia" w:eastAsiaTheme="minorEastAsia" w:cstheme="minorEastAsia"/>
          <w:b/>
          <w:bCs/>
          <w:spacing w:val="15"/>
          <w:szCs w:val="21"/>
        </w:rPr>
        <w:t>一、</w:t>
      </w:r>
      <w:r>
        <w:rPr>
          <w:rFonts w:hint="eastAsia" w:asciiTheme="minorEastAsia" w:hAnsiTheme="minorEastAsia" w:eastAsiaTheme="minorEastAsia" w:cstheme="minorEastAsia"/>
          <w:spacing w:val="15"/>
          <w:szCs w:val="21"/>
        </w:rPr>
        <w:t>委托人委托监理人监理的工程（以下简称“本工程”）概况如下：</w:t>
      </w:r>
    </w:p>
    <w:p>
      <w:pPr>
        <w:adjustRightInd/>
        <w:spacing w:line="400" w:lineRule="exact"/>
        <w:ind w:firstLine="480" w:firstLineChars="200"/>
        <w:rPr>
          <w:rFonts w:asciiTheme="minorEastAsia" w:hAnsiTheme="minorEastAsia" w:eastAsiaTheme="minorEastAsia" w:cstheme="minorEastAsia"/>
          <w:spacing w:val="15"/>
          <w:szCs w:val="21"/>
          <w:u w:val="single"/>
        </w:rPr>
      </w:pPr>
      <w:r>
        <w:rPr>
          <w:rFonts w:hint="eastAsia" w:asciiTheme="minorEastAsia" w:hAnsiTheme="minorEastAsia" w:eastAsiaTheme="minorEastAsia" w:cstheme="minorEastAsia"/>
          <w:spacing w:val="15"/>
          <w:szCs w:val="21"/>
        </w:rPr>
        <w:t>工程名称：</w:t>
      </w:r>
      <w:r>
        <w:rPr>
          <w:rFonts w:hint="eastAsia" w:asciiTheme="minorEastAsia" w:hAnsiTheme="minorEastAsia" w:eastAsiaTheme="minorEastAsia" w:cstheme="minorEastAsia"/>
          <w:spacing w:val="15"/>
          <w:szCs w:val="21"/>
          <w:u w:val="single"/>
        </w:rPr>
        <w:t xml:space="preserve">                                    </w:t>
      </w:r>
    </w:p>
    <w:p>
      <w:pPr>
        <w:adjustRightInd/>
        <w:spacing w:line="400" w:lineRule="exact"/>
        <w:ind w:firstLine="480" w:firstLineChars="200"/>
        <w:rPr>
          <w:rFonts w:asciiTheme="minorEastAsia" w:hAnsiTheme="minorEastAsia" w:eastAsiaTheme="minorEastAsia" w:cstheme="minorEastAsia"/>
          <w:spacing w:val="15"/>
          <w:szCs w:val="21"/>
        </w:rPr>
      </w:pPr>
      <w:r>
        <w:rPr>
          <w:rFonts w:hint="eastAsia" w:asciiTheme="minorEastAsia" w:hAnsiTheme="minorEastAsia" w:eastAsiaTheme="minorEastAsia" w:cstheme="minorEastAsia"/>
          <w:spacing w:val="15"/>
          <w:szCs w:val="21"/>
        </w:rPr>
        <w:t>工程地点：</w:t>
      </w:r>
      <w:r>
        <w:rPr>
          <w:rFonts w:hint="eastAsia" w:asciiTheme="minorEastAsia" w:hAnsiTheme="minorEastAsia" w:eastAsiaTheme="minorEastAsia" w:cstheme="minorEastAsia"/>
          <w:szCs w:val="21"/>
          <w:u w:val="single"/>
        </w:rPr>
        <w:t xml:space="preserve">杭州高新区（滨江）                          </w:t>
      </w:r>
    </w:p>
    <w:p>
      <w:pPr>
        <w:tabs>
          <w:tab w:val="left" w:pos="2700"/>
        </w:tabs>
        <w:adjustRightInd/>
        <w:spacing w:line="400" w:lineRule="exact"/>
        <w:ind w:firstLine="480" w:firstLineChars="200"/>
        <w:rPr>
          <w:rFonts w:asciiTheme="minorEastAsia" w:hAnsiTheme="minorEastAsia" w:eastAsiaTheme="minorEastAsia" w:cstheme="minorEastAsia"/>
          <w:spacing w:val="15"/>
          <w:szCs w:val="21"/>
        </w:rPr>
      </w:pPr>
      <w:r>
        <w:rPr>
          <w:rFonts w:hint="eastAsia" w:asciiTheme="minorEastAsia" w:hAnsiTheme="minorEastAsia" w:eastAsiaTheme="minorEastAsia" w:cstheme="minorEastAsia"/>
          <w:spacing w:val="15"/>
          <w:szCs w:val="21"/>
        </w:rPr>
        <w:t>中标价：</w:t>
      </w:r>
      <w:r>
        <w:rPr>
          <w:rFonts w:hint="eastAsia" w:asciiTheme="minorEastAsia" w:hAnsiTheme="minorEastAsia" w:eastAsiaTheme="minorEastAsia" w:cstheme="minorEastAsia"/>
          <w:spacing w:val="15"/>
          <w:szCs w:val="21"/>
          <w:u w:val="single"/>
        </w:rPr>
        <w:t xml:space="preserve">              </w:t>
      </w:r>
      <w:r>
        <w:rPr>
          <w:rFonts w:hint="eastAsia" w:asciiTheme="minorEastAsia" w:hAnsiTheme="minorEastAsia" w:eastAsiaTheme="minorEastAsia" w:cstheme="minorEastAsia"/>
          <w:szCs w:val="21"/>
          <w:u w:val="single"/>
        </w:rPr>
        <w:t>万元</w:t>
      </w:r>
      <w:r>
        <w:rPr>
          <w:rFonts w:hint="eastAsia" w:asciiTheme="minorEastAsia" w:hAnsiTheme="minorEastAsia" w:eastAsiaTheme="minorEastAsia" w:cstheme="minorEastAsia"/>
          <w:spacing w:val="15"/>
          <w:szCs w:val="21"/>
          <w:u w:val="single"/>
        </w:rPr>
        <w:t xml:space="preserve">           </w:t>
      </w:r>
    </w:p>
    <w:p>
      <w:pPr>
        <w:pStyle w:val="3"/>
        <w:adjustRightInd/>
        <w:spacing w:line="4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二</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本合同中的有关词语含义与本合同第二部分《标准条件》中赋予它们的定义相同。</w:t>
      </w:r>
    </w:p>
    <w:p>
      <w:pPr>
        <w:adjustRightInd/>
        <w:spacing w:line="400" w:lineRule="exact"/>
        <w:ind w:firstLine="480" w:firstLineChars="200"/>
        <w:rPr>
          <w:rFonts w:asciiTheme="minorEastAsia" w:hAnsiTheme="minorEastAsia" w:eastAsiaTheme="minorEastAsia" w:cstheme="minorEastAsia"/>
          <w:spacing w:val="15"/>
          <w:szCs w:val="21"/>
        </w:rPr>
      </w:pPr>
      <w:r>
        <w:rPr>
          <w:rFonts w:hint="eastAsia" w:asciiTheme="minorEastAsia" w:hAnsiTheme="minorEastAsia" w:eastAsiaTheme="minorEastAsia" w:cstheme="minorEastAsia"/>
          <w:b/>
          <w:bCs/>
          <w:spacing w:val="15"/>
          <w:szCs w:val="21"/>
        </w:rPr>
        <w:t>三、</w:t>
      </w:r>
      <w:r>
        <w:rPr>
          <w:rFonts w:hint="eastAsia" w:asciiTheme="minorEastAsia" w:hAnsiTheme="minorEastAsia" w:eastAsiaTheme="minorEastAsia" w:cstheme="minorEastAsia"/>
          <w:spacing w:val="15"/>
          <w:szCs w:val="21"/>
        </w:rPr>
        <w:t>下列文件均为本合同的组成部分：</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①监理投标书或中标通知书； </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②本合同标准条件；</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③本合同专用条件；</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④在实施过程中双方共同签署的补充与修正文件。</w:t>
      </w:r>
    </w:p>
    <w:p>
      <w:pPr>
        <w:adjustRightInd/>
        <w:spacing w:line="400" w:lineRule="exact"/>
        <w:ind w:left="132" w:leftChars="63" w:firstLine="358" w:firstLineChars="149"/>
        <w:rPr>
          <w:rFonts w:asciiTheme="minorEastAsia" w:hAnsiTheme="minorEastAsia" w:eastAsiaTheme="minorEastAsia" w:cstheme="minorEastAsia"/>
          <w:spacing w:val="15"/>
          <w:szCs w:val="21"/>
        </w:rPr>
      </w:pPr>
      <w:r>
        <w:rPr>
          <w:rFonts w:hint="eastAsia" w:asciiTheme="minorEastAsia" w:hAnsiTheme="minorEastAsia" w:eastAsiaTheme="minorEastAsia" w:cstheme="minorEastAsia"/>
          <w:b/>
          <w:bCs/>
          <w:spacing w:val="15"/>
          <w:szCs w:val="21"/>
        </w:rPr>
        <w:t>四、</w:t>
      </w:r>
      <w:r>
        <w:rPr>
          <w:rFonts w:hint="eastAsia" w:asciiTheme="minorEastAsia" w:hAnsiTheme="minorEastAsia" w:eastAsiaTheme="minorEastAsia" w:cstheme="minorEastAsia"/>
          <w:spacing w:val="15"/>
          <w:szCs w:val="21"/>
        </w:rPr>
        <w:t>监理人向委托人承诺，按照本合同的规定，承担本合同专用条件中议定范围内的监理业务。</w:t>
      </w:r>
    </w:p>
    <w:p>
      <w:pPr>
        <w:pStyle w:val="38"/>
        <w:adjustRightInd/>
        <w:spacing w:line="40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五、</w:t>
      </w:r>
      <w:r>
        <w:rPr>
          <w:rFonts w:hint="eastAsia" w:asciiTheme="minorEastAsia" w:hAnsiTheme="minorEastAsia" w:eastAsiaTheme="minorEastAsia" w:cstheme="minorEastAsia"/>
          <w:sz w:val="21"/>
          <w:szCs w:val="21"/>
        </w:rPr>
        <w:t>委托人向监理人承诺按照本合同注明的期限、方式、币种向监理人支付报酬。</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合同履约时间：</w:t>
      </w:r>
      <w:r>
        <w:rPr>
          <w:rFonts w:hint="eastAsia" w:asciiTheme="minorEastAsia" w:hAnsiTheme="minorEastAsia" w:eastAsiaTheme="minorEastAsia" w:cstheme="minorEastAsia"/>
          <w:szCs w:val="21"/>
          <w:u w:val="single"/>
        </w:rPr>
        <w:t xml:space="preserve">                   </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本合同一式</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bCs/>
          <w:szCs w:val="21"/>
          <w:u w:val="single"/>
        </w:rPr>
        <w:t>陆</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rPr>
        <w:t>份，具有同等法律效力，双方各执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叁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w:t>
      </w: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委托人：（签章）                 监理人：（签章）</w:t>
      </w:r>
    </w:p>
    <w:p>
      <w:pPr>
        <w:adjustRightInd/>
        <w:spacing w:line="400" w:lineRule="exact"/>
        <w:rPr>
          <w:rFonts w:asciiTheme="minorEastAsia" w:hAnsiTheme="minorEastAsia" w:eastAsiaTheme="minorEastAsia" w:cstheme="minorEastAsia"/>
          <w:szCs w:val="21"/>
        </w:rPr>
      </w:pP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住所：                          住所：</w:t>
      </w: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法定代表人或委托代理人：        法定代表人或委托代理人：</w:t>
      </w: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（签章）                       （签章）</w:t>
      </w:r>
    </w:p>
    <w:p>
      <w:pPr>
        <w:adjustRightInd/>
        <w:spacing w:line="400" w:lineRule="exact"/>
        <w:rPr>
          <w:rFonts w:asciiTheme="minorEastAsia" w:hAnsiTheme="minorEastAsia" w:eastAsiaTheme="minorEastAsia" w:cstheme="minorEastAsia"/>
          <w:szCs w:val="21"/>
        </w:rPr>
      </w:pP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开户银行：                     开户银行： </w:t>
      </w: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帐号：                         帐号： </w:t>
      </w: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邮编：                         邮编： </w:t>
      </w: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电话：                         电话： </w:t>
      </w:r>
    </w:p>
    <w:p>
      <w:pPr>
        <w:adjustRightInd/>
        <w:spacing w:line="400" w:lineRule="exact"/>
        <w:rPr>
          <w:rFonts w:asciiTheme="minorEastAsia" w:hAnsiTheme="minorEastAsia" w:eastAsiaTheme="minorEastAsia" w:cstheme="minorEastAsia"/>
          <w:szCs w:val="21"/>
        </w:rPr>
      </w:pPr>
    </w:p>
    <w:p>
      <w:pPr>
        <w:wordWrap w:val="0"/>
        <w:adjustRightInd/>
        <w:spacing w:line="400" w:lineRule="exact"/>
        <w:ind w:right="560" w:firstLine="487" w:firstLineChars="232"/>
        <w:jc w:val="right"/>
        <w:rPr>
          <w:rFonts w:asciiTheme="minorEastAsia" w:hAnsiTheme="minorEastAsia" w:eastAsiaTheme="minorEastAsia" w:cstheme="minorEastAsia"/>
          <w:spacing w:val="15"/>
          <w:szCs w:val="21"/>
        </w:rPr>
      </w:pPr>
      <w:r>
        <w:rPr>
          <w:rFonts w:hint="eastAsia" w:asciiTheme="minorEastAsia" w:hAnsiTheme="minorEastAsia" w:eastAsiaTheme="minorEastAsia" w:cstheme="minorEastAsia"/>
          <w:szCs w:val="21"/>
        </w:rPr>
        <w:t>本合同签订于：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br w:type="page"/>
      </w:r>
      <w:r>
        <w:rPr>
          <w:rFonts w:hint="eastAsia" w:asciiTheme="minorEastAsia" w:hAnsiTheme="minorEastAsia" w:eastAsiaTheme="minorEastAsia" w:cstheme="minorEastAsia"/>
          <w:b/>
          <w:bCs/>
          <w:sz w:val="30"/>
          <w:szCs w:val="30"/>
        </w:rPr>
        <w:t>第二部分   标准条件</w:t>
      </w:r>
    </w:p>
    <w:p>
      <w:pPr>
        <w:adjustRightInd/>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具体内容参见中华人民共和国建设部和国家工商行政管理局制定的GF-2000-0202《建设工程委托监理合同》（示范文本）。</w:t>
      </w:r>
    </w:p>
    <w:p>
      <w:pPr>
        <w:spacing w:line="520" w:lineRule="exact"/>
        <w:ind w:firstLine="1137" w:firstLineChars="541"/>
        <w:rPr>
          <w:rFonts w:asciiTheme="minorEastAsia" w:hAnsiTheme="minorEastAsia" w:eastAsiaTheme="minorEastAsia" w:cstheme="minorEastAsia"/>
          <w:b/>
          <w:bCs/>
          <w:szCs w:val="21"/>
        </w:rPr>
      </w:pPr>
    </w:p>
    <w:p>
      <w:pPr>
        <w:spacing w:line="520" w:lineRule="exact"/>
        <w:ind w:firstLine="3302" w:firstLineChars="11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第三部分   专用条件</w:t>
      </w:r>
    </w:p>
    <w:p>
      <w:pPr>
        <w:spacing w:line="360" w:lineRule="exact"/>
        <w:ind w:firstLine="420" w:firstLineChars="200"/>
        <w:rPr>
          <w:rFonts w:asciiTheme="minorEastAsia" w:hAnsiTheme="minorEastAsia" w:eastAsiaTheme="minorEastAsia" w:cstheme="minorEastAsia"/>
          <w:b/>
          <w:bCs/>
          <w:szCs w:val="21"/>
        </w:rPr>
      </w:pPr>
    </w:p>
    <w:p>
      <w:pPr>
        <w:adjustRightInd/>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第一条</w:t>
      </w:r>
      <w:r>
        <w:rPr>
          <w:rFonts w:hint="eastAsia" w:asciiTheme="minorEastAsia" w:hAnsiTheme="minorEastAsia" w:eastAsiaTheme="minorEastAsia" w:cstheme="minorEastAsia"/>
          <w:szCs w:val="21"/>
        </w:rPr>
        <w:t xml:space="preserve">  本合同适用的法律及监理依据：</w:t>
      </w:r>
    </w:p>
    <w:p>
      <w:pPr>
        <w:shd w:val="clear" w:color="auto" w:fill="FFFFFF"/>
        <w:adjustRightInd/>
        <w:spacing w:line="400" w:lineRule="exact"/>
        <w:ind w:firstLine="210" w:firstLineChars="100"/>
        <w:outlineLvl w:val="1"/>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中华人民共和国民法典》、《中华人民共和国建筑法》、《建设工程质量管理条例》、《建设工程监理规范》、《浙江省建设工程监理管理条例》、《房屋建筑工程和市政基础设施工程竣工验收暂行规定》等。</w:t>
      </w:r>
    </w:p>
    <w:p>
      <w:pPr>
        <w:adjustRightInd/>
        <w:spacing w:line="400" w:lineRule="exact"/>
        <w:ind w:firstLine="210" w:firstLineChars="1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2、在关键工序中实施《房屋建筑工程施工旁站监理管理办法（试行）》的通知、建设部《建设工程监理范围和规模标准规定》等。</w:t>
      </w:r>
    </w:p>
    <w:p>
      <w:pPr>
        <w:adjustRightInd/>
        <w:spacing w:line="40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3、国家和地方现行的工程设计、施工、验收规范，预算定额、取费标准及有关建设工程造价的管理办法和质量检验评定标准及有关的技术规范、法律、法规。</w:t>
      </w:r>
    </w:p>
    <w:p>
      <w:pPr>
        <w:adjustRightInd/>
        <w:spacing w:line="400" w:lineRule="exact"/>
        <w:ind w:firstLine="4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4、本工程设计图纸及有关的设计条件，上级主管部门批准的设计文件与批文，与本工程有关的合同、文件。（如有）</w:t>
      </w:r>
    </w:p>
    <w:p>
      <w:pPr>
        <w:adjustRightInd/>
        <w:spacing w:line="400" w:lineRule="exact"/>
        <w:ind w:firstLine="41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5、工程招投标文件及有关答疑、补充等资料。</w:t>
      </w:r>
    </w:p>
    <w:p>
      <w:pPr>
        <w:adjustRightInd/>
        <w:spacing w:line="400" w:lineRule="exact"/>
        <w:ind w:firstLine="41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6、依法成立的工程承发包合同（施工合同）和协议。</w:t>
      </w:r>
    </w:p>
    <w:p>
      <w:pPr>
        <w:adjustRightInd/>
        <w:spacing w:line="400" w:lineRule="exact"/>
        <w:ind w:firstLine="41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7、依法成立的工程建设监理合同（或协议）、监理大纲、监理规划等文件。</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
          <w:bCs/>
          <w:szCs w:val="21"/>
        </w:rPr>
        <w:t xml:space="preserve"> </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第二条</w:t>
      </w:r>
      <w:r>
        <w:rPr>
          <w:rFonts w:hint="eastAsia" w:asciiTheme="minorEastAsia" w:hAnsiTheme="minorEastAsia" w:eastAsiaTheme="minorEastAsia" w:cstheme="minorEastAsia"/>
          <w:szCs w:val="21"/>
        </w:rPr>
        <w:t xml:space="preserve">  监理制度及监理工作内容：</w:t>
      </w:r>
    </w:p>
    <w:p>
      <w:pPr>
        <w:adjustRightInd/>
        <w:spacing w:line="400" w:lineRule="exact"/>
        <w:ind w:firstLine="403" w:firstLineChars="192"/>
        <w:rPr>
          <w:rFonts w:asciiTheme="minorEastAsia" w:hAnsiTheme="minorEastAsia" w:eastAsiaTheme="minorEastAsia" w:cstheme="minorEastAsia"/>
          <w:spacing w:val="15"/>
          <w:szCs w:val="21"/>
        </w:rPr>
      </w:pPr>
      <w:r>
        <w:rPr>
          <w:rFonts w:hint="eastAsia" w:asciiTheme="minorEastAsia" w:hAnsiTheme="minorEastAsia" w:eastAsiaTheme="minorEastAsia" w:cstheme="minorEastAsia"/>
          <w:szCs w:val="21"/>
        </w:rPr>
        <w:t>监理范围</w:t>
      </w:r>
      <w:r>
        <w:rPr>
          <w:rFonts w:hint="eastAsia" w:asciiTheme="minorEastAsia" w:hAnsiTheme="minorEastAsia" w:eastAsiaTheme="minorEastAsia" w:cstheme="minorEastAsia"/>
          <w:b/>
          <w:color w:val="000000"/>
          <w:kern w:val="0"/>
          <w:szCs w:val="21"/>
        </w:rPr>
        <w:t>：</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（工程名称）范围内的工程内容和工程量清单及招标文件明确的工程内容的全过程监理。</w:t>
      </w:r>
    </w:p>
    <w:p>
      <w:pPr>
        <w:widowControl/>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监理工作内容：1、本项目为2023年-2022年滨江区市政道路养护项目全过程监理（主要工作包括对负责监理的市政养护项目进行工程量核算、日常巡查、定期向业主提交监理报告等台账资料以及协助甲方做好市政养护项目管理的其他相关工作）。</w:t>
      </w:r>
    </w:p>
    <w:p>
      <w:pPr>
        <w:pStyle w:val="22"/>
        <w:spacing w:line="360" w:lineRule="auto"/>
        <w:ind w:firstLine="42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highlight w:val="none"/>
        </w:rPr>
        <w:t>按照甲方要求可承担本标项区块内的其他市政工程监理工作，费用另计。</w:t>
      </w:r>
    </w:p>
    <w:p>
      <w:pPr>
        <w:spacing w:line="400" w:lineRule="exact"/>
        <w:ind w:firstLine="422"/>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（一）监理单位责任</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 监理单位应按照监理合同的规定，承担合同所约定的范围内的监理业务。</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 、监理单位运用专业技能，为业主提供相应的合理化建议，认真履行监理职责，协助业主实现项目预定目标。</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 监理单位应向业主报送监理人员名单、监理程序、措施、制度等。</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 、监理单位必须依照合同约定的巡查制度，对监理项目实行业务监督和指导。建立巡查日志记录制度和巡查情况报告制度。</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 监理单位定期向业主提交监理报告，贯彻落实业主对市政养护项目的相关处理决定。</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 、发生突发性的损坏事件时，监理单位应在第一时间内（具体依照合同约定时间）向业主报告，并按业主的指示进行处理。</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 、对于不符合设计要求或有关质量标准的材料或设备、不符合规范的作业，监理单位在报经业主同意后，向市政养护单位发出整改通知，责成相关单位停工整改或返工和复工。</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 、监理单位严格监督市政养护单位人员、机械设备等的落实情况。如发现问题，应及时向业主报告，提出处理意见，经业主审核同意后执行，并跟踪到预期目标实现为止。</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9、监理单位应协助业主督促市政养护单位按照相关规定做好12345市长热线、数字城管、上级督查单等处理及回复工作。</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 、监理单位根据相关标准对市政养护质量进行考评，并将结果如实报告业主，如市政养护单位能按照合同签定的内容，按时按质按量完成市政养护项目，并通过检查打分考核，作为业主向市政养护单位支付费用的依据。</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 监理单位应定期组织与主持有关各方代表参加的监理例会，沟通各方情况交流信息和协调处理、研究解决有关市政养护方面的问题，并由项目监理人员整理好会议纪要。（其主要内容包括：会议时间、地点、主持人和与会人员姓名、单位及职务，议定的事项及负责落实单位、时间要求，以及要求解决落实的问题）。会议纪要经监理单位总监审阅、由与会各方代表签认后发至与会各方，并作签收记录。</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 监理单位在市政养护监管过程中遇到难于妥善处理的问题时，应及时向业主反映，确保问题及时得到解决。</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 监理单位应将每季度的考核结果对养护单位公开公布。</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 、监理单位在建设过程中应过错造成重大经济损失的，应承担一定的经济责任和法律责任。</w:t>
      </w:r>
    </w:p>
    <w:p>
      <w:pPr>
        <w:spacing w:line="400" w:lineRule="exac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（二）、监理人员职责</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 监理人员必须对负责监理的市政养护项目进行巡查。巡查时，如遇突发事件或其他损害市政、园建及公共设施的情况时，必须立刻通知市政养护单位人员限时赶往现场处理，并报告业主及监理单位和有关领导并协助有关单位进行现场处理，直到妥善处理好事件为止。在处理好事故和损失后，要以书面形式向业主作情况汇报和归档。</w:t>
      </w:r>
    </w:p>
    <w:p>
      <w:pPr>
        <w:spacing w:line="4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 监理人员出巡必须携带市政养护项目的巡查登记表，并作出客观、准确的现场记录，拍摄现场照片，按规定处理好文字资料和照片，日检月查，次次清楚。</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 发现一般性问题时监理人员可先口头通知市政养护单位改正，并做好文字记录，较为严重的问题必须及时呈报业主，并根据业主处理决定或授权签发《督查整改通知书》，填写整改内容必须客观准确，整改通知书必须有养护单位盖章认可或其专职管理人员（必须是市政养护单位书面授权盖章认可的）签字确认已签收。应贯彻落实业主处理决定，并跟踪、监督整改措施落实情况。</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4、监理人员每天必须督促市政养护单位按时按质完成12345市长热线、数字城管、上级督查单等处理及回复。</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 、</w:t>
      </w:r>
      <w:r>
        <w:rPr>
          <w:rFonts w:hint="eastAsia" w:asciiTheme="minorEastAsia" w:hAnsiTheme="minorEastAsia" w:eastAsiaTheme="minorEastAsia" w:cstheme="minorEastAsia"/>
          <w:b/>
          <w:bCs/>
          <w:color w:val="000000" w:themeColor="text1"/>
          <w:szCs w:val="21"/>
          <w14:textFill>
            <w14:solidFill>
              <w14:schemeClr w14:val="tx1"/>
            </w14:solidFill>
          </w14:textFill>
        </w:rPr>
        <w:t>呈报表格</w:t>
      </w:r>
      <w:r>
        <w:rPr>
          <w:rFonts w:hint="eastAsia" w:asciiTheme="minorEastAsia" w:hAnsiTheme="minorEastAsia" w:eastAsiaTheme="minorEastAsia" w:cstheme="minorEastAsia"/>
          <w:color w:val="000000" w:themeColor="text1"/>
          <w:szCs w:val="21"/>
          <w14:textFill>
            <w14:solidFill>
              <w14:schemeClr w14:val="tx1"/>
            </w14:solidFill>
          </w14:textFill>
        </w:rPr>
        <w:t>必须及时交送到业主及有关主管领导，反映意见表的呈送时间不得超过合同约定的时间。</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 、项目监理负责人必须做好该项目的现场会、联合检查、月评、验收、专题会的会议记要，两天内提交给业主和各有关单位。</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 、每季度末项目监理负责人必须定期提交上个季度的监理报告给业主。</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 、每季度末项目监理负责人必须定期整理好上个季度自己负责的项目资料，进行存档（内容包括：当季度问题呈报表、呈批表、整改通知、现场照片、会议纪要、季度检查报告、监理报告、专题报告、巡查日志等材料）。</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 、每季度必须定期向市政养护单位收取下个季度的工作计划。</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 及时回复市政养护单位提出的各种合理要求的申请并按时转呈各种文件给业主。</w:t>
      </w:r>
    </w:p>
    <w:p>
      <w:pPr>
        <w:spacing w:line="400" w:lineRule="exac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（三）、监理工作方法</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监理工作方法主要包括日巡、日查、周考核、月考核、季度考核（考评）、现场拍照、记录等。</w:t>
      </w:r>
    </w:p>
    <w:p>
      <w:pPr>
        <w:spacing w:line="400" w:lineRule="exac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（四）、 季度考核及季度考报告</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 、每季度监理单位按照相关规定对监理的市政养护项目进行现场考核。依据有关市政养护质量标准及考核办法，按照现场考核评分标准进行量化打分，并汇总分数，呈报业主审核。</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2、季度考核情况必须由监理单位以书面形式呈报业主，季度考报告包括季度考时间、参加人员、检查地点、方法、发现问题及整改措施、评分结果等。</w:t>
      </w:r>
    </w:p>
    <w:p>
      <w:pPr>
        <w:spacing w:line="400" w:lineRule="exac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（五）、监理工作报告</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 、监理工作报告是监理单位向业主提交的工作报告，由各项目的监理负责人编写，监理单位总监审核后签名呈报。</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 监理工作报告应客观反映监理的市政养护项目当季度工作的详细情况、存在的问题、处理方法、处理结果、业主交办事项落实情况以及下季度计划等，必须做到资料准确、重点突出、语言简练并附有必要的图表和照片。</w:t>
      </w:r>
    </w:p>
    <w:p>
      <w:pPr>
        <w:spacing w:line="400" w:lineRule="exac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（六）、 监理资料整理、上报及归档</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 监理资料基本内容</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 合同文件：包括市政养护项目监理招标文件、委托监理合同、市政养护项目招标文件、合同等。</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 工程变更文件，包括工程联系单，交底记录、纪要等。</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 监理报告、季度考报告、监理例会、专题会议等相关会议纪要。</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1.4市政养护项目进度控制监理文件，包括市政养护项目月度、季度、年度工作计划和有关工作安排，专题报告等资料。</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1.5 市政养护项目质量监理文件，包括市政养护项目报验与认可，不合格项处置记录、质量问题和事故报告及处理等资料。监理整改通知及市政养护单位的整改通知回复单等。</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1.6 合同中其他事项监理文件，其中包括工程延期报告、审批，合同争议和违约的处理，合同变更等项资料。</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1.7项目监理其他资料。包括往来函件、监理日志、日记、监理工作总结等。</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2 监理资料的日常管理及归档 </w:t>
      </w:r>
    </w:p>
    <w:p>
      <w:pPr>
        <w:spacing w:line="400" w:lineRule="exact"/>
        <w:ind w:firstLine="4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监理资料的日常管理要由专人负责，整理及时、真实齐全、分类有序。利用计算机建立图、表等系统文件库，以辅助监理工作控制与管理。收发、借阅必须通过管理人员履行手续。</w:t>
      </w:r>
    </w:p>
    <w:p>
      <w:pPr>
        <w:adjustRightInd/>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第三条</w:t>
      </w:r>
      <w:r>
        <w:rPr>
          <w:rFonts w:hint="eastAsia" w:asciiTheme="minorEastAsia" w:hAnsiTheme="minorEastAsia" w:eastAsiaTheme="minorEastAsia" w:cstheme="minorEastAsia"/>
          <w:szCs w:val="21"/>
        </w:rPr>
        <w:t xml:space="preserve">  外部条件包括：</w:t>
      </w:r>
      <w:r>
        <w:rPr>
          <w:rFonts w:hint="eastAsia" w:asciiTheme="minorEastAsia" w:hAnsiTheme="minorEastAsia" w:eastAsiaTheme="minorEastAsia" w:cstheme="minorEastAsia"/>
          <w:color w:val="000000"/>
          <w:spacing w:val="15"/>
          <w:kern w:val="0"/>
          <w:szCs w:val="21"/>
        </w:rPr>
        <w:t>已具备开工条件。</w:t>
      </w:r>
    </w:p>
    <w:p>
      <w:pPr>
        <w:adjustRightInd/>
        <w:spacing w:line="400" w:lineRule="exact"/>
        <w:ind w:firstLine="480"/>
        <w:rPr>
          <w:rFonts w:asciiTheme="minorEastAsia" w:hAnsiTheme="minorEastAsia" w:eastAsiaTheme="minorEastAsia" w:cstheme="minorEastAsia"/>
          <w:bCs/>
          <w:szCs w:val="21"/>
          <w:shd w:val="clear" w:color="FFFFFF" w:fill="D9D9D9"/>
        </w:rPr>
      </w:pPr>
      <w:r>
        <w:rPr>
          <w:rFonts w:hint="eastAsia" w:asciiTheme="minorEastAsia" w:hAnsiTheme="minorEastAsia" w:eastAsiaTheme="minorEastAsia" w:cstheme="minorEastAsia"/>
          <w:b/>
          <w:bCs/>
          <w:szCs w:val="21"/>
          <w:shd w:val="clear" w:color="FFFFFF" w:fill="D9D9D9"/>
        </w:rPr>
        <w:t xml:space="preserve">第四条 </w:t>
      </w:r>
      <w:r>
        <w:rPr>
          <w:rFonts w:hint="eastAsia" w:asciiTheme="minorEastAsia" w:hAnsiTheme="minorEastAsia" w:eastAsiaTheme="minorEastAsia" w:cstheme="minorEastAsia"/>
          <w:szCs w:val="21"/>
          <w:shd w:val="clear" w:color="FFFFFF" w:fill="D9D9D9"/>
        </w:rPr>
        <w:t xml:space="preserve"> 委托人应提供的工程资料及提供时间：</w:t>
      </w:r>
      <w:r>
        <w:rPr>
          <w:rFonts w:hint="eastAsia" w:asciiTheme="minorEastAsia" w:hAnsiTheme="minorEastAsia" w:eastAsiaTheme="minorEastAsia" w:cstheme="minorEastAsia"/>
          <w:bCs/>
          <w:szCs w:val="21"/>
          <w:shd w:val="clear" w:color="FFFFFF" w:fill="D9D9D9"/>
        </w:rPr>
        <w:t>工程开工前，委托人应向监理人提供项目批准文件、施工合同、中标通知书（施工）、投标书（施工）、询标纪要（施工）等有关文件、施工图纸、招标控制价书及本工程有关的其他文件。</w:t>
      </w:r>
    </w:p>
    <w:p>
      <w:pPr>
        <w:adjustRightInd/>
        <w:spacing w:line="400" w:lineRule="exact"/>
        <w:ind w:firstLine="418"/>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第五条  </w:t>
      </w:r>
      <w:r>
        <w:rPr>
          <w:rFonts w:hint="eastAsia" w:asciiTheme="minorEastAsia" w:hAnsiTheme="minorEastAsia" w:eastAsiaTheme="minorEastAsia" w:cstheme="minorEastAsia"/>
          <w:szCs w:val="21"/>
        </w:rPr>
        <w:t>责任追究与处理处罚：属下列情况之一者，委托人有权按合同价5%从监理服务费中扣除相应金额的违约金，由此造成的损失由监理单位承担；严重者委托人可无条件终止合同，且无须支付任何监理费用，由此造成的损失由监理单位承担。</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1、合同执行期间，监理人员到岗率要求总监不低于80%，专业监理工程师不低于95%，到岗率达不到要求的。</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2、未按要求配置人员及设备，</w:t>
      </w:r>
      <w:r>
        <w:rPr>
          <w:rFonts w:hint="eastAsia" w:asciiTheme="minorEastAsia" w:hAnsiTheme="minorEastAsia" w:eastAsiaTheme="minorEastAsia" w:cstheme="minorEastAsia"/>
          <w:color w:val="000000"/>
          <w:spacing w:val="15"/>
          <w:kern w:val="0"/>
          <w:szCs w:val="21"/>
        </w:rPr>
        <w:t>监理单位选派的总监、总监代表及专业监理工程师未经委托人批准擅自离开工作岗位的</w:t>
      </w:r>
      <w:r>
        <w:rPr>
          <w:rFonts w:hint="eastAsia" w:asciiTheme="minorEastAsia" w:hAnsiTheme="minorEastAsia" w:eastAsiaTheme="minorEastAsia" w:cstheme="minorEastAsia"/>
          <w:szCs w:val="21"/>
        </w:rPr>
        <w:t>。</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color w:val="000000"/>
          <w:spacing w:val="15"/>
          <w:kern w:val="0"/>
          <w:szCs w:val="21"/>
        </w:rPr>
        <w:t>未按规定上报《监理日报》、网络工作平台定位考勤及上传施工、监理工作进展图文的。</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4、对承包人管理不力，造成进度缓慢，工程质量低劣，已经过监理人验收合格批准手续，而工程实际未能达到合格标准的。</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color w:val="000000"/>
          <w:spacing w:val="15"/>
          <w:kern w:val="0"/>
          <w:szCs w:val="21"/>
        </w:rPr>
        <w:t>未按委托人的监理业务范围履行监理职责，该审查的未审查，该检测的未检测，该记录的而未记录，该旁站的而未旁站的。</w:t>
      </w:r>
      <w:r>
        <w:rPr>
          <w:rFonts w:hint="eastAsia" w:asciiTheme="minorEastAsia" w:hAnsiTheme="minorEastAsia" w:eastAsiaTheme="minorEastAsia" w:cstheme="minorEastAsia"/>
          <w:szCs w:val="21"/>
        </w:rPr>
        <w:t xml:space="preserve"> </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6、关键节点、关键工序</w:t>
      </w:r>
      <w:r>
        <w:rPr>
          <w:rFonts w:hint="eastAsia" w:asciiTheme="minorEastAsia" w:hAnsiTheme="minorEastAsia" w:eastAsiaTheme="minorEastAsia" w:cstheme="minorEastAsia"/>
          <w:color w:val="000000"/>
          <w:spacing w:val="15"/>
          <w:kern w:val="0"/>
          <w:szCs w:val="21"/>
        </w:rPr>
        <w:t>未进行跟班检查，</w:t>
      </w:r>
      <w:r>
        <w:rPr>
          <w:rFonts w:hint="eastAsia" w:asciiTheme="minorEastAsia" w:hAnsiTheme="minorEastAsia" w:eastAsiaTheme="minorEastAsia" w:cstheme="minorEastAsia"/>
          <w:szCs w:val="21"/>
        </w:rPr>
        <w:t>在接到施工单位检查预定的时间后未到场，造成质量问题的。</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hint="eastAsia" w:asciiTheme="minorEastAsia" w:hAnsiTheme="minorEastAsia" w:eastAsiaTheme="minorEastAsia" w:cstheme="minorEastAsia"/>
          <w:color w:val="000000"/>
          <w:spacing w:val="15"/>
          <w:kern w:val="0"/>
          <w:szCs w:val="21"/>
        </w:rPr>
        <w:t>工程施工存在的问题未及时签发监理整改通知单，对工程存在问题该管未管的。</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8、监理人员违反职业道德、营私舞弊、收受贿赂，与施工单位串通一气，弄虚作假，损害委托人利益的。</w:t>
      </w:r>
    </w:p>
    <w:p>
      <w:pPr>
        <w:adjustRightInd/>
        <w:spacing w:line="400" w:lineRule="exact"/>
        <w:ind w:firstLine="480"/>
        <w:rPr>
          <w:rFonts w:asciiTheme="minorEastAsia" w:hAnsiTheme="minorEastAsia" w:eastAsiaTheme="minorEastAsia" w:cstheme="minorEastAsia"/>
          <w:color w:val="000000"/>
          <w:spacing w:val="15"/>
          <w:kern w:val="0"/>
          <w:szCs w:val="21"/>
        </w:rPr>
      </w:pPr>
      <w:r>
        <w:rPr>
          <w:rFonts w:hint="eastAsia" w:asciiTheme="minorEastAsia" w:hAnsiTheme="minorEastAsia" w:eastAsiaTheme="minorEastAsia" w:cstheme="minorEastAsia"/>
          <w:color w:val="000000"/>
          <w:spacing w:val="15"/>
          <w:kern w:val="0"/>
          <w:szCs w:val="21"/>
        </w:rPr>
        <w:t>9、监理单位对现场文明施工管理和监督不力，被新闻媒体曝光造成较差社会影响的。</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第七条  </w:t>
      </w:r>
      <w:r>
        <w:rPr>
          <w:rFonts w:hint="eastAsia" w:asciiTheme="minorEastAsia" w:hAnsiTheme="minorEastAsia" w:eastAsiaTheme="minorEastAsia" w:cstheme="minorEastAsia"/>
          <w:szCs w:val="21"/>
        </w:rPr>
        <w:t>监理人的常驻代表：</w:t>
      </w:r>
    </w:p>
    <w:p>
      <w:pPr>
        <w:adjustRightInd/>
        <w:spacing w:line="400" w:lineRule="exact"/>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姓名：</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项目总监      </w:t>
      </w:r>
      <w:r>
        <w:rPr>
          <w:rFonts w:hint="eastAsia" w:asciiTheme="minorEastAsia" w:hAnsiTheme="minorEastAsia" w:eastAsiaTheme="minorEastAsia" w:cstheme="minorEastAsia"/>
          <w:szCs w:val="21"/>
        </w:rPr>
        <w:t xml:space="preserve">      </w:t>
      </w:r>
    </w:p>
    <w:p>
      <w:pPr>
        <w:adjustRightInd/>
        <w:spacing w:line="400" w:lineRule="exact"/>
        <w:ind w:firstLine="480"/>
        <w:rPr>
          <w:rFonts w:asciiTheme="minorEastAsia" w:hAnsiTheme="minorEastAsia" w:eastAsiaTheme="minorEastAsia" w:cstheme="minorEastAsia"/>
          <w:b/>
          <w:color w:val="000000"/>
          <w:spacing w:val="-6"/>
          <w:szCs w:val="21"/>
          <w:u w:val="single"/>
        </w:rPr>
      </w:pPr>
      <w:r>
        <w:rPr>
          <w:rFonts w:hint="eastAsia" w:asciiTheme="minorEastAsia" w:hAnsiTheme="minorEastAsia" w:eastAsiaTheme="minorEastAsia" w:cstheme="minorEastAsia"/>
          <w:b/>
          <w:bCs/>
          <w:szCs w:val="21"/>
        </w:rPr>
        <w:t>第八条</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000000"/>
          <w:spacing w:val="-6"/>
          <w:szCs w:val="21"/>
        </w:rPr>
        <w:t>监理人的办公设施、设备、办公场地、巡查设备等：</w:t>
      </w:r>
      <w:r>
        <w:rPr>
          <w:rFonts w:hint="eastAsia" w:asciiTheme="minorEastAsia" w:hAnsiTheme="minorEastAsia" w:eastAsiaTheme="minorEastAsia" w:cstheme="minorEastAsia"/>
          <w:color w:val="000000"/>
          <w:spacing w:val="-6"/>
          <w:szCs w:val="21"/>
          <w:u w:val="single"/>
        </w:rPr>
        <w:t xml:space="preserve">  /  </w:t>
      </w:r>
      <w:r>
        <w:rPr>
          <w:rFonts w:hint="eastAsia" w:asciiTheme="minorEastAsia" w:hAnsiTheme="minorEastAsia" w:eastAsiaTheme="minorEastAsia" w:cstheme="minorEastAsia"/>
          <w:color w:val="000000"/>
          <w:spacing w:val="-6"/>
          <w:szCs w:val="21"/>
        </w:rPr>
        <w:t>。</w:t>
      </w:r>
    </w:p>
    <w:p>
      <w:pPr>
        <w:adjustRightInd/>
        <w:spacing w:line="400" w:lineRule="exact"/>
        <w:ind w:firstLine="368" w:firstLineChars="175"/>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 xml:space="preserve">第九条  </w:t>
      </w:r>
      <w:r>
        <w:rPr>
          <w:rFonts w:hint="eastAsia" w:asciiTheme="minorEastAsia" w:hAnsiTheme="minorEastAsia" w:eastAsiaTheme="minorEastAsia" w:cstheme="minorEastAsia"/>
          <w:color w:val="000000" w:themeColor="text1"/>
          <w:szCs w:val="21"/>
          <w14:textFill>
            <w14:solidFill>
              <w14:schemeClr w14:val="tx1"/>
            </w14:solidFill>
          </w14:textFill>
        </w:rPr>
        <w:t>委托人同意按以下的计算方法、支付时间与金额，支付监理人的报酬：</w:t>
      </w:r>
    </w:p>
    <w:p>
      <w:pPr>
        <w:adjustRightInd/>
        <w:spacing w:line="400" w:lineRule="exact"/>
        <w:ind w:firstLine="480"/>
        <w:rPr>
          <w:rFonts w:asciiTheme="minorEastAsia" w:hAnsiTheme="minorEastAsia" w:eastAsiaTheme="minorEastAsia" w:cstheme="minorEastAsia"/>
          <w:color w:val="000000"/>
          <w:spacing w:val="15"/>
          <w:kern w:val="0"/>
          <w:szCs w:val="21"/>
        </w:rPr>
      </w:pPr>
      <w:r>
        <w:rPr>
          <w:rFonts w:hint="eastAsia" w:asciiTheme="minorEastAsia" w:hAnsiTheme="minorEastAsia" w:eastAsiaTheme="minorEastAsia" w:cstheme="minorEastAsia"/>
          <w:color w:val="000000"/>
          <w:spacing w:val="15"/>
          <w:kern w:val="0"/>
          <w:szCs w:val="21"/>
        </w:rPr>
        <w:t>1、合同价：合同总价为</w:t>
      </w:r>
      <w:r>
        <w:rPr>
          <w:rFonts w:hint="eastAsia" w:asciiTheme="minorEastAsia" w:hAnsiTheme="minorEastAsia" w:eastAsiaTheme="minorEastAsia" w:cstheme="minorEastAsia"/>
          <w:color w:val="000000"/>
          <w:spacing w:val="15"/>
          <w:kern w:val="0"/>
          <w:szCs w:val="21"/>
          <w:u w:val="single"/>
        </w:rPr>
        <w:t xml:space="preserve">      </w:t>
      </w:r>
      <w:r>
        <w:rPr>
          <w:rFonts w:hint="eastAsia" w:asciiTheme="minorEastAsia" w:hAnsiTheme="minorEastAsia" w:eastAsiaTheme="minorEastAsia" w:cstheme="minorEastAsia"/>
          <w:color w:val="000000"/>
          <w:spacing w:val="15"/>
          <w:kern w:val="0"/>
          <w:szCs w:val="21"/>
        </w:rPr>
        <w:t>万元（大写：</w:t>
      </w:r>
      <w:r>
        <w:rPr>
          <w:rFonts w:hint="eastAsia" w:asciiTheme="minorEastAsia" w:hAnsiTheme="minorEastAsia" w:eastAsiaTheme="minorEastAsia" w:cstheme="minorEastAsia"/>
          <w:color w:val="000000"/>
          <w:spacing w:val="15"/>
          <w:kern w:val="0"/>
          <w:szCs w:val="21"/>
          <w:u w:val="single"/>
        </w:rPr>
        <w:t xml:space="preserve">                </w:t>
      </w:r>
      <w:r>
        <w:rPr>
          <w:rFonts w:hint="eastAsia" w:asciiTheme="minorEastAsia" w:hAnsiTheme="minorEastAsia" w:eastAsiaTheme="minorEastAsia" w:cstheme="minorEastAsia"/>
          <w:color w:val="000000"/>
          <w:spacing w:val="15"/>
          <w:kern w:val="0"/>
          <w:szCs w:val="21"/>
        </w:rPr>
        <w:t>）</w:t>
      </w:r>
    </w:p>
    <w:p>
      <w:pPr>
        <w:adjustRightInd/>
        <w:spacing w:line="400" w:lineRule="exact"/>
        <w:ind w:firstLine="480"/>
        <w:rPr>
          <w:rFonts w:hint="eastAsia" w:asciiTheme="minorEastAsia" w:hAnsiTheme="minorEastAsia" w:eastAsiaTheme="minorEastAsia" w:cstheme="minorEastAsia"/>
          <w:color w:val="000000"/>
          <w:spacing w:val="15"/>
          <w:kern w:val="0"/>
          <w:szCs w:val="21"/>
        </w:rPr>
      </w:pPr>
      <w:r>
        <w:rPr>
          <w:rFonts w:hint="eastAsia" w:asciiTheme="minorEastAsia" w:hAnsiTheme="minorEastAsia" w:eastAsiaTheme="minorEastAsia" w:cstheme="minorEastAsia"/>
          <w:color w:val="000000"/>
          <w:spacing w:val="15"/>
          <w:kern w:val="0"/>
          <w:szCs w:val="21"/>
        </w:rPr>
        <w:t>2、合同签订后15个工作日内支付预算金额的40%作为预付款，剩余合同金额根据月度考评结果按季度支付。乙方清楚本合同为政府项目，如因审批流程致使付款延迟的，不视为甲方违约。</w:t>
      </w:r>
    </w:p>
    <w:p>
      <w:pPr>
        <w:adjustRightInd/>
        <w:spacing w:line="400" w:lineRule="exact"/>
        <w:ind w:firstLine="48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 xml:space="preserve">第十条  </w:t>
      </w:r>
      <w:r>
        <w:rPr>
          <w:rFonts w:hint="eastAsia" w:asciiTheme="minorEastAsia" w:hAnsiTheme="minorEastAsia" w:eastAsiaTheme="minorEastAsia" w:cstheme="minorEastAsia"/>
          <w:color w:val="000000" w:themeColor="text1"/>
          <w:szCs w:val="21"/>
          <w14:textFill>
            <w14:solidFill>
              <w14:schemeClr w14:val="tx1"/>
            </w14:solidFill>
          </w14:textFill>
        </w:rPr>
        <w:t>双方同意用</w:t>
      </w:r>
      <w:r>
        <w:rPr>
          <w:rFonts w:hint="eastAsia" w:asciiTheme="minorEastAsia" w:hAnsiTheme="minorEastAsia" w:eastAsiaTheme="minorEastAsia" w:cstheme="minorEastAsia"/>
          <w:bCs/>
          <w:color w:val="000000" w:themeColor="text1"/>
          <w:szCs w:val="21"/>
          <w14:textFill>
            <w14:solidFill>
              <w14:schemeClr w14:val="tx1"/>
            </w14:solidFill>
          </w14:textFill>
        </w:rPr>
        <w:t>人民币</w:t>
      </w:r>
      <w:r>
        <w:rPr>
          <w:rFonts w:hint="eastAsia" w:asciiTheme="minorEastAsia" w:hAnsiTheme="minorEastAsia" w:eastAsiaTheme="minorEastAsia" w:cstheme="minorEastAsia"/>
          <w:color w:val="000000" w:themeColor="text1"/>
          <w:szCs w:val="21"/>
          <w14:textFill>
            <w14:solidFill>
              <w14:schemeClr w14:val="tx1"/>
            </w14:solidFill>
          </w14:textFill>
        </w:rPr>
        <w:t>支付报酬，按</w:t>
      </w:r>
      <w:r>
        <w:rPr>
          <w:rFonts w:hint="eastAsia" w:asciiTheme="minorEastAsia" w:hAnsiTheme="minorEastAsia" w:eastAsiaTheme="minorEastAsia" w:cstheme="minorEastAsia"/>
          <w:color w:val="000000" w:themeColor="text1"/>
          <w:szCs w:val="21"/>
          <w:u w:val="single"/>
          <w14:textFill>
            <w14:solidFill>
              <w14:schemeClr w14:val="tx1"/>
            </w14:solidFill>
          </w14:textFill>
        </w:rPr>
        <w:t>0</w:t>
      </w:r>
      <w:r>
        <w:rPr>
          <w:rFonts w:hint="eastAsia" w:asciiTheme="minorEastAsia" w:hAnsiTheme="minorEastAsia" w:eastAsiaTheme="minorEastAsia" w:cstheme="minorEastAsia"/>
          <w:color w:val="000000" w:themeColor="text1"/>
          <w:szCs w:val="21"/>
          <w14:textFill>
            <w14:solidFill>
              <w14:schemeClr w14:val="tx1"/>
            </w14:solidFill>
          </w14:textFill>
        </w:rPr>
        <w:t>汇率计付。</w:t>
      </w:r>
    </w:p>
    <w:p>
      <w:pPr>
        <w:adjustRightInd/>
        <w:spacing w:line="400" w:lineRule="exact"/>
        <w:ind w:firstLine="480"/>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第十一条  其他相关要求：</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监理单位选派的总监、总监代表及专业监理工程师须经委托人认可。总监代表必须常驻施工现场；专业监理工程师依所承担的施工任务进驻现场。以上监理人员未经委托人同意，不得随意更换，未经委托人批准不得擅自离开工作岗位。监理单位随意更换监理人员的，一经发现，委托方有权中止合同，且拒付任何费用，监理单位需退还委托人已支付的全部费用。</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2、监理单位在监理过程中应对施工单位工程量进行严格把关，不得弄虚作假，相关签证必须签署明确意见，不得签署类似“情况属实”等模糊不清的意见。否则，由此产生的所有损失均由监理单位赔偿。</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工程施工过程中，监理单位需严格把关施工单位按图施工及按标准工艺施工。若在工程检查（含各类验收）中如发现施工与设计图纸不符，或者不符合标准工艺，且未经设计变更的，需追究监理单位责任，并承担相应的法律责任，并赔偿由此产生的所有损失；如出现重大的质量安全事故，根据国家相关法律、法规进行处理。</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4、本监理合同禁止转包和分包，一经发现，委托方有权中止合同，且拒付任何费用，监理单位需退还委托人已支付的全部费用；对情节特别严重的移交有关部门处理。</w:t>
      </w:r>
    </w:p>
    <w:p>
      <w:pPr>
        <w:adjustRightInd/>
        <w:spacing w:line="400" w:lineRule="exact"/>
        <w:ind w:firstLine="48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监理单位应充分考虑节假日、双休日和施工工艺具有连续性的工作，对现场监理人员应安排轮班，这种轮班和加班不得以加班费或任何其它名义向承包人或委托人索取附加的报酬，如因施工单位赶工引起的加班时，监理单位应积极配合。</w:t>
      </w:r>
    </w:p>
    <w:p>
      <w:pPr>
        <w:adjustRightInd/>
        <w:spacing w:line="400" w:lineRule="exact"/>
        <w:ind w:firstLine="48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6、监理单位在竣工验收合格后将本项目监理规划、监理细则、监理报表、签认的凭证、监理通知单等资料汇总、整理、装订成册作为监理竣工资料，交付给委托人。</w:t>
      </w:r>
    </w:p>
    <w:p>
      <w:pPr>
        <w:adjustRightInd/>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第十二条  </w:t>
      </w:r>
      <w:r>
        <w:rPr>
          <w:rFonts w:hint="eastAsia" w:asciiTheme="minorEastAsia" w:hAnsiTheme="minorEastAsia" w:eastAsiaTheme="minorEastAsia" w:cstheme="minorEastAsia"/>
          <w:bCs/>
          <w:szCs w:val="21"/>
        </w:rPr>
        <w:t>本合同在履行过程中</w:t>
      </w:r>
      <w:r>
        <w:rPr>
          <w:rFonts w:hint="eastAsia" w:asciiTheme="minorEastAsia" w:hAnsiTheme="minorEastAsia" w:eastAsiaTheme="minorEastAsia" w:cstheme="minorEastAsia"/>
          <w:szCs w:val="21"/>
        </w:rPr>
        <w:t>发生争议时，当事人双方应及时协商解决。协商不成时，双方同意由杭州市滨江区人民法院管辖。</w:t>
      </w:r>
    </w:p>
    <w:p>
      <w:pPr>
        <w:adjustRightInd/>
        <w:spacing w:line="400" w:lineRule="exact"/>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8"/>
        <w:rPr>
          <w:rFonts w:asciiTheme="minorEastAsia" w:hAnsiTheme="minorEastAsia" w:eastAsiaTheme="minorEastAsia" w:cstheme="minorEastAsia"/>
          <w:sz w:val="21"/>
          <w:szCs w:val="21"/>
        </w:rPr>
      </w:pPr>
    </w:p>
    <w:p/>
    <w:p>
      <w:pPr>
        <w:tabs>
          <w:tab w:val="left" w:pos="0"/>
          <w:tab w:val="left" w:pos="900"/>
        </w:tabs>
        <w:spacing w:line="3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附件：</w:t>
      </w:r>
    </w:p>
    <w:p>
      <w:pPr>
        <w:tabs>
          <w:tab w:val="left" w:pos="0"/>
          <w:tab w:val="left" w:pos="900"/>
        </w:tabs>
        <w:spacing w:line="360" w:lineRule="exact"/>
        <w:ind w:firstLine="223" w:firstLineChars="106"/>
        <w:jc w:val="center"/>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廉 政 协 议</w:t>
      </w:r>
    </w:p>
    <w:p>
      <w:pPr>
        <w:tabs>
          <w:tab w:val="left" w:pos="0"/>
          <w:tab w:val="left" w:pos="900"/>
        </w:tabs>
        <w:spacing w:line="360" w:lineRule="exact"/>
        <w:ind w:firstLine="327" w:firstLineChars="15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 方：</w:t>
      </w:r>
      <w:r>
        <w:rPr>
          <w:rFonts w:hint="eastAsia" w:asciiTheme="minorEastAsia" w:hAnsiTheme="minorEastAsia" w:eastAsiaTheme="minorEastAsia" w:cstheme="minorEastAsia"/>
          <w:color w:val="000000"/>
          <w:szCs w:val="21"/>
          <w:u w:val="single"/>
        </w:rPr>
        <w:t>杭州市滨江区综合行政执法局</w:t>
      </w:r>
      <w:r>
        <w:rPr>
          <w:rFonts w:hint="eastAsia" w:asciiTheme="minorEastAsia" w:hAnsiTheme="minorEastAsia" w:eastAsiaTheme="minorEastAsia" w:cstheme="minorEastAsia"/>
          <w:color w:val="000000"/>
          <w:szCs w:val="21"/>
        </w:rPr>
        <w:t xml:space="preserve"> </w:t>
      </w:r>
    </w:p>
    <w:p>
      <w:pPr>
        <w:tabs>
          <w:tab w:val="left" w:pos="0"/>
          <w:tab w:val="left" w:pos="900"/>
        </w:tabs>
        <w:spacing w:line="360" w:lineRule="exact"/>
        <w:ind w:firstLine="327" w:firstLineChars="156"/>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乙 方：</w:t>
      </w:r>
      <w:r>
        <w:rPr>
          <w:rFonts w:hint="eastAsia" w:asciiTheme="minorEastAsia" w:hAnsiTheme="minorEastAsia" w:eastAsiaTheme="minorEastAsia" w:cstheme="minorEastAsia"/>
          <w:color w:val="000000"/>
          <w:szCs w:val="21"/>
          <w:u w:val="single"/>
        </w:rPr>
        <w:t xml:space="preserve">                                </w:t>
      </w:r>
    </w:p>
    <w:p>
      <w:pPr>
        <w:tabs>
          <w:tab w:val="left" w:pos="0"/>
          <w:tab w:val="left" w:pos="900"/>
        </w:tabs>
        <w:spacing w:line="360" w:lineRule="exact"/>
        <w:ind w:firstLine="327" w:firstLineChars="156"/>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工程名称：</w:t>
      </w:r>
      <w:r>
        <w:rPr>
          <w:rFonts w:hint="eastAsia" w:asciiTheme="minorEastAsia" w:hAnsiTheme="minorEastAsia" w:eastAsiaTheme="minorEastAsia" w:cstheme="minorEastAsia"/>
          <w:color w:val="000000"/>
          <w:szCs w:val="21"/>
          <w:u w:val="single"/>
        </w:rPr>
        <w:t xml:space="preserve">                             </w:t>
      </w:r>
    </w:p>
    <w:p>
      <w:pPr>
        <w:tabs>
          <w:tab w:val="left" w:pos="0"/>
          <w:tab w:val="left" w:pos="900"/>
        </w:tabs>
        <w:spacing w:line="360" w:lineRule="exact"/>
        <w:ind w:firstLine="327" w:firstLineChars="15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为了进一步加强城管局项目领域的党风廉政建设，预防和遏制工程管理领域的腐败现象，惩处工程管理项目的违规行为，促进我局工程建设事业的健康发展，根据有关规定，结合我局实际，特制订廉政协议，施工管理的甲乙双方必须履行以下条款。</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一、甲乙双方必须遵守国家、省、市规定的各项法令、法规和本部门、本单位的规章制度。</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二、甲方领导干部和管理人员要严格遵守四个“不准”；</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1、不准以任何理由收受乙方单位或个人赠送的礼金、礼品和有价证、券、卡等。</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2、不准将个人负担的费用到乙方进行报销，向乙方私人借款，以及借口刁难，索要好处费。</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3、不准以任何名义、任何形式参与乙方组织的各种高消费娱乐活动，以及与乙方人员进行各种形式的赌博活动。</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4、不准接受可能影响公正经营次序的各种宴请。</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三、乙方单位或人员要严格遵守四个“不准”；</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1、不准以任何名义、任何形式向甲方领导干部或管理人员赠送礼金、礼品和有价证、券、卡等。</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2、不准为甲方单位、领导干部和管理人员购买、租借手机、助动车、空调、电脑、传真机等贵重物品。</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3、不准借款给甲方的领导干部和管理人员及给予报销个人费用。</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4、不准借故组织甲方人员参与各种高消费娱乐活动及各种形式的赌博活动。</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四、甲方人员若违反工程建设廉政协议，一经查实，视情况轻重逐情进行处理，后果严重的将追究刑事责任。</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五、乙方人员若违反工程建设廉政协议，一经查实，视情况轻重逐级进行处理至清退出场或追究刑事责任。</w:t>
      </w:r>
    </w:p>
    <w:p>
      <w:pPr>
        <w:tabs>
          <w:tab w:val="left" w:pos="0"/>
          <w:tab w:val="left" w:pos="900"/>
        </w:tabs>
        <w:spacing w:line="360" w:lineRule="exact"/>
        <w:rPr>
          <w:rFonts w:asciiTheme="minorEastAsia" w:hAnsiTheme="minorEastAsia" w:eastAsiaTheme="minorEastAsia" w:cstheme="minorEastAsia"/>
          <w:color w:val="000000"/>
          <w:szCs w:val="21"/>
        </w:rPr>
      </w:pP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甲方单位（盖章）                   承包人单位（盖章）</w:t>
      </w:r>
    </w:p>
    <w:p>
      <w:pPr>
        <w:tabs>
          <w:tab w:val="left" w:pos="0"/>
          <w:tab w:val="left" w:pos="900"/>
        </w:tabs>
        <w:spacing w:line="360" w:lineRule="exact"/>
        <w:ind w:firstLine="222" w:firstLineChars="10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法定代表人或委托代理人：          法定代表人或委托代理人：</w:t>
      </w:r>
    </w:p>
    <w:p>
      <w:pPr>
        <w:tabs>
          <w:tab w:val="left" w:pos="0"/>
          <w:tab w:val="left" w:pos="900"/>
        </w:tabs>
        <w:spacing w:line="360" w:lineRule="exact"/>
        <w:rPr>
          <w:rFonts w:asciiTheme="minorEastAsia" w:hAnsiTheme="minorEastAsia" w:eastAsiaTheme="minorEastAsia" w:cstheme="minorEastAsia"/>
          <w:color w:val="000000"/>
          <w:szCs w:val="21"/>
        </w:rPr>
      </w:pPr>
    </w:p>
    <w:p>
      <w:pPr>
        <w:tabs>
          <w:tab w:val="left" w:pos="0"/>
          <w:tab w:val="left" w:pos="900"/>
        </w:tabs>
        <w:spacing w:line="360" w:lineRule="exact"/>
        <w:rPr>
          <w:rFonts w:asciiTheme="minorEastAsia" w:hAnsiTheme="minorEastAsia" w:eastAsiaTheme="minorEastAsia" w:cstheme="minorEastAsia"/>
          <w:color w:val="000000"/>
          <w:szCs w:val="21"/>
        </w:rPr>
      </w:pPr>
    </w:p>
    <w:p>
      <w:pP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r>
        <w:rPr>
          <w:rFonts w:hint="eastAsia" w:asciiTheme="minorEastAsia" w:hAnsiTheme="minorEastAsia" w:eastAsiaTheme="minorEastAsia" w:cstheme="minorEastAsia"/>
          <w:color w:val="000000"/>
          <w:szCs w:val="21"/>
        </w:rPr>
        <w:br w:type="page"/>
      </w:r>
    </w:p>
    <w:p>
      <w:pPr>
        <w:spacing w:before="240" w:beforeLines="100" w:after="240" w:afterLines="100" w:line="400" w:lineRule="exact"/>
        <w:ind w:firstLine="90" w:firstLineChars="50"/>
        <w:jc w:val="center"/>
        <w:rPr>
          <w:rFonts w:ascii="宋体" w:hAnsi="宋体" w:cs="宋体"/>
          <w:b/>
          <w:sz w:val="18"/>
          <w:szCs w:val="18"/>
        </w:rPr>
      </w:pPr>
      <w:r>
        <w:rPr>
          <w:rFonts w:hint="eastAsia" w:ascii="宋体" w:hAnsi="宋体" w:cs="宋体"/>
          <w:b/>
          <w:sz w:val="18"/>
          <w:szCs w:val="18"/>
        </w:rPr>
        <w:t>监理单位工作月度考核表</w:t>
      </w:r>
    </w:p>
    <w:p>
      <w:pPr>
        <w:spacing w:line="360" w:lineRule="auto"/>
        <w:ind w:firstLine="90" w:firstLineChars="50"/>
        <w:rPr>
          <w:rFonts w:ascii="宋体" w:hAnsi="宋体" w:cs="宋体"/>
          <w:b/>
          <w:sz w:val="18"/>
          <w:szCs w:val="18"/>
        </w:rPr>
      </w:pPr>
      <w:r>
        <w:rPr>
          <w:rFonts w:hint="eastAsia" w:ascii="宋体" w:hAnsi="宋体" w:cs="宋体"/>
          <w:b/>
          <w:sz w:val="18"/>
          <w:szCs w:val="18"/>
        </w:rPr>
        <w:t>被考核单位：</w:t>
      </w:r>
      <w:r>
        <w:rPr>
          <w:rFonts w:hint="eastAsia" w:ascii="宋体" w:hAnsi="宋体" w:cs="宋体"/>
          <w:b/>
          <w:sz w:val="18"/>
          <w:szCs w:val="18"/>
          <w:u w:val="single"/>
        </w:rPr>
        <w:t>　　　　　　　　　　　　　</w:t>
      </w:r>
      <w:r>
        <w:rPr>
          <w:rFonts w:hint="eastAsia" w:ascii="宋体" w:hAnsi="宋体" w:cs="宋体"/>
          <w:b/>
          <w:sz w:val="18"/>
          <w:szCs w:val="18"/>
        </w:rPr>
        <w:t>　考核时间：</w:t>
      </w:r>
      <w:r>
        <w:rPr>
          <w:rFonts w:hint="eastAsia" w:ascii="宋体" w:hAnsi="宋体" w:cs="宋体"/>
          <w:b/>
          <w:sz w:val="18"/>
          <w:szCs w:val="18"/>
          <w:u w:val="single"/>
        </w:rPr>
        <w:t>　　</w:t>
      </w:r>
      <w:r>
        <w:rPr>
          <w:rFonts w:hint="eastAsia" w:ascii="宋体" w:hAnsi="宋体" w:cs="宋体"/>
          <w:b/>
          <w:sz w:val="18"/>
          <w:szCs w:val="18"/>
        </w:rPr>
        <w:t>年</w:t>
      </w:r>
      <w:r>
        <w:rPr>
          <w:rFonts w:hint="eastAsia" w:ascii="宋体" w:hAnsi="宋体" w:cs="宋体"/>
          <w:b/>
          <w:sz w:val="18"/>
          <w:szCs w:val="18"/>
          <w:u w:val="single"/>
        </w:rPr>
        <w:t>　　</w:t>
      </w:r>
      <w:r>
        <w:rPr>
          <w:rFonts w:hint="eastAsia" w:ascii="宋体" w:hAnsi="宋体" w:cs="宋体"/>
          <w:b/>
          <w:sz w:val="18"/>
          <w:szCs w:val="18"/>
        </w:rPr>
        <w:t>月</w:t>
      </w:r>
      <w:r>
        <w:rPr>
          <w:rFonts w:hint="eastAsia" w:ascii="宋体" w:hAnsi="宋体" w:cs="宋体"/>
          <w:b/>
          <w:sz w:val="18"/>
          <w:szCs w:val="18"/>
          <w:u w:val="single"/>
        </w:rPr>
        <w:t>　　</w:t>
      </w:r>
      <w:r>
        <w:rPr>
          <w:rFonts w:hint="eastAsia" w:ascii="宋体" w:hAnsi="宋体" w:cs="宋体"/>
          <w:b/>
          <w:sz w:val="18"/>
          <w:szCs w:val="18"/>
        </w:rPr>
        <w:t>日</w:t>
      </w:r>
    </w:p>
    <w:tbl>
      <w:tblPr>
        <w:tblStyle w:val="63"/>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5291"/>
        <w:gridCol w:w="990"/>
        <w:gridCol w:w="108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58" w:type="dxa"/>
          </w:tcPr>
          <w:p>
            <w:pPr>
              <w:spacing w:line="360" w:lineRule="auto"/>
              <w:jc w:val="center"/>
              <w:rPr>
                <w:rFonts w:ascii="宋体" w:hAnsi="宋体" w:cs="宋体"/>
                <w:b/>
                <w:spacing w:val="-12"/>
                <w:sz w:val="18"/>
                <w:szCs w:val="18"/>
              </w:rPr>
            </w:pPr>
            <w:r>
              <w:rPr>
                <w:rFonts w:hint="eastAsia" w:ascii="宋体" w:hAnsi="宋体" w:cs="宋体"/>
                <w:b/>
                <w:spacing w:val="-12"/>
                <w:sz w:val="18"/>
                <w:szCs w:val="18"/>
              </w:rPr>
              <w:t>考核项目</w:t>
            </w:r>
          </w:p>
        </w:tc>
        <w:tc>
          <w:tcPr>
            <w:tcW w:w="5291" w:type="dxa"/>
            <w:vAlign w:val="center"/>
          </w:tcPr>
          <w:p>
            <w:pPr>
              <w:spacing w:line="360" w:lineRule="auto"/>
              <w:jc w:val="center"/>
              <w:rPr>
                <w:rFonts w:ascii="宋体" w:hAnsi="宋体" w:cs="宋体"/>
                <w:b/>
                <w:sz w:val="18"/>
                <w:szCs w:val="18"/>
              </w:rPr>
            </w:pPr>
            <w:r>
              <w:rPr>
                <w:rFonts w:hint="eastAsia" w:ascii="宋体" w:hAnsi="宋体" w:cs="宋体"/>
                <w:b/>
                <w:sz w:val="18"/>
                <w:szCs w:val="18"/>
              </w:rPr>
              <w:t>考核检查的内容</w:t>
            </w:r>
          </w:p>
        </w:tc>
        <w:tc>
          <w:tcPr>
            <w:tcW w:w="990" w:type="dxa"/>
            <w:vAlign w:val="center"/>
          </w:tcPr>
          <w:p>
            <w:pPr>
              <w:spacing w:line="360" w:lineRule="auto"/>
              <w:jc w:val="center"/>
              <w:rPr>
                <w:rFonts w:ascii="宋体" w:hAnsi="宋体" w:cs="宋体"/>
                <w:b/>
                <w:sz w:val="18"/>
                <w:szCs w:val="18"/>
              </w:rPr>
            </w:pPr>
            <w:r>
              <w:rPr>
                <w:rFonts w:hint="eastAsia" w:ascii="宋体" w:hAnsi="宋体" w:cs="宋体"/>
                <w:b/>
                <w:sz w:val="18"/>
                <w:szCs w:val="18"/>
              </w:rPr>
              <w:t>分值</w:t>
            </w:r>
          </w:p>
        </w:tc>
        <w:tc>
          <w:tcPr>
            <w:tcW w:w="1080" w:type="dxa"/>
            <w:vAlign w:val="center"/>
          </w:tcPr>
          <w:p>
            <w:pPr>
              <w:spacing w:line="360" w:lineRule="auto"/>
              <w:jc w:val="center"/>
              <w:rPr>
                <w:rFonts w:ascii="宋体" w:hAnsi="宋体" w:cs="宋体"/>
                <w:b/>
                <w:sz w:val="18"/>
                <w:szCs w:val="18"/>
              </w:rPr>
            </w:pPr>
            <w:r>
              <w:rPr>
                <w:rFonts w:hint="eastAsia" w:ascii="宋体" w:hAnsi="宋体" w:cs="宋体"/>
                <w:b/>
                <w:sz w:val="18"/>
                <w:szCs w:val="18"/>
              </w:rPr>
              <w:t>考核分</w:t>
            </w:r>
          </w:p>
        </w:tc>
        <w:tc>
          <w:tcPr>
            <w:tcW w:w="921" w:type="dxa"/>
            <w:vAlign w:val="center"/>
          </w:tcPr>
          <w:p>
            <w:pPr>
              <w:widowControl/>
              <w:jc w:val="left"/>
              <w:rPr>
                <w:rFonts w:ascii="宋体" w:hAnsi="宋体" w:cs="宋体"/>
                <w:sz w:val="18"/>
                <w:szCs w:val="18"/>
              </w:rPr>
            </w:pPr>
            <w:r>
              <w:rPr>
                <w:rFonts w:hint="eastAsia" w:ascii="宋体" w:hAnsi="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58" w:type="dxa"/>
            <w:vAlign w:val="center"/>
          </w:tcPr>
          <w:p>
            <w:pPr>
              <w:spacing w:line="340" w:lineRule="exact"/>
              <w:jc w:val="center"/>
              <w:rPr>
                <w:rFonts w:ascii="宋体" w:hAnsi="宋体" w:cs="宋体"/>
                <w:b/>
                <w:sz w:val="18"/>
                <w:szCs w:val="18"/>
              </w:rPr>
            </w:pPr>
            <w:r>
              <w:rPr>
                <w:rFonts w:hint="eastAsia" w:ascii="宋体" w:hAnsi="宋体" w:cs="宋体"/>
                <w:b/>
                <w:sz w:val="18"/>
                <w:szCs w:val="18"/>
              </w:rPr>
              <w:t>前期准备</w:t>
            </w:r>
          </w:p>
          <w:p>
            <w:pPr>
              <w:spacing w:line="340" w:lineRule="exact"/>
              <w:jc w:val="center"/>
              <w:rPr>
                <w:rFonts w:ascii="宋体" w:hAnsi="宋体" w:cs="宋体"/>
                <w:sz w:val="18"/>
                <w:szCs w:val="18"/>
              </w:rPr>
            </w:pPr>
            <w:r>
              <w:rPr>
                <w:rFonts w:hint="eastAsia" w:ascii="宋体" w:hAnsi="宋体" w:cs="宋体"/>
                <w:b/>
                <w:sz w:val="18"/>
                <w:szCs w:val="18"/>
              </w:rPr>
              <w:t>(6分</w:t>
            </w:r>
            <w:r>
              <w:rPr>
                <w:rFonts w:hint="eastAsia" w:ascii="宋体" w:hAnsi="宋体" w:cs="宋体"/>
                <w:sz w:val="18"/>
                <w:szCs w:val="18"/>
              </w:rPr>
              <w:t>)</w:t>
            </w: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有具体的现场监理规划、监理实施安排、监理人员的安排并定期对所监理项目进行检查评价</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6</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8" w:type="dxa"/>
            <w:vMerge w:val="restart"/>
            <w:vAlign w:val="center"/>
          </w:tcPr>
          <w:p>
            <w:pPr>
              <w:spacing w:line="340" w:lineRule="exact"/>
              <w:jc w:val="center"/>
              <w:rPr>
                <w:rFonts w:ascii="宋体" w:hAnsi="宋体" w:cs="宋体"/>
                <w:b/>
                <w:sz w:val="18"/>
                <w:szCs w:val="18"/>
              </w:rPr>
            </w:pPr>
            <w:r>
              <w:rPr>
                <w:rFonts w:hint="eastAsia" w:ascii="宋体" w:hAnsi="宋体" w:cs="宋体"/>
                <w:b/>
                <w:sz w:val="18"/>
                <w:szCs w:val="18"/>
              </w:rPr>
              <w:t>工</w:t>
            </w:r>
          </w:p>
          <w:p>
            <w:pPr>
              <w:spacing w:line="340" w:lineRule="exact"/>
              <w:jc w:val="center"/>
              <w:rPr>
                <w:rFonts w:ascii="宋体" w:hAnsi="宋体" w:cs="宋体"/>
                <w:b/>
                <w:sz w:val="18"/>
                <w:szCs w:val="18"/>
              </w:rPr>
            </w:pPr>
            <w:r>
              <w:rPr>
                <w:rFonts w:hint="eastAsia" w:ascii="宋体" w:hAnsi="宋体" w:cs="宋体"/>
                <w:b/>
                <w:sz w:val="18"/>
                <w:szCs w:val="18"/>
              </w:rPr>
              <w:t>程</w:t>
            </w:r>
          </w:p>
          <w:p>
            <w:pPr>
              <w:spacing w:line="340" w:lineRule="exact"/>
              <w:jc w:val="center"/>
              <w:rPr>
                <w:rFonts w:ascii="宋体" w:hAnsi="宋体" w:cs="宋体"/>
                <w:sz w:val="18"/>
                <w:szCs w:val="18"/>
              </w:rPr>
            </w:pPr>
            <w:r>
              <w:rPr>
                <w:rFonts w:hint="eastAsia" w:ascii="宋体" w:hAnsi="宋体" w:cs="宋体"/>
                <w:b/>
                <w:sz w:val="18"/>
                <w:szCs w:val="18"/>
              </w:rPr>
              <w:t>质</w:t>
            </w:r>
          </w:p>
          <w:p>
            <w:pPr>
              <w:spacing w:line="340" w:lineRule="exact"/>
              <w:jc w:val="center"/>
              <w:rPr>
                <w:rFonts w:ascii="宋体" w:hAnsi="宋体" w:cs="宋体"/>
                <w:b/>
                <w:sz w:val="18"/>
                <w:szCs w:val="18"/>
              </w:rPr>
            </w:pPr>
            <w:r>
              <w:rPr>
                <w:rFonts w:hint="eastAsia" w:ascii="宋体" w:hAnsi="宋体" w:cs="宋体"/>
                <w:b/>
                <w:sz w:val="18"/>
                <w:szCs w:val="18"/>
              </w:rPr>
              <w:t>量</w:t>
            </w:r>
          </w:p>
          <w:p>
            <w:pPr>
              <w:spacing w:line="340" w:lineRule="exact"/>
              <w:jc w:val="center"/>
              <w:rPr>
                <w:rFonts w:ascii="宋体" w:hAnsi="宋体" w:cs="宋体"/>
                <w:b/>
                <w:sz w:val="18"/>
                <w:szCs w:val="18"/>
              </w:rPr>
            </w:pPr>
          </w:p>
          <w:p>
            <w:pPr>
              <w:spacing w:line="340" w:lineRule="exact"/>
              <w:jc w:val="center"/>
              <w:rPr>
                <w:rFonts w:ascii="宋体" w:hAnsi="宋体" w:cs="宋体"/>
                <w:sz w:val="18"/>
                <w:szCs w:val="18"/>
              </w:rPr>
            </w:pPr>
            <w:r>
              <w:rPr>
                <w:rFonts w:hint="eastAsia" w:ascii="宋体" w:hAnsi="宋体" w:cs="宋体"/>
                <w:b/>
                <w:sz w:val="18"/>
                <w:szCs w:val="18"/>
              </w:rPr>
              <w:t>（44）</w:t>
            </w: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未按要求落实巡查工作，每次扣3分。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12</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8" w:type="dxa"/>
            <w:vMerge w:val="continue"/>
            <w:vAlign w:val="center"/>
          </w:tcPr>
          <w:p>
            <w:pPr>
              <w:spacing w:line="340" w:lineRule="exact"/>
              <w:jc w:val="center"/>
              <w:rPr>
                <w:rFonts w:ascii="宋体" w:hAnsi="宋体" w:cs="宋体"/>
                <w:b/>
                <w:sz w:val="18"/>
                <w:szCs w:val="18"/>
              </w:rPr>
            </w:pP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未按要求落实监理工作，每次扣2分。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12</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8" w:type="dxa"/>
            <w:vMerge w:val="continue"/>
            <w:vAlign w:val="center"/>
          </w:tcPr>
          <w:p>
            <w:pPr>
              <w:spacing w:line="340" w:lineRule="exact"/>
              <w:jc w:val="center"/>
              <w:rPr>
                <w:rFonts w:ascii="宋体" w:hAnsi="宋体" w:cs="宋体"/>
                <w:sz w:val="18"/>
                <w:szCs w:val="18"/>
              </w:rPr>
            </w:pP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工序验收的控制，上道工序未验收即进行入下道工序施工发现一次扣1分。业主现场抽检质量不合格的，每次扣2分。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10</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58" w:type="dxa"/>
            <w:vMerge w:val="continue"/>
            <w:vAlign w:val="center"/>
          </w:tcPr>
          <w:p>
            <w:pPr>
              <w:spacing w:line="340" w:lineRule="exact"/>
              <w:jc w:val="center"/>
              <w:rPr>
                <w:rFonts w:ascii="宋体" w:hAnsi="宋体" w:cs="宋体"/>
                <w:sz w:val="18"/>
                <w:szCs w:val="18"/>
              </w:rPr>
            </w:pPr>
          </w:p>
        </w:tc>
        <w:tc>
          <w:tcPr>
            <w:tcW w:w="5291" w:type="dxa"/>
            <w:vAlign w:val="center"/>
          </w:tcPr>
          <w:p>
            <w:pPr>
              <w:spacing w:line="340" w:lineRule="exact"/>
              <w:rPr>
                <w:rFonts w:ascii="宋体" w:hAnsi="宋体" w:cs="宋体"/>
                <w:color w:val="000000"/>
                <w:sz w:val="18"/>
                <w:szCs w:val="18"/>
              </w:rPr>
            </w:pPr>
            <w:r>
              <w:rPr>
                <w:rFonts w:hint="eastAsia" w:ascii="宋体" w:hAnsi="宋体" w:cs="宋体"/>
                <w:color w:val="000000"/>
                <w:sz w:val="18"/>
                <w:szCs w:val="18"/>
              </w:rPr>
              <w:t>发现问题而未及时抄告责任单位每次扣2分，因监督不力责任单位未及时整改每次扣2分，未在第一时间发现质量问题而被上级部门督查、群众投诉或被新闻媒体曝光的每次扣5分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10</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58" w:type="dxa"/>
            <w:vMerge w:val="restart"/>
            <w:vAlign w:val="center"/>
          </w:tcPr>
          <w:p>
            <w:pPr>
              <w:spacing w:line="340" w:lineRule="exact"/>
              <w:jc w:val="center"/>
              <w:rPr>
                <w:rFonts w:ascii="宋体" w:hAnsi="宋体" w:cs="宋体"/>
                <w:b/>
                <w:sz w:val="18"/>
                <w:szCs w:val="18"/>
              </w:rPr>
            </w:pPr>
            <w:r>
              <w:rPr>
                <w:rFonts w:hint="eastAsia" w:ascii="宋体" w:hAnsi="宋体" w:cs="宋体"/>
                <w:b/>
                <w:sz w:val="18"/>
                <w:szCs w:val="18"/>
              </w:rPr>
              <w:t>工程进度</w:t>
            </w:r>
          </w:p>
          <w:p>
            <w:pPr>
              <w:spacing w:line="340" w:lineRule="exact"/>
              <w:jc w:val="center"/>
              <w:rPr>
                <w:rFonts w:ascii="宋体" w:hAnsi="宋体" w:cs="宋体"/>
                <w:sz w:val="18"/>
                <w:szCs w:val="18"/>
              </w:rPr>
            </w:pPr>
            <w:r>
              <w:rPr>
                <w:rFonts w:hint="eastAsia" w:ascii="宋体" w:hAnsi="宋体" w:cs="宋体"/>
                <w:b/>
                <w:sz w:val="18"/>
                <w:szCs w:val="18"/>
              </w:rPr>
              <w:t>（20）</w:t>
            </w: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未督促施工单位按时完成作业，每次扣2分。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10</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8" w:type="dxa"/>
            <w:vMerge w:val="continue"/>
            <w:vAlign w:val="center"/>
          </w:tcPr>
          <w:p>
            <w:pPr>
              <w:spacing w:line="340" w:lineRule="exact"/>
              <w:jc w:val="center"/>
              <w:rPr>
                <w:rFonts w:ascii="宋体" w:hAnsi="宋体" w:cs="宋体"/>
                <w:sz w:val="18"/>
                <w:szCs w:val="18"/>
              </w:rPr>
            </w:pP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未及时响应甲方工作要求，每次扣2分。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10</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8" w:type="dxa"/>
            <w:vMerge w:val="restart"/>
            <w:vAlign w:val="center"/>
          </w:tcPr>
          <w:p>
            <w:pPr>
              <w:spacing w:line="340" w:lineRule="exact"/>
              <w:jc w:val="center"/>
              <w:rPr>
                <w:rFonts w:ascii="宋体" w:hAnsi="宋体" w:cs="宋体"/>
                <w:b/>
                <w:sz w:val="18"/>
                <w:szCs w:val="18"/>
              </w:rPr>
            </w:pPr>
            <w:r>
              <w:rPr>
                <w:rFonts w:hint="eastAsia" w:ascii="宋体" w:hAnsi="宋体" w:cs="宋体"/>
                <w:b/>
                <w:sz w:val="18"/>
                <w:szCs w:val="18"/>
              </w:rPr>
              <w:t>安全生产</w:t>
            </w:r>
          </w:p>
          <w:p>
            <w:pPr>
              <w:spacing w:line="340" w:lineRule="exact"/>
              <w:jc w:val="center"/>
              <w:rPr>
                <w:rFonts w:ascii="宋体" w:hAnsi="宋体" w:cs="宋体"/>
                <w:b/>
                <w:sz w:val="18"/>
                <w:szCs w:val="18"/>
              </w:rPr>
            </w:pPr>
            <w:r>
              <w:rPr>
                <w:rFonts w:hint="eastAsia" w:ascii="宋体" w:hAnsi="宋体" w:cs="宋体"/>
                <w:b/>
                <w:sz w:val="18"/>
                <w:szCs w:val="18"/>
              </w:rPr>
              <w:t>与文明施工</w:t>
            </w:r>
          </w:p>
          <w:p>
            <w:pPr>
              <w:spacing w:line="340" w:lineRule="exact"/>
              <w:jc w:val="center"/>
              <w:rPr>
                <w:rFonts w:ascii="宋体" w:hAnsi="宋体" w:cs="宋体"/>
                <w:sz w:val="18"/>
                <w:szCs w:val="18"/>
              </w:rPr>
            </w:pPr>
            <w:r>
              <w:rPr>
                <w:rFonts w:hint="eastAsia" w:ascii="宋体" w:hAnsi="宋体" w:cs="宋体"/>
                <w:b/>
                <w:sz w:val="18"/>
                <w:szCs w:val="18"/>
              </w:rPr>
              <w:t>（20）</w:t>
            </w: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驻点监理员迟到早退，每次扣2分；无故缺勤每次扣6分。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6</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8" w:type="dxa"/>
            <w:vMerge w:val="continue"/>
            <w:vAlign w:val="center"/>
          </w:tcPr>
          <w:p>
            <w:pPr>
              <w:spacing w:line="340" w:lineRule="exact"/>
              <w:jc w:val="center"/>
              <w:rPr>
                <w:rFonts w:ascii="宋体" w:hAnsi="宋体" w:cs="宋体"/>
                <w:sz w:val="18"/>
                <w:szCs w:val="18"/>
              </w:rPr>
            </w:pP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现场监理员未到位，每次扣2分。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6</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58" w:type="dxa"/>
            <w:vMerge w:val="continue"/>
            <w:vAlign w:val="center"/>
          </w:tcPr>
          <w:p>
            <w:pPr>
              <w:spacing w:line="340" w:lineRule="exact"/>
              <w:jc w:val="center"/>
              <w:rPr>
                <w:rFonts w:ascii="宋体" w:hAnsi="宋体" w:cs="宋体"/>
                <w:sz w:val="18"/>
                <w:szCs w:val="18"/>
              </w:rPr>
            </w:pP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施工现场出现安全文明问题，每次扣2分；发生事故，扣5分。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8</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58" w:type="dxa"/>
            <w:vAlign w:val="center"/>
          </w:tcPr>
          <w:p>
            <w:pPr>
              <w:spacing w:line="340" w:lineRule="exact"/>
              <w:jc w:val="center"/>
              <w:rPr>
                <w:rFonts w:ascii="宋体" w:hAnsi="宋体" w:cs="宋体"/>
                <w:sz w:val="18"/>
                <w:szCs w:val="18"/>
              </w:rPr>
            </w:pPr>
            <w:r>
              <w:rPr>
                <w:rFonts w:hint="eastAsia" w:ascii="宋体" w:hAnsi="宋体" w:cs="宋体"/>
                <w:b/>
                <w:sz w:val="18"/>
                <w:szCs w:val="18"/>
              </w:rPr>
              <w:t>其他（10分）</w:t>
            </w: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未按要求上报台账资料，每次扣5分。</w:t>
            </w: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10</w:t>
            </w:r>
          </w:p>
        </w:tc>
        <w:tc>
          <w:tcPr>
            <w:tcW w:w="1080" w:type="dxa"/>
            <w:vAlign w:val="center"/>
          </w:tcPr>
          <w:p>
            <w:pPr>
              <w:spacing w:line="340" w:lineRule="exact"/>
              <w:jc w:val="center"/>
              <w:rPr>
                <w:rFonts w:ascii="宋体" w:hAnsi="宋体" w:cs="宋体"/>
                <w:sz w:val="18"/>
                <w:szCs w:val="18"/>
              </w:rPr>
            </w:pPr>
          </w:p>
        </w:tc>
        <w:tc>
          <w:tcPr>
            <w:tcW w:w="921" w:type="dxa"/>
            <w:vAlign w:val="center"/>
          </w:tcPr>
          <w:p>
            <w:pPr>
              <w:spacing w:line="340" w:lineRule="exact"/>
              <w:jc w:val="center"/>
              <w:rPr>
                <w:rFonts w:ascii="宋体" w:hAnsi="宋体" w:cs="宋体"/>
                <w:sz w:val="18"/>
                <w:szCs w:val="18"/>
              </w:rPr>
            </w:pPr>
          </w:p>
          <w:p>
            <w:pPr>
              <w:spacing w:line="340" w:lineRule="exact"/>
              <w:jc w:val="center"/>
              <w:rPr>
                <w:rFonts w:ascii="宋体" w:hAnsi="宋体" w:cs="宋体"/>
                <w:sz w:val="18"/>
                <w:szCs w:val="18"/>
              </w:rPr>
            </w:pPr>
          </w:p>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58" w:type="dxa"/>
            <w:vAlign w:val="center"/>
          </w:tcPr>
          <w:p>
            <w:pPr>
              <w:spacing w:line="340" w:lineRule="exact"/>
              <w:jc w:val="center"/>
              <w:rPr>
                <w:rFonts w:ascii="宋体" w:hAnsi="宋体" w:cs="宋体"/>
                <w:b/>
                <w:sz w:val="18"/>
                <w:szCs w:val="18"/>
              </w:rPr>
            </w:pPr>
            <w:r>
              <w:rPr>
                <w:rFonts w:hint="eastAsia" w:ascii="宋体" w:hAnsi="宋体" w:cs="宋体"/>
                <w:b/>
                <w:sz w:val="18"/>
                <w:szCs w:val="18"/>
              </w:rPr>
              <w:t>合计</w:t>
            </w:r>
          </w:p>
        </w:tc>
        <w:tc>
          <w:tcPr>
            <w:tcW w:w="5291" w:type="dxa"/>
            <w:vAlign w:val="center"/>
          </w:tcPr>
          <w:p>
            <w:pPr>
              <w:spacing w:line="340" w:lineRule="exact"/>
              <w:rPr>
                <w:rFonts w:ascii="宋体" w:hAnsi="宋体" w:cs="宋体"/>
                <w:sz w:val="18"/>
                <w:szCs w:val="18"/>
              </w:rPr>
            </w:pPr>
          </w:p>
        </w:tc>
        <w:tc>
          <w:tcPr>
            <w:tcW w:w="990" w:type="dxa"/>
            <w:vAlign w:val="center"/>
          </w:tcPr>
          <w:p>
            <w:pPr>
              <w:spacing w:line="340" w:lineRule="exact"/>
              <w:jc w:val="center"/>
              <w:rPr>
                <w:rFonts w:ascii="宋体" w:hAnsi="宋体" w:cs="宋体"/>
                <w:b/>
                <w:sz w:val="18"/>
                <w:szCs w:val="18"/>
              </w:rPr>
            </w:pPr>
            <w:r>
              <w:rPr>
                <w:rFonts w:hint="eastAsia" w:ascii="宋体" w:hAnsi="宋体" w:cs="宋体"/>
                <w:b/>
                <w:sz w:val="18"/>
                <w:szCs w:val="18"/>
              </w:rPr>
              <w:t>100</w:t>
            </w: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58" w:type="dxa"/>
            <w:vMerge w:val="restart"/>
            <w:vAlign w:val="center"/>
          </w:tcPr>
          <w:p>
            <w:pPr>
              <w:spacing w:line="340" w:lineRule="exact"/>
              <w:jc w:val="center"/>
              <w:rPr>
                <w:rFonts w:ascii="宋体" w:hAnsi="宋体" w:cs="宋体"/>
                <w:b/>
                <w:sz w:val="18"/>
                <w:szCs w:val="18"/>
              </w:rPr>
            </w:pPr>
            <w:r>
              <w:rPr>
                <w:rFonts w:hint="eastAsia" w:ascii="宋体" w:hAnsi="宋体" w:cs="宋体"/>
                <w:b/>
                <w:sz w:val="18"/>
                <w:szCs w:val="18"/>
              </w:rPr>
              <w:t>加</w:t>
            </w:r>
          </w:p>
          <w:p>
            <w:pPr>
              <w:spacing w:line="340" w:lineRule="exact"/>
              <w:jc w:val="center"/>
              <w:rPr>
                <w:rFonts w:ascii="宋体" w:hAnsi="宋体" w:cs="宋体"/>
                <w:b/>
                <w:sz w:val="18"/>
                <w:szCs w:val="18"/>
              </w:rPr>
            </w:pPr>
            <w:r>
              <w:rPr>
                <w:rFonts w:hint="eastAsia" w:ascii="宋体" w:hAnsi="宋体" w:cs="宋体"/>
                <w:b/>
                <w:sz w:val="18"/>
                <w:szCs w:val="18"/>
              </w:rPr>
              <w:t>分</w:t>
            </w:r>
          </w:p>
          <w:p>
            <w:pPr>
              <w:spacing w:line="340" w:lineRule="exact"/>
              <w:jc w:val="center"/>
              <w:rPr>
                <w:rFonts w:ascii="宋体" w:hAnsi="宋体" w:cs="宋体"/>
                <w:b/>
                <w:sz w:val="18"/>
                <w:szCs w:val="18"/>
              </w:rPr>
            </w:pPr>
            <w:r>
              <w:rPr>
                <w:rFonts w:hint="eastAsia" w:ascii="宋体" w:hAnsi="宋体" w:cs="宋体"/>
                <w:b/>
                <w:sz w:val="18"/>
                <w:szCs w:val="18"/>
              </w:rPr>
              <w:t>条</w:t>
            </w:r>
          </w:p>
          <w:p>
            <w:pPr>
              <w:spacing w:line="340" w:lineRule="exact"/>
              <w:jc w:val="center"/>
              <w:rPr>
                <w:rFonts w:ascii="宋体" w:hAnsi="宋体" w:cs="宋体"/>
                <w:sz w:val="18"/>
                <w:szCs w:val="18"/>
              </w:rPr>
            </w:pPr>
            <w:r>
              <w:rPr>
                <w:rFonts w:hint="eastAsia" w:ascii="宋体" w:hAnsi="宋体" w:cs="宋体"/>
                <w:b/>
                <w:sz w:val="18"/>
                <w:szCs w:val="18"/>
              </w:rPr>
              <w:t>件</w:t>
            </w: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及时发现工程中的质量隐患，及时避免发生重大质量事故的，一次加2分。</w:t>
            </w:r>
          </w:p>
        </w:tc>
        <w:tc>
          <w:tcPr>
            <w:tcW w:w="990" w:type="dxa"/>
            <w:vAlign w:val="center"/>
          </w:tcPr>
          <w:p>
            <w:pPr>
              <w:spacing w:line="340" w:lineRule="exact"/>
              <w:jc w:val="center"/>
              <w:rPr>
                <w:rFonts w:ascii="宋体" w:hAnsi="宋体" w:cs="宋体"/>
                <w:b/>
                <w:sz w:val="18"/>
                <w:szCs w:val="18"/>
              </w:rPr>
            </w:pP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8" w:type="dxa"/>
            <w:vMerge w:val="continue"/>
            <w:vAlign w:val="center"/>
          </w:tcPr>
          <w:p>
            <w:pPr>
              <w:spacing w:line="340" w:lineRule="exact"/>
              <w:jc w:val="center"/>
              <w:rPr>
                <w:rFonts w:ascii="宋体" w:hAnsi="宋体" w:cs="宋体"/>
                <w:sz w:val="18"/>
                <w:szCs w:val="18"/>
              </w:rPr>
            </w:pP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得到领导来现场检查表扬的或在大会点名表扬，一次加2分。</w:t>
            </w:r>
          </w:p>
        </w:tc>
        <w:tc>
          <w:tcPr>
            <w:tcW w:w="990" w:type="dxa"/>
            <w:vAlign w:val="center"/>
          </w:tcPr>
          <w:p>
            <w:pPr>
              <w:spacing w:line="340" w:lineRule="exact"/>
              <w:jc w:val="center"/>
              <w:rPr>
                <w:rFonts w:ascii="宋体" w:hAnsi="宋体" w:cs="宋体"/>
                <w:b/>
                <w:sz w:val="18"/>
                <w:szCs w:val="18"/>
              </w:rPr>
            </w:pP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58" w:type="dxa"/>
            <w:vMerge w:val="continue"/>
            <w:vAlign w:val="center"/>
          </w:tcPr>
          <w:p>
            <w:pPr>
              <w:spacing w:line="340" w:lineRule="exact"/>
              <w:jc w:val="center"/>
              <w:rPr>
                <w:rFonts w:ascii="宋体" w:hAnsi="宋体" w:cs="宋体"/>
                <w:sz w:val="18"/>
                <w:szCs w:val="18"/>
              </w:rPr>
            </w:pP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在确保工程功能不变的前提下，大大节约工程投资的，一次加2分。</w:t>
            </w:r>
          </w:p>
        </w:tc>
        <w:tc>
          <w:tcPr>
            <w:tcW w:w="990" w:type="dxa"/>
            <w:vAlign w:val="center"/>
          </w:tcPr>
          <w:p>
            <w:pPr>
              <w:spacing w:line="340" w:lineRule="exact"/>
              <w:jc w:val="center"/>
              <w:rPr>
                <w:rFonts w:ascii="宋体" w:hAnsi="宋体" w:cs="宋体"/>
                <w:b/>
                <w:sz w:val="18"/>
                <w:szCs w:val="18"/>
              </w:rPr>
            </w:pP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8" w:type="dxa"/>
            <w:vMerge w:val="continue"/>
            <w:vAlign w:val="center"/>
          </w:tcPr>
          <w:p>
            <w:pPr>
              <w:spacing w:line="340" w:lineRule="exact"/>
              <w:jc w:val="center"/>
              <w:rPr>
                <w:rFonts w:ascii="宋体" w:hAnsi="宋体" w:cs="宋体"/>
                <w:sz w:val="18"/>
                <w:szCs w:val="18"/>
              </w:rPr>
            </w:pPr>
          </w:p>
        </w:tc>
        <w:tc>
          <w:tcPr>
            <w:tcW w:w="5291" w:type="dxa"/>
            <w:vAlign w:val="center"/>
          </w:tcPr>
          <w:p>
            <w:pPr>
              <w:spacing w:line="340" w:lineRule="exact"/>
              <w:rPr>
                <w:rFonts w:ascii="宋体" w:hAnsi="宋体" w:cs="宋体"/>
                <w:sz w:val="18"/>
                <w:szCs w:val="18"/>
              </w:rPr>
            </w:pPr>
            <w:r>
              <w:rPr>
                <w:rFonts w:hint="eastAsia" w:ascii="宋体" w:hAnsi="宋体" w:cs="宋体"/>
                <w:sz w:val="18"/>
                <w:szCs w:val="18"/>
              </w:rPr>
              <w:t>上报宣传材料被省级及以上平台录用的，每条加2分；市级平台录用的，每条加1分；区级平台录用的，每条加0.5分。</w:t>
            </w:r>
          </w:p>
        </w:tc>
        <w:tc>
          <w:tcPr>
            <w:tcW w:w="990" w:type="dxa"/>
            <w:vAlign w:val="center"/>
          </w:tcPr>
          <w:p>
            <w:pPr>
              <w:spacing w:line="340" w:lineRule="exact"/>
              <w:jc w:val="center"/>
              <w:rPr>
                <w:rFonts w:ascii="宋体" w:hAnsi="宋体" w:cs="宋体"/>
                <w:b/>
                <w:sz w:val="18"/>
                <w:szCs w:val="18"/>
              </w:rPr>
            </w:pP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58" w:type="dxa"/>
            <w:vAlign w:val="center"/>
          </w:tcPr>
          <w:p>
            <w:pPr>
              <w:spacing w:line="340" w:lineRule="exact"/>
              <w:jc w:val="center"/>
              <w:rPr>
                <w:rFonts w:ascii="宋体" w:hAnsi="宋体" w:cs="宋体"/>
                <w:b/>
                <w:sz w:val="18"/>
                <w:szCs w:val="18"/>
              </w:rPr>
            </w:pPr>
            <w:r>
              <w:rPr>
                <w:rFonts w:hint="eastAsia" w:ascii="宋体" w:hAnsi="宋体" w:cs="宋体"/>
                <w:b/>
                <w:sz w:val="18"/>
                <w:szCs w:val="18"/>
              </w:rPr>
              <w:t>总计</w:t>
            </w:r>
          </w:p>
        </w:tc>
        <w:tc>
          <w:tcPr>
            <w:tcW w:w="5291" w:type="dxa"/>
            <w:vAlign w:val="center"/>
          </w:tcPr>
          <w:p>
            <w:pPr>
              <w:spacing w:line="340" w:lineRule="exact"/>
              <w:rPr>
                <w:rFonts w:ascii="宋体" w:hAnsi="宋体" w:cs="宋体"/>
                <w:sz w:val="18"/>
                <w:szCs w:val="18"/>
              </w:rPr>
            </w:pPr>
          </w:p>
        </w:tc>
        <w:tc>
          <w:tcPr>
            <w:tcW w:w="990" w:type="dxa"/>
            <w:vAlign w:val="center"/>
          </w:tcPr>
          <w:p>
            <w:pPr>
              <w:spacing w:line="340" w:lineRule="exact"/>
              <w:jc w:val="center"/>
              <w:rPr>
                <w:rFonts w:ascii="宋体" w:hAnsi="宋体" w:cs="宋体"/>
                <w:b/>
                <w:sz w:val="18"/>
                <w:szCs w:val="18"/>
              </w:rPr>
            </w:pPr>
          </w:p>
        </w:tc>
        <w:tc>
          <w:tcPr>
            <w:tcW w:w="1080" w:type="dxa"/>
            <w:vAlign w:val="center"/>
          </w:tcPr>
          <w:p>
            <w:pPr>
              <w:spacing w:line="340" w:lineRule="exact"/>
              <w:jc w:val="center"/>
              <w:rPr>
                <w:rFonts w:ascii="宋体" w:hAnsi="宋体" w:cs="宋体"/>
                <w:sz w:val="18"/>
                <w:szCs w:val="18"/>
              </w:rPr>
            </w:pPr>
          </w:p>
        </w:tc>
        <w:tc>
          <w:tcPr>
            <w:tcW w:w="921" w:type="dxa"/>
            <w:vAlign w:val="center"/>
          </w:tcPr>
          <w:p>
            <w:pPr>
              <w:widowControl/>
              <w:spacing w:line="340" w:lineRule="exact"/>
              <w:jc w:val="left"/>
              <w:rPr>
                <w:rFonts w:ascii="宋体" w:hAnsi="宋体" w:cs="宋体"/>
                <w:sz w:val="18"/>
                <w:szCs w:val="18"/>
              </w:rPr>
            </w:pPr>
          </w:p>
        </w:tc>
      </w:tr>
    </w:tbl>
    <w:p>
      <w:r>
        <w:rPr>
          <w:rFonts w:hint="eastAsia" w:ascii="仿宋" w:hAnsi="仿宋" w:eastAsia="仿宋" w:cs="仿宋"/>
        </w:rPr>
        <w:t>备注：当监理单位每季度考核得分总计低于95分，每低一分扣1000元（例：</w:t>
      </w:r>
      <w:r>
        <w:rPr>
          <w:rFonts w:ascii="仿宋" w:hAnsi="仿宋" w:eastAsia="仿宋" w:cs="仿宋"/>
        </w:rPr>
        <w:t>94</w:t>
      </w:r>
      <w:r>
        <w:rPr>
          <w:rFonts w:hint="eastAsia" w:ascii="仿宋" w:hAnsi="仿宋" w:eastAsia="仿宋" w:cs="仿宋"/>
        </w:rPr>
        <w:t>分扣1000元，</w:t>
      </w:r>
      <w:r>
        <w:rPr>
          <w:rFonts w:ascii="仿宋" w:hAnsi="仿宋" w:eastAsia="仿宋" w:cs="仿宋"/>
        </w:rPr>
        <w:t>93</w:t>
      </w:r>
      <w:r>
        <w:rPr>
          <w:rFonts w:hint="eastAsia" w:ascii="仿宋" w:hAnsi="仿宋" w:eastAsia="仿宋" w:cs="仿宋"/>
        </w:rPr>
        <w:t>分扣2000分，以此类推）。甲方有权根据工作要求调整监理单位工作月度考核表。</w:t>
      </w:r>
    </w:p>
    <w:p>
      <w:pPr>
        <w:spacing w:line="360" w:lineRule="auto"/>
        <w:jc w:val="center"/>
        <w:outlineLvl w:val="0"/>
        <w:rPr>
          <w:rFonts w:ascii="仿宋" w:hAnsi="仿宋" w:eastAsia="仿宋" w:cs="宋体"/>
          <w:b/>
          <w:sz w:val="36"/>
          <w:szCs w:val="2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 xml:space="preserve">第六部分 </w:t>
      </w:r>
      <w:bookmarkEnd w:id="396"/>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我方参与（项目名称）【招标编号：（采购编号）】政府采购活动，郑重承诺：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rPr>
      </w:pPr>
      <w:r>
        <w:rPr>
          <w:rFonts w:hint="eastAsia" w:ascii="仿宋" w:hAnsi="仿宋" w:eastAsia="仿宋" w:cs="宋体"/>
          <w:kern w:val="0"/>
          <w:sz w:val="24"/>
          <w:lang w:val="zh-CN"/>
        </w:rPr>
        <w:t>投标人名称(电子签名)：</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pPr>
        <w:snapToGrid w:val="0"/>
        <w:spacing w:line="360" w:lineRule="auto"/>
        <w:ind w:right="480"/>
        <w:jc w:val="center"/>
        <w:rPr>
          <w:rFonts w:ascii="仿宋" w:hAnsi="仿宋" w:eastAsia="仿宋" w:cs="宋体"/>
          <w:b/>
          <w:kern w:val="0"/>
          <w:sz w:val="32"/>
          <w:szCs w:val="32"/>
        </w:rPr>
      </w:pP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pPr>
        <w:snapToGrid w:val="0"/>
        <w:spacing w:line="360" w:lineRule="auto"/>
        <w:ind w:right="480"/>
        <w:jc w:val="center"/>
        <w:rPr>
          <w:rFonts w:ascii="仿宋" w:hAnsi="仿宋" w:eastAsia="仿宋" w:cs="宋体"/>
          <w:b/>
          <w:kern w:val="0"/>
          <w:sz w:val="32"/>
          <w:szCs w:val="32"/>
        </w:rPr>
      </w:pPr>
    </w:p>
    <w:p>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pPr>
        <w:snapToGrid w:val="0"/>
        <w:spacing w:line="360" w:lineRule="auto"/>
        <w:ind w:right="480"/>
        <w:jc w:val="center"/>
        <w:rPr>
          <w:rFonts w:ascii="仿宋" w:hAnsi="仿宋" w:eastAsia="仿宋" w:cs="宋体"/>
          <w:b/>
          <w:kern w:val="0"/>
          <w:sz w:val="32"/>
          <w:szCs w:val="32"/>
        </w:rPr>
      </w:pP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ind w:right="420" w:firstLine="3614" w:firstLineChars="1000"/>
        <w:rPr>
          <w:rFonts w:ascii="仿宋" w:hAnsi="仿宋" w:eastAsia="仿宋" w:cs="宋体"/>
          <w:b/>
          <w:kern w:val="0"/>
          <w:sz w:val="36"/>
          <w:szCs w:val="36"/>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outlineLvl w:val="0"/>
        <w:rPr>
          <w:rFonts w:ascii="仿宋" w:hAnsi="仿宋" w:eastAsia="仿宋"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397" w:name="_Hlk101257010"/>
      <w:r>
        <w:rPr>
          <w:rFonts w:hint="eastAsia" w:ascii="仿宋" w:hAnsi="仿宋" w:eastAsia="仿宋" w:cs="宋体"/>
          <w:sz w:val="24"/>
        </w:rPr>
        <w:t>（如果有)</w:t>
      </w:r>
      <w:bookmarkEnd w:id="397"/>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 专门面向中小企业采购的项目须提供《中小企业声明函》）；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r>
        <w:rPr>
          <w:rFonts w:hint="eastAsia" w:ascii="仿宋" w:hAnsi="仿宋" w:eastAsia="仿宋" w:cs="宋体"/>
          <w:sz w:val="24"/>
          <w:u w:val="single"/>
        </w:rPr>
        <w:t xml:space="preserve">                                        </w:t>
      </w:r>
      <w:r>
        <w:rPr>
          <w:rFonts w:hint="eastAsia" w:ascii="仿宋" w:hAnsi="仿宋" w:eastAsia="仿宋" w:cs="宋体"/>
          <w:sz w:val="24"/>
        </w:rPr>
        <w:t>。</w:t>
      </w:r>
    </w:p>
    <w:p>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rPr>
          <w:rFonts w:ascii="仿宋" w:hAnsi="仿宋" w:eastAsia="仿宋" w:cs="宋体"/>
          <w:sz w:val="24"/>
        </w:rPr>
      </w:pPr>
      <w:r>
        <w:rPr>
          <w:rFonts w:hint="eastAsia" w:ascii="仿宋" w:hAnsi="仿宋" w:eastAsia="仿宋" w:cs="宋体"/>
          <w:sz w:val="24"/>
        </w:rPr>
        <w:t xml:space="preserve">                                </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r>
        <w:rPr>
          <w:rFonts w:hint="eastAsia" w:ascii="仿宋" w:hAnsi="仿宋" w:eastAsia="仿宋" w:cs="宋体"/>
        </w:rPr>
        <w:t xml:space="preserve">                               </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lang w:val="zh-CN"/>
        </w:rPr>
        <w:t xml:space="preserve">      </w:t>
      </w: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pPr>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pStyle w:val="6"/>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175"/>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175"/>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napToGrid w:val="0"/>
        <w:spacing w:line="360" w:lineRule="auto"/>
        <w:ind w:right="480"/>
        <w:rPr>
          <w:rFonts w:ascii="仿宋" w:hAnsi="仿宋" w:eastAsia="仿宋"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见投标文件</w:t>
            </w:r>
          </w:p>
          <w:p>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tcPr>
          <w:p>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kern w:val="0"/>
                <w:sz w:val="24"/>
              </w:rPr>
            </w:pPr>
            <w:r>
              <w:rPr>
                <w:rFonts w:hint="eastAsia" w:ascii="仿宋" w:hAnsi="仿宋" w:eastAsia="仿宋" w:cs="宋体"/>
                <w:b/>
                <w:bCs/>
                <w:kern w:val="0"/>
                <w:sz w:val="24"/>
              </w:rPr>
              <w:t>序号</w:t>
            </w:r>
          </w:p>
        </w:tc>
        <w:tc>
          <w:tcPr>
            <w:tcW w:w="3683" w:type="dxa"/>
          </w:tcPr>
          <w:p>
            <w:pPr>
              <w:jc w:val="center"/>
              <w:rPr>
                <w:rFonts w:ascii="仿宋" w:hAnsi="仿宋" w:eastAsia="仿宋" w:cs="宋体"/>
                <w:b/>
                <w:bCs/>
                <w:kern w:val="0"/>
                <w:sz w:val="24"/>
              </w:rPr>
            </w:pPr>
            <w:r>
              <w:rPr>
                <w:rFonts w:hint="eastAsia" w:ascii="仿宋" w:hAnsi="仿宋" w:eastAsia="仿宋" w:cs="宋体"/>
                <w:b/>
                <w:bCs/>
                <w:kern w:val="0"/>
                <w:sz w:val="24"/>
              </w:rPr>
              <w:t>招标文件章节及具体内容</w:t>
            </w:r>
          </w:p>
        </w:tc>
        <w:tc>
          <w:tcPr>
            <w:tcW w:w="3546" w:type="dxa"/>
          </w:tcPr>
          <w:p>
            <w:pPr>
              <w:jc w:val="center"/>
              <w:rPr>
                <w:rFonts w:ascii="仿宋" w:hAnsi="仿宋" w:eastAsia="仿宋" w:cs="宋体"/>
                <w:b/>
                <w:bCs/>
                <w:kern w:val="0"/>
                <w:sz w:val="24"/>
              </w:rPr>
            </w:pPr>
            <w:r>
              <w:rPr>
                <w:rFonts w:hint="eastAsia" w:ascii="仿宋" w:hAnsi="仿宋" w:eastAsia="仿宋" w:cs="宋体"/>
                <w:b/>
                <w:bCs/>
                <w:kern w:val="0"/>
                <w:sz w:val="24"/>
              </w:rPr>
              <w:t>投标文件章节及具体内容</w:t>
            </w:r>
          </w:p>
        </w:tc>
        <w:tc>
          <w:tcPr>
            <w:tcW w:w="1276" w:type="dxa"/>
          </w:tcPr>
          <w:p>
            <w:pPr>
              <w:jc w:val="center"/>
              <w:rPr>
                <w:rFonts w:ascii="仿宋" w:hAnsi="仿宋" w:eastAsia="仿宋" w:cs="宋体"/>
                <w:b/>
                <w:bCs/>
                <w:kern w:val="0"/>
                <w:sz w:val="24"/>
              </w:rPr>
            </w:pPr>
            <w:r>
              <w:rPr>
                <w:rFonts w:hint="eastAsia" w:ascii="仿宋" w:hAnsi="仿宋" w:eastAsia="仿宋" w:cs="宋体"/>
                <w:b/>
                <w:bCs/>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pStyle w:val="694"/>
        <w:keepNext w:val="0"/>
        <w:pageBreakBefore w:val="0"/>
        <w:tabs>
          <w:tab w:val="clear" w:pos="720"/>
        </w:tabs>
        <w:snapToGrid w:val="0"/>
        <w:spacing w:before="120" w:after="120"/>
        <w:jc w:val="both"/>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4"/>
        <w:tblW w:w="1428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6"/>
        <w:gridCol w:w="3200"/>
        <w:gridCol w:w="2666"/>
        <w:gridCol w:w="34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956" w:type="dxa"/>
            <w:tcBorders>
              <w:tl2br w:val="nil"/>
              <w:tr2bl w:val="nil"/>
            </w:tcBorders>
            <w:vAlign w:val="center"/>
          </w:tcPr>
          <w:p>
            <w:pPr>
              <w:pStyle w:val="26"/>
              <w:jc w:val="center"/>
              <w:rPr>
                <w:rFonts w:ascii="仿宋" w:hAnsi="仿宋" w:eastAsia="仿宋"/>
                <w:b/>
                <w:bCs/>
                <w:kern w:val="0"/>
              </w:rPr>
            </w:pPr>
            <w:r>
              <w:rPr>
                <w:rFonts w:hint="eastAsia" w:ascii="仿宋" w:hAnsi="仿宋" w:eastAsia="仿宋"/>
                <w:b/>
                <w:bCs/>
                <w:kern w:val="0"/>
              </w:rPr>
              <w:t>项目名称</w:t>
            </w:r>
          </w:p>
        </w:tc>
        <w:tc>
          <w:tcPr>
            <w:tcW w:w="3200" w:type="dxa"/>
            <w:tcBorders>
              <w:tl2br w:val="nil"/>
              <w:tr2bl w:val="nil"/>
            </w:tcBorders>
            <w:vAlign w:val="center"/>
          </w:tcPr>
          <w:p>
            <w:pPr>
              <w:pStyle w:val="26"/>
              <w:jc w:val="center"/>
              <w:rPr>
                <w:rFonts w:ascii="仿宋" w:hAnsi="仿宋" w:eastAsia="仿宋"/>
                <w:b/>
                <w:bCs/>
                <w:kern w:val="0"/>
              </w:rPr>
            </w:pPr>
            <w:r>
              <w:rPr>
                <w:rFonts w:hint="eastAsia" w:ascii="仿宋" w:hAnsi="仿宋" w:eastAsia="仿宋"/>
                <w:b/>
                <w:bCs/>
                <w:kern w:val="0"/>
              </w:rPr>
              <w:t>投标总价（元）</w:t>
            </w:r>
          </w:p>
        </w:tc>
        <w:tc>
          <w:tcPr>
            <w:tcW w:w="2666" w:type="dxa"/>
            <w:tcBorders>
              <w:tl2br w:val="nil"/>
              <w:tr2bl w:val="nil"/>
            </w:tcBorders>
            <w:vAlign w:val="center"/>
          </w:tcPr>
          <w:p>
            <w:pPr>
              <w:pStyle w:val="26"/>
              <w:jc w:val="center"/>
              <w:rPr>
                <w:rFonts w:hint="default" w:ascii="仿宋" w:hAnsi="仿宋" w:eastAsia="仿宋"/>
                <w:b/>
                <w:bCs/>
                <w:kern w:val="0"/>
                <w:lang w:val="en-US" w:eastAsia="zh-CN"/>
              </w:rPr>
            </w:pPr>
            <w:r>
              <w:rPr>
                <w:rFonts w:hint="eastAsia" w:ascii="仿宋" w:hAnsi="仿宋" w:eastAsia="仿宋"/>
                <w:b/>
                <w:bCs/>
                <w:kern w:val="0"/>
                <w:lang w:val="en-US" w:eastAsia="zh-CN"/>
              </w:rPr>
              <w:t>项目负责人</w:t>
            </w:r>
          </w:p>
        </w:tc>
        <w:tc>
          <w:tcPr>
            <w:tcW w:w="3463" w:type="dxa"/>
            <w:tcBorders>
              <w:tl2br w:val="nil"/>
              <w:tr2bl w:val="nil"/>
            </w:tcBorders>
            <w:vAlign w:val="center"/>
          </w:tcPr>
          <w:p>
            <w:pPr>
              <w:pStyle w:val="26"/>
              <w:jc w:val="center"/>
              <w:rPr>
                <w:rFonts w:hint="eastAsia" w:ascii="仿宋" w:hAnsi="仿宋" w:eastAsia="仿宋"/>
                <w:b/>
                <w:bCs/>
                <w:kern w:val="0"/>
                <w:lang w:eastAsia="zh-CN"/>
              </w:rPr>
            </w:pPr>
            <w:r>
              <w:rPr>
                <w:rFonts w:hint="eastAsia" w:ascii="仿宋" w:hAnsi="仿宋" w:eastAsia="仿宋"/>
                <w:b/>
                <w:bCs/>
                <w:kern w:val="0"/>
                <w:lang w:val="en-US" w:eastAsia="zh-CN"/>
              </w:rPr>
              <w:t>服务期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956" w:type="dxa"/>
            <w:tcBorders>
              <w:tl2br w:val="nil"/>
              <w:tr2bl w:val="nil"/>
            </w:tcBorders>
            <w:vAlign w:val="center"/>
          </w:tcPr>
          <w:p>
            <w:pPr>
              <w:snapToGrid w:val="0"/>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2023-2024年滨江区市政道路管理养护监理项目</w:t>
            </w:r>
          </w:p>
        </w:tc>
        <w:tc>
          <w:tcPr>
            <w:tcW w:w="3200" w:type="dxa"/>
            <w:tcBorders>
              <w:tl2br w:val="nil"/>
              <w:tr2bl w:val="nil"/>
            </w:tcBorders>
            <w:vAlign w:val="center"/>
          </w:tcPr>
          <w:p>
            <w:pPr>
              <w:pStyle w:val="26"/>
              <w:jc w:val="center"/>
              <w:rPr>
                <w:rFonts w:hint="eastAsia" w:ascii="仿宋" w:hAnsi="仿宋" w:eastAsia="仿宋" w:cs="宋体"/>
                <w:kern w:val="0"/>
                <w:szCs w:val="24"/>
                <w:lang w:eastAsia="zh-CN"/>
              </w:rPr>
            </w:pPr>
            <w:r>
              <w:rPr>
                <w:rFonts w:hint="eastAsia" w:ascii="仿宋" w:hAnsi="仿宋" w:eastAsia="仿宋" w:cs="宋体"/>
                <w:kern w:val="0"/>
                <w:szCs w:val="24"/>
                <w:lang w:val="en-US" w:eastAsia="zh-CN"/>
              </w:rPr>
              <w:t xml:space="preserve"> </w:t>
            </w:r>
          </w:p>
        </w:tc>
        <w:tc>
          <w:tcPr>
            <w:tcW w:w="2666" w:type="dxa"/>
            <w:tcBorders>
              <w:tl2br w:val="nil"/>
              <w:tr2bl w:val="nil"/>
            </w:tcBorders>
            <w:vAlign w:val="center"/>
          </w:tcPr>
          <w:p>
            <w:pPr>
              <w:pStyle w:val="26"/>
              <w:jc w:val="center"/>
              <w:rPr>
                <w:rFonts w:hint="eastAsia" w:ascii="仿宋" w:hAnsi="仿宋" w:eastAsia="仿宋" w:cs="宋体"/>
                <w:kern w:val="0"/>
                <w:szCs w:val="24"/>
                <w:lang w:eastAsia="zh-CN"/>
              </w:rPr>
            </w:pPr>
            <w:r>
              <w:rPr>
                <w:rFonts w:hint="eastAsia" w:ascii="仿宋" w:hAnsi="仿宋" w:eastAsia="仿宋" w:cs="宋体"/>
                <w:kern w:val="0"/>
                <w:szCs w:val="24"/>
                <w:lang w:val="en-US" w:eastAsia="zh-CN"/>
              </w:rPr>
              <w:t xml:space="preserve"> </w:t>
            </w:r>
          </w:p>
        </w:tc>
        <w:tc>
          <w:tcPr>
            <w:tcW w:w="3463" w:type="dxa"/>
            <w:tcBorders>
              <w:tl2br w:val="nil"/>
              <w:tr2bl w:val="nil"/>
            </w:tcBorders>
            <w:vAlign w:val="center"/>
          </w:tcPr>
          <w:p>
            <w:pPr>
              <w:pStyle w:val="26"/>
              <w:jc w:val="center"/>
              <w:rPr>
                <w:rFonts w:ascii="仿宋" w:hAnsi="仿宋" w:eastAsia="仿宋" w:cs="宋体"/>
                <w:kern w:val="0"/>
                <w:szCs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ascii="仿宋" w:hAnsi="仿宋" w:eastAsia="仿宋"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残疾人福利性单位声明函</w:t>
      </w:r>
    </w:p>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jc w:val="left"/>
        <w:rPr>
          <w:rFonts w:ascii="仿宋" w:hAnsi="仿宋" w:eastAsia="仿宋" w:cs="宋体"/>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pPr>
        <w:snapToGrid w:val="0"/>
        <w:spacing w:line="360" w:lineRule="auto"/>
        <w:rPr>
          <w:rFonts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sectPr>
          <w:pgSz w:w="11906" w:h="16838"/>
          <w:pgMar w:top="1276" w:right="1418" w:bottom="1247" w:left="1418" w:header="851" w:footer="992" w:gutter="0"/>
          <w:cols w:space="720" w:num="1"/>
          <w:titlePg/>
          <w:docGrid w:linePitch="312" w:charSpace="0"/>
        </w:sect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ascii="仿宋" w:hAnsi="仿宋" w:eastAsia="仿宋" w:cs="宋体"/>
          <w:b/>
          <w:spacing w:val="6"/>
          <w:sz w:val="32"/>
          <w:szCs w:val="32"/>
        </w:rPr>
        <w:sectPr>
          <w:pgSz w:w="11906" w:h="16838"/>
          <w:pgMar w:top="1276" w:right="1418" w:bottom="1247" w:left="1418" w:header="851" w:footer="992" w:gutter="0"/>
          <w:cols w:space="720" w:num="1"/>
          <w:titlePg/>
          <w:docGrid w:linePitch="312" w:charSpace="0"/>
        </w:sect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ascii="仿宋" w:hAnsi="仿宋" w:eastAsia="仿宋" w:cs="宋体"/>
          <w:sz w:val="24"/>
          <w:u w:val="dotted"/>
        </w:rPr>
        <w:t xml:space="preserve">  </w:t>
      </w:r>
      <w:r>
        <w:rPr>
          <w:rFonts w:hint="eastAsia" w:ascii="仿宋" w:hAnsi="仿宋" w:eastAsia="仿宋" w:cs="宋体"/>
          <w:sz w:val="24"/>
          <w:u w:val="dotted"/>
        </w:rPr>
        <w:t xml:space="preserve">  </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pPr>
        <w:spacing w:line="360" w:lineRule="auto"/>
        <w:rPr>
          <w:rFonts w:ascii="仿宋" w:hAnsi="仿宋" w:eastAsia="仿宋" w:cs="宋体"/>
          <w:sz w:val="24"/>
          <w:u w:val="single"/>
        </w:rPr>
      </w:pPr>
      <w:r>
        <w:rPr>
          <w:rFonts w:hint="eastAsia" w:ascii="仿宋" w:hAnsi="仿宋" w:eastAsia="仿宋" w:cs="宋体"/>
          <w:sz w:val="24"/>
        </w:rPr>
        <w:t xml:space="preserve">                                                                                                    </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宋体"/>
          <w:b/>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hint="eastAsia"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rPr>
          <w:rFonts w:ascii="仿宋" w:hAnsi="仿宋" w:eastAsia="仿宋" w:cs="宋体"/>
          <w:b/>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276"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398"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398"/>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399"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399"/>
      <w:r>
        <w:rPr>
          <w:rFonts w:hint="eastAsia" w:ascii="仿宋" w:hAnsi="仿宋" w:eastAsia="仿宋" w:cs="宋体"/>
          <w:b/>
          <w:kern w:val="0"/>
          <w:sz w:val="24"/>
          <w:lang w:val="zh-CN"/>
        </w:rPr>
        <w:t>）</w:t>
      </w:r>
    </w:p>
    <w:p>
      <w:pPr>
        <w:spacing w:line="276"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400"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400"/>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rPr>
          <w:rFonts w:ascii="仿宋" w:hAnsi="仿宋" w:eastAsia="仿宋" w:cs="宋体"/>
          <w:b/>
          <w:spacing w:val="6"/>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6"/>
        <w:spacing w:line="276" w:lineRule="auto"/>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276"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276"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276" w:lineRule="auto"/>
        <w:ind w:firstLine="576"/>
        <w:rPr>
          <w:rFonts w:ascii="仿宋" w:hAnsi="仿宋" w:eastAsia="仿宋" w:cs="宋体"/>
          <w:u w:val="single"/>
        </w:rPr>
      </w:pPr>
      <w:r>
        <w:rPr>
          <w:rFonts w:hint="eastAsia" w:ascii="仿宋" w:hAnsi="仿宋" w:eastAsia="仿宋" w:cs="宋体"/>
          <w:u w:val="single"/>
        </w:rPr>
        <w:t xml:space="preserve">                                                                                  </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276" w:lineRule="auto"/>
        <w:ind w:left="573" w:leftChars="273"/>
        <w:rPr>
          <w:rFonts w:ascii="仿宋" w:hAnsi="仿宋" w:eastAsia="仿宋" w:cs="宋体"/>
          <w:kern w:val="0"/>
          <w:sz w:val="24"/>
          <w:lang w:val="zh-CN"/>
        </w:rPr>
      </w:pPr>
      <w:r>
        <w:rPr>
          <w:rFonts w:hint="eastAsia" w:ascii="仿宋" w:hAnsi="仿宋" w:eastAsia="仿宋" w:cs="宋体"/>
          <w:u w:val="single"/>
        </w:rPr>
        <w:t xml:space="preserve">                                                                                     </w:t>
      </w:r>
    </w:p>
    <w:p>
      <w:pPr>
        <w:snapToGrid w:val="0"/>
        <w:spacing w:line="276"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pPr>
        <w:snapToGrid w:val="0"/>
        <w:spacing w:line="276"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pPr>
        <w:snapToGrid w:val="0"/>
        <w:spacing w:line="276" w:lineRule="auto"/>
        <w:ind w:left="5758" w:leftChars="342" w:hanging="5040" w:hangingChars="2100"/>
        <w:rPr>
          <w:rFonts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 xml:space="preserve">  。                                           投标人名称(电子签名)：</w:t>
      </w:r>
    </w:p>
    <w:p>
      <w:pPr>
        <w:snapToGrid w:val="0"/>
        <w:spacing w:line="276"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pPr>
        <w:snapToGrid w:val="0"/>
        <w:spacing w:line="276"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276"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276"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left"/>
        <w:outlineLvl w:val="0"/>
        <w:rPr>
          <w:rFonts w:ascii="仿宋" w:hAnsi="仿宋" w:eastAsia="仿宋" w:cs="宋体"/>
          <w:b/>
          <w:sz w:val="36"/>
          <w:szCs w:val="20"/>
        </w:rPr>
        <w:sectPr>
          <w:pgSz w:w="11906" w:h="16838"/>
          <w:pgMar w:top="1276" w:right="1418" w:bottom="1247" w:left="1418" w:header="851" w:footer="992" w:gutter="0"/>
          <w:cols w:space="720" w:num="1"/>
          <w:titlePg/>
          <w:docGrid w:linePitch="312" w:charSpace="0"/>
        </w:sectPr>
      </w:pPr>
    </w:p>
    <w:p>
      <w:pPr>
        <w:spacing w:line="360" w:lineRule="auto"/>
        <w:jc w:val="left"/>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pPr>
        <w:spacing w:line="360" w:lineRule="auto"/>
        <w:jc w:val="center"/>
        <w:rPr>
          <w:rFonts w:ascii="仿宋" w:hAnsi="仿宋" w:eastAsia="仿宋" w:cs="宋体"/>
          <w:sz w:val="24"/>
          <w:u w:val="single"/>
        </w:rPr>
      </w:pP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r>
        <w:rPr>
          <w:rFonts w:hint="eastAsia" w:ascii="仿宋" w:hAnsi="仿宋" w:eastAsia="仿宋" w:cs="宋体"/>
          <w:sz w:val="24"/>
        </w:rPr>
        <w:t>投标人名称（电子签名）：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r>
        <w:rPr>
          <w:rFonts w:hint="eastAsia" w:ascii="仿宋" w:hAnsi="仿宋" w:eastAsia="仿宋" w:cs="宋体"/>
          <w:sz w:val="24"/>
        </w:rPr>
        <w:t xml:space="preserve">   注：</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ind w:left="0" w:firstLine="0"/>
        <w:rPr>
          <w:rFonts w:ascii="仿宋" w:eastAsia="仿宋" w:cs="宋体"/>
          <w:lang w:val="en-US"/>
        </w:rPr>
      </w:pPr>
    </w:p>
    <w:p>
      <w:pPr>
        <w:pStyle w:val="332"/>
        <w:snapToGrid w:val="0"/>
        <w:spacing w:line="500" w:lineRule="exact"/>
        <w:ind w:firstLine="562"/>
        <w:rPr>
          <w:rFonts w:ascii="仿宋" w:hAnsi="仿宋" w:eastAsia="仿宋" w:cs="方正小标宋简体"/>
          <w:b/>
          <w:sz w:val="28"/>
          <w:szCs w:val="28"/>
        </w:rPr>
        <w:sectPr>
          <w:pgSz w:w="11906" w:h="16838"/>
          <w:pgMar w:top="1276" w:right="1418" w:bottom="1247" w:left="1418" w:header="851" w:footer="992" w:gutter="0"/>
          <w:cols w:space="720" w:num="1"/>
          <w:titlePg/>
          <w:docGrid w:linePitch="312" w:charSpace="0"/>
        </w:sectPr>
      </w:pPr>
    </w:p>
    <w:p>
      <w:pPr>
        <w:pStyle w:val="332"/>
        <w:snapToGrid w:val="0"/>
        <w:spacing w:line="500" w:lineRule="exact"/>
        <w:jc w:val="center"/>
        <w:rPr>
          <w:rFonts w:ascii="仿宋" w:hAnsi="仿宋" w:eastAsia="仿宋" w:cs="方正小标宋简体"/>
          <w:b/>
          <w:sz w:val="28"/>
          <w:szCs w:val="28"/>
        </w:rPr>
      </w:pPr>
      <w:r>
        <w:rPr>
          <w:rFonts w:ascii="仿宋" w:hAnsi="仿宋" w:eastAsia="仿宋" w:cs="方正小标宋简体"/>
          <w:b/>
          <w:sz w:val="28"/>
          <w:szCs w:val="28"/>
        </w:rPr>
        <w:t>政府采购活动现场确认声明书</w:t>
      </w:r>
    </w:p>
    <w:p>
      <w:pPr>
        <w:pStyle w:val="332"/>
        <w:adjustRightInd w:val="0"/>
        <w:snapToGrid w:val="0"/>
        <w:spacing w:line="360" w:lineRule="auto"/>
        <w:rPr>
          <w:rFonts w:ascii="仿宋" w:hAnsi="仿宋" w:eastAsia="仿宋"/>
          <w:szCs w:val="21"/>
          <w:u w:val="single"/>
        </w:rPr>
      </w:pPr>
    </w:p>
    <w:p>
      <w:pPr>
        <w:pStyle w:val="332"/>
        <w:adjustRightInd w:val="0"/>
        <w:snapToGrid w:val="0"/>
        <w:spacing w:line="360" w:lineRule="auto"/>
        <w:rPr>
          <w:rFonts w:ascii="仿宋" w:hAnsi="仿宋" w:eastAsia="仿宋"/>
          <w:b/>
          <w:szCs w:val="21"/>
        </w:rPr>
      </w:pPr>
      <w:r>
        <w:rPr>
          <w:rFonts w:ascii="仿宋" w:hAnsi="仿宋" w:eastAsia="仿宋"/>
          <w:szCs w:val="21"/>
          <w:u w:val="single"/>
        </w:rPr>
        <w:t>浙江科佳工程咨询有限公司</w:t>
      </w:r>
      <w:r>
        <w:rPr>
          <w:rFonts w:ascii="仿宋" w:hAnsi="仿宋" w:eastAsia="仿宋"/>
          <w:szCs w:val="21"/>
        </w:rPr>
        <w:t>：</w:t>
      </w:r>
    </w:p>
    <w:p>
      <w:pPr>
        <w:pStyle w:val="332"/>
        <w:adjustRightInd w:val="0"/>
        <w:snapToGrid w:val="0"/>
        <w:spacing w:before="120" w:beforeLines="50" w:line="320" w:lineRule="exact"/>
        <w:ind w:firstLine="444" w:firstLineChars="200"/>
        <w:rPr>
          <w:rFonts w:ascii="仿宋" w:hAnsi="仿宋" w:eastAsia="仿宋"/>
          <w:spacing w:val="6"/>
          <w:szCs w:val="21"/>
        </w:rPr>
      </w:pPr>
      <w:r>
        <w:rPr>
          <w:rFonts w:ascii="仿宋" w:hAnsi="仿宋" w:eastAsia="仿宋"/>
          <w:spacing w:val="6"/>
          <w:szCs w:val="21"/>
        </w:rPr>
        <w:t>本人经由</w:t>
      </w:r>
      <w:r>
        <w:rPr>
          <w:rFonts w:ascii="仿宋" w:hAnsi="仿宋" w:eastAsia="仿宋"/>
          <w:spacing w:val="6"/>
          <w:szCs w:val="21"/>
          <w:u w:val="single"/>
        </w:rPr>
        <w:t xml:space="preserve">                    （单位全称）</w:t>
      </w:r>
      <w:r>
        <w:rPr>
          <w:rFonts w:ascii="仿宋" w:hAnsi="仿宋" w:eastAsia="仿宋"/>
          <w:spacing w:val="6"/>
          <w:szCs w:val="21"/>
        </w:rPr>
        <w:t>负责人</w:t>
      </w:r>
      <w:r>
        <w:rPr>
          <w:rFonts w:ascii="仿宋" w:hAnsi="仿宋" w:eastAsia="仿宋"/>
          <w:spacing w:val="6"/>
          <w:szCs w:val="21"/>
          <w:u w:val="single"/>
        </w:rPr>
        <w:t xml:space="preserve">        （法人姓名）</w:t>
      </w:r>
      <w:r>
        <w:rPr>
          <w:rFonts w:ascii="仿宋" w:hAnsi="仿宋" w:eastAsia="仿宋"/>
          <w:spacing w:val="6"/>
          <w:szCs w:val="21"/>
        </w:rPr>
        <w:t>合法授权参加</w:t>
      </w:r>
      <w:r>
        <w:rPr>
          <w:rFonts w:ascii="仿宋" w:hAnsi="仿宋" w:eastAsia="仿宋"/>
          <w:spacing w:val="6"/>
          <w:szCs w:val="21"/>
          <w:u w:val="single"/>
        </w:rPr>
        <w:t xml:space="preserve">              </w:t>
      </w:r>
      <w:r>
        <w:rPr>
          <w:rFonts w:ascii="仿宋" w:hAnsi="仿宋" w:eastAsia="仿宋"/>
          <w:spacing w:val="6"/>
          <w:szCs w:val="21"/>
        </w:rPr>
        <w:t>项目</w:t>
      </w:r>
      <w:r>
        <w:rPr>
          <w:rFonts w:ascii="仿宋" w:hAnsi="仿宋" w:eastAsia="仿宋"/>
          <w:spacing w:val="6"/>
          <w:szCs w:val="21"/>
          <w:u w:val="single"/>
        </w:rPr>
        <w:t>（编号：        ）</w:t>
      </w:r>
      <w:r>
        <w:rPr>
          <w:rFonts w:ascii="仿宋" w:hAnsi="仿宋" w:eastAsia="仿宋"/>
          <w:spacing w:val="6"/>
          <w:szCs w:val="21"/>
        </w:rPr>
        <w:t xml:space="preserve">政府采购活动，经与本单位法人代表（负责人）联系确认，现就有关公平竞争事项郑重声明如下： </w:t>
      </w:r>
    </w:p>
    <w:p>
      <w:pPr>
        <w:pStyle w:val="841"/>
        <w:widowControl/>
        <w:numPr>
          <w:ilvl w:val="0"/>
          <w:numId w:val="4"/>
        </w:numPr>
        <w:snapToGrid w:val="0"/>
        <w:spacing w:before="120" w:beforeLines="50" w:line="320" w:lineRule="exact"/>
        <w:ind w:firstLine="424" w:firstLineChars="202"/>
        <w:rPr>
          <w:rFonts w:ascii="仿宋" w:hAnsi="仿宋" w:eastAsia="仿宋"/>
          <w:kern w:val="0"/>
          <w:sz w:val="21"/>
          <w:szCs w:val="21"/>
        </w:rPr>
      </w:pPr>
      <w:r>
        <w:rPr>
          <w:rFonts w:ascii="仿宋" w:hAnsi="仿宋" w:eastAsia="仿宋"/>
          <w:kern w:val="0"/>
          <w:sz w:val="21"/>
          <w:szCs w:val="21"/>
        </w:rPr>
        <w:t xml:space="preserve">本单位与采购人之间 </w:t>
      </w:r>
      <w:r>
        <w:rPr>
          <w:rFonts w:ascii="仿宋" w:hAnsi="仿宋" w:eastAsia="仿宋" w:cs="宋体"/>
          <w:kern w:val="0"/>
          <w:sz w:val="21"/>
          <w:szCs w:val="21"/>
        </w:rPr>
        <w:t>□</w:t>
      </w:r>
      <w:r>
        <w:rPr>
          <w:rFonts w:ascii="仿宋" w:hAnsi="仿宋" w:eastAsia="仿宋"/>
          <w:kern w:val="0"/>
          <w:sz w:val="21"/>
          <w:szCs w:val="21"/>
        </w:rPr>
        <w:t xml:space="preserve">不存在利害关系 </w:t>
      </w:r>
      <w:r>
        <w:rPr>
          <w:rFonts w:ascii="仿宋" w:hAnsi="仿宋" w:eastAsia="仿宋" w:cs="宋体"/>
          <w:kern w:val="0"/>
          <w:sz w:val="21"/>
          <w:szCs w:val="21"/>
        </w:rPr>
        <w:t>□</w:t>
      </w:r>
      <w:r>
        <w:rPr>
          <w:rFonts w:ascii="仿宋" w:hAnsi="仿宋" w:eastAsia="仿宋"/>
          <w:kern w:val="0"/>
          <w:sz w:val="21"/>
          <w:szCs w:val="21"/>
        </w:rPr>
        <w:t>存在下列利害关系</w:t>
      </w:r>
      <w:r>
        <w:rPr>
          <w:rFonts w:ascii="仿宋" w:hAnsi="仿宋" w:eastAsia="仿宋"/>
          <w:kern w:val="0"/>
          <w:sz w:val="21"/>
          <w:szCs w:val="21"/>
          <w:u w:val="single"/>
        </w:rPr>
        <w:t xml:space="preserve">           </w:t>
      </w:r>
      <w:r>
        <w:rPr>
          <w:rFonts w:ascii="仿宋" w:hAnsi="仿宋" w:eastAsia="仿宋"/>
          <w:kern w:val="0"/>
          <w:sz w:val="21"/>
          <w:szCs w:val="21"/>
        </w:rPr>
        <w:t>：</w:t>
      </w:r>
    </w:p>
    <w:p>
      <w:pPr>
        <w:pStyle w:val="841"/>
        <w:widowControl/>
        <w:snapToGrid w:val="0"/>
        <w:spacing w:before="120" w:beforeLines="50" w:line="320" w:lineRule="exact"/>
        <w:ind w:firstLine="424" w:firstLineChars="202"/>
        <w:rPr>
          <w:rFonts w:ascii="仿宋" w:hAnsi="仿宋" w:eastAsia="仿宋"/>
          <w:kern w:val="0"/>
          <w:sz w:val="21"/>
          <w:szCs w:val="21"/>
        </w:rPr>
      </w:pPr>
      <w:r>
        <w:rPr>
          <w:rFonts w:ascii="仿宋" w:hAnsi="仿宋" w:eastAsia="仿宋"/>
          <w:kern w:val="0"/>
          <w:sz w:val="21"/>
          <w:szCs w:val="21"/>
        </w:rPr>
        <w:t xml:space="preserve">  A.投资关系    B.行政隶属关系    C.业务指导关系</w:t>
      </w:r>
    </w:p>
    <w:p>
      <w:pPr>
        <w:pStyle w:val="841"/>
        <w:widowControl/>
        <w:snapToGrid w:val="0"/>
        <w:spacing w:before="120" w:beforeLines="50" w:line="320" w:lineRule="exact"/>
        <w:ind w:firstLine="424" w:firstLineChars="202"/>
        <w:rPr>
          <w:rFonts w:ascii="仿宋" w:hAnsi="仿宋" w:eastAsia="仿宋"/>
          <w:kern w:val="0"/>
          <w:sz w:val="21"/>
          <w:szCs w:val="21"/>
        </w:rPr>
      </w:pPr>
      <w:r>
        <w:rPr>
          <w:rFonts w:ascii="仿宋" w:hAnsi="仿宋" w:eastAsia="仿宋"/>
          <w:kern w:val="0"/>
          <w:sz w:val="21"/>
          <w:szCs w:val="21"/>
        </w:rPr>
        <w:t xml:space="preserve">  D.其他可能</w:t>
      </w:r>
      <w:r>
        <w:rPr>
          <w:rFonts w:ascii="仿宋" w:hAnsi="仿宋" w:eastAsia="仿宋"/>
          <w:sz w:val="21"/>
          <w:szCs w:val="21"/>
        </w:rPr>
        <w:t>影响采购公正的</w:t>
      </w:r>
      <w:r>
        <w:rPr>
          <w:rFonts w:ascii="仿宋" w:hAnsi="仿宋" w:eastAsia="仿宋"/>
          <w:kern w:val="0"/>
          <w:sz w:val="21"/>
          <w:szCs w:val="21"/>
        </w:rPr>
        <w:t>利害关系</w:t>
      </w:r>
      <w:r>
        <w:rPr>
          <w:rFonts w:ascii="仿宋" w:hAnsi="仿宋" w:eastAsia="仿宋"/>
          <w:kern w:val="0"/>
          <w:sz w:val="21"/>
          <w:szCs w:val="21"/>
          <w:u w:val="single"/>
        </w:rPr>
        <w:t xml:space="preserve">（如有，请如实说明）                 </w:t>
      </w:r>
      <w:r>
        <w:rPr>
          <w:rFonts w:ascii="仿宋" w:hAnsi="仿宋" w:eastAsia="仿宋"/>
          <w:kern w:val="0"/>
          <w:sz w:val="21"/>
          <w:szCs w:val="21"/>
        </w:rPr>
        <w:t>。</w:t>
      </w:r>
    </w:p>
    <w:p>
      <w:pPr>
        <w:pStyle w:val="841"/>
        <w:widowControl/>
        <w:snapToGrid w:val="0"/>
        <w:spacing w:before="120" w:beforeLines="50" w:line="320" w:lineRule="exact"/>
        <w:ind w:firstLine="448" w:firstLineChars="202"/>
        <w:rPr>
          <w:rFonts w:ascii="仿宋" w:hAnsi="仿宋" w:eastAsia="仿宋"/>
          <w:kern w:val="0"/>
          <w:sz w:val="21"/>
          <w:szCs w:val="21"/>
        </w:rPr>
      </w:pPr>
      <w:r>
        <w:rPr>
          <w:rFonts w:ascii="仿宋" w:hAnsi="仿宋" w:eastAsia="仿宋"/>
          <w:spacing w:val="6"/>
          <w:sz w:val="21"/>
          <w:szCs w:val="21"/>
        </w:rPr>
        <w:t>二、</w:t>
      </w:r>
      <w:r>
        <w:rPr>
          <w:rFonts w:ascii="仿宋" w:hAnsi="仿宋" w:eastAsia="仿宋"/>
          <w:kern w:val="0"/>
          <w:sz w:val="21"/>
          <w:szCs w:val="21"/>
        </w:rPr>
        <w:t xml:space="preserve">现已清楚知道参加本项目采购活动的其他所有供应商名称，本单位 </w:t>
      </w:r>
      <w:r>
        <w:rPr>
          <w:rFonts w:ascii="仿宋" w:hAnsi="仿宋" w:eastAsia="仿宋" w:cs="宋体"/>
          <w:kern w:val="0"/>
          <w:sz w:val="21"/>
          <w:szCs w:val="21"/>
        </w:rPr>
        <w:t>□与其他所有供应商之间均</w:t>
      </w:r>
      <w:r>
        <w:rPr>
          <w:rFonts w:ascii="仿宋" w:hAnsi="仿宋" w:eastAsia="仿宋"/>
          <w:kern w:val="0"/>
          <w:sz w:val="21"/>
          <w:szCs w:val="21"/>
        </w:rPr>
        <w:t xml:space="preserve">不存在利害关系 </w:t>
      </w:r>
      <w:r>
        <w:rPr>
          <w:rFonts w:ascii="仿宋" w:hAnsi="仿宋" w:eastAsia="仿宋" w:cs="宋体"/>
          <w:kern w:val="0"/>
          <w:sz w:val="21"/>
          <w:szCs w:val="21"/>
        </w:rPr>
        <w:t>□与</w:t>
      </w:r>
      <w:r>
        <w:rPr>
          <w:rFonts w:ascii="仿宋" w:hAnsi="仿宋" w:eastAsia="仿宋" w:cs="宋体"/>
          <w:kern w:val="0"/>
          <w:sz w:val="21"/>
          <w:szCs w:val="21"/>
          <w:u w:val="single"/>
        </w:rPr>
        <w:t xml:space="preserve">           （供应商名称）</w:t>
      </w:r>
      <w:r>
        <w:rPr>
          <w:rFonts w:ascii="仿宋" w:hAnsi="仿宋" w:eastAsia="仿宋" w:cs="宋体"/>
          <w:kern w:val="0"/>
          <w:sz w:val="21"/>
          <w:szCs w:val="21"/>
        </w:rPr>
        <w:t>之间</w:t>
      </w:r>
      <w:r>
        <w:rPr>
          <w:rFonts w:ascii="仿宋" w:hAnsi="仿宋" w:eastAsia="仿宋"/>
          <w:kern w:val="0"/>
          <w:sz w:val="21"/>
          <w:szCs w:val="21"/>
        </w:rPr>
        <w:t>存在下列利害关系</w:t>
      </w:r>
      <w:r>
        <w:rPr>
          <w:rFonts w:ascii="仿宋" w:hAnsi="仿宋" w:eastAsia="仿宋"/>
          <w:kern w:val="0"/>
          <w:sz w:val="21"/>
          <w:szCs w:val="21"/>
          <w:u w:val="single"/>
        </w:rPr>
        <w:t xml:space="preserve">          </w:t>
      </w:r>
      <w:r>
        <w:rPr>
          <w:rFonts w:ascii="仿宋" w:hAnsi="仿宋" w:eastAsia="仿宋"/>
          <w:kern w:val="0"/>
          <w:sz w:val="21"/>
          <w:szCs w:val="21"/>
        </w:rPr>
        <w:t>：</w:t>
      </w:r>
    </w:p>
    <w:p>
      <w:pPr>
        <w:pStyle w:val="332"/>
        <w:adjustRightInd w:val="0"/>
        <w:snapToGrid w:val="0"/>
        <w:spacing w:line="360" w:lineRule="auto"/>
        <w:ind w:firstLine="200"/>
        <w:rPr>
          <w:rFonts w:ascii="仿宋" w:hAnsi="仿宋" w:eastAsia="仿宋"/>
          <w:szCs w:val="21"/>
        </w:rPr>
      </w:pPr>
      <w:r>
        <w:rPr>
          <w:rFonts w:ascii="仿宋" w:hAnsi="仿宋" w:eastAsia="仿宋"/>
          <w:szCs w:val="21"/>
        </w:rPr>
        <w:t xml:space="preserve">  A.法定代表人或负责人或实际控制人是同一人</w:t>
      </w:r>
    </w:p>
    <w:p>
      <w:pPr>
        <w:pStyle w:val="332"/>
        <w:adjustRightInd w:val="0"/>
        <w:snapToGrid w:val="0"/>
        <w:spacing w:line="360" w:lineRule="auto"/>
        <w:ind w:firstLine="200"/>
        <w:rPr>
          <w:rFonts w:ascii="仿宋" w:hAnsi="仿宋" w:eastAsia="仿宋"/>
          <w:spacing w:val="6"/>
          <w:szCs w:val="21"/>
        </w:rPr>
      </w:pPr>
      <w:r>
        <w:rPr>
          <w:rFonts w:ascii="仿宋" w:hAnsi="仿宋" w:eastAsia="仿宋"/>
          <w:szCs w:val="21"/>
        </w:rPr>
        <w:t xml:space="preserve">  B.法定代表人或负责人或实际控制人是夫妻关系</w:t>
      </w:r>
    </w:p>
    <w:p>
      <w:pPr>
        <w:pStyle w:val="332"/>
        <w:adjustRightInd w:val="0"/>
        <w:snapToGrid w:val="0"/>
        <w:spacing w:line="360" w:lineRule="auto"/>
        <w:ind w:firstLine="200"/>
        <w:rPr>
          <w:rFonts w:ascii="仿宋" w:hAnsi="仿宋" w:eastAsia="仿宋"/>
          <w:spacing w:val="6"/>
          <w:szCs w:val="21"/>
        </w:rPr>
      </w:pPr>
      <w:r>
        <w:rPr>
          <w:rFonts w:ascii="仿宋" w:hAnsi="仿宋" w:eastAsia="仿宋"/>
          <w:szCs w:val="21"/>
        </w:rPr>
        <w:t xml:space="preserve">  C.法定代表人或负责人或实际控制人是直系血亲关系</w:t>
      </w:r>
    </w:p>
    <w:p>
      <w:pPr>
        <w:pStyle w:val="332"/>
        <w:adjustRightInd w:val="0"/>
        <w:snapToGrid w:val="0"/>
        <w:spacing w:line="360" w:lineRule="auto"/>
        <w:ind w:firstLine="200"/>
        <w:rPr>
          <w:rFonts w:ascii="仿宋" w:hAnsi="仿宋" w:eastAsia="仿宋"/>
          <w:spacing w:val="6"/>
          <w:szCs w:val="21"/>
        </w:rPr>
      </w:pPr>
      <w:r>
        <w:rPr>
          <w:rFonts w:ascii="仿宋" w:hAnsi="仿宋" w:eastAsia="仿宋"/>
          <w:szCs w:val="21"/>
        </w:rPr>
        <w:t xml:space="preserve">  D.法定代表人或负责人或实际控制人存在三代以内旁系血亲关系</w:t>
      </w:r>
    </w:p>
    <w:p>
      <w:pPr>
        <w:pStyle w:val="332"/>
        <w:adjustRightInd w:val="0"/>
        <w:snapToGrid w:val="0"/>
        <w:spacing w:line="360" w:lineRule="auto"/>
        <w:ind w:firstLine="200"/>
        <w:rPr>
          <w:rFonts w:ascii="仿宋" w:hAnsi="仿宋" w:eastAsia="仿宋"/>
          <w:szCs w:val="21"/>
        </w:rPr>
      </w:pPr>
      <w:r>
        <w:rPr>
          <w:rFonts w:ascii="仿宋" w:hAnsi="仿宋" w:eastAsia="仿宋"/>
          <w:szCs w:val="21"/>
        </w:rPr>
        <w:t xml:space="preserve">  E.法定代表人或负责人或实际控制人存在近姻亲关系</w:t>
      </w:r>
    </w:p>
    <w:p>
      <w:pPr>
        <w:pStyle w:val="332"/>
        <w:adjustRightInd w:val="0"/>
        <w:snapToGrid w:val="0"/>
        <w:spacing w:line="360" w:lineRule="auto"/>
        <w:ind w:firstLine="200"/>
        <w:rPr>
          <w:rFonts w:ascii="仿宋" w:hAnsi="仿宋" w:eastAsia="仿宋"/>
          <w:szCs w:val="21"/>
        </w:rPr>
      </w:pPr>
      <w:r>
        <w:rPr>
          <w:rFonts w:ascii="仿宋" w:hAnsi="仿宋" w:eastAsia="仿宋"/>
          <w:szCs w:val="21"/>
        </w:rPr>
        <w:t xml:space="preserve">  F.法定代表人或负责人或实际控制人存在股份控制或实际控制关系</w:t>
      </w:r>
    </w:p>
    <w:p>
      <w:pPr>
        <w:pStyle w:val="332"/>
        <w:adjustRightInd w:val="0"/>
        <w:snapToGrid w:val="0"/>
        <w:spacing w:line="360" w:lineRule="auto"/>
        <w:ind w:firstLine="200"/>
        <w:rPr>
          <w:rFonts w:ascii="仿宋" w:hAnsi="仿宋" w:eastAsia="仿宋"/>
          <w:szCs w:val="21"/>
        </w:rPr>
      </w:pPr>
      <w:r>
        <w:rPr>
          <w:rFonts w:ascii="仿宋" w:hAnsi="仿宋" w:eastAsia="仿宋"/>
          <w:szCs w:val="21"/>
        </w:rPr>
        <w:t xml:space="preserve">  G.存在共同直接或间接投资设立子公司、联营企业和合营企业情况</w:t>
      </w:r>
    </w:p>
    <w:p>
      <w:pPr>
        <w:pStyle w:val="332"/>
        <w:adjustRightInd w:val="0"/>
        <w:snapToGrid w:val="0"/>
        <w:spacing w:line="360" w:lineRule="auto"/>
        <w:ind w:firstLine="200"/>
        <w:rPr>
          <w:rFonts w:ascii="仿宋" w:hAnsi="仿宋" w:eastAsia="仿宋"/>
          <w:szCs w:val="21"/>
        </w:rPr>
      </w:pPr>
      <w:r>
        <w:rPr>
          <w:rFonts w:ascii="仿宋" w:hAnsi="仿宋" w:eastAsia="仿宋"/>
          <w:szCs w:val="21"/>
        </w:rPr>
        <w:t xml:space="preserve">  H.存在分级代理或代销关系、同一生产制造商关系、管理关系、重要业务（占主营业务收入50%以上）或重要财务往来关系（如融资）等其他实质性控制关系</w:t>
      </w:r>
    </w:p>
    <w:p>
      <w:pPr>
        <w:pStyle w:val="332"/>
        <w:adjustRightInd w:val="0"/>
        <w:snapToGrid w:val="0"/>
        <w:spacing w:line="360" w:lineRule="auto"/>
        <w:ind w:firstLine="200"/>
        <w:rPr>
          <w:rFonts w:ascii="仿宋" w:hAnsi="仿宋" w:eastAsia="仿宋"/>
          <w:spacing w:val="6"/>
          <w:szCs w:val="21"/>
        </w:rPr>
      </w:pPr>
      <w:r>
        <w:rPr>
          <w:rFonts w:ascii="仿宋" w:hAnsi="仿宋" w:eastAsia="仿宋"/>
          <w:szCs w:val="21"/>
        </w:rPr>
        <w:t xml:space="preserve">  I.其他利害关系情况</w:t>
      </w:r>
      <w:r>
        <w:rPr>
          <w:rFonts w:ascii="仿宋" w:hAnsi="仿宋" w:eastAsia="仿宋"/>
          <w:szCs w:val="21"/>
          <w:u w:val="single"/>
        </w:rPr>
        <w:t xml:space="preserve">                              </w:t>
      </w:r>
      <w:r>
        <w:rPr>
          <w:rFonts w:ascii="仿宋" w:hAnsi="仿宋" w:eastAsia="仿宋"/>
          <w:szCs w:val="21"/>
        </w:rPr>
        <w:t>。</w:t>
      </w:r>
    </w:p>
    <w:p>
      <w:pPr>
        <w:pStyle w:val="841"/>
        <w:widowControl/>
        <w:numPr>
          <w:ilvl w:val="0"/>
          <w:numId w:val="5"/>
        </w:numPr>
        <w:snapToGrid w:val="0"/>
        <w:spacing w:after="120" w:line="360" w:lineRule="auto"/>
        <w:ind w:firstLine="396" w:firstLineChars="189"/>
        <w:rPr>
          <w:rFonts w:ascii="仿宋" w:hAnsi="仿宋" w:eastAsia="仿宋"/>
          <w:kern w:val="0"/>
          <w:sz w:val="21"/>
          <w:szCs w:val="21"/>
        </w:rPr>
      </w:pPr>
      <w:r>
        <w:rPr>
          <w:rFonts w:ascii="仿宋" w:hAnsi="仿宋" w:eastAsia="仿宋"/>
          <w:sz w:val="21"/>
          <w:szCs w:val="21"/>
        </w:rPr>
        <w:t>现已清楚知道并</w:t>
      </w:r>
      <w:r>
        <w:rPr>
          <w:rFonts w:ascii="仿宋" w:hAnsi="仿宋" w:eastAsia="仿宋"/>
          <w:kern w:val="0"/>
          <w:sz w:val="21"/>
          <w:szCs w:val="21"/>
        </w:rPr>
        <w:t>严格遵守政府采购法律法规和现场纪律。</w:t>
      </w:r>
    </w:p>
    <w:p>
      <w:pPr>
        <w:pStyle w:val="841"/>
        <w:widowControl/>
        <w:numPr>
          <w:ilvl w:val="0"/>
          <w:numId w:val="5"/>
        </w:numPr>
        <w:snapToGrid w:val="0"/>
        <w:spacing w:after="120" w:line="360" w:lineRule="auto"/>
        <w:ind w:firstLine="396" w:firstLineChars="189"/>
        <w:rPr>
          <w:rFonts w:ascii="仿宋" w:hAnsi="仿宋" w:eastAsia="仿宋"/>
          <w:kern w:val="0"/>
          <w:sz w:val="21"/>
          <w:szCs w:val="21"/>
        </w:rPr>
      </w:pPr>
      <w:r>
        <w:rPr>
          <w:rFonts w:ascii="仿宋" w:hAnsi="仿宋" w:eastAsia="仿宋"/>
          <w:kern w:val="0"/>
          <w:sz w:val="21"/>
          <w:szCs w:val="21"/>
        </w:rPr>
        <w:t>我发现</w:t>
      </w:r>
      <w:r>
        <w:rPr>
          <w:rFonts w:ascii="仿宋" w:hAnsi="仿宋" w:eastAsia="仿宋"/>
          <w:kern w:val="0"/>
          <w:sz w:val="21"/>
          <w:szCs w:val="21"/>
          <w:u w:val="single"/>
        </w:rPr>
        <w:t xml:space="preserve">                    </w:t>
      </w:r>
      <w:r>
        <w:rPr>
          <w:rFonts w:ascii="仿宋" w:hAnsi="仿宋" w:eastAsia="仿宋"/>
          <w:kern w:val="0"/>
          <w:sz w:val="21"/>
          <w:szCs w:val="21"/>
        </w:rPr>
        <w:t>供应商之间存在或可能存在上述第二条第</w:t>
      </w:r>
      <w:r>
        <w:rPr>
          <w:rFonts w:ascii="仿宋" w:hAnsi="仿宋" w:eastAsia="仿宋"/>
          <w:kern w:val="0"/>
          <w:sz w:val="21"/>
          <w:szCs w:val="21"/>
          <w:u w:val="single"/>
        </w:rPr>
        <w:t xml:space="preserve">        </w:t>
      </w:r>
      <w:r>
        <w:rPr>
          <w:rFonts w:ascii="仿宋" w:hAnsi="仿宋" w:eastAsia="仿宋"/>
          <w:kern w:val="0"/>
          <w:sz w:val="21"/>
          <w:szCs w:val="21"/>
        </w:rPr>
        <w:t>项利害关系。</w:t>
      </w:r>
    </w:p>
    <w:p>
      <w:pPr>
        <w:pStyle w:val="841"/>
        <w:widowControl/>
        <w:numPr>
          <w:ilvl w:val="0"/>
          <w:numId w:val="5"/>
        </w:numPr>
        <w:snapToGrid w:val="0"/>
        <w:spacing w:after="120" w:line="360" w:lineRule="auto"/>
        <w:ind w:firstLine="396" w:firstLineChars="189"/>
        <w:rPr>
          <w:rFonts w:ascii="仿宋" w:hAnsi="仿宋" w:eastAsia="仿宋"/>
          <w:kern w:val="0"/>
          <w:sz w:val="21"/>
          <w:szCs w:val="21"/>
        </w:rPr>
      </w:pPr>
      <w:r>
        <w:rPr>
          <w:rFonts w:ascii="仿宋" w:hAnsi="仿宋" w:eastAsia="仿宋"/>
          <w:kern w:val="0"/>
          <w:sz w:val="21"/>
          <w:szCs w:val="21"/>
        </w:rPr>
        <w:t>经检查确认所有供应商投标文件</w:t>
      </w:r>
      <w:r>
        <w:rPr>
          <w:rFonts w:ascii="仿宋" w:hAnsi="仿宋" w:eastAsia="仿宋" w:cs="宋体"/>
          <w:kern w:val="0"/>
          <w:sz w:val="21"/>
          <w:szCs w:val="21"/>
        </w:rPr>
        <w:t>□</w:t>
      </w:r>
      <w:r>
        <w:rPr>
          <w:rFonts w:ascii="仿宋" w:hAnsi="仿宋" w:eastAsia="仿宋"/>
          <w:kern w:val="0"/>
          <w:sz w:val="21"/>
          <w:szCs w:val="21"/>
        </w:rPr>
        <w:t xml:space="preserve">不存在密封包装问题  </w:t>
      </w:r>
      <w:r>
        <w:rPr>
          <w:rFonts w:ascii="仿宋" w:hAnsi="仿宋" w:eastAsia="仿宋" w:cs="宋体"/>
          <w:kern w:val="0"/>
          <w:sz w:val="21"/>
          <w:szCs w:val="21"/>
        </w:rPr>
        <w:t>□</w:t>
      </w:r>
      <w:r>
        <w:rPr>
          <w:rFonts w:ascii="仿宋" w:hAnsi="仿宋" w:eastAsia="仿宋"/>
          <w:kern w:val="0"/>
          <w:sz w:val="21"/>
          <w:szCs w:val="21"/>
        </w:rPr>
        <w:t>存在密封包装问题（具体指出）</w:t>
      </w:r>
      <w:r>
        <w:rPr>
          <w:rFonts w:ascii="仿宋" w:hAnsi="仿宋" w:eastAsia="仿宋"/>
          <w:kern w:val="0"/>
          <w:sz w:val="21"/>
          <w:szCs w:val="21"/>
          <w:u w:val="single"/>
        </w:rPr>
        <w:t xml:space="preserve">                            </w:t>
      </w:r>
      <w:r>
        <w:rPr>
          <w:rFonts w:ascii="仿宋" w:hAnsi="仿宋" w:eastAsia="仿宋"/>
          <w:kern w:val="0"/>
          <w:sz w:val="21"/>
          <w:szCs w:val="21"/>
        </w:rPr>
        <w:t>。</w:t>
      </w:r>
    </w:p>
    <w:p>
      <w:pPr>
        <w:pStyle w:val="841"/>
        <w:widowControl/>
        <w:snapToGrid w:val="0"/>
        <w:spacing w:after="120" w:line="360" w:lineRule="auto"/>
        <w:ind w:firstLine="420"/>
        <w:rPr>
          <w:rFonts w:ascii="仿宋" w:hAnsi="仿宋" w:eastAsia="仿宋"/>
          <w:kern w:val="0"/>
          <w:sz w:val="21"/>
          <w:szCs w:val="21"/>
        </w:rPr>
      </w:pPr>
    </w:p>
    <w:p>
      <w:pPr>
        <w:pStyle w:val="332"/>
        <w:adjustRightInd w:val="0"/>
        <w:snapToGrid w:val="0"/>
        <w:spacing w:line="360" w:lineRule="auto"/>
        <w:ind w:firstLine="420" w:firstLineChars="200"/>
        <w:rPr>
          <w:rFonts w:ascii="仿宋" w:hAnsi="仿宋" w:eastAsia="仿宋"/>
          <w:szCs w:val="21"/>
        </w:rPr>
      </w:pPr>
      <w:r>
        <w:rPr>
          <w:rFonts w:ascii="仿宋" w:hAnsi="仿宋" w:eastAsia="仿宋"/>
          <w:szCs w:val="21"/>
        </w:rPr>
        <w:t xml:space="preserve">                                （供应商代表签名）</w:t>
      </w:r>
    </w:p>
    <w:p>
      <w:pPr>
        <w:ind w:firstLine="480"/>
        <w:jc w:val="right"/>
        <w:rPr>
          <w:rFonts w:ascii="仿宋" w:hAnsi="仿宋" w:eastAsia="仿宋"/>
          <w:szCs w:val="21"/>
        </w:rPr>
      </w:pP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pPr>
        <w:snapToGrid w:val="0"/>
        <w:spacing w:line="360" w:lineRule="auto"/>
        <w:rPr>
          <w:rFonts w:ascii="仿宋" w:hAnsi="仿宋" w:eastAsia="仿宋"/>
          <w:szCs w:val="21"/>
        </w:rPr>
      </w:pPr>
    </w:p>
    <w:p>
      <w:pPr>
        <w:snapToGrid w:val="0"/>
        <w:spacing w:line="360" w:lineRule="auto"/>
        <w:rPr>
          <w:rFonts w:ascii="仿宋" w:hAnsi="仿宋" w:eastAsia="仿宋"/>
          <w:b/>
          <w:szCs w:val="21"/>
        </w:rPr>
      </w:pPr>
      <w:r>
        <w:rPr>
          <w:rFonts w:hint="eastAsia" w:ascii="仿宋" w:hAnsi="仿宋" w:eastAsia="仿宋"/>
          <w:b/>
          <w:szCs w:val="21"/>
        </w:rPr>
        <w:t>注：结束解密后，供应商通过邮件形式将经授权代表签署的《政府采购活动现场确认声明书》扫描件发至代理机构经办人邮箱（邮箱地址：1905135046@qq.com，联系人：严淳，电话：18007898088）</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方正小标宋简体">
    <w:altName w:val="黑体"/>
    <w:panose1 w:val="00000000000000000000"/>
    <w:charset w:val="86"/>
    <w:family w:val="script"/>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23</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73</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szCs w:val="24"/>
      </w:rPr>
    </w:pPr>
    <w:r>
      <w:rPr>
        <w:rFonts w:hint="eastAsia" w:ascii="仿宋" w:hAnsi="仿宋" w:eastAsia="仿宋"/>
        <w:b/>
        <w:bCs/>
        <w:kern w:val="0"/>
        <w:szCs w:val="21"/>
      </w:rPr>
      <w:t xml:space="preserve">第 </w:t>
    </w:r>
    <w:r>
      <w:rPr>
        <w:rFonts w:hint="eastAsia" w:ascii="仿宋" w:hAnsi="仿宋" w:eastAsia="仿宋"/>
        <w:b/>
        <w:bCs/>
        <w:kern w:val="0"/>
        <w:szCs w:val="21"/>
      </w:rPr>
      <w:fldChar w:fldCharType="begin"/>
    </w:r>
    <w:r>
      <w:rPr>
        <w:rFonts w:hint="eastAsia" w:ascii="仿宋" w:hAnsi="仿宋" w:eastAsia="仿宋"/>
        <w:b/>
        <w:bCs/>
        <w:kern w:val="0"/>
        <w:szCs w:val="21"/>
      </w:rPr>
      <w:instrText xml:space="preserve"> PAGE </w:instrText>
    </w:r>
    <w:r>
      <w:rPr>
        <w:rFonts w:hint="eastAsia" w:ascii="仿宋" w:hAnsi="仿宋" w:eastAsia="仿宋"/>
        <w:b/>
        <w:bCs/>
        <w:kern w:val="0"/>
        <w:szCs w:val="21"/>
      </w:rPr>
      <w:fldChar w:fldCharType="separate"/>
    </w:r>
    <w:r>
      <w:rPr>
        <w:rFonts w:ascii="仿宋" w:hAnsi="仿宋" w:eastAsia="仿宋"/>
        <w:b/>
        <w:bCs/>
        <w:kern w:val="0"/>
        <w:szCs w:val="21"/>
      </w:rPr>
      <w:t>72</w:t>
    </w:r>
    <w:r>
      <w:rPr>
        <w:rFonts w:hint="eastAsia" w:ascii="仿宋" w:hAnsi="仿宋" w:eastAsia="仿宋"/>
        <w:b/>
        <w:bCs/>
        <w:kern w:val="0"/>
        <w:szCs w:val="21"/>
      </w:rPr>
      <w:fldChar w:fldCharType="end"/>
    </w:r>
    <w:r>
      <w:rPr>
        <w:rFonts w:hint="eastAsia" w:ascii="仿宋" w:hAnsi="仿宋" w:eastAsia="仿宋"/>
        <w:b/>
        <w:bCs/>
        <w:kern w:val="0"/>
        <w:szCs w:val="21"/>
      </w:rPr>
      <w:t xml:space="preserve"> 页 共 </w:t>
    </w:r>
    <w:r>
      <w:rPr>
        <w:rFonts w:hint="eastAsia" w:ascii="仿宋" w:hAnsi="仿宋" w:eastAsia="仿宋"/>
        <w:b/>
        <w:bCs/>
        <w:kern w:val="0"/>
        <w:szCs w:val="21"/>
      </w:rPr>
      <w:fldChar w:fldCharType="begin"/>
    </w:r>
    <w:r>
      <w:rPr>
        <w:rFonts w:hint="eastAsia" w:ascii="仿宋" w:hAnsi="仿宋" w:eastAsia="仿宋"/>
        <w:b/>
        <w:bCs/>
        <w:kern w:val="0"/>
        <w:szCs w:val="21"/>
      </w:rPr>
      <w:instrText xml:space="preserve"> NUMPAGES </w:instrText>
    </w:r>
    <w:r>
      <w:rPr>
        <w:rFonts w:hint="eastAsia" w:ascii="仿宋" w:hAnsi="仿宋" w:eastAsia="仿宋"/>
        <w:b/>
        <w:bCs/>
        <w:kern w:val="0"/>
        <w:szCs w:val="21"/>
      </w:rPr>
      <w:fldChar w:fldCharType="separate"/>
    </w:r>
    <w:r>
      <w:rPr>
        <w:rFonts w:ascii="仿宋" w:hAnsi="仿宋" w:eastAsia="仿宋"/>
        <w:b/>
        <w:bCs/>
        <w:kern w:val="0"/>
        <w:szCs w:val="21"/>
      </w:rPr>
      <w:t>74</w:t>
    </w:r>
    <w:r>
      <w:rPr>
        <w:rFonts w:hint="eastAsia" w:ascii="仿宋" w:hAnsi="仿宋" w:eastAsia="仿宋"/>
        <w:b/>
        <w:bCs/>
        <w:kern w:val="0"/>
        <w:szCs w:val="21"/>
      </w:rPr>
      <w:fldChar w:fldCharType="end"/>
    </w:r>
    <w:r>
      <w:rPr>
        <w:rFonts w:hint="eastAsia" w:ascii="仿宋" w:hAnsi="仿宋" w:eastAsia="仿宋"/>
        <w:b/>
        <w:bCs/>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rPr>
    </w:pPr>
    <w:r>
      <w:rPr>
        <w:rFonts w:hint="eastAsia" w:ascii="仿宋" w:hAnsi="仿宋" w:eastAsia="仿宋"/>
        <w:b/>
        <w:bCs/>
        <w:kern w:val="0"/>
        <w:szCs w:val="21"/>
      </w:rPr>
      <w:t xml:space="preserve">第 </w:t>
    </w:r>
    <w:r>
      <w:rPr>
        <w:rFonts w:hint="eastAsia" w:ascii="仿宋" w:hAnsi="仿宋" w:eastAsia="仿宋"/>
        <w:b/>
        <w:bCs/>
        <w:kern w:val="0"/>
        <w:szCs w:val="21"/>
      </w:rPr>
      <w:fldChar w:fldCharType="begin"/>
    </w:r>
    <w:r>
      <w:rPr>
        <w:rFonts w:hint="eastAsia" w:ascii="仿宋" w:hAnsi="仿宋" w:eastAsia="仿宋"/>
        <w:b/>
        <w:bCs/>
        <w:kern w:val="0"/>
        <w:szCs w:val="21"/>
      </w:rPr>
      <w:instrText xml:space="preserve"> PAGE </w:instrText>
    </w:r>
    <w:r>
      <w:rPr>
        <w:rFonts w:hint="eastAsia" w:ascii="仿宋" w:hAnsi="仿宋" w:eastAsia="仿宋"/>
        <w:b/>
        <w:bCs/>
        <w:kern w:val="0"/>
        <w:szCs w:val="21"/>
      </w:rPr>
      <w:fldChar w:fldCharType="separate"/>
    </w:r>
    <w:r>
      <w:rPr>
        <w:rFonts w:ascii="仿宋" w:hAnsi="仿宋" w:eastAsia="仿宋"/>
        <w:b/>
        <w:bCs/>
        <w:kern w:val="0"/>
        <w:szCs w:val="21"/>
      </w:rPr>
      <w:t>73</w:t>
    </w:r>
    <w:r>
      <w:rPr>
        <w:rFonts w:hint="eastAsia" w:ascii="仿宋" w:hAnsi="仿宋" w:eastAsia="仿宋"/>
        <w:b/>
        <w:bCs/>
        <w:kern w:val="0"/>
        <w:szCs w:val="21"/>
      </w:rPr>
      <w:fldChar w:fldCharType="end"/>
    </w:r>
    <w:r>
      <w:rPr>
        <w:rFonts w:hint="eastAsia" w:ascii="仿宋" w:hAnsi="仿宋" w:eastAsia="仿宋"/>
        <w:b/>
        <w:bCs/>
        <w:kern w:val="0"/>
        <w:szCs w:val="21"/>
      </w:rPr>
      <w:t xml:space="preserve"> 页 共 </w:t>
    </w:r>
    <w:r>
      <w:rPr>
        <w:rFonts w:hint="eastAsia" w:ascii="仿宋" w:hAnsi="仿宋" w:eastAsia="仿宋"/>
        <w:b/>
        <w:bCs/>
        <w:kern w:val="0"/>
        <w:szCs w:val="21"/>
      </w:rPr>
      <w:fldChar w:fldCharType="begin"/>
    </w:r>
    <w:r>
      <w:rPr>
        <w:rFonts w:hint="eastAsia" w:ascii="仿宋" w:hAnsi="仿宋" w:eastAsia="仿宋"/>
        <w:b/>
        <w:bCs/>
        <w:kern w:val="0"/>
        <w:szCs w:val="21"/>
      </w:rPr>
      <w:instrText xml:space="preserve"> NUMPAGES </w:instrText>
    </w:r>
    <w:r>
      <w:rPr>
        <w:rFonts w:hint="eastAsia" w:ascii="仿宋" w:hAnsi="仿宋" w:eastAsia="仿宋"/>
        <w:b/>
        <w:bCs/>
        <w:kern w:val="0"/>
        <w:szCs w:val="21"/>
      </w:rPr>
      <w:fldChar w:fldCharType="separate"/>
    </w:r>
    <w:r>
      <w:rPr>
        <w:rFonts w:ascii="仿宋" w:hAnsi="仿宋" w:eastAsia="仿宋"/>
        <w:b/>
        <w:bCs/>
        <w:kern w:val="0"/>
        <w:szCs w:val="21"/>
      </w:rPr>
      <w:t>74</w:t>
    </w:r>
    <w:r>
      <w:rPr>
        <w:rFonts w:hint="eastAsia" w:ascii="仿宋" w:hAnsi="仿宋" w:eastAsia="仿宋"/>
        <w:b/>
        <w:bCs/>
        <w:kern w:val="0"/>
        <w:szCs w:val="21"/>
      </w:rPr>
      <w:fldChar w:fldCharType="end"/>
    </w:r>
    <w:bookmarkStart w:id="401" w:name="_Toc91899912"/>
    <w:bookmarkStart w:id="402" w:name="_Toc131845147"/>
    <w:bookmarkStart w:id="403" w:name="_Toc36110187"/>
    <w:bookmarkStart w:id="404" w:name="_Toc164085800"/>
    <w:r>
      <w:rPr>
        <w:rFonts w:hint="eastAsia" w:ascii="仿宋" w:hAnsi="仿宋" w:eastAsia="仿宋"/>
        <w:b/>
        <w:bCs/>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12</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73</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55</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73</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56</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73</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59</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74</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58</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73</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 w:hAnsi="仿宋" w:eastAsia="仿宋"/>
        <w:b/>
        <w:bCs/>
      </w:rPr>
    </w:pPr>
    <w:r>
      <w:rPr>
        <w:rFonts w:hint="eastAsia" w:ascii="仿宋" w:hAnsi="仿宋" w:eastAsia="仿宋"/>
        <w:b/>
        <w:bCs/>
        <w:kern w:val="0"/>
      </w:rPr>
      <w:t xml:space="preserve">第 </w:t>
    </w:r>
    <w:r>
      <w:rPr>
        <w:rFonts w:hint="eastAsia" w:ascii="仿宋" w:hAnsi="仿宋" w:eastAsia="仿宋"/>
        <w:b/>
        <w:bCs/>
        <w:kern w:val="0"/>
      </w:rPr>
      <w:fldChar w:fldCharType="begin"/>
    </w:r>
    <w:r>
      <w:rPr>
        <w:rFonts w:hint="eastAsia" w:ascii="仿宋" w:hAnsi="仿宋" w:eastAsia="仿宋"/>
        <w:b/>
        <w:bCs/>
        <w:kern w:val="0"/>
      </w:rPr>
      <w:instrText xml:space="preserve"> PAGE </w:instrText>
    </w:r>
    <w:r>
      <w:rPr>
        <w:rFonts w:hint="eastAsia" w:ascii="仿宋" w:hAnsi="仿宋" w:eastAsia="仿宋"/>
        <w:b/>
        <w:bCs/>
        <w:kern w:val="0"/>
      </w:rPr>
      <w:fldChar w:fldCharType="separate"/>
    </w:r>
    <w:r>
      <w:rPr>
        <w:rFonts w:ascii="仿宋" w:hAnsi="仿宋" w:eastAsia="仿宋"/>
        <w:b/>
        <w:bCs/>
        <w:kern w:val="0"/>
      </w:rPr>
      <w:t>61</w:t>
    </w:r>
    <w:r>
      <w:rPr>
        <w:rFonts w:hint="eastAsia" w:ascii="仿宋" w:hAnsi="仿宋" w:eastAsia="仿宋"/>
        <w:b/>
        <w:bCs/>
        <w:kern w:val="0"/>
      </w:rPr>
      <w:fldChar w:fldCharType="end"/>
    </w:r>
    <w:r>
      <w:rPr>
        <w:rFonts w:hint="eastAsia" w:ascii="仿宋" w:hAnsi="仿宋" w:eastAsia="仿宋"/>
        <w:b/>
        <w:bCs/>
        <w:kern w:val="0"/>
      </w:rPr>
      <w:t xml:space="preserve"> 页 共 </w:t>
    </w:r>
    <w:r>
      <w:rPr>
        <w:rFonts w:hint="eastAsia" w:ascii="仿宋" w:hAnsi="仿宋" w:eastAsia="仿宋"/>
        <w:b/>
        <w:bCs/>
        <w:kern w:val="0"/>
      </w:rPr>
      <w:fldChar w:fldCharType="begin"/>
    </w:r>
    <w:r>
      <w:rPr>
        <w:rFonts w:hint="eastAsia" w:ascii="仿宋" w:hAnsi="仿宋" w:eastAsia="仿宋"/>
        <w:b/>
        <w:bCs/>
        <w:kern w:val="0"/>
      </w:rPr>
      <w:instrText xml:space="preserve"> NUMPAGES </w:instrText>
    </w:r>
    <w:r>
      <w:rPr>
        <w:rFonts w:hint="eastAsia" w:ascii="仿宋" w:hAnsi="仿宋" w:eastAsia="仿宋"/>
        <w:b/>
        <w:bCs/>
        <w:kern w:val="0"/>
      </w:rPr>
      <w:fldChar w:fldCharType="separate"/>
    </w:r>
    <w:r>
      <w:rPr>
        <w:rFonts w:ascii="仿宋" w:hAnsi="仿宋" w:eastAsia="仿宋"/>
        <w:b/>
        <w:bCs/>
        <w:kern w:val="0"/>
      </w:rPr>
      <w:t>74</w:t>
    </w:r>
    <w:r>
      <w:rPr>
        <w:rFonts w:hint="eastAsia" w:ascii="仿宋" w:hAnsi="仿宋" w:eastAsia="仿宋"/>
        <w:b/>
        <w:bCs/>
        <w:kern w:val="0"/>
      </w:rPr>
      <w:fldChar w:fldCharType="end"/>
    </w:r>
    <w:r>
      <w:rPr>
        <w:rFonts w:hint="eastAsia" w:ascii="仿宋" w:hAnsi="仿宋" w:eastAsia="仿宋"/>
        <w:b/>
        <w:bCs/>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 w:hAnsi="仿宋" w:eastAsia="仿宋"/>
        <w:b/>
        <w:bCs/>
      </w:rPr>
    </w:pPr>
    <w:r>
      <w:rPr>
        <w:rFonts w:hint="eastAsia"/>
      </w:rPr>
      <w:t xml:space="preserve">        </w:t>
    </w:r>
    <w:r>
      <w:rPr>
        <w:rFonts w:hint="eastAsia"/>
        <w:b/>
        <w:bCs/>
      </w:rPr>
      <w:t xml:space="preserve">     </w:t>
    </w:r>
    <w:r>
      <w:rPr>
        <w:rFonts w:ascii="仿宋" w:hAnsi="仿宋" w:eastAsia="仿宋"/>
        <w:b/>
        <w:bCs/>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 w:hAnsi="仿宋" w:eastAsia="仿宋"/>
        <w:b/>
        <w:bCs/>
      </w:rPr>
    </w:pPr>
    <w:r>
      <w:rPr>
        <w:rFonts w:ascii="仿宋" w:hAnsi="仿宋" w:eastAsia="仿宋"/>
        <w:b/>
        <w:bCs/>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 w:hAnsi="仿宋" w:eastAsia="仿宋"/>
        <w:b/>
        <w:bCs/>
      </w:rPr>
    </w:pPr>
    <w:r>
      <w:rPr>
        <w:rFonts w:ascii="仿宋" w:hAnsi="仿宋" w:eastAsia="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 w:hAnsi="仿宋" w:eastAsia="仿宋"/>
        <w:b/>
        <w:bCs/>
        <w:i/>
        <w:u w:val="single"/>
      </w:rPr>
    </w:pPr>
    <w:r>
      <w:rPr>
        <w:rFonts w:ascii="仿宋" w:hAnsi="仿宋" w:eastAsia="仿宋"/>
        <w:b/>
        <w:bCs/>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 w:hAnsi="仿宋" w:eastAsia="仿宋"/>
        <w:b/>
        <w:bCs/>
      </w:rPr>
    </w:pPr>
    <w:r>
      <w:rPr>
        <w:rFonts w:ascii="仿宋" w:hAnsi="仿宋" w:eastAsia="仿宋"/>
        <w:b/>
        <w:bCs/>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 w:hAnsi="仿宋" w:eastAsia="仿宋"/>
        <w:b/>
        <w:bCs/>
        <w:i/>
        <w:u w:val="single"/>
      </w:rPr>
    </w:pPr>
    <w:r>
      <w:rPr>
        <w:rFonts w:ascii="仿宋" w:hAnsi="仿宋" w:eastAsia="仿宋"/>
        <w:b/>
        <w:bCs/>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 w:hAnsi="仿宋" w:eastAsia="仿宋"/>
        <w:b/>
        <w:bCs/>
      </w:rPr>
    </w:pPr>
    <w:r>
      <w:rPr>
        <w:rFonts w:ascii="仿宋" w:hAnsi="仿宋" w:eastAsia="仿宋"/>
        <w:b/>
        <w:bCs/>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 w:hAnsi="仿宋" w:eastAsia="仿宋"/>
        <w:b/>
        <w:bCs/>
        <w:i/>
        <w:u w:val="single"/>
      </w:rPr>
    </w:pPr>
    <w:r>
      <w:rPr>
        <w:rFonts w:hint="eastAsia"/>
      </w:rPr>
      <w:t xml:space="preserve">                                  </w:t>
    </w:r>
    <w:r>
      <w:rPr>
        <w:rFonts w:ascii="仿宋" w:hAnsi="仿宋" w:eastAsia="仿宋"/>
        <w:b/>
        <w:bCs/>
      </w:rP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 w:hAnsi="仿宋" w:eastAsia="仿宋"/>
        <w:b/>
        <w:bCs/>
      </w:rPr>
    </w:pPr>
    <w:r>
      <w:rPr>
        <w:rFonts w:hint="eastAsia"/>
      </w:rPr>
      <w:t xml:space="preserve">                                                                                                        </w:t>
    </w:r>
    <w:r>
      <w:rPr>
        <w:rFonts w:ascii="仿宋" w:hAnsi="仿宋" w:eastAsia="仿宋"/>
        <w:b/>
        <w:bCs/>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 w:hAnsi="仿宋" w:eastAsia="仿宋"/>
        <w:b/>
        <w:bCs/>
        <w:i/>
        <w:iCs/>
        <w:u w:val="single"/>
      </w:rPr>
    </w:pPr>
    <w:r>
      <w:rPr>
        <w:rFonts w:ascii="仿宋" w:hAnsi="仿宋" w:eastAsia="仿宋"/>
        <w:b/>
        <w:bCs/>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3EDBD"/>
    <w:multiLevelType w:val="singleLevel"/>
    <w:tmpl w:val="BFF3EDBD"/>
    <w:lvl w:ilvl="0" w:tentative="0">
      <w:start w:val="1"/>
      <w:numFmt w:val="decimal"/>
      <w:suff w:val="nothing"/>
      <w:lvlText w:val="%1、"/>
      <w:lvlJc w:val="left"/>
      <w:pPr>
        <w:ind w:left="-2"/>
      </w:pPr>
    </w:lvl>
  </w:abstractNum>
  <w:abstractNum w:abstractNumId="1">
    <w:nsid w:val="ED329C8A"/>
    <w:multiLevelType w:val="singleLevel"/>
    <w:tmpl w:val="ED329C8A"/>
    <w:lvl w:ilvl="0" w:tentative="0">
      <w:start w:val="1"/>
      <w:numFmt w:val="decimal"/>
      <w:lvlText w:val="%1."/>
      <w:lvlJc w:val="left"/>
      <w:pPr>
        <w:ind w:left="425" w:hanging="425"/>
      </w:pPr>
      <w:rPr>
        <w:rFonts w:hint="default"/>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7E96E67"/>
    <w:multiLevelType w:val="singleLevel"/>
    <w:tmpl w:val="67E96E67"/>
    <w:lvl w:ilvl="0" w:tentative="0">
      <w:start w:val="5"/>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MDJlOTY1ZDk3ZDdjZWZhNDQ3YmZhOGEyMjBhYzcifQ=="/>
  </w:docVars>
  <w:rsids>
    <w:rsidRoot w:val="00000000"/>
    <w:rsid w:val="068E2E86"/>
    <w:rsid w:val="095F1130"/>
    <w:rsid w:val="0F301E27"/>
    <w:rsid w:val="14E32ED1"/>
    <w:rsid w:val="25B3069D"/>
    <w:rsid w:val="2A036693"/>
    <w:rsid w:val="2F642A08"/>
    <w:rsid w:val="3AFD443D"/>
    <w:rsid w:val="4CD02727"/>
    <w:rsid w:val="4EE34913"/>
    <w:rsid w:val="61AD7E78"/>
    <w:rsid w:val="61EE5FDE"/>
    <w:rsid w:val="71461992"/>
    <w:rsid w:val="7EA611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83"/>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link w:val="84"/>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12"/>
    <w:qFormat/>
    <w:uiPriority w:val="0"/>
    <w:pPr>
      <w:adjustRightInd/>
      <w:spacing w:after="120" w:line="240" w:lineRule="auto"/>
      <w:ind w:left="420" w:leftChars="200" w:firstLine="210"/>
    </w:pPr>
    <w:rPr>
      <w:sz w:val="21"/>
    </w:rPr>
  </w:style>
  <w:style w:type="paragraph" w:styleId="3">
    <w:name w:val="Body Text Indent"/>
    <w:basedOn w:val="1"/>
    <w:next w:val="4"/>
    <w:link w:val="285"/>
    <w:qFormat/>
    <w:uiPriority w:val="0"/>
    <w:pPr>
      <w:spacing w:line="480" w:lineRule="exact"/>
      <w:ind w:firstLine="480" w:firstLineChars="200"/>
    </w:pPr>
    <w:rPr>
      <w:rFonts w:ascii="宋体" w:hAnsi="宋体"/>
      <w:sz w:val="24"/>
    </w:rPr>
  </w:style>
  <w:style w:type="paragraph" w:styleId="4">
    <w:name w:val="envelope return"/>
    <w:basedOn w:val="1"/>
    <w:qFormat/>
    <w:uiPriority w:val="0"/>
    <w:pPr>
      <w:snapToGrid w:val="0"/>
    </w:pPr>
    <w:rPr>
      <w:rFonts w:ascii="Arial" w:hAnsi="Arial"/>
    </w:rPr>
  </w:style>
  <w:style w:type="paragraph" w:styleId="8">
    <w:name w:val="Normal Indent"/>
    <w:basedOn w:val="1"/>
    <w:next w:val="1"/>
    <w:link w:val="216"/>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4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91"/>
    <w:qFormat/>
    <w:uiPriority w:val="0"/>
    <w:pPr>
      <w:shd w:val="clear" w:color="auto" w:fill="000080"/>
    </w:pPr>
  </w:style>
  <w:style w:type="paragraph" w:styleId="22">
    <w:name w:val="annotation text"/>
    <w:basedOn w:val="1"/>
    <w:link w:val="354"/>
    <w:qFormat/>
    <w:uiPriority w:val="0"/>
    <w:pPr>
      <w:jc w:val="left"/>
    </w:pPr>
  </w:style>
  <w:style w:type="paragraph" w:styleId="23">
    <w:name w:val="Salutation"/>
    <w:basedOn w:val="1"/>
    <w:next w:val="1"/>
    <w:link w:val="93"/>
    <w:qFormat/>
    <w:uiPriority w:val="0"/>
    <w:rPr>
      <w:rFonts w:ascii="仿宋_GB2312" w:eastAsia="仿宋_GB2312"/>
      <w:sz w:val="28"/>
      <w:szCs w:val="20"/>
    </w:rPr>
  </w:style>
  <w:style w:type="paragraph" w:styleId="24">
    <w:name w:val="Body Text 3"/>
    <w:basedOn w:val="1"/>
    <w:link w:val="9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95"/>
    <w:qFormat/>
    <w:uiPriority w:val="99"/>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5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9"/>
    <w:qFormat/>
    <w:uiPriority w:val="0"/>
    <w:pPr>
      <w:ind w:left="100" w:leftChars="2500"/>
    </w:pPr>
    <w:rPr>
      <w:rFonts w:ascii="宋体"/>
      <w:sz w:val="24"/>
      <w:szCs w:val="21"/>
      <w:lang w:val="zh-CN"/>
    </w:rPr>
  </w:style>
  <w:style w:type="paragraph" w:styleId="38">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9">
    <w:name w:val="endnote text"/>
    <w:basedOn w:val="1"/>
    <w:link w:val="101"/>
    <w:qFormat/>
    <w:uiPriority w:val="0"/>
    <w:rPr>
      <w:lang w:val="zh-CN"/>
    </w:rPr>
  </w:style>
  <w:style w:type="paragraph" w:styleId="40">
    <w:name w:val="Balloon Text"/>
    <w:basedOn w:val="1"/>
    <w:link w:val="211"/>
    <w:qFormat/>
    <w:uiPriority w:val="0"/>
    <w:rPr>
      <w:sz w:val="18"/>
      <w:szCs w:val="18"/>
    </w:rPr>
  </w:style>
  <w:style w:type="paragraph" w:styleId="41">
    <w:name w:val="footer"/>
    <w:basedOn w:val="1"/>
    <w:link w:val="81"/>
    <w:unhideWhenUsed/>
    <w:qFormat/>
    <w:uiPriority w:val="0"/>
    <w:pPr>
      <w:tabs>
        <w:tab w:val="center" w:pos="4153"/>
        <w:tab w:val="right" w:pos="8306"/>
      </w:tabs>
      <w:snapToGrid w:val="0"/>
      <w:jc w:val="left"/>
    </w:pPr>
    <w:rPr>
      <w:sz w:val="18"/>
      <w:szCs w:val="18"/>
    </w:rPr>
  </w:style>
  <w:style w:type="paragraph" w:styleId="42">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unhideWhenUsed/>
    <w:qFormat/>
    <w:uiPriority w:val="0"/>
  </w:style>
  <w:style w:type="paragraph" w:styleId="48">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10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6"/>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17"/>
    <w:qFormat/>
    <w:uiPriority w:val="0"/>
    <w:pPr>
      <w:spacing w:after="120" w:line="480" w:lineRule="auto"/>
    </w:pPr>
  </w:style>
  <w:style w:type="paragraph" w:styleId="58">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109"/>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10"/>
    <w:qFormat/>
    <w:uiPriority w:val="0"/>
    <w:rPr>
      <w:b/>
      <w:bCs/>
    </w:rPr>
  </w:style>
  <w:style w:type="paragraph" w:styleId="62">
    <w:name w:val="Body Text First Indent"/>
    <w:basedOn w:val="26"/>
    <w:link w:val="111"/>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页眉 字符"/>
    <w:basedOn w:val="70"/>
    <w:link w:val="42"/>
    <w:qFormat/>
    <w:uiPriority w:val="99"/>
    <w:rPr>
      <w:sz w:val="18"/>
      <w:szCs w:val="18"/>
    </w:rPr>
  </w:style>
  <w:style w:type="character" w:customStyle="1" w:styleId="81">
    <w:name w:val="页脚 字符"/>
    <w:basedOn w:val="70"/>
    <w:link w:val="41"/>
    <w:qFormat/>
    <w:uiPriority w:val="0"/>
    <w:rPr>
      <w:sz w:val="18"/>
      <w:szCs w:val="18"/>
    </w:rPr>
  </w:style>
  <w:style w:type="character" w:customStyle="1" w:styleId="82">
    <w:name w:val="标题 1 字符"/>
    <w:basedOn w:val="70"/>
    <w:qFormat/>
    <w:uiPriority w:val="0"/>
    <w:rPr>
      <w:rFonts w:ascii="Times New Roman" w:hAnsi="Times New Roman" w:eastAsia="宋体" w:cs="Times New Roman"/>
      <w:b/>
      <w:bCs/>
      <w:kern w:val="44"/>
      <w:sz w:val="44"/>
      <w:szCs w:val="44"/>
    </w:rPr>
  </w:style>
  <w:style w:type="character" w:customStyle="1" w:styleId="83">
    <w:name w:val="标题 2 字符"/>
    <w:basedOn w:val="70"/>
    <w:link w:val="6"/>
    <w:qFormat/>
    <w:uiPriority w:val="0"/>
    <w:rPr>
      <w:rFonts w:ascii="仿宋_GB2312" w:hAnsi="仿宋" w:eastAsia="仿宋_GB2312" w:cs="Times New Roman"/>
      <w:b/>
      <w:bCs/>
      <w:sz w:val="32"/>
      <w:szCs w:val="32"/>
      <w:lang w:val="zh-CN"/>
    </w:rPr>
  </w:style>
  <w:style w:type="character" w:customStyle="1" w:styleId="84">
    <w:name w:val="标题 3 字符"/>
    <w:basedOn w:val="70"/>
    <w:link w:val="7"/>
    <w:qFormat/>
    <w:uiPriority w:val="0"/>
    <w:rPr>
      <w:rFonts w:ascii="Times New Roman" w:hAnsi="Times New Roman" w:eastAsia="宋体" w:cs="Times New Roman"/>
      <w:b/>
      <w:bCs/>
      <w:sz w:val="32"/>
      <w:szCs w:val="32"/>
    </w:rPr>
  </w:style>
  <w:style w:type="character" w:customStyle="1" w:styleId="85">
    <w:name w:val="标题 4 字符"/>
    <w:basedOn w:val="70"/>
    <w:qFormat/>
    <w:uiPriority w:val="9"/>
    <w:rPr>
      <w:rFonts w:asciiTheme="majorHAnsi" w:hAnsiTheme="majorHAnsi" w:eastAsiaTheme="majorEastAsia" w:cstheme="majorBidi"/>
      <w:b/>
      <w:bCs/>
      <w:sz w:val="28"/>
      <w:szCs w:val="28"/>
    </w:rPr>
  </w:style>
  <w:style w:type="character" w:customStyle="1" w:styleId="86">
    <w:name w:val="标题 5 字符"/>
    <w:basedOn w:val="70"/>
    <w:link w:val="10"/>
    <w:qFormat/>
    <w:uiPriority w:val="0"/>
    <w:rPr>
      <w:rFonts w:ascii="Times New Roman" w:hAnsi="Times New Roman" w:eastAsia="宋体" w:cs="Times New Roman"/>
      <w:b/>
      <w:bCs/>
      <w:sz w:val="28"/>
      <w:szCs w:val="28"/>
    </w:rPr>
  </w:style>
  <w:style w:type="character" w:customStyle="1" w:styleId="87">
    <w:name w:val="标题 6 字符"/>
    <w:basedOn w:val="70"/>
    <w:link w:val="11"/>
    <w:qFormat/>
    <w:uiPriority w:val="0"/>
    <w:rPr>
      <w:rFonts w:ascii="Arial" w:hAnsi="Arial" w:eastAsia="黑体" w:cs="Times New Roman"/>
      <w:b/>
      <w:bCs/>
      <w:sz w:val="24"/>
      <w:szCs w:val="24"/>
    </w:rPr>
  </w:style>
  <w:style w:type="character" w:customStyle="1" w:styleId="88">
    <w:name w:val="标题 7 字符"/>
    <w:basedOn w:val="70"/>
    <w:link w:val="12"/>
    <w:qFormat/>
    <w:uiPriority w:val="0"/>
    <w:rPr>
      <w:rFonts w:ascii="Times New Roman" w:hAnsi="Times New Roman" w:eastAsia="宋体" w:cs="Times New Roman"/>
      <w:b/>
      <w:bCs/>
      <w:sz w:val="24"/>
      <w:szCs w:val="24"/>
    </w:rPr>
  </w:style>
  <w:style w:type="character" w:customStyle="1" w:styleId="89">
    <w:name w:val="标题 8 字符"/>
    <w:basedOn w:val="70"/>
    <w:link w:val="13"/>
    <w:qFormat/>
    <w:uiPriority w:val="0"/>
    <w:rPr>
      <w:rFonts w:ascii="Arial" w:hAnsi="Arial" w:eastAsia="黑体" w:cs="Times New Roman"/>
      <w:sz w:val="24"/>
      <w:szCs w:val="24"/>
    </w:rPr>
  </w:style>
  <w:style w:type="character" w:customStyle="1" w:styleId="90">
    <w:name w:val="标题 9 字符"/>
    <w:basedOn w:val="70"/>
    <w:link w:val="14"/>
    <w:qFormat/>
    <w:uiPriority w:val="0"/>
    <w:rPr>
      <w:rFonts w:ascii="Arial" w:hAnsi="Arial" w:eastAsia="黑体" w:cs="Times New Roman"/>
      <w:szCs w:val="21"/>
    </w:rPr>
  </w:style>
  <w:style w:type="character" w:customStyle="1" w:styleId="91">
    <w:name w:val="文档结构图 字符"/>
    <w:basedOn w:val="70"/>
    <w:link w:val="21"/>
    <w:qFormat/>
    <w:uiPriority w:val="0"/>
    <w:rPr>
      <w:rFonts w:ascii="Times New Roman" w:hAnsi="Times New Roman" w:eastAsia="宋体" w:cs="Times New Roman"/>
      <w:szCs w:val="24"/>
      <w:shd w:val="clear" w:color="auto" w:fill="000080"/>
    </w:rPr>
  </w:style>
  <w:style w:type="character" w:customStyle="1" w:styleId="92">
    <w:name w:val="批注文字 字符"/>
    <w:basedOn w:val="70"/>
    <w:qFormat/>
    <w:uiPriority w:val="0"/>
    <w:rPr>
      <w:rFonts w:ascii="Times New Roman" w:hAnsi="Times New Roman" w:eastAsia="宋体" w:cs="Times New Roman"/>
      <w:szCs w:val="24"/>
    </w:rPr>
  </w:style>
  <w:style w:type="character" w:customStyle="1" w:styleId="93">
    <w:name w:val="称呼 字符"/>
    <w:basedOn w:val="70"/>
    <w:link w:val="23"/>
    <w:qFormat/>
    <w:uiPriority w:val="0"/>
    <w:rPr>
      <w:rFonts w:ascii="仿宋_GB2312" w:hAnsi="Times New Roman" w:eastAsia="仿宋_GB2312" w:cs="Times New Roman"/>
      <w:sz w:val="28"/>
      <w:szCs w:val="20"/>
    </w:rPr>
  </w:style>
  <w:style w:type="character" w:customStyle="1" w:styleId="94">
    <w:name w:val="正文文本 3 字符"/>
    <w:basedOn w:val="70"/>
    <w:link w:val="24"/>
    <w:qFormat/>
    <w:uiPriority w:val="0"/>
    <w:rPr>
      <w:rFonts w:ascii="Times New Roman" w:hAnsi="Times New Roman" w:eastAsia="宋体" w:cs="Times New Roman"/>
      <w:szCs w:val="20"/>
    </w:rPr>
  </w:style>
  <w:style w:type="character" w:customStyle="1" w:styleId="95">
    <w:name w:val="正文文本 字符"/>
    <w:basedOn w:val="70"/>
    <w:link w:val="26"/>
    <w:qFormat/>
    <w:uiPriority w:val="99"/>
    <w:rPr>
      <w:rFonts w:ascii="宋体" w:hAnsi="Arial" w:eastAsia="宋体" w:cs="Arial"/>
      <w:snapToGrid w:val="0"/>
      <w:sz w:val="24"/>
      <w:szCs w:val="21"/>
      <w:lang w:val="zh-CN"/>
    </w:rPr>
  </w:style>
  <w:style w:type="character" w:customStyle="1" w:styleId="96">
    <w:name w:val="正文文本缩进 字符"/>
    <w:basedOn w:val="70"/>
    <w:qFormat/>
    <w:uiPriority w:val="0"/>
    <w:rPr>
      <w:rFonts w:ascii="Times New Roman" w:hAnsi="Times New Roman" w:eastAsia="宋体" w:cs="Times New Roman"/>
      <w:szCs w:val="24"/>
    </w:rPr>
  </w:style>
  <w:style w:type="character" w:customStyle="1" w:styleId="97">
    <w:name w:val="HTML 地址 字符"/>
    <w:basedOn w:val="70"/>
    <w:link w:val="31"/>
    <w:qFormat/>
    <w:uiPriority w:val="0"/>
    <w:rPr>
      <w:rFonts w:ascii="宋体" w:hAnsi="宋体" w:eastAsia="宋体" w:cs="Times New Roman"/>
      <w:i/>
      <w:iCs/>
      <w:kern w:val="0"/>
      <w:sz w:val="24"/>
      <w:szCs w:val="24"/>
    </w:rPr>
  </w:style>
  <w:style w:type="character" w:customStyle="1" w:styleId="98">
    <w:name w:val="纯文本 字符"/>
    <w:basedOn w:val="70"/>
    <w:qFormat/>
    <w:uiPriority w:val="0"/>
    <w:rPr>
      <w:rFonts w:hAnsi="Courier New" w:cs="Courier New" w:asciiTheme="minorEastAsia"/>
      <w:szCs w:val="24"/>
    </w:rPr>
  </w:style>
  <w:style w:type="character" w:customStyle="1" w:styleId="99">
    <w:name w:val="日期 字符"/>
    <w:basedOn w:val="70"/>
    <w:link w:val="37"/>
    <w:qFormat/>
    <w:uiPriority w:val="0"/>
    <w:rPr>
      <w:rFonts w:ascii="宋体" w:hAnsi="Times New Roman" w:eastAsia="宋体" w:cs="Times New Roman"/>
      <w:sz w:val="24"/>
      <w:szCs w:val="21"/>
      <w:lang w:val="zh-CN"/>
    </w:rPr>
  </w:style>
  <w:style w:type="character" w:customStyle="1" w:styleId="100">
    <w:name w:val="正文文本缩进 2 字符"/>
    <w:basedOn w:val="70"/>
    <w:link w:val="38"/>
    <w:qFormat/>
    <w:uiPriority w:val="0"/>
    <w:rPr>
      <w:rFonts w:ascii="宋体" w:hAnsi="Times New Roman" w:eastAsia="宋体" w:cs="Times New Roman"/>
      <w:kern w:val="0"/>
      <w:sz w:val="28"/>
      <w:szCs w:val="20"/>
    </w:rPr>
  </w:style>
  <w:style w:type="character" w:customStyle="1" w:styleId="101">
    <w:name w:val="尾注文本 字符"/>
    <w:basedOn w:val="70"/>
    <w:link w:val="39"/>
    <w:qFormat/>
    <w:uiPriority w:val="0"/>
    <w:rPr>
      <w:rFonts w:ascii="Times New Roman" w:hAnsi="Times New Roman" w:eastAsia="宋体" w:cs="Times New Roman"/>
      <w:szCs w:val="24"/>
      <w:lang w:val="zh-CN"/>
    </w:rPr>
  </w:style>
  <w:style w:type="character" w:customStyle="1" w:styleId="102">
    <w:name w:val="批注框文本 字符"/>
    <w:basedOn w:val="70"/>
    <w:qFormat/>
    <w:uiPriority w:val="0"/>
    <w:rPr>
      <w:rFonts w:ascii="Times New Roman" w:hAnsi="Times New Roman" w:eastAsia="宋体" w:cs="Times New Roman"/>
      <w:sz w:val="18"/>
      <w:szCs w:val="18"/>
    </w:rPr>
  </w:style>
  <w:style w:type="character" w:customStyle="1" w:styleId="103">
    <w:name w:val="签名 字符"/>
    <w:basedOn w:val="70"/>
    <w:link w:val="43"/>
    <w:qFormat/>
    <w:uiPriority w:val="0"/>
    <w:rPr>
      <w:rFonts w:ascii="Times New Roman" w:hAnsi="Times New Roman" w:eastAsia="仿宋_GB2312" w:cs="Times New Roman"/>
      <w:kern w:val="0"/>
      <w:sz w:val="24"/>
      <w:szCs w:val="20"/>
    </w:rPr>
  </w:style>
  <w:style w:type="character" w:customStyle="1" w:styleId="104">
    <w:name w:val="副标题 字符"/>
    <w:basedOn w:val="70"/>
    <w:link w:val="48"/>
    <w:qFormat/>
    <w:uiPriority w:val="0"/>
    <w:rPr>
      <w:rFonts w:ascii="Arial" w:hAnsi="Arial" w:eastAsia="隶书" w:cs="Times New Roman"/>
      <w:b/>
      <w:bCs/>
      <w:kern w:val="28"/>
      <w:sz w:val="44"/>
      <w:szCs w:val="32"/>
    </w:rPr>
  </w:style>
  <w:style w:type="character" w:customStyle="1" w:styleId="105">
    <w:name w:val="脚注文本 字符"/>
    <w:basedOn w:val="70"/>
    <w:link w:val="51"/>
    <w:qFormat/>
    <w:uiPriority w:val="0"/>
    <w:rPr>
      <w:rFonts w:ascii="Calibri" w:hAnsi="Times New Roman" w:eastAsia="宋体" w:cs="Times New Roman"/>
      <w:color w:val="0000FF"/>
      <w:kern w:val="0"/>
      <w:szCs w:val="20"/>
    </w:rPr>
  </w:style>
  <w:style w:type="character" w:customStyle="1" w:styleId="106">
    <w:name w:val="正文文本缩进 3 字符"/>
    <w:basedOn w:val="70"/>
    <w:link w:val="54"/>
    <w:qFormat/>
    <w:uiPriority w:val="0"/>
    <w:rPr>
      <w:rFonts w:ascii="Times New Roman" w:hAnsi="Times New Roman" w:eastAsia="宋体" w:cs="Times New Roman"/>
      <w:sz w:val="24"/>
      <w:szCs w:val="20"/>
    </w:rPr>
  </w:style>
  <w:style w:type="character" w:customStyle="1" w:styleId="107">
    <w:name w:val="正文文本 2 字符"/>
    <w:basedOn w:val="70"/>
    <w:qFormat/>
    <w:uiPriority w:val="0"/>
    <w:rPr>
      <w:rFonts w:ascii="Times New Roman" w:hAnsi="Times New Roman" w:eastAsia="宋体" w:cs="Times New Roman"/>
      <w:szCs w:val="24"/>
    </w:rPr>
  </w:style>
  <w:style w:type="character" w:customStyle="1" w:styleId="108">
    <w:name w:val="HTML 预设格式 字符"/>
    <w:basedOn w:val="70"/>
    <w:link w:val="58"/>
    <w:qFormat/>
    <w:uiPriority w:val="0"/>
    <w:rPr>
      <w:rFonts w:ascii="黑体" w:hAnsi="Courier New" w:eastAsia="黑体" w:cs="Times New Roman"/>
      <w:kern w:val="0"/>
      <w:sz w:val="20"/>
      <w:szCs w:val="20"/>
    </w:rPr>
  </w:style>
  <w:style w:type="character" w:customStyle="1" w:styleId="109">
    <w:name w:val="标题 字符"/>
    <w:basedOn w:val="70"/>
    <w:link w:val="60"/>
    <w:qFormat/>
    <w:uiPriority w:val="10"/>
    <w:rPr>
      <w:rFonts w:ascii="Times New Roman" w:hAnsi="Times New Roman" w:eastAsia="宋体" w:cs="Times New Roman"/>
      <w:b/>
      <w:kern w:val="0"/>
      <w:sz w:val="24"/>
      <w:szCs w:val="20"/>
      <w:lang w:val="en-GB"/>
    </w:rPr>
  </w:style>
  <w:style w:type="character" w:customStyle="1" w:styleId="110">
    <w:name w:val="批注主题 字符"/>
    <w:basedOn w:val="92"/>
    <w:link w:val="61"/>
    <w:qFormat/>
    <w:uiPriority w:val="0"/>
    <w:rPr>
      <w:rFonts w:ascii="Times New Roman" w:hAnsi="Times New Roman" w:eastAsia="宋体" w:cs="Times New Roman"/>
      <w:b/>
      <w:bCs/>
      <w:szCs w:val="24"/>
    </w:rPr>
  </w:style>
  <w:style w:type="character" w:customStyle="1" w:styleId="111">
    <w:name w:val="正文首行缩进 字符"/>
    <w:basedOn w:val="95"/>
    <w:link w:val="62"/>
    <w:qFormat/>
    <w:uiPriority w:val="0"/>
    <w:rPr>
      <w:rFonts w:ascii="宋体" w:hAnsi="Calibri" w:eastAsia="宋体" w:cs="Times New Roman"/>
      <w:snapToGrid w:val="0"/>
      <w:sz w:val="24"/>
      <w:szCs w:val="20"/>
      <w:lang w:val="zh-CN"/>
    </w:rPr>
  </w:style>
  <w:style w:type="character" w:customStyle="1" w:styleId="112">
    <w:name w:val="正文首行缩进 2 字符"/>
    <w:basedOn w:val="96"/>
    <w:link w:val="2"/>
    <w:qFormat/>
    <w:uiPriority w:val="0"/>
    <w:rPr>
      <w:rFonts w:ascii="宋体" w:hAnsi="宋体" w:eastAsia="宋体" w:cs="Times New Roman"/>
      <w:szCs w:val="24"/>
    </w:rPr>
  </w:style>
  <w:style w:type="character" w:customStyle="1" w:styleId="113">
    <w:name w:val="表格非标题文字 Char"/>
    <w:link w:val="114"/>
    <w:qFormat/>
    <w:uiPriority w:val="0"/>
    <w:rPr>
      <w:rFonts w:ascii="Futura Bk" w:hAnsi="Futura Bk"/>
      <w:sz w:val="18"/>
      <w:szCs w:val="21"/>
    </w:rPr>
  </w:style>
  <w:style w:type="paragraph" w:customStyle="1" w:styleId="114">
    <w:name w:val="表格非标题文字"/>
    <w:link w:val="113"/>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sz w:val="24"/>
    </w:rPr>
  </w:style>
  <w:style w:type="paragraph" w:customStyle="1" w:styleId="132">
    <w:name w:val="哈哈正文"/>
    <w:basedOn w:val="1"/>
    <w:link w:val="131"/>
    <w:qFormat/>
    <w:uiPriority w:val="0"/>
    <w:pPr>
      <w:adjustRightInd/>
      <w:spacing w:line="360" w:lineRule="auto"/>
      <w:ind w:firstLine="200" w:firstLineChars="200"/>
    </w:pPr>
    <w:rPr>
      <w:rFonts w:ascii="宋体" w:hAnsi="宋体" w:cstheme="minorBidi"/>
      <w:sz w:val="24"/>
      <w:szCs w:val="22"/>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val="0"/>
      <w:color w:val="000000"/>
      <w:kern w:val="28"/>
      <w:sz w:val="28"/>
    </w:rPr>
  </w:style>
  <w:style w:type="character" w:customStyle="1" w:styleId="152">
    <w:name w:val="blue1"/>
    <w:basedOn w:val="70"/>
    <w:qFormat/>
    <w:uiPriority w:val="0"/>
    <w:rPr>
      <w:rFonts w:ascii="Arial" w:hAnsi="Arial" w:eastAsia="黑体" w:cs="Arial"/>
      <w:snapToGrid w:val="0"/>
      <w:kern w:val="0"/>
      <w:szCs w:val="21"/>
    </w:rPr>
  </w:style>
  <w:style w:type="character" w:customStyle="1" w:styleId="153">
    <w:name w:val="纯文本 字符1"/>
    <w:link w:val="34"/>
    <w:qFormat/>
    <w:uiPriority w:val="0"/>
    <w:rPr>
      <w:rFonts w:ascii="宋体" w:hAnsi="Courier New" w:eastAsia="宋体" w:cs="Arial"/>
      <w:snapToGrid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sz w:val="24"/>
    </w:rPr>
  </w:style>
  <w:style w:type="paragraph" w:customStyle="1" w:styleId="159">
    <w:name w:val="正文2"/>
    <w:basedOn w:val="1"/>
    <w:link w:val="158"/>
    <w:qFormat/>
    <w:uiPriority w:val="0"/>
    <w:pPr>
      <w:spacing w:before="156" w:line="360" w:lineRule="auto"/>
      <w:ind w:firstLine="510" w:firstLineChars="200"/>
    </w:pPr>
    <w:rPr>
      <w:rFonts w:asciiTheme="minorHAnsi" w:hAnsiTheme="minorHAnsi" w:cstheme="minorBidi"/>
      <w:sz w:val="24"/>
      <w:szCs w:val="22"/>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rPr>
  </w:style>
  <w:style w:type="paragraph" w:customStyle="1" w:styleId="167">
    <w:name w:val="无间隔1"/>
    <w:link w:val="166"/>
    <w:qFormat/>
    <w:uiPriority w:val="0"/>
    <w:rPr>
      <w:rFonts w:asciiTheme="minorHAnsi" w:hAnsiTheme="minorHAnsi" w:eastAsiaTheme="minorEastAsia" w:cstheme="minorBidi"/>
      <w:kern w:val="2"/>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szCs w:val="21"/>
    </w:rPr>
  </w:style>
  <w:style w:type="paragraph" w:customStyle="1" w:styleId="175">
    <w:name w:val="纯文本_0_0"/>
    <w:basedOn w:val="176"/>
    <w:link w:val="174"/>
    <w:qFormat/>
    <w:uiPriority w:val="0"/>
    <w:rPr>
      <w:rFonts w:ascii="宋体" w:hAnsi="Courier New" w:eastAsiaTheme="minorEastAsia" w:cstheme="minorBidi"/>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Cs w:val="21"/>
    </w:rPr>
  </w:style>
  <w:style w:type="paragraph" w:customStyle="1" w:styleId="187">
    <w:name w:val="正文（绿盟科技）"/>
    <w:link w:val="186"/>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val="0"/>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6"/>
    <w:link w:val="195"/>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批注框文本 字符1"/>
    <w:link w:val="40"/>
    <w:qFormat/>
    <w:uiPriority w:val="0"/>
    <w:rPr>
      <w:rFonts w:ascii="Times New Roman" w:hAnsi="Times New Roman" w:eastAsia="宋体" w:cs="Times New Roman"/>
      <w:sz w:val="18"/>
      <w:szCs w:val="18"/>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eastAsiaTheme="minorEastAsia" w:cstheme="minorBidi"/>
      <w:sz w:val="24"/>
    </w:rPr>
  </w:style>
  <w:style w:type="character" w:customStyle="1" w:styleId="216">
    <w:name w:val="正文缩进 字符2"/>
    <w:link w:val="8"/>
    <w:qFormat/>
    <w:uiPriority w:val="0"/>
    <w:rPr>
      <w:rFonts w:ascii="宋体" w:hAnsi="Times New Roman" w:eastAsia="宋体" w:cs="Times New Roman"/>
      <w:snapToGrid w:val="0"/>
      <w:color w:val="000000"/>
      <w:kern w:val="28"/>
      <w:sz w:val="28"/>
      <w:szCs w:val="20"/>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3级 Char"/>
    <w:link w:val="221"/>
    <w:qFormat/>
    <w:uiPriority w:val="0"/>
    <w:rPr>
      <w:rFonts w:ascii="宋体" w:hAnsi="宋体"/>
      <w:b/>
      <w:bCs/>
      <w:sz w:val="28"/>
    </w:rPr>
  </w:style>
  <w:style w:type="paragraph" w:customStyle="1" w:styleId="221">
    <w:name w:val="3级"/>
    <w:basedOn w:val="222"/>
    <w:link w:val="220"/>
    <w:qFormat/>
    <w:uiPriority w:val="0"/>
    <w:pPr>
      <w:ind w:left="0" w:right="466" w:firstLine="288"/>
    </w:pPr>
    <w:rPr>
      <w:rFonts w:hAnsi="宋体" w:eastAsiaTheme="minorEastAsia" w:cstheme="minorBidi"/>
      <w:kern w:val="2"/>
      <w:szCs w:val="22"/>
    </w:rPr>
  </w:style>
  <w:style w:type="paragraph" w:customStyle="1" w:styleId="22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0"/>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70"/>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4"/>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szCs w:val="21"/>
    </w:rPr>
  </w:style>
  <w:style w:type="paragraph" w:customStyle="1" w:styleId="243">
    <w:name w:val="标题4-dyf"/>
    <w:basedOn w:val="9"/>
    <w:link w:val="242"/>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题注 字符"/>
    <w:link w:val="19"/>
    <w:qFormat/>
    <w:uiPriority w:val="0"/>
    <w:rPr>
      <w:rFonts w:ascii="Times New Roman" w:hAnsi="Times New Roman" w:eastAsia="宋体" w:cs="Times New Roman"/>
      <w:b/>
      <w:sz w:val="28"/>
      <w:szCs w:val="20"/>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Default Char"/>
    <w:link w:val="255"/>
    <w:qFormat/>
    <w:uiPriority w:val="0"/>
    <w:rPr>
      <w:rFonts w:ascii="仿宋_GB2312" w:eastAsia="仿宋_GB2312" w:cs="仿宋_GB2312"/>
      <w:color w:val="000000"/>
      <w:sz w:val="24"/>
      <w:szCs w:val="24"/>
    </w:rPr>
  </w:style>
  <w:style w:type="paragraph" w:customStyle="1" w:styleId="255">
    <w:name w:val="Default"/>
    <w:link w:val="254"/>
    <w:qFormat/>
    <w:uiPriority w:val="0"/>
    <w:pPr>
      <w:widowControl w:val="0"/>
      <w:autoSpaceDE w:val="0"/>
      <w:autoSpaceDN w:val="0"/>
      <w:adjustRightInd w:val="0"/>
    </w:pPr>
    <w:rPr>
      <w:rFonts w:ascii="仿宋_GB2312" w:eastAsia="仿宋_GB2312" w:cs="仿宋_GB2312" w:hAnsiTheme="minorHAnsi"/>
      <w:color w:val="000000"/>
      <w:kern w:val="2"/>
      <w:sz w:val="24"/>
      <w:szCs w:val="24"/>
      <w:lang w:val="en-US" w:eastAsia="zh-CN" w:bidi="ar-SA"/>
    </w:rPr>
  </w:style>
  <w:style w:type="character" w:customStyle="1" w:styleId="256">
    <w:name w:val="style91"/>
    <w:qFormat/>
    <w:uiPriority w:val="0"/>
    <w:rPr>
      <w:color w:val="333333"/>
    </w:rPr>
  </w:style>
  <w:style w:type="character" w:customStyle="1" w:styleId="257">
    <w:name w:val="列出段落 Char2"/>
    <w:qFormat/>
    <w:uiPriority w:val="34"/>
    <w:rPr>
      <w:rFonts w:ascii="Calibri" w:hAnsi="Calibri"/>
      <w:kern w:val="2"/>
      <w:sz w:val="28"/>
    </w:rPr>
  </w:style>
  <w:style w:type="character" w:customStyle="1" w:styleId="258">
    <w:name w:val="mdeck"/>
    <w:qFormat/>
    <w:uiPriority w:val="0"/>
    <w:rPr>
      <w:rFonts w:ascii="仿宋_GB2312" w:eastAsia="微软雅黑"/>
      <w:b/>
      <w:kern w:val="2"/>
      <w:sz w:val="32"/>
      <w:szCs w:val="32"/>
      <w:lang w:val="en-US" w:eastAsia="zh-CN" w:bidi="ar-SA"/>
    </w:rPr>
  </w:style>
  <w:style w:type="character" w:customStyle="1" w:styleId="259">
    <w:name w:val="unnamed11"/>
    <w:qFormat/>
    <w:uiPriority w:val="0"/>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Cs w:val="24"/>
    </w:rPr>
  </w:style>
  <w:style w:type="character" w:customStyle="1" w:styleId="261">
    <w:name w:val="标书正文格式 Char"/>
    <w:qFormat/>
    <w:uiPriority w:val="0"/>
    <w:rPr>
      <w:rFonts w:eastAsia="楷体_GB2312"/>
      <w:kern w:val="2"/>
      <w:sz w:val="24"/>
      <w:szCs w:val="24"/>
      <w:lang w:bidi="ar-SA"/>
    </w:rPr>
  </w:style>
  <w:style w:type="character" w:customStyle="1" w:styleId="262">
    <w:name w:val="Char Char11"/>
    <w:qFormat/>
    <w:locked/>
    <w:uiPriority w:val="0"/>
    <w:rPr>
      <w:rFonts w:ascii="宋体" w:hAnsi="宋体" w:eastAsia="宋体"/>
      <w:b/>
      <w:kern w:val="2"/>
      <w:sz w:val="24"/>
      <w:szCs w:val="24"/>
      <w:lang w:val="en-US" w:eastAsia="zh-CN" w:bidi="ar-SA"/>
    </w:rPr>
  </w:style>
  <w:style w:type="character" w:customStyle="1" w:styleId="263">
    <w:name w:val="ca-131"/>
    <w:qFormat/>
    <w:uiPriority w:val="0"/>
    <w:rPr>
      <w:rFonts w:hint="eastAsia" w:ascii="仿宋_GB2312" w:eastAsia="仿宋_GB2312"/>
      <w:b/>
      <w:bCs/>
      <w:color w:val="000000"/>
      <w:spacing w:val="-20"/>
      <w:sz w:val="24"/>
      <w:szCs w:val="24"/>
    </w:rPr>
  </w:style>
  <w:style w:type="character" w:customStyle="1" w:styleId="264">
    <w:name w:val="tw4winMark"/>
    <w:qFormat/>
    <w:uiPriority w:val="0"/>
    <w:rPr>
      <w:rFonts w:ascii="Courier New" w:hAnsi="Courier New" w:cs="Courier New"/>
      <w:vanish/>
      <w:color w:val="800080"/>
      <w:sz w:val="24"/>
      <w:szCs w:val="24"/>
      <w:vertAlign w:val="subscript"/>
    </w:rPr>
  </w:style>
  <w:style w:type="character" w:customStyle="1" w:styleId="265">
    <w:name w:val="正文样式 Char"/>
    <w:link w:val="266"/>
    <w:qFormat/>
    <w:uiPriority w:val="0"/>
    <w:rPr>
      <w:rFonts w:ascii="Calibri" w:hAnsi="Calibri"/>
      <w:sz w:val="24"/>
      <w:szCs w:val="24"/>
    </w:rPr>
  </w:style>
  <w:style w:type="paragraph" w:customStyle="1" w:styleId="266">
    <w:name w:val="正文样式"/>
    <w:basedOn w:val="1"/>
    <w:link w:val="265"/>
    <w:qFormat/>
    <w:uiPriority w:val="0"/>
    <w:pPr>
      <w:adjustRightInd/>
      <w:spacing w:line="360" w:lineRule="auto"/>
      <w:ind w:firstLine="480" w:firstLineChars="200"/>
    </w:pPr>
    <w:rPr>
      <w:rFonts w:ascii="Calibri" w:hAnsi="Calibri" w:eastAsiaTheme="minorEastAsia" w:cstheme="minorBidi"/>
      <w:sz w:val="24"/>
    </w:rPr>
  </w:style>
  <w:style w:type="character" w:customStyle="1" w:styleId="267">
    <w:name w:val="表正文 Char3"/>
    <w:qFormat/>
    <w:uiPriority w:val="0"/>
    <w:rPr>
      <w:rFonts w:eastAsia="宋体"/>
    </w:rPr>
  </w:style>
  <w:style w:type="character" w:customStyle="1" w:styleId="268">
    <w:name w:val="H5 Char"/>
    <w:qFormat/>
    <w:uiPriority w:val="0"/>
    <w:rPr>
      <w:b/>
      <w:bCs/>
      <w:kern w:val="2"/>
      <w:sz w:val="28"/>
      <w:szCs w:val="28"/>
    </w:rPr>
  </w:style>
  <w:style w:type="character" w:customStyle="1" w:styleId="269">
    <w:name w:val="Char Char3"/>
    <w:qFormat/>
    <w:uiPriority w:val="0"/>
    <w:rPr>
      <w:rFonts w:eastAsia="宋体"/>
      <w:kern w:val="2"/>
      <w:sz w:val="21"/>
      <w:szCs w:val="24"/>
      <w:lang w:val="en-US" w:eastAsia="zh-CN" w:bidi="ar-SA"/>
    </w:rPr>
  </w:style>
  <w:style w:type="character" w:customStyle="1" w:styleId="270">
    <w:name w:val="正文 编号 Char"/>
    <w:qFormat/>
    <w:uiPriority w:val="0"/>
    <w:rPr>
      <w:rFonts w:ascii="仿宋_GB2312" w:hAnsi="仿宋_GB2312" w:eastAsia="仿宋_GB2312"/>
      <w:kern w:val="2"/>
      <w:sz w:val="24"/>
      <w:lang w:bidi="ar-SA"/>
    </w:rPr>
  </w:style>
  <w:style w:type="character" w:customStyle="1" w:styleId="271">
    <w:name w:val="question-title2"/>
    <w:qFormat/>
    <w:uiPriority w:val="6"/>
    <w:rPr>
      <w:rFonts w:ascii="Arial" w:hAnsi="Arial" w:eastAsia="黑体" w:cs="Arial"/>
      <w:snapToGrid w:val="0"/>
      <w:kern w:val="0"/>
      <w:szCs w:val="21"/>
    </w:rPr>
  </w:style>
  <w:style w:type="character" w:customStyle="1" w:styleId="272">
    <w:name w:val="gf正文1 Char Char"/>
    <w:link w:val="273"/>
    <w:qFormat/>
    <w:uiPriority w:val="0"/>
    <w:rPr>
      <w:rFonts w:ascii="宋体" w:hAnsi="宋体" w:cs="宋体"/>
      <w:sz w:val="24"/>
      <w:szCs w:val="24"/>
    </w:rPr>
  </w:style>
  <w:style w:type="paragraph" w:customStyle="1" w:styleId="273">
    <w:name w:val="gf正文1"/>
    <w:basedOn w:val="1"/>
    <w:link w:val="272"/>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274">
    <w:name w:val="Char Char15"/>
    <w:qFormat/>
    <w:uiPriority w:val="6"/>
    <w:rPr>
      <w:rFonts w:ascii="宋体" w:hAnsi="宋体"/>
      <w:kern w:val="1"/>
      <w:sz w:val="21"/>
    </w:rPr>
  </w:style>
  <w:style w:type="character" w:customStyle="1" w:styleId="275">
    <w:name w:val="正文缩进 Char3"/>
    <w:qFormat/>
    <w:uiPriority w:val="0"/>
    <w:rPr>
      <w:rFonts w:ascii="宋体" w:eastAsia="宋体"/>
      <w:snapToGrid w:val="0"/>
      <w:color w:val="000000"/>
      <w:kern w:val="28"/>
      <w:sz w:val="28"/>
      <w:lang w:val="en-US" w:eastAsia="zh-CN" w:bidi="ar-SA"/>
    </w:rPr>
  </w:style>
  <w:style w:type="character" w:customStyle="1" w:styleId="276">
    <w:name w:val="列出段落 Char1"/>
    <w:link w:val="277"/>
    <w:qFormat/>
    <w:uiPriority w:val="0"/>
    <w:rPr>
      <w:rFonts w:ascii="Calibri" w:hAnsi="Calibri"/>
      <w:sz w:val="24"/>
      <w:lang w:eastAsia="en-US"/>
    </w:rPr>
  </w:style>
  <w:style w:type="paragraph" w:customStyle="1" w:styleId="277">
    <w:name w:val="列表1"/>
    <w:basedOn w:val="1"/>
    <w:next w:val="278"/>
    <w:link w:val="276"/>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278">
    <w:name w:val="列表段落1"/>
    <w:basedOn w:val="1"/>
    <w:qFormat/>
    <w:uiPriority w:val="0"/>
    <w:pPr>
      <w:spacing w:line="360" w:lineRule="auto"/>
      <w:ind w:firstLine="200" w:firstLineChars="200"/>
    </w:pPr>
    <w:rPr>
      <w:rFonts w:eastAsia="楷体_GB2312" w:cs="Lucida Sans"/>
      <w:sz w:val="24"/>
    </w:rPr>
  </w:style>
  <w:style w:type="character" w:customStyle="1" w:styleId="279">
    <w:name w:val="Char Char8"/>
    <w:qFormat/>
    <w:uiPriority w:val="0"/>
    <w:rPr>
      <w:rFonts w:eastAsia="宋体"/>
      <w:b/>
      <w:sz w:val="24"/>
      <w:lang w:val="en-GB" w:eastAsia="zh-CN"/>
    </w:rPr>
  </w:style>
  <w:style w:type="character" w:customStyle="1" w:styleId="280">
    <w:name w:val="Normal Indent Char Char"/>
    <w:qFormat/>
    <w:uiPriority w:val="0"/>
    <w:rPr>
      <w:rFonts w:eastAsia="宋体"/>
      <w:kern w:val="2"/>
      <w:sz w:val="21"/>
      <w:lang w:val="en-US" w:eastAsia="zh-CN" w:bidi="ar-SA"/>
    </w:rPr>
  </w:style>
  <w:style w:type="character" w:customStyle="1" w:styleId="281">
    <w:name w:val="列表段落 字符"/>
    <w:qFormat/>
    <w:uiPriority w:val="99"/>
  </w:style>
  <w:style w:type="character" w:customStyle="1" w:styleId="282">
    <w:name w:val="Ò³Ã¼ Char Char1"/>
    <w:qFormat/>
    <w:uiPriority w:val="0"/>
    <w:rPr>
      <w:rFonts w:eastAsia="宋体"/>
      <w:kern w:val="2"/>
      <w:sz w:val="18"/>
      <w:szCs w:val="18"/>
      <w:lang w:val="en-US" w:eastAsia="zh-CN" w:bidi="ar-SA"/>
    </w:rPr>
  </w:style>
  <w:style w:type="character" w:customStyle="1" w:styleId="283">
    <w:name w:val="方案正文 Char"/>
    <w:qFormat/>
    <w:uiPriority w:val="0"/>
    <w:rPr>
      <w:rFonts w:ascii="仿宋_GB2312" w:eastAsia="仿宋_GB2312"/>
      <w:b/>
      <w:color w:val="000000"/>
      <w:kern w:val="2"/>
      <w:sz w:val="24"/>
      <w:lang w:val="en-US" w:eastAsia="zh-CN" w:bidi="ar-SA"/>
    </w:rPr>
  </w:style>
  <w:style w:type="character" w:customStyle="1" w:styleId="284">
    <w:name w:val="Char Char30"/>
    <w:qFormat/>
    <w:uiPriority w:val="6"/>
    <w:rPr>
      <w:rFonts w:ascii="Arial" w:hAnsi="Arial" w:eastAsia="黑体"/>
      <w:kern w:val="1"/>
      <w:sz w:val="21"/>
      <w:szCs w:val="21"/>
    </w:rPr>
  </w:style>
  <w:style w:type="character" w:customStyle="1" w:styleId="285">
    <w:name w:val="正文文本缩进 字符1"/>
    <w:link w:val="3"/>
    <w:qFormat/>
    <w:uiPriority w:val="0"/>
    <w:rPr>
      <w:rFonts w:ascii="宋体" w:hAnsi="宋体" w:eastAsia="宋体" w:cs="Times New Roman"/>
      <w:sz w:val="24"/>
      <w:szCs w:val="24"/>
    </w:rPr>
  </w:style>
  <w:style w:type="character" w:customStyle="1" w:styleId="286">
    <w:name w:val="font0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sz w:val="24"/>
      <w:szCs w:val="24"/>
    </w:rPr>
  </w:style>
  <w:style w:type="paragraph" w:customStyle="1" w:styleId="300">
    <w:name w:val="此正文"/>
    <w:basedOn w:val="1"/>
    <w:link w:val="299"/>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标题 1 字符1"/>
    <w:link w:val="5"/>
    <w:qFormat/>
    <w:uiPriority w:val="9"/>
    <w:rPr>
      <w:rFonts w:ascii="Times New Roman" w:hAnsi="Times New Roman" w:eastAsia="宋体" w:cs="Times New Roman"/>
      <w:b/>
      <w:bCs/>
      <w:kern w:val="44"/>
      <w:sz w:val="44"/>
      <w:szCs w:val="44"/>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正文文本 2 字符1"/>
    <w:link w:val="57"/>
    <w:qFormat/>
    <w:uiPriority w:val="0"/>
    <w:rPr>
      <w:rFonts w:ascii="Times New Roman" w:hAnsi="Times New Roman" w:eastAsia="宋体" w:cs="Times New Roman"/>
      <w:szCs w:val="24"/>
    </w:rPr>
  </w:style>
  <w:style w:type="character" w:customStyle="1" w:styleId="318">
    <w:name w:val="样式 样式 标题 4h4H4Fab-4T5Ref Heading 1rh1Heading sqlsect 1.2.3.... +... Char"/>
    <w:link w:val="319"/>
    <w:qFormat/>
    <w:uiPriority w:val="0"/>
    <w:rPr>
      <w:rFonts w:ascii="微软雅黑" w:hAnsi="微软雅黑" w:eastAsia="微软雅黑"/>
      <w:b/>
      <w:bCs/>
      <w:sz w:val="24"/>
      <w:szCs w:val="28"/>
    </w:rPr>
  </w:style>
  <w:style w:type="paragraph" w:customStyle="1" w:styleId="319">
    <w:name w:val="样式 样式 标题 4h4H4Fab-4T5Ref Heading 1rh1Heading sqlsect 1.2.3.... +..."/>
    <w:basedOn w:val="320"/>
    <w:link w:val="318"/>
    <w:qFormat/>
    <w:uiPriority w:val="0"/>
    <w:pPr>
      <w:tabs>
        <w:tab w:val="left" w:pos="2356"/>
      </w:tabs>
    </w:pPr>
    <w:rPr>
      <w:rFonts w:cstheme="minorBidi"/>
      <w:lang w:val="en-US"/>
    </w:rPr>
  </w:style>
  <w:style w:type="paragraph" w:customStyle="1" w:styleId="320">
    <w:name w:val="样式 标题 4h4H4Fab-4T5Ref Heading 1rh1Heading sqlsect 1.2.3...."/>
    <w:basedOn w:val="9"/>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Cs w:val="21"/>
    </w:rPr>
  </w:style>
  <w:style w:type="paragraph" w:customStyle="1" w:styleId="329">
    <w:name w:val="Item List"/>
    <w:link w:val="32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eastAsiaTheme="minorEastAsia" w:cstheme="minorBidi"/>
      <w:szCs w:val="22"/>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标题 4 字符1"/>
    <w:link w:val="9"/>
    <w:qFormat/>
    <w:uiPriority w:val="0"/>
    <w:rPr>
      <w:rFonts w:ascii="Arial" w:hAnsi="Arial" w:eastAsia="黑体" w:cs="Times New Roman"/>
      <w:b/>
      <w:bCs/>
      <w:sz w:val="28"/>
      <w:szCs w:val="28"/>
      <w:lang w:val="zh-CN"/>
    </w:rPr>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rFonts w:asciiTheme="minorHAnsi" w:hAnsiTheme="minorHAnsi" w:eastAsiaTheme="minorEastAsia" w:cstheme="minorBidi"/>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rFonts w:asciiTheme="minorHAnsi" w:hAnsiTheme="minorHAnsi" w:eastAsiaTheme="minorEastAsia" w:cstheme="minorBidi"/>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字符1"/>
    <w:link w:val="22"/>
    <w:qFormat/>
    <w:uiPriority w:val="99"/>
    <w:rPr>
      <w:rFonts w:ascii="Times New Roman" w:hAnsi="Times New Roman" w:eastAsia="宋体" w:cs="Times New Roman"/>
      <w:szCs w:val="24"/>
    </w:rPr>
  </w:style>
  <w:style w:type="character" w:customStyle="1" w:styleId="355">
    <w:name w:val="hui3"/>
    <w:qFormat/>
    <w:uiPriority w:val="0"/>
    <w:rPr>
      <w:color w:val="333333"/>
    </w:rPr>
  </w:style>
  <w:style w:type="character" w:customStyle="1" w:styleId="356">
    <w:name w:val="Char Char17"/>
    <w:qFormat/>
    <w:uiPriority w:val="6"/>
    <w:rPr>
      <w:rFonts w:eastAsia="仿宋_GB2312"/>
      <w:sz w:val="24"/>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rFonts w:asciiTheme="minorHAnsi" w:hAnsiTheme="minorHAnsi" w:eastAsiaTheme="minorEastAsia" w:cstheme="minorBidi"/>
      <w:sz w:val="24"/>
      <w:szCs w:val="22"/>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sz w:val="24"/>
    </w:rPr>
  </w:style>
  <w:style w:type="paragraph" w:customStyle="1" w:styleId="406">
    <w:name w:val="冯广丽"/>
    <w:basedOn w:val="1"/>
    <w:link w:val="405"/>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20"/>
    <w:qFormat/>
    <w:uiPriority w:val="0"/>
    <w:rPr>
      <w:rFonts w:ascii="微软雅黑" w:hAnsi="微软雅黑" w:eastAsia="微软雅黑" w:cs="Times New Roman"/>
      <w:b/>
      <w:bCs/>
      <w:sz w:val="24"/>
      <w:szCs w:val="28"/>
      <w:lang w:val="zh-CN"/>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sz w:val="24"/>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0"/>
    <w:rPr>
      <w:rFonts w:ascii="宋体" w:hAnsi="宋体"/>
      <w:kern w:val="1"/>
      <w:sz w:val="24"/>
      <w:szCs w:val="21"/>
      <w:lang w:val="zh-CN"/>
    </w:rPr>
  </w:style>
  <w:style w:type="character" w:customStyle="1" w:styleId="430">
    <w:name w:val="样式 正文缩进 + 首行缩进:  2 字符 Char Char"/>
    <w:link w:val="431"/>
    <w:qFormat/>
    <w:uiPriority w:val="0"/>
    <w:rPr>
      <w:rFonts w:cs="宋体"/>
      <w:sz w:val="24"/>
    </w:rPr>
  </w:style>
  <w:style w:type="paragraph" w:customStyle="1" w:styleId="431">
    <w:name w:val="样式 正文缩进 + 首行缩进:  2 字符"/>
    <w:basedOn w:val="8"/>
    <w:link w:val="430"/>
    <w:qFormat/>
    <w:uiPriority w:val="0"/>
    <w:pPr>
      <w:widowControl w:val="0"/>
      <w:adjustRightInd/>
      <w:snapToGrid/>
      <w:spacing w:line="360" w:lineRule="auto"/>
      <w:ind w:firstLine="200" w:firstLineChars="200"/>
    </w:pPr>
    <w:rPr>
      <w:rFonts w:cs="宋体" w:asciiTheme="minorHAnsi" w:hAnsiTheme="minorHAnsi" w:eastAsiaTheme="minorEastAsia"/>
      <w:color w:val="auto"/>
      <w:kern w:val="2"/>
      <w:sz w:val="24"/>
      <w:szCs w:val="22"/>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9"/>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7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5"/>
    <w:next w:val="25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5"/>
    <w:next w:val="25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无间隔 字符"/>
    <w:link w:val="484"/>
    <w:qFormat/>
    <w:uiPriority w:val="99"/>
    <w:rPr>
      <w:rFonts w:ascii="Times New Roman" w:hAnsi="Times New Roman" w:eastAsia="宋体" w:cs="Times New Roman"/>
    </w:rPr>
  </w:style>
  <w:style w:type="character" w:customStyle="1" w:styleId="934">
    <w:name w:val="标准文本 Char Char"/>
    <w:link w:val="935"/>
    <w:qFormat/>
    <w:uiPriority w:val="0"/>
    <w:rPr>
      <w:rFonts w:cs="宋体"/>
      <w:sz w:val="24"/>
    </w:rPr>
  </w:style>
  <w:style w:type="paragraph" w:customStyle="1" w:styleId="935">
    <w:name w:val="标准文本"/>
    <w:basedOn w:val="1"/>
    <w:link w:val="934"/>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70"/>
    <w:unhideWhenUsed/>
    <w:qFormat/>
    <w:uiPriority w:val="99"/>
    <w:rPr>
      <w:color w:val="605E5C"/>
      <w:shd w:val="clear" w:color="auto" w:fill="E1DFDD"/>
    </w:rPr>
  </w:style>
  <w:style w:type="character" w:customStyle="1" w:styleId="964">
    <w:name w:val="标准文本 Char"/>
    <w:qFormat/>
    <w:uiPriority w:val="0"/>
    <w:rPr>
      <w:rFonts w:eastAsia="宋体" w:cs="宋体"/>
      <w:kern w:val="2"/>
      <w:sz w:val="24"/>
      <w:lang w:val="en-US" w:eastAsia="zh-CN" w:bidi="ar-SA"/>
    </w:rPr>
  </w:style>
  <w:style w:type="paragraph" w:customStyle="1" w:styleId="965">
    <w:name w:val="_Style 22"/>
    <w:basedOn w:val="1"/>
    <w:qFormat/>
    <w:uiPriority w:val="0"/>
    <w:pPr>
      <w:adjustRightInd/>
    </w:pPr>
    <w:rPr>
      <w:rFonts w:ascii="仿宋_GB2312" w:hAnsi="Calibri" w:eastAsia="仿宋_GB2312"/>
      <w:b/>
      <w:sz w:val="32"/>
      <w:szCs w:val="32"/>
    </w:rPr>
  </w:style>
  <w:style w:type="paragraph" w:customStyle="1" w:styleId="966">
    <w:name w:val="title11"/>
    <w:basedOn w:val="1"/>
    <w:qFormat/>
    <w:uiPriority w:val="0"/>
    <w:pPr>
      <w:adjustRightInd/>
      <w:spacing w:before="150"/>
      <w:jc w:val="left"/>
    </w:pPr>
    <w:rPr>
      <w:rFonts w:ascii="Calibri" w:hAnsi="Calibri"/>
      <w:b/>
      <w:kern w:val="0"/>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表头"/>
    <w:basedOn w:val="1"/>
    <w:qFormat/>
    <w:uiPriority w:val="0"/>
    <w:pPr>
      <w:spacing w:before="60" w:after="60" w:line="420" w:lineRule="atLeast"/>
      <w:jc w:val="left"/>
      <w:textAlignment w:val="baseline"/>
    </w:pPr>
    <w:rPr>
      <w:rFonts w:ascii="黑体" w:eastAsia="黑体"/>
      <w:b/>
      <w:kern w:val="0"/>
      <w:szCs w:val="20"/>
    </w:rPr>
  </w:style>
  <w:style w:type="paragraph" w:customStyle="1" w:styleId="969">
    <w:name w:val="Char Char Char Char Char"/>
    <w:basedOn w:val="1"/>
    <w:qFormat/>
    <w:uiPriority w:val="0"/>
    <w:pPr>
      <w:widowControl/>
      <w:adjustRightInd/>
      <w:spacing w:after="160" w:line="240" w:lineRule="exact"/>
      <w:jc w:val="left"/>
    </w:pPr>
    <w:rPr>
      <w:rFonts w:ascii="Verdana" w:hAnsi="Verdana" w:eastAsia="华文细黑"/>
    </w:rPr>
  </w:style>
  <w:style w:type="paragraph" w:customStyle="1" w:styleId="970">
    <w:name w:val="列出段落11"/>
    <w:basedOn w:val="1"/>
    <w:qFormat/>
    <w:uiPriority w:val="34"/>
    <w:pPr>
      <w:adjustRightInd/>
      <w:spacing w:line="360" w:lineRule="auto"/>
      <w:ind w:firstLine="420" w:firstLineChars="200"/>
    </w:pPr>
    <w:rPr>
      <w:rFonts w:ascii="等线" w:hAnsi="等线" w:eastAsia="等线"/>
      <w:sz w:val="24"/>
      <w:szCs w:val="22"/>
    </w:rPr>
  </w:style>
  <w:style w:type="paragraph" w:customStyle="1" w:styleId="971">
    <w:name w:val="Normal_45"/>
    <w:qFormat/>
    <w:uiPriority w:val="0"/>
    <w:pPr>
      <w:spacing w:before="120" w:after="240"/>
      <w:jc w:val="both"/>
    </w:pPr>
    <w:rPr>
      <w:rFonts w:ascii="Calibri" w:hAnsi="Calibri" w:eastAsia="Calibri" w:cs="Times New Roman"/>
      <w:sz w:val="22"/>
      <w:szCs w:val="22"/>
      <w:lang w:val="en-US" w:eastAsia="en-US" w:bidi="ar-SA"/>
    </w:rPr>
  </w:style>
  <w:style w:type="paragraph" w:customStyle="1" w:styleId="972">
    <w:name w:val="DAS正文"/>
    <w:basedOn w:val="1"/>
    <w:qFormat/>
    <w:uiPriority w:val="0"/>
    <w:pPr>
      <w:adjustRightInd/>
      <w:spacing w:line="360" w:lineRule="auto"/>
      <w:ind w:right="181" w:firstLine="480" w:firstLineChars="200"/>
    </w:pPr>
    <w:rPr>
      <w:rFonts w:ascii="Verdana" w:hAnsi="Verdana"/>
      <w:sz w:val="24"/>
    </w:rPr>
  </w:style>
  <w:style w:type="paragraph" w:customStyle="1" w:styleId="973">
    <w:name w:val="_Style 2"/>
    <w:basedOn w:val="1"/>
    <w:qFormat/>
    <w:uiPriority w:val="0"/>
    <w:pPr>
      <w:adjustRightInd/>
      <w:spacing w:line="260" w:lineRule="atLeast"/>
      <w:ind w:firstLine="200" w:firstLineChars="200"/>
    </w:pPr>
    <w:rPr>
      <w:rFonts w:ascii="Calibri" w:hAnsi="Calibri"/>
      <w:sz w:val="28"/>
      <w:szCs w:val="22"/>
    </w:rPr>
  </w:style>
  <w:style w:type="paragraph" w:customStyle="1" w:styleId="974">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75">
    <w:name w:val="列出段落6"/>
    <w:basedOn w:val="1"/>
    <w:qFormat/>
    <w:uiPriority w:val="34"/>
    <w:pPr>
      <w:adjustRightInd/>
      <w:ind w:firstLine="420" w:firstLineChars="200"/>
    </w:pPr>
    <w:rPr>
      <w:rFonts w:ascii="Calibri" w:hAnsi="Calibri"/>
      <w:szCs w:val="22"/>
    </w:rPr>
  </w:style>
  <w:style w:type="paragraph" w:customStyle="1" w:styleId="976">
    <w:name w:val="_正文"/>
    <w:basedOn w:val="1"/>
    <w:qFormat/>
    <w:uiPriority w:val="0"/>
    <w:pPr>
      <w:tabs>
        <w:tab w:val="left" w:pos="840"/>
      </w:tabs>
      <w:adjustRightInd/>
      <w:spacing w:line="360" w:lineRule="auto"/>
      <w:ind w:firstLine="200" w:firstLineChars="200"/>
    </w:pPr>
    <w:rPr>
      <w:rFonts w:ascii="Calibri" w:hAnsi="Calibri"/>
      <w:sz w:val="24"/>
    </w:rPr>
  </w:style>
  <w:style w:type="paragraph" w:customStyle="1" w:styleId="977">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39883</Words>
  <Characters>42789</Characters>
  <Lines>357</Lines>
  <Paragraphs>100</Paragraphs>
  <TotalTime>32</TotalTime>
  <ScaleCrop>false</ScaleCrop>
  <LinksUpToDate>false</LinksUpToDate>
  <CharactersWithSpaces>47514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2023-04-21T21:36:00Z</dcterms:created>
  <dc:creator>Administrator</dc:creator>
  <cp:lastModifiedBy>52127</cp:lastModifiedBy>
  <cp:lastPrinted>2023-03-29T22:06:00Z</cp:lastPrinted>
  <dcterms:modified xsi:type="dcterms:W3CDTF">2023-04-26T13:19:23Z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804F47C8605647CD859417B85205CD9D_13</vt:lpwstr>
  </property>
</Properties>
</file>